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F13E0E7">
      <w:pPr>
        <w:pStyle w:val="14"/>
      </w:pPr>
      <w:r>
        <w:t>Stakeholder Engagement Report</w:t>
      </w:r>
    </w:p>
    <w:p w14:paraId="48A7CC84">
      <w:pPr>
        <w:pStyle w:val="14"/>
      </w:pPr>
      <w:r>
        <w:t>Successful Implementation of the ConnectPlus Customer Engagement Platform at ASOS plc</w:t>
      </w:r>
    </w:p>
    <w:p w14:paraId="685DD28C"/>
    <w:p w14:paraId="72632298">
      <w:pPr>
        <w:jc w:val="center"/>
      </w:pPr>
      <w:r>
        <w:drawing>
          <wp:inline distT="0" distB="0" distL="0" distR="0">
            <wp:extent cx="2959100" cy="2419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7"/>
                    <a:stretch>
                      <a:fillRect/>
                    </a:stretch>
                  </pic:blipFill>
                  <pic:spPr>
                    <a:xfrm>
                      <a:off x="0" y="0"/>
                      <a:ext cx="2959252" cy="2419474"/>
                    </a:xfrm>
                    <a:prstGeom prst="rect">
                      <a:avLst/>
                    </a:prstGeom>
                  </pic:spPr>
                </pic:pic>
              </a:graphicData>
            </a:graphic>
          </wp:inline>
        </w:drawing>
      </w:r>
    </w:p>
    <w:p w14:paraId="603303F9"/>
    <w:p w14:paraId="202C50E2"/>
    <w:p w14:paraId="5F27B761"/>
    <w:p w14:paraId="11B2F6CF">
      <w:pPr>
        <w:jc w:val="center"/>
        <w:rPr>
          <w:rFonts w:ascii="Arial" w:hAnsi="Arial" w:cs="Arial"/>
          <w:b/>
          <w:sz w:val="24"/>
          <w:szCs w:val="24"/>
        </w:rPr>
      </w:pPr>
      <w:r>
        <w:rPr>
          <w:rFonts w:ascii="Arial" w:hAnsi="Arial" w:cs="Arial"/>
          <w:b/>
          <w:sz w:val="24"/>
          <w:szCs w:val="24"/>
        </w:rPr>
        <w:t>Module BALM5001 – Understanding and Engaging Stakeholders</w:t>
      </w:r>
    </w:p>
    <w:p w14:paraId="19B30C43">
      <w:pPr>
        <w:jc w:val="center"/>
        <w:rPr>
          <w:rFonts w:ascii="Arial" w:hAnsi="Arial" w:cs="Arial"/>
          <w:b/>
          <w:sz w:val="24"/>
          <w:szCs w:val="24"/>
        </w:rPr>
      </w:pPr>
      <w:r>
        <w:rPr>
          <w:rFonts w:ascii="Arial" w:hAnsi="Arial" w:cs="Arial"/>
          <w:b/>
          <w:sz w:val="24"/>
          <w:szCs w:val="24"/>
        </w:rPr>
        <w:t>Assessment – Stakeholder Engagement Report</w:t>
      </w:r>
    </w:p>
    <w:p w14:paraId="04EA2E80">
      <w:pPr>
        <w:jc w:val="center"/>
        <w:rPr>
          <w:rFonts w:ascii="Arial" w:hAnsi="Arial" w:cs="Arial"/>
          <w:b/>
          <w:sz w:val="24"/>
          <w:szCs w:val="24"/>
        </w:rPr>
      </w:pPr>
      <w:r>
        <w:rPr>
          <w:rFonts w:ascii="Arial" w:hAnsi="Arial" w:cs="Arial"/>
          <w:b/>
          <w:sz w:val="24"/>
          <w:szCs w:val="24"/>
        </w:rPr>
        <w:t>Organisation – ASOS plc</w:t>
      </w:r>
    </w:p>
    <w:p w14:paraId="270694E8">
      <w:pPr>
        <w:jc w:val="center"/>
        <w:rPr>
          <w:rFonts w:ascii="Arial" w:hAnsi="Arial" w:cs="Arial"/>
          <w:b/>
          <w:sz w:val="24"/>
          <w:szCs w:val="24"/>
        </w:rPr>
      </w:pPr>
      <w:r>
        <w:rPr>
          <w:rFonts w:ascii="Arial" w:hAnsi="Arial" w:cs="Arial"/>
          <w:b/>
          <w:sz w:val="24"/>
          <w:szCs w:val="24"/>
        </w:rPr>
        <w:t>Project – ConnectPlus Customer Loyalty and Engagement Platform</w:t>
      </w:r>
    </w:p>
    <w:p w14:paraId="428B48CB">
      <w:pPr>
        <w:jc w:val="center"/>
        <w:rPr>
          <w:rFonts w:hint="default" w:ascii="Arial" w:hAnsi="Arial" w:cs="Arial"/>
          <w:b/>
          <w:sz w:val="24"/>
          <w:szCs w:val="24"/>
          <w:lang w:val="en-GB"/>
        </w:rPr>
      </w:pPr>
      <w:r>
        <w:rPr>
          <w:rFonts w:ascii="Arial" w:hAnsi="Arial" w:cs="Arial"/>
          <w:b/>
          <w:sz w:val="24"/>
          <w:szCs w:val="24"/>
        </w:rPr>
        <w:t>Student Name</w:t>
      </w:r>
      <w:r>
        <w:rPr>
          <w:rFonts w:hint="default" w:ascii="Arial" w:hAnsi="Arial" w:cs="Arial"/>
          <w:b/>
          <w:sz w:val="24"/>
          <w:szCs w:val="24"/>
          <w:lang w:val="en-GB"/>
        </w:rPr>
        <w:t>- Ivelina Oblakova</w:t>
      </w:r>
    </w:p>
    <w:p w14:paraId="74747CA5">
      <w:pPr>
        <w:jc w:val="center"/>
        <w:rPr>
          <w:rFonts w:hint="default" w:ascii="Arial" w:hAnsi="Arial" w:cs="Arial"/>
          <w:b/>
          <w:sz w:val="24"/>
          <w:szCs w:val="24"/>
          <w:lang w:val="en-GB"/>
        </w:rPr>
      </w:pPr>
      <w:r>
        <w:rPr>
          <w:rFonts w:ascii="Arial" w:hAnsi="Arial" w:cs="Arial"/>
          <w:b/>
          <w:sz w:val="24"/>
          <w:szCs w:val="24"/>
        </w:rPr>
        <w:t>Student ID</w:t>
      </w:r>
      <w:r>
        <w:rPr>
          <w:rFonts w:hint="default" w:ascii="Arial" w:hAnsi="Arial" w:cs="Arial"/>
          <w:b/>
          <w:sz w:val="24"/>
          <w:szCs w:val="24"/>
          <w:lang w:val="en-GB"/>
        </w:rPr>
        <w:t xml:space="preserve"> 2437876</w:t>
      </w:r>
      <w:bookmarkStart w:id="29" w:name="_GoBack"/>
      <w:bookmarkEnd w:id="29"/>
    </w:p>
    <w:p w14:paraId="33DEAB2C">
      <w:pPr>
        <w:jc w:val="center"/>
        <w:rPr>
          <w:rFonts w:ascii="Arial" w:hAnsi="Arial" w:cs="Arial"/>
          <w:b/>
          <w:sz w:val="24"/>
          <w:szCs w:val="24"/>
        </w:rPr>
      </w:pPr>
      <w:r>
        <w:rPr>
          <w:rFonts w:ascii="Arial" w:hAnsi="Arial" w:cs="Arial"/>
          <w:b/>
          <w:sz w:val="24"/>
          <w:szCs w:val="24"/>
        </w:rPr>
        <w:t>Lecturer Eric Osei</w:t>
      </w:r>
    </w:p>
    <w:p w14:paraId="005979C0">
      <w:pPr>
        <w:jc w:val="both"/>
        <w:rPr>
          <w:rFonts w:ascii="Arial" w:hAnsi="Arial" w:cs="Arial"/>
          <w:b/>
          <w:sz w:val="24"/>
          <w:szCs w:val="24"/>
        </w:rPr>
      </w:pPr>
    </w:p>
    <w:p w14:paraId="03A06829">
      <w:pPr>
        <w:jc w:val="center"/>
      </w:pPr>
      <w:r>
        <w:rPr>
          <w:rFonts w:ascii="Arial" w:hAnsi="Arial" w:cs="Arial"/>
          <w:b/>
          <w:sz w:val="24"/>
          <w:szCs w:val="24"/>
        </w:rPr>
        <w:t>University: University of Wales Trinity Saint David</w:t>
      </w:r>
    </w:p>
    <w:p w14:paraId="3BC8A338">
      <w:pPr>
        <w:spacing w:line="360" w:lineRule="auto"/>
        <w:rPr>
          <w:rFonts w:ascii="Arial" w:hAnsi="Arial" w:cs="Arial"/>
        </w:rPr>
      </w:pPr>
    </w:p>
    <w:p w14:paraId="1B2A77A5">
      <w:pPr>
        <w:spacing w:line="360" w:lineRule="auto"/>
        <w:rPr>
          <w:rFonts w:ascii="Arial" w:hAnsi="Arial" w:cs="Arial"/>
        </w:rPr>
      </w:pPr>
      <w:r>
        <w:rPr>
          <w:rFonts w:ascii="Arial" w:hAnsi="Arial" w:cs="Arial"/>
        </w:rPr>
        <w:br w:type="page"/>
      </w:r>
    </w:p>
    <w:p w14:paraId="473CAF89">
      <w:pPr>
        <w:pStyle w:val="2"/>
        <w:spacing w:line="360" w:lineRule="auto"/>
        <w:jc w:val="both"/>
        <w:rPr>
          <w:rFonts w:cs="Arial"/>
        </w:rPr>
      </w:pPr>
      <w:bookmarkStart w:id="0" w:name="_Toc233231386"/>
      <w:r>
        <w:rPr>
          <w:rFonts w:cs="Arial"/>
        </w:rPr>
        <w:t>Executive Summary</w:t>
      </w:r>
      <w:bookmarkEnd w:id="0"/>
    </w:p>
    <w:p w14:paraId="7E26F641">
      <w:pPr>
        <w:pStyle w:val="12"/>
        <w:spacing w:line="360" w:lineRule="auto"/>
        <w:jc w:val="both"/>
        <w:rPr>
          <w:rFonts w:ascii="Arial" w:hAnsi="Arial" w:cs="Arial"/>
        </w:rPr>
      </w:pPr>
      <w:r>
        <w:rPr>
          <w:rFonts w:ascii="Arial" w:hAnsi="Arial" w:cs="Arial"/>
        </w:rPr>
        <w:t>This report analyses the importance of stakeholder involvement in the successful introduction of ConnectPlus at ASOS plc. ASOS is a well-known UK online fashion retailer, operating in several international markets. The organisation intends to launch ConnectPlus. This is a generally new customer loyalty and user engagement platform. It will apply artificial intelligence (AI) and use customised recommendations, mobile rewards, and customer data insights with the aim of improving customer retention and customer experience.</w:t>
      </w:r>
    </w:p>
    <w:p w14:paraId="37C21380">
      <w:pPr>
        <w:pStyle w:val="12"/>
        <w:spacing w:line="360" w:lineRule="auto"/>
        <w:jc w:val="both"/>
        <w:rPr>
          <w:rFonts w:ascii="Arial" w:hAnsi="Arial" w:cs="Arial"/>
        </w:rPr>
      </w:pPr>
      <w:r>
        <w:rPr>
          <w:rFonts w:ascii="Arial" w:hAnsi="Arial" w:cs="Arial"/>
        </w:rPr>
        <w:t>The report also discusses the stakeholders who can influence or be impacted by this project. In addition, the internal stakeholders are senior managers, project teams, IT specialists, marketing staff, customer service employees, and finance teams. External stakeholders are customers, shareholders, suppliers, technology partners, regulators, and local societies.</w:t>
      </w:r>
    </w:p>
    <w:p w14:paraId="2B72E0F4">
      <w:pPr>
        <w:pStyle w:val="12"/>
        <w:spacing w:line="360" w:lineRule="auto"/>
        <w:jc w:val="both"/>
        <w:rPr>
          <w:rFonts w:ascii="Arial" w:hAnsi="Arial" w:cs="Arial"/>
        </w:rPr>
      </w:pPr>
      <w:r>
        <w:rPr>
          <w:rFonts w:ascii="Arial" w:hAnsi="Arial" w:cs="Arial"/>
        </w:rPr>
        <w:t>The report also analyses many stakeholder theories and frameworks. These strategies and theories include Stakeholder Theory, Mendelow's Power-Interest Matrix, the Salience Model, Stakeholder Circle, and the SWANS and OWANS frameworks. Such a model improves the analysis with the identification of stakeholder impact, expectations, interests, and engagement demands.</w:t>
      </w:r>
    </w:p>
    <w:p w14:paraId="712CC71B">
      <w:pPr>
        <w:pStyle w:val="12"/>
        <w:spacing w:line="360" w:lineRule="auto"/>
        <w:jc w:val="both"/>
        <w:rPr>
          <w:rFonts w:ascii="Arial" w:hAnsi="Arial" w:cs="Arial"/>
        </w:rPr>
      </w:pPr>
      <w:r>
        <w:rPr>
          <w:rFonts w:ascii="Arial" w:hAnsi="Arial" w:cs="Arial"/>
        </w:rPr>
        <w:t>ASOS’s way of engaging with stakeholders properly is also discussed by this paper. Especially the stages including planning, development, and implementation of ConnectPlus. In addition, the research includes different engagement and communication approaches like meetings, consultation programs, surveys, training sessions, stakeholder mapping, and feedback systems. In addition, the report reveals that stakeholder engagement can enhance trust, decrease resistance to change, improve customer satisfaction, and provide better overall project outcomes. On the other hand, companies can also face problems regarding cultural differences, different stakeholder interests, privacy problems, and legal issues.</w:t>
      </w:r>
    </w:p>
    <w:p w14:paraId="5DDF482C">
      <w:pPr>
        <w:pStyle w:val="12"/>
        <w:spacing w:line="360" w:lineRule="auto"/>
        <w:jc w:val="both"/>
        <w:rPr>
          <w:rFonts w:ascii="Arial" w:hAnsi="Arial" w:cs="Arial"/>
        </w:rPr>
      </w:pPr>
      <w:r>
        <w:rPr>
          <w:rFonts w:ascii="Arial" w:hAnsi="Arial" w:cs="Arial"/>
        </w:rPr>
        <w:t>Overall, stakeholder engagement is essential for the successful launch of ConnectPlus and ensure ASOS's long-term business performance and competitive advantage.</w:t>
      </w:r>
    </w:p>
    <w:p w14:paraId="59E0B971">
      <w:pPr>
        <w:pStyle w:val="12"/>
        <w:spacing w:line="360" w:lineRule="auto"/>
        <w:jc w:val="both"/>
        <w:rPr>
          <w:rFonts w:ascii="Arial" w:hAnsi="Arial" w:cs="Arial"/>
        </w:rPr>
      </w:pPr>
    </w:p>
    <w:p w14:paraId="1D370EC0">
      <w:pPr>
        <w:pStyle w:val="12"/>
        <w:spacing w:line="360" w:lineRule="auto"/>
        <w:jc w:val="both"/>
        <w:rPr>
          <w:rFonts w:ascii="Arial" w:hAnsi="Arial" w:cs="Arial"/>
        </w:rPr>
      </w:pPr>
    </w:p>
    <w:sdt>
      <w:sdtPr>
        <w:rPr>
          <w:rFonts w:asciiTheme="minorHAnsi" w:hAnsiTheme="minorHAnsi" w:eastAsiaTheme="minorHAnsi" w:cstheme="minorBidi"/>
          <w:color w:val="auto"/>
          <w:sz w:val="22"/>
          <w:szCs w:val="22"/>
          <w:lang w:val="en-GB"/>
        </w:rPr>
        <w:id w:val="-2090154802"/>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14:paraId="643DA866">
          <w:pPr>
            <w:pStyle w:val="25"/>
          </w:pPr>
          <w:r>
            <w:t>Table of Contents</w:t>
          </w:r>
        </w:p>
        <w:p w14:paraId="2C724A4A">
          <w:pPr>
            <w:pStyle w:val="15"/>
            <w:tabs>
              <w:tab w:val="right" w:leader="dot" w:pos="9736"/>
            </w:tabs>
            <w:rPr>
              <w:rFonts w:eastAsiaTheme="minorEastAsia"/>
              <w:lang w:eastAsia="en-GB"/>
            </w:rPr>
          </w:pPr>
          <w:r>
            <w:rPr>
              <w:b/>
              <w:bCs/>
            </w:rPr>
            <w:fldChar w:fldCharType="begin"/>
          </w:r>
          <w:r>
            <w:rPr>
              <w:b/>
              <w:bCs/>
            </w:rPr>
            <w:instrText xml:space="preserve"> TOC \o "1-3" \h \z \u </w:instrText>
          </w:r>
          <w:r>
            <w:rPr>
              <w:b/>
              <w:bCs/>
            </w:rPr>
            <w:fldChar w:fldCharType="separate"/>
          </w:r>
          <w:r>
            <w:fldChar w:fldCharType="begin"/>
          </w:r>
          <w:r>
            <w:instrText xml:space="preserve"> HYPERLINK \l "_Toc233231386" </w:instrText>
          </w:r>
          <w:r>
            <w:fldChar w:fldCharType="separate"/>
          </w:r>
          <w:r>
            <w:rPr>
              <w:rStyle w:val="11"/>
              <w:rFonts w:cs="Arial"/>
            </w:rPr>
            <w:t>Executive Summary</w:t>
          </w:r>
          <w:r>
            <w:tab/>
          </w:r>
          <w:r>
            <w:fldChar w:fldCharType="begin"/>
          </w:r>
          <w:r>
            <w:instrText xml:space="preserve"> PAGEREF _Toc233231386 \h </w:instrText>
          </w:r>
          <w:r>
            <w:fldChar w:fldCharType="separate"/>
          </w:r>
          <w:r>
            <w:t>2</w:t>
          </w:r>
          <w:r>
            <w:fldChar w:fldCharType="end"/>
          </w:r>
          <w:r>
            <w:fldChar w:fldCharType="end"/>
          </w:r>
        </w:p>
        <w:p w14:paraId="3798CEAD">
          <w:pPr>
            <w:pStyle w:val="15"/>
            <w:tabs>
              <w:tab w:val="right" w:leader="dot" w:pos="9736"/>
            </w:tabs>
            <w:rPr>
              <w:rFonts w:eastAsiaTheme="minorEastAsia"/>
              <w:lang w:eastAsia="en-GB"/>
            </w:rPr>
          </w:pPr>
          <w:r>
            <w:fldChar w:fldCharType="begin"/>
          </w:r>
          <w:r>
            <w:instrText xml:space="preserve"> HYPERLINK \l "_Toc233231387" </w:instrText>
          </w:r>
          <w:r>
            <w:fldChar w:fldCharType="separate"/>
          </w:r>
          <w:r>
            <w:rPr>
              <w:rStyle w:val="11"/>
            </w:rPr>
            <w:t>1. Introduction</w:t>
          </w:r>
          <w:r>
            <w:tab/>
          </w:r>
          <w:r>
            <w:fldChar w:fldCharType="begin"/>
          </w:r>
          <w:r>
            <w:instrText xml:space="preserve"> PAGEREF _Toc233231387 \h </w:instrText>
          </w:r>
          <w:r>
            <w:fldChar w:fldCharType="separate"/>
          </w:r>
          <w:r>
            <w:t>4</w:t>
          </w:r>
          <w:r>
            <w:fldChar w:fldCharType="end"/>
          </w:r>
          <w:r>
            <w:fldChar w:fldCharType="end"/>
          </w:r>
        </w:p>
        <w:p w14:paraId="7C3D9BDC">
          <w:pPr>
            <w:pStyle w:val="15"/>
            <w:tabs>
              <w:tab w:val="right" w:leader="dot" w:pos="9736"/>
            </w:tabs>
            <w:rPr>
              <w:rFonts w:eastAsiaTheme="minorEastAsia"/>
              <w:lang w:eastAsia="en-GB"/>
            </w:rPr>
          </w:pPr>
          <w:r>
            <w:fldChar w:fldCharType="begin"/>
          </w:r>
          <w:r>
            <w:instrText xml:space="preserve"> HYPERLINK \l "_Toc233231388" </w:instrText>
          </w:r>
          <w:r>
            <w:fldChar w:fldCharType="separate"/>
          </w:r>
          <w:r>
            <w:rPr>
              <w:rStyle w:val="11"/>
              <w:rFonts w:cs="Arial"/>
            </w:rPr>
            <w:t>2. SMART Objectives</w:t>
          </w:r>
          <w:r>
            <w:tab/>
          </w:r>
          <w:r>
            <w:fldChar w:fldCharType="begin"/>
          </w:r>
          <w:r>
            <w:instrText xml:space="preserve"> PAGEREF _Toc233231388 \h </w:instrText>
          </w:r>
          <w:r>
            <w:fldChar w:fldCharType="separate"/>
          </w:r>
          <w:r>
            <w:t>5</w:t>
          </w:r>
          <w:r>
            <w:fldChar w:fldCharType="end"/>
          </w:r>
          <w:r>
            <w:fldChar w:fldCharType="end"/>
          </w:r>
        </w:p>
        <w:p w14:paraId="62913F08">
          <w:pPr>
            <w:pStyle w:val="15"/>
            <w:tabs>
              <w:tab w:val="right" w:leader="dot" w:pos="9736"/>
            </w:tabs>
            <w:rPr>
              <w:rFonts w:eastAsiaTheme="minorEastAsia"/>
              <w:lang w:eastAsia="en-GB"/>
            </w:rPr>
          </w:pPr>
          <w:r>
            <w:fldChar w:fldCharType="begin"/>
          </w:r>
          <w:r>
            <w:instrText xml:space="preserve"> HYPERLINK \l "_Toc233231389" </w:instrText>
          </w:r>
          <w:r>
            <w:fldChar w:fldCharType="separate"/>
          </w:r>
          <w:r>
            <w:rPr>
              <w:rStyle w:val="11"/>
              <w:rFonts w:cs="Arial"/>
            </w:rPr>
            <w:t>3. Identification and Categorisation of Key Stakeholders</w:t>
          </w:r>
          <w:r>
            <w:tab/>
          </w:r>
          <w:r>
            <w:fldChar w:fldCharType="begin"/>
          </w:r>
          <w:r>
            <w:instrText xml:space="preserve"> PAGEREF _Toc233231389 \h </w:instrText>
          </w:r>
          <w:r>
            <w:fldChar w:fldCharType="separate"/>
          </w:r>
          <w:r>
            <w:t>6</w:t>
          </w:r>
          <w:r>
            <w:fldChar w:fldCharType="end"/>
          </w:r>
          <w:r>
            <w:fldChar w:fldCharType="end"/>
          </w:r>
        </w:p>
        <w:p w14:paraId="792BF656">
          <w:pPr>
            <w:pStyle w:val="16"/>
            <w:tabs>
              <w:tab w:val="right" w:leader="dot" w:pos="9736"/>
            </w:tabs>
            <w:rPr>
              <w:rFonts w:eastAsiaTheme="minorEastAsia"/>
              <w:lang w:eastAsia="en-GB"/>
            </w:rPr>
          </w:pPr>
          <w:r>
            <w:fldChar w:fldCharType="begin"/>
          </w:r>
          <w:r>
            <w:instrText xml:space="preserve"> HYPERLINK \l "_Toc233231390" </w:instrText>
          </w:r>
          <w:r>
            <w:fldChar w:fldCharType="separate"/>
          </w:r>
          <w:r>
            <w:rPr>
              <w:rStyle w:val="11"/>
              <w:rFonts w:cs="Arial"/>
            </w:rPr>
            <w:t>3.1 Importance of Stakeholder Identification</w:t>
          </w:r>
          <w:r>
            <w:tab/>
          </w:r>
          <w:r>
            <w:fldChar w:fldCharType="begin"/>
          </w:r>
          <w:r>
            <w:instrText xml:space="preserve"> PAGEREF _Toc233231390 \h </w:instrText>
          </w:r>
          <w:r>
            <w:fldChar w:fldCharType="separate"/>
          </w:r>
          <w:r>
            <w:t>6</w:t>
          </w:r>
          <w:r>
            <w:fldChar w:fldCharType="end"/>
          </w:r>
          <w:r>
            <w:fldChar w:fldCharType="end"/>
          </w:r>
        </w:p>
        <w:p w14:paraId="269638AE">
          <w:pPr>
            <w:pStyle w:val="16"/>
            <w:tabs>
              <w:tab w:val="right" w:leader="dot" w:pos="9736"/>
            </w:tabs>
            <w:rPr>
              <w:rFonts w:eastAsiaTheme="minorEastAsia"/>
              <w:lang w:eastAsia="en-GB"/>
            </w:rPr>
          </w:pPr>
          <w:r>
            <w:fldChar w:fldCharType="begin"/>
          </w:r>
          <w:r>
            <w:instrText xml:space="preserve"> HYPERLINK \l "_Toc233231391" </w:instrText>
          </w:r>
          <w:r>
            <w:fldChar w:fldCharType="separate"/>
          </w:r>
          <w:r>
            <w:rPr>
              <w:rStyle w:val="11"/>
              <w:rFonts w:cs="Arial"/>
            </w:rPr>
            <w:t>3.2 Internal Stakeholders</w:t>
          </w:r>
          <w:r>
            <w:tab/>
          </w:r>
          <w:r>
            <w:fldChar w:fldCharType="begin"/>
          </w:r>
          <w:r>
            <w:instrText xml:space="preserve"> PAGEREF _Toc233231391 \h </w:instrText>
          </w:r>
          <w:r>
            <w:fldChar w:fldCharType="separate"/>
          </w:r>
          <w:r>
            <w:t>6</w:t>
          </w:r>
          <w:r>
            <w:fldChar w:fldCharType="end"/>
          </w:r>
          <w:r>
            <w:fldChar w:fldCharType="end"/>
          </w:r>
        </w:p>
        <w:p w14:paraId="6C09335D">
          <w:pPr>
            <w:pStyle w:val="16"/>
            <w:tabs>
              <w:tab w:val="right" w:leader="dot" w:pos="9736"/>
            </w:tabs>
            <w:rPr>
              <w:rFonts w:eastAsiaTheme="minorEastAsia"/>
              <w:lang w:eastAsia="en-GB"/>
            </w:rPr>
          </w:pPr>
          <w:r>
            <w:fldChar w:fldCharType="begin"/>
          </w:r>
          <w:r>
            <w:instrText xml:space="preserve"> HYPERLINK \l "_Toc233231392" </w:instrText>
          </w:r>
          <w:r>
            <w:fldChar w:fldCharType="separate"/>
          </w:r>
          <w:r>
            <w:rPr>
              <w:rStyle w:val="11"/>
              <w:rFonts w:cs="Arial"/>
            </w:rPr>
            <w:t>3.3 External Stakeholders</w:t>
          </w:r>
          <w:r>
            <w:tab/>
          </w:r>
          <w:r>
            <w:fldChar w:fldCharType="begin"/>
          </w:r>
          <w:r>
            <w:instrText xml:space="preserve"> PAGEREF _Toc233231392 \h </w:instrText>
          </w:r>
          <w:r>
            <w:fldChar w:fldCharType="separate"/>
          </w:r>
          <w:r>
            <w:t>7</w:t>
          </w:r>
          <w:r>
            <w:fldChar w:fldCharType="end"/>
          </w:r>
          <w:r>
            <w:fldChar w:fldCharType="end"/>
          </w:r>
        </w:p>
        <w:p w14:paraId="380473EB">
          <w:pPr>
            <w:pStyle w:val="16"/>
            <w:tabs>
              <w:tab w:val="right" w:leader="dot" w:pos="9736"/>
            </w:tabs>
            <w:rPr>
              <w:rFonts w:eastAsiaTheme="minorEastAsia"/>
              <w:lang w:eastAsia="en-GB"/>
            </w:rPr>
          </w:pPr>
          <w:r>
            <w:fldChar w:fldCharType="begin"/>
          </w:r>
          <w:r>
            <w:instrText xml:space="preserve"> HYPERLINK \l "_Toc233231393" </w:instrText>
          </w:r>
          <w:r>
            <w:fldChar w:fldCharType="separate"/>
          </w:r>
          <w:r>
            <w:rPr>
              <w:rStyle w:val="11"/>
              <w:rFonts w:cs="Arial"/>
            </w:rPr>
            <w:t>3.4 Stakeholder Categorisation Using Mendelow's Matrix</w:t>
          </w:r>
          <w:r>
            <w:tab/>
          </w:r>
          <w:r>
            <w:fldChar w:fldCharType="begin"/>
          </w:r>
          <w:r>
            <w:instrText xml:space="preserve"> PAGEREF _Toc233231393 \h </w:instrText>
          </w:r>
          <w:r>
            <w:fldChar w:fldCharType="separate"/>
          </w:r>
          <w:r>
            <w:t>8</w:t>
          </w:r>
          <w:r>
            <w:fldChar w:fldCharType="end"/>
          </w:r>
          <w:r>
            <w:fldChar w:fldCharType="end"/>
          </w:r>
        </w:p>
        <w:p w14:paraId="1DDFBF09">
          <w:pPr>
            <w:pStyle w:val="16"/>
            <w:tabs>
              <w:tab w:val="right" w:leader="dot" w:pos="9736"/>
            </w:tabs>
            <w:rPr>
              <w:rFonts w:eastAsiaTheme="minorEastAsia"/>
              <w:lang w:eastAsia="en-GB"/>
            </w:rPr>
          </w:pPr>
          <w:r>
            <w:fldChar w:fldCharType="begin"/>
          </w:r>
          <w:r>
            <w:instrText xml:space="preserve"> HYPERLINK \l "_Toc233231394" </w:instrText>
          </w:r>
          <w:r>
            <w:fldChar w:fldCharType="separate"/>
          </w:r>
          <w:r>
            <w:rPr>
              <w:rStyle w:val="11"/>
              <w:rFonts w:cs="Arial"/>
            </w:rPr>
            <w:t>3.5 Stakeholder Categorisation Using the Salience Model</w:t>
          </w:r>
          <w:r>
            <w:tab/>
          </w:r>
          <w:r>
            <w:fldChar w:fldCharType="begin"/>
          </w:r>
          <w:r>
            <w:instrText xml:space="preserve"> PAGEREF _Toc233231394 \h </w:instrText>
          </w:r>
          <w:r>
            <w:fldChar w:fldCharType="separate"/>
          </w:r>
          <w:r>
            <w:t>9</w:t>
          </w:r>
          <w:r>
            <w:fldChar w:fldCharType="end"/>
          </w:r>
          <w:r>
            <w:fldChar w:fldCharType="end"/>
          </w:r>
        </w:p>
        <w:p w14:paraId="2BB08CBE">
          <w:pPr>
            <w:pStyle w:val="15"/>
            <w:tabs>
              <w:tab w:val="right" w:leader="dot" w:pos="9736"/>
            </w:tabs>
            <w:rPr>
              <w:rFonts w:eastAsiaTheme="minorEastAsia"/>
              <w:lang w:eastAsia="en-GB"/>
            </w:rPr>
          </w:pPr>
          <w:r>
            <w:fldChar w:fldCharType="begin"/>
          </w:r>
          <w:r>
            <w:instrText xml:space="preserve"> HYPERLINK \l "_Toc233231395" </w:instrText>
          </w:r>
          <w:r>
            <w:fldChar w:fldCharType="separate"/>
          </w:r>
          <w:r>
            <w:rPr>
              <w:rStyle w:val="11"/>
              <w:rFonts w:cs="Arial"/>
            </w:rPr>
            <w:t>4. Roles, Responsibilities, Benefits and Challenges of Key Stakeholders</w:t>
          </w:r>
          <w:r>
            <w:tab/>
          </w:r>
          <w:r>
            <w:fldChar w:fldCharType="begin"/>
          </w:r>
          <w:r>
            <w:instrText xml:space="preserve"> PAGEREF _Toc233231395 \h </w:instrText>
          </w:r>
          <w:r>
            <w:fldChar w:fldCharType="separate"/>
          </w:r>
          <w:r>
            <w:t>10</w:t>
          </w:r>
          <w:r>
            <w:fldChar w:fldCharType="end"/>
          </w:r>
          <w:r>
            <w:fldChar w:fldCharType="end"/>
          </w:r>
        </w:p>
        <w:p w14:paraId="2F143203">
          <w:pPr>
            <w:pStyle w:val="16"/>
            <w:tabs>
              <w:tab w:val="right" w:leader="dot" w:pos="9736"/>
            </w:tabs>
            <w:rPr>
              <w:rFonts w:eastAsiaTheme="minorEastAsia"/>
              <w:lang w:eastAsia="en-GB"/>
            </w:rPr>
          </w:pPr>
          <w:r>
            <w:fldChar w:fldCharType="begin"/>
          </w:r>
          <w:r>
            <w:instrText xml:space="preserve"> HYPERLINK \l "_Toc233231396" </w:instrText>
          </w:r>
          <w:r>
            <w:fldChar w:fldCharType="separate"/>
          </w:r>
          <w:r>
            <w:rPr>
              <w:rStyle w:val="11"/>
              <w:rFonts w:cs="Arial"/>
            </w:rPr>
            <w:t>4.1 Introduction</w:t>
          </w:r>
          <w:r>
            <w:tab/>
          </w:r>
          <w:r>
            <w:fldChar w:fldCharType="begin"/>
          </w:r>
          <w:r>
            <w:instrText xml:space="preserve"> PAGEREF _Toc233231396 \h </w:instrText>
          </w:r>
          <w:r>
            <w:fldChar w:fldCharType="separate"/>
          </w:r>
          <w:r>
            <w:t>10</w:t>
          </w:r>
          <w:r>
            <w:fldChar w:fldCharType="end"/>
          </w:r>
          <w:r>
            <w:fldChar w:fldCharType="end"/>
          </w:r>
        </w:p>
        <w:p w14:paraId="34CF6087">
          <w:pPr>
            <w:pStyle w:val="16"/>
            <w:tabs>
              <w:tab w:val="right" w:leader="dot" w:pos="9736"/>
            </w:tabs>
            <w:rPr>
              <w:rFonts w:eastAsiaTheme="minorEastAsia"/>
              <w:lang w:eastAsia="en-GB"/>
            </w:rPr>
          </w:pPr>
          <w:r>
            <w:fldChar w:fldCharType="begin"/>
          </w:r>
          <w:r>
            <w:instrText xml:space="preserve"> HYPERLINK \l "_Toc233231397" </w:instrText>
          </w:r>
          <w:r>
            <w:fldChar w:fldCharType="separate"/>
          </w:r>
          <w:r>
            <w:rPr>
              <w:rStyle w:val="11"/>
              <w:rFonts w:cs="Arial"/>
            </w:rPr>
            <w:t>4.2 Roles and Responsibilities of Internal Stakeholders</w:t>
          </w:r>
          <w:r>
            <w:tab/>
          </w:r>
          <w:r>
            <w:fldChar w:fldCharType="begin"/>
          </w:r>
          <w:r>
            <w:instrText xml:space="preserve"> PAGEREF _Toc233231397 \h </w:instrText>
          </w:r>
          <w:r>
            <w:fldChar w:fldCharType="separate"/>
          </w:r>
          <w:r>
            <w:t>11</w:t>
          </w:r>
          <w:r>
            <w:fldChar w:fldCharType="end"/>
          </w:r>
          <w:r>
            <w:fldChar w:fldCharType="end"/>
          </w:r>
        </w:p>
        <w:p w14:paraId="12B6E0CE">
          <w:pPr>
            <w:pStyle w:val="16"/>
            <w:tabs>
              <w:tab w:val="right" w:leader="dot" w:pos="9736"/>
            </w:tabs>
            <w:rPr>
              <w:rFonts w:eastAsiaTheme="minorEastAsia"/>
              <w:lang w:eastAsia="en-GB"/>
            </w:rPr>
          </w:pPr>
          <w:r>
            <w:fldChar w:fldCharType="begin"/>
          </w:r>
          <w:r>
            <w:instrText xml:space="preserve"> HYPERLINK \l "_Toc233231398" </w:instrText>
          </w:r>
          <w:r>
            <w:fldChar w:fldCharType="separate"/>
          </w:r>
          <w:r>
            <w:rPr>
              <w:rStyle w:val="11"/>
              <w:rFonts w:cs="Arial"/>
            </w:rPr>
            <w:t>4.3 Roles and Responsibilities of External Stakeholders</w:t>
          </w:r>
          <w:r>
            <w:tab/>
          </w:r>
          <w:r>
            <w:fldChar w:fldCharType="begin"/>
          </w:r>
          <w:r>
            <w:instrText xml:space="preserve"> PAGEREF _Toc233231398 \h </w:instrText>
          </w:r>
          <w:r>
            <w:fldChar w:fldCharType="separate"/>
          </w:r>
          <w:r>
            <w:t>12</w:t>
          </w:r>
          <w:r>
            <w:fldChar w:fldCharType="end"/>
          </w:r>
          <w:r>
            <w:fldChar w:fldCharType="end"/>
          </w:r>
        </w:p>
        <w:p w14:paraId="0CDAF670">
          <w:pPr>
            <w:pStyle w:val="16"/>
            <w:tabs>
              <w:tab w:val="right" w:leader="dot" w:pos="9736"/>
            </w:tabs>
            <w:rPr>
              <w:rFonts w:eastAsiaTheme="minorEastAsia"/>
              <w:lang w:eastAsia="en-GB"/>
            </w:rPr>
          </w:pPr>
          <w:r>
            <w:fldChar w:fldCharType="begin"/>
          </w:r>
          <w:r>
            <w:instrText xml:space="preserve"> HYPERLINK \l "_Toc233231399" </w:instrText>
          </w:r>
          <w:r>
            <w:fldChar w:fldCharType="separate"/>
          </w:r>
          <w:r>
            <w:rPr>
              <w:rStyle w:val="11"/>
              <w:rFonts w:cs="Arial"/>
            </w:rPr>
            <w:t>4.4 Benefits of Stakeholder Involvement</w:t>
          </w:r>
          <w:r>
            <w:tab/>
          </w:r>
          <w:r>
            <w:fldChar w:fldCharType="begin"/>
          </w:r>
          <w:r>
            <w:instrText xml:space="preserve"> PAGEREF _Toc233231399 \h </w:instrText>
          </w:r>
          <w:r>
            <w:fldChar w:fldCharType="separate"/>
          </w:r>
          <w:r>
            <w:t>13</w:t>
          </w:r>
          <w:r>
            <w:fldChar w:fldCharType="end"/>
          </w:r>
          <w:r>
            <w:fldChar w:fldCharType="end"/>
          </w:r>
        </w:p>
        <w:p w14:paraId="472CD19F">
          <w:pPr>
            <w:pStyle w:val="16"/>
            <w:tabs>
              <w:tab w:val="right" w:leader="dot" w:pos="9736"/>
            </w:tabs>
            <w:rPr>
              <w:rFonts w:eastAsiaTheme="minorEastAsia"/>
              <w:lang w:eastAsia="en-GB"/>
            </w:rPr>
          </w:pPr>
          <w:r>
            <w:fldChar w:fldCharType="begin"/>
          </w:r>
          <w:r>
            <w:instrText xml:space="preserve"> HYPERLINK \l "_Toc233231400" </w:instrText>
          </w:r>
          <w:r>
            <w:fldChar w:fldCharType="separate"/>
          </w:r>
          <w:r>
            <w:rPr>
              <w:rStyle w:val="11"/>
              <w:rFonts w:cs="Arial"/>
            </w:rPr>
            <w:t>4.5 Challenges of Stakeholder Involvement</w:t>
          </w:r>
          <w:r>
            <w:tab/>
          </w:r>
          <w:r>
            <w:fldChar w:fldCharType="begin"/>
          </w:r>
          <w:r>
            <w:instrText xml:space="preserve"> PAGEREF _Toc233231400 \h </w:instrText>
          </w:r>
          <w:r>
            <w:fldChar w:fldCharType="separate"/>
          </w:r>
          <w:r>
            <w:t>14</w:t>
          </w:r>
          <w:r>
            <w:fldChar w:fldCharType="end"/>
          </w:r>
          <w:r>
            <w:fldChar w:fldCharType="end"/>
          </w:r>
        </w:p>
        <w:p w14:paraId="1D729DAD">
          <w:pPr>
            <w:pStyle w:val="15"/>
            <w:tabs>
              <w:tab w:val="right" w:leader="dot" w:pos="9736"/>
            </w:tabs>
            <w:rPr>
              <w:rFonts w:eastAsiaTheme="minorEastAsia"/>
              <w:lang w:eastAsia="en-GB"/>
            </w:rPr>
          </w:pPr>
          <w:r>
            <w:fldChar w:fldCharType="begin"/>
          </w:r>
          <w:r>
            <w:instrText xml:space="preserve"> HYPERLINK \l "_Toc233231401" </w:instrText>
          </w:r>
          <w:r>
            <w:fldChar w:fldCharType="separate"/>
          </w:r>
          <w:r>
            <w:rPr>
              <w:rStyle w:val="11"/>
              <w:rFonts w:cs="Arial"/>
            </w:rPr>
            <w:t>5. Stakeholder Engagement Strategy and Conflict Management</w:t>
          </w:r>
          <w:r>
            <w:tab/>
          </w:r>
          <w:r>
            <w:fldChar w:fldCharType="begin"/>
          </w:r>
          <w:r>
            <w:instrText xml:space="preserve"> PAGEREF _Toc233231401 \h </w:instrText>
          </w:r>
          <w:r>
            <w:fldChar w:fldCharType="separate"/>
          </w:r>
          <w:r>
            <w:t>15</w:t>
          </w:r>
          <w:r>
            <w:fldChar w:fldCharType="end"/>
          </w:r>
          <w:r>
            <w:fldChar w:fldCharType="end"/>
          </w:r>
        </w:p>
        <w:p w14:paraId="5117B250">
          <w:pPr>
            <w:pStyle w:val="16"/>
            <w:tabs>
              <w:tab w:val="right" w:leader="dot" w:pos="9736"/>
            </w:tabs>
            <w:rPr>
              <w:rFonts w:eastAsiaTheme="minorEastAsia"/>
              <w:lang w:eastAsia="en-GB"/>
            </w:rPr>
          </w:pPr>
          <w:r>
            <w:fldChar w:fldCharType="begin"/>
          </w:r>
          <w:r>
            <w:instrText xml:space="preserve"> HYPERLINK \l "_Toc233231402" </w:instrText>
          </w:r>
          <w:r>
            <w:fldChar w:fldCharType="separate"/>
          </w:r>
          <w:r>
            <w:rPr>
              <w:rStyle w:val="11"/>
              <w:rFonts w:cs="Arial"/>
            </w:rPr>
            <w:t>5.1 Stakeholder Engagement Process</w:t>
          </w:r>
          <w:r>
            <w:tab/>
          </w:r>
          <w:r>
            <w:fldChar w:fldCharType="begin"/>
          </w:r>
          <w:r>
            <w:instrText xml:space="preserve"> PAGEREF _Toc233231402 \h </w:instrText>
          </w:r>
          <w:r>
            <w:fldChar w:fldCharType="separate"/>
          </w:r>
          <w:r>
            <w:t>16</w:t>
          </w:r>
          <w:r>
            <w:fldChar w:fldCharType="end"/>
          </w:r>
          <w:r>
            <w:fldChar w:fldCharType="end"/>
          </w:r>
        </w:p>
        <w:p w14:paraId="1520974F">
          <w:pPr>
            <w:pStyle w:val="16"/>
            <w:tabs>
              <w:tab w:val="right" w:leader="dot" w:pos="9736"/>
            </w:tabs>
            <w:rPr>
              <w:rFonts w:eastAsiaTheme="minorEastAsia"/>
              <w:lang w:eastAsia="en-GB"/>
            </w:rPr>
          </w:pPr>
          <w:r>
            <w:fldChar w:fldCharType="begin"/>
          </w:r>
          <w:r>
            <w:instrText xml:space="preserve"> HYPERLINK \l "_Toc233231403" </w:instrText>
          </w:r>
          <w:r>
            <w:fldChar w:fldCharType="separate"/>
          </w:r>
          <w:r>
            <w:rPr>
              <w:rStyle w:val="11"/>
              <w:rFonts w:cs="Arial"/>
            </w:rPr>
            <w:t>5.3 Communication and Consultation Strategies</w:t>
          </w:r>
          <w:r>
            <w:tab/>
          </w:r>
          <w:r>
            <w:fldChar w:fldCharType="begin"/>
          </w:r>
          <w:r>
            <w:instrText xml:space="preserve"> PAGEREF _Toc233231403 \h </w:instrText>
          </w:r>
          <w:r>
            <w:fldChar w:fldCharType="separate"/>
          </w:r>
          <w:r>
            <w:t>17</w:t>
          </w:r>
          <w:r>
            <w:fldChar w:fldCharType="end"/>
          </w:r>
          <w:r>
            <w:fldChar w:fldCharType="end"/>
          </w:r>
        </w:p>
        <w:p w14:paraId="1E5968EC">
          <w:pPr>
            <w:pStyle w:val="16"/>
            <w:tabs>
              <w:tab w:val="right" w:leader="dot" w:pos="9736"/>
            </w:tabs>
            <w:rPr>
              <w:rFonts w:eastAsiaTheme="minorEastAsia"/>
              <w:lang w:eastAsia="en-GB"/>
            </w:rPr>
          </w:pPr>
          <w:r>
            <w:fldChar w:fldCharType="begin"/>
          </w:r>
          <w:r>
            <w:instrText xml:space="preserve"> HYPERLINK \l "_Toc233231404" </w:instrText>
          </w:r>
          <w:r>
            <w:fldChar w:fldCharType="separate"/>
          </w:r>
          <w:r>
            <w:rPr>
              <w:rStyle w:val="11"/>
              <w:rFonts w:cs="Arial"/>
            </w:rPr>
            <w:t>5.4 Application of the SWANS and OWANS Framework</w:t>
          </w:r>
          <w:r>
            <w:tab/>
          </w:r>
          <w:r>
            <w:fldChar w:fldCharType="begin"/>
          </w:r>
          <w:r>
            <w:instrText xml:space="preserve"> PAGEREF _Toc233231404 \h </w:instrText>
          </w:r>
          <w:r>
            <w:fldChar w:fldCharType="separate"/>
          </w:r>
          <w:r>
            <w:t>18</w:t>
          </w:r>
          <w:r>
            <w:fldChar w:fldCharType="end"/>
          </w:r>
          <w:r>
            <w:fldChar w:fldCharType="end"/>
          </w:r>
        </w:p>
        <w:p w14:paraId="671AFA8D">
          <w:pPr>
            <w:pStyle w:val="16"/>
            <w:tabs>
              <w:tab w:val="right" w:leader="dot" w:pos="9736"/>
            </w:tabs>
            <w:rPr>
              <w:rFonts w:eastAsiaTheme="minorEastAsia"/>
              <w:lang w:eastAsia="en-GB"/>
            </w:rPr>
          </w:pPr>
          <w:r>
            <w:fldChar w:fldCharType="begin"/>
          </w:r>
          <w:r>
            <w:instrText xml:space="preserve"> HYPERLINK \l "_Toc233231405" </w:instrText>
          </w:r>
          <w:r>
            <w:fldChar w:fldCharType="separate"/>
          </w:r>
          <w:r>
            <w:rPr>
              <w:rStyle w:val="11"/>
              <w:rFonts w:cs="Arial"/>
            </w:rPr>
            <w:t>5.5 Conflict Management</w:t>
          </w:r>
          <w:r>
            <w:tab/>
          </w:r>
          <w:r>
            <w:fldChar w:fldCharType="begin"/>
          </w:r>
          <w:r>
            <w:instrText xml:space="preserve"> PAGEREF _Toc233231405 \h </w:instrText>
          </w:r>
          <w:r>
            <w:fldChar w:fldCharType="separate"/>
          </w:r>
          <w:r>
            <w:t>19</w:t>
          </w:r>
          <w:r>
            <w:fldChar w:fldCharType="end"/>
          </w:r>
          <w:r>
            <w:fldChar w:fldCharType="end"/>
          </w:r>
        </w:p>
        <w:p w14:paraId="110AE4BE">
          <w:pPr>
            <w:pStyle w:val="16"/>
            <w:tabs>
              <w:tab w:val="right" w:leader="dot" w:pos="9736"/>
            </w:tabs>
            <w:rPr>
              <w:rFonts w:eastAsiaTheme="minorEastAsia"/>
              <w:lang w:eastAsia="en-GB"/>
            </w:rPr>
          </w:pPr>
          <w:r>
            <w:fldChar w:fldCharType="begin"/>
          </w:r>
          <w:r>
            <w:instrText xml:space="preserve"> HYPERLINK \l "_Toc233231406" </w:instrText>
          </w:r>
          <w:r>
            <w:fldChar w:fldCharType="separate"/>
          </w:r>
          <w:r>
            <w:rPr>
              <w:rStyle w:val="11"/>
              <w:rFonts w:cs="Arial"/>
            </w:rPr>
            <w:t>5.6 Monitoring and Evaluation</w:t>
          </w:r>
          <w:r>
            <w:tab/>
          </w:r>
          <w:r>
            <w:fldChar w:fldCharType="begin"/>
          </w:r>
          <w:r>
            <w:instrText xml:space="preserve"> PAGEREF _Toc233231406 \h </w:instrText>
          </w:r>
          <w:r>
            <w:fldChar w:fldCharType="separate"/>
          </w:r>
          <w:r>
            <w:t>20</w:t>
          </w:r>
          <w:r>
            <w:fldChar w:fldCharType="end"/>
          </w:r>
          <w:r>
            <w:fldChar w:fldCharType="end"/>
          </w:r>
        </w:p>
        <w:p w14:paraId="69F6079D">
          <w:pPr>
            <w:pStyle w:val="15"/>
            <w:tabs>
              <w:tab w:val="right" w:leader="dot" w:pos="9736"/>
            </w:tabs>
            <w:rPr>
              <w:rFonts w:eastAsiaTheme="minorEastAsia"/>
              <w:lang w:eastAsia="en-GB"/>
            </w:rPr>
          </w:pPr>
          <w:r>
            <w:fldChar w:fldCharType="begin"/>
          </w:r>
          <w:r>
            <w:instrText xml:space="preserve"> HYPERLINK \l "_Toc233231407" </w:instrText>
          </w:r>
          <w:r>
            <w:fldChar w:fldCharType="separate"/>
          </w:r>
          <w:r>
            <w:rPr>
              <w:rStyle w:val="11"/>
              <w:rFonts w:cs="Arial"/>
            </w:rPr>
            <w:t>6. Sustainable Stakeholder Engagement and Business Performance</w:t>
          </w:r>
          <w:r>
            <w:tab/>
          </w:r>
          <w:r>
            <w:fldChar w:fldCharType="begin"/>
          </w:r>
          <w:r>
            <w:instrText xml:space="preserve"> PAGEREF _Toc233231407 \h </w:instrText>
          </w:r>
          <w:r>
            <w:fldChar w:fldCharType="separate"/>
          </w:r>
          <w:r>
            <w:t>21</w:t>
          </w:r>
          <w:r>
            <w:fldChar w:fldCharType="end"/>
          </w:r>
          <w:r>
            <w:fldChar w:fldCharType="end"/>
          </w:r>
        </w:p>
        <w:p w14:paraId="1E8F13E3">
          <w:pPr>
            <w:pStyle w:val="16"/>
            <w:tabs>
              <w:tab w:val="right" w:leader="dot" w:pos="9736"/>
            </w:tabs>
            <w:rPr>
              <w:rFonts w:eastAsiaTheme="minorEastAsia"/>
              <w:lang w:eastAsia="en-GB"/>
            </w:rPr>
          </w:pPr>
          <w:r>
            <w:fldChar w:fldCharType="begin"/>
          </w:r>
          <w:r>
            <w:instrText xml:space="preserve"> HYPERLINK \l "_Toc233231408" </w:instrText>
          </w:r>
          <w:r>
            <w:fldChar w:fldCharType="separate"/>
          </w:r>
          <w:r>
            <w:rPr>
              <w:rStyle w:val="11"/>
              <w:rFonts w:cs="Arial"/>
            </w:rPr>
            <w:t>6.1 Importance of Sustainable Stakeholder Engagement</w:t>
          </w:r>
          <w:r>
            <w:tab/>
          </w:r>
          <w:r>
            <w:fldChar w:fldCharType="begin"/>
          </w:r>
          <w:r>
            <w:instrText xml:space="preserve"> PAGEREF _Toc233231408 \h </w:instrText>
          </w:r>
          <w:r>
            <w:fldChar w:fldCharType="separate"/>
          </w:r>
          <w:r>
            <w:t>21</w:t>
          </w:r>
          <w:r>
            <w:fldChar w:fldCharType="end"/>
          </w:r>
          <w:r>
            <w:fldChar w:fldCharType="end"/>
          </w:r>
        </w:p>
        <w:p w14:paraId="71FABCFC">
          <w:pPr>
            <w:pStyle w:val="16"/>
            <w:tabs>
              <w:tab w:val="right" w:leader="dot" w:pos="9736"/>
            </w:tabs>
            <w:rPr>
              <w:rFonts w:eastAsiaTheme="minorEastAsia"/>
              <w:lang w:eastAsia="en-GB"/>
            </w:rPr>
          </w:pPr>
          <w:r>
            <w:fldChar w:fldCharType="begin"/>
          </w:r>
          <w:r>
            <w:instrText xml:space="preserve"> HYPERLINK \l "_Toc233231409" </w:instrText>
          </w:r>
          <w:r>
            <w:fldChar w:fldCharType="separate"/>
          </w:r>
          <w:r>
            <w:rPr>
              <w:rStyle w:val="11"/>
              <w:rFonts w:cs="Arial"/>
            </w:rPr>
            <w:t>6.2 Impact on Business Performance</w:t>
          </w:r>
          <w:r>
            <w:tab/>
          </w:r>
          <w:r>
            <w:fldChar w:fldCharType="begin"/>
          </w:r>
          <w:r>
            <w:instrText xml:space="preserve"> PAGEREF _Toc233231409 \h </w:instrText>
          </w:r>
          <w:r>
            <w:fldChar w:fldCharType="separate"/>
          </w:r>
          <w:r>
            <w:t>21</w:t>
          </w:r>
          <w:r>
            <w:fldChar w:fldCharType="end"/>
          </w:r>
          <w:r>
            <w:fldChar w:fldCharType="end"/>
          </w:r>
        </w:p>
        <w:p w14:paraId="3B31015D">
          <w:pPr>
            <w:pStyle w:val="16"/>
            <w:tabs>
              <w:tab w:val="right" w:leader="dot" w:pos="9736"/>
            </w:tabs>
            <w:rPr>
              <w:rFonts w:eastAsiaTheme="minorEastAsia"/>
              <w:lang w:eastAsia="en-GB"/>
            </w:rPr>
          </w:pPr>
          <w:r>
            <w:fldChar w:fldCharType="begin"/>
          </w:r>
          <w:r>
            <w:instrText xml:space="preserve"> HYPERLINK \l "_Toc233231410" </w:instrText>
          </w:r>
          <w:r>
            <w:fldChar w:fldCharType="separate"/>
          </w:r>
          <w:r>
            <w:rPr>
              <w:rStyle w:val="11"/>
              <w:rFonts w:cs="Arial"/>
            </w:rPr>
            <w:t>6.3 Ethical and Governance Considerations</w:t>
          </w:r>
          <w:r>
            <w:tab/>
          </w:r>
          <w:r>
            <w:fldChar w:fldCharType="begin"/>
          </w:r>
          <w:r>
            <w:instrText xml:space="preserve"> PAGEREF _Toc233231410 \h </w:instrText>
          </w:r>
          <w:r>
            <w:fldChar w:fldCharType="separate"/>
          </w:r>
          <w:r>
            <w:t>22</w:t>
          </w:r>
          <w:r>
            <w:fldChar w:fldCharType="end"/>
          </w:r>
          <w:r>
            <w:fldChar w:fldCharType="end"/>
          </w:r>
        </w:p>
        <w:p w14:paraId="620E2353">
          <w:pPr>
            <w:pStyle w:val="15"/>
            <w:tabs>
              <w:tab w:val="right" w:leader="dot" w:pos="9736"/>
            </w:tabs>
            <w:rPr>
              <w:rFonts w:eastAsiaTheme="minorEastAsia"/>
              <w:lang w:eastAsia="en-GB"/>
            </w:rPr>
          </w:pPr>
          <w:r>
            <w:fldChar w:fldCharType="begin"/>
          </w:r>
          <w:r>
            <w:instrText xml:space="preserve"> HYPERLINK \l "_Toc233231411" </w:instrText>
          </w:r>
          <w:r>
            <w:fldChar w:fldCharType="separate"/>
          </w:r>
          <w:r>
            <w:rPr>
              <w:rStyle w:val="11"/>
              <w:rFonts w:cs="Arial"/>
            </w:rPr>
            <w:t>7. Recommendations and Conclusion</w:t>
          </w:r>
          <w:r>
            <w:tab/>
          </w:r>
          <w:r>
            <w:fldChar w:fldCharType="begin"/>
          </w:r>
          <w:r>
            <w:instrText xml:space="preserve"> PAGEREF _Toc233231411 \h </w:instrText>
          </w:r>
          <w:r>
            <w:fldChar w:fldCharType="separate"/>
          </w:r>
          <w:r>
            <w:t>22</w:t>
          </w:r>
          <w:r>
            <w:fldChar w:fldCharType="end"/>
          </w:r>
          <w:r>
            <w:fldChar w:fldCharType="end"/>
          </w:r>
        </w:p>
        <w:p w14:paraId="536E1F7C">
          <w:pPr>
            <w:pStyle w:val="16"/>
            <w:tabs>
              <w:tab w:val="right" w:leader="dot" w:pos="9736"/>
            </w:tabs>
            <w:rPr>
              <w:rFonts w:eastAsiaTheme="minorEastAsia"/>
              <w:lang w:eastAsia="en-GB"/>
            </w:rPr>
          </w:pPr>
          <w:r>
            <w:fldChar w:fldCharType="begin"/>
          </w:r>
          <w:r>
            <w:instrText xml:space="preserve"> HYPERLINK \l "_Toc233231412" </w:instrText>
          </w:r>
          <w:r>
            <w:fldChar w:fldCharType="separate"/>
          </w:r>
          <w:r>
            <w:rPr>
              <w:rStyle w:val="11"/>
              <w:rFonts w:cs="Arial"/>
            </w:rPr>
            <w:t>7.1 Recommendations</w:t>
          </w:r>
          <w:r>
            <w:tab/>
          </w:r>
          <w:r>
            <w:fldChar w:fldCharType="begin"/>
          </w:r>
          <w:r>
            <w:instrText xml:space="preserve"> PAGEREF _Toc233231412 \h </w:instrText>
          </w:r>
          <w:r>
            <w:fldChar w:fldCharType="separate"/>
          </w:r>
          <w:r>
            <w:t>22</w:t>
          </w:r>
          <w:r>
            <w:fldChar w:fldCharType="end"/>
          </w:r>
          <w:r>
            <w:fldChar w:fldCharType="end"/>
          </w:r>
        </w:p>
        <w:p w14:paraId="42BACD4F">
          <w:pPr>
            <w:pStyle w:val="16"/>
            <w:tabs>
              <w:tab w:val="right" w:leader="dot" w:pos="9736"/>
            </w:tabs>
            <w:rPr>
              <w:rFonts w:eastAsiaTheme="minorEastAsia"/>
              <w:lang w:eastAsia="en-GB"/>
            </w:rPr>
          </w:pPr>
          <w:r>
            <w:fldChar w:fldCharType="begin"/>
          </w:r>
          <w:r>
            <w:instrText xml:space="preserve"> HYPERLINK \l "_Toc233231413" </w:instrText>
          </w:r>
          <w:r>
            <w:fldChar w:fldCharType="separate"/>
          </w:r>
          <w:r>
            <w:rPr>
              <w:rStyle w:val="11"/>
              <w:rFonts w:cs="Arial"/>
            </w:rPr>
            <w:t>7.2 Conclusion</w:t>
          </w:r>
          <w:r>
            <w:tab/>
          </w:r>
          <w:r>
            <w:fldChar w:fldCharType="begin"/>
          </w:r>
          <w:r>
            <w:instrText xml:space="preserve"> PAGEREF _Toc233231413 \h </w:instrText>
          </w:r>
          <w:r>
            <w:fldChar w:fldCharType="separate"/>
          </w:r>
          <w:r>
            <w:t>23</w:t>
          </w:r>
          <w:r>
            <w:fldChar w:fldCharType="end"/>
          </w:r>
          <w:r>
            <w:fldChar w:fldCharType="end"/>
          </w:r>
        </w:p>
        <w:p w14:paraId="136333CE">
          <w:pPr>
            <w:pStyle w:val="15"/>
            <w:tabs>
              <w:tab w:val="right" w:leader="dot" w:pos="9736"/>
            </w:tabs>
            <w:rPr>
              <w:rFonts w:eastAsiaTheme="minorEastAsia"/>
              <w:lang w:eastAsia="en-GB"/>
            </w:rPr>
          </w:pPr>
          <w:r>
            <w:fldChar w:fldCharType="begin"/>
          </w:r>
          <w:r>
            <w:instrText xml:space="preserve"> HYPERLINK \l "_Toc233231414" </w:instrText>
          </w:r>
          <w:r>
            <w:fldChar w:fldCharType="separate"/>
          </w:r>
          <w:r>
            <w:rPr>
              <w:rStyle w:val="11"/>
              <w:rFonts w:cs="Arial"/>
            </w:rPr>
            <w:t>References</w:t>
          </w:r>
          <w:r>
            <w:tab/>
          </w:r>
          <w:r>
            <w:fldChar w:fldCharType="begin"/>
          </w:r>
          <w:r>
            <w:instrText xml:space="preserve"> PAGEREF _Toc233231414 \h </w:instrText>
          </w:r>
          <w:r>
            <w:fldChar w:fldCharType="separate"/>
          </w:r>
          <w:r>
            <w:t>24</w:t>
          </w:r>
          <w:r>
            <w:fldChar w:fldCharType="end"/>
          </w:r>
          <w:r>
            <w:fldChar w:fldCharType="end"/>
          </w:r>
        </w:p>
        <w:p w14:paraId="5FC73316">
          <w:r>
            <w:rPr>
              <w:b/>
              <w:bCs/>
            </w:rPr>
            <w:fldChar w:fldCharType="end"/>
          </w:r>
        </w:p>
      </w:sdtContent>
    </w:sdt>
    <w:p w14:paraId="77FFB73E">
      <w:pPr>
        <w:rPr>
          <w:rFonts w:ascii="Arial" w:hAnsi="Arial" w:eastAsia="Times New Roman" w:cs="Arial"/>
          <w:sz w:val="24"/>
          <w:szCs w:val="24"/>
          <w:lang w:eastAsia="en-GB"/>
        </w:rPr>
      </w:pPr>
      <w:r>
        <w:rPr>
          <w:rFonts w:ascii="Arial" w:hAnsi="Arial" w:cs="Arial"/>
        </w:rPr>
        <w:br w:type="page"/>
      </w:r>
    </w:p>
    <w:p w14:paraId="2825C714">
      <w:pPr>
        <w:pStyle w:val="2"/>
        <w:spacing w:line="360" w:lineRule="auto"/>
        <w:jc w:val="both"/>
        <w:rPr>
          <w:sz w:val="24"/>
          <w:szCs w:val="24"/>
        </w:rPr>
      </w:pPr>
      <w:bookmarkStart w:id="1" w:name="_Toc233231387"/>
      <w:r>
        <w:t>1. Introduction</w:t>
      </w:r>
      <w:bookmarkEnd w:id="1"/>
    </w:p>
    <w:p w14:paraId="4C52FFFD">
      <w:pPr>
        <w:pStyle w:val="12"/>
        <w:spacing w:line="360" w:lineRule="auto"/>
        <w:jc w:val="both"/>
        <w:rPr>
          <w:rFonts w:ascii="Arial" w:hAnsi="Arial" w:cs="Arial"/>
        </w:rPr>
      </w:pPr>
      <w:r>
        <w:rPr>
          <w:rFonts w:ascii="Arial" w:hAnsi="Arial" w:cs="Arial"/>
        </w:rPr>
        <w:t>ASOS plc is among the leading online fashion UK retailers. The organisation sells a variety of products, including accessories, clothing, footwear, and beauty products, to customers in several countries globally. Because the competition in the retail sector is rapidly increasing, the customer changes their expectations simultaneously. ASOS has started planning a new digital customer loyalty and engagement platform – ConnectPlus.</w:t>
      </w:r>
    </w:p>
    <w:p w14:paraId="27336FD1">
      <w:pPr>
        <w:pStyle w:val="12"/>
        <w:spacing w:line="360" w:lineRule="auto"/>
        <w:jc w:val="both"/>
        <w:rPr>
          <w:rFonts w:ascii="Arial" w:hAnsi="Arial" w:cs="Arial"/>
        </w:rPr>
      </w:pPr>
      <w:r>
        <w:rPr>
          <w:rFonts w:ascii="Arial" w:hAnsi="Arial" w:cs="Arial"/>
        </w:rPr>
        <w:t>ConnectPlus is created to provide better customer experience using different instruments like artificial intelligence (AI), customised product recommendations, mobile-orientated rewards, and customer insight tools. In addition, the aim of this platform is to improve customer retention, enhance customer loyalty, and help the company make informed business decisions. The project is estimated to be introduced for specific local and international markets in the following six months.</w:t>
      </w:r>
    </w:p>
    <w:p w14:paraId="7B5575C5">
      <w:pPr>
        <w:pStyle w:val="12"/>
        <w:spacing w:line="360" w:lineRule="auto"/>
        <w:jc w:val="both"/>
        <w:rPr>
          <w:rFonts w:ascii="Arial" w:hAnsi="Arial" w:cs="Arial"/>
        </w:rPr>
      </w:pPr>
      <w:r>
        <w:rPr>
          <w:rFonts w:ascii="Arial" w:hAnsi="Arial" w:cs="Arial"/>
        </w:rPr>
        <w:t>The successful implementation of ConnectPlus relies on engagement of stakeholders and efficient management. Moreover, Freeman (1984) stated that stakeholders can be groups or individuals that can be affected or influence the activities of a company. So, in the successful completion of a project, stakeholders are major drivers because of the resources, knowledge, support, and feedback they ensure. However, they can cause problems when their interests are not satisfied by the project management.</w:t>
      </w:r>
    </w:p>
    <w:p w14:paraId="18940666">
      <w:pPr>
        <w:pStyle w:val="12"/>
        <w:spacing w:line="360" w:lineRule="auto"/>
        <w:jc w:val="both"/>
        <w:rPr>
          <w:rFonts w:ascii="Arial" w:hAnsi="Arial" w:cs="Arial"/>
        </w:rPr>
      </w:pPr>
      <w:r>
        <w:rPr>
          <w:rFonts w:ascii="Arial" w:hAnsi="Arial" w:cs="Arial"/>
        </w:rPr>
        <w:t>According to Kujala et al. (2022), stakeholder engagement is related to all processes and initiatives that companies use in creating relationships with stakeholders and involves them in decision-making of a project. When management applies effective stakeholder engagement, companies can understand stakeholder demands, improve the level of communication, decrease conflicts, and generate long-term value. Therefore, in modern business settings, stakeholder engagement has been a key part of the organisational operations due to the high complexities in the global markets flooded with different stakeholder groups.</w:t>
      </w:r>
    </w:p>
    <w:p w14:paraId="01C6260A">
      <w:pPr>
        <w:pStyle w:val="12"/>
        <w:spacing w:line="360" w:lineRule="auto"/>
        <w:jc w:val="both"/>
        <w:rPr>
          <w:rFonts w:ascii="Arial" w:hAnsi="Arial" w:cs="Arial"/>
        </w:rPr>
      </w:pPr>
      <w:r>
        <w:rPr>
          <w:rFonts w:ascii="Arial" w:hAnsi="Arial" w:cs="Arial"/>
        </w:rPr>
        <w:t>The report defines the role of stakeholder engagement in the successful creation and implementation of ConnectPlus at ASOS. In addition, it analyses main stakeholders, examines their impacts and interests, assesses proper engagement approaches, and provides the benefits, problems, and ethical concerns related to the stakeholder engagement. Lastly, the report suggests several recommendations in order to ensure that the project delivery will be on time and will guarantee long-term business performance for ASOS, please.</w:t>
      </w:r>
    </w:p>
    <w:p w14:paraId="29ADFCD7">
      <w:pPr>
        <w:pStyle w:val="12"/>
        <w:spacing w:line="360" w:lineRule="auto"/>
        <w:rPr>
          <w:rFonts w:ascii="Arial" w:hAnsi="Arial" w:cs="Arial"/>
          <w:b/>
        </w:rPr>
      </w:pPr>
      <w:r>
        <w:rPr>
          <w:rFonts w:ascii="Arial" w:hAnsi="Arial" w:cs="Arial"/>
          <w:b/>
        </w:rPr>
        <w:t>Figure 1. Overview of ConnectPlus Platform</w:t>
      </w:r>
    </w:p>
    <w:p w14:paraId="12C98839">
      <w:pPr>
        <w:pStyle w:val="12"/>
        <w:spacing w:line="360" w:lineRule="auto"/>
        <w:jc w:val="center"/>
        <w:rPr>
          <w:rFonts w:ascii="Arial" w:hAnsi="Arial" w:cs="Arial"/>
        </w:rPr>
      </w:pPr>
      <w:r>
        <w:rPr>
          <w:rFonts w:ascii="Arial" w:hAnsi="Arial" w:cs="Arial"/>
        </w:rPr>
        <w:drawing>
          <wp:inline distT="0" distB="0" distL="0" distR="0">
            <wp:extent cx="5092700" cy="2311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092962" cy="2311519"/>
                    </a:xfrm>
                    <a:prstGeom prst="rect">
                      <a:avLst/>
                    </a:prstGeom>
                  </pic:spPr>
                </pic:pic>
              </a:graphicData>
            </a:graphic>
          </wp:inline>
        </w:drawing>
      </w:r>
    </w:p>
    <w:p w14:paraId="587B9B18">
      <w:pPr>
        <w:pStyle w:val="2"/>
        <w:spacing w:line="360" w:lineRule="auto"/>
        <w:rPr>
          <w:rFonts w:cs="Arial"/>
        </w:rPr>
      </w:pPr>
      <w:bookmarkStart w:id="2" w:name="_Toc233231388"/>
      <w:r>
        <w:rPr>
          <w:rFonts w:cs="Arial"/>
        </w:rPr>
        <w:t>2. SMART Objectives</w:t>
      </w:r>
      <w:bookmarkEnd w:id="2"/>
    </w:p>
    <w:p w14:paraId="18F9BDE4">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The aim of the project ConnectPlus is to improve customer involvement and loyalty at ASOS. This would be achieved by creating a digital platform that includes AI recommendations, mobile rewards, and customer insights. In order to ensure successful implementation of the project, the following SMART objectives have been created:</w:t>
      </w:r>
    </w:p>
    <w:p w14:paraId="3FF682F5">
      <w:pPr>
        <w:pStyle w:val="18"/>
        <w:numPr>
          <w:ilvl w:val="0"/>
          <w:numId w:val="1"/>
        </w:numPr>
        <w:spacing w:line="360" w:lineRule="auto"/>
        <w:jc w:val="both"/>
        <w:rPr>
          <w:rFonts w:ascii="Arial" w:hAnsi="Arial" w:cs="Arial"/>
          <w:b/>
          <w:bCs/>
          <w:sz w:val="24"/>
          <w:szCs w:val="24"/>
          <w:lang w:eastAsia="en-GB"/>
        </w:rPr>
      </w:pPr>
      <w:r>
        <w:rPr>
          <w:rFonts w:ascii="Arial" w:hAnsi="Arial" w:cs="Arial"/>
          <w:sz w:val="24"/>
          <w:szCs w:val="24"/>
          <w:lang w:eastAsia="en-GB"/>
        </w:rPr>
        <w:t>To identify and classify all major internal and external stakeholders included in the ConnectPlus project at the beginning of the project planning</w:t>
      </w:r>
    </w:p>
    <w:p w14:paraId="6F0AD482">
      <w:pPr>
        <w:pStyle w:val="18"/>
        <w:numPr>
          <w:ilvl w:val="0"/>
          <w:numId w:val="1"/>
        </w:numPr>
        <w:spacing w:before="100" w:beforeAutospacing="1" w:after="100" w:afterAutospacing="1" w:line="360" w:lineRule="auto"/>
        <w:jc w:val="both"/>
        <w:rPr>
          <w:rFonts w:ascii="Arial" w:hAnsi="Arial" w:eastAsia="Times New Roman" w:cs="Arial"/>
          <w:b/>
          <w:bCs/>
          <w:sz w:val="24"/>
          <w:szCs w:val="24"/>
          <w:lang w:eastAsia="en-GB"/>
        </w:rPr>
      </w:pPr>
      <w:r>
        <w:rPr>
          <w:rFonts w:ascii="Arial" w:hAnsi="Arial" w:eastAsia="Times New Roman" w:cs="Arial"/>
          <w:sz w:val="24"/>
          <w:szCs w:val="24"/>
          <w:lang w:eastAsia="en-GB"/>
        </w:rPr>
        <w:t>To create and apply a stakeholder communication and involvement plan before transforming to the testing stage of the platform.</w:t>
      </w:r>
    </w:p>
    <w:p w14:paraId="0D876176">
      <w:pPr>
        <w:pStyle w:val="18"/>
        <w:numPr>
          <w:ilvl w:val="0"/>
          <w:numId w:val="1"/>
        </w:numPr>
        <w:spacing w:before="100" w:beforeAutospacing="1" w:after="100" w:afterAutospacing="1" w:line="360" w:lineRule="auto"/>
        <w:jc w:val="both"/>
        <w:rPr>
          <w:rFonts w:ascii="Arial" w:hAnsi="Arial" w:eastAsia="Times New Roman" w:cs="Arial"/>
          <w:b/>
          <w:bCs/>
          <w:sz w:val="24"/>
          <w:szCs w:val="24"/>
          <w:lang w:eastAsia="en-GB"/>
        </w:rPr>
      </w:pPr>
      <w:r>
        <w:rPr>
          <w:rFonts w:ascii="Arial" w:hAnsi="Arial" w:eastAsia="Times New Roman" w:cs="Arial"/>
          <w:sz w:val="24"/>
          <w:szCs w:val="24"/>
          <w:lang w:eastAsia="en-GB"/>
        </w:rPr>
        <w:t>To achieve a minimum of 80% participation from major stakeholder groups in the consultation and feedback initiatives during the project.</w:t>
      </w:r>
    </w:p>
    <w:p w14:paraId="1DB2A471">
      <w:pPr>
        <w:pStyle w:val="18"/>
        <w:numPr>
          <w:ilvl w:val="0"/>
          <w:numId w:val="1"/>
        </w:numPr>
        <w:spacing w:before="100" w:beforeAutospacing="1" w:after="100" w:afterAutospacing="1" w:line="360" w:lineRule="auto"/>
        <w:jc w:val="both"/>
        <w:rPr>
          <w:rFonts w:ascii="Arial" w:hAnsi="Arial" w:eastAsia="Times New Roman" w:cs="Arial"/>
          <w:b/>
          <w:bCs/>
          <w:sz w:val="24"/>
          <w:szCs w:val="24"/>
          <w:lang w:eastAsia="en-GB"/>
        </w:rPr>
      </w:pPr>
      <w:r>
        <w:rPr>
          <w:rFonts w:ascii="Arial" w:hAnsi="Arial" w:eastAsia="Times New Roman" w:cs="Arial"/>
          <w:sz w:val="24"/>
          <w:szCs w:val="24"/>
          <w:lang w:eastAsia="en-GB"/>
        </w:rPr>
        <w:t>To raise customer retention by 15% in the first year of the ConnectPlus launch by customised rewards and engagement features.</w:t>
      </w:r>
    </w:p>
    <w:p w14:paraId="695B3BD8">
      <w:pPr>
        <w:spacing w:before="100" w:beforeAutospacing="1" w:after="100" w:afterAutospacing="1" w:line="360" w:lineRule="auto"/>
        <w:jc w:val="both"/>
        <w:rPr>
          <w:rFonts w:ascii="Arial" w:hAnsi="Arial" w:eastAsia="Times New Roman" w:cs="Arial"/>
          <w:b/>
          <w:bCs/>
          <w:sz w:val="24"/>
          <w:szCs w:val="24"/>
          <w:lang w:eastAsia="en-GB"/>
        </w:rPr>
      </w:pPr>
    </w:p>
    <w:p w14:paraId="6C13C188">
      <w:pPr>
        <w:pStyle w:val="2"/>
        <w:spacing w:line="360" w:lineRule="auto"/>
        <w:rPr>
          <w:rFonts w:cs="Arial"/>
        </w:rPr>
      </w:pPr>
      <w:bookmarkStart w:id="3" w:name="_Toc233231389"/>
      <w:r>
        <w:rPr>
          <w:rFonts w:cs="Arial"/>
        </w:rPr>
        <w:t>3. Identification and Categorisation of Key Stakeholders</w:t>
      </w:r>
      <w:bookmarkEnd w:id="3"/>
    </w:p>
    <w:p w14:paraId="4CF4661B">
      <w:pPr>
        <w:pStyle w:val="3"/>
        <w:spacing w:line="360" w:lineRule="auto"/>
        <w:jc w:val="both"/>
        <w:rPr>
          <w:rFonts w:cs="Arial"/>
        </w:rPr>
      </w:pPr>
      <w:bookmarkStart w:id="4" w:name="_Toc233231390"/>
      <w:r>
        <w:rPr>
          <w:rFonts w:cs="Arial"/>
        </w:rPr>
        <w:t>3.1 Importance of Stakeholder Identification</w:t>
      </w:r>
      <w:bookmarkEnd w:id="4"/>
    </w:p>
    <w:p w14:paraId="56FE02A2">
      <w:pPr>
        <w:pStyle w:val="12"/>
        <w:spacing w:line="360" w:lineRule="auto"/>
        <w:jc w:val="both"/>
        <w:rPr>
          <w:rFonts w:ascii="Arial" w:hAnsi="Arial" w:cs="Arial"/>
        </w:rPr>
      </w:pPr>
      <w:r>
        <w:rPr>
          <w:rFonts w:ascii="Arial" w:hAnsi="Arial" w:cs="Arial"/>
        </w:rPr>
        <w:t>The good implementation of the project ConnectPlus relies on proper identification and well-implemented management of stakeholders. According to Freeman (1984), stakeholders are groups or individuals that can be influenced or be affected by a company's activities. Therefore, identification of stakeholders is crucial in such process because businesses can easily understand stakeholder demands, avoid probable risks, and guarantee better project outcomes (Bourne, 2016). In the case of ASOS, stakeholders can affect the launch, creation, and long-term success of the ConnectPlus platform within the business.</w:t>
      </w:r>
    </w:p>
    <w:p w14:paraId="69B7DF1C">
      <w:pPr>
        <w:pStyle w:val="12"/>
        <w:spacing w:line="360" w:lineRule="auto"/>
        <w:jc w:val="both"/>
        <w:rPr>
          <w:rFonts w:ascii="Arial" w:hAnsi="Arial" w:cs="Arial"/>
        </w:rPr>
      </w:pPr>
      <w:r>
        <w:rPr>
          <w:rFonts w:ascii="Arial" w:hAnsi="Arial" w:cs="Arial"/>
        </w:rPr>
        <w:t>Contemporary organisations perform their businesses in highly competitive environments. In such settings, stakeholders’ expectations always increase. Latest studies indicate that companies, engaging shareholder efficiently in major decision-making processes would achieve sustainable performance, innovative success, and customer satisfaction (Kujala et al., 2022). So, ASOS should recognise internal and external stakeholders properly before launching ConnectPlus.</w:t>
      </w:r>
    </w:p>
    <w:p w14:paraId="4DF72258">
      <w:pPr>
        <w:pStyle w:val="3"/>
        <w:spacing w:line="360" w:lineRule="auto"/>
        <w:jc w:val="both"/>
        <w:rPr>
          <w:rFonts w:cs="Arial"/>
        </w:rPr>
      </w:pPr>
      <w:bookmarkStart w:id="5" w:name="_Toc233231391"/>
      <w:r>
        <w:rPr>
          <w:rFonts w:cs="Arial"/>
        </w:rPr>
        <w:t>3.2 Internal Stakeholders</w:t>
      </w:r>
      <w:bookmarkEnd w:id="5"/>
    </w:p>
    <w:p w14:paraId="1CED5666">
      <w:pPr>
        <w:pStyle w:val="12"/>
        <w:spacing w:line="360" w:lineRule="auto"/>
        <w:jc w:val="both"/>
        <w:rPr>
          <w:rFonts w:ascii="Arial" w:hAnsi="Arial" w:cs="Arial"/>
        </w:rPr>
      </w:pPr>
      <w:r>
        <w:rPr>
          <w:rFonts w:ascii="Arial" w:hAnsi="Arial" w:cs="Arial"/>
        </w:rPr>
        <w:t>Internal stakeholders are considered a group and individuals in ASOS who are direct contributors to the project provision. Senior management and the Board of Directors are key shareholders due to their strategic direction, approval of project finances and investment, and supervision of the project's performance. The resource dependence theory indicates that senior decision-makers improve organisational resources, decrease uncertainty, and enhance overall results (Pfeffer and Salancik, 1978).</w:t>
      </w:r>
    </w:p>
    <w:p w14:paraId="58184505">
      <w:pPr>
        <w:pStyle w:val="12"/>
        <w:spacing w:line="360" w:lineRule="auto"/>
        <w:jc w:val="both"/>
        <w:rPr>
          <w:rFonts w:ascii="Arial" w:hAnsi="Arial" w:cs="Arial"/>
        </w:rPr>
      </w:pPr>
      <w:r>
        <w:rPr>
          <w:rFonts w:ascii="Arial" w:hAnsi="Arial" w:cs="Arial"/>
        </w:rPr>
        <w:t>In addition, the project manager is accountable for the coordination of project activities, dealing with stakeholder relationships, and guaranteeing that all project objectives are fulfilled. Moreover, in such a project, the IT department is a key element due to the AI development, creation of customer databases, and implementation of the mobile reward systems, supporting ConnectPlus.</w:t>
      </w:r>
    </w:p>
    <w:p w14:paraId="361CB2F9">
      <w:pPr>
        <w:pStyle w:val="12"/>
        <w:spacing w:line="360" w:lineRule="auto"/>
        <w:jc w:val="both"/>
        <w:rPr>
          <w:rFonts w:ascii="Arial" w:hAnsi="Arial" w:cs="Arial"/>
        </w:rPr>
      </w:pPr>
      <w:r>
        <w:rPr>
          <w:rFonts w:ascii="Arial" w:hAnsi="Arial" w:cs="Arial"/>
        </w:rPr>
        <w:t>The promotion of the platform and motivation of customer adoption is provided by the marketing department. Customer service staff can also improve customer feedback in order to enhance the general performance of the platform. Also, the finance department manages the budgeting for the project. The Data Protection Officer guarantees that the project is compliant with the GDPR and customer privacy requirements.</w:t>
      </w:r>
    </w:p>
    <w:p w14:paraId="060AD25A">
      <w:pPr>
        <w:pStyle w:val="3"/>
        <w:spacing w:line="360" w:lineRule="auto"/>
        <w:jc w:val="both"/>
        <w:rPr>
          <w:rFonts w:cs="Arial"/>
        </w:rPr>
      </w:pPr>
      <w:bookmarkStart w:id="6" w:name="_Toc233231392"/>
      <w:r>
        <w:rPr>
          <w:rFonts w:cs="Arial"/>
        </w:rPr>
        <w:t>3.3 External Stakeholders</w:t>
      </w:r>
      <w:bookmarkEnd w:id="6"/>
    </w:p>
    <w:p w14:paraId="68347CA4">
      <w:pPr>
        <w:pStyle w:val="12"/>
        <w:spacing w:line="360" w:lineRule="auto"/>
        <w:jc w:val="both"/>
        <w:rPr>
          <w:rFonts w:ascii="Arial" w:hAnsi="Arial" w:cs="Arial"/>
        </w:rPr>
      </w:pPr>
      <w:r>
        <w:rPr>
          <w:rFonts w:ascii="Arial" w:hAnsi="Arial" w:cs="Arial"/>
        </w:rPr>
        <w:t>All parties that operate outside of the organisation are called external stakeholders. However, they can still impact the success of the project. In addition, customers are considered the most crucial external stakeholder due to their primary usage of the certain service, in this case ConnectPlus. Furthermore, their willingness to use and adopt the platform might influence customer retention and business performance.</w:t>
      </w:r>
    </w:p>
    <w:p w14:paraId="409E9764">
      <w:pPr>
        <w:pStyle w:val="12"/>
        <w:spacing w:line="360" w:lineRule="auto"/>
        <w:jc w:val="both"/>
        <w:rPr>
          <w:rFonts w:ascii="Arial" w:hAnsi="Arial" w:cs="Arial"/>
        </w:rPr>
      </w:pPr>
      <w:r>
        <w:rPr>
          <w:rFonts w:ascii="Arial" w:hAnsi="Arial" w:cs="Arial"/>
        </w:rPr>
        <w:t>The financial returns of a project and expectation of long-term development are considered by the shareholders. Technology providers offer different systems like AI solutions, cloud infrastructure, and software, which are highly required for the operation of the platform. Brand collaborations and suppliers also help the company improve the overall customer experience through product availability and higher quality of service.</w:t>
      </w:r>
    </w:p>
    <w:p w14:paraId="1F229BD1">
      <w:pPr>
        <w:pStyle w:val="12"/>
        <w:spacing w:line="360" w:lineRule="auto"/>
        <w:jc w:val="both"/>
        <w:rPr>
          <w:rFonts w:ascii="Arial" w:hAnsi="Arial" w:cs="Arial"/>
        </w:rPr>
      </w:pPr>
      <w:r>
        <w:rPr>
          <w:rFonts w:ascii="Arial" w:hAnsi="Arial" w:cs="Arial"/>
        </w:rPr>
        <w:t>Regulatory parties are also considered other crucial stakeholders. For example, organisations like the Information Commissioner's Office (ICO) guarantee ASOS is in compliance with all legal requirements regarding data protection and digital services. Moreover, local communities and broader society affect corporate reputation and assumptions of the ethical business behaviour of ASOS.</w:t>
      </w:r>
    </w:p>
    <w:p w14:paraId="0DC05527">
      <w:pPr>
        <w:pStyle w:val="12"/>
        <w:spacing w:line="360" w:lineRule="auto"/>
        <w:jc w:val="both"/>
        <w:rPr>
          <w:rFonts w:ascii="Arial" w:hAnsi="Arial" w:cs="Arial"/>
        </w:rPr>
      </w:pPr>
    </w:p>
    <w:p w14:paraId="268F83CC">
      <w:pPr>
        <w:pStyle w:val="12"/>
        <w:spacing w:line="360" w:lineRule="auto"/>
        <w:jc w:val="both"/>
        <w:rPr>
          <w:rFonts w:ascii="Arial" w:hAnsi="Arial" w:cs="Arial"/>
        </w:rPr>
      </w:pPr>
    </w:p>
    <w:p w14:paraId="6ABFFFA6">
      <w:pPr>
        <w:pStyle w:val="12"/>
        <w:spacing w:line="360" w:lineRule="auto"/>
        <w:jc w:val="both"/>
        <w:rPr>
          <w:rFonts w:ascii="Arial" w:hAnsi="Arial" w:cs="Arial"/>
        </w:rPr>
      </w:pPr>
    </w:p>
    <w:p w14:paraId="62BF7BA3">
      <w:pPr>
        <w:pStyle w:val="12"/>
        <w:spacing w:line="360" w:lineRule="auto"/>
        <w:jc w:val="both"/>
        <w:rPr>
          <w:rFonts w:ascii="Arial" w:hAnsi="Arial" w:cs="Arial"/>
        </w:rPr>
      </w:pPr>
    </w:p>
    <w:p w14:paraId="66F7117A">
      <w:pPr>
        <w:pStyle w:val="12"/>
        <w:spacing w:line="360" w:lineRule="auto"/>
        <w:jc w:val="both"/>
        <w:rPr>
          <w:rFonts w:ascii="Arial" w:hAnsi="Arial" w:cs="Arial"/>
          <w:b/>
        </w:rPr>
      </w:pPr>
      <w:r>
        <w:rPr>
          <w:rFonts w:ascii="Arial" w:hAnsi="Arial" w:cs="Arial"/>
          <w:b/>
        </w:rPr>
        <w:t>Figure 2. Stakeholder Ecosystem Map for the ConnectPlus Project</w:t>
      </w:r>
    </w:p>
    <w:p w14:paraId="2F66596D">
      <w:pPr>
        <w:pStyle w:val="12"/>
        <w:spacing w:line="360" w:lineRule="auto"/>
        <w:jc w:val="both"/>
        <w:rPr>
          <w:rFonts w:ascii="Arial" w:hAnsi="Arial" w:cs="Arial"/>
        </w:rPr>
      </w:pPr>
      <w:r>
        <w:rPr>
          <w:rFonts w:ascii="Arial" w:hAnsi="Arial" w:cs="Arial"/>
        </w:rPr>
        <w:drawing>
          <wp:inline distT="0" distB="0" distL="0" distR="0">
            <wp:extent cx="5969000" cy="4425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5969307" cy="4426177"/>
                    </a:xfrm>
                    <a:prstGeom prst="rect">
                      <a:avLst/>
                    </a:prstGeom>
                  </pic:spPr>
                </pic:pic>
              </a:graphicData>
            </a:graphic>
          </wp:inline>
        </w:drawing>
      </w:r>
    </w:p>
    <w:p w14:paraId="048177DA">
      <w:pPr>
        <w:pStyle w:val="12"/>
        <w:spacing w:line="360" w:lineRule="auto"/>
        <w:jc w:val="both"/>
        <w:rPr>
          <w:rFonts w:ascii="Arial" w:hAnsi="Arial" w:cs="Arial"/>
        </w:rPr>
      </w:pPr>
    </w:p>
    <w:p w14:paraId="75DFA415">
      <w:pPr>
        <w:pStyle w:val="3"/>
        <w:spacing w:line="360" w:lineRule="auto"/>
        <w:jc w:val="both"/>
        <w:rPr>
          <w:rFonts w:cs="Arial"/>
        </w:rPr>
      </w:pPr>
      <w:bookmarkStart w:id="7" w:name="_Toc233231393"/>
      <w:r>
        <w:rPr>
          <w:rFonts w:cs="Arial"/>
        </w:rPr>
        <w:t>3.4 Stakeholder Categorisation Using Mendelow's Matrix</w:t>
      </w:r>
      <w:bookmarkEnd w:id="7"/>
    </w:p>
    <w:p w14:paraId="1FA6BB2F">
      <w:pPr>
        <w:pStyle w:val="12"/>
        <w:spacing w:line="360" w:lineRule="auto"/>
        <w:jc w:val="both"/>
        <w:rPr>
          <w:rFonts w:ascii="Arial" w:hAnsi="Arial" w:cs="Arial"/>
        </w:rPr>
      </w:pPr>
      <w:r>
        <w:rPr>
          <w:rFonts w:ascii="Arial" w:hAnsi="Arial" w:cs="Arial"/>
        </w:rPr>
        <w:t>In addition, Mendelow's Power-Interest Matrix is a very practical tool for making stakeholder analysis. It helps companies focus on prioritising important engagement activities regarding stakeholder impact and interests (Mendelow, 1991). This approach was introduced in the stakeholder management literature and is still broadly applied in modern project management.</w:t>
      </w:r>
    </w:p>
    <w:p w14:paraId="5A67AFCC">
      <w:pPr>
        <w:pStyle w:val="12"/>
        <w:spacing w:line="360" w:lineRule="auto"/>
        <w:jc w:val="both"/>
        <w:rPr>
          <w:rFonts w:ascii="Arial" w:hAnsi="Arial" w:cs="Arial"/>
        </w:rPr>
      </w:pPr>
      <w:r>
        <w:rPr>
          <w:rFonts w:ascii="Arial" w:hAnsi="Arial" w:cs="Arial"/>
        </w:rPr>
        <w:t>Senior management, the Board of Directors, and key shareholders can be sorted as high-power and high-interest stakeholders (Bourne, 2016; Eskerod and Jepsen, 2016). In addition, these shareholders must be managed responsively due to their overall impact on the project and strong decision-making. However, technological partners and regulatory parties have power, but their direct interest, considered low, must be fulfilled.</w:t>
      </w:r>
    </w:p>
    <w:p w14:paraId="56D00803">
      <w:pPr>
        <w:pStyle w:val="12"/>
        <w:spacing w:line="360" w:lineRule="auto"/>
        <w:jc w:val="both"/>
        <w:rPr>
          <w:rFonts w:ascii="Arial" w:hAnsi="Arial" w:cs="Arial"/>
        </w:rPr>
      </w:pPr>
      <w:r>
        <w:rPr>
          <w:rFonts w:ascii="Arial" w:hAnsi="Arial" w:cs="Arial"/>
        </w:rPr>
        <w:t>Staff and customers often show higher interest but do not possess formal distinguished power over the projects. Despite their limited control of strategic decisions, platform adoption and long-term success are dependent on their support. Thus, customers and employees must be provided with proper information and consultation during the project lifecycle (Bourne, 2010; Kujala et al., 2022).</w:t>
      </w:r>
    </w:p>
    <w:p w14:paraId="05D0524E">
      <w:pPr>
        <w:pStyle w:val="12"/>
        <w:spacing w:line="360" w:lineRule="auto"/>
        <w:rPr>
          <w:rFonts w:ascii="Arial" w:hAnsi="Arial" w:cs="Arial"/>
          <w:b/>
        </w:rPr>
      </w:pPr>
      <w:r>
        <w:rPr>
          <w:rFonts w:ascii="Arial" w:hAnsi="Arial" w:cs="Arial"/>
          <w:b/>
        </w:rPr>
        <w:t>Figure 3. Mendelow Power–Interest Matrix for ConnectPlus Stakeholders.</w:t>
      </w:r>
    </w:p>
    <w:p w14:paraId="23F22D70">
      <w:pPr>
        <w:pStyle w:val="12"/>
        <w:spacing w:line="360" w:lineRule="auto"/>
        <w:rPr>
          <w:rFonts w:ascii="Arial" w:hAnsi="Arial" w:cs="Arial"/>
          <w:b/>
        </w:rPr>
      </w:pPr>
      <w:r>
        <w:rPr>
          <w:rFonts w:ascii="Arial" w:hAnsi="Arial" w:cs="Arial"/>
        </w:rPr>
        <w:drawing>
          <wp:inline distT="0" distB="0" distL="0" distR="0">
            <wp:extent cx="5626100" cy="402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626389" cy="4026107"/>
                    </a:xfrm>
                    <a:prstGeom prst="rect">
                      <a:avLst/>
                    </a:prstGeom>
                  </pic:spPr>
                </pic:pic>
              </a:graphicData>
            </a:graphic>
          </wp:inline>
        </w:drawing>
      </w:r>
      <w:r>
        <w:rPr>
          <w:rFonts w:ascii="Arial" w:hAnsi="Arial" w:cs="Arial"/>
        </w:rPr>
        <w:t xml:space="preserve"> </w:t>
      </w:r>
    </w:p>
    <w:p w14:paraId="1CC5F6E2">
      <w:pPr>
        <w:pStyle w:val="3"/>
        <w:spacing w:line="360" w:lineRule="auto"/>
        <w:jc w:val="both"/>
        <w:rPr>
          <w:rFonts w:cs="Arial"/>
        </w:rPr>
      </w:pPr>
      <w:bookmarkStart w:id="8" w:name="_Toc233231394"/>
      <w:r>
        <w:rPr>
          <w:rFonts w:cs="Arial"/>
        </w:rPr>
        <w:t>3.5 Stakeholder Categorisation Using the Salience Model</w:t>
      </w:r>
      <w:bookmarkEnd w:id="8"/>
    </w:p>
    <w:p w14:paraId="719D03BB">
      <w:pPr>
        <w:pStyle w:val="12"/>
        <w:spacing w:line="360" w:lineRule="auto"/>
        <w:jc w:val="both"/>
        <w:rPr>
          <w:rFonts w:ascii="Arial" w:hAnsi="Arial" w:cs="Arial"/>
        </w:rPr>
      </w:pPr>
      <w:r>
        <w:rPr>
          <w:rFonts w:ascii="Arial" w:hAnsi="Arial" w:cs="Arial"/>
        </w:rPr>
        <w:t>According to the Salience Model by Mitchell, Agle and Wood (1997), stakeholders are classified according to their legitimacy, urgency, and power. Such an approach helps management indicate which stakeholders should be the most satisfied.</w:t>
      </w:r>
    </w:p>
    <w:p w14:paraId="2FA50FA6">
      <w:pPr>
        <w:pStyle w:val="12"/>
        <w:spacing w:line="360" w:lineRule="auto"/>
        <w:jc w:val="both"/>
        <w:rPr>
          <w:rFonts w:ascii="Arial" w:hAnsi="Arial" w:cs="Arial"/>
        </w:rPr>
      </w:pPr>
      <w:r>
        <w:rPr>
          <w:rFonts w:ascii="Arial" w:hAnsi="Arial" w:cs="Arial"/>
        </w:rPr>
        <w:t>The Board of Directors and senior management are definite stakeholders in the ConnectPlus project. Moreover, they possess power, urgency, and legitimacy due to their permissions and jurisdictions. However, customers are dependent stakeholders, as they contribute with urgent demand and legitimacy, while still not owning enough legitimacy. Still, customer behaviour can impact different project outcomes – positive or negative.</w:t>
      </w:r>
    </w:p>
    <w:p w14:paraId="6A5630BD">
      <w:pPr>
        <w:pStyle w:val="12"/>
        <w:spacing w:line="360" w:lineRule="auto"/>
        <w:jc w:val="both"/>
        <w:rPr>
          <w:rFonts w:ascii="Arial" w:hAnsi="Arial" w:cs="Arial"/>
        </w:rPr>
      </w:pPr>
      <w:r>
        <w:rPr>
          <w:rFonts w:ascii="Arial" w:hAnsi="Arial" w:cs="Arial"/>
        </w:rPr>
        <w:t>Moreover, regulatory parties should also be considered due to their legitimate authority. Also, such authorities can impose penalties in case of unmet compliance requirements during the project implementation. Using the Salience Model and Mendelow's Matrix allows ASOS to distribute resources more efficiently and create proper stakeholder engagement strategies during the creation of the ConnectPlus project.</w:t>
      </w:r>
    </w:p>
    <w:p w14:paraId="0798AFE9">
      <w:pPr>
        <w:pStyle w:val="12"/>
        <w:spacing w:line="360" w:lineRule="auto"/>
        <w:jc w:val="both"/>
        <w:rPr>
          <w:rFonts w:ascii="Arial" w:hAnsi="Arial" w:cs="Arial"/>
          <w:b/>
        </w:rPr>
      </w:pPr>
      <w:r>
        <w:rPr>
          <w:rFonts w:ascii="Arial" w:hAnsi="Arial" w:cs="Arial"/>
          <w:b/>
        </w:rPr>
        <w:t>Figure 4. Stakeholder Salience Model for ConnectPlus Stakeholders</w:t>
      </w:r>
    </w:p>
    <w:p w14:paraId="07A12AAE">
      <w:pPr>
        <w:pStyle w:val="12"/>
        <w:spacing w:line="360" w:lineRule="auto"/>
        <w:jc w:val="both"/>
        <w:rPr>
          <w:rFonts w:ascii="Arial" w:hAnsi="Arial" w:cs="Arial"/>
          <w:b/>
        </w:rPr>
      </w:pPr>
      <w:r>
        <w:rPr>
          <w:rFonts w:ascii="Arial" w:hAnsi="Arial" w:cs="Arial"/>
        </w:rPr>
        <w:drawing>
          <wp:inline distT="0" distB="0" distL="0" distR="0">
            <wp:extent cx="6188710" cy="28346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stretch>
                      <a:fillRect/>
                    </a:stretch>
                  </pic:blipFill>
                  <pic:spPr>
                    <a:xfrm>
                      <a:off x="0" y="0"/>
                      <a:ext cx="6188710" cy="2834640"/>
                    </a:xfrm>
                    <a:prstGeom prst="rect">
                      <a:avLst/>
                    </a:prstGeom>
                  </pic:spPr>
                </pic:pic>
              </a:graphicData>
            </a:graphic>
          </wp:inline>
        </w:drawing>
      </w:r>
    </w:p>
    <w:p w14:paraId="4CEF0F0E">
      <w:pPr>
        <w:pStyle w:val="2"/>
        <w:spacing w:line="360" w:lineRule="auto"/>
        <w:rPr>
          <w:rFonts w:cs="Arial"/>
        </w:rPr>
      </w:pPr>
      <w:bookmarkStart w:id="9" w:name="_Toc233231395"/>
      <w:r>
        <w:rPr>
          <w:rFonts w:cs="Arial"/>
        </w:rPr>
        <w:t>4. Roles, Responsibilities, Benefits and Challenges of Key Stakeholders</w:t>
      </w:r>
      <w:bookmarkEnd w:id="9"/>
    </w:p>
    <w:p w14:paraId="0A216E9F">
      <w:pPr>
        <w:pStyle w:val="3"/>
        <w:spacing w:line="360" w:lineRule="auto"/>
        <w:jc w:val="both"/>
        <w:rPr>
          <w:rFonts w:cs="Arial"/>
        </w:rPr>
      </w:pPr>
      <w:bookmarkStart w:id="10" w:name="_Toc233231396"/>
      <w:r>
        <w:rPr>
          <w:rFonts w:cs="Arial"/>
        </w:rPr>
        <w:t>4.1 Introduction</w:t>
      </w:r>
      <w:bookmarkEnd w:id="10"/>
    </w:p>
    <w:p w14:paraId="3F9D77C5">
      <w:pPr>
        <w:pStyle w:val="12"/>
        <w:spacing w:line="360" w:lineRule="auto"/>
        <w:jc w:val="both"/>
        <w:rPr>
          <w:rFonts w:ascii="Arial" w:hAnsi="Arial" w:cs="Arial"/>
        </w:rPr>
      </w:pPr>
      <w:r>
        <w:rPr>
          <w:rFonts w:ascii="Arial" w:hAnsi="Arial" w:cs="Arial"/>
        </w:rPr>
        <w:t>When ASOS recognises the key stakeholders participating in the ConnectPlus project, it is crucial to understand their particular roles and duties. In addition, stakeholders provide different knowledge resources and abilities in order to ensure project success. Meanwhile, different stakeholder groups might compete in terms of interest and expectations. This can pose additional challenges for the project management (Freeman et al., 2003). So, making proper stakeholder management requires organisations to have a clear understanding of stakeholder contributions and possible risks.</w:t>
      </w:r>
    </w:p>
    <w:p w14:paraId="17088847">
      <w:pPr>
        <w:pStyle w:val="3"/>
        <w:spacing w:line="360" w:lineRule="auto"/>
        <w:jc w:val="both"/>
        <w:rPr>
          <w:rFonts w:cs="Arial"/>
        </w:rPr>
      </w:pPr>
      <w:bookmarkStart w:id="11" w:name="_Toc233231397"/>
      <w:r>
        <w:rPr>
          <w:rFonts w:cs="Arial"/>
        </w:rPr>
        <w:t>4.2 Roles and Responsibilities of Internal Stakeholders</w:t>
      </w:r>
      <w:bookmarkEnd w:id="11"/>
    </w:p>
    <w:p w14:paraId="3D60B8C0">
      <w:pPr>
        <w:pStyle w:val="12"/>
        <w:spacing w:line="360" w:lineRule="auto"/>
        <w:jc w:val="both"/>
        <w:rPr>
          <w:rFonts w:ascii="Arial" w:hAnsi="Arial" w:cs="Arial"/>
        </w:rPr>
      </w:pPr>
      <w:r>
        <w:rPr>
          <w:rFonts w:ascii="Arial" w:hAnsi="Arial" w:cs="Arial"/>
        </w:rPr>
        <w:t>The roles and duties of internal stakeholders are important and should be identified properly in the implementation of ConnectPlus. Processes like planning, developing and creating the platform are highly dependent on different stakeholders. In addition, the Board of Directors is responsible for offering strategic management and accepting project investment decisions. Also, their contribution to the project is important due to the resource allocation and project performance monitoring (Freeman et al., 2003; Bourne, 2016).</w:t>
      </w:r>
    </w:p>
    <w:p w14:paraId="429C76FD">
      <w:pPr>
        <w:pStyle w:val="12"/>
        <w:spacing w:line="360" w:lineRule="auto"/>
        <w:jc w:val="both"/>
        <w:rPr>
          <w:rFonts w:ascii="Arial" w:hAnsi="Arial" w:cs="Arial"/>
        </w:rPr>
      </w:pPr>
      <w:r>
        <w:rPr>
          <w:rFonts w:ascii="Arial" w:hAnsi="Arial" w:cs="Arial"/>
        </w:rPr>
        <w:t>Moreover, the guarantee for project alignment with the strategic objectives of ASOS is performance by the senior management. Managers often oversee project initiatives, coordinate departments, and improve decision-making processes. According to Eskerod and Jepsen (2016), their engagement in the project guarantees that all company resources are properly allocated in achieving long-term success.</w:t>
      </w:r>
    </w:p>
    <w:p w14:paraId="078DAE91">
      <w:pPr>
        <w:pStyle w:val="12"/>
        <w:spacing w:line="360" w:lineRule="auto"/>
        <w:jc w:val="both"/>
        <w:rPr>
          <w:rFonts w:ascii="Arial" w:hAnsi="Arial" w:cs="Arial"/>
        </w:rPr>
      </w:pPr>
      <w:r>
        <w:rPr>
          <w:rFonts w:ascii="Arial" w:hAnsi="Arial" w:cs="Arial"/>
        </w:rPr>
        <w:t>In addition, the project manager takes a key role in stakeholder management. Bourne (2016) defines project managers as major coordinators of stakeholder communication, managing expectations, solving different disputes, and guaranteeing that the project objectives will be achieved. PMI (2021) reports that effective leadership applied by the project manager can improve stakeholder commitment and enhance project performance.</w:t>
      </w:r>
    </w:p>
    <w:p w14:paraId="616E9E4E">
      <w:pPr>
        <w:pStyle w:val="12"/>
        <w:spacing w:line="360" w:lineRule="auto"/>
        <w:jc w:val="both"/>
        <w:rPr>
          <w:rFonts w:ascii="Arial" w:hAnsi="Arial" w:cs="Arial"/>
        </w:rPr>
      </w:pPr>
      <w:r>
        <w:rPr>
          <w:rFonts w:ascii="Arial" w:hAnsi="Arial" w:cs="Arial"/>
        </w:rPr>
        <w:t>The creation, development, testing processes, and maintenance of the ConnectPlus platform are managed by the IT team. Due to their technical experience in customer data systems, AI-powered systems, and mobile reward functions, the team is responsible for all technical elements of the platform. Also, the marketing department is responsible for the motivation of customer engagement through the communication campaigns and promotional activities. According to Verhoef et al. (2021), multi-functional cooperation between business and technical departments is necessary in the implementation of digital transformation projects.</w:t>
      </w:r>
    </w:p>
    <w:p w14:paraId="6BBC07ED">
      <w:pPr>
        <w:pStyle w:val="12"/>
        <w:spacing w:line="360" w:lineRule="auto"/>
        <w:jc w:val="both"/>
        <w:rPr>
          <w:rFonts w:ascii="Arial" w:hAnsi="Arial" w:cs="Arial"/>
        </w:rPr>
      </w:pPr>
      <w:r>
        <w:rPr>
          <w:rFonts w:ascii="Arial" w:hAnsi="Arial" w:cs="Arial"/>
        </w:rPr>
        <w:t>Also, customer service staff are accountable for replying to enquiries and gathering feedback after the successful implementation. The finance department monitors project costs and ensures efficient use of resources. In addition, the Data Protection Officer guarantees that the project complies with the GDPR and protects customer information during the project lifecycle. Effective governance and data protection practices are important for companies that depend on customer data and digital technologies (Kujala et al., 2022; European Commission, 2024).</w:t>
      </w:r>
    </w:p>
    <w:p w14:paraId="2788F706">
      <w:pPr>
        <w:pStyle w:val="12"/>
        <w:spacing w:line="360" w:lineRule="auto"/>
        <w:jc w:val="both"/>
        <w:rPr>
          <w:rFonts w:ascii="Arial" w:hAnsi="Arial" w:cs="Arial"/>
          <w:b/>
        </w:rPr>
      </w:pPr>
      <w:r>
        <w:rPr>
          <w:rFonts w:ascii="Arial" w:hAnsi="Arial" w:cs="Arial"/>
          <w:b/>
        </w:rPr>
        <w:t>Figure 5. Stakeholder Responsibility Structure for the ConnectPlus Project</w:t>
      </w:r>
    </w:p>
    <w:p w14:paraId="4C79789F">
      <w:pPr>
        <w:pStyle w:val="12"/>
        <w:spacing w:line="360" w:lineRule="auto"/>
        <w:jc w:val="center"/>
        <w:rPr>
          <w:rFonts w:ascii="Arial" w:hAnsi="Arial" w:cs="Arial"/>
          <w:b/>
        </w:rPr>
      </w:pPr>
      <w:r>
        <w:rPr>
          <w:rFonts w:ascii="Arial" w:hAnsi="Arial" w:cs="Arial"/>
          <w:b/>
        </w:rPr>
        <w:drawing>
          <wp:inline distT="0" distB="0" distL="0" distR="0">
            <wp:extent cx="4838700" cy="3416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2"/>
                    <a:stretch>
                      <a:fillRect/>
                    </a:stretch>
                  </pic:blipFill>
                  <pic:spPr>
                    <a:xfrm>
                      <a:off x="0" y="0"/>
                      <a:ext cx="4838949" cy="3416476"/>
                    </a:xfrm>
                    <a:prstGeom prst="rect">
                      <a:avLst/>
                    </a:prstGeom>
                  </pic:spPr>
                </pic:pic>
              </a:graphicData>
            </a:graphic>
          </wp:inline>
        </w:drawing>
      </w:r>
    </w:p>
    <w:p w14:paraId="6B1544A0">
      <w:pPr>
        <w:pStyle w:val="3"/>
        <w:spacing w:line="360" w:lineRule="auto"/>
        <w:jc w:val="both"/>
        <w:rPr>
          <w:rFonts w:cs="Arial"/>
        </w:rPr>
      </w:pPr>
      <w:bookmarkStart w:id="12" w:name="_Toc233231398"/>
      <w:r>
        <w:rPr>
          <w:rFonts w:cs="Arial"/>
        </w:rPr>
        <w:t>4.3 Roles and Responsibilities of External Stakeholders</w:t>
      </w:r>
      <w:bookmarkEnd w:id="12"/>
    </w:p>
    <w:p w14:paraId="29F6984D">
      <w:pPr>
        <w:pStyle w:val="12"/>
        <w:spacing w:line="360" w:lineRule="auto"/>
        <w:jc w:val="both"/>
        <w:rPr>
          <w:rFonts w:ascii="Arial" w:hAnsi="Arial" w:cs="Arial"/>
        </w:rPr>
      </w:pPr>
      <w:r>
        <w:rPr>
          <w:rFonts w:ascii="Arial" w:hAnsi="Arial" w:cs="Arial"/>
        </w:rPr>
        <w:t>External stakeholders are major contributors to the successful implementation of ConnectPlus. In addition, the primary users of the platform are the customers. They can provide important feedback regarding usability, functionality, and overall fulfilment. Also, their approval of the platform will result in higher customer retention and ensure the project success (Freeman, 1984).</w:t>
      </w:r>
    </w:p>
    <w:p w14:paraId="743D8448">
      <w:pPr>
        <w:pStyle w:val="12"/>
        <w:spacing w:line="360" w:lineRule="auto"/>
        <w:jc w:val="both"/>
        <w:rPr>
          <w:rFonts w:ascii="Arial" w:hAnsi="Arial" w:cs="Arial"/>
        </w:rPr>
      </w:pPr>
      <w:r>
        <w:rPr>
          <w:rFonts w:ascii="Arial" w:hAnsi="Arial" w:cs="Arial"/>
        </w:rPr>
        <w:t>In addition, shareholders are responsible for the financial support of ConnectPlus. They also guarantee business development and help the company generate long-term profits. Moreover, technology suppliers provide the software, cloud infrastructure, and AI capabilities, which are necessary for the operation of the platform. In addition, suppliers and brand partners help the company maintain product availability and enhance customer value. Regulators guarantee that the organisation is within the compliance of all legal and ethical requirements, especially the data protection and digital services. Moreover, local communities and society can impact organisational retention and enhance public trust. Companies are forced to identify properly stakeholder issues regarding privacy, transparency, and sustainability for such big projects (Kujala et al., 2022).</w:t>
      </w:r>
    </w:p>
    <w:p w14:paraId="7708B4D7">
      <w:pPr>
        <w:pStyle w:val="3"/>
        <w:spacing w:line="360" w:lineRule="auto"/>
        <w:jc w:val="both"/>
        <w:rPr>
          <w:rFonts w:cs="Arial"/>
        </w:rPr>
      </w:pPr>
      <w:bookmarkStart w:id="13" w:name="_Toc233231399"/>
      <w:r>
        <w:rPr>
          <w:rFonts w:cs="Arial"/>
        </w:rPr>
        <w:t>4.4 Benefits of Stakeholder Involvement</w:t>
      </w:r>
      <w:bookmarkEnd w:id="13"/>
    </w:p>
    <w:p w14:paraId="240E9185">
      <w:pPr>
        <w:pStyle w:val="12"/>
        <w:spacing w:line="360" w:lineRule="auto"/>
        <w:jc w:val="both"/>
        <w:rPr>
          <w:rFonts w:ascii="Arial" w:hAnsi="Arial" w:cs="Arial"/>
        </w:rPr>
      </w:pPr>
      <w:r>
        <w:rPr>
          <w:rFonts w:ascii="Arial" w:hAnsi="Arial" w:cs="Arial"/>
        </w:rPr>
        <w:t>Stakeholder involvement provides many benefits to such projects. For example, by including experience stakeholders, the organisation gains knowledge and expertise, which improve decision-making processes and enhance project quality. Moreover, stakeholder involvement helps companies recognise risks in advance, which helps create efficient solutions before other issues arise.</w:t>
      </w:r>
    </w:p>
    <w:p w14:paraId="5DF16711">
      <w:pPr>
        <w:pStyle w:val="12"/>
        <w:spacing w:line="360" w:lineRule="auto"/>
        <w:jc w:val="both"/>
        <w:rPr>
          <w:rFonts w:ascii="Arial" w:hAnsi="Arial" w:cs="Arial"/>
        </w:rPr>
      </w:pPr>
      <w:r>
        <w:rPr>
          <w:rFonts w:ascii="Arial" w:hAnsi="Arial" w:cs="Arial"/>
        </w:rPr>
        <w:t>In addition, stakeholder engagement improves trust and communication in organisations. Kujala et al. (2022) state that companies which keep positive stakeholder relationships often achieve long-term value creation. In this case, ASOS must consider customer engagement through platform adoption and customer loyalty. Therefore, the company will increase brand reputation.</w:t>
      </w:r>
    </w:p>
    <w:p w14:paraId="110BE985">
      <w:pPr>
        <w:pStyle w:val="12"/>
        <w:spacing w:line="360" w:lineRule="auto"/>
        <w:jc w:val="both"/>
        <w:rPr>
          <w:rFonts w:ascii="Arial" w:hAnsi="Arial" w:cs="Arial"/>
        </w:rPr>
      </w:pPr>
      <w:r>
        <w:rPr>
          <w:rFonts w:ascii="Arial" w:hAnsi="Arial" w:cs="Arial"/>
        </w:rPr>
        <w:t>Moreover, stakeholder involvement motivates the organisation to change its approaches into more innovative areas. For instance, gathering feedback from staff, customers, and technology partners will improve platform settings and ensure consistent development after implementation.</w:t>
      </w:r>
    </w:p>
    <w:p w14:paraId="110A4DD7">
      <w:pPr>
        <w:pStyle w:val="12"/>
        <w:spacing w:line="360" w:lineRule="auto"/>
        <w:jc w:val="both"/>
        <w:rPr>
          <w:rFonts w:ascii="Arial" w:hAnsi="Arial" w:cs="Arial"/>
          <w:b/>
        </w:rPr>
      </w:pPr>
    </w:p>
    <w:p w14:paraId="5358DF43">
      <w:pPr>
        <w:pStyle w:val="12"/>
        <w:spacing w:line="360" w:lineRule="auto"/>
        <w:jc w:val="both"/>
        <w:rPr>
          <w:rFonts w:ascii="Arial" w:hAnsi="Arial" w:cs="Arial"/>
          <w:b/>
        </w:rPr>
      </w:pPr>
    </w:p>
    <w:p w14:paraId="1379E2FC">
      <w:pPr>
        <w:pStyle w:val="12"/>
        <w:spacing w:line="360" w:lineRule="auto"/>
        <w:jc w:val="both"/>
        <w:rPr>
          <w:rFonts w:ascii="Arial" w:hAnsi="Arial" w:cs="Arial"/>
          <w:b/>
        </w:rPr>
      </w:pPr>
    </w:p>
    <w:p w14:paraId="4605A8A0">
      <w:pPr>
        <w:pStyle w:val="12"/>
        <w:spacing w:line="360" w:lineRule="auto"/>
        <w:jc w:val="both"/>
        <w:rPr>
          <w:rFonts w:ascii="Arial" w:hAnsi="Arial" w:cs="Arial"/>
          <w:b/>
        </w:rPr>
      </w:pPr>
    </w:p>
    <w:p w14:paraId="6222DC1D">
      <w:pPr>
        <w:pStyle w:val="12"/>
        <w:spacing w:line="360" w:lineRule="auto"/>
        <w:jc w:val="both"/>
        <w:rPr>
          <w:rFonts w:ascii="Arial" w:hAnsi="Arial" w:cs="Arial"/>
          <w:b/>
        </w:rPr>
      </w:pPr>
    </w:p>
    <w:p w14:paraId="6E632424">
      <w:pPr>
        <w:pStyle w:val="12"/>
        <w:spacing w:line="360" w:lineRule="auto"/>
        <w:jc w:val="both"/>
        <w:rPr>
          <w:rFonts w:ascii="Arial" w:hAnsi="Arial" w:cs="Arial"/>
          <w:b/>
        </w:rPr>
      </w:pPr>
    </w:p>
    <w:p w14:paraId="6C6E7096">
      <w:pPr>
        <w:pStyle w:val="12"/>
        <w:spacing w:line="360" w:lineRule="auto"/>
        <w:jc w:val="both"/>
        <w:rPr>
          <w:rFonts w:ascii="Arial" w:hAnsi="Arial" w:cs="Arial"/>
          <w:b/>
        </w:rPr>
      </w:pPr>
    </w:p>
    <w:p w14:paraId="63E21FE7">
      <w:pPr>
        <w:pStyle w:val="12"/>
        <w:spacing w:line="360" w:lineRule="auto"/>
        <w:jc w:val="both"/>
        <w:rPr>
          <w:rFonts w:ascii="Arial" w:hAnsi="Arial" w:cs="Arial"/>
          <w:b/>
        </w:rPr>
      </w:pPr>
      <w:r>
        <w:rPr>
          <w:rFonts w:ascii="Arial" w:hAnsi="Arial" w:cs="Arial"/>
          <w:b/>
        </w:rPr>
        <w:t>Figure 6. Benefits of Stakeholder Involvement in the ConnectPlus Project</w:t>
      </w:r>
    </w:p>
    <w:p w14:paraId="74EED308">
      <w:pPr>
        <w:pStyle w:val="12"/>
        <w:spacing w:line="360" w:lineRule="auto"/>
        <w:jc w:val="center"/>
        <w:rPr>
          <w:rFonts w:ascii="Arial" w:hAnsi="Arial" w:cs="Arial"/>
          <w:b/>
        </w:rPr>
      </w:pPr>
      <w:r>
        <w:rPr>
          <w:rFonts w:ascii="Arial" w:hAnsi="Arial" w:cs="Arial"/>
          <w:b/>
        </w:rPr>
        <w:drawing>
          <wp:inline distT="0" distB="0" distL="0" distR="0">
            <wp:extent cx="3200400" cy="36322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3"/>
                    <a:stretch>
                      <a:fillRect/>
                    </a:stretch>
                  </pic:blipFill>
                  <pic:spPr>
                    <a:xfrm>
                      <a:off x="0" y="0"/>
                      <a:ext cx="3232659" cy="3668811"/>
                    </a:xfrm>
                    <a:prstGeom prst="rect">
                      <a:avLst/>
                    </a:prstGeom>
                  </pic:spPr>
                </pic:pic>
              </a:graphicData>
            </a:graphic>
          </wp:inline>
        </w:drawing>
      </w:r>
    </w:p>
    <w:p w14:paraId="0922CC40">
      <w:pPr>
        <w:pStyle w:val="3"/>
        <w:spacing w:line="360" w:lineRule="auto"/>
        <w:jc w:val="both"/>
        <w:rPr>
          <w:rFonts w:cs="Arial"/>
        </w:rPr>
      </w:pPr>
      <w:bookmarkStart w:id="14" w:name="_Toc233231400"/>
      <w:r>
        <w:rPr>
          <w:rFonts w:cs="Arial"/>
        </w:rPr>
        <w:t>4.5 Challenges of Stakeholder Involvement</w:t>
      </w:r>
      <w:bookmarkEnd w:id="14"/>
    </w:p>
    <w:p w14:paraId="17026DEC">
      <w:pPr>
        <w:pStyle w:val="12"/>
        <w:spacing w:line="360" w:lineRule="auto"/>
        <w:jc w:val="both"/>
        <w:rPr>
          <w:rFonts w:ascii="Arial" w:hAnsi="Arial" w:cs="Arial"/>
        </w:rPr>
      </w:pPr>
      <w:r>
        <w:rPr>
          <w:rFonts w:ascii="Arial" w:hAnsi="Arial" w:cs="Arial"/>
        </w:rPr>
        <w:t>Although stakeholder management provides several positives, it can also pose challenges to the implementation of ConnectPlus. For example, different stakeholder groups may raise conflicts regarding the project implementation. Also, customers may require stricter privacy protections, and management can look for better access to customer data in order to perform a more complete business analysis.</w:t>
      </w:r>
    </w:p>
    <w:p w14:paraId="533FB2D3">
      <w:pPr>
        <w:pStyle w:val="12"/>
        <w:spacing w:line="360" w:lineRule="auto"/>
        <w:jc w:val="both"/>
        <w:rPr>
          <w:rFonts w:ascii="Arial" w:hAnsi="Arial" w:cs="Arial"/>
        </w:rPr>
      </w:pPr>
      <w:r>
        <w:rPr>
          <w:rFonts w:ascii="Arial" w:hAnsi="Arial" w:cs="Arial"/>
        </w:rPr>
        <w:t>In addition, communication and coordination can pose difficulties. As ConnectPlus includes different departments, international stakeholders, and external partners, there exist various barriers. Therefore, managing communication between different groups can consume time and pose challenges.</w:t>
      </w:r>
    </w:p>
    <w:p w14:paraId="4DBC3C6B">
      <w:pPr>
        <w:pStyle w:val="12"/>
        <w:spacing w:line="360" w:lineRule="auto"/>
        <w:jc w:val="both"/>
        <w:rPr>
          <w:rFonts w:ascii="Arial" w:hAnsi="Arial" w:cs="Arial"/>
        </w:rPr>
      </w:pPr>
      <w:r>
        <w:rPr>
          <w:rFonts w:ascii="Arial" w:hAnsi="Arial" w:cs="Arial"/>
        </w:rPr>
        <w:t>ASOS must comply with different regulations. In addition, customer information must be gathered, stored, and processed regarding the GDPR requirements. If ASOS does not fulfil these requirements, it can be fined with legal penalties, and this will cause reputational damage.</w:t>
      </w:r>
    </w:p>
    <w:p w14:paraId="4966A0B3">
      <w:pPr>
        <w:pStyle w:val="12"/>
        <w:spacing w:line="360" w:lineRule="auto"/>
        <w:jc w:val="both"/>
        <w:rPr>
          <w:rFonts w:ascii="Arial" w:hAnsi="Arial" w:cs="Arial"/>
        </w:rPr>
      </w:pPr>
      <w:r>
        <w:rPr>
          <w:rFonts w:ascii="Arial" w:hAnsi="Arial" w:cs="Arial"/>
        </w:rPr>
        <w:t>Lastly, stakeholder expectations can vary during the project lifecycle. Thus, ASOS should constantly review stakeholder demands and change its engagement approaches when required. In addition, implementing efficient stakeholder management will help the company decrease these problems and ensure successful project implementation.</w:t>
      </w:r>
    </w:p>
    <w:p w14:paraId="012FC5FA">
      <w:pPr>
        <w:pStyle w:val="12"/>
        <w:spacing w:line="360" w:lineRule="auto"/>
        <w:jc w:val="both"/>
        <w:rPr>
          <w:rFonts w:ascii="Arial" w:hAnsi="Arial" w:cs="Arial"/>
          <w:b/>
        </w:rPr>
      </w:pPr>
      <w:r>
        <w:rPr>
          <w:rFonts w:ascii="Arial" w:hAnsi="Arial" w:cs="Arial"/>
          <w:b/>
        </w:rPr>
        <w:t>Figure 7. Key Stakeholder Management Challenges in the ConnectPlus Project</w:t>
      </w:r>
    </w:p>
    <w:p w14:paraId="20CABE38">
      <w:pPr>
        <w:pStyle w:val="12"/>
        <w:spacing w:line="360" w:lineRule="auto"/>
        <w:jc w:val="center"/>
        <w:rPr>
          <w:rFonts w:ascii="Arial" w:hAnsi="Arial" w:cs="Arial"/>
        </w:rPr>
      </w:pPr>
      <w:r>
        <w:rPr>
          <w:rFonts w:ascii="Arial" w:hAnsi="Arial" w:cs="Arial"/>
        </w:rPr>
        <w:drawing>
          <wp:inline distT="0" distB="0" distL="0" distR="0">
            <wp:extent cx="5054600" cy="3359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4"/>
                    <a:stretch>
                      <a:fillRect/>
                    </a:stretch>
                  </pic:blipFill>
                  <pic:spPr>
                    <a:xfrm>
                      <a:off x="0" y="0"/>
                      <a:ext cx="5054860" cy="3359323"/>
                    </a:xfrm>
                    <a:prstGeom prst="rect">
                      <a:avLst/>
                    </a:prstGeom>
                  </pic:spPr>
                </pic:pic>
              </a:graphicData>
            </a:graphic>
          </wp:inline>
        </w:drawing>
      </w:r>
    </w:p>
    <w:p w14:paraId="1CF03F3E">
      <w:pPr>
        <w:pStyle w:val="2"/>
        <w:spacing w:line="360" w:lineRule="auto"/>
        <w:rPr>
          <w:rFonts w:cs="Arial"/>
        </w:rPr>
      </w:pPr>
      <w:bookmarkStart w:id="15" w:name="_Toc233231401"/>
      <w:r>
        <w:rPr>
          <w:rFonts w:cs="Arial"/>
        </w:rPr>
        <w:t>5. Stakeholder Engagement Strategy and Conflict Management</w:t>
      </w:r>
      <w:bookmarkEnd w:id="15"/>
    </w:p>
    <w:p w14:paraId="47B6E4C8">
      <w:pPr>
        <w:pStyle w:val="12"/>
        <w:spacing w:line="360" w:lineRule="auto"/>
        <w:jc w:val="both"/>
        <w:rPr>
          <w:rFonts w:ascii="Arial" w:hAnsi="Arial" w:cs="Arial"/>
        </w:rPr>
      </w:pPr>
      <w:r>
        <w:rPr>
          <w:rFonts w:ascii="Arial" w:hAnsi="Arial" w:cs="Arial"/>
        </w:rPr>
        <w:t>Stakeholder engagement is key to the success of the ConnectPlus project at ASOS. Moreover, it is associated with the engagement of the stakeholders in all organisational activities, decision-making processes, and phases of project development (Kujala et al., 2022). According to Kujala et al. (2022), firms that adopt good stakeholder engagement practices are more likely to have a superior project execution, customer satisfaction levels, and sustainable competitive advantage. Therefore, ASOS needs to use a structured engagement model to make sure that the stakeholder expectations are well addressed during the ConnectPlus project lifecycle.</w:t>
      </w:r>
    </w:p>
    <w:p w14:paraId="4E73B824">
      <w:pPr>
        <w:pStyle w:val="12"/>
        <w:spacing w:line="360" w:lineRule="auto"/>
        <w:jc w:val="both"/>
        <w:rPr>
          <w:rFonts w:ascii="Arial" w:hAnsi="Arial" w:cs="Arial"/>
        </w:rPr>
      </w:pPr>
    </w:p>
    <w:p w14:paraId="486C1964">
      <w:pPr>
        <w:pStyle w:val="3"/>
        <w:spacing w:line="360" w:lineRule="auto"/>
        <w:jc w:val="both"/>
        <w:rPr>
          <w:rFonts w:cs="Arial"/>
        </w:rPr>
      </w:pPr>
      <w:bookmarkStart w:id="16" w:name="_Toc233231402"/>
      <w:r>
        <w:rPr>
          <w:rFonts w:cs="Arial"/>
        </w:rPr>
        <w:t>5.1 Stakeholder Engagement Process</w:t>
      </w:r>
      <w:bookmarkEnd w:id="16"/>
    </w:p>
    <w:p w14:paraId="7616E2C6">
      <w:pPr>
        <w:pStyle w:val="12"/>
        <w:spacing w:line="360" w:lineRule="auto"/>
        <w:jc w:val="both"/>
        <w:rPr>
          <w:rFonts w:ascii="Arial" w:hAnsi="Arial" w:cs="Arial"/>
          <w:color w:val="161F19"/>
          <w:shd w:val="clear" w:color="auto" w:fill="FFFFFF"/>
        </w:rPr>
      </w:pPr>
      <w:r>
        <w:rPr>
          <w:rFonts w:ascii="Arial" w:hAnsi="Arial" w:cs="Arial"/>
          <w:color w:val="161F19"/>
          <w:shd w:val="clear" w:color="auto" w:fill="FFFFFF"/>
        </w:rPr>
        <w:t>The stakeholder engagement must start with analysis and stakeholder identification. Companies must be able to understand and satisfy different stakeholder interests, impacts, anticipations, and raising concerns before creating engagement strategies (Bourne, 2016). Therefore, in this case ASOS allows the project manager to focus on stakeholders and allocate resources for the project efficiently.</w:t>
      </w:r>
    </w:p>
    <w:p w14:paraId="6706B0C6">
      <w:pPr>
        <w:pStyle w:val="12"/>
        <w:spacing w:line="360" w:lineRule="auto"/>
        <w:jc w:val="both"/>
        <w:rPr>
          <w:rFonts w:ascii="Arial" w:hAnsi="Arial" w:cs="Arial"/>
          <w:color w:val="161F19"/>
          <w:shd w:val="clear" w:color="auto" w:fill="FFFFFF"/>
        </w:rPr>
      </w:pPr>
      <w:r>
        <w:rPr>
          <w:rFonts w:ascii="Arial" w:hAnsi="Arial" w:cs="Arial"/>
          <w:color w:val="161F19"/>
          <w:shd w:val="clear" w:color="auto" w:fill="FFFFFF"/>
        </w:rPr>
        <w:t>Considering the stakeholder analysis, ASOS must create an engagement plan that represents communication approaches, duties, and consultation practices. In addition, the company should regularly review the engagement plan. Therefore, it will guarantee that stakeholder needs are always addressed during the project lifecycle (PMI, 2021).</w:t>
      </w:r>
    </w:p>
    <w:p w14:paraId="06B89D09">
      <w:pPr>
        <w:pStyle w:val="12"/>
        <w:spacing w:line="360" w:lineRule="auto"/>
        <w:jc w:val="both"/>
        <w:rPr>
          <w:rFonts w:ascii="Arial" w:hAnsi="Arial" w:cs="Arial"/>
          <w:color w:val="161F19"/>
          <w:shd w:val="clear" w:color="auto" w:fill="FFFFFF"/>
        </w:rPr>
      </w:pPr>
      <w:r>
        <w:rPr>
          <w:rFonts w:ascii="Arial" w:hAnsi="Arial" w:cs="Arial"/>
          <w:color w:val="161F19"/>
          <w:shd w:val="clear" w:color="auto" w:fill="FFFFFF"/>
        </w:rPr>
        <w:t>Consistent monitoring is also crucial, as stakeholder expectations can be different, affected by rapid external or internal changes during the project lifecycle. Therefore, often reviewing will help project managers to avoid emerging issues and take corrective actions before major problems arise.</w:t>
      </w:r>
    </w:p>
    <w:p w14:paraId="736D1478">
      <w:pPr>
        <w:pStyle w:val="12"/>
        <w:spacing w:line="360" w:lineRule="auto"/>
        <w:jc w:val="both"/>
        <w:rPr>
          <w:rFonts w:ascii="Arial" w:hAnsi="Arial" w:cs="Arial"/>
          <w:b/>
        </w:rPr>
      </w:pPr>
      <w:r>
        <w:rPr>
          <w:rFonts w:ascii="Arial" w:hAnsi="Arial" w:cs="Arial"/>
          <w:b/>
        </w:rPr>
        <w:t>Figure 8. Stakeholder Engagement Process for the ConnectPlus Project</w:t>
      </w:r>
    </w:p>
    <w:p w14:paraId="3AB73442">
      <w:pPr>
        <w:pStyle w:val="12"/>
        <w:spacing w:line="360" w:lineRule="auto"/>
        <w:jc w:val="center"/>
        <w:rPr>
          <w:rFonts w:ascii="Arial" w:hAnsi="Arial" w:cs="Arial"/>
        </w:rPr>
      </w:pPr>
      <w:r>
        <w:rPr>
          <w:rFonts w:ascii="Arial" w:hAnsi="Arial" w:cs="Arial"/>
          <w:b/>
        </w:rPr>
        <w:drawing>
          <wp:inline distT="0" distB="0" distL="0" distR="0">
            <wp:extent cx="4038600" cy="3282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5"/>
                    <a:stretch>
                      <a:fillRect/>
                    </a:stretch>
                  </pic:blipFill>
                  <pic:spPr>
                    <a:xfrm>
                      <a:off x="0" y="0"/>
                      <a:ext cx="4038808" cy="3283119"/>
                    </a:xfrm>
                    <a:prstGeom prst="rect">
                      <a:avLst/>
                    </a:prstGeom>
                  </pic:spPr>
                </pic:pic>
              </a:graphicData>
            </a:graphic>
          </wp:inline>
        </w:drawing>
      </w:r>
    </w:p>
    <w:p w14:paraId="215C9AC6">
      <w:pPr>
        <w:pStyle w:val="12"/>
        <w:spacing w:line="360" w:lineRule="auto"/>
        <w:jc w:val="both"/>
        <w:rPr>
          <w:rFonts w:ascii="Arial" w:hAnsi="Arial" w:cs="Arial"/>
        </w:rPr>
      </w:pPr>
    </w:p>
    <w:p w14:paraId="78AA6CC0">
      <w:pPr>
        <w:pStyle w:val="3"/>
        <w:spacing w:line="360" w:lineRule="auto"/>
        <w:jc w:val="both"/>
        <w:rPr>
          <w:rFonts w:cs="Arial"/>
        </w:rPr>
      </w:pPr>
      <w:bookmarkStart w:id="17" w:name="_Toc233231403"/>
      <w:r>
        <w:rPr>
          <w:rFonts w:cs="Arial"/>
        </w:rPr>
        <w:t>5.3 Communication and Consultation Strategies</w:t>
      </w:r>
      <w:bookmarkEnd w:id="17"/>
    </w:p>
    <w:p w14:paraId="3D1B0540">
      <w:pPr>
        <w:pStyle w:val="12"/>
        <w:spacing w:line="360" w:lineRule="auto"/>
        <w:jc w:val="both"/>
        <w:rPr>
          <w:rFonts w:ascii="Arial" w:hAnsi="Arial" w:cs="Arial"/>
        </w:rPr>
      </w:pPr>
      <w:r>
        <w:rPr>
          <w:rFonts w:ascii="Arial" w:hAnsi="Arial" w:cs="Arial"/>
        </w:rPr>
        <w:t>Communication is considered one of the most crucial elements in the stakeholder engagement processes. Moreover, through efficient communication, companies can create loyalty, improve transparency, and decrease uncertainty (Freeman et al., 2003). However, different stakeholder groups should be managed with various communication strategies regarding their level of impact and interest.</w:t>
      </w:r>
    </w:p>
    <w:p w14:paraId="50A539B2">
      <w:pPr>
        <w:pStyle w:val="12"/>
        <w:spacing w:line="360" w:lineRule="auto"/>
        <w:jc w:val="both"/>
        <w:rPr>
          <w:rFonts w:ascii="Arial" w:hAnsi="Arial" w:cs="Arial"/>
        </w:rPr>
      </w:pPr>
      <w:r>
        <w:rPr>
          <w:rFonts w:ascii="Arial" w:hAnsi="Arial" w:cs="Arial"/>
        </w:rPr>
        <w:t>For example, the board of directors and senior management must receive weekly project reports, risk assessments, and performance updates, considering their roles. Such stakeholders always require detailed strategic information to make better decisions and manage different responsibilities (PMI, 2021; Bourne, 2016).</w:t>
      </w:r>
    </w:p>
    <w:p w14:paraId="6DA34C82">
      <w:pPr>
        <w:pStyle w:val="12"/>
        <w:spacing w:line="360" w:lineRule="auto"/>
        <w:jc w:val="both"/>
        <w:rPr>
          <w:rFonts w:ascii="Arial" w:hAnsi="Arial" w:cs="Arial"/>
        </w:rPr>
      </w:pPr>
      <w:r>
        <w:rPr>
          <w:rFonts w:ascii="Arial" w:hAnsi="Arial" w:cs="Arial"/>
        </w:rPr>
        <w:t>Staff must be involved in team meetings, improvement programs, workshops, training sessions, and internal communication platforms during the project lifecycle. Ensuring that employees receive regular updates on the project will decrease resistance to change and motivate participation in different project activities (Eskerod and Jepsen, 2016; Verhoef et al., 2021).</w:t>
      </w:r>
    </w:p>
    <w:p w14:paraId="2CBB182E">
      <w:pPr>
        <w:pStyle w:val="12"/>
        <w:spacing w:line="360" w:lineRule="auto"/>
        <w:jc w:val="both"/>
        <w:rPr>
          <w:rFonts w:ascii="Arial" w:hAnsi="Arial" w:cs="Arial"/>
        </w:rPr>
      </w:pPr>
      <w:r>
        <w:rPr>
          <w:rFonts w:ascii="Arial" w:hAnsi="Arial" w:cs="Arial"/>
        </w:rPr>
        <w:t>Customers can be engaged with the project by fulfilling surveys and feedback forms, participating in social media channels, downloading and studying different mobile applications, and engaging in different customer communities. ASOS can understand user preferences better and improve the functionality of the platform by gathering customer feedback (Kujala et al., 2022).</w:t>
      </w:r>
    </w:p>
    <w:p w14:paraId="209B676B">
      <w:pPr>
        <w:pStyle w:val="12"/>
        <w:spacing w:line="360" w:lineRule="auto"/>
        <w:jc w:val="both"/>
        <w:rPr>
          <w:rFonts w:ascii="Arial" w:hAnsi="Arial" w:cs="Arial"/>
        </w:rPr>
      </w:pPr>
      <w:r>
        <w:rPr>
          <w:rFonts w:ascii="Arial" w:hAnsi="Arial" w:cs="Arial"/>
        </w:rPr>
        <w:t>Moreover, the involvement of technology partners and suppliers in the regular progress meetings and collaborative planning sessions of the project will increase overall performance. Such stakeholders are external. However, they are responsible for the maintenance of the system and can provide better technical innovation (Verhoef et al., 2021; Harrison et al., 2020).</w:t>
      </w:r>
    </w:p>
    <w:p w14:paraId="04DB2B06">
      <w:pPr>
        <w:pStyle w:val="12"/>
        <w:spacing w:line="360" w:lineRule="auto"/>
        <w:jc w:val="both"/>
        <w:rPr>
          <w:rFonts w:ascii="Arial" w:hAnsi="Arial" w:cs="Arial"/>
        </w:rPr>
      </w:pPr>
      <w:r>
        <w:rPr>
          <w:rFonts w:ascii="Arial" w:hAnsi="Arial" w:cs="Arial"/>
        </w:rPr>
        <w:t>Lastly, regulators must be involved in the compliance reporting and consultation practices to guarantee that all legal requirements are completely understood and applied. Therefore, maintaining positive relationships with regulatory parties can decrease legal penalties, improve organisational trust, and guarantee brand awareness (European Commission, 2024; UK Information Commissioner's Office, 2024).</w:t>
      </w:r>
    </w:p>
    <w:p w14:paraId="670E2CAA">
      <w:pPr>
        <w:pStyle w:val="12"/>
        <w:spacing w:line="360" w:lineRule="auto"/>
        <w:jc w:val="both"/>
        <w:rPr>
          <w:rFonts w:ascii="Arial" w:hAnsi="Arial" w:cs="Arial"/>
          <w:b/>
        </w:rPr>
      </w:pPr>
      <w:r>
        <w:rPr>
          <w:rFonts w:ascii="Arial" w:hAnsi="Arial" w:cs="Arial"/>
          <w:b/>
        </w:rPr>
        <w:t>Figure 9. Stakeholder Communication Plan for ConnectPlus</w:t>
      </w:r>
    </w:p>
    <w:p w14:paraId="25D46B66">
      <w:pPr>
        <w:pStyle w:val="12"/>
        <w:spacing w:line="360" w:lineRule="auto"/>
        <w:jc w:val="center"/>
        <w:rPr>
          <w:rFonts w:ascii="Arial" w:hAnsi="Arial" w:cs="Arial"/>
        </w:rPr>
      </w:pPr>
      <w:r>
        <w:rPr>
          <w:rFonts w:ascii="Arial" w:hAnsi="Arial" w:cs="Arial"/>
        </w:rPr>
        <w:drawing>
          <wp:inline distT="0" distB="0" distL="0" distR="0">
            <wp:extent cx="4978400" cy="318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6"/>
                    <a:stretch>
                      <a:fillRect/>
                    </a:stretch>
                  </pic:blipFill>
                  <pic:spPr>
                    <a:xfrm>
                      <a:off x="0" y="0"/>
                      <a:ext cx="4978656" cy="3187864"/>
                    </a:xfrm>
                    <a:prstGeom prst="rect">
                      <a:avLst/>
                    </a:prstGeom>
                  </pic:spPr>
                </pic:pic>
              </a:graphicData>
            </a:graphic>
          </wp:inline>
        </w:drawing>
      </w:r>
    </w:p>
    <w:p w14:paraId="6128E246">
      <w:pPr>
        <w:pStyle w:val="3"/>
        <w:spacing w:line="360" w:lineRule="auto"/>
        <w:jc w:val="both"/>
        <w:rPr>
          <w:rFonts w:cs="Arial"/>
        </w:rPr>
      </w:pPr>
      <w:bookmarkStart w:id="18" w:name="_Toc233231404"/>
      <w:r>
        <w:rPr>
          <w:rFonts w:cs="Arial"/>
        </w:rPr>
        <w:t>5.4 Application of the SWANS and OWANS Framework</w:t>
      </w:r>
      <w:bookmarkEnd w:id="18"/>
    </w:p>
    <w:p w14:paraId="787D7670">
      <w:pPr>
        <w:pStyle w:val="12"/>
        <w:spacing w:line="360" w:lineRule="auto"/>
        <w:jc w:val="both"/>
        <w:rPr>
          <w:rFonts w:ascii="Arial" w:hAnsi="Arial" w:cs="Arial"/>
        </w:rPr>
      </w:pPr>
      <w:r>
        <w:rPr>
          <w:rFonts w:ascii="Arial" w:hAnsi="Arial" w:cs="Arial"/>
        </w:rPr>
        <w:t>The widely used framework, SWANS and OWANS represent an applicable approach to understanding stakeholder expectations and organisational goals (Bourne, 2016). In addition, SWANS is considered Stakeholder Wants and Needs. On the other hand, OWANS is related to Organisational Wants and Needs. Therefore, this framework helps companies see areas for improvement more consistently where stakeholder expectations are connected to the organisational goals. In addition, the framework synthesises the possible conflict areas and provides different solutions for managing the projects (Bourne, 2016; Eskerod and Jepsen, 2016).</w:t>
      </w:r>
    </w:p>
    <w:p w14:paraId="00358CD2">
      <w:pPr>
        <w:pStyle w:val="12"/>
        <w:spacing w:line="360" w:lineRule="auto"/>
        <w:jc w:val="both"/>
        <w:rPr>
          <w:rFonts w:ascii="Arial" w:hAnsi="Arial" w:cs="Arial"/>
        </w:rPr>
      </w:pPr>
      <w:r>
        <w:rPr>
          <w:rFonts w:ascii="Arial" w:hAnsi="Arial" w:cs="Arial"/>
        </w:rPr>
        <w:t>For instance, customers require rewards, convenience, security, and customised services in each new invention. However, ASOS aims to increase customer loyalty, achieve higher retention rates, improve customer insights, and reach better financial performance. Staff can look for training program and better communication. ASOS demands staff commitment and efficient project implementation.</w:t>
      </w:r>
    </w:p>
    <w:p w14:paraId="2167F795">
      <w:pPr>
        <w:pStyle w:val="12"/>
        <w:spacing w:line="360" w:lineRule="auto"/>
        <w:jc w:val="both"/>
        <w:rPr>
          <w:rFonts w:ascii="Arial" w:hAnsi="Arial" w:cs="Arial"/>
        </w:rPr>
      </w:pPr>
      <w:r>
        <w:rPr>
          <w:rFonts w:ascii="Arial" w:hAnsi="Arial" w:cs="Arial"/>
        </w:rPr>
        <w:t>Application of the SWANS and OWANS approach helps ASOS areas for improvement, connection, and possible avoidance of conflicts between stakeholders’ demands and organisational objectives. Bourne (2016) and Kujala et al. (2022) state that this improves engagement strategies, guarantees stakeholder satisfaction, and helps the company create long-term value.</w:t>
      </w:r>
    </w:p>
    <w:p w14:paraId="2C91D7D0">
      <w:pPr>
        <w:pStyle w:val="12"/>
        <w:spacing w:line="360" w:lineRule="auto"/>
        <w:jc w:val="both"/>
        <w:rPr>
          <w:rFonts w:ascii="Arial" w:hAnsi="Arial" w:cs="Arial"/>
          <w:b/>
        </w:rPr>
      </w:pPr>
      <w:r>
        <w:rPr>
          <w:rFonts w:ascii="Arial" w:hAnsi="Arial" w:cs="Arial"/>
          <w:b/>
        </w:rPr>
        <w:t>Figure 10. SWANS and OWANS Framework for ConnectPlus Stakeholders</w:t>
      </w:r>
    </w:p>
    <w:p w14:paraId="72110FC4">
      <w:pPr>
        <w:pStyle w:val="12"/>
        <w:spacing w:line="360" w:lineRule="auto"/>
        <w:jc w:val="center"/>
        <w:rPr>
          <w:rFonts w:ascii="Arial" w:hAnsi="Arial" w:cs="Arial"/>
        </w:rPr>
      </w:pPr>
      <w:r>
        <w:rPr>
          <w:rFonts w:ascii="Arial" w:hAnsi="Arial" w:cs="Arial"/>
        </w:rPr>
        <w:drawing>
          <wp:inline distT="0" distB="0" distL="0" distR="0">
            <wp:extent cx="5035550" cy="2800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tretch>
                      <a:fillRect/>
                    </a:stretch>
                  </pic:blipFill>
                  <pic:spPr>
                    <a:xfrm>
                      <a:off x="0" y="0"/>
                      <a:ext cx="5035809" cy="2800494"/>
                    </a:xfrm>
                    <a:prstGeom prst="rect">
                      <a:avLst/>
                    </a:prstGeom>
                  </pic:spPr>
                </pic:pic>
              </a:graphicData>
            </a:graphic>
          </wp:inline>
        </w:drawing>
      </w:r>
    </w:p>
    <w:p w14:paraId="1396BDCE">
      <w:pPr>
        <w:pStyle w:val="3"/>
        <w:spacing w:line="360" w:lineRule="auto"/>
        <w:jc w:val="both"/>
        <w:rPr>
          <w:rFonts w:cs="Arial"/>
        </w:rPr>
      </w:pPr>
      <w:bookmarkStart w:id="19" w:name="_Toc233231405"/>
      <w:r>
        <w:rPr>
          <w:rFonts w:cs="Arial"/>
        </w:rPr>
        <w:t>5.5 Conflict Management</w:t>
      </w:r>
      <w:bookmarkEnd w:id="19"/>
    </w:p>
    <w:p w14:paraId="18FC3505">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Conflicts between stakeholders are quite common in projects within larger companies. This is because different groups demand specific wants and expectations. Eskerod and Jepsen (2016) state that conflict management is a major element of stakeholder management, as unresolved encounters can negatively impact on the project results.</w:t>
      </w:r>
    </w:p>
    <w:p w14:paraId="1E8AC89A">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Customer privacy concerns are possible issues that may raise conflicts in the ConnectPlus project. Despite the customers’ expectation of strict protection of their personal information, management could look for more access to customer data in order to make deeper business analytics. Creating a balance between these interests requires transparent communication and strong governance management (European Commission, 2024).</w:t>
      </w:r>
    </w:p>
    <w:p w14:paraId="4D3E6FDF">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Moreover, conflicts can also appear between departments about resource allocation, project priorities, and implementation timeline. For instance, the IT team might focus on technical quality while the marketing team can concentrate on customer acquisition goals and deadlines (Kujala et al., 2022).</w:t>
      </w:r>
    </w:p>
    <w:p w14:paraId="6F569321">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In order to handle such conflicts, ASOS must provide cooperative problem-solving, stakeholder consultation programs, open communication, and evidence-based decision-making. In addition, negotiation and mediation approaches can also be applied if differences cannot be solved by proper communication (PMI, 2021).</w:t>
      </w:r>
    </w:p>
    <w:p w14:paraId="67574003">
      <w:pPr>
        <w:spacing w:before="100" w:beforeAutospacing="1" w:after="100" w:afterAutospacing="1" w:line="360" w:lineRule="auto"/>
        <w:jc w:val="both"/>
        <w:rPr>
          <w:rFonts w:ascii="Arial" w:hAnsi="Arial" w:eastAsia="Times New Roman" w:cs="Arial"/>
          <w:b/>
          <w:sz w:val="28"/>
          <w:szCs w:val="24"/>
          <w:lang w:eastAsia="en-GB"/>
        </w:rPr>
      </w:pPr>
      <w:r>
        <w:rPr>
          <w:rFonts w:ascii="Arial" w:hAnsi="Arial" w:cs="Arial"/>
          <w:b/>
          <w:sz w:val="24"/>
        </w:rPr>
        <w:t>Figure 11. Stakeholder Conflict Resolution Process for the ConnectPlus Project</w:t>
      </w:r>
    </w:p>
    <w:p w14:paraId="193FAA01">
      <w:pPr>
        <w:spacing w:before="100" w:beforeAutospacing="1" w:after="100" w:afterAutospacing="1" w:line="360" w:lineRule="auto"/>
        <w:jc w:val="center"/>
        <w:rPr>
          <w:rFonts w:ascii="Arial" w:hAnsi="Arial" w:eastAsia="Times New Roman" w:cs="Arial"/>
          <w:sz w:val="24"/>
          <w:szCs w:val="24"/>
          <w:lang w:eastAsia="en-GB"/>
        </w:rPr>
      </w:pPr>
      <w:r>
        <w:rPr>
          <w:rFonts w:ascii="Arial" w:hAnsi="Arial" w:eastAsia="Times New Roman" w:cs="Arial"/>
          <w:sz w:val="24"/>
          <w:szCs w:val="24"/>
          <w:lang w:eastAsia="en-GB"/>
        </w:rPr>
        <w:drawing>
          <wp:inline distT="0" distB="0" distL="0" distR="0">
            <wp:extent cx="5048250" cy="2197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8"/>
                    <a:stretch>
                      <a:fillRect/>
                    </a:stretch>
                  </pic:blipFill>
                  <pic:spPr>
                    <a:xfrm>
                      <a:off x="0" y="0"/>
                      <a:ext cx="5048509" cy="2197213"/>
                    </a:xfrm>
                    <a:prstGeom prst="rect">
                      <a:avLst/>
                    </a:prstGeom>
                  </pic:spPr>
                </pic:pic>
              </a:graphicData>
            </a:graphic>
          </wp:inline>
        </w:drawing>
      </w:r>
    </w:p>
    <w:p w14:paraId="3A69A5F4">
      <w:pPr>
        <w:pStyle w:val="3"/>
        <w:spacing w:line="360" w:lineRule="auto"/>
        <w:jc w:val="both"/>
        <w:rPr>
          <w:rFonts w:cs="Arial"/>
        </w:rPr>
      </w:pPr>
      <w:bookmarkStart w:id="20" w:name="_Toc233231406"/>
      <w:r>
        <w:rPr>
          <w:rFonts w:cs="Arial"/>
        </w:rPr>
        <w:t>5.6 Monitoring and Evaluation</w:t>
      </w:r>
      <w:bookmarkEnd w:id="20"/>
    </w:p>
    <w:p w14:paraId="02106753">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Management should constantly monitor and assess stakeholder engagement during the ConnectPlus project lifecycle. In addition, monitoring can be applied through stakeholder surveys, project reviews, engagement metrics, customer satisfaction scores, and feedback mechanisms (Kerzner, 2022; Association for Project Management, 2020).</w:t>
      </w:r>
    </w:p>
    <w:p w14:paraId="4A587AEC">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Also, performance indicators must be connected to the SMART objectives made earlier in this report. For instance, ASOS can supervise stakeholder participation rates, platform adoption rates, customer retention levels, and customer satisfaction scores. According to Kerzner (2022), through measurable indicators companies can better assess engagement activities.</w:t>
      </w:r>
    </w:p>
    <w:p w14:paraId="3F708A2D">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Consistent evaluation helps companies identify strengths and weaknesses in engagement activities and make improvements when required. Proper monitoring improves long-term stakeholder relationships and ensure the project success (Kujala et al., 2022; Association for Project Management, 2020).</w:t>
      </w:r>
    </w:p>
    <w:p w14:paraId="5B71B40B">
      <w:pPr>
        <w:pStyle w:val="2"/>
        <w:spacing w:line="360" w:lineRule="auto"/>
        <w:rPr>
          <w:rFonts w:cs="Arial"/>
        </w:rPr>
      </w:pPr>
      <w:bookmarkStart w:id="21" w:name="_Toc233231407"/>
      <w:r>
        <w:rPr>
          <w:rFonts w:cs="Arial"/>
        </w:rPr>
        <w:t>6. Sustainable Stakeholder Engagement and Business Performance</w:t>
      </w:r>
      <w:bookmarkEnd w:id="21"/>
    </w:p>
    <w:p w14:paraId="3414DFB7">
      <w:pPr>
        <w:pStyle w:val="3"/>
        <w:spacing w:line="360" w:lineRule="auto"/>
        <w:rPr>
          <w:rFonts w:cs="Arial"/>
        </w:rPr>
      </w:pPr>
      <w:bookmarkStart w:id="22" w:name="_Toc233231408"/>
      <w:r>
        <w:rPr>
          <w:rFonts w:cs="Arial"/>
        </w:rPr>
        <w:t>6.1 Importance of Sustainable Stakeholder Engagement</w:t>
      </w:r>
      <w:bookmarkEnd w:id="22"/>
    </w:p>
    <w:p w14:paraId="1FD74187">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The long-term development of positive relationships between companies and stakeholders is related to the sustainable stakeholder engagement. Today, organisations indicate that business success strongly relies on finances and the ability to generate value for several stakeholder groups (Freeman et al., 2020).</w:t>
      </w:r>
    </w:p>
    <w:p w14:paraId="1FF9ADEA">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In the case of ASOS, sustainable stakeholder engagement is crucial because the new project depends on staff dedication, customer trust, regulatory compliance, and technological partnerships. Engagement strategies that are applied for long-term achievements improve organisational stakeholder support and enhance resilience.</w:t>
      </w:r>
    </w:p>
    <w:p w14:paraId="4891A3A1">
      <w:pPr>
        <w:pStyle w:val="3"/>
        <w:spacing w:line="360" w:lineRule="auto"/>
        <w:jc w:val="both"/>
        <w:rPr>
          <w:rFonts w:cs="Arial"/>
        </w:rPr>
      </w:pPr>
      <w:bookmarkStart w:id="23" w:name="_Toc233231409"/>
      <w:r>
        <w:rPr>
          <w:rFonts w:cs="Arial"/>
        </w:rPr>
        <w:t>6.2 Impact on Business Performance</w:t>
      </w:r>
      <w:bookmarkEnd w:id="23"/>
    </w:p>
    <w:p w14:paraId="163F251E">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 xml:space="preserve">According to </w:t>
      </w:r>
      <w:r>
        <w:rPr>
          <w:rFonts w:ascii="Arial" w:hAnsi="Arial" w:cs="Arial"/>
          <w:sz w:val="24"/>
          <w:szCs w:val="24"/>
        </w:rPr>
        <w:t>Kujala et al. (2022)</w:t>
      </w:r>
      <w:r>
        <w:rPr>
          <w:rFonts w:ascii="Arial" w:hAnsi="Arial" w:eastAsia="Times New Roman" w:cs="Arial"/>
          <w:sz w:val="24"/>
          <w:szCs w:val="24"/>
          <w:lang w:eastAsia="en-GB"/>
        </w:rPr>
        <w:t>, good stakeholder engagement improves organisational performance, reputation, innovative practices, and customer loyalty. In addition, customers who feel appreciated indicate higher loyalty towards organisational services.</w:t>
      </w:r>
    </w:p>
    <w:p w14:paraId="0F7FAA45">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Staff who improve business performance are highly motivated, dedicated, and efficient. Also, establishing strong connections with supplier partners and technology providers increases operational production and innovative approaches of the company.</w:t>
      </w:r>
    </w:p>
    <w:p w14:paraId="2FB3DFA6">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In the case of ASOS, applying successful stakeholder engagement can help the company improve customer retention, support brand reputation, generate higher revenues, and ensure sustainable development. Moreover, efficient engagement can decrease project risks and enhance organisational adaptability in different market conditions.</w:t>
      </w:r>
    </w:p>
    <w:p w14:paraId="2297C131">
      <w:pPr>
        <w:pStyle w:val="3"/>
        <w:spacing w:line="360" w:lineRule="auto"/>
        <w:jc w:val="both"/>
        <w:rPr>
          <w:rFonts w:cs="Arial"/>
        </w:rPr>
      </w:pPr>
      <w:bookmarkStart w:id="24" w:name="_Toc233231410"/>
      <w:r>
        <w:rPr>
          <w:rFonts w:cs="Arial"/>
        </w:rPr>
        <w:t>6.3 Ethical and Governance Considerations</w:t>
      </w:r>
      <w:bookmarkEnd w:id="24"/>
    </w:p>
    <w:p w14:paraId="32DB3F21">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 xml:space="preserve">Ethics is important element in order to maintain sustainable stakeholder engagement. Companies should show responsibility, transparency, and honest practices when interacting with different stakeholders </w:t>
      </w:r>
      <w:r>
        <w:rPr>
          <w:rFonts w:ascii="Arial" w:hAnsi="Arial" w:cs="Arial"/>
          <w:sz w:val="24"/>
          <w:szCs w:val="24"/>
        </w:rPr>
        <w:t>(Carroll, Brown and Buchholtz, 2018)</w:t>
      </w:r>
      <w:r>
        <w:rPr>
          <w:rFonts w:ascii="Arial" w:hAnsi="Arial" w:eastAsia="Times New Roman" w:cs="Arial"/>
          <w:sz w:val="24"/>
          <w:szCs w:val="24"/>
          <w:lang w:eastAsia="en-GB"/>
        </w:rPr>
        <w:t>.</w:t>
      </w:r>
    </w:p>
    <w:p w14:paraId="2011B606">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The project ConnectPlus depends on customer data, so ASOS must guarantee compliance with GDPR and consider strong data protection actions. AI technologies must also be used ethically in order to show the customer that the company uses their information responsibly.</w:t>
      </w:r>
    </w:p>
    <w:p w14:paraId="6280C045">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Creating balance between stakeholder expectations and organisational goals will ensure that ASOS increases trusts and provides long-term value for its stakeholders.</w:t>
      </w:r>
    </w:p>
    <w:p w14:paraId="005D0AD6">
      <w:pPr>
        <w:pStyle w:val="2"/>
        <w:spacing w:line="360" w:lineRule="auto"/>
        <w:rPr>
          <w:rFonts w:cs="Arial"/>
        </w:rPr>
      </w:pPr>
      <w:bookmarkStart w:id="25" w:name="_Toc233231411"/>
      <w:r>
        <w:rPr>
          <w:rFonts w:cs="Arial"/>
        </w:rPr>
        <w:t>7. Recommendations and Conclusion</w:t>
      </w:r>
      <w:bookmarkEnd w:id="25"/>
    </w:p>
    <w:p w14:paraId="0C755936">
      <w:pPr>
        <w:pStyle w:val="3"/>
        <w:spacing w:line="360" w:lineRule="auto"/>
        <w:jc w:val="both"/>
        <w:rPr>
          <w:rFonts w:cs="Arial"/>
        </w:rPr>
      </w:pPr>
      <w:bookmarkStart w:id="26" w:name="_Toc233231412"/>
      <w:r>
        <w:rPr>
          <w:rFonts w:cs="Arial"/>
        </w:rPr>
        <w:t>7.1 Recommendations</w:t>
      </w:r>
      <w:bookmarkEnd w:id="26"/>
    </w:p>
    <w:p w14:paraId="0CEC1934">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From the evaluation of the report, the following recommendations are suggested for ASOS in order to implement successfully the project ConnectPlus. At first, ASOS should create an official stakeholder engagement plan in order to identify stakeholder groups, communication approaches, duties, and engagement goals (Bourne, 2016). Afterwards, the company should include consistent consultation mechanisms to collect feedback from staff, suppliers, technology partners, and customers during the project lifecycle. Next for ASOS is to focus on data protection and governance initiatives to ensure GDPR compliance and build up customer trust (UK Information Commissioner’s Office, 2024). The stakeholder engagement practices need to be subject to continuous monitoring using the measurable indicators of performance linked with the project objectives. Finally, conflict management processes need to be integrated within project management activities to improve decision making and stakeholder engagement.</w:t>
      </w:r>
    </w:p>
    <w:p w14:paraId="588FA4AA">
      <w:pPr>
        <w:pStyle w:val="3"/>
        <w:spacing w:line="360" w:lineRule="auto"/>
        <w:jc w:val="both"/>
        <w:rPr>
          <w:rFonts w:cs="Arial"/>
        </w:rPr>
      </w:pPr>
      <w:bookmarkStart w:id="27" w:name="_Toc233231413"/>
      <w:r>
        <w:rPr>
          <w:rFonts w:cs="Arial"/>
        </w:rPr>
        <w:t>7.2 Conclusion</w:t>
      </w:r>
      <w:bookmarkEnd w:id="27"/>
    </w:p>
    <w:p w14:paraId="19ACF4F7">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The report examined the role of stakeholder engagement in the successful implementation of the ConnectPlus project at ASOS. It also identified the major internal and external stakeholders, assessed their impact, duties, gains and challenges.</w:t>
      </w:r>
    </w:p>
    <w:p w14:paraId="1B3E6733">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Furthermore, the report showed the proper stakeholder engagement improves stakeholder relationships, communication, customer satisfaction, and overall business performance. With crucial theoretical frameworks like Mendelow's Matrix, the Salience Model, and the SWANS and OWANS, stakeholder analysis was supported and ensured that the company has already considered proper engagement planning.</w:t>
      </w:r>
    </w:p>
    <w:p w14:paraId="4409BD3C">
      <w:pPr>
        <w:spacing w:before="100" w:beforeAutospacing="1" w:after="100" w:afterAutospacing="1" w:line="360" w:lineRule="auto"/>
        <w:jc w:val="both"/>
        <w:rPr>
          <w:rFonts w:ascii="Arial" w:hAnsi="Arial" w:eastAsia="Times New Roman" w:cs="Arial"/>
          <w:sz w:val="24"/>
          <w:szCs w:val="24"/>
          <w:lang w:eastAsia="en-GB"/>
        </w:rPr>
      </w:pPr>
      <w:r>
        <w:rPr>
          <w:rFonts w:ascii="Arial" w:hAnsi="Arial" w:eastAsia="Times New Roman" w:cs="Arial"/>
          <w:sz w:val="24"/>
          <w:szCs w:val="24"/>
          <w:lang w:eastAsia="en-GB"/>
        </w:rPr>
        <w:t>Based on the findings, sustainable stakeholder engagement is important for ASOS to achieve the goals of ConnectPlus and ensure long-term development. Using structured engagement strategies and improving stakeholder relationships, will guarantee that ASOS can increase its competitive influence in the retail and e-commerce industry.</w:t>
      </w:r>
    </w:p>
    <w:p w14:paraId="44AD78FE">
      <w:pPr>
        <w:spacing w:before="100" w:beforeAutospacing="1" w:after="100" w:afterAutospacing="1" w:line="360" w:lineRule="auto"/>
        <w:jc w:val="both"/>
        <w:rPr>
          <w:rFonts w:ascii="Arial" w:hAnsi="Arial" w:eastAsia="Times New Roman" w:cs="Arial"/>
          <w:sz w:val="24"/>
          <w:szCs w:val="24"/>
          <w:lang w:eastAsia="en-GB"/>
        </w:rPr>
      </w:pPr>
    </w:p>
    <w:p w14:paraId="4E078C14">
      <w:pPr>
        <w:spacing w:before="100" w:beforeAutospacing="1" w:after="100" w:afterAutospacing="1" w:line="360" w:lineRule="auto"/>
        <w:jc w:val="both"/>
        <w:rPr>
          <w:rFonts w:ascii="Arial" w:hAnsi="Arial" w:eastAsia="Times New Roman" w:cs="Arial"/>
          <w:sz w:val="24"/>
          <w:szCs w:val="24"/>
          <w:lang w:eastAsia="en-GB"/>
        </w:rPr>
      </w:pPr>
    </w:p>
    <w:p w14:paraId="1295B302">
      <w:pPr>
        <w:spacing w:before="100" w:beforeAutospacing="1" w:after="100" w:afterAutospacing="1" w:line="360" w:lineRule="auto"/>
        <w:jc w:val="both"/>
        <w:rPr>
          <w:rFonts w:ascii="Arial" w:hAnsi="Arial" w:eastAsia="Times New Roman" w:cs="Arial"/>
          <w:sz w:val="24"/>
          <w:szCs w:val="24"/>
          <w:lang w:eastAsia="en-GB"/>
        </w:rPr>
      </w:pPr>
    </w:p>
    <w:p w14:paraId="1401221B">
      <w:pPr>
        <w:spacing w:before="100" w:beforeAutospacing="1" w:after="100" w:afterAutospacing="1" w:line="360" w:lineRule="auto"/>
        <w:jc w:val="both"/>
        <w:rPr>
          <w:rFonts w:ascii="Arial" w:hAnsi="Arial" w:eastAsia="Times New Roman" w:cs="Arial"/>
          <w:sz w:val="24"/>
          <w:szCs w:val="24"/>
          <w:lang w:eastAsia="en-GB"/>
        </w:rPr>
      </w:pPr>
    </w:p>
    <w:p w14:paraId="0A861923">
      <w:pPr>
        <w:spacing w:before="100" w:beforeAutospacing="1" w:after="100" w:afterAutospacing="1" w:line="360" w:lineRule="auto"/>
        <w:jc w:val="both"/>
        <w:rPr>
          <w:rFonts w:ascii="Arial" w:hAnsi="Arial" w:eastAsia="Times New Roman" w:cs="Arial"/>
          <w:sz w:val="24"/>
          <w:szCs w:val="24"/>
          <w:lang w:eastAsia="en-GB"/>
        </w:rPr>
      </w:pPr>
    </w:p>
    <w:p w14:paraId="557F1773">
      <w:pPr>
        <w:spacing w:before="100" w:beforeAutospacing="1" w:after="100" w:afterAutospacing="1" w:line="360" w:lineRule="auto"/>
        <w:jc w:val="both"/>
        <w:rPr>
          <w:rFonts w:ascii="Arial" w:hAnsi="Arial" w:eastAsia="Times New Roman" w:cs="Arial"/>
          <w:sz w:val="24"/>
          <w:szCs w:val="24"/>
          <w:lang w:eastAsia="en-GB"/>
        </w:rPr>
      </w:pPr>
    </w:p>
    <w:p w14:paraId="07B3786A">
      <w:pPr>
        <w:spacing w:before="100" w:beforeAutospacing="1" w:after="100" w:afterAutospacing="1" w:line="360" w:lineRule="auto"/>
        <w:jc w:val="both"/>
        <w:rPr>
          <w:rFonts w:ascii="Arial" w:hAnsi="Arial" w:eastAsia="Times New Roman" w:cs="Arial"/>
          <w:sz w:val="24"/>
          <w:szCs w:val="24"/>
          <w:lang w:eastAsia="en-GB"/>
        </w:rPr>
      </w:pPr>
    </w:p>
    <w:p w14:paraId="0B1F21A0">
      <w:pPr>
        <w:spacing w:before="100" w:beforeAutospacing="1" w:after="100" w:afterAutospacing="1" w:line="360" w:lineRule="auto"/>
        <w:jc w:val="both"/>
        <w:rPr>
          <w:rFonts w:ascii="Arial" w:hAnsi="Arial" w:eastAsia="Times New Roman" w:cs="Arial"/>
          <w:sz w:val="24"/>
          <w:szCs w:val="24"/>
          <w:lang w:eastAsia="en-GB"/>
        </w:rPr>
      </w:pPr>
    </w:p>
    <w:p w14:paraId="4459A38F">
      <w:pPr>
        <w:spacing w:before="100" w:beforeAutospacing="1" w:after="100" w:afterAutospacing="1" w:line="360" w:lineRule="auto"/>
        <w:jc w:val="both"/>
        <w:rPr>
          <w:rFonts w:ascii="Arial" w:hAnsi="Arial" w:eastAsia="Times New Roman" w:cs="Arial"/>
          <w:sz w:val="24"/>
          <w:szCs w:val="24"/>
          <w:lang w:eastAsia="en-GB"/>
        </w:rPr>
      </w:pPr>
    </w:p>
    <w:p w14:paraId="3DE473C6">
      <w:pPr>
        <w:spacing w:before="100" w:beforeAutospacing="1" w:after="100" w:afterAutospacing="1" w:line="360" w:lineRule="auto"/>
        <w:jc w:val="both"/>
        <w:rPr>
          <w:rFonts w:ascii="Arial" w:hAnsi="Arial" w:eastAsia="Times New Roman" w:cs="Arial"/>
          <w:sz w:val="24"/>
          <w:szCs w:val="24"/>
          <w:lang w:eastAsia="en-GB"/>
        </w:rPr>
      </w:pPr>
    </w:p>
    <w:p w14:paraId="003A5012">
      <w:pPr>
        <w:spacing w:before="100" w:beforeAutospacing="1" w:after="100" w:afterAutospacing="1" w:line="360" w:lineRule="auto"/>
        <w:jc w:val="both"/>
        <w:rPr>
          <w:rFonts w:ascii="Arial" w:hAnsi="Arial" w:eastAsia="Times New Roman" w:cs="Arial"/>
          <w:sz w:val="24"/>
          <w:szCs w:val="24"/>
          <w:lang w:eastAsia="en-GB"/>
        </w:rPr>
      </w:pPr>
    </w:p>
    <w:p w14:paraId="581E6D8C">
      <w:pPr>
        <w:pStyle w:val="2"/>
        <w:spacing w:line="360" w:lineRule="auto"/>
        <w:rPr>
          <w:rFonts w:cs="Arial"/>
        </w:rPr>
      </w:pPr>
      <w:bookmarkStart w:id="28" w:name="_Toc233231414"/>
      <w:r>
        <w:rPr>
          <w:rFonts w:cs="Arial"/>
        </w:rPr>
        <w:t>References</w:t>
      </w:r>
      <w:bookmarkEnd w:id="28"/>
    </w:p>
    <w:p w14:paraId="225D77BE">
      <w:pPr>
        <w:pStyle w:val="12"/>
        <w:spacing w:line="360" w:lineRule="auto"/>
        <w:rPr>
          <w:rFonts w:ascii="Arial" w:hAnsi="Arial" w:cs="Arial"/>
        </w:rPr>
      </w:pPr>
      <w:r>
        <w:rPr>
          <w:rFonts w:ascii="Arial" w:hAnsi="Arial" w:cs="Arial"/>
        </w:rPr>
        <w:t xml:space="preserve">Association for Project Management (2020) </w:t>
      </w:r>
      <w:r>
        <w:rPr>
          <w:rStyle w:val="8"/>
          <w:rFonts w:ascii="Arial" w:hAnsi="Arial" w:cs="Arial"/>
        </w:rPr>
        <w:t>APM Body of Knowledge</w:t>
      </w:r>
      <w:r>
        <w:rPr>
          <w:rFonts w:ascii="Arial" w:hAnsi="Arial" w:cs="Arial"/>
        </w:rPr>
        <w:t>. 7th edn. Princes Risborough: Association for Project Management.</w:t>
      </w:r>
    </w:p>
    <w:p w14:paraId="76C77AC1">
      <w:pPr>
        <w:pStyle w:val="12"/>
        <w:spacing w:line="360" w:lineRule="auto"/>
        <w:rPr>
          <w:rFonts w:ascii="Arial" w:hAnsi="Arial" w:cs="Arial"/>
        </w:rPr>
      </w:pPr>
      <w:r>
        <w:rPr>
          <w:rFonts w:ascii="Arial" w:hAnsi="Arial" w:cs="Arial"/>
        </w:rPr>
        <w:t>Bourne, L. (2010) ‘Stakeholder Relationship Management: Using the Stakeholder Circle Methodology for More Effective Stakeholder Engagement of Senior Management’, Paper presented at the 7th Project Management National Benchmarking Forum, PMI Chapter, Rio de Janeiro, Brazil, 24–26 November.</w:t>
      </w:r>
    </w:p>
    <w:p w14:paraId="5DBD29EF">
      <w:pPr>
        <w:pStyle w:val="12"/>
        <w:spacing w:line="360" w:lineRule="auto"/>
        <w:rPr>
          <w:rFonts w:ascii="Arial" w:hAnsi="Arial" w:cs="Arial"/>
        </w:rPr>
      </w:pPr>
      <w:r>
        <w:rPr>
          <w:rFonts w:ascii="Arial" w:hAnsi="Arial" w:cs="Arial"/>
        </w:rPr>
        <w:t xml:space="preserve">Bourne, L. (2016) </w:t>
      </w:r>
      <w:r>
        <w:rPr>
          <w:rStyle w:val="8"/>
          <w:rFonts w:ascii="Arial" w:hAnsi="Arial" w:cs="Arial"/>
        </w:rPr>
        <w:t>Stakeholder Relationship Management: A Maturity Model for Organisational Implementation</w:t>
      </w:r>
      <w:r>
        <w:rPr>
          <w:rFonts w:ascii="Arial" w:hAnsi="Arial" w:cs="Arial"/>
        </w:rPr>
        <w:t>. New York: Routledge.</w:t>
      </w:r>
    </w:p>
    <w:p w14:paraId="3CFE9E5A">
      <w:pPr>
        <w:pStyle w:val="12"/>
        <w:spacing w:line="360" w:lineRule="auto"/>
        <w:rPr>
          <w:rFonts w:ascii="Arial" w:hAnsi="Arial" w:cs="Arial"/>
        </w:rPr>
      </w:pPr>
      <w:r>
        <w:rPr>
          <w:rFonts w:ascii="Arial" w:hAnsi="Arial" w:cs="Arial"/>
        </w:rPr>
        <w:t>Carroll, A.B., Brown, J.A. and Buchholtz, A.K. (2017) Business &amp; Society: Ethics, Sustainability and Stakeholder Management. 10th edn. Boston, MA: Cengage Learning.</w:t>
      </w:r>
    </w:p>
    <w:p w14:paraId="0F0DA516">
      <w:pPr>
        <w:pStyle w:val="12"/>
        <w:spacing w:line="360" w:lineRule="auto"/>
        <w:rPr>
          <w:rFonts w:ascii="Arial" w:hAnsi="Arial" w:cs="Arial"/>
        </w:rPr>
      </w:pPr>
      <w:r>
        <w:rPr>
          <w:rFonts w:ascii="Arial" w:hAnsi="Arial" w:cs="Arial"/>
        </w:rPr>
        <w:t xml:space="preserve">Eskerod, P. and Jepsen, A.L. (2016) </w:t>
      </w:r>
      <w:r>
        <w:rPr>
          <w:rStyle w:val="8"/>
          <w:rFonts w:ascii="Arial" w:hAnsi="Arial" w:cs="Arial"/>
        </w:rPr>
        <w:t>Project Stakeholder Management</w:t>
      </w:r>
      <w:r>
        <w:rPr>
          <w:rFonts w:ascii="Arial" w:hAnsi="Arial" w:cs="Arial"/>
        </w:rPr>
        <w:t>. 2nd edn. London: Routledge.</w:t>
      </w:r>
    </w:p>
    <w:p w14:paraId="1982EDEC">
      <w:pPr>
        <w:pStyle w:val="12"/>
        <w:spacing w:line="360" w:lineRule="auto"/>
        <w:rPr>
          <w:rFonts w:ascii="Arial" w:hAnsi="Arial" w:cs="Arial"/>
        </w:rPr>
      </w:pPr>
      <w:r>
        <w:rPr>
          <w:rFonts w:ascii="Arial" w:hAnsi="Arial" w:cs="Arial"/>
        </w:rPr>
        <w:t xml:space="preserve">European Commission (2024) </w:t>
      </w:r>
      <w:r>
        <w:rPr>
          <w:rStyle w:val="8"/>
          <w:rFonts w:ascii="Arial" w:hAnsi="Arial" w:cs="Arial"/>
        </w:rPr>
        <w:t>Data Protection and GDPR Compliance Guidance</w:t>
      </w:r>
      <w:r>
        <w:rPr>
          <w:rFonts w:ascii="Arial" w:hAnsi="Arial" w:cs="Arial"/>
        </w:rPr>
        <w:t>. Brussels: European Commission.</w:t>
      </w:r>
    </w:p>
    <w:p w14:paraId="4EEE41A9">
      <w:pPr>
        <w:pStyle w:val="12"/>
        <w:spacing w:line="360" w:lineRule="auto"/>
        <w:rPr>
          <w:rFonts w:ascii="Arial" w:hAnsi="Arial" w:cs="Arial"/>
        </w:rPr>
      </w:pPr>
      <w:r>
        <w:rPr>
          <w:rFonts w:ascii="Arial" w:hAnsi="Arial" w:cs="Arial"/>
        </w:rPr>
        <w:t xml:space="preserve">Freeman, R.E. (1984) </w:t>
      </w:r>
      <w:r>
        <w:rPr>
          <w:rStyle w:val="8"/>
          <w:rFonts w:ascii="Arial" w:hAnsi="Arial" w:cs="Arial"/>
        </w:rPr>
        <w:t>Strategic Management: A Stakeholder Approach</w:t>
      </w:r>
      <w:r>
        <w:rPr>
          <w:rFonts w:ascii="Arial" w:hAnsi="Arial" w:cs="Arial"/>
        </w:rPr>
        <w:t>. Boston, MA: Pitman.</w:t>
      </w:r>
    </w:p>
    <w:p w14:paraId="2559E2D0">
      <w:pPr>
        <w:pStyle w:val="12"/>
        <w:spacing w:line="360" w:lineRule="auto"/>
        <w:rPr>
          <w:rFonts w:ascii="Arial" w:hAnsi="Arial" w:cs="Arial"/>
        </w:rPr>
      </w:pPr>
      <w:r>
        <w:rPr>
          <w:rFonts w:ascii="Arial" w:hAnsi="Arial" w:cs="Arial"/>
        </w:rPr>
        <w:t xml:space="preserve">Freeman, R.E., Phillips, R. and Wicks, A.C. (2003) ‘What Stakeholder Theory Is Not’, </w:t>
      </w:r>
      <w:r>
        <w:rPr>
          <w:rStyle w:val="8"/>
          <w:rFonts w:ascii="Arial" w:hAnsi="Arial" w:cs="Arial"/>
        </w:rPr>
        <w:t>Business Ethics Quarterly</w:t>
      </w:r>
      <w:r>
        <w:rPr>
          <w:rFonts w:ascii="Arial" w:hAnsi="Arial" w:cs="Arial"/>
        </w:rPr>
        <w:t>, 13(4), pp. 479–502.</w:t>
      </w:r>
    </w:p>
    <w:p w14:paraId="045F070E">
      <w:pPr>
        <w:pStyle w:val="12"/>
        <w:spacing w:line="360" w:lineRule="auto"/>
        <w:rPr>
          <w:rFonts w:ascii="Arial" w:hAnsi="Arial" w:cs="Arial"/>
        </w:rPr>
      </w:pPr>
      <w:r>
        <w:rPr>
          <w:rFonts w:ascii="Arial" w:hAnsi="Arial" w:cs="Arial"/>
        </w:rPr>
        <w:t xml:space="preserve">Freeman, R.E., Harrison, J.S., Wicks, A.C., Parmar, B. and de Colle, S. (2010) </w:t>
      </w:r>
      <w:r>
        <w:rPr>
          <w:rStyle w:val="8"/>
          <w:rFonts w:ascii="Arial" w:hAnsi="Arial" w:cs="Arial"/>
        </w:rPr>
        <w:t>Stakeholder Theory: The State of the Art</w:t>
      </w:r>
      <w:r>
        <w:rPr>
          <w:rFonts w:ascii="Arial" w:hAnsi="Arial" w:cs="Arial"/>
        </w:rPr>
        <w:t>. Cambridge: Cambridge University Press.</w:t>
      </w:r>
    </w:p>
    <w:p w14:paraId="4C9E4E1F">
      <w:pPr>
        <w:pStyle w:val="12"/>
        <w:spacing w:line="360" w:lineRule="auto"/>
        <w:rPr>
          <w:rFonts w:ascii="Arial" w:hAnsi="Arial" w:cs="Arial"/>
        </w:rPr>
      </w:pPr>
      <w:r>
        <w:rPr>
          <w:rFonts w:ascii="Arial" w:hAnsi="Arial" w:cs="Arial"/>
        </w:rPr>
        <w:t xml:space="preserve">Harrison, J.S., Barney, J.B., Freeman, R.E. and Phillips, R.A. (2020) </w:t>
      </w:r>
      <w:r>
        <w:rPr>
          <w:rStyle w:val="8"/>
          <w:rFonts w:ascii="Arial" w:hAnsi="Arial" w:cs="Arial"/>
        </w:rPr>
        <w:t>The Cambridge Handbook of Stakeholder Theory</w:t>
      </w:r>
      <w:r>
        <w:rPr>
          <w:rFonts w:ascii="Arial" w:hAnsi="Arial" w:cs="Arial"/>
        </w:rPr>
        <w:t>. Cambridge: Cambridge University Press.</w:t>
      </w:r>
    </w:p>
    <w:p w14:paraId="7027D147">
      <w:pPr>
        <w:pStyle w:val="12"/>
        <w:spacing w:line="360" w:lineRule="auto"/>
        <w:rPr>
          <w:rFonts w:ascii="Arial" w:hAnsi="Arial" w:cs="Arial"/>
        </w:rPr>
      </w:pPr>
      <w:r>
        <w:rPr>
          <w:rFonts w:ascii="Arial" w:hAnsi="Arial" w:cs="Arial"/>
        </w:rPr>
        <w:t xml:space="preserve">Kerzner, H. (2022) </w:t>
      </w:r>
      <w:r>
        <w:rPr>
          <w:rStyle w:val="8"/>
          <w:rFonts w:ascii="Arial" w:hAnsi="Arial" w:cs="Arial"/>
        </w:rPr>
        <w:t>Project Management: A Systems Approach to Planning, Scheduling, and Controlling</w:t>
      </w:r>
      <w:r>
        <w:rPr>
          <w:rFonts w:ascii="Arial" w:hAnsi="Arial" w:cs="Arial"/>
        </w:rPr>
        <w:t>. 13th edn. Hoboken, NJ: Wiley.</w:t>
      </w:r>
    </w:p>
    <w:p w14:paraId="42947EB7">
      <w:pPr>
        <w:pStyle w:val="12"/>
        <w:spacing w:line="360" w:lineRule="auto"/>
        <w:rPr>
          <w:rFonts w:ascii="Arial" w:hAnsi="Arial" w:cs="Arial"/>
        </w:rPr>
      </w:pPr>
      <w:r>
        <w:rPr>
          <w:rFonts w:ascii="Arial" w:hAnsi="Arial" w:cs="Arial"/>
        </w:rPr>
        <w:t xml:space="preserve">Kujala, J., Sachs, S., Leinonen, H., Heikkinen, A. and Laude, D. (2022) ‘Stakeholder Engagement: Past, Present and Future’, </w:t>
      </w:r>
      <w:r>
        <w:rPr>
          <w:rStyle w:val="8"/>
          <w:rFonts w:ascii="Arial" w:hAnsi="Arial" w:cs="Arial"/>
        </w:rPr>
        <w:t>Business &amp; Society</w:t>
      </w:r>
      <w:r>
        <w:rPr>
          <w:rFonts w:ascii="Arial" w:hAnsi="Arial" w:cs="Arial"/>
        </w:rPr>
        <w:t>, 61(5), pp. 1136–1196.</w:t>
      </w:r>
    </w:p>
    <w:p w14:paraId="55CDF7F0">
      <w:pPr>
        <w:pStyle w:val="12"/>
        <w:spacing w:line="360" w:lineRule="auto"/>
        <w:rPr>
          <w:rFonts w:ascii="Arial" w:hAnsi="Arial" w:cs="Arial"/>
        </w:rPr>
      </w:pPr>
      <w:r>
        <w:rPr>
          <w:rFonts w:ascii="Arial" w:hAnsi="Arial" w:cs="Arial"/>
        </w:rPr>
        <w:t>Mendelow, A.L. (1991) ‘Stakeholder Mapping’, Proceedings of the 2nd International Conference on Information Systems.</w:t>
      </w:r>
    </w:p>
    <w:p w14:paraId="59AD9AA3">
      <w:pPr>
        <w:pStyle w:val="12"/>
        <w:spacing w:line="360" w:lineRule="auto"/>
        <w:rPr>
          <w:rFonts w:ascii="Arial" w:hAnsi="Arial" w:cs="Arial"/>
        </w:rPr>
      </w:pPr>
      <w:r>
        <w:rPr>
          <w:rFonts w:ascii="Arial" w:hAnsi="Arial" w:cs="Arial"/>
        </w:rPr>
        <w:t xml:space="preserve">Mitchell, R.K., Agle, B.R. and Wood, D.J. (1997) ‘Toward a Theory of Stakeholder Identification and Salience: Defining the Principle of Who and What Really Counts’, </w:t>
      </w:r>
      <w:r>
        <w:rPr>
          <w:rStyle w:val="8"/>
          <w:rFonts w:ascii="Arial" w:hAnsi="Arial" w:cs="Arial"/>
        </w:rPr>
        <w:t>Academy of Management Review</w:t>
      </w:r>
      <w:r>
        <w:rPr>
          <w:rFonts w:ascii="Arial" w:hAnsi="Arial" w:cs="Arial"/>
        </w:rPr>
        <w:t>, 22(4), pp. 853–886.</w:t>
      </w:r>
    </w:p>
    <w:p w14:paraId="741240FE">
      <w:pPr>
        <w:pStyle w:val="12"/>
        <w:spacing w:line="360" w:lineRule="auto"/>
        <w:rPr>
          <w:rFonts w:ascii="Arial" w:hAnsi="Arial" w:cs="Arial"/>
        </w:rPr>
      </w:pPr>
      <w:r>
        <w:rPr>
          <w:rFonts w:ascii="Arial" w:hAnsi="Arial" w:cs="Arial"/>
        </w:rPr>
        <w:t xml:space="preserve">Pfeffer, J. and Salancik, G.R. (1978) </w:t>
      </w:r>
      <w:r>
        <w:rPr>
          <w:rStyle w:val="8"/>
          <w:rFonts w:ascii="Arial" w:hAnsi="Arial" w:cs="Arial"/>
        </w:rPr>
        <w:t>The External Control of Organizations: A Resource Dependence Perspective</w:t>
      </w:r>
      <w:r>
        <w:rPr>
          <w:rFonts w:ascii="Arial" w:hAnsi="Arial" w:cs="Arial"/>
        </w:rPr>
        <w:t>. New York: Harper &amp; Row.</w:t>
      </w:r>
    </w:p>
    <w:p w14:paraId="7B54520C">
      <w:pPr>
        <w:pStyle w:val="12"/>
        <w:spacing w:line="360" w:lineRule="auto"/>
        <w:rPr>
          <w:rFonts w:ascii="Arial" w:hAnsi="Arial" w:cs="Arial"/>
        </w:rPr>
      </w:pPr>
      <w:r>
        <w:rPr>
          <w:rFonts w:ascii="Arial" w:hAnsi="Arial" w:cs="Arial"/>
        </w:rPr>
        <w:t xml:space="preserve">Project Management Institute (PMI) (2021) </w:t>
      </w:r>
      <w:r>
        <w:rPr>
          <w:rStyle w:val="8"/>
          <w:rFonts w:ascii="Arial" w:hAnsi="Arial" w:cs="Arial"/>
        </w:rPr>
        <w:t>A Guide to the Project Management Body of Knowledge (PMBOK® Guide)</w:t>
      </w:r>
      <w:r>
        <w:rPr>
          <w:rFonts w:ascii="Arial" w:hAnsi="Arial" w:cs="Arial"/>
        </w:rPr>
        <w:t>. 7th edn. Newtown Square, PA: Project Management Institute.</w:t>
      </w:r>
    </w:p>
    <w:p w14:paraId="6CDC8746">
      <w:pPr>
        <w:pStyle w:val="12"/>
        <w:spacing w:line="360" w:lineRule="auto"/>
        <w:rPr>
          <w:rFonts w:ascii="Arial" w:hAnsi="Arial" w:cs="Arial"/>
        </w:rPr>
      </w:pPr>
      <w:r>
        <w:rPr>
          <w:rFonts w:ascii="Arial" w:hAnsi="Arial" w:cs="Arial"/>
        </w:rPr>
        <w:t xml:space="preserve">UK Information Commissioner’s Office (2024) </w:t>
      </w:r>
      <w:r>
        <w:rPr>
          <w:rStyle w:val="8"/>
          <w:rFonts w:ascii="Arial" w:hAnsi="Arial" w:cs="Arial"/>
        </w:rPr>
        <w:t>Guide to the UK General Data Protection Regulation (UK GDPR)</w:t>
      </w:r>
      <w:r>
        <w:rPr>
          <w:rFonts w:ascii="Arial" w:hAnsi="Arial" w:cs="Arial"/>
        </w:rPr>
        <w:t>. Wilmslow: Information Commissioner’s Office.</w:t>
      </w:r>
    </w:p>
    <w:p w14:paraId="633E7E71">
      <w:pPr>
        <w:pStyle w:val="12"/>
        <w:spacing w:line="360" w:lineRule="auto"/>
        <w:rPr>
          <w:rFonts w:ascii="Arial" w:hAnsi="Arial" w:cs="Arial"/>
        </w:rPr>
      </w:pPr>
      <w:r>
        <w:rPr>
          <w:rFonts w:ascii="Arial" w:hAnsi="Arial" w:cs="Arial"/>
        </w:rPr>
        <w:t xml:space="preserve">Verhoef, P.C., Broekhuizen, T., Bart, Y., Bhattacharya, A., Dong, J.Q., Fabian, N. and Haenlein, M. (2021) ‘Digital Transformation: A Multidisciplinary Reflection and Research Agenda’, </w:t>
      </w:r>
      <w:r>
        <w:rPr>
          <w:rStyle w:val="8"/>
          <w:rFonts w:ascii="Arial" w:hAnsi="Arial" w:cs="Arial"/>
        </w:rPr>
        <w:t>Journal of Business Research</w:t>
      </w:r>
      <w:r>
        <w:rPr>
          <w:rFonts w:ascii="Arial" w:hAnsi="Arial" w:cs="Arial"/>
        </w:rPr>
        <w:t>, 122, pp. 889–901.</w:t>
      </w:r>
    </w:p>
    <w:sectPr>
      <w:headerReference r:id="rId5" w:type="default"/>
      <w:pgSz w:w="11906" w:h="16838"/>
      <w:pgMar w:top="1440" w:right="1080" w:bottom="1440" w:left="108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b/>
        <w:sz w:val="34"/>
      </w:rPr>
      <w:id w:val="-1227985246"/>
      <w:docPartObj>
        <w:docPartGallery w:val="AutoText"/>
      </w:docPartObj>
    </w:sdtPr>
    <w:sdtEndPr>
      <w:rPr>
        <w:b/>
        <w:sz w:val="34"/>
      </w:rPr>
    </w:sdtEndPr>
    <w:sdtContent>
      <w:p w14:paraId="407BE864">
        <w:pPr>
          <w:pStyle w:val="10"/>
          <w:jc w:val="center"/>
          <w:rPr>
            <w:b/>
            <w:sz w:val="34"/>
          </w:rPr>
        </w:pPr>
        <w:r>
          <w:rPr>
            <w:b/>
            <w:sz w:val="34"/>
          </w:rPr>
          <w:fldChar w:fldCharType="begin"/>
        </w:r>
        <w:r>
          <w:rPr>
            <w:b/>
            <w:sz w:val="34"/>
          </w:rPr>
          <w:instrText xml:space="preserve"> PAGE   \* MERGEFORMAT </w:instrText>
        </w:r>
        <w:r>
          <w:rPr>
            <w:b/>
            <w:sz w:val="34"/>
          </w:rPr>
          <w:fldChar w:fldCharType="separate"/>
        </w:r>
        <w:r>
          <w:rPr>
            <w:b/>
            <w:sz w:val="34"/>
          </w:rPr>
          <w:t>25</w:t>
        </w:r>
        <w:r>
          <w:rPr>
            <w:b/>
            <w:sz w:val="3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44B68F5"/>
    <w:multiLevelType w:val="multilevel"/>
    <w:tmpl w:val="344B68F5"/>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346"/>
    <w:rsid w:val="00005B20"/>
    <w:rsid w:val="0001170E"/>
    <w:rsid w:val="00011E85"/>
    <w:rsid w:val="00012A76"/>
    <w:rsid w:val="00014FFE"/>
    <w:rsid w:val="00020CEB"/>
    <w:rsid w:val="00024BA0"/>
    <w:rsid w:val="00027474"/>
    <w:rsid w:val="000300D7"/>
    <w:rsid w:val="00031BDD"/>
    <w:rsid w:val="00033F4F"/>
    <w:rsid w:val="000340A5"/>
    <w:rsid w:val="00035416"/>
    <w:rsid w:val="0003684F"/>
    <w:rsid w:val="00047ABB"/>
    <w:rsid w:val="00051009"/>
    <w:rsid w:val="00051419"/>
    <w:rsid w:val="0005458D"/>
    <w:rsid w:val="00055710"/>
    <w:rsid w:val="00056577"/>
    <w:rsid w:val="000573B8"/>
    <w:rsid w:val="00062C77"/>
    <w:rsid w:val="000644D0"/>
    <w:rsid w:val="000657D2"/>
    <w:rsid w:val="00071437"/>
    <w:rsid w:val="0007350E"/>
    <w:rsid w:val="00073906"/>
    <w:rsid w:val="00081842"/>
    <w:rsid w:val="00083AED"/>
    <w:rsid w:val="0009241F"/>
    <w:rsid w:val="000961DC"/>
    <w:rsid w:val="00096A35"/>
    <w:rsid w:val="000A393F"/>
    <w:rsid w:val="000A5BEE"/>
    <w:rsid w:val="000A71F1"/>
    <w:rsid w:val="000B519E"/>
    <w:rsid w:val="000C677A"/>
    <w:rsid w:val="000C797E"/>
    <w:rsid w:val="000D0CDE"/>
    <w:rsid w:val="000D474F"/>
    <w:rsid w:val="000D486F"/>
    <w:rsid w:val="000D51A0"/>
    <w:rsid w:val="000E0AB6"/>
    <w:rsid w:val="000E72DB"/>
    <w:rsid w:val="000E79F4"/>
    <w:rsid w:val="000F1B89"/>
    <w:rsid w:val="000F7F62"/>
    <w:rsid w:val="001026C9"/>
    <w:rsid w:val="00102EE5"/>
    <w:rsid w:val="00103FAD"/>
    <w:rsid w:val="00111346"/>
    <w:rsid w:val="00112D7F"/>
    <w:rsid w:val="0011599E"/>
    <w:rsid w:val="001267FE"/>
    <w:rsid w:val="00130823"/>
    <w:rsid w:val="00132E26"/>
    <w:rsid w:val="00136465"/>
    <w:rsid w:val="00140790"/>
    <w:rsid w:val="001534FE"/>
    <w:rsid w:val="00154D5D"/>
    <w:rsid w:val="00160DFE"/>
    <w:rsid w:val="00162FCB"/>
    <w:rsid w:val="00166D85"/>
    <w:rsid w:val="00173EF7"/>
    <w:rsid w:val="00174B67"/>
    <w:rsid w:val="001839D5"/>
    <w:rsid w:val="00185AFB"/>
    <w:rsid w:val="00185F2A"/>
    <w:rsid w:val="00190FC1"/>
    <w:rsid w:val="001929FC"/>
    <w:rsid w:val="00195542"/>
    <w:rsid w:val="00195D28"/>
    <w:rsid w:val="001A486A"/>
    <w:rsid w:val="001A4FFD"/>
    <w:rsid w:val="001B0C3E"/>
    <w:rsid w:val="001B36DB"/>
    <w:rsid w:val="001B44B2"/>
    <w:rsid w:val="001B6536"/>
    <w:rsid w:val="001B66BE"/>
    <w:rsid w:val="001C6410"/>
    <w:rsid w:val="001C651D"/>
    <w:rsid w:val="001D366D"/>
    <w:rsid w:val="001D45BE"/>
    <w:rsid w:val="001D4CC9"/>
    <w:rsid w:val="001D6A9F"/>
    <w:rsid w:val="001D7EEF"/>
    <w:rsid w:val="001E04C2"/>
    <w:rsid w:val="001E1B51"/>
    <w:rsid w:val="001E1CF1"/>
    <w:rsid w:val="001E389D"/>
    <w:rsid w:val="001E5029"/>
    <w:rsid w:val="001E6E8A"/>
    <w:rsid w:val="001F427E"/>
    <w:rsid w:val="002163EA"/>
    <w:rsid w:val="002217A4"/>
    <w:rsid w:val="00222790"/>
    <w:rsid w:val="002244EA"/>
    <w:rsid w:val="00230EA4"/>
    <w:rsid w:val="00236D32"/>
    <w:rsid w:val="002407DF"/>
    <w:rsid w:val="00240804"/>
    <w:rsid w:val="002410ED"/>
    <w:rsid w:val="00242B69"/>
    <w:rsid w:val="002440E3"/>
    <w:rsid w:val="00246128"/>
    <w:rsid w:val="00250267"/>
    <w:rsid w:val="0025057B"/>
    <w:rsid w:val="00252479"/>
    <w:rsid w:val="00254613"/>
    <w:rsid w:val="002634A6"/>
    <w:rsid w:val="00266379"/>
    <w:rsid w:val="00270819"/>
    <w:rsid w:val="00274048"/>
    <w:rsid w:val="002758B8"/>
    <w:rsid w:val="0027614D"/>
    <w:rsid w:val="00276974"/>
    <w:rsid w:val="00282033"/>
    <w:rsid w:val="002863D6"/>
    <w:rsid w:val="00292689"/>
    <w:rsid w:val="0029602F"/>
    <w:rsid w:val="00297FB5"/>
    <w:rsid w:val="002A083E"/>
    <w:rsid w:val="002A6FBE"/>
    <w:rsid w:val="002B0168"/>
    <w:rsid w:val="002B3625"/>
    <w:rsid w:val="002B4C7E"/>
    <w:rsid w:val="002C20A2"/>
    <w:rsid w:val="002C37E1"/>
    <w:rsid w:val="002C678A"/>
    <w:rsid w:val="002D2567"/>
    <w:rsid w:val="002D2655"/>
    <w:rsid w:val="002D4471"/>
    <w:rsid w:val="002D466F"/>
    <w:rsid w:val="002D5536"/>
    <w:rsid w:val="002D59D2"/>
    <w:rsid w:val="002D6EF2"/>
    <w:rsid w:val="002E2F53"/>
    <w:rsid w:val="002E30BD"/>
    <w:rsid w:val="002E3C58"/>
    <w:rsid w:val="002E62E4"/>
    <w:rsid w:val="002F550F"/>
    <w:rsid w:val="002F77CE"/>
    <w:rsid w:val="00300B7F"/>
    <w:rsid w:val="00302BF8"/>
    <w:rsid w:val="003046FB"/>
    <w:rsid w:val="00307CF9"/>
    <w:rsid w:val="00307E0D"/>
    <w:rsid w:val="00307EB5"/>
    <w:rsid w:val="003107F2"/>
    <w:rsid w:val="003155A6"/>
    <w:rsid w:val="0031595A"/>
    <w:rsid w:val="00323D9D"/>
    <w:rsid w:val="00326437"/>
    <w:rsid w:val="003272FB"/>
    <w:rsid w:val="003334EA"/>
    <w:rsid w:val="00336012"/>
    <w:rsid w:val="0034583F"/>
    <w:rsid w:val="003472F1"/>
    <w:rsid w:val="0035276E"/>
    <w:rsid w:val="003537CE"/>
    <w:rsid w:val="00356802"/>
    <w:rsid w:val="00361E51"/>
    <w:rsid w:val="0036250A"/>
    <w:rsid w:val="00366E3B"/>
    <w:rsid w:val="00385E64"/>
    <w:rsid w:val="00395D5E"/>
    <w:rsid w:val="003A075E"/>
    <w:rsid w:val="003A0E4C"/>
    <w:rsid w:val="003A278C"/>
    <w:rsid w:val="003A4456"/>
    <w:rsid w:val="003A55F1"/>
    <w:rsid w:val="003B056F"/>
    <w:rsid w:val="003C5E3C"/>
    <w:rsid w:val="003E1333"/>
    <w:rsid w:val="003E4F1C"/>
    <w:rsid w:val="003E6C21"/>
    <w:rsid w:val="003E7977"/>
    <w:rsid w:val="003F4B76"/>
    <w:rsid w:val="004123E1"/>
    <w:rsid w:val="0041573D"/>
    <w:rsid w:val="0041656B"/>
    <w:rsid w:val="00420130"/>
    <w:rsid w:val="00420CAD"/>
    <w:rsid w:val="0042240C"/>
    <w:rsid w:val="00422D14"/>
    <w:rsid w:val="00426244"/>
    <w:rsid w:val="0043191F"/>
    <w:rsid w:val="004320EC"/>
    <w:rsid w:val="00435094"/>
    <w:rsid w:val="004416B1"/>
    <w:rsid w:val="00443808"/>
    <w:rsid w:val="004462AC"/>
    <w:rsid w:val="00456494"/>
    <w:rsid w:val="00456B14"/>
    <w:rsid w:val="00460356"/>
    <w:rsid w:val="004634BF"/>
    <w:rsid w:val="004645E2"/>
    <w:rsid w:val="00465FE1"/>
    <w:rsid w:val="004711DD"/>
    <w:rsid w:val="00475309"/>
    <w:rsid w:val="004770B9"/>
    <w:rsid w:val="004804F8"/>
    <w:rsid w:val="00483440"/>
    <w:rsid w:val="004847EB"/>
    <w:rsid w:val="00484C37"/>
    <w:rsid w:val="004919A1"/>
    <w:rsid w:val="00493FE2"/>
    <w:rsid w:val="004A05D1"/>
    <w:rsid w:val="004A38C4"/>
    <w:rsid w:val="004B227E"/>
    <w:rsid w:val="004B622F"/>
    <w:rsid w:val="004C2136"/>
    <w:rsid w:val="004C5183"/>
    <w:rsid w:val="004C7277"/>
    <w:rsid w:val="004F1E39"/>
    <w:rsid w:val="004F4CDF"/>
    <w:rsid w:val="004F5E20"/>
    <w:rsid w:val="00503D1A"/>
    <w:rsid w:val="00506005"/>
    <w:rsid w:val="0050765F"/>
    <w:rsid w:val="00511EA7"/>
    <w:rsid w:val="0051257A"/>
    <w:rsid w:val="005127FB"/>
    <w:rsid w:val="00524DB2"/>
    <w:rsid w:val="00525A0C"/>
    <w:rsid w:val="00531F45"/>
    <w:rsid w:val="00533EDE"/>
    <w:rsid w:val="00537613"/>
    <w:rsid w:val="0054626C"/>
    <w:rsid w:val="00546781"/>
    <w:rsid w:val="00553FE7"/>
    <w:rsid w:val="00560EC2"/>
    <w:rsid w:val="00562C18"/>
    <w:rsid w:val="00564215"/>
    <w:rsid w:val="00564965"/>
    <w:rsid w:val="00566711"/>
    <w:rsid w:val="00567756"/>
    <w:rsid w:val="00570081"/>
    <w:rsid w:val="00574C72"/>
    <w:rsid w:val="005859C1"/>
    <w:rsid w:val="005936D0"/>
    <w:rsid w:val="005A1BD1"/>
    <w:rsid w:val="005A3209"/>
    <w:rsid w:val="005A3DB5"/>
    <w:rsid w:val="005A46D1"/>
    <w:rsid w:val="005A5138"/>
    <w:rsid w:val="005B0EAB"/>
    <w:rsid w:val="005B2D9A"/>
    <w:rsid w:val="005B37A7"/>
    <w:rsid w:val="005B595E"/>
    <w:rsid w:val="005B6FA3"/>
    <w:rsid w:val="005B7077"/>
    <w:rsid w:val="005C602B"/>
    <w:rsid w:val="005D52FC"/>
    <w:rsid w:val="005D786E"/>
    <w:rsid w:val="005F28B5"/>
    <w:rsid w:val="005F34F3"/>
    <w:rsid w:val="005F4B1F"/>
    <w:rsid w:val="005F4E95"/>
    <w:rsid w:val="00602CD7"/>
    <w:rsid w:val="00606447"/>
    <w:rsid w:val="006134C7"/>
    <w:rsid w:val="0062065E"/>
    <w:rsid w:val="00627AC3"/>
    <w:rsid w:val="00634544"/>
    <w:rsid w:val="00635F61"/>
    <w:rsid w:val="00636688"/>
    <w:rsid w:val="00640CF8"/>
    <w:rsid w:val="00646A93"/>
    <w:rsid w:val="00647515"/>
    <w:rsid w:val="00650530"/>
    <w:rsid w:val="00654367"/>
    <w:rsid w:val="006543BE"/>
    <w:rsid w:val="006553D1"/>
    <w:rsid w:val="00655C2D"/>
    <w:rsid w:val="006571C6"/>
    <w:rsid w:val="006613FC"/>
    <w:rsid w:val="00662F24"/>
    <w:rsid w:val="00663415"/>
    <w:rsid w:val="00671D4A"/>
    <w:rsid w:val="00682420"/>
    <w:rsid w:val="0068348A"/>
    <w:rsid w:val="00684F99"/>
    <w:rsid w:val="0068645D"/>
    <w:rsid w:val="006877AC"/>
    <w:rsid w:val="00690B3A"/>
    <w:rsid w:val="0069377A"/>
    <w:rsid w:val="0069697A"/>
    <w:rsid w:val="00697B92"/>
    <w:rsid w:val="006A492B"/>
    <w:rsid w:val="006B3D9E"/>
    <w:rsid w:val="006B565D"/>
    <w:rsid w:val="006B7102"/>
    <w:rsid w:val="006B7AE4"/>
    <w:rsid w:val="006C2B3B"/>
    <w:rsid w:val="006C4CB7"/>
    <w:rsid w:val="006D60AC"/>
    <w:rsid w:val="006D6913"/>
    <w:rsid w:val="006E0497"/>
    <w:rsid w:val="006E3743"/>
    <w:rsid w:val="006E6767"/>
    <w:rsid w:val="006E74CB"/>
    <w:rsid w:val="006F0735"/>
    <w:rsid w:val="006F45D2"/>
    <w:rsid w:val="006F5039"/>
    <w:rsid w:val="006F7CDE"/>
    <w:rsid w:val="007058FC"/>
    <w:rsid w:val="0070692F"/>
    <w:rsid w:val="0071118F"/>
    <w:rsid w:val="007159E3"/>
    <w:rsid w:val="00715AC1"/>
    <w:rsid w:val="00720BB3"/>
    <w:rsid w:val="007279FD"/>
    <w:rsid w:val="00731743"/>
    <w:rsid w:val="00734078"/>
    <w:rsid w:val="00742825"/>
    <w:rsid w:val="00743FDF"/>
    <w:rsid w:val="00744044"/>
    <w:rsid w:val="00744A1E"/>
    <w:rsid w:val="00745953"/>
    <w:rsid w:val="0075039B"/>
    <w:rsid w:val="00750CF3"/>
    <w:rsid w:val="007540F7"/>
    <w:rsid w:val="0075434A"/>
    <w:rsid w:val="00762756"/>
    <w:rsid w:val="0076398A"/>
    <w:rsid w:val="0077458B"/>
    <w:rsid w:val="0077626F"/>
    <w:rsid w:val="00776283"/>
    <w:rsid w:val="007804B4"/>
    <w:rsid w:val="00784581"/>
    <w:rsid w:val="0078537B"/>
    <w:rsid w:val="007910B4"/>
    <w:rsid w:val="0079116C"/>
    <w:rsid w:val="007916DC"/>
    <w:rsid w:val="00792697"/>
    <w:rsid w:val="0079304B"/>
    <w:rsid w:val="0079494A"/>
    <w:rsid w:val="007A5556"/>
    <w:rsid w:val="007B1726"/>
    <w:rsid w:val="007B2B7E"/>
    <w:rsid w:val="007B3D01"/>
    <w:rsid w:val="007C00E4"/>
    <w:rsid w:val="007C33E9"/>
    <w:rsid w:val="007C60EE"/>
    <w:rsid w:val="007D09C6"/>
    <w:rsid w:val="007E11B0"/>
    <w:rsid w:val="007E7410"/>
    <w:rsid w:val="007E75ED"/>
    <w:rsid w:val="007F1C1A"/>
    <w:rsid w:val="007F7BF0"/>
    <w:rsid w:val="00800D07"/>
    <w:rsid w:val="008043A9"/>
    <w:rsid w:val="008072CA"/>
    <w:rsid w:val="008113FB"/>
    <w:rsid w:val="00814C88"/>
    <w:rsid w:val="0081574A"/>
    <w:rsid w:val="008218C8"/>
    <w:rsid w:val="0082590E"/>
    <w:rsid w:val="0083234D"/>
    <w:rsid w:val="00834226"/>
    <w:rsid w:val="00835D1E"/>
    <w:rsid w:val="00841005"/>
    <w:rsid w:val="008462DB"/>
    <w:rsid w:val="00846A47"/>
    <w:rsid w:val="008506E2"/>
    <w:rsid w:val="00855555"/>
    <w:rsid w:val="00863734"/>
    <w:rsid w:val="00870A84"/>
    <w:rsid w:val="00871F27"/>
    <w:rsid w:val="00875355"/>
    <w:rsid w:val="00875B95"/>
    <w:rsid w:val="0088282F"/>
    <w:rsid w:val="00885A05"/>
    <w:rsid w:val="00890A15"/>
    <w:rsid w:val="0089104E"/>
    <w:rsid w:val="00891D16"/>
    <w:rsid w:val="0089455D"/>
    <w:rsid w:val="00896369"/>
    <w:rsid w:val="008A30E9"/>
    <w:rsid w:val="008A59FD"/>
    <w:rsid w:val="008B0CAE"/>
    <w:rsid w:val="008B1B19"/>
    <w:rsid w:val="008B1F38"/>
    <w:rsid w:val="008B2E9D"/>
    <w:rsid w:val="008B5593"/>
    <w:rsid w:val="008B665A"/>
    <w:rsid w:val="008B68C0"/>
    <w:rsid w:val="008C5541"/>
    <w:rsid w:val="008C57A3"/>
    <w:rsid w:val="008D03BF"/>
    <w:rsid w:val="008D7FF0"/>
    <w:rsid w:val="008E0035"/>
    <w:rsid w:val="008E3698"/>
    <w:rsid w:val="008E4594"/>
    <w:rsid w:val="008E6A84"/>
    <w:rsid w:val="008F3076"/>
    <w:rsid w:val="008F759D"/>
    <w:rsid w:val="009027C0"/>
    <w:rsid w:val="00906C9A"/>
    <w:rsid w:val="00907933"/>
    <w:rsid w:val="00925B7D"/>
    <w:rsid w:val="00927A44"/>
    <w:rsid w:val="00933F61"/>
    <w:rsid w:val="00944EC7"/>
    <w:rsid w:val="009456C8"/>
    <w:rsid w:val="009505D4"/>
    <w:rsid w:val="00956DA8"/>
    <w:rsid w:val="00962E56"/>
    <w:rsid w:val="009635AC"/>
    <w:rsid w:val="00964DE6"/>
    <w:rsid w:val="00965B9A"/>
    <w:rsid w:val="00975D66"/>
    <w:rsid w:val="00980834"/>
    <w:rsid w:val="00983479"/>
    <w:rsid w:val="00991DCC"/>
    <w:rsid w:val="009920FB"/>
    <w:rsid w:val="009924C9"/>
    <w:rsid w:val="009A0CE6"/>
    <w:rsid w:val="009A28C6"/>
    <w:rsid w:val="009A2D0F"/>
    <w:rsid w:val="009A3069"/>
    <w:rsid w:val="009A4307"/>
    <w:rsid w:val="009A4EEB"/>
    <w:rsid w:val="009B11E7"/>
    <w:rsid w:val="009B2100"/>
    <w:rsid w:val="009B473E"/>
    <w:rsid w:val="009B67DE"/>
    <w:rsid w:val="009B752F"/>
    <w:rsid w:val="009C1636"/>
    <w:rsid w:val="009C576C"/>
    <w:rsid w:val="009C62F2"/>
    <w:rsid w:val="009C689D"/>
    <w:rsid w:val="009D4A69"/>
    <w:rsid w:val="009D4B04"/>
    <w:rsid w:val="009D602C"/>
    <w:rsid w:val="009D78A3"/>
    <w:rsid w:val="009F0A0A"/>
    <w:rsid w:val="009F11B2"/>
    <w:rsid w:val="009F1764"/>
    <w:rsid w:val="009F2ADA"/>
    <w:rsid w:val="009F3AF1"/>
    <w:rsid w:val="009F45EC"/>
    <w:rsid w:val="00A00987"/>
    <w:rsid w:val="00A13493"/>
    <w:rsid w:val="00A17100"/>
    <w:rsid w:val="00A27434"/>
    <w:rsid w:val="00A33165"/>
    <w:rsid w:val="00A3416D"/>
    <w:rsid w:val="00A35799"/>
    <w:rsid w:val="00A36144"/>
    <w:rsid w:val="00A37061"/>
    <w:rsid w:val="00A41CAD"/>
    <w:rsid w:val="00A439D8"/>
    <w:rsid w:val="00A446BB"/>
    <w:rsid w:val="00A46DE6"/>
    <w:rsid w:val="00A47A2F"/>
    <w:rsid w:val="00A50149"/>
    <w:rsid w:val="00A5287A"/>
    <w:rsid w:val="00A5695F"/>
    <w:rsid w:val="00A56C3E"/>
    <w:rsid w:val="00A56D5D"/>
    <w:rsid w:val="00A57364"/>
    <w:rsid w:val="00A61C3B"/>
    <w:rsid w:val="00A62C4A"/>
    <w:rsid w:val="00A7149C"/>
    <w:rsid w:val="00A80257"/>
    <w:rsid w:val="00A83CF8"/>
    <w:rsid w:val="00A96861"/>
    <w:rsid w:val="00AA43F4"/>
    <w:rsid w:val="00AB231D"/>
    <w:rsid w:val="00AB74EC"/>
    <w:rsid w:val="00AB763A"/>
    <w:rsid w:val="00AB7F6D"/>
    <w:rsid w:val="00AC0D41"/>
    <w:rsid w:val="00AC2469"/>
    <w:rsid w:val="00AC2832"/>
    <w:rsid w:val="00AC5700"/>
    <w:rsid w:val="00AC6F88"/>
    <w:rsid w:val="00AD09DE"/>
    <w:rsid w:val="00AD1AB9"/>
    <w:rsid w:val="00AD37F9"/>
    <w:rsid w:val="00AD6023"/>
    <w:rsid w:val="00AD6836"/>
    <w:rsid w:val="00AE1228"/>
    <w:rsid w:val="00AE40CE"/>
    <w:rsid w:val="00AE5981"/>
    <w:rsid w:val="00AE7B42"/>
    <w:rsid w:val="00AF1FAC"/>
    <w:rsid w:val="00AF2A86"/>
    <w:rsid w:val="00AF6ED7"/>
    <w:rsid w:val="00B02F38"/>
    <w:rsid w:val="00B13427"/>
    <w:rsid w:val="00B249B2"/>
    <w:rsid w:val="00B272D0"/>
    <w:rsid w:val="00B33C4A"/>
    <w:rsid w:val="00B37F7A"/>
    <w:rsid w:val="00B42E6D"/>
    <w:rsid w:val="00B533AC"/>
    <w:rsid w:val="00B54647"/>
    <w:rsid w:val="00B557DB"/>
    <w:rsid w:val="00B62B9E"/>
    <w:rsid w:val="00B66AA5"/>
    <w:rsid w:val="00B677FB"/>
    <w:rsid w:val="00B70F16"/>
    <w:rsid w:val="00B803EE"/>
    <w:rsid w:val="00B8135A"/>
    <w:rsid w:val="00B832C8"/>
    <w:rsid w:val="00B92FEE"/>
    <w:rsid w:val="00B9536B"/>
    <w:rsid w:val="00BA01A6"/>
    <w:rsid w:val="00BA37D0"/>
    <w:rsid w:val="00BB0F9D"/>
    <w:rsid w:val="00BB1CDE"/>
    <w:rsid w:val="00BB32A6"/>
    <w:rsid w:val="00BB5D3C"/>
    <w:rsid w:val="00BB6DCB"/>
    <w:rsid w:val="00BB7282"/>
    <w:rsid w:val="00BB746E"/>
    <w:rsid w:val="00BC3628"/>
    <w:rsid w:val="00BD0B72"/>
    <w:rsid w:val="00BE6219"/>
    <w:rsid w:val="00BE6EDE"/>
    <w:rsid w:val="00BE7936"/>
    <w:rsid w:val="00BE7B93"/>
    <w:rsid w:val="00C00973"/>
    <w:rsid w:val="00C03229"/>
    <w:rsid w:val="00C07036"/>
    <w:rsid w:val="00C07AE5"/>
    <w:rsid w:val="00C100C8"/>
    <w:rsid w:val="00C139A3"/>
    <w:rsid w:val="00C146F3"/>
    <w:rsid w:val="00C2024E"/>
    <w:rsid w:val="00C20CF5"/>
    <w:rsid w:val="00C32C03"/>
    <w:rsid w:val="00C34859"/>
    <w:rsid w:val="00C34AE5"/>
    <w:rsid w:val="00C35B17"/>
    <w:rsid w:val="00C37C6C"/>
    <w:rsid w:val="00C413C0"/>
    <w:rsid w:val="00C42080"/>
    <w:rsid w:val="00C4481F"/>
    <w:rsid w:val="00C501EB"/>
    <w:rsid w:val="00C50BA4"/>
    <w:rsid w:val="00C51B63"/>
    <w:rsid w:val="00C528F2"/>
    <w:rsid w:val="00C52D7A"/>
    <w:rsid w:val="00C56528"/>
    <w:rsid w:val="00C61B01"/>
    <w:rsid w:val="00C61EB3"/>
    <w:rsid w:val="00C74771"/>
    <w:rsid w:val="00C77DD3"/>
    <w:rsid w:val="00C802FE"/>
    <w:rsid w:val="00C80E06"/>
    <w:rsid w:val="00C874E3"/>
    <w:rsid w:val="00C90604"/>
    <w:rsid w:val="00C91471"/>
    <w:rsid w:val="00C95D42"/>
    <w:rsid w:val="00CA0E7A"/>
    <w:rsid w:val="00CB07A1"/>
    <w:rsid w:val="00CB4A52"/>
    <w:rsid w:val="00CB6F16"/>
    <w:rsid w:val="00CC1982"/>
    <w:rsid w:val="00CC6876"/>
    <w:rsid w:val="00CD0CD2"/>
    <w:rsid w:val="00CD341A"/>
    <w:rsid w:val="00CD383B"/>
    <w:rsid w:val="00CE0100"/>
    <w:rsid w:val="00CE0A4A"/>
    <w:rsid w:val="00CE199D"/>
    <w:rsid w:val="00CE3610"/>
    <w:rsid w:val="00CF0580"/>
    <w:rsid w:val="00CF6323"/>
    <w:rsid w:val="00D012D7"/>
    <w:rsid w:val="00D04B1F"/>
    <w:rsid w:val="00D07874"/>
    <w:rsid w:val="00D14E9D"/>
    <w:rsid w:val="00D1545F"/>
    <w:rsid w:val="00D15673"/>
    <w:rsid w:val="00D15704"/>
    <w:rsid w:val="00D16761"/>
    <w:rsid w:val="00D20A38"/>
    <w:rsid w:val="00D23AED"/>
    <w:rsid w:val="00D24753"/>
    <w:rsid w:val="00D266EA"/>
    <w:rsid w:val="00D36D0F"/>
    <w:rsid w:val="00D412A7"/>
    <w:rsid w:val="00D53FC8"/>
    <w:rsid w:val="00D54EE3"/>
    <w:rsid w:val="00D62374"/>
    <w:rsid w:val="00D65746"/>
    <w:rsid w:val="00D65973"/>
    <w:rsid w:val="00D65D2A"/>
    <w:rsid w:val="00D6656E"/>
    <w:rsid w:val="00D7351C"/>
    <w:rsid w:val="00D75FC8"/>
    <w:rsid w:val="00D80DC4"/>
    <w:rsid w:val="00D902A5"/>
    <w:rsid w:val="00DA2B86"/>
    <w:rsid w:val="00DA39CC"/>
    <w:rsid w:val="00DA4229"/>
    <w:rsid w:val="00DA61A7"/>
    <w:rsid w:val="00DB3D16"/>
    <w:rsid w:val="00DB4007"/>
    <w:rsid w:val="00DB45B4"/>
    <w:rsid w:val="00DC4128"/>
    <w:rsid w:val="00DC73B6"/>
    <w:rsid w:val="00DC760B"/>
    <w:rsid w:val="00DD1521"/>
    <w:rsid w:val="00DD2E38"/>
    <w:rsid w:val="00DD38DD"/>
    <w:rsid w:val="00DF768A"/>
    <w:rsid w:val="00E025DF"/>
    <w:rsid w:val="00E079DF"/>
    <w:rsid w:val="00E100CC"/>
    <w:rsid w:val="00E12DD0"/>
    <w:rsid w:val="00E16406"/>
    <w:rsid w:val="00E16556"/>
    <w:rsid w:val="00E1795F"/>
    <w:rsid w:val="00E17C5D"/>
    <w:rsid w:val="00E17F1F"/>
    <w:rsid w:val="00E222BB"/>
    <w:rsid w:val="00E2274C"/>
    <w:rsid w:val="00E31DDA"/>
    <w:rsid w:val="00E32D7F"/>
    <w:rsid w:val="00E41CF4"/>
    <w:rsid w:val="00E4254F"/>
    <w:rsid w:val="00E43105"/>
    <w:rsid w:val="00E4371D"/>
    <w:rsid w:val="00E466B1"/>
    <w:rsid w:val="00E55D83"/>
    <w:rsid w:val="00E5791F"/>
    <w:rsid w:val="00E57FD0"/>
    <w:rsid w:val="00E62800"/>
    <w:rsid w:val="00E70F9E"/>
    <w:rsid w:val="00E71167"/>
    <w:rsid w:val="00E83B3C"/>
    <w:rsid w:val="00E86897"/>
    <w:rsid w:val="00E90248"/>
    <w:rsid w:val="00E92559"/>
    <w:rsid w:val="00E9536A"/>
    <w:rsid w:val="00EA3582"/>
    <w:rsid w:val="00EA5610"/>
    <w:rsid w:val="00EB039B"/>
    <w:rsid w:val="00EB088D"/>
    <w:rsid w:val="00EB4299"/>
    <w:rsid w:val="00EB6F30"/>
    <w:rsid w:val="00EC4F3A"/>
    <w:rsid w:val="00ED291F"/>
    <w:rsid w:val="00ED4DA8"/>
    <w:rsid w:val="00EF427F"/>
    <w:rsid w:val="00F03B1B"/>
    <w:rsid w:val="00F0525A"/>
    <w:rsid w:val="00F062EA"/>
    <w:rsid w:val="00F07090"/>
    <w:rsid w:val="00F114B2"/>
    <w:rsid w:val="00F1289D"/>
    <w:rsid w:val="00F17141"/>
    <w:rsid w:val="00F17565"/>
    <w:rsid w:val="00F17D93"/>
    <w:rsid w:val="00F2344E"/>
    <w:rsid w:val="00F26E7F"/>
    <w:rsid w:val="00F3151E"/>
    <w:rsid w:val="00F32E70"/>
    <w:rsid w:val="00F3371D"/>
    <w:rsid w:val="00F4326B"/>
    <w:rsid w:val="00F43ED8"/>
    <w:rsid w:val="00F55C2B"/>
    <w:rsid w:val="00F63258"/>
    <w:rsid w:val="00F675B5"/>
    <w:rsid w:val="00F81DA8"/>
    <w:rsid w:val="00F8478C"/>
    <w:rsid w:val="00F8696A"/>
    <w:rsid w:val="00F87A6E"/>
    <w:rsid w:val="00F93697"/>
    <w:rsid w:val="00F961ED"/>
    <w:rsid w:val="00FA0E54"/>
    <w:rsid w:val="00FA1010"/>
    <w:rsid w:val="00FA1360"/>
    <w:rsid w:val="00FA16B6"/>
    <w:rsid w:val="00FA1ABE"/>
    <w:rsid w:val="00FA1F1E"/>
    <w:rsid w:val="00FA29BB"/>
    <w:rsid w:val="00FA35E8"/>
    <w:rsid w:val="00FA425F"/>
    <w:rsid w:val="00FA5165"/>
    <w:rsid w:val="00FA5191"/>
    <w:rsid w:val="00FA63DB"/>
    <w:rsid w:val="00FB5C66"/>
    <w:rsid w:val="00FB63FA"/>
    <w:rsid w:val="00FC0860"/>
    <w:rsid w:val="00FC64E3"/>
    <w:rsid w:val="00FC692E"/>
    <w:rsid w:val="00FD0C43"/>
    <w:rsid w:val="00FD24FD"/>
    <w:rsid w:val="00FD25D8"/>
    <w:rsid w:val="00FD47E8"/>
    <w:rsid w:val="00FE04D0"/>
    <w:rsid w:val="00FE172C"/>
    <w:rsid w:val="00FE4707"/>
    <w:rsid w:val="00FE67EE"/>
    <w:rsid w:val="00FE7825"/>
    <w:rsid w:val="00FE7D19"/>
    <w:rsid w:val="201751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link w:val="17"/>
    <w:qFormat/>
    <w:uiPriority w:val="9"/>
    <w:pPr>
      <w:spacing w:before="100" w:beforeAutospacing="1" w:after="100" w:afterAutospacing="1" w:line="240" w:lineRule="auto"/>
      <w:outlineLvl w:val="0"/>
    </w:pPr>
    <w:rPr>
      <w:rFonts w:ascii="Arial" w:hAnsi="Arial" w:eastAsia="Times New Roman" w:cs="Times New Roman"/>
      <w:b/>
      <w:bCs/>
      <w:color w:val="44546A" w:themeColor="text2"/>
      <w:kern w:val="36"/>
      <w:sz w:val="40"/>
      <w:szCs w:val="48"/>
      <w:lang w:eastAsia="en-GB"/>
      <w14:textFill>
        <w14:solidFill>
          <w14:schemeClr w14:val="tx2"/>
        </w14:solidFill>
      </w14:textFill>
    </w:rPr>
  </w:style>
  <w:style w:type="paragraph" w:styleId="3">
    <w:name w:val="heading 2"/>
    <w:basedOn w:val="1"/>
    <w:next w:val="1"/>
    <w:link w:val="19"/>
    <w:unhideWhenUsed/>
    <w:qFormat/>
    <w:uiPriority w:val="9"/>
    <w:pPr>
      <w:keepNext/>
      <w:keepLines/>
      <w:spacing w:before="40" w:after="0"/>
      <w:outlineLvl w:val="1"/>
    </w:pPr>
    <w:rPr>
      <w:rFonts w:ascii="Arial" w:hAnsi="Arial" w:eastAsiaTheme="majorEastAsia" w:cstheme="majorBidi"/>
      <w:b/>
      <w:color w:val="44546A" w:themeColor="text2"/>
      <w:sz w:val="32"/>
      <w:szCs w:val="26"/>
      <w14:textFill>
        <w14:solidFill>
          <w14:schemeClr w14:val="tx2"/>
        </w14:solidFill>
      </w14:textFill>
    </w:rPr>
  </w:style>
  <w:style w:type="paragraph" w:styleId="4">
    <w:name w:val="heading 3"/>
    <w:basedOn w:val="1"/>
    <w:next w:val="1"/>
    <w:link w:val="20"/>
    <w:semiHidden/>
    <w:unhideWhenUsed/>
    <w:qFormat/>
    <w:uiPriority w:val="9"/>
    <w:pPr>
      <w:keepNext/>
      <w:keepLines/>
      <w:spacing w:before="40" w:after="0"/>
      <w:outlineLvl w:val="2"/>
    </w:pPr>
    <w:rPr>
      <w:rFonts w:ascii="Arial" w:hAnsi="Arial" w:eastAsiaTheme="majorEastAsia" w:cstheme="majorBidi"/>
      <w:b/>
      <w:color w:val="44546A" w:themeColor="text2"/>
      <w:sz w:val="28"/>
      <w:szCs w:val="24"/>
      <w14:textFill>
        <w14:solidFill>
          <w14:schemeClr w14:val="tx2"/>
        </w14:solidFill>
      </w14:textFill>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3"/>
    <w:semiHidden/>
    <w:unhideWhenUsed/>
    <w:uiPriority w:val="99"/>
    <w:pPr>
      <w:spacing w:after="0" w:line="240" w:lineRule="auto"/>
    </w:pPr>
    <w:rPr>
      <w:rFonts w:ascii="Segoe UI" w:hAnsi="Segoe UI" w:cs="Segoe UI"/>
      <w:sz w:val="18"/>
      <w:szCs w:val="18"/>
    </w:rPr>
  </w:style>
  <w:style w:type="character" w:styleId="8">
    <w:name w:val="Emphasis"/>
    <w:basedOn w:val="5"/>
    <w:qFormat/>
    <w:uiPriority w:val="20"/>
    <w:rPr>
      <w:i/>
      <w:iCs/>
    </w:rPr>
  </w:style>
  <w:style w:type="paragraph" w:styleId="9">
    <w:name w:val="footer"/>
    <w:basedOn w:val="1"/>
    <w:link w:val="22"/>
    <w:unhideWhenUsed/>
    <w:uiPriority w:val="99"/>
    <w:pPr>
      <w:tabs>
        <w:tab w:val="center" w:pos="4513"/>
        <w:tab w:val="right" w:pos="9026"/>
      </w:tabs>
      <w:spacing w:after="0" w:line="240" w:lineRule="auto"/>
    </w:pPr>
  </w:style>
  <w:style w:type="paragraph" w:styleId="10">
    <w:name w:val="header"/>
    <w:basedOn w:val="1"/>
    <w:link w:val="21"/>
    <w:unhideWhenUsed/>
    <w:uiPriority w:val="99"/>
    <w:pPr>
      <w:tabs>
        <w:tab w:val="center" w:pos="4513"/>
        <w:tab w:val="right" w:pos="9026"/>
      </w:tabs>
      <w:spacing w:after="0" w:line="240" w:lineRule="auto"/>
    </w:pPr>
  </w:style>
  <w:style w:type="character" w:styleId="11">
    <w:name w:val="Hyperlink"/>
    <w:basedOn w:val="5"/>
    <w:unhideWhenUsed/>
    <w:uiPriority w:val="99"/>
    <w:rPr>
      <w:color w:val="0563C1" w:themeColor="hyperlink"/>
      <w:u w:val="single"/>
      <w14:textFill>
        <w14:solidFill>
          <w14:schemeClr w14:val="hlink"/>
        </w14:solidFill>
      </w14:textFill>
    </w:rPr>
  </w:style>
  <w:style w:type="paragraph" w:styleId="12">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3">
    <w:name w:val="Strong"/>
    <w:basedOn w:val="5"/>
    <w:qFormat/>
    <w:uiPriority w:val="22"/>
    <w:rPr>
      <w:b/>
      <w:bCs/>
    </w:rPr>
  </w:style>
  <w:style w:type="paragraph" w:styleId="14">
    <w:name w:val="Title"/>
    <w:basedOn w:val="1"/>
    <w:next w:val="1"/>
    <w:link w:val="26"/>
    <w:qFormat/>
    <w:uiPriority w:val="10"/>
    <w:pPr>
      <w:spacing w:after="0" w:line="240" w:lineRule="auto"/>
      <w:contextualSpacing/>
    </w:pPr>
    <w:rPr>
      <w:rFonts w:ascii="Arial" w:hAnsi="Arial" w:eastAsiaTheme="majorEastAsia" w:cstheme="majorBidi"/>
      <w:b/>
      <w:color w:val="000000" w:themeColor="text1"/>
      <w:spacing w:val="-10"/>
      <w:kern w:val="28"/>
      <w:sz w:val="56"/>
      <w:szCs w:val="56"/>
      <w14:textFill>
        <w14:solidFill>
          <w14:schemeClr w14:val="tx1"/>
        </w14:solidFill>
      </w14:textFill>
    </w:rPr>
  </w:style>
  <w:style w:type="paragraph" w:styleId="15">
    <w:name w:val="toc 1"/>
    <w:basedOn w:val="1"/>
    <w:next w:val="1"/>
    <w:autoRedefine/>
    <w:unhideWhenUsed/>
    <w:uiPriority w:val="39"/>
    <w:pPr>
      <w:spacing w:after="100"/>
    </w:pPr>
  </w:style>
  <w:style w:type="paragraph" w:styleId="16">
    <w:name w:val="toc 2"/>
    <w:basedOn w:val="1"/>
    <w:next w:val="1"/>
    <w:autoRedefine/>
    <w:unhideWhenUsed/>
    <w:qFormat/>
    <w:uiPriority w:val="39"/>
    <w:pPr>
      <w:spacing w:after="100"/>
      <w:ind w:left="220"/>
    </w:pPr>
  </w:style>
  <w:style w:type="character" w:customStyle="1" w:styleId="17">
    <w:name w:val="Heading 1 Char"/>
    <w:basedOn w:val="5"/>
    <w:link w:val="2"/>
    <w:qFormat/>
    <w:uiPriority w:val="9"/>
    <w:rPr>
      <w:rFonts w:ascii="Arial" w:hAnsi="Arial" w:eastAsia="Times New Roman" w:cs="Times New Roman"/>
      <w:b/>
      <w:bCs/>
      <w:color w:val="44546A" w:themeColor="text2"/>
      <w:kern w:val="36"/>
      <w:sz w:val="40"/>
      <w:szCs w:val="48"/>
      <w:lang w:eastAsia="en-GB"/>
      <w14:textFill>
        <w14:solidFill>
          <w14:schemeClr w14:val="tx2"/>
        </w14:solidFill>
      </w14:textFill>
    </w:rPr>
  </w:style>
  <w:style w:type="paragraph" w:styleId="18">
    <w:name w:val="List Paragraph"/>
    <w:basedOn w:val="1"/>
    <w:qFormat/>
    <w:uiPriority w:val="34"/>
    <w:pPr>
      <w:ind w:left="720"/>
      <w:contextualSpacing/>
    </w:pPr>
  </w:style>
  <w:style w:type="character" w:customStyle="1" w:styleId="19">
    <w:name w:val="Heading 2 Char"/>
    <w:basedOn w:val="5"/>
    <w:link w:val="3"/>
    <w:uiPriority w:val="9"/>
    <w:rPr>
      <w:rFonts w:ascii="Arial" w:hAnsi="Arial" w:eastAsiaTheme="majorEastAsia" w:cstheme="majorBidi"/>
      <w:b/>
      <w:color w:val="44546A" w:themeColor="text2"/>
      <w:sz w:val="32"/>
      <w:szCs w:val="26"/>
      <w14:textFill>
        <w14:solidFill>
          <w14:schemeClr w14:val="tx2"/>
        </w14:solidFill>
      </w14:textFill>
    </w:rPr>
  </w:style>
  <w:style w:type="character" w:customStyle="1" w:styleId="20">
    <w:name w:val="Heading 3 Char"/>
    <w:basedOn w:val="5"/>
    <w:link w:val="4"/>
    <w:semiHidden/>
    <w:qFormat/>
    <w:uiPriority w:val="9"/>
    <w:rPr>
      <w:rFonts w:ascii="Arial" w:hAnsi="Arial" w:eastAsiaTheme="majorEastAsia" w:cstheme="majorBidi"/>
      <w:b/>
      <w:color w:val="44546A" w:themeColor="text2"/>
      <w:sz w:val="28"/>
      <w:szCs w:val="24"/>
      <w14:textFill>
        <w14:solidFill>
          <w14:schemeClr w14:val="tx2"/>
        </w14:solidFill>
      </w14:textFill>
    </w:rPr>
  </w:style>
  <w:style w:type="character" w:customStyle="1" w:styleId="21">
    <w:name w:val="Header Char"/>
    <w:basedOn w:val="5"/>
    <w:link w:val="10"/>
    <w:uiPriority w:val="99"/>
  </w:style>
  <w:style w:type="character" w:customStyle="1" w:styleId="22">
    <w:name w:val="Footer Char"/>
    <w:basedOn w:val="5"/>
    <w:link w:val="9"/>
    <w:uiPriority w:val="99"/>
  </w:style>
  <w:style w:type="character" w:customStyle="1" w:styleId="23">
    <w:name w:val="Balloon Text Char"/>
    <w:basedOn w:val="5"/>
    <w:link w:val="7"/>
    <w:semiHidden/>
    <w:uiPriority w:val="99"/>
    <w:rPr>
      <w:rFonts w:ascii="Segoe UI" w:hAnsi="Segoe UI" w:cs="Segoe UI"/>
      <w:sz w:val="18"/>
      <w:szCs w:val="18"/>
    </w:rPr>
  </w:style>
  <w:style w:type="paragraph" w:customStyle="1" w:styleId="24">
    <w:name w:val="isselectedend"/>
    <w:basedOn w:val="1"/>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customStyle="1" w:styleId="25">
    <w:name w:val="TOC Heading"/>
    <w:basedOn w:val="2"/>
    <w:next w:val="1"/>
    <w:unhideWhenUsed/>
    <w:qFormat/>
    <w:uiPriority w:val="39"/>
    <w:pPr>
      <w:keepNext/>
      <w:keepLines/>
      <w:spacing w:before="240" w:beforeAutospacing="0" w:after="0" w:afterAutospacing="0" w:line="259" w:lineRule="auto"/>
      <w:outlineLvl w:val="9"/>
    </w:pPr>
    <w:rPr>
      <w:rFonts w:asciiTheme="majorHAnsi" w:hAnsiTheme="majorHAnsi" w:eastAsiaTheme="majorEastAsia" w:cstheme="majorBidi"/>
      <w:b w:val="0"/>
      <w:bCs w:val="0"/>
      <w:color w:val="2E75B6" w:themeColor="accent1" w:themeShade="BF"/>
      <w:kern w:val="0"/>
      <w:sz w:val="32"/>
      <w:szCs w:val="32"/>
      <w:lang w:val="en-US" w:eastAsia="en-US"/>
    </w:rPr>
  </w:style>
  <w:style w:type="character" w:customStyle="1" w:styleId="26">
    <w:name w:val="Title Char"/>
    <w:basedOn w:val="5"/>
    <w:link w:val="14"/>
    <w:qFormat/>
    <w:uiPriority w:val="10"/>
    <w:rPr>
      <w:rFonts w:ascii="Arial" w:hAnsi="Arial" w:eastAsiaTheme="majorEastAsia" w:cstheme="majorBidi"/>
      <w:b/>
      <w:color w:val="000000" w:themeColor="text1"/>
      <w:spacing w:val="-10"/>
      <w:kern w:val="28"/>
      <w:sz w:val="56"/>
      <w:szCs w:val="56"/>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AEA70-C10A-45B9-AE9B-2111F419B6D5}">
  <ds:schemaRefs/>
</ds:datastoreItem>
</file>

<file path=docProps/app.xml><?xml version="1.0" encoding="utf-8"?>
<Properties xmlns="http://schemas.openxmlformats.org/officeDocument/2006/extended-properties" xmlns:vt="http://schemas.openxmlformats.org/officeDocument/2006/docPropsVTypes">
  <Template>Normal</Template>
  <Pages>26</Pages>
  <Words>4802</Words>
  <Characters>31269</Characters>
  <Lines>269</Lines>
  <Paragraphs>75</Paragraphs>
  <TotalTime>1</TotalTime>
  <ScaleCrop>false</ScaleCrop>
  <LinksUpToDate>false</LinksUpToDate>
  <CharactersWithSpaces>35955</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2026-06-25T04:43:00Z</dcterms:created>
  <dcterms:modified xsi:type="dcterms:W3CDTF">2026-07-14T09:25:06Z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eyJoZGlkIjoiZWJhMTQwYzQ2NTkwZGZiNTA2YTE5OTE0MWViNTA4NWIifQ==</vt:lpwstr>
  </property>
  <property fmtid="{D5CDD505-2E9C-101B-9397-08002B2CF9AE}" pid="3" name="KSOProductBuildVer">
    <vt:lpwstr>1033-12.1.0.26880</vt:lpwstr>
  </property>
  <property fmtid="{D5CDD505-2E9C-101B-9397-08002B2CF9AE}" pid="4" name="ICV">
    <vt:lpwstr>177F8D364B6648C2A99658530FB1693B_12</vt:lpwstr>
  </property>
</Properties>
</file>