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B004B" w14:textId="60BC9901" w:rsidR="009257EB" w:rsidRDefault="00724D96">
      <w:pPr>
        <w:rPr>
          <w:lang w:val="en-US"/>
        </w:rPr>
      </w:pPr>
      <w:r>
        <w:rPr>
          <w:lang w:val="en-US"/>
        </w:rPr>
        <w:t>Equity and Trust Questions</w:t>
      </w:r>
      <w:r w:rsidR="00132208">
        <w:rPr>
          <w:lang w:val="en-US"/>
        </w:rPr>
        <w:t xml:space="preserve"> and answers</w:t>
      </w:r>
    </w:p>
    <w:p w14:paraId="7418C473" w14:textId="30D58C69" w:rsidR="00724D96" w:rsidRDefault="00724D96" w:rsidP="005525DE">
      <w:pPr>
        <w:pStyle w:val="ListParagraph"/>
        <w:numPr>
          <w:ilvl w:val="0"/>
          <w:numId w:val="1"/>
        </w:numPr>
      </w:pPr>
      <w:r>
        <w:t xml:space="preserve">The fact that equity was besieged by serious problems before the Judicature Acts is a clear indication that it should never have been introduced into the English legal system in the first place. It is nothing but an avoidable waste of time. Do you agree? </w:t>
      </w:r>
    </w:p>
    <w:p w14:paraId="6D222BC2" w14:textId="0577961C" w:rsidR="00724D96" w:rsidRDefault="00724D96">
      <w:r>
        <w:t xml:space="preserve">Suggested Answer: The history of equity shows that equity prided itself on being very amenable, quick and responsive to different situations. This was what led the king to decide in favour of equity in the Earl of Oxford case (1615) 1 Rep Ch 1. But before that case, equity’s popularity had soared. Equity became a victim of its own success. Overload of cases led to severe delays, unsatisfactory decisions, and loose practices, such that led equity to be viewed as a roguish thing and a system that was as wide as the Chancellor’s foot. Not everyone, however, agreed with this assessment. Lord Eldon, for instance, rejected that characterisation in Gee v Pritchard (1818) 2 Swans 402 at 414. </w:t>
      </w:r>
      <w:proofErr w:type="spellStart"/>
      <w:r>
        <w:t>Jessel</w:t>
      </w:r>
      <w:proofErr w:type="spellEnd"/>
      <w:r>
        <w:t xml:space="preserve"> MR also rejected the characterisation in Re National Funds Assurance Co (1878) 10 Ch D 118. However, after the Earl of Oxford case, equity became systematised, rigid and even reported. </w:t>
      </w:r>
      <w:r w:rsidR="005525DE">
        <w:t>D</w:t>
      </w:r>
      <w:r>
        <w:t xml:space="preserve">espite all its weaknesses before the Judicature Act, equity did meet the need for quick and flexible justice; it was used in situations that prevented rich people from continuing to buy the right to commit wrongs against the poor by issuing injunctions; it granted specific performance in respect of property outside England once the defendant is within the English jurisdiction. Equity recorded many significant achievements. These were the very reasons why equity was introduced in this first place; therefore, its introduction into the English legal system was justified and remains justifiable. The shortcomings must be put in context of a developing system and, after the Judicature Act came into force, </w:t>
      </w:r>
      <w:r w:rsidR="005525DE">
        <w:t xml:space="preserve">arguably </w:t>
      </w:r>
      <w:r>
        <w:t>equity became much more effective.</w:t>
      </w:r>
    </w:p>
    <w:p w14:paraId="556DC144" w14:textId="7B38F8EC" w:rsidR="00724D96" w:rsidRDefault="005525DE">
      <w:r>
        <w:t xml:space="preserve">2. </w:t>
      </w:r>
      <w:r w:rsidR="00724D96">
        <w:t xml:space="preserve">Equity is so flexible it can apply to anything; it is so powerful it can revoke or nullify a judgement given by a common law court. Is this true? </w:t>
      </w:r>
    </w:p>
    <w:p w14:paraId="78253427" w14:textId="71088CA0" w:rsidR="00724D96" w:rsidRDefault="00724D96">
      <w:r>
        <w:t>Suggested Answer: Equity is a powerful tool in the hand of the court to meet situations where, due to formality and strictness, common law will be inapplicable. So wide was the sphere of application of equity that it was thought to be as wide as the Chancellor’s foot. Equity applies nationally and internationally and over a broad range of activities from contract to agency. Discuss the fact that it used to override common law when in conflict with the latter—an effect of the decision in the Earl of Oxford case. But the reorganisation of equity after that case brought some discipline and curtailed its erstwhile overwhelming powers. Discuss the fact that equity is yet not past the age of child-bearing, meaning equity can still apply to different areas not previously covered. Examples of these include ‘search orders’ and ‘freezing injunctions’. So, equity now must only beget legitimate children Also, see Lord Denning in (1952) 5 CLP 8. It is no longer just a court of conscience but also of law; it is no more a roguish thing. Injunctions, for instance, now have clear cut principles, just as specific performance does. Conclusions must reflect the fact that although equity is still capable of different application even after unification with the common law, it is however subject to various limitations such as delay, laches and acquiescence, apart from the fact that it complements rather than contradicts the common law</w:t>
      </w:r>
      <w:r w:rsidR="005525DE">
        <w:t>.</w:t>
      </w:r>
    </w:p>
    <w:p w14:paraId="7007C95D" w14:textId="6C0E485A" w:rsidR="005525DE" w:rsidRDefault="005525DE" w:rsidP="005525DE">
      <w:pPr>
        <w:pStyle w:val="ListParagraph"/>
        <w:numPr>
          <w:ilvl w:val="0"/>
          <w:numId w:val="2"/>
        </w:numPr>
        <w:rPr>
          <w:lang w:val="en-US"/>
        </w:rPr>
      </w:pPr>
      <w:r>
        <w:rPr>
          <w:lang w:val="en-US"/>
        </w:rPr>
        <w:t>Tell me the facts of the following cases and their relevance to the assignment.</w:t>
      </w:r>
    </w:p>
    <w:p w14:paraId="7AFA8773" w14:textId="77777777" w:rsidR="00560779" w:rsidRDefault="00560779" w:rsidP="00560779">
      <w:pPr>
        <w:pStyle w:val="ListParagraph"/>
        <w:rPr>
          <w:lang w:val="en-US"/>
        </w:rPr>
      </w:pPr>
    </w:p>
    <w:p w14:paraId="6D64417F" w14:textId="60BC4C2F" w:rsidR="005525DE" w:rsidRDefault="005525DE" w:rsidP="005525DE">
      <w:pPr>
        <w:pStyle w:val="ListParagraph"/>
        <w:rPr>
          <w:b/>
          <w:bCs/>
          <w:i/>
          <w:iCs/>
          <w:lang w:val="en-US"/>
        </w:rPr>
      </w:pPr>
      <w:r>
        <w:rPr>
          <w:b/>
          <w:bCs/>
          <w:i/>
          <w:iCs/>
          <w:lang w:val="en-US"/>
        </w:rPr>
        <w:t>Walsh v Lonsdale [1882]</w:t>
      </w:r>
    </w:p>
    <w:p w14:paraId="32C3A062" w14:textId="427BEA13" w:rsidR="00132208" w:rsidRDefault="00132208" w:rsidP="005525DE">
      <w:pPr>
        <w:pStyle w:val="ListParagraph"/>
      </w:pPr>
      <w:r w:rsidRPr="00132208">
        <w:t xml:space="preserve">The dispute was about whether a </w:t>
      </w:r>
      <w:r>
        <w:t>L</w:t>
      </w:r>
      <w:r w:rsidRPr="00132208">
        <w:t xml:space="preserve">andlord could seize </w:t>
      </w:r>
      <w:r>
        <w:t>(</w:t>
      </w:r>
      <w:r w:rsidRPr="00132208">
        <w:t>distrain</w:t>
      </w:r>
      <w:r>
        <w:t>)</w:t>
      </w:r>
      <w:r w:rsidRPr="00132208">
        <w:t xml:space="preserve"> a tenant's goods. The </w:t>
      </w:r>
      <w:r>
        <w:t>L</w:t>
      </w:r>
      <w:r w:rsidRPr="00132208">
        <w:t xml:space="preserve">andlord sought to do this because the </w:t>
      </w:r>
      <w:r>
        <w:t>T</w:t>
      </w:r>
      <w:r w:rsidRPr="00132208">
        <w:t xml:space="preserve">enant had breached the terms of the lease. The </w:t>
      </w:r>
      <w:r>
        <w:t>T</w:t>
      </w:r>
      <w:r w:rsidRPr="00132208">
        <w:t xml:space="preserve">enants response was that the lease was unenforceable. This was true at common law, because certain formalities had not been satisfied. However, if the rules of equity were </w:t>
      </w:r>
      <w:r w:rsidRPr="00132208">
        <w:lastRenderedPageBreak/>
        <w:t xml:space="preserve">applied, the lease was enforceable and thus the landlord had acted legally. This was because, in equity, an agreement for </w:t>
      </w:r>
      <w:r>
        <w:t xml:space="preserve">a </w:t>
      </w:r>
      <w:r w:rsidRPr="00132208">
        <w:t xml:space="preserve">lease, if acted upon, was as good as </w:t>
      </w:r>
      <w:r>
        <w:t>a lease</w:t>
      </w:r>
      <w:r w:rsidRPr="00132208">
        <w:t xml:space="preserve">. Thus, there was a conflict between law and equity: a valid lease in one system and not in the other. Equity prevailed, and the whole matter could be heard in one court, before 1 judge. </w:t>
      </w:r>
    </w:p>
    <w:p w14:paraId="26CFBD83" w14:textId="71E106BB" w:rsidR="00132208" w:rsidRPr="00132208" w:rsidRDefault="00132208" w:rsidP="005525DE">
      <w:pPr>
        <w:pStyle w:val="ListParagraph"/>
        <w:rPr>
          <w:lang w:val="en-US"/>
        </w:rPr>
      </w:pPr>
      <w:r>
        <w:t>This is illustrative of the potential fusion of law and equity.</w:t>
      </w:r>
    </w:p>
    <w:p w14:paraId="62C9079F" w14:textId="60CC36AF" w:rsidR="005525DE" w:rsidRDefault="005525DE" w:rsidP="005525DE">
      <w:pPr>
        <w:pStyle w:val="ListParagraph"/>
        <w:rPr>
          <w:b/>
          <w:bCs/>
          <w:i/>
          <w:iCs/>
          <w:lang w:val="en-US"/>
        </w:rPr>
      </w:pPr>
      <w:r>
        <w:rPr>
          <w:b/>
          <w:bCs/>
          <w:i/>
          <w:iCs/>
          <w:lang w:val="en-US"/>
        </w:rPr>
        <w:t>Penn v Lord Baltimore [1750]</w:t>
      </w:r>
    </w:p>
    <w:p w14:paraId="155AB011" w14:textId="6AE9442A" w:rsidR="00132208" w:rsidRPr="00132208" w:rsidRDefault="00132208" w:rsidP="005525DE">
      <w:pPr>
        <w:pStyle w:val="ListParagraph"/>
        <w:rPr>
          <w:lang w:val="en-US"/>
        </w:rPr>
      </w:pPr>
      <w:r w:rsidRPr="00132208">
        <w:t xml:space="preserve">An English court made an order requiring the defendant to carry out an agreement relating to boundaries of land. The defendant was in England; </w:t>
      </w:r>
      <w:r>
        <w:t>t</w:t>
      </w:r>
      <w:r w:rsidRPr="00132208">
        <w:t>he land was in America. This is indicative of the fact that it is the location of the defendant rather than of the property that decides whether an action can be brought. This principle also explains why a beneficiary under a trust has a choice between an action to recover the trust property it</w:t>
      </w:r>
      <w:r>
        <w:t>self (</w:t>
      </w:r>
      <w:r w:rsidRPr="00132208">
        <w:t xml:space="preserve">an in </w:t>
      </w:r>
      <w:r>
        <w:t>rem</w:t>
      </w:r>
      <w:r w:rsidRPr="00132208">
        <w:t xml:space="preserve"> action</w:t>
      </w:r>
      <w:r>
        <w:t>)</w:t>
      </w:r>
      <w:r w:rsidRPr="00132208">
        <w:t xml:space="preserve"> </w:t>
      </w:r>
      <w:r>
        <w:t>or a</w:t>
      </w:r>
      <w:r w:rsidRPr="00132208">
        <w:t xml:space="preserve"> personal action against the trustee. The beneficiar</w:t>
      </w:r>
      <w:r>
        <w:t>y is</w:t>
      </w:r>
      <w:r w:rsidRPr="00132208">
        <w:t xml:space="preserve"> entitled to ignore the in r</w:t>
      </w:r>
      <w:r>
        <w:t>e</w:t>
      </w:r>
      <w:r w:rsidRPr="00132208">
        <w:t xml:space="preserve">m action if his preference is to pursue the trustee personally. </w:t>
      </w:r>
    </w:p>
    <w:p w14:paraId="7A8A9A40" w14:textId="23996288" w:rsidR="005525DE" w:rsidRDefault="005525DE" w:rsidP="005525DE">
      <w:pPr>
        <w:pStyle w:val="ListParagraph"/>
        <w:rPr>
          <w:b/>
          <w:bCs/>
          <w:i/>
          <w:iCs/>
          <w:lang w:val="en-US"/>
        </w:rPr>
      </w:pPr>
      <w:r>
        <w:rPr>
          <w:b/>
          <w:bCs/>
          <w:i/>
          <w:iCs/>
          <w:lang w:val="en-US"/>
        </w:rPr>
        <w:t>Lee v Haley [1869]</w:t>
      </w:r>
    </w:p>
    <w:p w14:paraId="4E65C848" w14:textId="57A1440B" w:rsidR="00560779" w:rsidRDefault="00560779" w:rsidP="005525DE">
      <w:pPr>
        <w:pStyle w:val="ListParagraph"/>
      </w:pPr>
      <w:r w:rsidRPr="00560779">
        <w:t>Coal merchants sought an injunction protecting their business. It was refused because the business had been operated dishonestly, with customers supplied with less cold than they had ordered. However, the clean hands principle does not always result in a remedy being denied to the less than honest claimant</w:t>
      </w:r>
      <w:r>
        <w:t>.  T</w:t>
      </w:r>
      <w:r w:rsidRPr="00560779">
        <w:t xml:space="preserve">he court will consider carefully the circumstances of the case. </w:t>
      </w:r>
      <w:r>
        <w:t>(Linked to He who comes to equity must come with clean hands</w:t>
      </w:r>
      <w:r w:rsidR="00132208">
        <w:t>.</w:t>
      </w:r>
      <w:r>
        <w:t>)</w:t>
      </w:r>
    </w:p>
    <w:p w14:paraId="650A33DE" w14:textId="7A6BCEA2" w:rsidR="00560779" w:rsidRDefault="00560779" w:rsidP="005525DE">
      <w:pPr>
        <w:pStyle w:val="ListParagraph"/>
        <w:rPr>
          <w:b/>
          <w:bCs/>
          <w:i/>
          <w:iCs/>
        </w:rPr>
      </w:pPr>
      <w:r>
        <w:rPr>
          <w:b/>
          <w:bCs/>
          <w:i/>
          <w:iCs/>
        </w:rPr>
        <w:t>Tinsley v Milligan [1993]</w:t>
      </w:r>
    </w:p>
    <w:p w14:paraId="14E31317" w14:textId="6A86FCE8" w:rsidR="00560779" w:rsidRDefault="00560779" w:rsidP="005525DE">
      <w:pPr>
        <w:pStyle w:val="ListParagraph"/>
      </w:pPr>
      <w:r w:rsidRPr="00560779">
        <w:t xml:space="preserve">The claimant was permitted to recover property that had been transferred for an illegal purpose open brackets benefit fraud close brackets. This was because it was not necessary to rely on evidence of the illegal purpose to recover the property. </w:t>
      </w:r>
      <w:r>
        <w:t>(Linked to He who comes to equity must come with clean hands</w:t>
      </w:r>
      <w:r w:rsidR="00132208">
        <w:t>.</w:t>
      </w:r>
      <w:r>
        <w:t>)</w:t>
      </w:r>
    </w:p>
    <w:p w14:paraId="05362C57" w14:textId="79EF4B87" w:rsidR="00560779" w:rsidRDefault="00560779" w:rsidP="005525DE">
      <w:pPr>
        <w:pStyle w:val="ListParagraph"/>
        <w:rPr>
          <w:b/>
          <w:bCs/>
          <w:i/>
          <w:iCs/>
        </w:rPr>
      </w:pPr>
      <w:r>
        <w:rPr>
          <w:b/>
          <w:bCs/>
          <w:i/>
          <w:iCs/>
        </w:rPr>
        <w:t>James v Williams [2000]</w:t>
      </w:r>
    </w:p>
    <w:p w14:paraId="6C317227" w14:textId="54A57504" w:rsidR="00560779" w:rsidRPr="00560779" w:rsidRDefault="00560779" w:rsidP="005525DE">
      <w:pPr>
        <w:pStyle w:val="ListParagraph"/>
        <w:rPr>
          <w:lang w:val="en-US"/>
        </w:rPr>
      </w:pPr>
      <w:r w:rsidRPr="00560779">
        <w:t xml:space="preserve">The claimant had lied to the court about the date of the marriage. The Court of Appeal held that this would not necessarily deprive her of an equitable remedy. It depended on the nature of the lie and her motive for lying. On the facts, the lie had not been material to the decision of the court. </w:t>
      </w:r>
      <w:r>
        <w:t>(Linked to He who comes to equity must come with clean hands</w:t>
      </w:r>
      <w:r w:rsidR="00132208">
        <w:t>.</w:t>
      </w:r>
      <w:r>
        <w:t>)</w:t>
      </w:r>
    </w:p>
    <w:p w14:paraId="2E3B1CDD" w14:textId="782B3033" w:rsidR="005525DE" w:rsidRDefault="005525DE" w:rsidP="005525DE">
      <w:pPr>
        <w:pStyle w:val="ListParagraph"/>
        <w:rPr>
          <w:b/>
          <w:bCs/>
          <w:i/>
          <w:iCs/>
          <w:lang w:val="en-US"/>
        </w:rPr>
      </w:pPr>
      <w:r>
        <w:rPr>
          <w:b/>
          <w:bCs/>
          <w:i/>
          <w:iCs/>
          <w:lang w:val="en-US"/>
        </w:rPr>
        <w:t>O’Sullivan Management Agency and Music Limited [1985]</w:t>
      </w:r>
    </w:p>
    <w:p w14:paraId="2BE5043F" w14:textId="1B422C2D" w:rsidR="00560779" w:rsidRPr="00560779" w:rsidRDefault="00560779" w:rsidP="005525DE">
      <w:pPr>
        <w:pStyle w:val="ListParagraph"/>
        <w:rPr>
          <w:lang w:val="en-US"/>
        </w:rPr>
      </w:pPr>
      <w:r w:rsidRPr="00560779">
        <w:t xml:space="preserve">Gilbert O'Sullivan was a relatively unknown composer of pop music. He signed a management agreement that was not on favourable terms. He did not have independent legal advice. Under this management, O Sullivan became successful. Later, after the working relationship deteriorated, O'Sullivan brought an action against the management company, claiming that the contract was not valid because undue influence had been used. The management company conceded this but resisted </w:t>
      </w:r>
      <w:r>
        <w:t>a</w:t>
      </w:r>
      <w:r w:rsidRPr="00560779">
        <w:t xml:space="preserve">n order that it pay all the profits it had made back to O'Sullivan. Its argument was based in part on the Maxim that </w:t>
      </w:r>
      <w:r>
        <w:t>“</w:t>
      </w:r>
      <w:r w:rsidRPr="00560779">
        <w:t>he who seeks equity must do equity</w:t>
      </w:r>
      <w:r>
        <w:t>”</w:t>
      </w:r>
      <w:r w:rsidRPr="00560779">
        <w:t xml:space="preserve">. Without the assistance of the management company, O'Sullivan would have remained poor and unknown, </w:t>
      </w:r>
      <w:r>
        <w:t xml:space="preserve">a </w:t>
      </w:r>
      <w:r w:rsidRPr="00560779">
        <w:t xml:space="preserve">factor that should be taken into account and the company given an allowance for its work on </w:t>
      </w:r>
      <w:r>
        <w:t>O</w:t>
      </w:r>
      <w:r w:rsidRPr="00560779">
        <w:t>'</w:t>
      </w:r>
      <w:r>
        <w:t>S</w:t>
      </w:r>
      <w:r w:rsidRPr="00560779">
        <w:t>ullivan's career. The Court of Appeal agreed</w:t>
      </w:r>
      <w:r>
        <w:t>.</w:t>
      </w:r>
      <w:r w:rsidRPr="00560779">
        <w:t xml:space="preserve"> </w:t>
      </w:r>
      <w:r>
        <w:t>I</w:t>
      </w:r>
      <w:r w:rsidRPr="00560779">
        <w:t>t would simply be inequitable to seek to recover the whole of the profit without being prepared to allow reasonable re</w:t>
      </w:r>
      <w:r>
        <w:t>m</w:t>
      </w:r>
      <w:r w:rsidRPr="00560779">
        <w:t>u</w:t>
      </w:r>
      <w:r>
        <w:t>n</w:t>
      </w:r>
      <w:r w:rsidRPr="00560779">
        <w:t xml:space="preserve">eration for the services provided to him during which time his success was phenomenal. </w:t>
      </w:r>
      <w:r w:rsidR="00132208">
        <w:t>(Linked to he who seeks equity must do equity.)</w:t>
      </w:r>
    </w:p>
    <w:p w14:paraId="0E2156BC" w14:textId="35001B1A" w:rsidR="001608AC" w:rsidRDefault="001608AC" w:rsidP="005525DE">
      <w:pPr>
        <w:pStyle w:val="ListParagraph"/>
        <w:rPr>
          <w:b/>
          <w:bCs/>
          <w:i/>
          <w:iCs/>
          <w:lang w:val="en-US"/>
        </w:rPr>
      </w:pPr>
      <w:r>
        <w:rPr>
          <w:b/>
          <w:bCs/>
          <w:i/>
          <w:iCs/>
          <w:lang w:val="en-US"/>
        </w:rPr>
        <w:t>Baker v Archer -</w:t>
      </w:r>
      <w:proofErr w:type="spellStart"/>
      <w:r>
        <w:rPr>
          <w:b/>
          <w:bCs/>
          <w:i/>
          <w:iCs/>
          <w:lang w:val="en-US"/>
        </w:rPr>
        <w:t>Shee</w:t>
      </w:r>
      <w:proofErr w:type="spellEnd"/>
      <w:r>
        <w:rPr>
          <w:b/>
          <w:bCs/>
          <w:i/>
          <w:iCs/>
          <w:lang w:val="en-US"/>
        </w:rPr>
        <w:t xml:space="preserve"> [1927]</w:t>
      </w:r>
    </w:p>
    <w:p w14:paraId="601C728F" w14:textId="5BA38054" w:rsidR="001608AC" w:rsidRPr="001608AC" w:rsidRDefault="001608AC" w:rsidP="005525DE">
      <w:pPr>
        <w:pStyle w:val="ListParagraph"/>
        <w:rPr>
          <w:lang w:val="en-US"/>
        </w:rPr>
      </w:pPr>
      <w:r w:rsidRPr="001608AC">
        <w:t xml:space="preserve">The beneficiary was held by the House of Lords to be the owner. In this case, </w:t>
      </w:r>
      <w:r>
        <w:t>L</w:t>
      </w:r>
      <w:r w:rsidRPr="001608AC">
        <w:t>ady Archer</w:t>
      </w:r>
      <w:r>
        <w:t>-</w:t>
      </w:r>
      <w:proofErr w:type="spellStart"/>
      <w:r>
        <w:t>S</w:t>
      </w:r>
      <w:r w:rsidRPr="001608AC">
        <w:t>he</w:t>
      </w:r>
      <w:r>
        <w:t>e</w:t>
      </w:r>
      <w:proofErr w:type="spellEnd"/>
      <w:r w:rsidRPr="001608AC">
        <w:t xml:space="preserve"> </w:t>
      </w:r>
      <w:r>
        <w:t>(</w:t>
      </w:r>
      <w:r w:rsidRPr="001608AC">
        <w:t>an American citizen resident in England</w:t>
      </w:r>
      <w:r>
        <w:t>)</w:t>
      </w:r>
      <w:r w:rsidRPr="001608AC">
        <w:t xml:space="preserve"> was entitled to the income under a New York trust created by a New York settler. T</w:t>
      </w:r>
      <w:r>
        <w:t>he</w:t>
      </w:r>
      <w:r w:rsidRPr="001608AC">
        <w:t xml:space="preserve"> income was received by the New York trustee who, after paying allowable expenses and local tax, credited the net amount to an account held in </w:t>
      </w:r>
      <w:r w:rsidRPr="001608AC">
        <w:lastRenderedPageBreak/>
        <w:t xml:space="preserve">New York. The question arose as to whether </w:t>
      </w:r>
      <w:r>
        <w:t>L</w:t>
      </w:r>
      <w:r w:rsidRPr="001608AC">
        <w:t>ady Archer</w:t>
      </w:r>
      <w:r>
        <w:t>-</w:t>
      </w:r>
      <w:proofErr w:type="spellStart"/>
      <w:r>
        <w:t>S</w:t>
      </w:r>
      <w:r w:rsidRPr="001608AC">
        <w:t>he</w:t>
      </w:r>
      <w:r>
        <w:t>e</w:t>
      </w:r>
      <w:proofErr w:type="spellEnd"/>
      <w:r w:rsidRPr="001608AC">
        <w:t xml:space="preserve"> was liable to UK tax on this income. For reasons turning on English tax law at the time, the answer depend</w:t>
      </w:r>
      <w:r>
        <w:t>ed</w:t>
      </w:r>
      <w:r w:rsidRPr="001608AC">
        <w:t xml:space="preserve"> on w</w:t>
      </w:r>
      <w:r>
        <w:t>he</w:t>
      </w:r>
      <w:r w:rsidRPr="001608AC">
        <w:t xml:space="preserve">ther </w:t>
      </w:r>
      <w:r>
        <w:t>L</w:t>
      </w:r>
      <w:r w:rsidRPr="001608AC">
        <w:t>ady Archer</w:t>
      </w:r>
      <w:r>
        <w:t>-</w:t>
      </w:r>
      <w:proofErr w:type="spellStart"/>
      <w:r>
        <w:t>S</w:t>
      </w:r>
      <w:r w:rsidRPr="001608AC">
        <w:t>he</w:t>
      </w:r>
      <w:r>
        <w:t>e</w:t>
      </w:r>
      <w:proofErr w:type="spellEnd"/>
      <w:r w:rsidRPr="001608AC">
        <w:t xml:space="preserve"> was entitled to the income on the trust property as it arose as opposed to merely what the trustees paid her after deducting their costs and other expenses. In other words, it depended on whether what she owned was the dividends themselves or the right </w:t>
      </w:r>
      <w:r>
        <w:t>to force</w:t>
      </w:r>
      <w:r w:rsidRPr="001608AC">
        <w:t xml:space="preserve"> the trustees to transfer the dividends to her. If she had a property right in the dividends, she would be entitled to the income at the point at which it was received by the trustees, and not when they paid it to her. The House of Lords decided, by a majority of three to two, that she owned the income as it arose. Therefore, she was liable to pay UK tax. Admittedly their lordships might have had in mind the fiscal implications of deciding otherwise, which might have influenced the decision. </w:t>
      </w:r>
    </w:p>
    <w:p w14:paraId="1C432772" w14:textId="2A7F100D" w:rsidR="001608AC" w:rsidRDefault="001608AC" w:rsidP="005525DE">
      <w:pPr>
        <w:pStyle w:val="ListParagraph"/>
        <w:rPr>
          <w:b/>
          <w:bCs/>
          <w:i/>
          <w:iCs/>
          <w:lang w:val="en-US"/>
        </w:rPr>
      </w:pPr>
      <w:proofErr w:type="spellStart"/>
      <w:r>
        <w:rPr>
          <w:b/>
          <w:bCs/>
          <w:i/>
          <w:iCs/>
          <w:lang w:val="en-US"/>
        </w:rPr>
        <w:t>Schalit</w:t>
      </w:r>
      <w:proofErr w:type="spellEnd"/>
      <w:r>
        <w:rPr>
          <w:b/>
          <w:bCs/>
          <w:i/>
          <w:iCs/>
          <w:lang w:val="en-US"/>
        </w:rPr>
        <w:t xml:space="preserve"> v Nadler [1933]</w:t>
      </w:r>
    </w:p>
    <w:p w14:paraId="2E436F36" w14:textId="77777777" w:rsidR="00560779" w:rsidRDefault="001608AC" w:rsidP="005525DE">
      <w:pPr>
        <w:pStyle w:val="ListParagraph"/>
      </w:pPr>
      <w:r w:rsidRPr="00560779">
        <w:t>The issue in this case was who was entitled to exercise the landlords remedy of levying distress for rent. This is the landlords right to enter tenanted property to seize, hold or even sell goods found there, e</w:t>
      </w:r>
      <w:r w:rsidR="00560779">
        <w:t xml:space="preserve">ither </w:t>
      </w:r>
      <w:r w:rsidRPr="00560779">
        <w:t>until the rent is paid or in place of rent. A</w:t>
      </w:r>
      <w:r w:rsidR="00560779">
        <w:t xml:space="preserve"> tenant</w:t>
      </w:r>
      <w:r w:rsidRPr="00560779">
        <w:t xml:space="preserve"> had rented premises from Joseph </w:t>
      </w:r>
      <w:r w:rsidR="00560779">
        <w:t>N</w:t>
      </w:r>
      <w:r w:rsidRPr="00560779">
        <w:t>adler. Later</w:t>
      </w:r>
      <w:r w:rsidR="00560779">
        <w:t>,</w:t>
      </w:r>
      <w:r w:rsidRPr="00560779">
        <w:t xml:space="preserve"> Joseph </w:t>
      </w:r>
      <w:r w:rsidR="00560779">
        <w:t>N</w:t>
      </w:r>
      <w:r w:rsidRPr="00560779">
        <w:t>adler d</w:t>
      </w:r>
      <w:r w:rsidR="00560779">
        <w:t>eclared</w:t>
      </w:r>
      <w:r w:rsidRPr="00560779">
        <w:t xml:space="preserve"> himself trustee of the property in favour of Joseph </w:t>
      </w:r>
      <w:r w:rsidR="00560779">
        <w:t>N</w:t>
      </w:r>
      <w:r w:rsidRPr="00560779">
        <w:t xml:space="preserve">adler </w:t>
      </w:r>
      <w:r w:rsidR="00560779">
        <w:t>Ltd</w:t>
      </w:r>
      <w:r w:rsidRPr="00560779">
        <w:t>. When the tenant fell into arrears, Joseph N</w:t>
      </w:r>
      <w:r w:rsidR="00560779">
        <w:t>adler</w:t>
      </w:r>
      <w:r w:rsidRPr="00560779">
        <w:t xml:space="preserve"> </w:t>
      </w:r>
      <w:r w:rsidR="00560779">
        <w:t xml:space="preserve">Ltd </w:t>
      </w:r>
      <w:r w:rsidRPr="00560779">
        <w:t xml:space="preserve">instructed a bailiff to enter the premises and seize the tenant's goods. The tenant argued that the distraint was invalid as only Joseph </w:t>
      </w:r>
      <w:r w:rsidR="00560779">
        <w:t>N</w:t>
      </w:r>
      <w:r w:rsidRPr="00560779">
        <w:t xml:space="preserve">adler was entitled to exercise the remedy. The court agreed. The beneficiary was entitled to bring an action against Joseph </w:t>
      </w:r>
      <w:r w:rsidR="00560779">
        <w:t xml:space="preserve">Nadler </w:t>
      </w:r>
      <w:r w:rsidRPr="00560779">
        <w:t>for the profits from the trust property, but was not entitled to the rent itself</w:t>
      </w:r>
      <w:r w:rsidR="00560779">
        <w:t>.</w:t>
      </w:r>
    </w:p>
    <w:p w14:paraId="67978E06" w14:textId="350F7D37" w:rsidR="001608AC" w:rsidRPr="00560779" w:rsidRDefault="001608AC" w:rsidP="005525DE">
      <w:pPr>
        <w:pStyle w:val="ListParagraph"/>
        <w:rPr>
          <w:lang w:val="en-US"/>
        </w:rPr>
      </w:pPr>
      <w:r w:rsidRPr="00560779">
        <w:t xml:space="preserve"> </w:t>
      </w:r>
    </w:p>
    <w:p w14:paraId="68613EE6" w14:textId="10D4AA7E" w:rsidR="001608AC" w:rsidRDefault="001608AC" w:rsidP="001608AC">
      <w:pPr>
        <w:pStyle w:val="ListParagraph"/>
        <w:numPr>
          <w:ilvl w:val="0"/>
          <w:numId w:val="2"/>
        </w:numPr>
        <w:rPr>
          <w:lang w:val="en-US"/>
        </w:rPr>
      </w:pPr>
      <w:r>
        <w:rPr>
          <w:lang w:val="en-US"/>
        </w:rPr>
        <w:t>Prepare a time frame for the development of Equity.  For each of the following periods note what was happening as far as Equity was concerned:-</w:t>
      </w:r>
    </w:p>
    <w:p w14:paraId="499D6629" w14:textId="2C7C4834" w:rsidR="001608AC" w:rsidRDefault="001608AC" w:rsidP="001608AC">
      <w:pPr>
        <w:pStyle w:val="ListParagraph"/>
        <w:rPr>
          <w:lang w:val="en-US"/>
        </w:rPr>
      </w:pPr>
    </w:p>
    <w:p w14:paraId="31A8CEAF" w14:textId="4075C5B1" w:rsidR="00132208" w:rsidRPr="00132208" w:rsidRDefault="001608AC" w:rsidP="00132208">
      <w:pPr>
        <w:pStyle w:val="ListParagraph"/>
        <w:rPr>
          <w:lang w:val="en-US"/>
        </w:rPr>
      </w:pPr>
      <w:r>
        <w:rPr>
          <w:lang w:val="en-US"/>
        </w:rPr>
        <w:t>12</w:t>
      </w:r>
      <w:r w:rsidRPr="001608AC">
        <w:rPr>
          <w:vertAlign w:val="superscript"/>
          <w:lang w:val="en-US"/>
        </w:rPr>
        <w:t>th</w:t>
      </w:r>
      <w:r>
        <w:rPr>
          <w:lang w:val="en-US"/>
        </w:rPr>
        <w:t>-13</w:t>
      </w:r>
      <w:r w:rsidRPr="001608AC">
        <w:rPr>
          <w:vertAlign w:val="superscript"/>
          <w:lang w:val="en-US"/>
        </w:rPr>
        <w:t>th</w:t>
      </w:r>
      <w:r>
        <w:rPr>
          <w:lang w:val="en-US"/>
        </w:rPr>
        <w:t xml:space="preserve"> Century</w:t>
      </w:r>
    </w:p>
    <w:p w14:paraId="5788D9EA" w14:textId="6AD76355" w:rsidR="001608AC" w:rsidRDefault="001608AC" w:rsidP="001608AC">
      <w:pPr>
        <w:pStyle w:val="ListParagraph"/>
        <w:rPr>
          <w:lang w:val="en-US"/>
        </w:rPr>
      </w:pPr>
      <w:r>
        <w:rPr>
          <w:lang w:val="en-US"/>
        </w:rPr>
        <w:t>14</w:t>
      </w:r>
      <w:r w:rsidRPr="001608AC">
        <w:rPr>
          <w:vertAlign w:val="superscript"/>
          <w:lang w:val="en-US"/>
        </w:rPr>
        <w:t>th</w:t>
      </w:r>
      <w:r>
        <w:rPr>
          <w:lang w:val="en-US"/>
        </w:rPr>
        <w:t>-15</w:t>
      </w:r>
      <w:r w:rsidRPr="001608AC">
        <w:rPr>
          <w:vertAlign w:val="superscript"/>
          <w:lang w:val="en-US"/>
        </w:rPr>
        <w:t>th</w:t>
      </w:r>
      <w:r>
        <w:rPr>
          <w:lang w:val="en-US"/>
        </w:rPr>
        <w:t xml:space="preserve"> Century</w:t>
      </w:r>
    </w:p>
    <w:p w14:paraId="640A9D4D" w14:textId="457B0151" w:rsidR="001608AC" w:rsidRDefault="001608AC" w:rsidP="001608AC">
      <w:pPr>
        <w:pStyle w:val="ListParagraph"/>
        <w:rPr>
          <w:lang w:val="en-US"/>
        </w:rPr>
      </w:pPr>
      <w:r>
        <w:rPr>
          <w:lang w:val="en-US"/>
        </w:rPr>
        <w:t>16</w:t>
      </w:r>
      <w:r w:rsidRPr="001608AC">
        <w:rPr>
          <w:vertAlign w:val="superscript"/>
          <w:lang w:val="en-US"/>
        </w:rPr>
        <w:t>th</w:t>
      </w:r>
      <w:r>
        <w:rPr>
          <w:lang w:val="en-US"/>
        </w:rPr>
        <w:t xml:space="preserve"> Century</w:t>
      </w:r>
    </w:p>
    <w:p w14:paraId="1AEE5F4A" w14:textId="5C9B1BB1" w:rsidR="001608AC" w:rsidRDefault="001608AC" w:rsidP="001608AC">
      <w:pPr>
        <w:pStyle w:val="ListParagraph"/>
        <w:rPr>
          <w:lang w:val="en-US"/>
        </w:rPr>
      </w:pPr>
      <w:r>
        <w:rPr>
          <w:lang w:val="en-US"/>
        </w:rPr>
        <w:t>17</w:t>
      </w:r>
      <w:r w:rsidRPr="001608AC">
        <w:rPr>
          <w:vertAlign w:val="superscript"/>
          <w:lang w:val="en-US"/>
        </w:rPr>
        <w:t>th</w:t>
      </w:r>
      <w:r>
        <w:rPr>
          <w:lang w:val="en-US"/>
        </w:rPr>
        <w:t xml:space="preserve"> Century</w:t>
      </w:r>
    </w:p>
    <w:p w14:paraId="45824937" w14:textId="3DB69EE7" w:rsidR="001608AC" w:rsidRDefault="001608AC" w:rsidP="001608AC">
      <w:pPr>
        <w:pStyle w:val="ListParagraph"/>
        <w:rPr>
          <w:lang w:val="en-US"/>
        </w:rPr>
      </w:pPr>
      <w:r>
        <w:rPr>
          <w:lang w:val="en-US"/>
        </w:rPr>
        <w:t>18</w:t>
      </w:r>
      <w:r w:rsidRPr="001608AC">
        <w:rPr>
          <w:vertAlign w:val="superscript"/>
          <w:lang w:val="en-US"/>
        </w:rPr>
        <w:t>th</w:t>
      </w:r>
      <w:r>
        <w:rPr>
          <w:lang w:val="en-US"/>
        </w:rPr>
        <w:t xml:space="preserve"> Century</w:t>
      </w:r>
    </w:p>
    <w:p w14:paraId="21FAD930" w14:textId="198CAF54" w:rsidR="001608AC" w:rsidRDefault="001608AC" w:rsidP="001608AC">
      <w:pPr>
        <w:pStyle w:val="ListParagraph"/>
        <w:rPr>
          <w:lang w:val="en-US"/>
        </w:rPr>
      </w:pPr>
      <w:r>
        <w:rPr>
          <w:lang w:val="en-US"/>
        </w:rPr>
        <w:t>19</w:t>
      </w:r>
      <w:r w:rsidRPr="001608AC">
        <w:rPr>
          <w:vertAlign w:val="superscript"/>
          <w:lang w:val="en-US"/>
        </w:rPr>
        <w:t>th</w:t>
      </w:r>
      <w:r>
        <w:rPr>
          <w:lang w:val="en-US"/>
        </w:rPr>
        <w:t xml:space="preserve"> Century</w:t>
      </w:r>
    </w:p>
    <w:p w14:paraId="452EED67" w14:textId="1044A87A" w:rsidR="001608AC" w:rsidRPr="001608AC" w:rsidRDefault="001608AC" w:rsidP="001608AC">
      <w:pPr>
        <w:pStyle w:val="ListParagraph"/>
        <w:rPr>
          <w:lang w:val="en-US"/>
        </w:rPr>
      </w:pPr>
      <w:r>
        <w:rPr>
          <w:lang w:val="en-US"/>
        </w:rPr>
        <w:t>20</w:t>
      </w:r>
      <w:r w:rsidRPr="001608AC">
        <w:rPr>
          <w:vertAlign w:val="superscript"/>
          <w:lang w:val="en-US"/>
        </w:rPr>
        <w:t>th</w:t>
      </w:r>
      <w:r>
        <w:rPr>
          <w:lang w:val="en-US"/>
        </w:rPr>
        <w:t xml:space="preserve"> Century</w:t>
      </w:r>
    </w:p>
    <w:sectPr w:rsidR="001608AC" w:rsidRPr="001608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F61834"/>
    <w:multiLevelType w:val="hybridMultilevel"/>
    <w:tmpl w:val="D3DC1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800712"/>
    <w:multiLevelType w:val="hybridMultilevel"/>
    <w:tmpl w:val="3326B25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D96"/>
    <w:rsid w:val="00132208"/>
    <w:rsid w:val="001608AC"/>
    <w:rsid w:val="005525DE"/>
    <w:rsid w:val="00560779"/>
    <w:rsid w:val="00724D96"/>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1E5F"/>
  <w15:chartTrackingRefBased/>
  <w15:docId w15:val="{B20EEE1F-D489-4036-A9A7-F010E4BD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5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A20BD-5D52-44CA-9966-80DE55D6E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1465</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2020-09-30T17:13:00Z</dcterms:created>
  <dcterms:modified xsi:type="dcterms:W3CDTF">2020-09-30T17:13:00Z</dcterms:modified>
</cp:coreProperties>
</file>