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A4C63" w:rsidRPr="00AA4C63" w:rsidRDefault="00AA4C63" w:rsidP="00AA4C63">
      <w:pPr>
        <w:rPr>
          <w:rFonts w:cstheme="minorHAnsi"/>
          <w:b/>
          <w:sz w:val="24"/>
          <w:szCs w:val="24"/>
        </w:rPr>
      </w:pPr>
      <w:r w:rsidRPr="00AA4C63">
        <w:rPr>
          <w:rFonts w:cstheme="minorHAnsi"/>
          <w:b/>
          <w:sz w:val="24"/>
          <w:szCs w:val="24"/>
        </w:rPr>
        <w:t>Candidate: Naomi Edwards</w:t>
      </w:r>
    </w:p>
    <w:p w:rsidR="00AA4C63" w:rsidRPr="00AA4C63" w:rsidRDefault="00AA4C63" w:rsidP="00AA4C63">
      <w:pPr>
        <w:rPr>
          <w:rFonts w:eastAsia="Times New Roman" w:cstheme="minorHAnsi"/>
          <w:b/>
          <w:sz w:val="24"/>
          <w:szCs w:val="24"/>
          <w:lang w:eastAsia="en-GB"/>
        </w:rPr>
      </w:pPr>
      <w:r w:rsidRPr="00AA4C63">
        <w:rPr>
          <w:rFonts w:cstheme="minorHAnsi"/>
          <w:b/>
          <w:sz w:val="24"/>
          <w:szCs w:val="24"/>
        </w:rPr>
        <w:t xml:space="preserve">Module: </w:t>
      </w:r>
      <w:r w:rsidRPr="00AA4C63">
        <w:rPr>
          <w:rFonts w:eastAsia="Times New Roman" w:cstheme="minorHAnsi"/>
          <w:b/>
          <w:sz w:val="24"/>
          <w:szCs w:val="24"/>
          <w:lang w:eastAsia="en-GB"/>
        </w:rPr>
        <w:t>BMPF7100</w:t>
      </w:r>
    </w:p>
    <w:p w:rsidR="00AA4C63" w:rsidRPr="00AA4C63" w:rsidRDefault="00AA4C63" w:rsidP="00AA4C63">
      <w:pPr>
        <w:rPr>
          <w:rFonts w:eastAsia="Times New Roman" w:cstheme="minorHAnsi"/>
          <w:b/>
          <w:sz w:val="24"/>
          <w:szCs w:val="24"/>
          <w:lang w:eastAsia="en-GB"/>
        </w:rPr>
      </w:pPr>
      <w:r w:rsidRPr="00AA4C63">
        <w:rPr>
          <w:rFonts w:eastAsia="Times New Roman" w:cstheme="minorHAnsi"/>
          <w:b/>
          <w:sz w:val="24"/>
          <w:szCs w:val="24"/>
          <w:lang w:eastAsia="en-GB"/>
        </w:rPr>
        <w:t>Title: Approaches to Research and Academic Communication</w:t>
      </w:r>
    </w:p>
    <w:p w:rsidR="00FD1A2E" w:rsidRDefault="00AA4C63" w:rsidP="00AA4C63">
      <w:pPr>
        <w:rPr>
          <w:rFonts w:cstheme="minorHAnsi"/>
          <w:sz w:val="24"/>
          <w:szCs w:val="24"/>
          <w:shd w:val="clear" w:color="auto" w:fill="FFFFFF"/>
        </w:rPr>
      </w:pPr>
      <w:r w:rsidRPr="00AA4C63">
        <w:rPr>
          <w:rFonts w:eastAsia="Times New Roman" w:cstheme="minorHAnsi"/>
          <w:sz w:val="24"/>
          <w:szCs w:val="24"/>
          <w:lang w:eastAsia="en-GB"/>
        </w:rPr>
        <w:t>According to Borg (1963), ‘</w:t>
      </w:r>
      <w:r w:rsidRPr="00AA4C63">
        <w:rPr>
          <w:rFonts w:cstheme="minorHAnsi"/>
          <w:sz w:val="24"/>
          <w:szCs w:val="24"/>
          <w:shd w:val="clear" w:color="auto" w:fill="FFFFFF"/>
        </w:rPr>
        <w:t xml:space="preserve">Research is a combination of both experience and reasoning and must be regarded as the most successful approach to the discovery of truth.’ Whilst his didactic, epistemological viewpoint demonstrates sensibility, the inevitability exhibited through his use of the modal verb ‘must’ attempts to negate the need for interrogation. There is little doubt that research, as Borg states, relates to thought undertaken in a logical and sensible fashion: reasoning, however, the inclusion of the concept of ‘experience’ creates a less definitive demarcation. Whether the definition considered relates to a scientific approach and the result of an observation of happenings or factual discovery, or a more incidental meaning which describes an impact left on an individual in a more emotional sense matters hugely when considered alongside the ‘most successful approach to the discovery of truth’. </w:t>
      </w:r>
      <w:r w:rsidRPr="00AA4C63">
        <w:rPr>
          <w:rFonts w:cstheme="minorHAnsi"/>
          <w:sz w:val="24"/>
          <w:szCs w:val="24"/>
        </w:rPr>
        <w:t>Experiential learn</w:t>
      </w:r>
      <w:r w:rsidR="00FD1A2E">
        <w:rPr>
          <w:rFonts w:cstheme="minorHAnsi"/>
          <w:sz w:val="24"/>
          <w:szCs w:val="24"/>
        </w:rPr>
        <w:t>ing theory defines learning as ‘</w:t>
      </w:r>
      <w:r w:rsidRPr="00AA4C63">
        <w:rPr>
          <w:rFonts w:cstheme="minorHAnsi"/>
          <w:sz w:val="24"/>
          <w:szCs w:val="24"/>
        </w:rPr>
        <w:t>the process whereby knowledge is created through the transformation of experience. Knowledge results from the combination of grasp</w:t>
      </w:r>
      <w:r w:rsidR="00FD1A2E">
        <w:rPr>
          <w:rFonts w:cstheme="minorHAnsi"/>
          <w:sz w:val="24"/>
          <w:szCs w:val="24"/>
        </w:rPr>
        <w:t xml:space="preserve">ing and transforming experience.’ </w:t>
      </w:r>
      <w:r w:rsidRPr="00AA4C63">
        <w:rPr>
          <w:rFonts w:cstheme="minorHAnsi"/>
          <w:sz w:val="24"/>
          <w:szCs w:val="24"/>
        </w:rPr>
        <w:t xml:space="preserve">(Kolb 1984, p. 41). </w:t>
      </w:r>
      <w:r w:rsidRPr="00AA4C63">
        <w:rPr>
          <w:rFonts w:cstheme="minorHAnsi"/>
          <w:sz w:val="24"/>
          <w:szCs w:val="24"/>
          <w:shd w:val="clear" w:color="auto" w:fill="FFFFFF"/>
        </w:rPr>
        <w:t xml:space="preserve">Should Borg’s definition of experience therefore relate to </w:t>
      </w:r>
      <w:r w:rsidRPr="00AA4C63">
        <w:rPr>
          <w:rFonts w:cstheme="minorHAnsi"/>
          <w:i/>
          <w:sz w:val="24"/>
          <w:szCs w:val="24"/>
          <w:shd w:val="clear" w:color="auto" w:fill="FFFFFF"/>
        </w:rPr>
        <w:t>emotional</w:t>
      </w:r>
      <w:r w:rsidRPr="00AA4C63">
        <w:rPr>
          <w:rFonts w:cstheme="minorHAnsi"/>
          <w:sz w:val="24"/>
          <w:szCs w:val="24"/>
          <w:shd w:val="clear" w:color="auto" w:fill="FFFFFF"/>
        </w:rPr>
        <w:t xml:space="preserve"> impact, this becomes the very antithesis of the discovery of truth, which would evoke the superlative least rather than most in its reflection. As Abbott (2016) considers, </w:t>
      </w:r>
    </w:p>
    <w:p w:rsidR="00FD1A2E" w:rsidRDefault="00AA4C63" w:rsidP="00FD1A2E">
      <w:pPr>
        <w:ind w:left="567" w:right="1088"/>
        <w:rPr>
          <w:rFonts w:cstheme="minorHAnsi"/>
          <w:sz w:val="24"/>
          <w:szCs w:val="24"/>
        </w:rPr>
      </w:pPr>
      <w:r w:rsidRPr="00AA4C63">
        <w:rPr>
          <w:rFonts w:cstheme="minorHAnsi"/>
          <w:sz w:val="24"/>
          <w:szCs w:val="24"/>
        </w:rPr>
        <w:t>The influence of the deep past on the present must come through the traces that that deep past has left in succeeding presents…This means that present differences – both within the self and beyond it – are the</w:t>
      </w:r>
      <w:r w:rsidR="00FD1A2E">
        <w:rPr>
          <w:rFonts w:cstheme="minorHAnsi"/>
          <w:sz w:val="24"/>
          <w:szCs w:val="24"/>
        </w:rPr>
        <w:t xml:space="preserve"> present traces of past events.</w:t>
      </w:r>
    </w:p>
    <w:p w:rsidR="00AA4C63" w:rsidRPr="00AA4C63" w:rsidRDefault="00AA4C63" w:rsidP="00AA4C63">
      <w:pPr>
        <w:rPr>
          <w:rFonts w:cstheme="minorHAnsi"/>
          <w:sz w:val="24"/>
          <w:szCs w:val="24"/>
          <w:shd w:val="clear" w:color="auto" w:fill="FFFFFF"/>
        </w:rPr>
      </w:pPr>
      <w:r w:rsidRPr="00AA4C63">
        <w:rPr>
          <w:rFonts w:cstheme="minorHAnsi"/>
          <w:sz w:val="24"/>
          <w:szCs w:val="24"/>
        </w:rPr>
        <w:t xml:space="preserve">Therefore meaning is never a fixed </w:t>
      </w:r>
      <w:r w:rsidRPr="00AA4C63">
        <w:rPr>
          <w:rFonts w:cstheme="minorHAnsi"/>
          <w:i/>
          <w:sz w:val="24"/>
          <w:szCs w:val="24"/>
        </w:rPr>
        <w:t xml:space="preserve">truth </w:t>
      </w:r>
      <w:r w:rsidRPr="00AA4C63">
        <w:rPr>
          <w:rFonts w:cstheme="minorHAnsi"/>
          <w:sz w:val="24"/>
          <w:szCs w:val="24"/>
        </w:rPr>
        <w:t>but is constantly being re-evaluated through new experiences. p. 143 (</w:t>
      </w:r>
      <w:r>
        <w:rPr>
          <w:rFonts w:cstheme="minorHAnsi"/>
          <w:sz w:val="24"/>
          <w:szCs w:val="24"/>
          <w:shd w:val="clear" w:color="auto" w:fill="F5F5F5"/>
        </w:rPr>
        <w:t xml:space="preserve">ABBOTT, A. </w:t>
      </w:r>
      <w:proofErr w:type="gramStart"/>
      <w:r>
        <w:rPr>
          <w:rFonts w:cstheme="minorHAnsi"/>
          <w:sz w:val="24"/>
          <w:szCs w:val="24"/>
          <w:shd w:val="clear" w:color="auto" w:fill="F5F5F5"/>
        </w:rPr>
        <w:t>ed</w:t>
      </w:r>
      <w:proofErr w:type="gramEnd"/>
      <w:r>
        <w:rPr>
          <w:rFonts w:cstheme="minorHAnsi"/>
          <w:sz w:val="24"/>
          <w:szCs w:val="24"/>
          <w:shd w:val="clear" w:color="auto" w:fill="F5F5F5"/>
        </w:rPr>
        <w:t>.)</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Perhaps more pertinent when considering research in this context would be that defined by </w:t>
      </w:r>
      <w:proofErr w:type="spellStart"/>
      <w:r w:rsidRPr="00AA4C63">
        <w:rPr>
          <w:rFonts w:cstheme="minorHAnsi"/>
          <w:sz w:val="24"/>
          <w:szCs w:val="24"/>
          <w:shd w:val="clear" w:color="auto" w:fill="FFFFFF"/>
        </w:rPr>
        <w:t>Sekaran</w:t>
      </w:r>
      <w:proofErr w:type="spellEnd"/>
      <w:r w:rsidRPr="00AA4C63">
        <w:rPr>
          <w:rFonts w:cstheme="minorHAnsi"/>
          <w:sz w:val="24"/>
          <w:szCs w:val="24"/>
          <w:shd w:val="clear" w:color="auto" w:fill="FFFFFF"/>
        </w:rPr>
        <w:t xml:space="preserve"> as a ‘systematic and organized effort to investigate a specific problem that needs a solution’ (1992, p.4). Such organisational research may focus upon ‘clarifying, validating or building a theory’ (</w:t>
      </w:r>
      <w:proofErr w:type="spellStart"/>
      <w:r w:rsidRPr="00AA4C63">
        <w:rPr>
          <w:rFonts w:cstheme="minorHAnsi"/>
          <w:sz w:val="24"/>
          <w:szCs w:val="24"/>
          <w:shd w:val="clear" w:color="auto" w:fill="FFFFFF"/>
        </w:rPr>
        <w:t>Easterby</w:t>
      </w:r>
      <w:proofErr w:type="spellEnd"/>
      <w:r w:rsidRPr="00AA4C63">
        <w:rPr>
          <w:rFonts w:cstheme="minorHAnsi"/>
          <w:sz w:val="24"/>
          <w:szCs w:val="24"/>
          <w:shd w:val="clear" w:color="auto" w:fill="FFFFFF"/>
        </w:rPr>
        <w:t xml:space="preserve">-Smith et al, 1991), which in turn becomes relatable only when an organisation can apply research undertaken in order to achieve more effective, efficient outcomes. As the new Professional Standards for Teaching and Leadership in Wales have made educational research one of the core values expected of all teachers, the importance of organisational research should now be at the forefront of all schools’ development plans. According to the definition for wider research and practice provided by the Welsh Assembly Government, qualified teachers are expected to demonstrate, ‘an increasingly confident understanding of the theories and research about assessment, pedagogy, child and adolescent development and learning relevant to planning and day-to-day practice’ (WAG). In order to sustain a culture of continuing professional development, now more than ever there is an emphasis on understanding educational theory, on collaborating and sharing research in education to improve standards. Increasingly, there is an expectation to take an ‘active role in the wider education community with contributions to journals, conferences or learning communities’(WAG), rather than maintaining distance as an insular practitioner confined to the classroom. Ideologically, Samaras and </w:t>
      </w:r>
      <w:proofErr w:type="spellStart"/>
      <w:r w:rsidRPr="00AA4C63">
        <w:rPr>
          <w:rFonts w:cstheme="minorHAnsi"/>
          <w:sz w:val="24"/>
          <w:szCs w:val="24"/>
          <w:shd w:val="clear" w:color="auto" w:fill="FFFFFF"/>
        </w:rPr>
        <w:t>Freese</w:t>
      </w:r>
      <w:proofErr w:type="spellEnd"/>
      <w:r w:rsidRPr="00AA4C63">
        <w:rPr>
          <w:rFonts w:cstheme="minorHAnsi"/>
          <w:sz w:val="24"/>
          <w:szCs w:val="24"/>
          <w:shd w:val="clear" w:color="auto" w:fill="FFFFFF"/>
        </w:rPr>
        <w:t xml:space="preserve"> describe such reflection as </w:t>
      </w:r>
      <w:r w:rsidRPr="00AA4C63">
        <w:rPr>
          <w:rFonts w:cstheme="minorHAnsi"/>
          <w:sz w:val="24"/>
          <w:szCs w:val="24"/>
          <w:shd w:val="clear" w:color="auto" w:fill="FFFFFF"/>
        </w:rPr>
        <w:lastRenderedPageBreak/>
        <w:t>‘</w:t>
      </w:r>
      <w:proofErr w:type="spellStart"/>
      <w:r w:rsidRPr="00AA4C63">
        <w:rPr>
          <w:rFonts w:cstheme="minorHAnsi"/>
          <w:sz w:val="24"/>
          <w:szCs w:val="24"/>
          <w:shd w:val="clear" w:color="auto" w:fill="FFFFFF"/>
        </w:rPr>
        <w:t>communitas</w:t>
      </w:r>
      <w:proofErr w:type="spellEnd"/>
      <w:r w:rsidRPr="00AA4C63">
        <w:rPr>
          <w:rFonts w:cstheme="minorHAnsi"/>
          <w:sz w:val="24"/>
          <w:szCs w:val="24"/>
          <w:shd w:val="clear" w:color="auto" w:fill="FFFFFF"/>
        </w:rPr>
        <w:t xml:space="preserve">: a professional community where there are strong feelings of social togetherness and belongingness.’ (p. 18, Samaras, A. P. &amp; </w:t>
      </w:r>
      <w:proofErr w:type="spellStart"/>
      <w:r w:rsidRPr="00AA4C63">
        <w:rPr>
          <w:rFonts w:cstheme="minorHAnsi"/>
          <w:sz w:val="24"/>
          <w:szCs w:val="24"/>
          <w:shd w:val="clear" w:color="auto" w:fill="FFFFFF"/>
        </w:rPr>
        <w:t>Freese</w:t>
      </w:r>
      <w:proofErr w:type="spellEnd"/>
      <w:r w:rsidRPr="00AA4C63">
        <w:rPr>
          <w:rFonts w:cstheme="minorHAnsi"/>
          <w:sz w:val="24"/>
          <w:szCs w:val="24"/>
          <w:shd w:val="clear" w:color="auto" w:fill="FFFFFF"/>
        </w:rPr>
        <w:t>, A. R.</w:t>
      </w:r>
      <w:proofErr w:type="gramStart"/>
      <w:r w:rsidRPr="00AA4C63">
        <w:rPr>
          <w:rFonts w:cstheme="minorHAnsi"/>
          <w:sz w:val="24"/>
          <w:szCs w:val="24"/>
          <w:shd w:val="clear" w:color="auto" w:fill="FFFFFF"/>
        </w:rPr>
        <w:t>,2006</w:t>
      </w:r>
      <w:proofErr w:type="gramEnd"/>
      <w:r w:rsidRPr="00AA4C63">
        <w:rPr>
          <w:rFonts w:cstheme="minorHAnsi"/>
          <w:sz w:val="24"/>
          <w:szCs w:val="24"/>
          <w:shd w:val="clear" w:color="auto" w:fill="FFFFFF"/>
        </w:rPr>
        <w:t xml:space="preserve">). With the new Successful Futures curriculum due to be implemented up to </w:t>
      </w:r>
      <w:r w:rsidR="00FD1A2E">
        <w:rPr>
          <w:rFonts w:cstheme="minorHAnsi"/>
          <w:sz w:val="24"/>
          <w:szCs w:val="24"/>
          <w:shd w:val="clear" w:color="auto" w:fill="FFFFFF"/>
        </w:rPr>
        <w:t xml:space="preserve">and including </w:t>
      </w:r>
      <w:bookmarkStart w:id="0" w:name="_GoBack"/>
      <w:bookmarkEnd w:id="0"/>
      <w:r w:rsidRPr="00AA4C63">
        <w:rPr>
          <w:rFonts w:cstheme="minorHAnsi"/>
          <w:sz w:val="24"/>
          <w:szCs w:val="24"/>
          <w:shd w:val="clear" w:color="auto" w:fill="FFFFFF"/>
        </w:rPr>
        <w:t>Year 7 by 2022, never has the need to embrace the ideology of being a ‘professional community’ been so pertinent. Whilst the introduction of the MA in Education in the mid-eighties</w:t>
      </w:r>
      <w:r w:rsidRPr="00AA4C63">
        <w:rPr>
          <w:rStyle w:val="FootnoteReference"/>
          <w:rFonts w:cstheme="minorHAnsi"/>
          <w:sz w:val="24"/>
          <w:szCs w:val="24"/>
          <w:shd w:val="clear" w:color="auto" w:fill="FFFFFF"/>
        </w:rPr>
        <w:footnoteReference w:id="1"/>
      </w:r>
      <w:r w:rsidRPr="00AA4C63">
        <w:rPr>
          <w:rFonts w:cstheme="minorHAnsi"/>
          <w:sz w:val="24"/>
          <w:szCs w:val="24"/>
          <w:shd w:val="clear" w:color="auto" w:fill="FFFFFF"/>
        </w:rPr>
        <w:t xml:space="preserve"> did much to promote further academic study within teaching, the decision to make educational research one of the core values of the latest professional standards, along with the publication of PISA</w:t>
      </w:r>
      <w:r w:rsidRPr="00AA4C63">
        <w:rPr>
          <w:rStyle w:val="FootnoteReference"/>
          <w:rFonts w:cstheme="minorHAnsi"/>
          <w:sz w:val="24"/>
          <w:szCs w:val="24"/>
          <w:shd w:val="clear" w:color="auto" w:fill="FFFFFF"/>
        </w:rPr>
        <w:footnoteReference w:id="2"/>
      </w:r>
      <w:r w:rsidRPr="00AA4C63">
        <w:rPr>
          <w:rFonts w:cstheme="minorHAnsi"/>
          <w:sz w:val="24"/>
          <w:szCs w:val="24"/>
          <w:shd w:val="clear" w:color="auto" w:fill="FFFFFF"/>
        </w:rPr>
        <w:t xml:space="preserve"> test results, has undoubtedly stimulated a desire to broaden understanding of pedagogy across the globe. </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Key questions with regard to the efficacy of educational research have recently been raised by the </w:t>
      </w:r>
      <w:r w:rsidRPr="00AA4C63">
        <w:rPr>
          <w:rFonts w:cstheme="minorHAnsi"/>
          <w:i/>
          <w:sz w:val="24"/>
          <w:szCs w:val="24"/>
          <w:shd w:val="clear" w:color="auto" w:fill="FFFFFF"/>
        </w:rPr>
        <w:t>British Educational Research Journal</w:t>
      </w:r>
      <w:r w:rsidRPr="00AA4C63">
        <w:rPr>
          <w:rFonts w:cstheme="minorHAnsi"/>
          <w:sz w:val="24"/>
          <w:szCs w:val="24"/>
          <w:shd w:val="clear" w:color="auto" w:fill="FFFFFF"/>
        </w:rPr>
        <w:t xml:space="preserve">. In an opening editorial piece, academics posed questions such as ‘Who is best placed or qualified to carry out educational research?’ and ‘Is there a gold standard?’ (BERJ, Vol. 46, No. 1, February 2020, p.1) The evaluative nature of the interrogative implies a judicial element to the discussion initiated within the discourse community. Using the superlative ‘best’ to describe an individual’s academic positioning or to quantify a researcher’s axiological perspective through the notion of needing to be ‘qualified’ indicates an implicit </w:t>
      </w:r>
      <w:proofErr w:type="spellStart"/>
      <w:r w:rsidRPr="00AA4C63">
        <w:rPr>
          <w:rFonts w:cstheme="minorHAnsi"/>
          <w:sz w:val="24"/>
          <w:szCs w:val="24"/>
          <w:shd w:val="clear" w:color="auto" w:fill="FFFFFF"/>
        </w:rPr>
        <w:t>insiderness</w:t>
      </w:r>
      <w:proofErr w:type="spellEnd"/>
      <w:r w:rsidRPr="00AA4C63">
        <w:rPr>
          <w:rFonts w:cstheme="minorHAnsi"/>
          <w:sz w:val="24"/>
          <w:szCs w:val="24"/>
          <w:shd w:val="clear" w:color="auto" w:fill="FFFFFF"/>
        </w:rPr>
        <w:t xml:space="preserve">. Whilst this initially seems rather an elitist stance to take, the important point being made by the academics writing the article is that research should not be highbrow or gilded, but egalitarian and ‘broad and inclusive’. (BERJ, </w:t>
      </w:r>
      <w:r>
        <w:rPr>
          <w:rFonts w:cstheme="minorHAnsi"/>
          <w:sz w:val="24"/>
          <w:szCs w:val="24"/>
          <w:shd w:val="clear" w:color="auto" w:fill="FFFFFF"/>
        </w:rPr>
        <w:t>Vol. 46</w:t>
      </w:r>
      <w:proofErr w:type="gramStart"/>
      <w:r>
        <w:rPr>
          <w:rFonts w:cstheme="minorHAnsi"/>
          <w:sz w:val="24"/>
          <w:szCs w:val="24"/>
          <w:shd w:val="clear" w:color="auto" w:fill="FFFFFF"/>
        </w:rPr>
        <w:t>,</w:t>
      </w:r>
      <w:r w:rsidRPr="00AA4C63">
        <w:rPr>
          <w:rFonts w:cstheme="minorHAnsi"/>
          <w:sz w:val="24"/>
          <w:szCs w:val="24"/>
          <w:shd w:val="clear" w:color="auto" w:fill="FFFFFF"/>
        </w:rPr>
        <w:t>p.1</w:t>
      </w:r>
      <w:proofErr w:type="gramEnd"/>
      <w:r w:rsidRPr="00AA4C63">
        <w:rPr>
          <w:rFonts w:cstheme="minorHAnsi"/>
          <w:sz w:val="24"/>
          <w:szCs w:val="24"/>
          <w:shd w:val="clear" w:color="auto" w:fill="FFFFFF"/>
        </w:rPr>
        <w:t>) Far from considering educational research to be merely the realm of the insider, the article suggests that it is vital to widen the scope and participation in order to consider new areas, and to ask awkward questions rather than believing that those in the know: those at the top of the educational hierarchy are best placed to decide. In keeping with the core values advocated by the professional standards, this therefore enables and encourages a greater array of education professionals to elicit debate, creating a healthier, broader discourse.</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As well as questioning the representative nature of practitioners available to conduct research, the article also considers the exclusivity of education as a recognisable subject area in its own right. Whilst BERJ endeavours to embrace the inclusivity offered by other disciplines such as sociology and psychology, they note that other nations place education in a different realm. However, it is the breadth of education’s reach and its willingness to collaborate and meld with other research disciplines which widens its appeal. The article suggests that it is its ‘presumption of </w:t>
      </w:r>
      <w:proofErr w:type="spellStart"/>
      <w:r w:rsidRPr="00AA4C63">
        <w:rPr>
          <w:rFonts w:cstheme="minorHAnsi"/>
          <w:sz w:val="24"/>
          <w:szCs w:val="24"/>
          <w:shd w:val="clear" w:color="auto" w:fill="FFFFFF"/>
        </w:rPr>
        <w:t>interdisciplinarity</w:t>
      </w:r>
      <w:proofErr w:type="spellEnd"/>
      <w:r w:rsidRPr="00AA4C63">
        <w:rPr>
          <w:rFonts w:cstheme="minorHAnsi"/>
          <w:sz w:val="24"/>
          <w:szCs w:val="24"/>
          <w:shd w:val="clear" w:color="auto" w:fill="FFFFFF"/>
        </w:rPr>
        <w:t>’ (BERJ , p.2) that creates a duality which makes it both an invaluable source for other disciplines with regard to its collaborative nature, whilst becoming its Achilles heel as it becomes less clearly defined and therefore lacks a strong individual identity.</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According to the article, education shares the same values as other disciplinary cultures as it too strives to maintain a salubrious reputation. Even though education's impact is as widely important as any, it has wavered in its success over the years to be taken seriously and in its attempts to be viewed as a strong academically informed research discipline. Like other disciplines, there is a desire to maintain status: to shore up defences and to ‘stake out a territory and then guard and defend’. (BERJ p.2) Inextricably linked to upholding the eminence of education as a research area is the desire by educational professionals to continue to build upon and improve learning and teaching practices through recognising innovation and a need to progress. </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Crucially, according to the article, in order to widen the extent to which research linked to education is carried out, it is vital to extend its links with and to other disciplines. This would enable horizons to be stretched and questions to be posed about prospective progressive research within education. Perhaps the key phrase in the article’s message is the idea of ‘changing perceptions of what is worthy of research’. (BERJ, p.2) The implication here is that in order to encourage other disciplines to accept education as a worthwhile area of research to link up with, it must demonstrate its value as an associate. With education being a fundamental cornerstone of society’s measure of its population, an unwillingness to appreciate the importance of widening its potential seems parochial and disingenuous. As BERJ appears to suggest, through believing our education system elevated, this perhaps makes us less prepared to look outwards and embrace concepts which could help us develop and improve our own. However, in considering the ‘movement to decolonise education’ (BERJ, p.3), the internal consistency and validity of the article’s message may be called into question. Through utilising Tuck &amp; Yang (2012) as an example of a ‘call’ for decolonisation, the validity of Wainwright et </w:t>
      </w:r>
      <w:proofErr w:type="spellStart"/>
      <w:r w:rsidRPr="00AA4C63">
        <w:rPr>
          <w:rFonts w:cstheme="minorHAnsi"/>
          <w:sz w:val="24"/>
          <w:szCs w:val="24"/>
          <w:shd w:val="clear" w:color="auto" w:fill="FFFFFF"/>
        </w:rPr>
        <w:t>al’s</w:t>
      </w:r>
      <w:proofErr w:type="spellEnd"/>
      <w:r w:rsidRPr="00AA4C63">
        <w:rPr>
          <w:rFonts w:cstheme="minorHAnsi"/>
          <w:sz w:val="24"/>
          <w:szCs w:val="24"/>
          <w:shd w:val="clear" w:color="auto" w:fill="FFFFFF"/>
        </w:rPr>
        <w:t xml:space="preserve"> standpoint becomes somewhat skewed. Far from supporting the concept, Tuck &amp; Yang (2012) state that </w:t>
      </w:r>
    </w:p>
    <w:p w:rsidR="00AA4C63" w:rsidRPr="00AA4C63" w:rsidRDefault="00AA4C63" w:rsidP="00AA4C63">
      <w:pPr>
        <w:ind w:left="567" w:right="1088"/>
        <w:rPr>
          <w:rFonts w:cstheme="minorHAnsi"/>
          <w:sz w:val="24"/>
          <w:szCs w:val="24"/>
          <w:shd w:val="clear" w:color="auto" w:fill="FFFFFF"/>
        </w:rPr>
      </w:pPr>
      <w:r w:rsidRPr="00AA4C63">
        <w:rPr>
          <w:rFonts w:cstheme="minorHAnsi"/>
          <w:sz w:val="24"/>
          <w:szCs w:val="24"/>
          <w:shd w:val="clear" w:color="auto" w:fill="FFFFFF"/>
        </w:rPr>
        <w:t xml:space="preserve">‘the language of decolonization has been superficially adopted into education … [it] is far too often subsumed into the directives of these projects, with no regard for how decolonization wants something different than those forms of justice.’ (Tuck &amp; Yang, 2012, p.2) </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The reasoning for decolonising education within the article in BERJ is not therefore deductive, but rather reductive and distorted. </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In line with Tuck &amp; Yang’s (2012) interrogation of the misinformed desire held by some theorists that education needs to break free from its constraints and broaden its scope, </w:t>
      </w:r>
      <w:proofErr w:type="spellStart"/>
      <w:r w:rsidRPr="00AA4C63">
        <w:rPr>
          <w:rFonts w:cstheme="minorHAnsi"/>
          <w:sz w:val="24"/>
          <w:szCs w:val="24"/>
          <w:shd w:val="clear" w:color="auto" w:fill="FFFFFF"/>
        </w:rPr>
        <w:t>Gray</w:t>
      </w:r>
      <w:proofErr w:type="spellEnd"/>
      <w:r w:rsidRPr="00AA4C63">
        <w:rPr>
          <w:rFonts w:cstheme="minorHAnsi"/>
          <w:sz w:val="24"/>
          <w:szCs w:val="24"/>
          <w:shd w:val="clear" w:color="auto" w:fill="FFFFFF"/>
        </w:rPr>
        <w:t xml:space="preserve"> (2004) states that more judicious forms of enquiry encourage a less positivist approach. Importantly, according to </w:t>
      </w:r>
      <w:proofErr w:type="spellStart"/>
      <w:r w:rsidRPr="00AA4C63">
        <w:rPr>
          <w:rFonts w:cstheme="minorHAnsi"/>
          <w:sz w:val="24"/>
          <w:szCs w:val="24"/>
          <w:shd w:val="clear" w:color="auto" w:fill="FFFFFF"/>
        </w:rPr>
        <w:t>Gray</w:t>
      </w:r>
      <w:proofErr w:type="spellEnd"/>
      <w:r w:rsidRPr="00AA4C63">
        <w:rPr>
          <w:rFonts w:cstheme="minorHAnsi"/>
          <w:sz w:val="24"/>
          <w:szCs w:val="24"/>
          <w:shd w:val="clear" w:color="auto" w:fill="FFFFFF"/>
        </w:rPr>
        <w:t>, critical enquiry ‘is a meta-process of investigation, which questions currently held values and assumptions and challenges conventional social structures.’ (</w:t>
      </w:r>
      <w:proofErr w:type="spellStart"/>
      <w:r w:rsidRPr="00AA4C63">
        <w:rPr>
          <w:rFonts w:cstheme="minorHAnsi"/>
          <w:sz w:val="24"/>
          <w:szCs w:val="24"/>
          <w:shd w:val="clear" w:color="auto" w:fill="FFFFFF"/>
        </w:rPr>
        <w:t>Gray</w:t>
      </w:r>
      <w:proofErr w:type="spellEnd"/>
      <w:r w:rsidRPr="00AA4C63">
        <w:rPr>
          <w:rFonts w:cstheme="minorHAnsi"/>
          <w:sz w:val="24"/>
          <w:szCs w:val="24"/>
          <w:shd w:val="clear" w:color="auto" w:fill="FFFFFF"/>
        </w:rPr>
        <w:t xml:space="preserve">, 2004 p.23) So rather than seeing research as singular and defined in its approach, it is a multi-faceted activity which attempts to unpick and cast doubt on previously held values. The difficulty when considering this aspect in light of educational research is that a panacea is often sought which is duty bound to lead to improvements in teaching and learning. </w:t>
      </w:r>
      <w:proofErr w:type="spellStart"/>
      <w:r w:rsidRPr="00AA4C63">
        <w:rPr>
          <w:rFonts w:cstheme="minorHAnsi"/>
          <w:sz w:val="24"/>
          <w:szCs w:val="24"/>
          <w:shd w:val="clear" w:color="auto" w:fill="FFFFFF"/>
        </w:rPr>
        <w:t>Seyum</w:t>
      </w:r>
      <w:proofErr w:type="spellEnd"/>
      <w:r w:rsidRPr="00AA4C63">
        <w:rPr>
          <w:rFonts w:cstheme="minorHAnsi"/>
          <w:sz w:val="24"/>
          <w:szCs w:val="24"/>
          <w:shd w:val="clear" w:color="auto" w:fill="FFFFFF"/>
        </w:rPr>
        <w:t xml:space="preserve">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xml:space="preserve"> suggests that one way to forge greater links between carrying out research and embedding findings is to improve the connection between researcher and classroom practitioner through using design-based research (DBR). With what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xml:space="preserve"> sees as a disparity between educational practice and research findings, she suggests that, ‘Classroom teachers and school leaders often struggle to see any meaningful connection between educational research and its influence on their real-world problems’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xml:space="preserve">, 2019, p.483). In questioning the phenomenological stance of the significance of the research often undertaken, the article undermines the efficacy of the </w:t>
      </w:r>
      <w:proofErr w:type="spellStart"/>
      <w:r w:rsidRPr="00AA4C63">
        <w:rPr>
          <w:rFonts w:cstheme="minorHAnsi"/>
          <w:sz w:val="24"/>
          <w:szCs w:val="24"/>
          <w:shd w:val="clear" w:color="auto" w:fill="FFFFFF"/>
        </w:rPr>
        <w:t>insiderness</w:t>
      </w:r>
      <w:proofErr w:type="spellEnd"/>
      <w:r w:rsidRPr="00AA4C63">
        <w:rPr>
          <w:rFonts w:cstheme="minorHAnsi"/>
          <w:sz w:val="24"/>
          <w:szCs w:val="24"/>
          <w:shd w:val="clear" w:color="auto" w:fill="FFFFFF"/>
        </w:rPr>
        <w:t xml:space="preserve"> of the researchers: she suggests that rather than asking the practitioners what issues they may have which could be scrutinised, evaluated and enhanced, the researchers merely look into what they </w:t>
      </w:r>
      <w:r w:rsidRPr="00AA4C63">
        <w:rPr>
          <w:rFonts w:cstheme="minorHAnsi"/>
          <w:i/>
          <w:sz w:val="24"/>
          <w:szCs w:val="24"/>
          <w:shd w:val="clear" w:color="auto" w:fill="FFFFFF"/>
        </w:rPr>
        <w:t xml:space="preserve">believe </w:t>
      </w:r>
      <w:r w:rsidRPr="00AA4C63">
        <w:rPr>
          <w:rFonts w:cstheme="minorHAnsi"/>
          <w:sz w:val="24"/>
          <w:szCs w:val="24"/>
          <w:shd w:val="clear" w:color="auto" w:fill="FFFFFF"/>
        </w:rPr>
        <w:t xml:space="preserve">should be explored. </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 xml:space="preserve">According to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DBR offers an opportunity for teachers to see relevance to their research being connected to classroom practice. So practitioners can utilise DBR as a research method to link the context of what happens in the classroom to theory in order to meaningfully evaluate and improve their teaching and learning. Most importantly according to Thein et al (2012), ‘practitioners are not subjects assigned to treatments but, instead, are treated as co-participants in both the design and even in the analysis of a research process’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xml:space="preserve">, 2019, p.483). This in </w:t>
      </w:r>
      <w:proofErr w:type="spellStart"/>
      <w:r w:rsidRPr="00AA4C63">
        <w:rPr>
          <w:rFonts w:cstheme="minorHAnsi"/>
          <w:sz w:val="24"/>
          <w:szCs w:val="24"/>
          <w:shd w:val="clear" w:color="auto" w:fill="FFFFFF"/>
        </w:rPr>
        <w:t>Getenet’s</w:t>
      </w:r>
      <w:proofErr w:type="spellEnd"/>
      <w:r w:rsidRPr="00AA4C63">
        <w:rPr>
          <w:rFonts w:cstheme="minorHAnsi"/>
          <w:sz w:val="24"/>
          <w:szCs w:val="24"/>
          <w:shd w:val="clear" w:color="auto" w:fill="FFFFFF"/>
        </w:rPr>
        <w:t xml:space="preserve"> view is vital to the success of the research in terms of recognising and developing the areas identified in the practitioner’s own teaching and learning domain. Indeed as Wang and </w:t>
      </w:r>
      <w:proofErr w:type="spellStart"/>
      <w:r w:rsidRPr="00AA4C63">
        <w:rPr>
          <w:rFonts w:cstheme="minorHAnsi"/>
          <w:sz w:val="24"/>
          <w:szCs w:val="24"/>
          <w:shd w:val="clear" w:color="auto" w:fill="FFFFFF"/>
        </w:rPr>
        <w:t>Hannafin</w:t>
      </w:r>
      <w:proofErr w:type="spellEnd"/>
      <w:r w:rsidRPr="00AA4C63">
        <w:rPr>
          <w:rFonts w:cstheme="minorHAnsi"/>
          <w:sz w:val="24"/>
          <w:szCs w:val="24"/>
          <w:shd w:val="clear" w:color="auto" w:fill="FFFFFF"/>
        </w:rPr>
        <w:t xml:space="preserve"> (2005) recognise, it’s not merely about putting theory into practice, but developing the theory in order to i</w:t>
      </w:r>
      <w:r>
        <w:rPr>
          <w:rFonts w:cstheme="minorHAnsi"/>
          <w:sz w:val="24"/>
          <w:szCs w:val="24"/>
          <w:shd w:val="clear" w:color="auto" w:fill="FFFFFF"/>
        </w:rPr>
        <w:t>mprove the educator’s practice</w:t>
      </w:r>
      <w:r w:rsidRPr="00AA4C63">
        <w:rPr>
          <w:rFonts w:cstheme="minorHAnsi"/>
          <w:sz w:val="24"/>
          <w:szCs w:val="24"/>
          <w:shd w:val="clear" w:color="auto" w:fill="FFFFFF"/>
        </w:rPr>
        <w:t xml:space="preserve"> </w:t>
      </w:r>
    </w:p>
    <w:p w:rsidR="00AA4C63" w:rsidRPr="00AA4C63" w:rsidRDefault="00AA4C63" w:rsidP="00AA4C63">
      <w:pPr>
        <w:rPr>
          <w:rFonts w:cstheme="minorHAnsi"/>
          <w:sz w:val="24"/>
          <w:szCs w:val="24"/>
          <w:shd w:val="clear" w:color="auto" w:fill="FFFFFF"/>
        </w:rPr>
      </w:pPr>
      <w:proofErr w:type="spellStart"/>
      <w:r w:rsidRPr="00AA4C63">
        <w:rPr>
          <w:rFonts w:cstheme="minorHAnsi"/>
          <w:sz w:val="24"/>
          <w:szCs w:val="24"/>
          <w:shd w:val="clear" w:color="auto" w:fill="FFFFFF"/>
        </w:rPr>
        <w:t>Getenet’s</w:t>
      </w:r>
      <w:proofErr w:type="spellEnd"/>
      <w:r w:rsidRPr="00AA4C63">
        <w:rPr>
          <w:rFonts w:cstheme="minorHAnsi"/>
          <w:sz w:val="24"/>
          <w:szCs w:val="24"/>
          <w:shd w:val="clear" w:color="auto" w:fill="FFFFFF"/>
        </w:rPr>
        <w:t xml:space="preserve"> article further states that the concept of DBR is being further enhanced through the inclusion of the term ‘implementation’ being added to its parameters, with the implication being that this highlights a need to demonstrate that something has been carried out as a result of the research. The impact of revising DBR to DBIR therefore enables researchers and practitioners to see beyond the traditional disparity sometimes faced, and as Fishman et al (2013) states, should remove ‘barriers’ faced in order to ‘facilitate the design of educational interventions such as PD [professional development] that are scalable, sustainable and effective’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2019, p.483). Whilst the stimulus of such a nuanced change should lead to demonstrable improvements in teaching and learning outcomes following research, whether professional development can be adjudged as an ‘educational intervention’ is questionable. The importance of researching and developing educational practices is evidently vital for ongoing improvement throughout the whole of education, which clearly merits the inclusion of the word ‘implementation’ as it infers an outcome or enhancement. However, through linking the evaluative nature of professional development to an ‘educational intervention’ it implies that it is the educational professional whose practice needs to be researched rather than the outcomes themselves. The epistemology as well as the causality can therefore be questioned in this case as the suggestion is that the cause of the need to change practices lies squarely with the practitioner rather than considering the effect of any other variables.</w:t>
      </w:r>
    </w:p>
    <w:p w:rsidR="00AA4C63" w:rsidRPr="00AA4C63" w:rsidRDefault="00AA4C63" w:rsidP="00AA4C63">
      <w:pPr>
        <w:rPr>
          <w:rFonts w:cstheme="minorHAnsi"/>
          <w:sz w:val="24"/>
          <w:szCs w:val="24"/>
          <w:shd w:val="clear" w:color="auto" w:fill="FFFFFF"/>
        </w:rPr>
      </w:pPr>
      <w:r w:rsidRPr="00AA4C63">
        <w:rPr>
          <w:rFonts w:cstheme="minorHAnsi"/>
          <w:sz w:val="24"/>
          <w:szCs w:val="24"/>
          <w:shd w:val="clear" w:color="auto" w:fill="FFFFFF"/>
        </w:rPr>
        <w:t>According to Anderson (2005), practitioners rarely have the chance to gain a robust insight into the idea behind the intervention they’ve researched prior to implementation (</w:t>
      </w:r>
      <w:proofErr w:type="spellStart"/>
      <w:r w:rsidRPr="00AA4C63">
        <w:rPr>
          <w:rFonts w:cstheme="minorHAnsi"/>
          <w:sz w:val="24"/>
          <w:szCs w:val="24"/>
          <w:shd w:val="clear" w:color="auto" w:fill="FFFFFF"/>
        </w:rPr>
        <w:t>Getenet</w:t>
      </w:r>
      <w:proofErr w:type="spellEnd"/>
      <w:r w:rsidRPr="00AA4C63">
        <w:rPr>
          <w:rFonts w:cstheme="minorHAnsi"/>
          <w:sz w:val="24"/>
          <w:szCs w:val="24"/>
          <w:shd w:val="clear" w:color="auto" w:fill="FFFFFF"/>
        </w:rPr>
        <w:t xml:space="preserve">, 2019, p.484). This may well be the case due to time constraints, though if the practitioner has taken the opportunity to undertake research, to fail to witness the impact of their efforts when so much investment has taken place would be fruitless. On reflection, according to </w:t>
      </w:r>
      <w:proofErr w:type="spellStart"/>
      <w:r w:rsidRPr="00AA4C63">
        <w:rPr>
          <w:rFonts w:cstheme="minorHAnsi"/>
          <w:sz w:val="24"/>
          <w:szCs w:val="24"/>
          <w:shd w:val="clear" w:color="auto" w:fill="FFFFFF"/>
        </w:rPr>
        <w:t>Getenet’s</w:t>
      </w:r>
      <w:proofErr w:type="spellEnd"/>
      <w:r w:rsidRPr="00AA4C63">
        <w:rPr>
          <w:rFonts w:cstheme="minorHAnsi"/>
          <w:sz w:val="24"/>
          <w:szCs w:val="24"/>
          <w:shd w:val="clear" w:color="auto" w:fill="FFFFFF"/>
        </w:rPr>
        <w:t xml:space="preserve"> article, it is the collaborative nature of DBR which enables greater success when research is conducted as there is a mutual reliance which thereby increases the vested interest and desire to achieve. </w:t>
      </w:r>
    </w:p>
    <w:p w:rsidR="00DB0E82" w:rsidRPr="00AA4C63" w:rsidRDefault="00DB0E82">
      <w:pPr>
        <w:rPr>
          <w:rFonts w:cstheme="minorHAnsi"/>
          <w:sz w:val="24"/>
          <w:szCs w:val="24"/>
        </w:rPr>
      </w:pPr>
    </w:p>
    <w:sectPr w:rsidR="00DB0E82" w:rsidRPr="00AA4C63" w:rsidSect="006E4D1A">
      <w:pgSz w:w="11906" w:h="16838"/>
      <w:pgMar w:top="709"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C1346" w:rsidRDefault="00BC1346" w:rsidP="00AA4C63">
      <w:pPr>
        <w:spacing w:after="0" w:line="240" w:lineRule="auto"/>
      </w:pPr>
      <w:r>
        <w:separator/>
      </w:r>
    </w:p>
  </w:endnote>
  <w:endnote w:type="continuationSeparator" w:id="0">
    <w:p w:rsidR="00BC1346" w:rsidRDefault="00BC1346" w:rsidP="00AA4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C1346" w:rsidRDefault="00BC1346" w:rsidP="00AA4C63">
      <w:pPr>
        <w:spacing w:after="0" w:line="240" w:lineRule="auto"/>
      </w:pPr>
      <w:r>
        <w:separator/>
      </w:r>
    </w:p>
  </w:footnote>
  <w:footnote w:type="continuationSeparator" w:id="0">
    <w:p w:rsidR="00BC1346" w:rsidRDefault="00BC1346" w:rsidP="00AA4C63">
      <w:pPr>
        <w:spacing w:after="0" w:line="240" w:lineRule="auto"/>
      </w:pPr>
      <w:r>
        <w:continuationSeparator/>
      </w:r>
    </w:p>
  </w:footnote>
  <w:footnote w:id="1">
    <w:p w:rsidR="00AA4C63" w:rsidRDefault="00AA4C63" w:rsidP="00AA4C63">
      <w:pPr>
        <w:pStyle w:val="FootnoteText"/>
      </w:pPr>
      <w:r>
        <w:rPr>
          <w:rStyle w:val="FootnoteReference"/>
        </w:rPr>
        <w:footnoteRef/>
      </w:r>
      <w:r>
        <w:t xml:space="preserve"> The MA (</w:t>
      </w:r>
      <w:proofErr w:type="spellStart"/>
      <w:r>
        <w:t>ed</w:t>
      </w:r>
      <w:proofErr w:type="spellEnd"/>
      <w:r>
        <w:t>) first introduced in Trinity St David in 1984</w:t>
      </w:r>
    </w:p>
  </w:footnote>
  <w:footnote w:id="2">
    <w:p w:rsidR="00AA4C63" w:rsidRDefault="00AA4C63" w:rsidP="00AA4C63">
      <w:pPr>
        <w:pStyle w:val="FootnoteText"/>
      </w:pPr>
      <w:r>
        <w:rPr>
          <w:rStyle w:val="FootnoteReference"/>
        </w:rPr>
        <w:footnoteRef/>
      </w:r>
      <w:r>
        <w:t xml:space="preserve"> Program for International Student Assessment founded in 2000 measures the ability of 15-year-old students across reading, numeracy and literacy in science every three years.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4C63"/>
    <w:rsid w:val="006E4D1A"/>
    <w:rsid w:val="00AA4C63"/>
    <w:rsid w:val="00B76F73"/>
    <w:rsid w:val="00BC1346"/>
    <w:rsid w:val="00DB0E82"/>
    <w:rsid w:val="00FD1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ED37E6-550F-4786-AAFB-8BF35CDE5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4C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4C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4C63"/>
    <w:rPr>
      <w:sz w:val="20"/>
      <w:szCs w:val="20"/>
    </w:rPr>
  </w:style>
  <w:style w:type="character" w:styleId="FootnoteReference">
    <w:name w:val="footnote reference"/>
    <w:basedOn w:val="DefaultParagraphFont"/>
    <w:uiPriority w:val="99"/>
    <w:semiHidden/>
    <w:unhideWhenUsed/>
    <w:rsid w:val="00AA4C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4</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Edwards (Ysgol Bro Pedr)</dc:creator>
  <cp:keywords/>
  <dc:description/>
  <cp:lastModifiedBy>N Edwards (Ysgol Bro Pedr)</cp:lastModifiedBy>
  <cp:revision>4</cp:revision>
  <dcterms:created xsi:type="dcterms:W3CDTF">2020-06-24T14:33:00Z</dcterms:created>
  <dcterms:modified xsi:type="dcterms:W3CDTF">2020-06-24T14:41:00Z</dcterms:modified>
</cp:coreProperties>
</file>