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9659C0" w:rsidR="009659C0" w:rsidP="009659C0" w:rsidRDefault="009659C0" w14:paraId="2F0363F3" w14:textId="7363C148">
      <w:r w:rsidRPr="009659C0">
        <w:rPr>
          <w:b/>
          <w:bCs/>
        </w:rPr>
        <w:t>Title:</w:t>
      </w:r>
      <w:r w:rsidRPr="009659C0">
        <w:t xml:space="preserve"> Stakeholder Engagement for the Launch of Omron Healthcare UK’s Upper-Arm Smart Blood Pressure Monitor</w:t>
      </w:r>
      <w:r w:rsidRPr="009659C0">
        <w:br/>
      </w:r>
      <w:r w:rsidRPr="009659C0">
        <w:rPr>
          <w:b/>
          <w:bCs/>
        </w:rPr>
        <w:t>Student Name:</w:t>
      </w:r>
      <w:r w:rsidRPr="009659C0">
        <w:t xml:space="preserve"> Asif</w:t>
      </w:r>
      <w:r w:rsidRPr="009659C0">
        <w:br/>
      </w:r>
      <w:r w:rsidRPr="009659C0">
        <w:rPr>
          <w:b/>
          <w:bCs/>
        </w:rPr>
        <w:t>Module:</w:t>
      </w:r>
      <w:r w:rsidRPr="009659C0">
        <w:t xml:space="preserve"> LCLM 5001</w:t>
      </w:r>
      <w:r w:rsidRPr="009659C0">
        <w:br/>
      </w:r>
      <w:r w:rsidRPr="009659C0">
        <w:rPr>
          <w:b/>
          <w:bCs/>
        </w:rPr>
        <w:t>Lecturer</w:t>
      </w:r>
      <w:r w:rsidR="00EA2152">
        <w:rPr>
          <w:b/>
          <w:bCs/>
        </w:rPr>
        <w:t xml:space="preserve"> </w:t>
      </w:r>
      <w:proofErr w:type="gramStart"/>
      <w:r w:rsidR="00EA2152">
        <w:rPr>
          <w:b/>
          <w:bCs/>
        </w:rPr>
        <w:t xml:space="preserve">  </w:t>
      </w:r>
      <w:r w:rsidRPr="009659C0">
        <w:rPr>
          <w:b/>
          <w:bCs/>
        </w:rPr>
        <w:t>:</w:t>
      </w:r>
      <w:proofErr w:type="gramEnd"/>
      <w:r w:rsidRPr="009659C0">
        <w:t xml:space="preserve"> Nishi Ramsurrun</w:t>
      </w:r>
      <w:r w:rsidRPr="009659C0">
        <w:br/>
      </w:r>
      <w:r w:rsidRPr="009659C0">
        <w:rPr>
          <w:b/>
          <w:bCs/>
        </w:rPr>
        <w:t>University:</w:t>
      </w:r>
      <w:r w:rsidRPr="009659C0">
        <w:t xml:space="preserve"> University of Wales Trinity Saint David (UWTSD)</w:t>
      </w:r>
      <w:r w:rsidRPr="009659C0">
        <w:br/>
      </w:r>
      <w:r w:rsidRPr="009659C0">
        <w:rPr>
          <w:b/>
          <w:bCs/>
        </w:rPr>
        <w:t>Submission Date:</w:t>
      </w:r>
      <w:r w:rsidRPr="009659C0">
        <w:t xml:space="preserve"> 2</w:t>
      </w:r>
      <w:r w:rsidR="00DD52C6">
        <w:t>1</w:t>
      </w:r>
      <w:r w:rsidRPr="009659C0">
        <w:t xml:space="preserve"> November 2025</w:t>
      </w:r>
    </w:p>
    <w:p w:rsidR="003B66C5" w:rsidRDefault="003B66C5" w14:paraId="2B91B45E" w14:textId="77777777"/>
    <w:p w:rsidRPr="00AA6EC2" w:rsidR="00AA6EC2" w:rsidP="00AA6EC2" w:rsidRDefault="00AA6EC2" w14:paraId="4B1AEAF0" w14:textId="04C20957">
      <w:r w:rsidRPr="00AA6EC2">
        <w:rPr>
          <w:b/>
          <w:bCs/>
        </w:rPr>
        <w:t xml:space="preserve">Executive Summary </w:t>
      </w:r>
    </w:p>
    <w:p w:rsidRPr="00AA6EC2" w:rsidR="00AA6EC2" w:rsidP="00AA6EC2" w:rsidRDefault="00AA6EC2" w14:paraId="62B3D9C5" w14:textId="77777777">
      <w:r w:rsidRPr="00AA6EC2">
        <w:t>This report investigates strategic stakeholder engagement in the context of launching Omron Healthcare UK’s new upper-arm smart blood pressure monitor, scheduled for release within six months. It provides a detailed assessment of both internal and external stakeholders, analysing their roles, responsibilities, potential benefits, and associated challenges. A comprehensive SWOT analysis identifies Omron’s key strengths, such as its strong brand reputation and innovative capabilities, while also highlighting internal weaknesses and external threats posed by a highly competitive digital healthcare market.</w:t>
      </w:r>
    </w:p>
    <w:p w:rsidRPr="00AA6EC2" w:rsidR="00AA6EC2" w:rsidP="00AA6EC2" w:rsidRDefault="00AA6EC2" w14:paraId="28B63994" w14:textId="77777777">
      <w:r w:rsidRPr="00AA6EC2">
        <w:t>The study further explores the application of established stakeholder management frameworks, including the stakeholder matrix, engagement plan, communication plan, and RACI matrix, to promote clear accountability, effective communication, and coordinated collaboration across teams. The 4C’s model—communication, coordination, cooperation, and collaboration—is utilised to address and mitigate potential conflicts, ensuring alignment of priorities and fostering productive relationships throughout the project lifecycle.</w:t>
      </w:r>
    </w:p>
    <w:p w:rsidRPr="00AA6EC2" w:rsidR="00AA6EC2" w:rsidP="00AA6EC2" w:rsidRDefault="00AA6EC2" w14:paraId="71CBA287" w14:textId="77777777">
      <w:r w:rsidRPr="00AA6EC2">
        <w:t>Additionally, the report evaluates the impact of structured stakeholder engagement on project efficiency, regulatory compliance, interdepartmental collaboration, and market adoption. Strategic recommendations are provided to enhance ongoing stakeholder interactions, incorporate feedback mechanisms, and strengthen long-term partnerships. Overall, the analysis demonstrates that proactive and structured stakeholder management is essential for the successful launch of innovative healthcare products and contributes to sustainable organisational growth.</w:t>
      </w:r>
    </w:p>
    <w:p w:rsidR="009659C0" w:rsidRDefault="009659C0" w14:paraId="22D6FF28" w14:textId="77777777"/>
    <w:p w:rsidRPr="009659C0" w:rsidR="009659C0" w:rsidP="009659C0" w:rsidRDefault="009659C0" w14:paraId="4D7BD483" w14:textId="7994CA78">
      <w:pPr>
        <w:rPr>
          <w:b/>
          <w:bCs/>
        </w:rPr>
      </w:pPr>
    </w:p>
    <w:p w:rsidR="009659C0" w:rsidRDefault="009659C0" w14:paraId="11E9CAA3" w14:textId="77777777"/>
    <w:p w:rsidRPr="009659C0" w:rsidR="009659C0" w:rsidP="009659C0" w:rsidRDefault="009659C0" w14:paraId="497EA9AC" w14:textId="1A4194BB">
      <w:pPr>
        <w:rPr>
          <w:b/>
          <w:bCs/>
        </w:rPr>
      </w:pPr>
      <w:r w:rsidRPr="009659C0">
        <w:rPr>
          <w:b/>
          <w:bCs/>
        </w:rPr>
        <w:t>1. Introduction</w:t>
      </w:r>
    </w:p>
    <w:p w:rsidRPr="009659C0" w:rsidR="009659C0" w:rsidP="009659C0" w:rsidRDefault="009659C0" w14:paraId="1B4009F9" w14:textId="77777777">
      <w:r w:rsidRPr="009659C0">
        <w:t>Omron Healthcare UK is a leading provider of medical devices, particularly in blood pressure monitoring and cardiovascular health solutions. Established as part of the global Omron Corporation, the UK branch operates across multiple regions, supplying both consumer and professional healthcare markets. Omron’s core activities include the development, production, and sale of blood pressure monitors, digital thermometers, and wearable health devices. The company prides itself on innovation, regulatory compliance, and patient-focused design, aiming to improve health outcomes through technology.</w:t>
      </w:r>
    </w:p>
    <w:p w:rsidR="0057347D" w:rsidP="0057347D" w:rsidRDefault="009659C0" w14:paraId="4B4BA224" w14:textId="0AFAA9AD">
      <w:r w:rsidRPr="009659C0">
        <w:t xml:space="preserve">This report examines a project to launch a new upper-arm smart blood pressure monitor with app integration, capable of tracking and storing readings for patients and healthcare providers. </w:t>
      </w:r>
      <w:r w:rsidRPr="009659C0">
        <w:t>The device supports Bluetooth connectivity, enabling users to monitor trends over time via a mobile application. As project manager, the focus is on stakeholder engagement to ensure the product is delivered on schedule, meets quality standards, and achieves strong market adoption. The report will explore stakeholder identification, roles, engagement strategies, conflict management, and evaluation methods to maximise project and organisational performance.</w:t>
      </w:r>
    </w:p>
    <w:p w:rsidR="00CF7192" w:rsidP="0057347D" w:rsidRDefault="00CF7192" w14:paraId="7DFB0CF3" w14:textId="77777777"/>
    <w:p w:rsidRPr="0057347D" w:rsidR="00CF7192" w:rsidP="0057347D" w:rsidRDefault="00CF7192" w14:paraId="06A1FBA0" w14:textId="77777777"/>
    <w:p w:rsidRPr="0057347D" w:rsidR="0057347D" w:rsidP="0057347D" w:rsidRDefault="0057347D" w14:paraId="2F981D7D" w14:textId="645BD31B">
      <w:r w:rsidRPr="0057347D">
        <w:rPr>
          <w:b/>
          <w:bCs/>
        </w:rPr>
        <w:t xml:space="preserve">2. Company Appraisal: SWOT Analysis </w:t>
      </w:r>
    </w:p>
    <w:p w:rsidRPr="0057347D" w:rsidR="0057347D" w:rsidP="0057347D" w:rsidRDefault="0057347D" w14:paraId="79B01927" w14:textId="77777777">
      <w:r w:rsidRPr="0057347D">
        <w:t>A thorough strategic appraisal of Omron Healthcare UK is critical to understanding both the internal capabilities and the external environmental factors that could influence the successful launch of its new upper-arm smart blood pressure monitor. Conducting a SWOT analysis—assessing strengths, weaknesses, opportunities, and threats—provides a structured approach to evaluate the company’s position and to inform effective stakeholder engagement, risk management, and strategic planning.</w:t>
      </w:r>
    </w:p>
    <w:p w:rsidRPr="0057347D" w:rsidR="0057347D" w:rsidP="0057347D" w:rsidRDefault="0057347D" w14:paraId="73C1D7B7" w14:textId="77777777">
      <w:r w:rsidRPr="0057347D">
        <w:rPr>
          <w:b/>
          <w:bCs/>
        </w:rPr>
        <w:t>Strengths</w:t>
      </w:r>
      <w:r w:rsidRPr="0057347D">
        <w:br/>
      </w:r>
      <w:r w:rsidRPr="0057347D">
        <w:t xml:space="preserve">Omron Healthcare UK possesses several key strengths that position it </w:t>
      </w:r>
      <w:proofErr w:type="spellStart"/>
      <w:r w:rsidRPr="0057347D">
        <w:t>favorably</w:t>
      </w:r>
      <w:proofErr w:type="spellEnd"/>
      <w:r w:rsidRPr="0057347D">
        <w:t xml:space="preserve"> in the cardiovascular and home healthcare market. The company has established a strong brand reputation for high-quality blood pressure monitoring devices and cardiovascular care equipment, which fosters consumer trust and professional credibility (Omron, 2023). Its long-standing presence in the UK healthcare market allows it to leverage established relationships with hospitals, clinics, and retail partners, ensuring wide distribution channels and visibility. Additionally, Omron demonstrates robust research and development capabilities, enabling the company to innovate rapidly and respond effectively to emerging market demands. Its adherence to regulatory standards, including compliance with the Medicines and Healthcare products Regulatory Agency (MHRA), guarantees that products meet rigorous safety and quality requirements, which further strengthens stakeholder confidence. Another notable strength is the company’s extensive network of technical support and customer service, which enhances user satisfaction and post-purchase engagement. Collectively, these strengths create a solid foundation for launching a technologically advanced device like the smart upper-arm blood pressure monitor.</w:t>
      </w:r>
    </w:p>
    <w:p w:rsidRPr="0057347D" w:rsidR="0057347D" w:rsidP="0057347D" w:rsidRDefault="0057347D" w14:paraId="6E7D6CB5" w14:textId="77777777">
      <w:r w:rsidRPr="0057347D">
        <w:rPr>
          <w:b/>
          <w:bCs/>
        </w:rPr>
        <w:t>Weaknesses</w:t>
      </w:r>
      <w:r w:rsidRPr="0057347D">
        <w:br/>
      </w:r>
      <w:r w:rsidRPr="0057347D">
        <w:t>Despite these advantages, Omron faces internal limitations that could hinder its competitive position. One primary weakness is the company’s relatively limited penetration in the broader wearable health technology market, especially compared to major competitors such as Philips, Fitbit, and Apple (Philips, 2022). This gap may reduce brand recognition among consumers seeking wearable digital health solutions. Additionally, the company relies on third-party suppliers for critical components, such as sensors and Bluetooth modules, which introduces potential production delays or supply chain vulnerabilities. The pricing of Omron’s smart devices is also relatively high, which could restrict adoption among cost-sensitive consumers, particularly in an increasingly price-competitive market. Addressing these weaknesses through strategic stakeholder engagement and operational planning is essential to minimize risks associated with supply chain management, pricing strategies, and market entry.</w:t>
      </w:r>
    </w:p>
    <w:p w:rsidRPr="0057347D" w:rsidR="0057347D" w:rsidP="0057347D" w:rsidRDefault="0057347D" w14:paraId="5CC044E0" w14:textId="77777777">
      <w:r w:rsidRPr="0057347D">
        <w:rPr>
          <w:b/>
          <w:bCs/>
        </w:rPr>
        <w:t>Opportunities</w:t>
      </w:r>
      <w:r w:rsidRPr="0057347D">
        <w:br/>
      </w:r>
      <w:r w:rsidRPr="0057347D">
        <w:t>Omron Healthcare UK has significant opportunities to expand its market share and drive adoption of its new smart blood pressure monitor. The rising public awareness of home health monitoring and digital health solutions creates strong demand for connected devices that allow individuals to track vital signs conveniently. The integration of app-based monitoring with telehealth services offers opportunities to collaborate with healthcare providers for remote patient management, particularly in managing chronic conditions like hypertension. Strategic partnerships with the NHS, private clinics, and insurance providers could facilitate broader distribution and improve access to end users. Technological advancements, including artificial intelligence and cloud-based data analytics, provide opportunities for Omron to enhance device functionality and user experience, further differentiating its products from competitors.</w:t>
      </w:r>
    </w:p>
    <w:p w:rsidRPr="0057347D" w:rsidR="0057347D" w:rsidP="0057347D" w:rsidRDefault="0057347D" w14:paraId="571F3F95" w14:textId="77777777">
      <w:r w:rsidRPr="0057347D">
        <w:rPr>
          <w:b/>
          <w:bCs/>
        </w:rPr>
        <w:t>Threats</w:t>
      </w:r>
      <w:r w:rsidRPr="0057347D">
        <w:br/>
      </w:r>
      <w:r w:rsidRPr="0057347D">
        <w:t>The external environment presents several threats that could impact the product launch. Competition is intense, with well-established global brands such as Apple, Garmin, and Fitbit offering multifunctional wearable devices, potentially diverting consumer attention. Rapid technological changes in digital health require continuous innovation to maintain relevance, and failure to adapt could result in market obsolescence. Regulatory changes and evolving data privacy requirements, particularly concerning health apps and patient data, pose additional risks. Any non-compliance or data breach could damage Omron’s reputation and stakeholder confidence.</w:t>
      </w:r>
    </w:p>
    <w:p w:rsidR="0057347D" w:rsidP="0057347D" w:rsidRDefault="0057347D" w14:paraId="39482745" w14:textId="10321400"/>
    <w:p w:rsidR="0004476A" w:rsidP="0057347D" w:rsidRDefault="0004476A" w14:paraId="3676BF51" w14:textId="77777777"/>
    <w:p w:rsidRPr="0004476A" w:rsidR="0004476A" w:rsidP="0004476A" w:rsidRDefault="0004476A" w14:paraId="46541AFB" w14:textId="6D788665">
      <w:r w:rsidRPr="0004476A">
        <w:rPr>
          <w:b/>
          <w:bCs/>
        </w:rPr>
        <w:t xml:space="preserve">3. Key Internal and External Stakeholders </w:t>
      </w:r>
    </w:p>
    <w:p w:rsidRPr="0004476A" w:rsidR="0004476A" w:rsidP="0004476A" w:rsidRDefault="0004476A" w14:paraId="239BE3DB" w14:textId="77777777">
      <w:r w:rsidRPr="0004476A">
        <w:t>Successful delivery of Omron Healthcare UK’s upper-arm smart blood pressure monitor project necessitates a clear understanding of the key stakeholders involved, their roles, responsibilities, and the influence they exert on the project’s outcomes. Stakeholder identification and engagement are critical to ensuring smooth operations, regulatory compliance, and market acceptance. Following Freeman’s stakeholder theory, stakeholders can be categorised as internal or external, with varying degrees of interest and influence (Freeman, 1984).</w:t>
      </w:r>
    </w:p>
    <w:p w:rsidRPr="0004476A" w:rsidR="0004476A" w:rsidP="0004476A" w:rsidRDefault="0004476A" w14:paraId="2E8105C7" w14:noSpellErr="1" w14:textId="394360DF">
      <w:r w:rsidRPr="5EBD69AF" w:rsidR="7241FC24">
        <w:rPr>
          <w:b w:val="1"/>
          <w:bCs w:val="1"/>
        </w:rPr>
        <w:t>Internal Stakeholders</w:t>
      </w:r>
      <w:r>
        <w:br/>
      </w:r>
      <w:r w:rsidR="7241FC24">
        <w:rPr/>
        <w:t xml:space="preserve">Internal stakeholders are directly involved in the design, development, and launch of the product. The </w:t>
      </w:r>
      <w:r w:rsidRPr="5EBD69AF" w:rsidR="7241FC24">
        <w:rPr>
          <w:b w:val="1"/>
          <w:bCs w:val="1"/>
        </w:rPr>
        <w:t>Product Development Team</w:t>
      </w:r>
      <w:r w:rsidR="7241FC24">
        <w:rPr/>
        <w:t xml:space="preserve">, </w:t>
      </w:r>
      <w:r w:rsidR="7241FC24">
        <w:rPr/>
        <w:t>comprising</w:t>
      </w:r>
      <w:r w:rsidR="7241FC24">
        <w:rPr/>
        <w:t xml:space="preserve"> engineers and device designers, </w:t>
      </w:r>
      <w:r w:rsidR="7241FC24">
        <w:rPr/>
        <w:t>is responsible for</w:t>
      </w:r>
      <w:r w:rsidR="7241FC24">
        <w:rPr/>
        <w:t xml:space="preserve"> the technical specifications, ergonomic design, and ensuring the device meets both functional and usability requirements. The </w:t>
      </w:r>
      <w:r w:rsidRPr="5EBD69AF" w:rsidR="7241FC24">
        <w:rPr>
          <w:b w:val="1"/>
          <w:bCs w:val="1"/>
        </w:rPr>
        <w:t>Marketing Department</w:t>
      </w:r>
      <w:r w:rsidR="7241FC24">
        <w:rPr/>
        <w:t xml:space="preserve"> creates promotional strategies, digital campaigns, and consumer engagement initiatives aimed at driving awareness and adoption. </w:t>
      </w:r>
      <w:r w:rsidRPr="5EBD69AF" w:rsidR="7241FC24">
        <w:rPr>
          <w:b w:val="1"/>
          <w:bCs w:val="1"/>
        </w:rPr>
        <w:t>Sales Teams</w:t>
      </w:r>
      <w:r w:rsidR="7241FC24">
        <w:rPr/>
        <w:t xml:space="preserve"> liaise with distributors, healthcare providers, and retail partners to </w:t>
      </w:r>
      <w:r w:rsidR="7241FC24">
        <w:rPr/>
        <w:t>facilitate</w:t>
      </w:r>
      <w:r w:rsidR="7241FC24">
        <w:rPr/>
        <w:t xml:space="preserve"> market penetration and ensure target </w:t>
      </w:r>
      <w:r w:rsidR="7241FC24">
        <w:rPr/>
        <w:t>sales objectives</w:t>
      </w:r>
      <w:r w:rsidR="7241FC24">
        <w:rPr/>
        <w:t xml:space="preserve"> are met. The </w:t>
      </w:r>
      <w:r w:rsidRPr="5EBD69AF" w:rsidR="7241FC24">
        <w:rPr>
          <w:b w:val="1"/>
          <w:bCs w:val="1"/>
        </w:rPr>
        <w:t>Quality Assurance Team</w:t>
      </w:r>
      <w:r w:rsidR="7241FC24">
        <w:rPr/>
        <w:t xml:space="preserve"> is tasked with conducting rigorous testing to confirm the device </w:t>
      </w:r>
      <w:r w:rsidR="7241FC24">
        <w:rPr/>
        <w:t>complies with</w:t>
      </w:r>
      <w:r w:rsidR="7241FC24">
        <w:rPr/>
        <w:t xml:space="preserve"> safety, performance, and regulatory standards, mitigating risks of product recalls or failures. Additionally, the </w:t>
      </w:r>
      <w:r w:rsidRPr="5EBD69AF" w:rsidR="7241FC24">
        <w:rPr>
          <w:b w:val="1"/>
          <w:bCs w:val="1"/>
        </w:rPr>
        <w:t>IT and Software Team</w:t>
      </w:r>
      <w:r w:rsidR="7241FC24">
        <w:rPr/>
        <w:t xml:space="preserve"> develops the mobile application, manages Bluetooth connectivity, and oversees secure data storage, ensuring seamless integration between the device and its companion app. Effective collaboration among these internal groups is essential to align product design, regulatory compliance, and market readiness.</w:t>
      </w:r>
    </w:p>
    <w:p w:rsidRPr="006727E3" w:rsidR="006727E3" w:rsidP="006727E3" w:rsidRDefault="0004476A" w14:paraId="2FAE67A6" w14:textId="7DF20325">
      <w:r w:rsidRPr="0004476A">
        <w:rPr>
          <w:b/>
          <w:bCs/>
        </w:rPr>
        <w:t>External Stakeholders</w:t>
      </w:r>
      <w:r w:rsidRPr="0004476A">
        <w:br/>
      </w:r>
      <w:r w:rsidRPr="0004476A">
        <w:t xml:space="preserve">External stakeholders, while not directly involved in day-to-day development, significantly influence project success. </w:t>
      </w:r>
      <w:r w:rsidRPr="0004476A">
        <w:rPr>
          <w:b/>
          <w:bCs/>
        </w:rPr>
        <w:t>Consumers and patients</w:t>
      </w:r>
      <w:r w:rsidRPr="0004476A">
        <w:t xml:space="preserve"> act as end-users whose feedback, adoption rates, and trust directly affect market performance. </w:t>
      </w:r>
      <w:r w:rsidRPr="0004476A">
        <w:rPr>
          <w:b/>
          <w:bCs/>
        </w:rPr>
        <w:t>Healthcare professionals and NHS partners</w:t>
      </w:r>
      <w:r w:rsidRPr="0004476A">
        <w:t xml:space="preserve"> provide clinical validation, endorsements, and insights that enhance credibility and inform product features tailored to patient needs. </w:t>
      </w:r>
      <w:r w:rsidRPr="0004476A">
        <w:rPr>
          <w:b/>
          <w:bCs/>
        </w:rPr>
        <w:t>Regulatory bodies</w:t>
      </w:r>
      <w:r w:rsidRPr="0004476A">
        <w:t xml:space="preserve">, particularly the MHRA, ensure the device adheres to UK medical device regulations, maintaining patient safety and compliance. </w:t>
      </w:r>
      <w:r w:rsidRPr="0004476A">
        <w:rPr>
          <w:b/>
          <w:bCs/>
        </w:rPr>
        <w:t>Suppliers and vendors</w:t>
      </w:r>
      <w:r w:rsidRPr="0004476A">
        <w:t xml:space="preserve"> are critical for providing high-quality components on time; delays or quality issues can impact production timelines. Finally, </w:t>
      </w:r>
      <w:r w:rsidRPr="0004476A">
        <w:rPr>
          <w:b/>
          <w:bCs/>
        </w:rPr>
        <w:t>investors and shareholders</w:t>
      </w:r>
      <w:r w:rsidRPr="0004476A">
        <w:t xml:space="preserve"> are concerned with financial performance, return on investment, and overall project viability.</w:t>
      </w:r>
    </w:p>
    <w:p w:rsidRPr="006727E3" w:rsidR="006727E3" w:rsidP="006727E3" w:rsidRDefault="006727E3" w14:paraId="50CB0AEB" w14:textId="02D5E6FB"/>
    <w:p w:rsidRPr="006727E3" w:rsidR="006727E3" w:rsidP="006727E3" w:rsidRDefault="006727E3" w14:paraId="186EBB61" w14:textId="1915AF0C">
      <w:r w:rsidRPr="006727E3">
        <w:rPr>
          <w:b/>
          <w:bCs/>
        </w:rPr>
        <w:t>4. Roles, Responsibilities, Benefits, and Challenges</w:t>
      </w:r>
    </w:p>
    <w:p w:rsidRPr="006727E3" w:rsidR="006727E3" w:rsidP="006727E3" w:rsidRDefault="006727E3" w14:paraId="6B174231" w14:textId="77777777">
      <w:r w:rsidRPr="006727E3">
        <w:t>The successful launch of Omron Healthcare UK’s upper-arm smart blood pressure monitor relies heavily on clearly defined roles and responsibilities across both internal and external stakeholders, as well as an understanding of the benefits and challenges associated with their engagement. Assigning precise responsibilities and establishing accountability mechanisms ensures project efficiency, reduces conflicts, and promotes the effective integration of efforts across departments.</w:t>
      </w:r>
    </w:p>
    <w:p w:rsidRPr="006727E3" w:rsidR="006727E3" w:rsidP="006727E3" w:rsidRDefault="006727E3" w14:paraId="7653365A" w14:textId="77777777">
      <w:r w:rsidRPr="006727E3">
        <w:rPr>
          <w:b/>
          <w:bCs/>
        </w:rPr>
        <w:t>Roles and Responsibilities</w:t>
      </w:r>
      <w:r w:rsidRPr="006727E3">
        <w:br/>
      </w:r>
      <w:r w:rsidRPr="006727E3">
        <w:t xml:space="preserve">The </w:t>
      </w:r>
      <w:r w:rsidRPr="006727E3">
        <w:rPr>
          <w:b/>
          <w:bCs/>
        </w:rPr>
        <w:t>Product Development Team</w:t>
      </w:r>
      <w:r w:rsidRPr="006727E3">
        <w:t xml:space="preserve"> plays a central role in designing and prototyping the device, ensuring that technical specifications meet user needs, industry standards, and regulatory requirements. Their responsibilities include innovation, usability testing, and continuous refinement of the device to maintain quality and performance. The </w:t>
      </w:r>
      <w:r w:rsidRPr="006727E3">
        <w:rPr>
          <w:b/>
          <w:bCs/>
        </w:rPr>
        <w:t>Marketing Department</w:t>
      </w:r>
      <w:r w:rsidRPr="006727E3">
        <w:t xml:space="preserve"> is tasked with positioning the product within the competitive healthcare technology market, creating awareness campaigns, developing the brand image, and ensuring that communication strategies resonate with target consumer segments. Meanwhile, the </w:t>
      </w:r>
      <w:r w:rsidRPr="006727E3">
        <w:rPr>
          <w:b/>
          <w:bCs/>
        </w:rPr>
        <w:t>Sales Team</w:t>
      </w:r>
      <w:r w:rsidRPr="006727E3">
        <w:t xml:space="preserve"> focuses on establishing partnerships with distributors, retail outlets, and healthcare facilities, ensuring smooth market entry and meeting revenue objectives.</w:t>
      </w:r>
    </w:p>
    <w:p w:rsidRPr="006727E3" w:rsidR="006727E3" w:rsidP="006727E3" w:rsidRDefault="006727E3" w14:paraId="715911E7" w14:noSpellErr="1" w14:textId="1262EA1A">
      <w:r w:rsidR="2666EA32">
        <w:rPr/>
        <w:t xml:space="preserve">The </w:t>
      </w:r>
      <w:r w:rsidRPr="5EBD69AF" w:rsidR="2666EA32">
        <w:rPr>
          <w:b w:val="1"/>
          <w:bCs w:val="1"/>
        </w:rPr>
        <w:t>IT and Software Team</w:t>
      </w:r>
      <w:r w:rsidR="2666EA32">
        <w:rPr/>
        <w:t xml:space="preserve"> manages the development and maintenance of the companion mobile application, integrating features such as data tracking, analytics, and user notifications. This team also addresses cybersecurity, ensuring that patient data </w:t>
      </w:r>
      <w:r w:rsidR="2666EA32">
        <w:rPr/>
        <w:t>remains</w:t>
      </w:r>
      <w:r w:rsidR="2666EA32">
        <w:rPr/>
        <w:t xml:space="preserve"> secure and compliant with data protection legislation. The </w:t>
      </w:r>
      <w:r w:rsidRPr="5EBD69AF" w:rsidR="2666EA32">
        <w:rPr>
          <w:b w:val="1"/>
          <w:bCs w:val="1"/>
        </w:rPr>
        <w:t xml:space="preserve">Quality </w:t>
      </w:r>
      <w:r w:rsidRPr="5EBD69AF" w:rsidR="428C63F4">
        <w:rPr>
          <w:b w:val="1"/>
          <w:bCs w:val="1"/>
        </w:rPr>
        <w:t>Assurance Team</w:t>
      </w:r>
      <w:r w:rsidR="2666EA32">
        <w:rPr/>
        <w:t xml:space="preserve"> performs rigorous testing to </w:t>
      </w:r>
      <w:r w:rsidR="2666EA32">
        <w:rPr/>
        <w:t>validate</w:t>
      </w:r>
      <w:r w:rsidR="2666EA32">
        <w:rPr/>
        <w:t xml:space="preserve"> the device’s functionality, safety, and adherence to regulatory standards, reducing the risk of product failures and recalls. By delineating these responsibilities, Omron ensures that all aspects of product development, marketing, and deployment are effectively managed.</w:t>
      </w:r>
    </w:p>
    <w:p w:rsidRPr="006727E3" w:rsidR="006727E3" w:rsidP="006727E3" w:rsidRDefault="006727E3" w14:paraId="0110CAD3" w14:textId="77777777">
      <w:r w:rsidRPr="006727E3">
        <w:rPr>
          <w:b/>
          <w:bCs/>
        </w:rPr>
        <w:t>Benefits to Stakeholders</w:t>
      </w:r>
      <w:r w:rsidRPr="006727E3">
        <w:br/>
      </w:r>
      <w:r w:rsidRPr="006727E3">
        <w:t xml:space="preserve">Stakeholder engagement yields multiple benefits. </w:t>
      </w:r>
      <w:r w:rsidRPr="006727E3">
        <w:rPr>
          <w:b/>
          <w:bCs/>
        </w:rPr>
        <w:t>Internal teams</w:t>
      </w:r>
      <w:r w:rsidRPr="006727E3">
        <w:t xml:space="preserve"> gain opportunities for skill development, professional recognition, and the chance to contribute to innovative projects that enhance their expertise. </w:t>
      </w:r>
      <w:r w:rsidRPr="006727E3">
        <w:rPr>
          <w:b/>
          <w:bCs/>
        </w:rPr>
        <w:t>External stakeholders</w:t>
      </w:r>
      <w:r w:rsidRPr="006727E3">
        <w:t xml:space="preserve"> also benefit significantly: consumers experience improved health monitoring, supporting proactive management of hypertension and other cardiovascular conditions. Healthcare providers and NHS partners receive reliable patient data, enhancing clinical decision-making and enabling remote care. Regulatory bodies, such as </w:t>
      </w:r>
      <w:r w:rsidRPr="006727E3">
        <w:t>the MHRA, benefit from adherence to compliance frameworks and oversight of medical device standards, ensuring patient safety and public trust.</w:t>
      </w:r>
    </w:p>
    <w:p w:rsidRPr="006727E3" w:rsidR="006727E3" w:rsidP="006727E3" w:rsidRDefault="006727E3" w14:paraId="7C41B686" w14:textId="77777777">
      <w:r w:rsidRPr="006727E3">
        <w:rPr>
          <w:b/>
          <w:bCs/>
        </w:rPr>
        <w:t>Challenges</w:t>
      </w:r>
      <w:r w:rsidRPr="006727E3">
        <w:br/>
      </w:r>
      <w:r w:rsidRPr="006727E3">
        <w:t xml:space="preserve">However, stakeholder engagement is not without challenges. </w:t>
      </w:r>
      <w:r w:rsidRPr="006727E3">
        <w:rPr>
          <w:b/>
          <w:bCs/>
        </w:rPr>
        <w:t>Internal conflicts</w:t>
      </w:r>
      <w:r w:rsidRPr="006727E3">
        <w:t xml:space="preserve"> may arise due to differing departmental priorities, which can result in delays, miscommunication, or resource misallocation. </w:t>
      </w:r>
      <w:r w:rsidRPr="006727E3">
        <w:rPr>
          <w:b/>
          <w:bCs/>
        </w:rPr>
        <w:t>External risks</w:t>
      </w:r>
      <w:r w:rsidRPr="006727E3">
        <w:t xml:space="preserve"> include supply chain disruptions, particularly if key components are delayed or unavailable, cybersecurity threats related to patient data, and strong market competition from established health technology brands. These challenges necessitate proactive risk management and careful coordination across departments.</w:t>
      </w:r>
    </w:p>
    <w:p w:rsidRPr="006727E3" w:rsidR="006727E3" w:rsidP="006727E3" w:rsidRDefault="006727E3" w14:paraId="58885178" w14:textId="662A60F1">
      <w:r w:rsidRPr="006727E3">
        <w:t xml:space="preserve">To address these complexities, tools such as a </w:t>
      </w:r>
      <w:r w:rsidRPr="006727E3">
        <w:rPr>
          <w:b/>
          <w:bCs/>
        </w:rPr>
        <w:t>RACI matrix</w:t>
      </w:r>
      <w:r w:rsidRPr="006727E3">
        <w:t xml:space="preserve"> can clarify roles by explicitly defining who is Responsible, Accountable, Consulted, and Informed for each task, thereby reducing ambiguity and enhancing decision-making efficiency (PMI, 2021). Coupled with regular progress reviews and structured communication channels, this approach fosters collaboration, minimizes conflicts, and aligns stakeholder efforts with the overarching goals of the project. Effective management of roles, responsibilities, benefits, and challenges is therefore central to ensuring the successful launch and adoption of Omron’s smart blood pressure </w:t>
      </w:r>
      <w:r>
        <w:t>monitor.</w:t>
      </w:r>
    </w:p>
    <w:p w:rsidRPr="00CF7192" w:rsidR="00CF7192" w:rsidP="00CF7192" w:rsidRDefault="00CF7192" w14:paraId="51BB90C6" w14:textId="00D4F94B">
      <w:r w:rsidRPr="00CF7192">
        <w:rPr>
          <w:b/>
          <w:bCs/>
        </w:rPr>
        <w:t xml:space="preserve">5. Stakeholder Engagement </w:t>
      </w:r>
      <w:proofErr w:type="gramStart"/>
      <w:r w:rsidRPr="00CF7192">
        <w:rPr>
          <w:b/>
          <w:bCs/>
        </w:rPr>
        <w:t xml:space="preserve">Frameworks </w:t>
      </w:r>
      <w:r w:rsidR="00670D8B">
        <w:rPr>
          <w:b/>
          <w:bCs/>
        </w:rPr>
        <w:t>.</w:t>
      </w:r>
      <w:proofErr w:type="gramEnd"/>
    </w:p>
    <w:p w:rsidRPr="00CF7192" w:rsidR="00CF7192" w:rsidP="00CF7192" w:rsidRDefault="00CF7192" w14:paraId="23ADD745" w14:textId="77777777">
      <w:r w:rsidRPr="00CF7192">
        <w:t>Effective stakeholder engagement is a cornerstone of successful project management, particularly in the context of launching a technologically advanced healthcare device like Omron Healthcare UK’s upper-arm smart blood pressure monitor. Structured engagement ensures that stakeholders’ needs, expectations, and concerns are identified early and addressed proactively. To achieve this, organisations commonly utilise a range of frameworks that provide clarity, foster collaboration, and enhance accountability.</w:t>
      </w:r>
    </w:p>
    <w:p w:rsidRPr="00CF7192" w:rsidR="00CF7192" w:rsidP="00CF7192" w:rsidRDefault="00CF7192" w14:paraId="5F2835A6" w14:textId="77777777">
      <w:r w:rsidRPr="00CF7192">
        <w:t xml:space="preserve">One widely recognised tool is the </w:t>
      </w:r>
      <w:r w:rsidRPr="00CF7192">
        <w:rPr>
          <w:b/>
          <w:bCs/>
        </w:rPr>
        <w:t>Stakeholder Matrix</w:t>
      </w:r>
      <w:r w:rsidRPr="00CF7192">
        <w:t>, which categorises stakeholders according to their level of influence over the project and their interest in its outcomes (Freeman, 1984). By mapping stakeholders in this way, project managers can prioritise engagement efforts, ensuring that high-influence, high-interest stakeholders receive focused attention, while lower-priority groups are managed efficiently without neglect. For instance, internal teams such as the product development and IT departments typically fall into the high-influence, high-interest quadrant, whereas external suppliers or low-volume consumers may require less intensive engagement.</w:t>
      </w:r>
    </w:p>
    <w:p w:rsidRPr="00CF7192" w:rsidR="00CF7192" w:rsidP="00CF7192" w:rsidRDefault="00CF7192" w14:paraId="249F1B5D" w14:textId="77777777">
      <w:r w:rsidRPr="00CF7192">
        <w:t xml:space="preserve">An </w:t>
      </w:r>
      <w:r w:rsidRPr="00CF7192">
        <w:rPr>
          <w:b/>
          <w:bCs/>
        </w:rPr>
        <w:t>Engagement Plan</w:t>
      </w:r>
      <w:r w:rsidRPr="00CF7192">
        <w:t xml:space="preserve"> complements the matrix by outlining specific strategies to involve stakeholders at different stages of the project lifecycle. This plan details how each stakeholder group will be engaged, what type of input is expected, and how their feedback will be incorporated into decision-making processes. For example, the marketing team may use workshops or focus groups to gather insights from healthcare professionals, while consumers might be involved through surveys and pilot testing programs. A well-structured engagement plan not only ensures that stakeholders feel heard but also fosters a sense of ownership and investment in the project’s success.</w:t>
      </w:r>
    </w:p>
    <w:p w:rsidRPr="00CF7192" w:rsidR="00CF7192" w:rsidP="00CF7192" w:rsidRDefault="00CF7192" w14:paraId="06E99482" w14:textId="77777777">
      <w:r w:rsidRPr="00CF7192">
        <w:t xml:space="preserve">Equally critical is the </w:t>
      </w:r>
      <w:r w:rsidRPr="00CF7192">
        <w:rPr>
          <w:b/>
          <w:bCs/>
        </w:rPr>
        <w:t>Communication Plan</w:t>
      </w:r>
      <w:r w:rsidRPr="00CF7192">
        <w:t>, which defines the frequency, format, and channels of communication with each stakeholder group. Clear and consistent communication prevents misunderstandings, aligns expectations, and builds trust. For instance, senior management may receive weekly progress reports, whereas frontline healthcare providers could receive concise monthly updates with actionable recommendations. Leveraging multiple channels—</w:t>
      </w:r>
      <w:r w:rsidRPr="00CF7192">
        <w:t>emails, meetings, dashboards, or digital collaboration tools—ensures that stakeholders remain informed and engaged in a manner that suits their preferences and schedules.</w:t>
      </w:r>
    </w:p>
    <w:p w:rsidRPr="00CF7192" w:rsidR="00CF7192" w:rsidP="00CF7192" w:rsidRDefault="00CF7192" w14:paraId="49F2EAE9" w14:textId="77777777">
      <w:r w:rsidR="64800C12">
        <w:rPr/>
        <w:t xml:space="preserve">The </w:t>
      </w:r>
      <w:r w:rsidRPr="244AE05D" w:rsidR="64800C12">
        <w:rPr>
          <w:b w:val="1"/>
          <w:bCs w:val="1"/>
        </w:rPr>
        <w:t>RACI Matrix</w:t>
      </w:r>
      <w:r w:rsidR="64800C12">
        <w:rPr/>
        <w:t xml:space="preserve"> further reinforces accountability by specifying who is Responsible, Accountable, Consulted, and Informed for each task (PMI, 2021). This framework helps prevent role ambiguity, reduces the risk of duplicated efforts, and clarifies decision-making authority across departments. For Omron, using a RACI matrix ensures that product development, IT, QA, marketing, and sales teams understand their responsibilities and how their work interrelates with others.</w:t>
      </w:r>
    </w:p>
    <w:p w:rsidR="72ECCC88" w:rsidP="244AE05D" w:rsidRDefault="72ECCC88" w14:paraId="3301135F" w14:textId="7A2580D8">
      <w:pPr>
        <w:pStyle w:val="Normal"/>
      </w:pPr>
      <w:r w:rsidR="72ECCC88">
        <w:drawing>
          <wp:inline wp14:editId="125FCCA1" wp14:anchorId="3919507C">
            <wp:extent cx="5724525" cy="3819525"/>
            <wp:effectExtent l="0" t="0" r="0" b="0"/>
            <wp:docPr id="66295187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62951871" name=""/>
                    <pic:cNvPicPr/>
                  </pic:nvPicPr>
                  <pic:blipFill>
                    <a:blip xmlns:r="http://schemas.openxmlformats.org/officeDocument/2006/relationships" r:embed="rId297970257">
                      <a:extLst>
                        <a:ext xmlns:a="http://schemas.openxmlformats.org/drawingml/2006/main" uri="{28A0092B-C50C-407E-A947-70E740481C1C}">
                          <a14:useLocalDpi xmlns:a14="http://schemas.microsoft.com/office/drawing/2010/main" val="0"/>
                        </a:ext>
                      </a:extLst>
                    </a:blip>
                    <a:stretch>
                      <a:fillRect/>
                    </a:stretch>
                  </pic:blipFill>
                  <pic:spPr>
                    <a:xfrm>
                      <a:off x="0" y="0"/>
                      <a:ext cx="5724525" cy="3819525"/>
                    </a:xfrm>
                    <a:prstGeom prst="rect">
                      <a:avLst/>
                    </a:prstGeom>
                  </pic:spPr>
                </pic:pic>
              </a:graphicData>
            </a:graphic>
          </wp:inline>
        </w:drawing>
      </w:r>
    </w:p>
    <w:p w:rsidRPr="00CF7192" w:rsidR="00CF7192" w:rsidP="00CF7192" w:rsidRDefault="00CF7192" w14:paraId="072AC284" w14:noSpellErr="1" w14:textId="07A9FCD5">
      <w:r w:rsidR="29DFDA77">
        <w:rPr/>
        <w:t xml:space="preserve">Applying these frameworks in tandem enables organisations to coordinate efforts, </w:t>
      </w:r>
      <w:r w:rsidR="29DFDA77">
        <w:rPr/>
        <w:t>anticipate</w:t>
      </w:r>
      <w:r w:rsidR="29DFDA77">
        <w:rPr/>
        <w:t xml:space="preserve"> potential conflicts, and respond effectively to challenges that arise during the project. Regular reviews of stakeholder engagement</w:t>
      </w:r>
      <w:r w:rsidR="0D82608A">
        <w:rPr/>
        <w:t xml:space="preserve"> </w:t>
      </w:r>
      <w:r w:rsidR="29DFDA77">
        <w:rPr/>
        <w:t xml:space="preserve">through </w:t>
      </w:r>
      <w:r w:rsidR="29DFDA77">
        <w:rPr/>
        <w:t>monitoring</w:t>
      </w:r>
      <w:r w:rsidR="29DFDA77">
        <w:rPr/>
        <w:t xml:space="preserve"> feedback, analysing participation levels, and adjusting strategies</w:t>
      </w:r>
      <w:r w:rsidR="06490E60">
        <w:rPr/>
        <w:t xml:space="preserve"> </w:t>
      </w:r>
      <w:r w:rsidR="29DFDA77">
        <w:rPr/>
        <w:t>allow the project team to remain agile and responsive. In doing so, Omron can strengthen relationships with both internal and external stakeholders, foster collaboration, and optimise outcomes for the product launch. Overall, structured engagement frameworks transform stakeholder management from a reactive process into a proactive strategy that drives project success and enhances organisational reputation</w:t>
      </w:r>
      <w:r w:rsidR="29DFDA77">
        <w:rPr/>
        <w:t>.</w:t>
      </w:r>
    </w:p>
    <w:p w:rsidR="00DD52C6" w:rsidRDefault="00DD52C6" w14:paraId="3AF94D85" w14:textId="77777777"/>
    <w:p w:rsidRPr="00CF7192" w:rsidR="00CF7192" w:rsidP="00CF7192" w:rsidRDefault="00CF7192" w14:paraId="3F9AE72D" w14:textId="6D4C9389"/>
    <w:p w:rsidRPr="00CF7192" w:rsidR="00CF7192" w:rsidP="00CF7192" w:rsidRDefault="00CF7192" w14:paraId="619CF680" w14:textId="37E1F469">
      <w:r w:rsidRPr="00CF7192">
        <w:rPr>
          <w:b/>
          <w:bCs/>
        </w:rPr>
        <w:t xml:space="preserve">6. Stakeholder Engagement Process &amp; Conflict Management </w:t>
      </w:r>
    </w:p>
    <w:p w:rsidRPr="00CF7192" w:rsidR="00CF7192" w:rsidP="00CF7192" w:rsidRDefault="00CF7192" w14:paraId="5DA9685C" w14:noSpellErr="1" w14:textId="2654541C">
      <w:r w:rsidR="29DFDA77">
        <w:rPr/>
        <w:t xml:space="preserve">Effective stakeholder engagement is critical to the successful delivery of complex healthcare projects, such as Omron Healthcare UK’s launch of its new upper-arm smart blood pressure monitor. Engaging stakeholders goes beyond simply informing </w:t>
      </w:r>
      <w:r w:rsidR="6D1442AD">
        <w:rPr/>
        <w:t xml:space="preserve">them </w:t>
      </w:r>
      <w:r w:rsidR="6D1442AD">
        <w:rPr/>
        <w:t>it</w:t>
      </w:r>
      <w:r w:rsidR="29DFDA77">
        <w:rPr/>
        <w:t xml:space="preserve"> </w:t>
      </w:r>
      <w:r w:rsidR="431D786C">
        <w:rPr/>
        <w:t xml:space="preserve"> </w:t>
      </w:r>
      <w:r w:rsidR="29DFDA77">
        <w:rPr/>
        <w:t>requires</w:t>
      </w:r>
      <w:r w:rsidR="29DFDA77">
        <w:rPr/>
        <w:t xml:space="preserve"> actively managing relationships, aligning interests, and mitigating potential conflicts that may arise during the project lifecycle. A structured approach, such as the </w:t>
      </w:r>
      <w:r w:rsidRPr="5EBD69AF" w:rsidR="29DFDA77">
        <w:rPr>
          <w:b w:val="1"/>
          <w:bCs w:val="1"/>
        </w:rPr>
        <w:t>4C’s Mode</w:t>
      </w:r>
      <w:r w:rsidRPr="5EBD69AF" w:rsidR="73C0F255">
        <w:rPr>
          <w:b w:val="1"/>
          <w:bCs w:val="1"/>
        </w:rPr>
        <w:t xml:space="preserve">l </w:t>
      </w:r>
      <w:r w:rsidRPr="5EBD69AF" w:rsidR="123ECB44">
        <w:rPr>
          <w:b w:val="1"/>
          <w:bCs w:val="1"/>
        </w:rPr>
        <w:t xml:space="preserve"> </w:t>
      </w:r>
      <w:r w:rsidRPr="5EBD69AF" w:rsidR="4908190B">
        <w:rPr>
          <w:b w:val="1"/>
          <w:bCs w:val="1"/>
        </w:rPr>
        <w:t>communication</w:t>
      </w:r>
      <w:r w:rsidRPr="5EBD69AF" w:rsidR="29DFDA77">
        <w:rPr>
          <w:b w:val="1"/>
          <w:bCs w:val="1"/>
        </w:rPr>
        <w:t>, Coordination, Cooperation, and Collaboration—provides a practical framework to manage engagement while reducing the likelihood of misunderstandings and friction among stakeholders</w:t>
      </w:r>
      <w:r w:rsidR="29DFDA77">
        <w:rPr/>
        <w:t>.</w:t>
      </w:r>
    </w:p>
    <w:p w:rsidRPr="00CF7192" w:rsidR="00CF7192" w:rsidP="00CF7192" w:rsidRDefault="00CF7192" w14:paraId="471585C9" w14:textId="77777777">
      <w:r w:rsidRPr="00CF7192">
        <w:rPr>
          <w:b/>
          <w:bCs/>
        </w:rPr>
        <w:t>Communication</w:t>
      </w:r>
      <w:r w:rsidRPr="00CF7192">
        <w:t xml:space="preserve"> forms the foundation of stakeholder engagement. Transparent, consistent, and tailored communication ensures that all stakeholders understand project objectives, timelines, responsibilities, and expectations. For internal teams, such as product development, marketing, and IT, communication might take the form of regular meetings, progress dashboards, or detailed reports that highlight milestones, risks, and resource requirements. For external stakeholders, including healthcare providers, NHS partners, and consumers, communication could involve newsletters, webinars, or app notifications that convey critical updates and encourage active participation. Tailoring the messaging to the stakeholder’s role, influence, and interest ensures that information is relevant, actionable, and accessible, which in turn fosters trust and reduces uncertainty.</w:t>
      </w:r>
    </w:p>
    <w:p w:rsidRPr="00CF7192" w:rsidR="00CF7192" w:rsidP="00CF7192" w:rsidRDefault="00CF7192" w14:paraId="1FBA4D3C" w14:textId="77777777">
      <w:r w:rsidRPr="00CF7192">
        <w:rPr>
          <w:b/>
          <w:bCs/>
        </w:rPr>
        <w:t>Coordination</w:t>
      </w:r>
      <w:r w:rsidRPr="00CF7192">
        <w:t xml:space="preserve"> is the process of aligning schedules, priorities, and resources across diverse teams and stakeholder groups. In a multifaceted project like the smart blood pressure monitor launch, coordination ensures that dependencies between internal functions—such as QA testing, software development, and marketing campaigns—are managed efficiently. Coordination also extends to external stakeholders, for example by scheduling clinical validation sessions with healthcare professionals or supplier delivery timelines to prevent </w:t>
      </w:r>
      <w:r w:rsidRPr="00CF7192">
        <w:t>production bottlenecks. By planning interactions strategically and maintaining clear timelines, project managers can optimise workflow, avoid duplication of efforts, and ensure that all stakeholders work towards shared objectives in a synchronized manner.</w:t>
      </w:r>
    </w:p>
    <w:p w:rsidRPr="00CF7192" w:rsidR="00CF7192" w:rsidP="00CF7192" w:rsidRDefault="00CF7192" w14:paraId="4931A8C6" w14:textId="77777777">
      <w:r w:rsidRPr="00CF7192">
        <w:rPr>
          <w:b/>
          <w:bCs/>
        </w:rPr>
        <w:t>Cooperation</w:t>
      </w:r>
      <w:r w:rsidRPr="00CF7192">
        <w:t xml:space="preserve"> focuses on building a culture of trust, mutual respect, and shared problem-solving. Successful cooperation requires that stakeholders perceive value in working together and are committed to achieving common goals. For Omron, fostering cooperation among internal teams might involve joint workshops where product development and marketing discuss launch readiness, or cross-functional brainstorming sessions to address technical challenges. Similarly, engaging external stakeholders cooperatively—such as involving NHS partners in early usability testing—encourages buy-in and helps ensure that the device meets clinical and consumer needs. Cooperation is also essential when navigating conflicts or competing priorities; by emphasising shared objectives, teams are more likely to negotiate solutions that balance individual concerns with project goals.</w:t>
      </w:r>
    </w:p>
    <w:p w:rsidRPr="00CF7192" w:rsidR="00CF7192" w:rsidP="00CF7192" w:rsidRDefault="00CF7192" w14:paraId="112493B1" w14:textId="77777777">
      <w:r w:rsidRPr="00CF7192">
        <w:rPr>
          <w:b/>
          <w:bCs/>
        </w:rPr>
        <w:t>Collaboration</w:t>
      </w:r>
      <w:r w:rsidRPr="00CF7192">
        <w:t xml:space="preserve"> represents the highest level of stakeholder engagement, where strategic partnerships are leveraged to co-create value and drive innovation. Collaboration with external stakeholders, such as suppliers, NHS partners, and healthcare providers, can facilitate clinical validation, co-development of features, and joint marketing initiatives. For instance, involving the NHS in pilot studies not only enhances credibility but also provides real-world feedback that can inform device improvements. Collaboration fosters long-term relationships, enhances stakeholder loyalty, and creates opportunities for collective problem-solving that extends beyond the immediate project.</w:t>
      </w:r>
    </w:p>
    <w:p w:rsidRPr="00CF7192" w:rsidR="00CF7192" w:rsidP="00CF7192" w:rsidRDefault="00CF7192" w14:paraId="4342A606" w14:textId="77777777">
      <w:r w:rsidRPr="00CF7192">
        <w:rPr>
          <w:b/>
          <w:bCs/>
        </w:rPr>
        <w:t>Conflict Management</w:t>
      </w:r>
      <w:r w:rsidRPr="00CF7192">
        <w:t xml:space="preserve"> is an integral aspect of stakeholder engagement. Conflicts often arise due to misaligned priorities, resource constraints, or differing interpretations of project objectives. Applying the 4C’s principles helps manage conflicts proactively. For example, if the marketing team and product development team disagree on launch readiness, structured communication ensures that each side’s concerns are clearly articulated. Coordination aligns timelines and resource allocation to mitigate scheduling conflicts. Cooperation encourages compromise and consensus-building, while collaboration seeks integrative solutions that satisfy both technical and marketing requirements. Early identification of potential disputes and structured negotiation techniques prevent escalation and maintain productive relationships.</w:t>
      </w:r>
    </w:p>
    <w:p w:rsidR="00670D8B" w:rsidP="00670D8B" w:rsidRDefault="00CF7192" w14:paraId="6C1BCAA7" w14:textId="470A62DF">
      <w:r w:rsidRPr="00CF7192">
        <w:rPr>
          <w:b/>
          <w:bCs/>
        </w:rPr>
        <w:t>Evaluation and Continuous Improvement</w:t>
      </w:r>
      <w:r w:rsidRPr="00CF7192">
        <w:t xml:space="preserve"> are essential for refining stakeholder engagement processes. Success can be measured using performance metrics such as stakeholder participation rates, feedback quality, adherence to project timelines, and achievement of engagement KPIs. Surveys, focus groups, and regular check-ins provide qualitative insights into stakeholder satisfaction and areas for improvement. Documenting lessons learned after each phase ensures that best practices are retained and informs the development of future engagement strategies.</w:t>
      </w:r>
    </w:p>
    <w:p w:rsidR="00670D8B" w:rsidP="00670D8B" w:rsidRDefault="00670D8B" w14:paraId="0DF312EA" w14:textId="77777777"/>
    <w:p w:rsidRPr="00670D8B" w:rsidR="00670D8B" w:rsidP="00670D8B" w:rsidRDefault="00670D8B" w14:paraId="1078776F" w14:textId="77777777"/>
    <w:p w:rsidRPr="00670D8B" w:rsidR="00670D8B" w:rsidP="00670D8B" w:rsidRDefault="00670D8B" w14:paraId="013A5F49" w14:textId="33F285A4">
      <w:r w:rsidRPr="00670D8B">
        <w:rPr>
          <w:b/>
          <w:bCs/>
        </w:rPr>
        <w:t xml:space="preserve">7. Impact of Stakeholder Engagement &amp; Recommendations </w:t>
      </w:r>
    </w:p>
    <w:p w:rsidRPr="00670D8B" w:rsidR="00670D8B" w:rsidP="00670D8B" w:rsidRDefault="00670D8B" w14:paraId="37661550" w14:textId="77777777">
      <w:r w:rsidRPr="00670D8B">
        <w:t xml:space="preserve">Stakeholder engagement is a cornerstone of successful project management, particularly in complex healthcare initiatives such as the launch of Omron Healthcare UK’s upper-arm smart blood pressure monitor. Engaging stakeholders effectively not only ensures that the project </w:t>
      </w:r>
      <w:r w:rsidRPr="00670D8B">
        <w:t>meets its objectives but also enhances trust, collaboration, and long-term sustainability. When executed systematically, stakeholder engagement influences both operational efficiency and strategic outcomes, providing measurable benefits across multiple dimensions of the project.</w:t>
      </w:r>
    </w:p>
    <w:p w:rsidRPr="00670D8B" w:rsidR="00670D8B" w:rsidP="00670D8B" w:rsidRDefault="00670D8B" w14:paraId="624C74D4" w14:textId="77777777">
      <w:r w:rsidRPr="00670D8B">
        <w:rPr>
          <w:b/>
          <w:bCs/>
        </w:rPr>
        <w:t>Impact on Project Outcomes</w:t>
      </w:r>
    </w:p>
    <w:p w:rsidRPr="00670D8B" w:rsidR="00670D8B" w:rsidP="00670D8B" w:rsidRDefault="00670D8B" w14:paraId="2A2ADB5C" w14:textId="77777777">
      <w:r w:rsidRPr="00670D8B">
        <w:t xml:space="preserve">One of the most tangible impacts of robust stakeholder engagement is the improvement in </w:t>
      </w:r>
      <w:r w:rsidRPr="00670D8B">
        <w:rPr>
          <w:b/>
          <w:bCs/>
        </w:rPr>
        <w:t>product adoption and market success</w:t>
      </w:r>
      <w:r w:rsidRPr="00670D8B">
        <w:t>. Engaging healthcare professionals, NHS partners, and end-users early in the development process ensures that devices are designed to meet actual clinical and consumer needs. Input from clinicians during pilot studies or usability testing can inform design improvements, resulting in a product that is more intuitive, reliable, and aligned with patient care workflows. Similarly, involving patients and consumers through surveys or focus groups helps identify preferences, pain points, and expectations, increasing the likelihood that the product will be accepted and used consistently. This early engagement reduces the risk of negative reviews or low adoption rates, which can significantly affect market performance.</w:t>
      </w:r>
    </w:p>
    <w:p w:rsidRPr="00670D8B" w:rsidR="00670D8B" w:rsidP="00670D8B" w:rsidRDefault="00670D8B" w14:paraId="492E12F1" w14:textId="77777777">
      <w:r w:rsidRPr="00670D8B">
        <w:t xml:space="preserve">Effective stakeholder engagement also plays a critical role in </w:t>
      </w:r>
      <w:r w:rsidRPr="00670D8B">
        <w:rPr>
          <w:b/>
          <w:bCs/>
        </w:rPr>
        <w:t>mitigating risks</w:t>
      </w:r>
      <w:r w:rsidRPr="00670D8B">
        <w:t>, particularly those associated with regulatory compliance, supply chain disruptions, or project delays. By maintaining transparent and frequent communication with regulatory bodies such as the MHRA, Omron can ensure that all safety standards, documentation requirements, and reporting procedures are met on time. Engaging suppliers and vendors proactively helps anticipate and resolve potential production bottlenecks, reducing the risk of delays that could affect launch schedules. Similarly, maintaining open communication channels with internal teams fosters alignment on priorities and deadlines, reducing the likelihood of misunderstandings or conflicting objectives.</w:t>
      </w:r>
    </w:p>
    <w:p w:rsidRPr="00670D8B" w:rsidR="00670D8B" w:rsidP="00670D8B" w:rsidRDefault="00670D8B" w14:paraId="07997C13" w14:textId="77777777">
      <w:r w:rsidRPr="00670D8B">
        <w:t xml:space="preserve">Another significant impact is the </w:t>
      </w:r>
      <w:r w:rsidRPr="00670D8B">
        <w:rPr>
          <w:b/>
          <w:bCs/>
        </w:rPr>
        <w:t>enhancement of interdepartmental collaboration and knowledge sharing</w:t>
      </w:r>
      <w:r w:rsidRPr="00670D8B">
        <w:t>. Structured engagement processes, supported by tools such as RACI matrices or stakeholder dashboards, clarify roles, responsibilities, and accountabilities. This clarity encourages departments—product development, marketing, sales, QA, and IT—to work cohesively, share insights, and make informed decisions. Cross-functional workshops or joint problem-solving sessions allow teams to address challenges collectively, leveraging diverse expertise and perspectives. This collaborative environment not only improves project efficiency but also fosters innovation, as ideas flow more freely across organisational boundaries.</w:t>
      </w:r>
    </w:p>
    <w:p w:rsidRPr="00670D8B" w:rsidR="00670D8B" w:rsidP="00670D8B" w:rsidRDefault="00670D8B" w14:paraId="2639942F" w14:textId="77777777">
      <w:r w:rsidRPr="00670D8B">
        <w:rPr>
          <w:b/>
          <w:bCs/>
        </w:rPr>
        <w:t>Recommendations for Future Projects</w:t>
      </w:r>
    </w:p>
    <w:p w:rsidRPr="00670D8B" w:rsidR="00670D8B" w:rsidP="00670D8B" w:rsidRDefault="00670D8B" w14:paraId="09F69A28" w14:textId="77777777">
      <w:r w:rsidRPr="00670D8B">
        <w:t>To build on these benefits and strengthen stakeholder engagement in future initiatives, several strategic recommendations can be implemented:</w:t>
      </w:r>
    </w:p>
    <w:p w:rsidRPr="00670D8B" w:rsidR="00670D8B" w:rsidP="00670D8B" w:rsidRDefault="00670D8B" w14:paraId="5484A428" w14:textId="77777777">
      <w:pPr>
        <w:numPr>
          <w:ilvl w:val="0"/>
          <w:numId w:val="17"/>
        </w:numPr>
      </w:pPr>
      <w:r w:rsidRPr="00670D8B">
        <w:rPr>
          <w:b/>
          <w:bCs/>
        </w:rPr>
        <w:t>Develop ongoing engagement programs with key healthcare partners</w:t>
      </w:r>
      <w:r w:rsidRPr="00670D8B">
        <w:t>: Establish long-term relationships with NHS facilities, private clinics, and patient advocacy groups. Regular interactions, co-creation workshops, and pilot studies ensure continuous alignment between product development and clinical needs, creating mutual value and trust.</w:t>
      </w:r>
    </w:p>
    <w:p w:rsidRPr="00670D8B" w:rsidR="00670D8B" w:rsidP="00670D8B" w:rsidRDefault="00670D8B" w14:paraId="7F9A7223" w14:textId="77777777">
      <w:pPr>
        <w:numPr>
          <w:ilvl w:val="0"/>
          <w:numId w:val="17"/>
        </w:numPr>
      </w:pPr>
      <w:r w:rsidRPr="00670D8B">
        <w:rPr>
          <w:b/>
          <w:bCs/>
        </w:rPr>
        <w:t>Implement digital dashboards for real-time stakeholder tracking</w:t>
      </w:r>
      <w:r w:rsidRPr="00670D8B">
        <w:t>: Interactive dashboards can provide visibility into stakeholder involvement, project milestones, and risk status. By monitoring engagement metrics in real time, project managers can identify gaps, prioritise high-impact stakeholders, and adjust communication strategies proactively.</w:t>
      </w:r>
    </w:p>
    <w:p w:rsidRPr="00670D8B" w:rsidR="00670D8B" w:rsidP="00670D8B" w:rsidRDefault="00670D8B" w14:paraId="6319A039" w14:textId="77777777">
      <w:pPr>
        <w:numPr>
          <w:ilvl w:val="0"/>
          <w:numId w:val="17"/>
        </w:numPr>
      </w:pPr>
      <w:r w:rsidRPr="00670D8B">
        <w:rPr>
          <w:b/>
          <w:bCs/>
        </w:rPr>
        <w:t>Conduct regular training and collaborative workshops</w:t>
      </w:r>
      <w:r w:rsidRPr="00670D8B">
        <w:t>: Internal teams benefit from structured programs aimed at improving cross-departmental collaboration, communication, and conflict resolution skills. Workshops focused on teamwork, agile project management, and stakeholder management cultivate a culture of continuous learning and adaptive planning.</w:t>
      </w:r>
    </w:p>
    <w:p w:rsidRPr="00670D8B" w:rsidR="00670D8B" w:rsidP="00670D8B" w:rsidRDefault="00670D8B" w14:paraId="6924A01E" w14:textId="77777777">
      <w:pPr>
        <w:numPr>
          <w:ilvl w:val="0"/>
          <w:numId w:val="17"/>
        </w:numPr>
      </w:pPr>
      <w:r w:rsidRPr="00670D8B">
        <w:rPr>
          <w:b/>
          <w:bCs/>
        </w:rPr>
        <w:t>Foster a culture of continuous feedback and adaptive planning</w:t>
      </w:r>
      <w:r w:rsidRPr="00670D8B">
        <w:t>: Encouraging stakeholders to provide ongoing input throughout the project lifecycle allows for iterative improvements and responsive decision-making. Feedback loops, retrospective sessions, and open communication channels help identify emerging risks, refine engagement strategies, and maintain stakeholder satisfaction.</w:t>
      </w:r>
    </w:p>
    <w:p w:rsidRPr="00670D8B" w:rsidR="00670D8B" w:rsidP="00670D8B" w:rsidRDefault="00670D8B" w14:paraId="3D1F90F1" w14:textId="77777777">
      <w:pPr>
        <w:numPr>
          <w:ilvl w:val="0"/>
          <w:numId w:val="17"/>
        </w:numPr>
      </w:pPr>
      <w:r w:rsidRPr="00670D8B">
        <w:rPr>
          <w:b/>
          <w:bCs/>
        </w:rPr>
        <w:t>Leverage technology and analytics for engagement insights</w:t>
      </w:r>
      <w:r w:rsidRPr="00670D8B">
        <w:t>: Using data-driven tools to analyse stakeholder behaviour, preferences, and feedback can inform tailored communication strategies. Predictive analytics can also anticipate potential conflicts or disengagement, enabling proactive intervention before issues escalate.</w:t>
      </w:r>
    </w:p>
    <w:p w:rsidRPr="00670D8B" w:rsidR="00670D8B" w:rsidP="00670D8B" w:rsidRDefault="00670D8B" w14:paraId="6997D9CD" w14:textId="1D6D100E"/>
    <w:p w:rsidRPr="00670D8B" w:rsidR="00670D8B" w:rsidP="00670D8B" w:rsidRDefault="00670D8B" w14:paraId="018B72AB" w14:textId="7C0DAE52"/>
    <w:p w:rsidRPr="00670D8B" w:rsidR="00670D8B" w:rsidP="00670D8B" w:rsidRDefault="00670D8B" w14:paraId="5DBAB62D" w14:textId="6CD14E6B">
      <w:r w:rsidRPr="00670D8B">
        <w:rPr>
          <w:b/>
          <w:bCs/>
        </w:rPr>
        <w:t xml:space="preserve">8. Conclusion </w:t>
      </w:r>
    </w:p>
    <w:p w:rsidRPr="00670D8B" w:rsidR="00670D8B" w:rsidP="00670D8B" w:rsidRDefault="00670D8B" w14:paraId="5EEBD50F" w14:textId="77777777">
      <w:r w:rsidRPr="00670D8B">
        <w:t>Strategic and structured stakeholder engagement is a pivotal factor in ensuring the successful launch of Omron Healthcare UK’s upper-arm smart blood pressure monitor. The identification and analysis of both internal and external stakeholders provide a clear understanding of their influence, interests, and potential contributions, which enables the organisation to tailor engagement strategies effectively. Internal teams, including product development, marketing, sales, IT, and quality assurance, play crucial roles in design, testing, communication, and distribution, while external stakeholders such as patients, healthcare providers, NHS partners, regulatory authorities, suppliers, and investors shape adoption, compliance, and market success.</w:t>
      </w:r>
    </w:p>
    <w:p w:rsidRPr="00670D8B" w:rsidR="00670D8B" w:rsidP="00670D8B" w:rsidRDefault="00670D8B" w14:paraId="1859774B" w14:textId="77777777">
      <w:r w:rsidRPr="00670D8B">
        <w:t>Clarifying roles and responsibilities through tools like the RACI matrix, coupled with structured engagement frameworks such as stakeholder matrices, communication plans, and engagement programs, ensures that information flows efficiently and decisions are well-coordinated. Applying conflict management approaches, particularly the 4C’s Model—Communication, Coordination, Cooperation, and Collaboration—allows potential disagreements or misaligned priorities to be addressed proactively, fostering consensus and shared commitment across diverse teams.</w:t>
      </w:r>
    </w:p>
    <w:p w:rsidRPr="00670D8B" w:rsidR="00670D8B" w:rsidP="00670D8B" w:rsidRDefault="00670D8B" w14:paraId="3B423FBA" w14:textId="77777777">
      <w:r w:rsidRPr="00670D8B">
        <w:t>The evaluation of stakeholder engagement highlights its tangible benefits, including improved interdepartmental collaboration, enhanced innovation, reduced operational and compliance risks, and increased likelihood of product adoption. By actively involving stakeholders throughout the project lifecycle, Omron can align its strategic objectives with user needs and regulatory requirements, ultimately improving patient outcomes and organisational performance.</w:t>
      </w:r>
    </w:p>
    <w:p w:rsidRPr="00670D8B" w:rsidR="00670D8B" w:rsidP="00670D8B" w:rsidRDefault="00670D8B" w14:paraId="7793A759" w14:textId="5E698610"/>
    <w:p w:rsidRPr="00670D8B" w:rsidR="00670D8B" w:rsidP="00670D8B" w:rsidRDefault="00670D8B" w14:paraId="36520F55" w14:textId="212D262E"/>
    <w:p w:rsidRPr="00DD52C6" w:rsidR="00DD52C6" w:rsidP="00DD52C6" w:rsidRDefault="00DD52C6" w14:paraId="5097789A" w14:textId="5E0DB897"/>
    <w:p w:rsidR="00DD52C6" w:rsidP="00DD52C6" w:rsidRDefault="00DD52C6" w14:paraId="080BC686" w14:textId="77777777"/>
    <w:p w:rsidR="00DD52C6" w:rsidP="00DD52C6" w:rsidRDefault="00DD52C6" w14:paraId="00347A44" w14:textId="77777777"/>
    <w:p w:rsidRPr="00DD52C6" w:rsidR="00DD52C6" w:rsidP="00DD52C6" w:rsidRDefault="00DD52C6" w14:paraId="119D159C" w14:textId="46E51BF8">
      <w:pPr>
        <w:rPr>
          <w:b/>
          <w:bCs/>
        </w:rPr>
      </w:pPr>
      <w:r w:rsidRPr="00DD52C6">
        <w:rPr>
          <w:b/>
          <w:bCs/>
        </w:rPr>
        <w:t xml:space="preserve">Reference List </w:t>
      </w:r>
    </w:p>
    <w:p w:rsidRPr="00DD52C6" w:rsidR="00DD52C6" w:rsidP="00DD52C6" w:rsidRDefault="00DD52C6" w14:paraId="5252C33C" w14:textId="77777777">
      <w:pPr>
        <w:numPr>
          <w:ilvl w:val="0"/>
          <w:numId w:val="16"/>
        </w:numPr>
      </w:pPr>
      <w:r w:rsidRPr="00DD52C6">
        <w:t xml:space="preserve">Freeman, R.E., 1984. </w:t>
      </w:r>
      <w:r w:rsidRPr="00DD52C6">
        <w:rPr>
          <w:i/>
          <w:iCs/>
        </w:rPr>
        <w:t>Strategic Management: A Stakeholder Approach.</w:t>
      </w:r>
      <w:r w:rsidRPr="00DD52C6">
        <w:t xml:space="preserve"> Boston: Pitman.</w:t>
      </w:r>
    </w:p>
    <w:p w:rsidRPr="00DD52C6" w:rsidR="00DD52C6" w:rsidP="00DD52C6" w:rsidRDefault="00DD52C6" w14:paraId="4C18AC2A" w14:textId="77777777">
      <w:pPr>
        <w:numPr>
          <w:ilvl w:val="0"/>
          <w:numId w:val="16"/>
        </w:numPr>
      </w:pPr>
      <w:r w:rsidRPr="00DD52C6">
        <w:t xml:space="preserve">Omron Healthcare, 2023. </w:t>
      </w:r>
      <w:r w:rsidRPr="00DD52C6">
        <w:rPr>
          <w:i/>
          <w:iCs/>
        </w:rPr>
        <w:t>Company Overview and Product Portfolio.</w:t>
      </w:r>
      <w:r w:rsidRPr="00DD52C6">
        <w:t xml:space="preserve"> [online] Available at: https://www.omronhealthcare.com [Accessed 4 November 2025].</w:t>
      </w:r>
    </w:p>
    <w:p w:rsidRPr="00DD52C6" w:rsidR="00DD52C6" w:rsidP="00DD52C6" w:rsidRDefault="00DD52C6" w14:paraId="69919927" w14:textId="77777777">
      <w:pPr>
        <w:numPr>
          <w:ilvl w:val="0"/>
          <w:numId w:val="16"/>
        </w:numPr>
      </w:pPr>
      <w:r w:rsidRPr="00DD52C6">
        <w:t xml:space="preserve">Philips, 2022. </w:t>
      </w:r>
      <w:r w:rsidRPr="00DD52C6">
        <w:rPr>
          <w:i/>
          <w:iCs/>
        </w:rPr>
        <w:t>Digital Health Trends in the UK.</w:t>
      </w:r>
      <w:r w:rsidRPr="00DD52C6">
        <w:t xml:space="preserve"> [online] Available at: </w:t>
      </w:r>
      <w:hyperlink w:tgtFrame="_new" w:history="1" r:id="rId8">
        <w:r w:rsidRPr="00DD52C6">
          <w:rPr>
            <w:rStyle w:val="Hyperlink"/>
          </w:rPr>
          <w:t>https://www.philips.com</w:t>
        </w:r>
      </w:hyperlink>
      <w:r w:rsidRPr="00DD52C6">
        <w:t xml:space="preserve"> [Accessed 4 November 2025].</w:t>
      </w:r>
    </w:p>
    <w:p w:rsidRPr="00DD52C6" w:rsidR="00DD52C6" w:rsidP="00DD52C6" w:rsidRDefault="00DD52C6" w14:paraId="11AD5B77" w14:textId="77777777">
      <w:pPr>
        <w:numPr>
          <w:ilvl w:val="0"/>
          <w:numId w:val="16"/>
        </w:numPr>
      </w:pPr>
      <w:r w:rsidRPr="00DD52C6">
        <w:t xml:space="preserve">PMI, 2021. </w:t>
      </w:r>
      <w:r w:rsidRPr="00DD52C6">
        <w:rPr>
          <w:i/>
          <w:iCs/>
        </w:rPr>
        <w:t>A Guide to the Project Management Body of Knowledge (PMBOK® Guide), 7th Edition.</w:t>
      </w:r>
      <w:r w:rsidRPr="00DD52C6">
        <w:t xml:space="preserve"> Newtown Square: Project Management Institute.</w:t>
      </w:r>
    </w:p>
    <w:p w:rsidRPr="00DD52C6" w:rsidR="00DD52C6" w:rsidP="00DD52C6" w:rsidRDefault="00DD52C6" w14:paraId="429AA618" w14:textId="77777777">
      <w:pPr>
        <w:numPr>
          <w:ilvl w:val="0"/>
          <w:numId w:val="16"/>
        </w:numPr>
        <w:rPr>
          <w:sz w:val="28"/>
          <w:szCs w:val="28"/>
        </w:rPr>
      </w:pPr>
      <w:r w:rsidRPr="00DD52C6">
        <w:t xml:space="preserve">MHRA, 2022. </w:t>
      </w:r>
      <w:r w:rsidRPr="00DD52C6">
        <w:rPr>
          <w:i/>
          <w:iCs/>
        </w:rPr>
        <w:t>Medical Device Regulations in the UK.</w:t>
      </w:r>
      <w:r w:rsidRPr="00DD52C6">
        <w:t xml:space="preserve"> [online] Available at: </w:t>
      </w:r>
      <w:hyperlink w:tgtFrame="_new" w:history="1" r:id="rId9">
        <w:r w:rsidRPr="00DD52C6">
          <w:rPr>
            <w:rStyle w:val="Hyperlink"/>
            <w:sz w:val="28"/>
            <w:szCs w:val="28"/>
          </w:rPr>
          <w:t>https://www.gov.uk/mhra</w:t>
        </w:r>
      </w:hyperlink>
      <w:r w:rsidRPr="00DD52C6">
        <w:rPr>
          <w:sz w:val="28"/>
          <w:szCs w:val="28"/>
        </w:rPr>
        <w:t xml:space="preserve"> [Accessed 4 November 2025].</w:t>
      </w:r>
    </w:p>
    <w:p w:rsidR="00DD52C6" w:rsidP="00DD52C6" w:rsidRDefault="00DD52C6" w14:paraId="0A377F4F" w14:textId="5E492944">
      <w:pPr>
        <w:numPr>
          <w:ilvl w:val="0"/>
          <w:numId w:val="16"/>
        </w:numPr>
      </w:pPr>
      <w:r w:rsidRPr="00DD52C6">
        <w:t xml:space="preserve">NHS Digital, 2023. </w:t>
      </w:r>
      <w:r w:rsidRPr="00DD52C6">
        <w:rPr>
          <w:i/>
          <w:iCs/>
        </w:rPr>
        <w:t>Remote Patient Monitoring Case Studies.</w:t>
      </w:r>
      <w:r w:rsidRPr="00DD52C6">
        <w:t xml:space="preserve"> [online] Available at: </w:t>
      </w:r>
      <w:hyperlink w:tgtFrame="_new" w:history="1" r:id="rId10">
        <w:r w:rsidRPr="00DD52C6">
          <w:rPr>
            <w:rStyle w:val="Hyperlink"/>
          </w:rPr>
          <w:t>https://digital.nhs.uk</w:t>
        </w:r>
      </w:hyperlink>
      <w:r w:rsidRPr="00DD52C6">
        <w:t xml:space="preserve"> [Accessed 4 November 2025</w:t>
      </w:r>
      <w:r>
        <w:t>]</w:t>
      </w:r>
    </w:p>
    <w:p w:rsidRPr="00DD52C6" w:rsidR="00DD52C6" w:rsidP="00DD52C6" w:rsidRDefault="00DD52C6" w14:paraId="41E2B398" w14:textId="567EECA4">
      <w:pPr>
        <w:ind w:left="720"/>
      </w:pPr>
      <w:r w:rsidRPr="00DD52C6">
        <w:t>.</w:t>
      </w:r>
    </w:p>
    <w:p w:rsidRPr="00DD52C6" w:rsidR="00DD52C6" w:rsidP="00DD52C6" w:rsidRDefault="00DD52C6" w14:paraId="46936819" w14:textId="77777777">
      <w:pPr>
        <w:rPr>
          <w:sz w:val="24"/>
          <w:szCs w:val="24"/>
        </w:rPr>
      </w:pPr>
    </w:p>
    <w:p w:rsidR="00DD52C6" w:rsidRDefault="00DD52C6" w14:paraId="53311BCA" w14:textId="77777777"/>
    <w:sectPr w:rsidR="00DD52C6">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C37A22"/>
    <w:multiLevelType w:val="multilevel"/>
    <w:tmpl w:val="923CA60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1AE042E1"/>
    <w:multiLevelType w:val="multilevel"/>
    <w:tmpl w:val="DAEC319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24866A1B"/>
    <w:multiLevelType w:val="multilevel"/>
    <w:tmpl w:val="DA94111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2B4B1547"/>
    <w:multiLevelType w:val="multilevel"/>
    <w:tmpl w:val="0A828FF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2D666847"/>
    <w:multiLevelType w:val="multilevel"/>
    <w:tmpl w:val="4E8EECE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33383BE0"/>
    <w:multiLevelType w:val="multilevel"/>
    <w:tmpl w:val="84BC870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37771161"/>
    <w:multiLevelType w:val="multilevel"/>
    <w:tmpl w:val="B2C6CE7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3C166A80"/>
    <w:multiLevelType w:val="multilevel"/>
    <w:tmpl w:val="084A80A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3EEE7192"/>
    <w:multiLevelType w:val="multilevel"/>
    <w:tmpl w:val="8DAC929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43A556E6"/>
    <w:multiLevelType w:val="multilevel"/>
    <w:tmpl w:val="FD88E66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4D127616"/>
    <w:multiLevelType w:val="multilevel"/>
    <w:tmpl w:val="E45A00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D7F33B3"/>
    <w:multiLevelType w:val="multilevel"/>
    <w:tmpl w:val="1318E9A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56C34EDA"/>
    <w:multiLevelType w:val="multilevel"/>
    <w:tmpl w:val="9642DA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E7C04E1"/>
    <w:multiLevelType w:val="multilevel"/>
    <w:tmpl w:val="C8F6424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4" w15:restartNumberingAfterBreak="0">
    <w:nsid w:val="67F7317E"/>
    <w:multiLevelType w:val="multilevel"/>
    <w:tmpl w:val="D876A77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6BF5617D"/>
    <w:multiLevelType w:val="multilevel"/>
    <w:tmpl w:val="A68E3ED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6" w15:restartNumberingAfterBreak="0">
    <w:nsid w:val="752739D4"/>
    <w:multiLevelType w:val="multilevel"/>
    <w:tmpl w:val="643CBD3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884952035">
    <w:abstractNumId w:val="11"/>
  </w:num>
  <w:num w:numId="2" w16cid:durableId="1340891819">
    <w:abstractNumId w:val="5"/>
  </w:num>
  <w:num w:numId="3" w16cid:durableId="1867787843">
    <w:abstractNumId w:val="16"/>
  </w:num>
  <w:num w:numId="4" w16cid:durableId="605116970">
    <w:abstractNumId w:val="0"/>
  </w:num>
  <w:num w:numId="5" w16cid:durableId="761268051">
    <w:abstractNumId w:val="8"/>
  </w:num>
  <w:num w:numId="6" w16cid:durableId="204954904">
    <w:abstractNumId w:val="9"/>
  </w:num>
  <w:num w:numId="7" w16cid:durableId="1593511350">
    <w:abstractNumId w:val="1"/>
  </w:num>
  <w:num w:numId="8" w16cid:durableId="1815297407">
    <w:abstractNumId w:val="4"/>
  </w:num>
  <w:num w:numId="9" w16cid:durableId="399180419">
    <w:abstractNumId w:val="15"/>
  </w:num>
  <w:num w:numId="10" w16cid:durableId="419133737">
    <w:abstractNumId w:val="7"/>
  </w:num>
  <w:num w:numId="11" w16cid:durableId="757411070">
    <w:abstractNumId w:val="13"/>
  </w:num>
  <w:num w:numId="12" w16cid:durableId="1354768956">
    <w:abstractNumId w:val="6"/>
  </w:num>
  <w:num w:numId="13" w16cid:durableId="46884336">
    <w:abstractNumId w:val="14"/>
  </w:num>
  <w:num w:numId="14" w16cid:durableId="1295058424">
    <w:abstractNumId w:val="2"/>
  </w:num>
  <w:num w:numId="15" w16cid:durableId="89400943">
    <w:abstractNumId w:val="3"/>
  </w:num>
  <w:num w:numId="16" w16cid:durableId="389234301">
    <w:abstractNumId w:val="10"/>
  </w:num>
  <w:num w:numId="17" w16cid:durableId="1828546988">
    <w:abstractNumId w:val="1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4C32"/>
    <w:rsid w:val="0004476A"/>
    <w:rsid w:val="003B66C5"/>
    <w:rsid w:val="0057347D"/>
    <w:rsid w:val="005E5E4E"/>
    <w:rsid w:val="00643CC5"/>
    <w:rsid w:val="00670D8B"/>
    <w:rsid w:val="006727E3"/>
    <w:rsid w:val="007D18AF"/>
    <w:rsid w:val="009659C0"/>
    <w:rsid w:val="00AA6EC2"/>
    <w:rsid w:val="00AD1486"/>
    <w:rsid w:val="00CF7192"/>
    <w:rsid w:val="00DD52C6"/>
    <w:rsid w:val="00EA2152"/>
    <w:rsid w:val="00F64C32"/>
    <w:rsid w:val="04D702E5"/>
    <w:rsid w:val="06490E60"/>
    <w:rsid w:val="0D82608A"/>
    <w:rsid w:val="123ECB44"/>
    <w:rsid w:val="18CB5C6D"/>
    <w:rsid w:val="244AE05D"/>
    <w:rsid w:val="2666EA32"/>
    <w:rsid w:val="29A1BA77"/>
    <w:rsid w:val="29DFDA77"/>
    <w:rsid w:val="30BAC7DF"/>
    <w:rsid w:val="428C63F4"/>
    <w:rsid w:val="431D786C"/>
    <w:rsid w:val="4908190B"/>
    <w:rsid w:val="4AB95EEE"/>
    <w:rsid w:val="5EBD69AF"/>
    <w:rsid w:val="64800C12"/>
    <w:rsid w:val="6D1442AD"/>
    <w:rsid w:val="7241FC24"/>
    <w:rsid w:val="72ECCC88"/>
    <w:rsid w:val="73C0F2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8A0843"/>
  <w15:chartTrackingRefBased/>
  <w15:docId w15:val="{18EBB067-9078-4979-AA97-4B1C06FE1C8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F64C32"/>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64C32"/>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64C3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64C3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64C3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64C3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64C3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64C3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64C32"/>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F64C32"/>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F64C32"/>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F64C32"/>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F64C32"/>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F64C32"/>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F64C32"/>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F64C32"/>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F64C32"/>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F64C32"/>
    <w:rPr>
      <w:rFonts w:eastAsiaTheme="majorEastAsia" w:cstheme="majorBidi"/>
      <w:color w:val="272727" w:themeColor="text1" w:themeTint="D8"/>
    </w:rPr>
  </w:style>
  <w:style w:type="paragraph" w:styleId="Title">
    <w:name w:val="Title"/>
    <w:basedOn w:val="Normal"/>
    <w:next w:val="Normal"/>
    <w:link w:val="TitleChar"/>
    <w:uiPriority w:val="10"/>
    <w:qFormat/>
    <w:rsid w:val="00F64C32"/>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F64C32"/>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F64C32"/>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F64C3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64C32"/>
    <w:pPr>
      <w:spacing w:before="160"/>
      <w:jc w:val="center"/>
    </w:pPr>
    <w:rPr>
      <w:i/>
      <w:iCs/>
      <w:color w:val="404040" w:themeColor="text1" w:themeTint="BF"/>
    </w:rPr>
  </w:style>
  <w:style w:type="character" w:styleId="QuoteChar" w:customStyle="1">
    <w:name w:val="Quote Char"/>
    <w:basedOn w:val="DefaultParagraphFont"/>
    <w:link w:val="Quote"/>
    <w:uiPriority w:val="29"/>
    <w:rsid w:val="00F64C32"/>
    <w:rPr>
      <w:i/>
      <w:iCs/>
      <w:color w:val="404040" w:themeColor="text1" w:themeTint="BF"/>
    </w:rPr>
  </w:style>
  <w:style w:type="paragraph" w:styleId="ListParagraph">
    <w:name w:val="List Paragraph"/>
    <w:basedOn w:val="Normal"/>
    <w:uiPriority w:val="34"/>
    <w:qFormat/>
    <w:rsid w:val="00F64C32"/>
    <w:pPr>
      <w:ind w:left="720"/>
      <w:contextualSpacing/>
    </w:pPr>
  </w:style>
  <w:style w:type="character" w:styleId="IntenseEmphasis">
    <w:name w:val="Intense Emphasis"/>
    <w:basedOn w:val="DefaultParagraphFont"/>
    <w:uiPriority w:val="21"/>
    <w:qFormat/>
    <w:rsid w:val="00F64C32"/>
    <w:rPr>
      <w:i/>
      <w:iCs/>
      <w:color w:val="0F4761" w:themeColor="accent1" w:themeShade="BF"/>
    </w:rPr>
  </w:style>
  <w:style w:type="paragraph" w:styleId="IntenseQuote">
    <w:name w:val="Intense Quote"/>
    <w:basedOn w:val="Normal"/>
    <w:next w:val="Normal"/>
    <w:link w:val="IntenseQuoteChar"/>
    <w:uiPriority w:val="30"/>
    <w:qFormat/>
    <w:rsid w:val="00F64C32"/>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F64C32"/>
    <w:rPr>
      <w:i/>
      <w:iCs/>
      <w:color w:val="0F4761" w:themeColor="accent1" w:themeShade="BF"/>
    </w:rPr>
  </w:style>
  <w:style w:type="character" w:styleId="IntenseReference">
    <w:name w:val="Intense Reference"/>
    <w:basedOn w:val="DefaultParagraphFont"/>
    <w:uiPriority w:val="32"/>
    <w:qFormat/>
    <w:rsid w:val="00F64C32"/>
    <w:rPr>
      <w:b/>
      <w:bCs/>
      <w:smallCaps/>
      <w:color w:val="0F4761" w:themeColor="accent1" w:themeShade="BF"/>
      <w:spacing w:val="5"/>
    </w:rPr>
  </w:style>
  <w:style w:type="character" w:styleId="Hyperlink">
    <w:name w:val="Hyperlink"/>
    <w:basedOn w:val="DefaultParagraphFont"/>
    <w:uiPriority w:val="99"/>
    <w:unhideWhenUsed/>
    <w:rsid w:val="00DD52C6"/>
    <w:rPr>
      <w:color w:val="467886" w:themeColor="hyperlink"/>
      <w:u w:val="single"/>
    </w:rPr>
  </w:style>
  <w:style w:type="character" w:styleId="UnresolvedMention">
    <w:name w:val="Unresolved Mention"/>
    <w:basedOn w:val="DefaultParagraphFont"/>
    <w:uiPriority w:val="99"/>
    <w:semiHidden/>
    <w:unhideWhenUsed/>
    <w:rsid w:val="00DD52C6"/>
    <w:rPr>
      <w:color w:val="605E5C"/>
      <w:shd w:val="clear" w:color="auto" w:fill="E1DFDD"/>
    </w:rPr>
  </w:style>
  <w:style w:type="paragraph" w:styleId="NormalWeb">
    <w:name w:val="Normal (Web)"/>
    <w:basedOn w:val="Normal"/>
    <w:uiPriority w:val="99"/>
    <w:semiHidden/>
    <w:unhideWhenUsed/>
    <w:rsid w:val="00670D8B"/>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philips.com" TargetMode="Externa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theme" Target="theme/theme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ntTable" Target="fontTable.xml" Id="rId11" /><Relationship Type="http://schemas.openxmlformats.org/officeDocument/2006/relationships/styles" Target="styles.xml" Id="rId5" /><Relationship Type="http://schemas.openxmlformats.org/officeDocument/2006/relationships/hyperlink" Target="https://digital.nhs.uk" TargetMode="External" Id="rId10" /><Relationship Type="http://schemas.openxmlformats.org/officeDocument/2006/relationships/numbering" Target="numbering.xml" Id="rId4" /><Relationship Type="http://schemas.openxmlformats.org/officeDocument/2006/relationships/hyperlink" Target="https://www.gov.uk/mhra" TargetMode="External" Id="rId9" /><Relationship Type="http://schemas.openxmlformats.org/officeDocument/2006/relationships/image" Target="/media/image.png" Id="rId297970257"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474d44bba635be5ad61c280a332c15a8">
  <xsd:schema xmlns:xsd="http://www.w3.org/2001/XMLSchema" xmlns:xs="http://www.w3.org/2001/XMLSchema" xmlns:p="http://schemas.microsoft.com/office/2006/metadata/properties" xmlns:ns3="0085e1a2-9cbf-4b92-866b-21f3c89040b6" targetNamespace="http://schemas.microsoft.com/office/2006/metadata/properties" ma:root="true" ma:fieldsID="84e6793fc8441ba7e01bf73fec7c72fe"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7C290B99-55ED-47FF-B8B7-13C6C92E371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3810FEA-8FE6-4070-A9DC-7FF6B3C99726}">
  <ds:schemaRefs>
    <ds:schemaRef ds:uri="http://schemas.microsoft.com/sharepoint/v3/contenttype/forms"/>
  </ds:schemaRefs>
</ds:datastoreItem>
</file>

<file path=customXml/itemProps3.xml><?xml version="1.0" encoding="utf-8"?>
<ds:datastoreItem xmlns:ds="http://schemas.openxmlformats.org/officeDocument/2006/customXml" ds:itemID="{2B23A3C6-BF13-44F4-8DAD-BCC592B8E8A3}">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Muhammad Asif (2414997)</dc:creator>
  <keywords/>
  <dc:description/>
  <lastModifiedBy>Muhammad Asif (2414997)</lastModifiedBy>
  <revision>5</revision>
  <dcterms:created xsi:type="dcterms:W3CDTF">2025-11-04T11:47:00.0000000Z</dcterms:created>
  <dcterms:modified xsi:type="dcterms:W3CDTF">2025-11-10T18:12:27.8948752Z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