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00884920" w:rsidR="00A8455E" w:rsidRDefault="000F4F2C">
      <w:pPr>
        <w:rPr>
          <w:sz w:val="22"/>
          <w:szCs w:val="22"/>
        </w:rPr>
      </w:pPr>
      <w:r w:rsidRPr="0A6E7E19">
        <w:rPr>
          <w:sz w:val="22"/>
          <w:szCs w:val="22"/>
        </w:rPr>
        <w:t>Jorisa Belushi</w:t>
      </w:r>
    </w:p>
    <w:p w14:paraId="4A99935B" w14:textId="3DD9F031" w:rsidR="000F4F2C" w:rsidRDefault="000F4F2C">
      <w:pPr>
        <w:rPr>
          <w:sz w:val="22"/>
          <w:szCs w:val="22"/>
        </w:rPr>
      </w:pPr>
      <w:r w:rsidRPr="0A6E7E19">
        <w:rPr>
          <w:sz w:val="22"/>
          <w:szCs w:val="22"/>
        </w:rPr>
        <w:t>244</w:t>
      </w:r>
      <w:r w:rsidR="0431981B" w:rsidRPr="0A6E7E19">
        <w:rPr>
          <w:sz w:val="22"/>
          <w:szCs w:val="22"/>
        </w:rPr>
        <w:t>0189</w:t>
      </w:r>
    </w:p>
    <w:p w14:paraId="78E4A2C3" w14:textId="2EB06028" w:rsidR="48E831A8" w:rsidRDefault="48E831A8" w:rsidP="15A6C0C3">
      <w:pPr>
        <w:rPr>
          <w:sz w:val="22"/>
          <w:szCs w:val="22"/>
        </w:rPr>
      </w:pPr>
      <w:r w:rsidRPr="15A6C0C3">
        <w:rPr>
          <w:sz w:val="22"/>
          <w:szCs w:val="22"/>
        </w:rPr>
        <w:t>Module code: LCHS4003</w:t>
      </w:r>
    </w:p>
    <w:p w14:paraId="3277C1F7" w14:textId="294694A9" w:rsidR="000F4F2C" w:rsidRDefault="000F4F2C">
      <w:pPr>
        <w:rPr>
          <w:sz w:val="22"/>
          <w:szCs w:val="22"/>
        </w:rPr>
      </w:pPr>
      <w:r w:rsidRPr="0A6E7E19">
        <w:rPr>
          <w:sz w:val="22"/>
          <w:szCs w:val="22"/>
        </w:rPr>
        <w:t xml:space="preserve">Modules name: </w:t>
      </w:r>
      <w:r w:rsidR="5CA10196" w:rsidRPr="3171366B">
        <w:rPr>
          <w:sz w:val="22"/>
          <w:szCs w:val="22"/>
        </w:rPr>
        <w:t xml:space="preserve">Introduction </w:t>
      </w:r>
      <w:r w:rsidR="5CA10196" w:rsidRPr="2C6533CA">
        <w:rPr>
          <w:sz w:val="22"/>
          <w:szCs w:val="22"/>
        </w:rPr>
        <w:t xml:space="preserve">to </w:t>
      </w:r>
      <w:r w:rsidR="5CA10196" w:rsidRPr="354176FB">
        <w:rPr>
          <w:sz w:val="22"/>
          <w:szCs w:val="22"/>
        </w:rPr>
        <w:t xml:space="preserve">Health </w:t>
      </w:r>
      <w:r w:rsidR="5CA10196" w:rsidRPr="4499728A">
        <w:rPr>
          <w:sz w:val="22"/>
          <w:szCs w:val="22"/>
        </w:rPr>
        <w:t xml:space="preserve">and </w:t>
      </w:r>
      <w:r w:rsidR="5CA10196" w:rsidRPr="1EDEF5FE">
        <w:rPr>
          <w:sz w:val="22"/>
          <w:szCs w:val="22"/>
        </w:rPr>
        <w:t>social care</w:t>
      </w:r>
    </w:p>
    <w:p w14:paraId="7A001F55" w14:textId="553968F8" w:rsidR="4FA86B06" w:rsidRDefault="4DA35A1E" w:rsidP="7B8CDA2B">
      <w:pPr>
        <w:rPr>
          <w:sz w:val="22"/>
          <w:szCs w:val="22"/>
        </w:rPr>
      </w:pPr>
      <w:r w:rsidRPr="19CA5ABA">
        <w:rPr>
          <w:sz w:val="22"/>
          <w:szCs w:val="22"/>
        </w:rPr>
        <w:t xml:space="preserve">Lecturer: </w:t>
      </w:r>
      <w:r w:rsidRPr="524D8C84">
        <w:rPr>
          <w:sz w:val="22"/>
          <w:szCs w:val="22"/>
        </w:rPr>
        <w:t xml:space="preserve">Jolly </w:t>
      </w:r>
      <w:r w:rsidRPr="7B8CDA2B">
        <w:rPr>
          <w:sz w:val="22"/>
          <w:szCs w:val="22"/>
        </w:rPr>
        <w:t>Nwankwo</w:t>
      </w:r>
    </w:p>
    <w:p w14:paraId="4CBE9DB3" w14:textId="2941CF21" w:rsidR="4FA86B06" w:rsidRDefault="4FA86B06" w:rsidP="7B8CDA2B">
      <w:pPr>
        <w:rPr>
          <w:sz w:val="22"/>
          <w:szCs w:val="22"/>
        </w:rPr>
      </w:pPr>
    </w:p>
    <w:p w14:paraId="02C015BB" w14:textId="533C0EEB" w:rsidR="4FA86B06" w:rsidRDefault="007909FB">
      <w:pPr>
        <w:rPr>
          <w:sz w:val="22"/>
          <w:szCs w:val="22"/>
        </w:rPr>
      </w:pPr>
      <w:r w:rsidRPr="7B8CDA2B">
        <w:rPr>
          <w:sz w:val="22"/>
          <w:szCs w:val="22"/>
        </w:rPr>
        <w:t>Observing</w:t>
      </w:r>
      <w:r w:rsidRPr="0A6E7E19">
        <w:rPr>
          <w:sz w:val="22"/>
          <w:szCs w:val="22"/>
        </w:rPr>
        <w:t xml:space="preserve"> effective health and social care practice in relation to communication, administration, and multi-agency working is highly beneficial to provide patient-</w:t>
      </w:r>
      <w:r w:rsidR="19E55C19" w:rsidRPr="0A6E7E19">
        <w:rPr>
          <w:sz w:val="22"/>
          <w:szCs w:val="22"/>
        </w:rPr>
        <w:t>centred</w:t>
      </w:r>
      <w:r w:rsidRPr="0A6E7E19">
        <w:rPr>
          <w:sz w:val="22"/>
          <w:szCs w:val="22"/>
        </w:rPr>
        <w:t xml:space="preserve"> care in a safe and legal manner, especially in relation to complex patients. This report will examine the importance of effective communication with patients/user groups, administration skills/privacy protection, as well as multi-agency working. The use of relevant pieces of legislation, in this instance the Equality Act 2010 and the Data Protection Act 2018, will be focused upon to illustrate good practice in health and social care in relation to the chosen case study of Mrs. Mann, a 72-year-old patient freshly discharged from hip replacement surgery. Other factors affecting Mrs. Mann include her limited understanding of English, dependence on domiciliary care provisions, and the influence of several professionals involved in her care. The possible dangers linked to some pieces of poor practice in relation to care provision in connection with communication failure constitute yet another concern in this case study.</w:t>
      </w:r>
    </w:p>
    <w:p w14:paraId="4F198505" w14:textId="1CA9B602" w:rsidR="522EAA84" w:rsidRDefault="008B0B7F" w:rsidP="7B784B0A">
      <w:pPr>
        <w:rPr>
          <w:sz w:val="22"/>
          <w:szCs w:val="22"/>
        </w:rPr>
      </w:pPr>
      <w:r w:rsidRPr="0A6E7E19">
        <w:rPr>
          <w:sz w:val="22"/>
          <w:szCs w:val="22"/>
        </w:rPr>
        <w:t>Communication is a basic aspect of ensuring that care is both safe and person-</w:t>
      </w:r>
      <w:r w:rsidR="6FE30920" w:rsidRPr="0A6E7E19">
        <w:rPr>
          <w:sz w:val="22"/>
          <w:szCs w:val="22"/>
        </w:rPr>
        <w:t>centred</w:t>
      </w:r>
      <w:r w:rsidRPr="0A6E7E19">
        <w:rPr>
          <w:sz w:val="22"/>
          <w:szCs w:val="22"/>
        </w:rPr>
        <w:t>, particularly in a complex case like Mrs. Mann’s. In Mrs. Mann’s case, since Urdu is her primary language and her command of English is limited, there are major risks of misunderstanding regarding care information, medication adjustments, and rehabilitation plans. Communication challenges may cause reduced independence, medication administration mistakes, and heightened concerns regarding safeguarding issues (Arnold &amp; Boggs, 2020).</w:t>
      </w:r>
    </w:p>
    <w:p w14:paraId="48C92E49" w14:textId="71548001" w:rsidR="522EAA84" w:rsidRDefault="008B0B7F" w:rsidP="522EAA84">
      <w:pPr>
        <w:rPr>
          <w:sz w:val="22"/>
          <w:szCs w:val="22"/>
        </w:rPr>
      </w:pPr>
      <w:r w:rsidRPr="0A6E7E19">
        <w:rPr>
          <w:sz w:val="22"/>
          <w:szCs w:val="22"/>
        </w:rPr>
        <w:t>The Equality Act 2010 recogni</w:t>
      </w:r>
      <w:r w:rsidR="6888F430" w:rsidRPr="0A6E7E19">
        <w:rPr>
          <w:sz w:val="22"/>
          <w:szCs w:val="22"/>
        </w:rPr>
        <w:t>s</w:t>
      </w:r>
      <w:r w:rsidRPr="0A6E7E19">
        <w:rPr>
          <w:sz w:val="22"/>
          <w:szCs w:val="22"/>
        </w:rPr>
        <w:t xml:space="preserve">es a clear duty on health and social care providers to implement reasonable adjustments to eliminate any form of discrimination against individuals who exhibit protected characteristics, which include age, race, and others (UK Government, 2010). Mrs. Mann, as a recipient, should, therefore, benefit from access to appropriate interpretation as a reasonable adjustment, as she should not solely depend on interpretation by her daughter. Professional interpreters are, however, needed to ensure that confidentiality, accuracy, and informed consent are upheld (NHS England, 2021). Written communication in Urdu, to which Mrs. Mann belongs, will also help improve understanding, apart from visual </w:t>
      </w:r>
      <w:r w:rsidR="30DC5EC1" w:rsidRPr="0A6E7E19">
        <w:rPr>
          <w:sz w:val="22"/>
          <w:szCs w:val="22"/>
        </w:rPr>
        <w:t>aids.</w:t>
      </w:r>
    </w:p>
    <w:p w14:paraId="54F5159E" w14:textId="30E935D4" w:rsidR="00D72154" w:rsidRPr="00D72154" w:rsidRDefault="00D72154" w:rsidP="00D72154">
      <w:pPr>
        <w:rPr>
          <w:sz w:val="22"/>
          <w:szCs w:val="22"/>
        </w:rPr>
      </w:pPr>
      <w:r w:rsidRPr="0A6E7E19">
        <w:rPr>
          <w:sz w:val="22"/>
          <w:szCs w:val="22"/>
        </w:rPr>
        <w:t>Family members should not be forgotten when it comes to communication either. The daughter of the patient plays a significant part in the facilitation of communication and decision-making. More importantly, the involvement of the professionals needs to ensure that the perspectives of the patient, Mrs Mann, are put at the forefront, following the ideals of person-</w:t>
      </w:r>
      <w:r w:rsidR="3BBA31A1" w:rsidRPr="0A6E7E19">
        <w:rPr>
          <w:sz w:val="22"/>
          <w:szCs w:val="22"/>
        </w:rPr>
        <w:t>centred</w:t>
      </w:r>
      <w:r w:rsidRPr="0A6E7E19">
        <w:rPr>
          <w:sz w:val="22"/>
          <w:szCs w:val="22"/>
        </w:rPr>
        <w:t xml:space="preserve"> care (McCormack and McCance, 2017).</w:t>
      </w:r>
    </w:p>
    <w:p w14:paraId="594B229E" w14:textId="77777777" w:rsidR="00D72154" w:rsidRPr="00D72154" w:rsidRDefault="00D72154" w:rsidP="00D72154">
      <w:pPr>
        <w:rPr>
          <w:sz w:val="22"/>
          <w:szCs w:val="22"/>
        </w:rPr>
      </w:pPr>
    </w:p>
    <w:p w14:paraId="43579C6B" w14:textId="348D8CB4" w:rsidR="0EBAE0F4" w:rsidRDefault="00D72154" w:rsidP="0EBAE0F4">
      <w:pPr>
        <w:rPr>
          <w:sz w:val="22"/>
          <w:szCs w:val="22"/>
        </w:rPr>
      </w:pPr>
      <w:r w:rsidRPr="0A6E7E19">
        <w:rPr>
          <w:sz w:val="22"/>
          <w:szCs w:val="22"/>
        </w:rPr>
        <w:t>Another model that could be used in this situation is the Transactional Model of Communication. This model focuses on interaction, feedback, and barriers to communication. According to Steinberg (2007), “The transactional model sees interaction, feedback, and barriers to communication as key to understanding processes and principles of interaction.” In Mrs. Mann’s care, this model illustrates that it is essential to check understanding, answer questions, and tailor communication. For instance, it is essential to check Mrs. Mann’s understanding in care rather than just assuming.</w:t>
      </w:r>
    </w:p>
    <w:p w14:paraId="0BBE1494" w14:textId="68CB8DFC" w:rsidR="0BB4B942" w:rsidRDefault="00D72154" w:rsidP="0BB4B942">
      <w:pPr>
        <w:rPr>
          <w:sz w:val="22"/>
          <w:szCs w:val="22"/>
        </w:rPr>
      </w:pPr>
      <w:r w:rsidRPr="0A6E7E19">
        <w:rPr>
          <w:sz w:val="22"/>
          <w:szCs w:val="22"/>
        </w:rPr>
        <w:t>The slow adjustment of medication in the case study illustrates the danger of poor communication between professionals. A smooth flow of communication is vital to avoid misunderstandings in healthcare. Generally, good communication helps with the promotion of safety, dignity, equality, and a positive healthcare outcome, even in healthcare users who are in need, such as Mrs. Mann in the case study.</w:t>
      </w:r>
    </w:p>
    <w:p w14:paraId="149394E6" w14:textId="37FA82E2" w:rsidR="00491A37" w:rsidRPr="00491A37" w:rsidRDefault="00491A37" w:rsidP="00491A37">
      <w:pPr>
        <w:rPr>
          <w:sz w:val="22"/>
          <w:szCs w:val="22"/>
        </w:rPr>
      </w:pPr>
      <w:r w:rsidRPr="0A6E7E19">
        <w:rPr>
          <w:sz w:val="22"/>
          <w:szCs w:val="22"/>
        </w:rPr>
        <w:t>This is an essential part of professional health and social care practice, which promotes continuity, accountability, and the health and well-being of clients. However, in the scenario of Mrs. Mann, the lack of some professionals in relation to documenting and communicating with respect to consistent and delayed changes in patient medication raises concerns.</w:t>
      </w:r>
    </w:p>
    <w:p w14:paraId="046DCF4E" w14:textId="76DD55F0" w:rsidR="00491A37" w:rsidRPr="00491A37" w:rsidRDefault="00491A37" w:rsidP="00491A37">
      <w:pPr>
        <w:rPr>
          <w:sz w:val="22"/>
          <w:szCs w:val="22"/>
        </w:rPr>
      </w:pPr>
      <w:r w:rsidRPr="0A6E7E19">
        <w:rPr>
          <w:sz w:val="22"/>
          <w:szCs w:val="22"/>
        </w:rPr>
        <w:t xml:space="preserve">It ensures that all those that are involved within the individual’s care </w:t>
      </w:r>
      <w:r w:rsidR="3BFE87D6" w:rsidRPr="4839DE12">
        <w:rPr>
          <w:sz w:val="22"/>
          <w:szCs w:val="22"/>
        </w:rPr>
        <w:t>can</w:t>
      </w:r>
      <w:r w:rsidRPr="0A6E7E19">
        <w:rPr>
          <w:sz w:val="22"/>
          <w:szCs w:val="22"/>
        </w:rPr>
        <w:t xml:space="preserve"> access the information. Among those that should be gathered within an individual’s file are changes that occurred within the individual’s medicines, physiotherapy, mobility, and risks to which the individual is exposed. According to Care Quality Commission, an indicator that a service providing care was safe and well-led is when recording is done accurately (Care Quality Commission, 2023). There are disparities that are likely to arise if recording is done erratically.</w:t>
      </w:r>
    </w:p>
    <w:p w14:paraId="0F6B33BD" w14:textId="7D753803" w:rsidR="00491A37" w:rsidRPr="00491A37" w:rsidRDefault="00491A37" w:rsidP="00491A37">
      <w:pPr>
        <w:rPr>
          <w:sz w:val="22"/>
          <w:szCs w:val="22"/>
        </w:rPr>
      </w:pPr>
      <w:r w:rsidRPr="0A6E7E19">
        <w:rPr>
          <w:sz w:val="22"/>
          <w:szCs w:val="22"/>
        </w:rPr>
        <w:t xml:space="preserve">The Data Protection Act of 2018 and the General Data Protection Regulation of the United Kingdom (U.K. GDPR) provide the framework under which the data </w:t>
      </w:r>
      <w:r w:rsidR="745FBC42" w:rsidRPr="0A6E7E19">
        <w:rPr>
          <w:sz w:val="22"/>
          <w:szCs w:val="22"/>
        </w:rPr>
        <w:t>must</w:t>
      </w:r>
      <w:r w:rsidRPr="0A6E7E19">
        <w:rPr>
          <w:sz w:val="22"/>
          <w:szCs w:val="22"/>
        </w:rPr>
        <w:t xml:space="preserve"> operate. It recommends that the data should be handled lawfully, stored in confidence, and shared based on the need-to-know basis (ICO, 2018). For the patient of Mrs. Mann, the transfer of data from the GP practice to the physiotherapist and the domiciliary staff </w:t>
      </w:r>
      <w:r w:rsidR="4BD97227" w:rsidRPr="0A6E7E19">
        <w:rPr>
          <w:sz w:val="22"/>
          <w:szCs w:val="22"/>
        </w:rPr>
        <w:t>must</w:t>
      </w:r>
      <w:r w:rsidRPr="0A6E7E19">
        <w:rPr>
          <w:sz w:val="22"/>
          <w:szCs w:val="22"/>
        </w:rPr>
        <w:t xml:space="preserve"> operate within the above criteria.</w:t>
      </w:r>
    </w:p>
    <w:p w14:paraId="5B4AD96C" w14:textId="069DF221" w:rsidR="00491A37" w:rsidRPr="00491A37" w:rsidRDefault="00491A37" w:rsidP="00491A37">
      <w:pPr>
        <w:rPr>
          <w:sz w:val="22"/>
          <w:szCs w:val="22"/>
        </w:rPr>
      </w:pPr>
      <w:r w:rsidRPr="0A6E7E19">
        <w:rPr>
          <w:sz w:val="22"/>
          <w:szCs w:val="22"/>
        </w:rPr>
        <w:t>Confidentiality is even more important when there are other members within the family. Although the presence of the wife in Mrs. Mann's situation is very supportive in facilitating good communication, it is important to be clear on the nature of the information being shared. Poor management of data could lead to the breach of confidentiality or trust (Dimond, 2022).</w:t>
      </w:r>
    </w:p>
    <w:p w14:paraId="5808FD10" w14:textId="1E5DA3FD" w:rsidR="004E5213" w:rsidRDefault="00491A37" w:rsidP="522EAA84">
      <w:pPr>
        <w:rPr>
          <w:sz w:val="22"/>
          <w:szCs w:val="22"/>
        </w:rPr>
      </w:pPr>
      <w:r w:rsidRPr="0A6E7E19">
        <w:rPr>
          <w:sz w:val="22"/>
          <w:szCs w:val="22"/>
        </w:rPr>
        <w:t>The utili</w:t>
      </w:r>
      <w:r w:rsidR="0D344E0A" w:rsidRPr="0A6E7E19">
        <w:rPr>
          <w:sz w:val="22"/>
          <w:szCs w:val="22"/>
        </w:rPr>
        <w:t>s</w:t>
      </w:r>
      <w:r w:rsidRPr="0A6E7E19">
        <w:rPr>
          <w:sz w:val="22"/>
          <w:szCs w:val="22"/>
        </w:rPr>
        <w:t>ation of administrative systems such as</w:t>
      </w:r>
      <w:r w:rsidR="2F9B3FCD" w:rsidRPr="0A6E7E19">
        <w:rPr>
          <w:sz w:val="22"/>
          <w:szCs w:val="22"/>
        </w:rPr>
        <w:t xml:space="preserve"> e</w:t>
      </w:r>
      <w:r w:rsidRPr="0A6E7E19">
        <w:rPr>
          <w:sz w:val="22"/>
          <w:szCs w:val="22"/>
        </w:rPr>
        <w:t>lectronic care records, medication charts, and handover systems ensures patient safety provided it is utilized appropriately. The application of policies such as: Information governance policies, record-keeping policies, and incident reporting policies ensures a systematic approach for the personnel to respond accordingly. The internal review system mentioned in the case study reflects the significance of learning from mistakes through reflective practices and quality improvement processes. Sound administration is a precursor of professionalism, compliance, and quality patient care. In the scenario of Mrs. Mann's healthcare, improved documentation and flow of information would reduce the risks and ensure efficient quality care.</w:t>
      </w:r>
    </w:p>
    <w:p w14:paraId="2017541A" w14:textId="7CC4F567" w:rsidR="004E5213" w:rsidRPr="004E5213" w:rsidRDefault="004E5213" w:rsidP="004E5213">
      <w:pPr>
        <w:rPr>
          <w:sz w:val="22"/>
          <w:szCs w:val="22"/>
        </w:rPr>
      </w:pPr>
      <w:r w:rsidRPr="0A6E7E19">
        <w:rPr>
          <w:sz w:val="22"/>
          <w:szCs w:val="22"/>
        </w:rPr>
        <w:t>Collaboration between different professional groups is an effective way of working for meeting the complex needs of service users, including the kind of needs Mrs. Mann has. In her case, different professionals are involved in taking care of her health issues, such as the home care workers, the GP, and the physiotherapist from the community physiotherapists’ service.</w:t>
      </w:r>
    </w:p>
    <w:p w14:paraId="7E61584D" w14:textId="45699B82" w:rsidR="004E5213" w:rsidRPr="004E5213" w:rsidRDefault="004E5213" w:rsidP="004E5213">
      <w:pPr>
        <w:rPr>
          <w:sz w:val="22"/>
          <w:szCs w:val="22"/>
        </w:rPr>
      </w:pPr>
      <w:r w:rsidRPr="0A6E7E19">
        <w:rPr>
          <w:sz w:val="22"/>
          <w:szCs w:val="22"/>
        </w:rPr>
        <w:t xml:space="preserve">To encourage collaboration, there are </w:t>
      </w:r>
      <w:r w:rsidR="4E58E1A7" w:rsidRPr="0896DD18">
        <w:rPr>
          <w:sz w:val="22"/>
          <w:szCs w:val="22"/>
        </w:rPr>
        <w:t>several</w:t>
      </w:r>
      <w:r w:rsidRPr="0A6E7E19">
        <w:rPr>
          <w:sz w:val="22"/>
          <w:szCs w:val="22"/>
        </w:rPr>
        <w:t xml:space="preserve"> strategies that should be adopted. These strategies include organizing multidisciplinary team (MDT) sessions, joint care plans, and role clarification. Within these MDT sessions, it would enable professionals to exchange any information they may have about Mrs. Mann's condition, share their concerns, and come to a consensus on some of the actual tasks required, which may relate to changes in medication or changes in any programs involving rehab. Document systems also play an important role.</w:t>
      </w:r>
    </w:p>
    <w:p w14:paraId="547BB126" w14:textId="6C7E28C3" w:rsidR="004E5213" w:rsidRPr="004E5213" w:rsidRDefault="004E5213" w:rsidP="004E5213">
      <w:pPr>
        <w:rPr>
          <w:sz w:val="22"/>
          <w:szCs w:val="22"/>
        </w:rPr>
      </w:pPr>
      <w:r w:rsidRPr="0A6E7E19">
        <w:rPr>
          <w:sz w:val="22"/>
          <w:szCs w:val="22"/>
        </w:rPr>
        <w:t>Nevertheless, the implementation of multi-agency working can pose certain difficulties. These might include, in this case, the elements of communication, boundaries, or priorities. In the context of the treatment of Mrs. Mann, the missed point of altering the prescribed medication, in fact, emphasizes the point that the deficiency in the level of inter-professional communication needs to be addressed. Escalation procedures or the best strategies might thus be established.</w:t>
      </w:r>
    </w:p>
    <w:p w14:paraId="3C0050E1" w14:textId="2847F02C" w:rsidR="004E5213" w:rsidRDefault="004E5213" w:rsidP="522EAA84">
      <w:pPr>
        <w:rPr>
          <w:sz w:val="22"/>
          <w:szCs w:val="22"/>
        </w:rPr>
      </w:pPr>
      <w:r w:rsidRPr="0A6E7E19">
        <w:rPr>
          <w:sz w:val="22"/>
          <w:szCs w:val="22"/>
        </w:rPr>
        <w:t>Mutual respect and understanding of the role of each professional can also be beneficial in collaboration. For example, observation of care workers such as Mrs. Mann’s level of mobility or pain level observation has proved to be of immense worth. This again needs proper communication to health professionals. The rationale behind collaborative working is that it ultimately promotes holistic care.</w:t>
      </w:r>
    </w:p>
    <w:p w14:paraId="64D89384" w14:textId="5221E6EB" w:rsidR="0C30E490" w:rsidRDefault="00232E8A">
      <w:pPr>
        <w:rPr>
          <w:sz w:val="22"/>
          <w:szCs w:val="22"/>
        </w:rPr>
      </w:pPr>
      <w:r w:rsidRPr="6BE8C20E">
        <w:rPr>
          <w:sz w:val="22"/>
          <w:szCs w:val="22"/>
        </w:rPr>
        <w:t>In summary, safe and person-centred health and social care is ensured if the principles of communication, good administrative practice, and collaborative working are followed. In Mrs. Mann's scenario, the importance of communication difficulties, administration failures, and inter-professional difficulties is depicted. Application of the principles of Equality Act 2010 will not only ensure that the language and cultural needs of Mrs. Mann are met but also the Data Protection Act 2018 guarantees confidentiality of information and allows lawful sharing of information. Besides, good administrative practice reduces the chances of administration failures. Additionally, multi-agency collaborative working allows the professionals to approach Mrs. Mann's needs from a holistic approach, viewing physical, emotional, and social needs.</w:t>
      </w:r>
    </w:p>
    <w:p w14:paraId="2B00BB23" w14:textId="322FDFCC" w:rsidR="216B54BF" w:rsidRDefault="216B54BF" w:rsidP="216B54BF">
      <w:pPr>
        <w:rPr>
          <w:sz w:val="22"/>
          <w:szCs w:val="22"/>
        </w:rPr>
      </w:pPr>
    </w:p>
    <w:p w14:paraId="3C71EAB8" w14:textId="63CA1A03" w:rsidR="34D59DC5" w:rsidRDefault="34D59DC5" w:rsidP="34D59DC5">
      <w:pPr>
        <w:rPr>
          <w:sz w:val="22"/>
          <w:szCs w:val="22"/>
        </w:rPr>
      </w:pPr>
    </w:p>
    <w:p w14:paraId="2B4B6B2C" w14:textId="41D019F6" w:rsidR="34D59DC5" w:rsidRDefault="34D59DC5" w:rsidP="34D59DC5">
      <w:pPr>
        <w:rPr>
          <w:sz w:val="22"/>
          <w:szCs w:val="22"/>
        </w:rPr>
      </w:pPr>
    </w:p>
    <w:p w14:paraId="0C5D556B" w14:textId="5B8E483D" w:rsidR="34D59DC5" w:rsidRDefault="34D59DC5" w:rsidP="34D59DC5">
      <w:pPr>
        <w:rPr>
          <w:sz w:val="22"/>
          <w:szCs w:val="22"/>
        </w:rPr>
      </w:pPr>
    </w:p>
    <w:p w14:paraId="706599FF" w14:textId="50AA7D98" w:rsidR="34D59DC5" w:rsidRDefault="34D59DC5" w:rsidP="34D59DC5">
      <w:pPr>
        <w:rPr>
          <w:sz w:val="22"/>
          <w:szCs w:val="22"/>
        </w:rPr>
      </w:pPr>
    </w:p>
    <w:p w14:paraId="0ED22BCC" w14:textId="5CB5016A" w:rsidR="34D59DC5" w:rsidRDefault="34D59DC5" w:rsidP="34D59DC5">
      <w:pPr>
        <w:rPr>
          <w:sz w:val="22"/>
          <w:szCs w:val="22"/>
        </w:rPr>
      </w:pPr>
    </w:p>
    <w:p w14:paraId="6CCA4DA1" w14:textId="04F48A31" w:rsidR="4FA86B06" w:rsidRDefault="23E7F5B3" w:rsidP="1A830C3D">
      <w:pPr>
        <w:rPr>
          <w:sz w:val="22"/>
          <w:szCs w:val="22"/>
        </w:rPr>
      </w:pPr>
      <w:r w:rsidRPr="331D3104">
        <w:rPr>
          <w:sz w:val="22"/>
          <w:szCs w:val="22"/>
        </w:rPr>
        <w:t xml:space="preserve">Referencing: </w:t>
      </w:r>
    </w:p>
    <w:p w14:paraId="0AE5ED34" w14:textId="77777777" w:rsidR="003B6B82" w:rsidRDefault="003B6B82">
      <w:pPr>
        <w:pStyle w:val="p1"/>
        <w:rPr>
          <w:rStyle w:val="s1"/>
          <w:rFonts w:asciiTheme="minorHAnsi" w:hAnsiTheme="minorHAnsi" w:cstheme="minorBidi"/>
          <w:b w:val="0"/>
          <w:bCs w:val="0"/>
          <w:sz w:val="22"/>
          <w:szCs w:val="22"/>
        </w:rPr>
      </w:pPr>
      <w:r w:rsidRPr="03AC7A04">
        <w:rPr>
          <w:rStyle w:val="s1"/>
          <w:rFonts w:asciiTheme="minorHAnsi" w:hAnsiTheme="minorHAnsi" w:cstheme="minorBidi"/>
          <w:b w:val="0"/>
          <w:bCs w:val="0"/>
          <w:sz w:val="22"/>
          <w:szCs w:val="22"/>
        </w:rPr>
        <w:t xml:space="preserve">Arnold, E.C. and Boggs, K.U. (2020) </w:t>
      </w:r>
      <w:r w:rsidRPr="03AC7A04">
        <w:rPr>
          <w:rStyle w:val="s2"/>
          <w:rFonts w:asciiTheme="minorHAnsi" w:hAnsiTheme="minorHAnsi" w:cstheme="minorBidi"/>
          <w:b w:val="0"/>
          <w:bCs w:val="0"/>
          <w:sz w:val="22"/>
          <w:szCs w:val="22"/>
        </w:rPr>
        <w:t>Interpersonal Relationships: Professional Communication Skills for Nurses</w:t>
      </w:r>
      <w:r w:rsidRPr="03AC7A04">
        <w:rPr>
          <w:rStyle w:val="s1"/>
          <w:rFonts w:asciiTheme="minorHAnsi" w:hAnsiTheme="minorHAnsi" w:cstheme="minorBidi"/>
          <w:b w:val="0"/>
          <w:bCs w:val="0"/>
          <w:sz w:val="22"/>
          <w:szCs w:val="22"/>
        </w:rPr>
        <w:t>. 8th edn. St. Louis: Elsevier.</w:t>
      </w:r>
    </w:p>
    <w:p w14:paraId="31C9A18F" w14:textId="77777777" w:rsidR="003B6B82" w:rsidRDefault="003B6B82">
      <w:pPr>
        <w:pStyle w:val="p2"/>
        <w:rPr>
          <w:rFonts w:asciiTheme="minorHAnsi" w:hAnsiTheme="minorHAnsi" w:cstheme="minorBidi"/>
          <w:sz w:val="22"/>
          <w:szCs w:val="22"/>
        </w:rPr>
      </w:pPr>
    </w:p>
    <w:p w14:paraId="1F47B13C" w14:textId="77777777" w:rsidR="003B6B82" w:rsidRDefault="003B6B82">
      <w:pPr>
        <w:pStyle w:val="p3"/>
        <w:rPr>
          <w:rStyle w:val="s1"/>
          <w:rFonts w:asciiTheme="minorHAnsi" w:hAnsiTheme="minorHAnsi" w:cstheme="minorBidi"/>
          <w:b w:val="0"/>
          <w:bCs w:val="0"/>
          <w:sz w:val="22"/>
          <w:szCs w:val="22"/>
        </w:rPr>
      </w:pPr>
      <w:r w:rsidRPr="03AC7A04">
        <w:rPr>
          <w:rStyle w:val="s1"/>
          <w:rFonts w:asciiTheme="minorHAnsi" w:hAnsiTheme="minorHAnsi" w:cstheme="minorBidi"/>
          <w:b w:val="0"/>
          <w:bCs w:val="0"/>
          <w:sz w:val="22"/>
          <w:szCs w:val="22"/>
        </w:rPr>
        <w:t xml:space="preserve">Care Quality Commission (CQC) (2023) </w:t>
      </w:r>
      <w:r w:rsidRPr="03AC7A04">
        <w:rPr>
          <w:rStyle w:val="s2"/>
          <w:rFonts w:asciiTheme="minorHAnsi" w:hAnsiTheme="minorHAnsi" w:cstheme="minorBidi"/>
          <w:b w:val="0"/>
          <w:bCs w:val="0"/>
          <w:sz w:val="22"/>
          <w:szCs w:val="22"/>
        </w:rPr>
        <w:t>Regulation and inspection of adult social care</w:t>
      </w:r>
      <w:r w:rsidRPr="03AC7A04">
        <w:rPr>
          <w:rStyle w:val="s1"/>
          <w:rFonts w:asciiTheme="minorHAnsi" w:hAnsiTheme="minorHAnsi" w:cstheme="minorBidi"/>
          <w:b w:val="0"/>
          <w:bCs w:val="0"/>
          <w:sz w:val="22"/>
          <w:szCs w:val="22"/>
        </w:rPr>
        <w:t>. London: CQC.</w:t>
      </w:r>
    </w:p>
    <w:p w14:paraId="1C670CD0" w14:textId="77777777" w:rsidR="003B6B82" w:rsidRDefault="003B6B82">
      <w:pPr>
        <w:pStyle w:val="p2"/>
        <w:rPr>
          <w:rFonts w:asciiTheme="minorHAnsi" w:hAnsiTheme="minorHAnsi" w:cstheme="minorBidi"/>
          <w:sz w:val="22"/>
          <w:szCs w:val="22"/>
        </w:rPr>
      </w:pPr>
    </w:p>
    <w:p w14:paraId="38633C03" w14:textId="77777777" w:rsidR="003B6B82" w:rsidRDefault="003B6B82">
      <w:pPr>
        <w:pStyle w:val="p3"/>
        <w:rPr>
          <w:rStyle w:val="s1"/>
          <w:rFonts w:asciiTheme="minorHAnsi" w:hAnsiTheme="minorHAnsi" w:cstheme="minorBidi"/>
          <w:b w:val="0"/>
          <w:bCs w:val="0"/>
          <w:sz w:val="22"/>
          <w:szCs w:val="22"/>
        </w:rPr>
      </w:pPr>
      <w:r w:rsidRPr="03AC7A04">
        <w:rPr>
          <w:rStyle w:val="s1"/>
          <w:rFonts w:asciiTheme="minorHAnsi" w:hAnsiTheme="minorHAnsi" w:cstheme="minorBidi"/>
          <w:b w:val="0"/>
          <w:bCs w:val="0"/>
          <w:sz w:val="22"/>
          <w:szCs w:val="22"/>
        </w:rPr>
        <w:t xml:space="preserve">Dimond, B. (2022) </w:t>
      </w:r>
      <w:r w:rsidRPr="03AC7A04">
        <w:rPr>
          <w:rStyle w:val="s2"/>
          <w:rFonts w:asciiTheme="minorHAnsi" w:hAnsiTheme="minorHAnsi" w:cstheme="minorBidi"/>
          <w:b w:val="0"/>
          <w:bCs w:val="0"/>
          <w:sz w:val="22"/>
          <w:szCs w:val="22"/>
        </w:rPr>
        <w:t>Legal Aspects of Nursing</w:t>
      </w:r>
      <w:r w:rsidRPr="03AC7A04">
        <w:rPr>
          <w:rStyle w:val="s1"/>
          <w:rFonts w:asciiTheme="minorHAnsi" w:hAnsiTheme="minorHAnsi" w:cstheme="minorBidi"/>
          <w:b w:val="0"/>
          <w:bCs w:val="0"/>
          <w:sz w:val="22"/>
          <w:szCs w:val="22"/>
        </w:rPr>
        <w:t>. 8th edn. Harlow: Pearson.</w:t>
      </w:r>
    </w:p>
    <w:p w14:paraId="52021E9F" w14:textId="77777777" w:rsidR="003B6B82" w:rsidRDefault="003B6B82">
      <w:pPr>
        <w:pStyle w:val="p2"/>
        <w:rPr>
          <w:rFonts w:asciiTheme="minorHAnsi" w:hAnsiTheme="minorHAnsi" w:cstheme="minorBidi"/>
          <w:sz w:val="22"/>
          <w:szCs w:val="22"/>
        </w:rPr>
      </w:pPr>
    </w:p>
    <w:p w14:paraId="365DAA4E" w14:textId="77777777" w:rsidR="003B6B82" w:rsidRDefault="003B6B82">
      <w:pPr>
        <w:pStyle w:val="p3"/>
        <w:rPr>
          <w:rStyle w:val="s1"/>
          <w:rFonts w:asciiTheme="minorHAnsi" w:hAnsiTheme="minorHAnsi" w:cstheme="minorBidi"/>
          <w:b w:val="0"/>
          <w:bCs w:val="0"/>
          <w:sz w:val="22"/>
          <w:szCs w:val="22"/>
        </w:rPr>
      </w:pPr>
      <w:r w:rsidRPr="03AC7A04">
        <w:rPr>
          <w:rStyle w:val="s1"/>
          <w:rFonts w:asciiTheme="minorHAnsi" w:hAnsiTheme="minorHAnsi" w:cstheme="minorBidi"/>
          <w:b w:val="0"/>
          <w:bCs w:val="0"/>
          <w:sz w:val="22"/>
          <w:szCs w:val="22"/>
        </w:rPr>
        <w:t xml:space="preserve">Glasby, J. and Dickinson, H. (2014) </w:t>
      </w:r>
      <w:r w:rsidRPr="03AC7A04">
        <w:rPr>
          <w:rStyle w:val="s2"/>
          <w:rFonts w:asciiTheme="minorHAnsi" w:hAnsiTheme="minorHAnsi" w:cstheme="minorBidi"/>
          <w:b w:val="0"/>
          <w:bCs w:val="0"/>
          <w:sz w:val="22"/>
          <w:szCs w:val="22"/>
        </w:rPr>
        <w:t>Partnership Working in Health and Social Care</w:t>
      </w:r>
      <w:r w:rsidRPr="03AC7A04">
        <w:rPr>
          <w:rStyle w:val="s1"/>
          <w:rFonts w:asciiTheme="minorHAnsi" w:hAnsiTheme="minorHAnsi" w:cstheme="minorBidi"/>
          <w:b w:val="0"/>
          <w:bCs w:val="0"/>
          <w:sz w:val="22"/>
          <w:szCs w:val="22"/>
        </w:rPr>
        <w:t>. 2nd edn. Bristol: Policy Press.</w:t>
      </w:r>
    </w:p>
    <w:p w14:paraId="425B456E" w14:textId="77777777" w:rsidR="003B6B82" w:rsidRDefault="003B6B82">
      <w:pPr>
        <w:pStyle w:val="p2"/>
        <w:rPr>
          <w:rFonts w:asciiTheme="minorHAnsi" w:hAnsiTheme="minorHAnsi" w:cstheme="minorBidi"/>
          <w:sz w:val="22"/>
          <w:szCs w:val="22"/>
        </w:rPr>
      </w:pPr>
    </w:p>
    <w:p w14:paraId="428377A9" w14:textId="77777777" w:rsidR="003B6B82" w:rsidRDefault="003B6B82">
      <w:pPr>
        <w:pStyle w:val="p1"/>
        <w:rPr>
          <w:rStyle w:val="s1"/>
          <w:rFonts w:asciiTheme="minorHAnsi" w:hAnsiTheme="minorHAnsi" w:cstheme="minorBidi"/>
          <w:b w:val="0"/>
          <w:bCs w:val="0"/>
          <w:sz w:val="22"/>
          <w:szCs w:val="22"/>
        </w:rPr>
      </w:pPr>
      <w:r w:rsidRPr="03AC7A04">
        <w:rPr>
          <w:rStyle w:val="s1"/>
          <w:rFonts w:asciiTheme="minorHAnsi" w:hAnsiTheme="minorHAnsi" w:cstheme="minorBidi"/>
          <w:b w:val="0"/>
          <w:bCs w:val="0"/>
          <w:sz w:val="22"/>
          <w:szCs w:val="22"/>
        </w:rPr>
        <w:t xml:space="preserve">Hall, P. (2005) ‘Interprofessional teamwork: Professional cultures as barriers’, </w:t>
      </w:r>
      <w:r w:rsidRPr="03AC7A04">
        <w:rPr>
          <w:rStyle w:val="s2"/>
          <w:rFonts w:asciiTheme="minorHAnsi" w:hAnsiTheme="minorHAnsi" w:cstheme="minorBidi"/>
          <w:b w:val="0"/>
          <w:bCs w:val="0"/>
          <w:sz w:val="22"/>
          <w:szCs w:val="22"/>
        </w:rPr>
        <w:t>Journal of Interprofessional Care</w:t>
      </w:r>
      <w:r w:rsidRPr="03AC7A04">
        <w:rPr>
          <w:rStyle w:val="s1"/>
          <w:rFonts w:asciiTheme="minorHAnsi" w:hAnsiTheme="minorHAnsi" w:cstheme="minorBidi"/>
          <w:b w:val="0"/>
          <w:bCs w:val="0"/>
          <w:sz w:val="22"/>
          <w:szCs w:val="22"/>
        </w:rPr>
        <w:t>, 19(1), pp. 188–196.</w:t>
      </w:r>
    </w:p>
    <w:p w14:paraId="48925B0C" w14:textId="77777777" w:rsidR="003B6B82" w:rsidRDefault="003B6B82">
      <w:pPr>
        <w:pStyle w:val="p2"/>
        <w:rPr>
          <w:rFonts w:asciiTheme="minorHAnsi" w:hAnsiTheme="minorHAnsi" w:cstheme="minorBidi"/>
          <w:sz w:val="22"/>
          <w:szCs w:val="22"/>
        </w:rPr>
      </w:pPr>
    </w:p>
    <w:p w14:paraId="31BBAE3B" w14:textId="77777777" w:rsidR="003B6B82" w:rsidRDefault="003B6B82">
      <w:pPr>
        <w:pStyle w:val="p3"/>
        <w:rPr>
          <w:rStyle w:val="s1"/>
          <w:rFonts w:asciiTheme="minorHAnsi" w:hAnsiTheme="minorHAnsi" w:cstheme="minorBidi"/>
          <w:b w:val="0"/>
          <w:bCs w:val="0"/>
          <w:sz w:val="22"/>
          <w:szCs w:val="22"/>
        </w:rPr>
      </w:pPr>
      <w:r w:rsidRPr="03AC7A04">
        <w:rPr>
          <w:rStyle w:val="s1"/>
          <w:rFonts w:asciiTheme="minorHAnsi" w:hAnsiTheme="minorHAnsi" w:cstheme="minorBidi"/>
          <w:b w:val="0"/>
          <w:bCs w:val="0"/>
          <w:sz w:val="22"/>
          <w:szCs w:val="22"/>
        </w:rPr>
        <w:t xml:space="preserve">Information Commissioner’s Office (ICO) (2018) </w:t>
      </w:r>
      <w:r w:rsidRPr="03AC7A04">
        <w:rPr>
          <w:rStyle w:val="s2"/>
          <w:rFonts w:asciiTheme="minorHAnsi" w:hAnsiTheme="minorHAnsi" w:cstheme="minorBidi"/>
          <w:b w:val="0"/>
          <w:bCs w:val="0"/>
          <w:sz w:val="22"/>
          <w:szCs w:val="22"/>
        </w:rPr>
        <w:t>Guide to the General Data Protection Regulation (GDPR)</w:t>
      </w:r>
      <w:r w:rsidRPr="03AC7A04">
        <w:rPr>
          <w:rStyle w:val="s1"/>
          <w:rFonts w:asciiTheme="minorHAnsi" w:hAnsiTheme="minorHAnsi" w:cstheme="minorBidi"/>
          <w:b w:val="0"/>
          <w:bCs w:val="0"/>
          <w:sz w:val="22"/>
          <w:szCs w:val="22"/>
        </w:rPr>
        <w:t>. Available at: https://ico.org.uk</w:t>
      </w:r>
    </w:p>
    <w:p w14:paraId="0817E33B" w14:textId="77777777" w:rsidR="003B6B82" w:rsidRDefault="003B6B82">
      <w:pPr>
        <w:pStyle w:val="p2"/>
        <w:rPr>
          <w:rFonts w:asciiTheme="minorHAnsi" w:hAnsiTheme="minorHAnsi" w:cstheme="minorBidi"/>
          <w:sz w:val="22"/>
          <w:szCs w:val="22"/>
        </w:rPr>
      </w:pPr>
    </w:p>
    <w:p w14:paraId="17750117" w14:textId="77777777" w:rsidR="003B6B82" w:rsidRDefault="003B6B82">
      <w:pPr>
        <w:pStyle w:val="p3"/>
        <w:rPr>
          <w:rStyle w:val="s1"/>
          <w:rFonts w:asciiTheme="minorHAnsi" w:hAnsiTheme="minorHAnsi" w:cstheme="minorBidi"/>
          <w:b w:val="0"/>
          <w:bCs w:val="0"/>
          <w:sz w:val="22"/>
          <w:szCs w:val="22"/>
        </w:rPr>
      </w:pPr>
      <w:r w:rsidRPr="03AC7A04">
        <w:rPr>
          <w:rStyle w:val="s1"/>
          <w:rFonts w:asciiTheme="minorHAnsi" w:hAnsiTheme="minorHAnsi" w:cstheme="minorBidi"/>
          <w:b w:val="0"/>
          <w:bCs w:val="0"/>
          <w:sz w:val="22"/>
          <w:szCs w:val="22"/>
        </w:rPr>
        <w:t xml:space="preserve">McCormack, B. and McCance, T. (2017) </w:t>
      </w:r>
      <w:r w:rsidRPr="03AC7A04">
        <w:rPr>
          <w:rStyle w:val="s2"/>
          <w:rFonts w:asciiTheme="minorHAnsi" w:hAnsiTheme="minorHAnsi" w:cstheme="minorBidi"/>
          <w:b w:val="0"/>
          <w:bCs w:val="0"/>
          <w:sz w:val="22"/>
          <w:szCs w:val="22"/>
        </w:rPr>
        <w:t>Person-Centred Practice in Nursing and Health Care</w:t>
      </w:r>
      <w:r w:rsidRPr="03AC7A04">
        <w:rPr>
          <w:rStyle w:val="s1"/>
          <w:rFonts w:asciiTheme="minorHAnsi" w:hAnsiTheme="minorHAnsi" w:cstheme="minorBidi"/>
          <w:b w:val="0"/>
          <w:bCs w:val="0"/>
          <w:sz w:val="22"/>
          <w:szCs w:val="22"/>
        </w:rPr>
        <w:t>. 2nd edn. Oxford: Wiley Blackwell.</w:t>
      </w:r>
    </w:p>
    <w:p w14:paraId="7EB77ABC" w14:textId="77777777" w:rsidR="003B6B82" w:rsidRDefault="003B6B82">
      <w:pPr>
        <w:pStyle w:val="p2"/>
        <w:rPr>
          <w:rFonts w:asciiTheme="minorHAnsi" w:hAnsiTheme="minorHAnsi" w:cstheme="minorBidi"/>
          <w:sz w:val="22"/>
          <w:szCs w:val="22"/>
        </w:rPr>
      </w:pPr>
    </w:p>
    <w:p w14:paraId="5FEC8504" w14:textId="77777777" w:rsidR="003B6B82" w:rsidRDefault="003B6B82">
      <w:pPr>
        <w:pStyle w:val="p3"/>
        <w:rPr>
          <w:rStyle w:val="s1"/>
          <w:rFonts w:asciiTheme="minorHAnsi" w:hAnsiTheme="minorHAnsi" w:cstheme="minorBidi"/>
          <w:b w:val="0"/>
          <w:bCs w:val="0"/>
          <w:sz w:val="22"/>
          <w:szCs w:val="22"/>
        </w:rPr>
      </w:pPr>
      <w:r w:rsidRPr="03AC7A04">
        <w:rPr>
          <w:rStyle w:val="s1"/>
          <w:rFonts w:asciiTheme="minorHAnsi" w:hAnsiTheme="minorHAnsi" w:cstheme="minorBidi"/>
          <w:b w:val="0"/>
          <w:bCs w:val="0"/>
          <w:sz w:val="22"/>
          <w:szCs w:val="22"/>
        </w:rPr>
        <w:t xml:space="preserve">NHS England (2021) </w:t>
      </w:r>
      <w:r w:rsidRPr="03AC7A04">
        <w:rPr>
          <w:rStyle w:val="s2"/>
          <w:rFonts w:asciiTheme="minorHAnsi" w:hAnsiTheme="minorHAnsi" w:cstheme="minorBidi"/>
          <w:b w:val="0"/>
          <w:bCs w:val="0"/>
          <w:sz w:val="22"/>
          <w:szCs w:val="22"/>
        </w:rPr>
        <w:t>Accessible Information Standard</w:t>
      </w:r>
      <w:r w:rsidRPr="03AC7A04">
        <w:rPr>
          <w:rStyle w:val="s1"/>
          <w:rFonts w:asciiTheme="minorHAnsi" w:hAnsiTheme="minorHAnsi" w:cstheme="minorBidi"/>
          <w:b w:val="0"/>
          <w:bCs w:val="0"/>
          <w:sz w:val="22"/>
          <w:szCs w:val="22"/>
        </w:rPr>
        <w:t>. London: NHS England.</w:t>
      </w:r>
    </w:p>
    <w:p w14:paraId="0FB7DAEC" w14:textId="77777777" w:rsidR="003B6B82" w:rsidRDefault="003B6B82">
      <w:pPr>
        <w:pStyle w:val="p2"/>
        <w:rPr>
          <w:rFonts w:asciiTheme="minorHAnsi" w:hAnsiTheme="minorHAnsi" w:cstheme="minorBidi"/>
          <w:sz w:val="22"/>
          <w:szCs w:val="22"/>
        </w:rPr>
      </w:pPr>
    </w:p>
    <w:p w14:paraId="1B565BDD" w14:textId="77777777" w:rsidR="003B6B82" w:rsidRDefault="003B6B82">
      <w:pPr>
        <w:pStyle w:val="p1"/>
        <w:rPr>
          <w:rStyle w:val="s1"/>
          <w:rFonts w:asciiTheme="minorHAnsi" w:hAnsiTheme="minorHAnsi" w:cstheme="minorBidi"/>
          <w:b w:val="0"/>
          <w:bCs w:val="0"/>
          <w:sz w:val="22"/>
          <w:szCs w:val="22"/>
        </w:rPr>
      </w:pPr>
      <w:r w:rsidRPr="03AC7A04">
        <w:rPr>
          <w:rStyle w:val="s1"/>
          <w:rFonts w:asciiTheme="minorHAnsi" w:hAnsiTheme="minorHAnsi" w:cstheme="minorBidi"/>
          <w:b w:val="0"/>
          <w:bCs w:val="0"/>
          <w:sz w:val="22"/>
          <w:szCs w:val="22"/>
        </w:rPr>
        <w:t xml:space="preserve">Steinberg, S. (2007) </w:t>
      </w:r>
      <w:r w:rsidRPr="03AC7A04">
        <w:rPr>
          <w:rStyle w:val="s2"/>
          <w:rFonts w:asciiTheme="minorHAnsi" w:hAnsiTheme="minorHAnsi" w:cstheme="minorBidi"/>
          <w:b w:val="0"/>
          <w:bCs w:val="0"/>
          <w:sz w:val="22"/>
          <w:szCs w:val="22"/>
        </w:rPr>
        <w:t>An Introduction to Communication Studies</w:t>
      </w:r>
      <w:r w:rsidRPr="03AC7A04">
        <w:rPr>
          <w:rStyle w:val="s1"/>
          <w:rFonts w:asciiTheme="minorHAnsi" w:hAnsiTheme="minorHAnsi" w:cstheme="minorBidi"/>
          <w:b w:val="0"/>
          <w:bCs w:val="0"/>
          <w:sz w:val="22"/>
          <w:szCs w:val="22"/>
        </w:rPr>
        <w:t>. Cape Town: Juta.</w:t>
      </w:r>
    </w:p>
    <w:p w14:paraId="5B0EF5BD" w14:textId="77777777" w:rsidR="003B6B82" w:rsidRDefault="003B6B82">
      <w:pPr>
        <w:pStyle w:val="p2"/>
        <w:rPr>
          <w:rFonts w:asciiTheme="minorHAnsi" w:hAnsiTheme="minorHAnsi" w:cstheme="minorBidi"/>
          <w:sz w:val="22"/>
          <w:szCs w:val="22"/>
        </w:rPr>
      </w:pPr>
    </w:p>
    <w:p w14:paraId="67F6464C" w14:textId="77777777" w:rsidR="003B6B82" w:rsidRDefault="003B6B82">
      <w:pPr>
        <w:pStyle w:val="p3"/>
        <w:rPr>
          <w:rStyle w:val="s1"/>
          <w:rFonts w:asciiTheme="minorHAnsi" w:hAnsiTheme="minorHAnsi" w:cstheme="minorBidi"/>
          <w:b w:val="0"/>
          <w:bCs w:val="0"/>
          <w:sz w:val="22"/>
          <w:szCs w:val="22"/>
        </w:rPr>
      </w:pPr>
      <w:r w:rsidRPr="03AC7A04">
        <w:rPr>
          <w:rStyle w:val="s1"/>
          <w:rFonts w:asciiTheme="minorHAnsi" w:hAnsiTheme="minorHAnsi" w:cstheme="minorBidi"/>
          <w:b w:val="0"/>
          <w:bCs w:val="0"/>
          <w:sz w:val="22"/>
          <w:szCs w:val="22"/>
        </w:rPr>
        <w:t xml:space="preserve">UK Government (2010) </w:t>
      </w:r>
      <w:r w:rsidRPr="03AC7A04">
        <w:rPr>
          <w:rStyle w:val="s2"/>
          <w:rFonts w:asciiTheme="minorHAnsi" w:hAnsiTheme="minorHAnsi" w:cstheme="minorBidi"/>
          <w:b w:val="0"/>
          <w:bCs w:val="0"/>
          <w:sz w:val="22"/>
          <w:szCs w:val="22"/>
        </w:rPr>
        <w:t>Equality Act 2010</w:t>
      </w:r>
      <w:r w:rsidRPr="03AC7A04">
        <w:rPr>
          <w:rStyle w:val="s1"/>
          <w:rFonts w:asciiTheme="minorHAnsi" w:hAnsiTheme="minorHAnsi" w:cstheme="minorBidi"/>
          <w:b w:val="0"/>
          <w:bCs w:val="0"/>
          <w:sz w:val="22"/>
          <w:szCs w:val="22"/>
        </w:rPr>
        <w:t>. London: HMSO.</w:t>
      </w:r>
    </w:p>
    <w:p w14:paraId="74DA5EA3" w14:textId="00C01827" w:rsidR="4FA86B06" w:rsidRDefault="4FA86B06">
      <w:pPr>
        <w:rPr>
          <w:sz w:val="22"/>
          <w:szCs w:val="22"/>
        </w:rPr>
      </w:pPr>
    </w:p>
    <w:sectPr w:rsidR="4FA86B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SF UI">
    <w:altName w:val="Cambria"/>
    <w:charset w:val="00"/>
    <w:family w:val="roman"/>
    <w:notTrueType/>
    <w:pitch w:val="default"/>
  </w:font>
  <w:font w:name=".SFUI-Semibold">
    <w:altName w:val="Cambria"/>
    <w:charset w:val="00"/>
    <w:family w:val="roman"/>
    <w:notTrueType/>
    <w:pitch w:val="default"/>
  </w:font>
  <w:font w:name=".SFUI-SemiboldItalic">
    <w:altName w:val="Cambria"/>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6A6A30"/>
    <w:rsid w:val="00001D32"/>
    <w:rsid w:val="0004298A"/>
    <w:rsid w:val="000465C1"/>
    <w:rsid w:val="000603C0"/>
    <w:rsid w:val="0006084B"/>
    <w:rsid w:val="00090C3B"/>
    <w:rsid w:val="00093125"/>
    <w:rsid w:val="00096187"/>
    <w:rsid w:val="000A3596"/>
    <w:rsid w:val="000E60E1"/>
    <w:rsid w:val="000F1620"/>
    <w:rsid w:val="000F3834"/>
    <w:rsid w:val="000F4F2C"/>
    <w:rsid w:val="000F7D56"/>
    <w:rsid w:val="00104E9D"/>
    <w:rsid w:val="00110420"/>
    <w:rsid w:val="00111B60"/>
    <w:rsid w:val="001122A7"/>
    <w:rsid w:val="00134378"/>
    <w:rsid w:val="00143053"/>
    <w:rsid w:val="0017261B"/>
    <w:rsid w:val="0018221B"/>
    <w:rsid w:val="00190FC5"/>
    <w:rsid w:val="001A4608"/>
    <w:rsid w:val="001B6A05"/>
    <w:rsid w:val="001D0A4C"/>
    <w:rsid w:val="001E7846"/>
    <w:rsid w:val="001F01B3"/>
    <w:rsid w:val="001F65A2"/>
    <w:rsid w:val="00224454"/>
    <w:rsid w:val="00232E8A"/>
    <w:rsid w:val="0023518E"/>
    <w:rsid w:val="00237B02"/>
    <w:rsid w:val="00241CF6"/>
    <w:rsid w:val="00271449"/>
    <w:rsid w:val="00287C74"/>
    <w:rsid w:val="002A0079"/>
    <w:rsid w:val="002E3889"/>
    <w:rsid w:val="00302D9B"/>
    <w:rsid w:val="003111CE"/>
    <w:rsid w:val="003115E0"/>
    <w:rsid w:val="00345067"/>
    <w:rsid w:val="00367B46"/>
    <w:rsid w:val="00386F21"/>
    <w:rsid w:val="0039072D"/>
    <w:rsid w:val="00390A80"/>
    <w:rsid w:val="003A282A"/>
    <w:rsid w:val="003B6B82"/>
    <w:rsid w:val="003D3594"/>
    <w:rsid w:val="003F28C0"/>
    <w:rsid w:val="003F77AF"/>
    <w:rsid w:val="0040144A"/>
    <w:rsid w:val="004014AD"/>
    <w:rsid w:val="00410797"/>
    <w:rsid w:val="00410897"/>
    <w:rsid w:val="0042454F"/>
    <w:rsid w:val="00436928"/>
    <w:rsid w:val="00445CC7"/>
    <w:rsid w:val="0045763E"/>
    <w:rsid w:val="00464B53"/>
    <w:rsid w:val="0047423E"/>
    <w:rsid w:val="004860B9"/>
    <w:rsid w:val="00491A37"/>
    <w:rsid w:val="004A0B1C"/>
    <w:rsid w:val="004A10B5"/>
    <w:rsid w:val="004C5C56"/>
    <w:rsid w:val="004D2175"/>
    <w:rsid w:val="004E345F"/>
    <w:rsid w:val="004E5213"/>
    <w:rsid w:val="004F47B5"/>
    <w:rsid w:val="004F50B2"/>
    <w:rsid w:val="00512B7B"/>
    <w:rsid w:val="00521F6D"/>
    <w:rsid w:val="00524A55"/>
    <w:rsid w:val="00530245"/>
    <w:rsid w:val="00533A70"/>
    <w:rsid w:val="005676EE"/>
    <w:rsid w:val="00586E0A"/>
    <w:rsid w:val="00593CAE"/>
    <w:rsid w:val="00593F7F"/>
    <w:rsid w:val="005A220C"/>
    <w:rsid w:val="005C3DF0"/>
    <w:rsid w:val="005C65F5"/>
    <w:rsid w:val="005E15A0"/>
    <w:rsid w:val="005F783D"/>
    <w:rsid w:val="0064685E"/>
    <w:rsid w:val="00654B96"/>
    <w:rsid w:val="0066122D"/>
    <w:rsid w:val="00683A5E"/>
    <w:rsid w:val="00683B97"/>
    <w:rsid w:val="006D6A11"/>
    <w:rsid w:val="006D7B5C"/>
    <w:rsid w:val="007034EE"/>
    <w:rsid w:val="007127F2"/>
    <w:rsid w:val="00715F53"/>
    <w:rsid w:val="00763D68"/>
    <w:rsid w:val="007737A9"/>
    <w:rsid w:val="007909FB"/>
    <w:rsid w:val="007B1A4E"/>
    <w:rsid w:val="007B34FF"/>
    <w:rsid w:val="007C3866"/>
    <w:rsid w:val="007D111A"/>
    <w:rsid w:val="007D76BA"/>
    <w:rsid w:val="007E7CAB"/>
    <w:rsid w:val="007F5015"/>
    <w:rsid w:val="00806B79"/>
    <w:rsid w:val="00815BAE"/>
    <w:rsid w:val="00831C4B"/>
    <w:rsid w:val="00854A83"/>
    <w:rsid w:val="008A468A"/>
    <w:rsid w:val="008B0B7F"/>
    <w:rsid w:val="008C3F01"/>
    <w:rsid w:val="008F4117"/>
    <w:rsid w:val="009669BE"/>
    <w:rsid w:val="00976D02"/>
    <w:rsid w:val="00977725"/>
    <w:rsid w:val="00991C24"/>
    <w:rsid w:val="009C75EC"/>
    <w:rsid w:val="009F5160"/>
    <w:rsid w:val="00A04C2E"/>
    <w:rsid w:val="00A108FF"/>
    <w:rsid w:val="00A11729"/>
    <w:rsid w:val="00A22187"/>
    <w:rsid w:val="00A30985"/>
    <w:rsid w:val="00A34EE7"/>
    <w:rsid w:val="00A351E5"/>
    <w:rsid w:val="00A51299"/>
    <w:rsid w:val="00A52AB8"/>
    <w:rsid w:val="00A55782"/>
    <w:rsid w:val="00A80293"/>
    <w:rsid w:val="00A82AE1"/>
    <w:rsid w:val="00A8455E"/>
    <w:rsid w:val="00AB4EDF"/>
    <w:rsid w:val="00AF0A11"/>
    <w:rsid w:val="00AF4DB7"/>
    <w:rsid w:val="00B11186"/>
    <w:rsid w:val="00B11F71"/>
    <w:rsid w:val="00B16C1A"/>
    <w:rsid w:val="00B316FB"/>
    <w:rsid w:val="00B319D6"/>
    <w:rsid w:val="00B63CE8"/>
    <w:rsid w:val="00B7139F"/>
    <w:rsid w:val="00B801D0"/>
    <w:rsid w:val="00B8720F"/>
    <w:rsid w:val="00B91A08"/>
    <w:rsid w:val="00B93AB9"/>
    <w:rsid w:val="00B97F35"/>
    <w:rsid w:val="00BB0DE5"/>
    <w:rsid w:val="00BB60BA"/>
    <w:rsid w:val="00BC1EA2"/>
    <w:rsid w:val="00BE2637"/>
    <w:rsid w:val="00BF309E"/>
    <w:rsid w:val="00C03AFD"/>
    <w:rsid w:val="00C34454"/>
    <w:rsid w:val="00C36BAA"/>
    <w:rsid w:val="00C56798"/>
    <w:rsid w:val="00C77B07"/>
    <w:rsid w:val="00C9736C"/>
    <w:rsid w:val="00CA45EF"/>
    <w:rsid w:val="00CA7FE8"/>
    <w:rsid w:val="00CB083B"/>
    <w:rsid w:val="00CC38ED"/>
    <w:rsid w:val="00CD3413"/>
    <w:rsid w:val="00CE2601"/>
    <w:rsid w:val="00CE46A5"/>
    <w:rsid w:val="00D15233"/>
    <w:rsid w:val="00D5060D"/>
    <w:rsid w:val="00D52AC5"/>
    <w:rsid w:val="00D6573F"/>
    <w:rsid w:val="00D72154"/>
    <w:rsid w:val="00D8341E"/>
    <w:rsid w:val="00D965B5"/>
    <w:rsid w:val="00DA5E45"/>
    <w:rsid w:val="00DA6BC0"/>
    <w:rsid w:val="00DC7934"/>
    <w:rsid w:val="00DC7D94"/>
    <w:rsid w:val="00E56486"/>
    <w:rsid w:val="00E74BB3"/>
    <w:rsid w:val="00F042A5"/>
    <w:rsid w:val="00F350C1"/>
    <w:rsid w:val="00F44481"/>
    <w:rsid w:val="00F75AD7"/>
    <w:rsid w:val="00F86FB4"/>
    <w:rsid w:val="00F94302"/>
    <w:rsid w:val="00FA1FC5"/>
    <w:rsid w:val="00FD4A51"/>
    <w:rsid w:val="00FE3D02"/>
    <w:rsid w:val="00FF55C7"/>
    <w:rsid w:val="038E00A3"/>
    <w:rsid w:val="03AC7A04"/>
    <w:rsid w:val="0431981B"/>
    <w:rsid w:val="057EB089"/>
    <w:rsid w:val="058A69AA"/>
    <w:rsid w:val="0734D9A7"/>
    <w:rsid w:val="0839360C"/>
    <w:rsid w:val="0896DD18"/>
    <w:rsid w:val="0A42A893"/>
    <w:rsid w:val="0A6E7E19"/>
    <w:rsid w:val="0AF81C96"/>
    <w:rsid w:val="0BB4B942"/>
    <w:rsid w:val="0BC414EF"/>
    <w:rsid w:val="0BE073CD"/>
    <w:rsid w:val="0C30E490"/>
    <w:rsid w:val="0D344E0A"/>
    <w:rsid w:val="0E79F3E8"/>
    <w:rsid w:val="0EB65DAB"/>
    <w:rsid w:val="0EBAE0F4"/>
    <w:rsid w:val="0EC8D70E"/>
    <w:rsid w:val="0FCDF763"/>
    <w:rsid w:val="12177D56"/>
    <w:rsid w:val="1400E91B"/>
    <w:rsid w:val="15A6C0C3"/>
    <w:rsid w:val="16C79DE7"/>
    <w:rsid w:val="175E46BC"/>
    <w:rsid w:val="18313232"/>
    <w:rsid w:val="1866979B"/>
    <w:rsid w:val="1917628D"/>
    <w:rsid w:val="19CA5ABA"/>
    <w:rsid w:val="19E55C19"/>
    <w:rsid w:val="1A34AFA4"/>
    <w:rsid w:val="1A830C3D"/>
    <w:rsid w:val="1B2C21B2"/>
    <w:rsid w:val="1B6A6A30"/>
    <w:rsid w:val="1BD95890"/>
    <w:rsid w:val="1DC241DE"/>
    <w:rsid w:val="1E2EC347"/>
    <w:rsid w:val="1EDEF5FE"/>
    <w:rsid w:val="20CBEBDC"/>
    <w:rsid w:val="2114F309"/>
    <w:rsid w:val="216B54BF"/>
    <w:rsid w:val="218C3FBA"/>
    <w:rsid w:val="218E3D11"/>
    <w:rsid w:val="2230D7F0"/>
    <w:rsid w:val="22DBA567"/>
    <w:rsid w:val="23090ECA"/>
    <w:rsid w:val="23689EC7"/>
    <w:rsid w:val="23E7F5B3"/>
    <w:rsid w:val="2440C46D"/>
    <w:rsid w:val="246AEBC3"/>
    <w:rsid w:val="24CE52B7"/>
    <w:rsid w:val="2542C5F6"/>
    <w:rsid w:val="2596168B"/>
    <w:rsid w:val="2A571805"/>
    <w:rsid w:val="2C6533CA"/>
    <w:rsid w:val="2C96440C"/>
    <w:rsid w:val="2D0C7EBB"/>
    <w:rsid w:val="2DBD7B8A"/>
    <w:rsid w:val="2DE296CD"/>
    <w:rsid w:val="2E0D920F"/>
    <w:rsid w:val="2F9B3FCD"/>
    <w:rsid w:val="306A90B1"/>
    <w:rsid w:val="30DC5EC1"/>
    <w:rsid w:val="3171366B"/>
    <w:rsid w:val="331D3104"/>
    <w:rsid w:val="3403CC77"/>
    <w:rsid w:val="3420A012"/>
    <w:rsid w:val="34D59DC5"/>
    <w:rsid w:val="354176FB"/>
    <w:rsid w:val="36309C7D"/>
    <w:rsid w:val="3769B967"/>
    <w:rsid w:val="3B3B4F59"/>
    <w:rsid w:val="3BBA31A1"/>
    <w:rsid w:val="3BBE4500"/>
    <w:rsid w:val="3BFE87D6"/>
    <w:rsid w:val="3C05E2E9"/>
    <w:rsid w:val="3D88C02E"/>
    <w:rsid w:val="3FB39994"/>
    <w:rsid w:val="402AAF41"/>
    <w:rsid w:val="407FC117"/>
    <w:rsid w:val="40DDB7F2"/>
    <w:rsid w:val="4167A859"/>
    <w:rsid w:val="42EF7AA1"/>
    <w:rsid w:val="4499728A"/>
    <w:rsid w:val="45525978"/>
    <w:rsid w:val="457F01FF"/>
    <w:rsid w:val="463D4447"/>
    <w:rsid w:val="4839DE12"/>
    <w:rsid w:val="485601D2"/>
    <w:rsid w:val="48E831A8"/>
    <w:rsid w:val="4A580C5F"/>
    <w:rsid w:val="4B4F76DC"/>
    <w:rsid w:val="4BD97227"/>
    <w:rsid w:val="4DA35A1E"/>
    <w:rsid w:val="4DB0D180"/>
    <w:rsid w:val="4E58E1A7"/>
    <w:rsid w:val="4FA86B06"/>
    <w:rsid w:val="4FB1BAF4"/>
    <w:rsid w:val="522EAA84"/>
    <w:rsid w:val="524D8C84"/>
    <w:rsid w:val="53E960E3"/>
    <w:rsid w:val="54DD7CA2"/>
    <w:rsid w:val="55CC9C0C"/>
    <w:rsid w:val="585B8E5F"/>
    <w:rsid w:val="5870E0A1"/>
    <w:rsid w:val="5CA10196"/>
    <w:rsid w:val="5CC32E41"/>
    <w:rsid w:val="5CC6B85D"/>
    <w:rsid w:val="5FE37E2F"/>
    <w:rsid w:val="60001742"/>
    <w:rsid w:val="609E4707"/>
    <w:rsid w:val="611A0561"/>
    <w:rsid w:val="630313C4"/>
    <w:rsid w:val="63150EB0"/>
    <w:rsid w:val="6376C32D"/>
    <w:rsid w:val="63F1C50B"/>
    <w:rsid w:val="6760F566"/>
    <w:rsid w:val="6888F430"/>
    <w:rsid w:val="692087FA"/>
    <w:rsid w:val="692758AE"/>
    <w:rsid w:val="6AF83294"/>
    <w:rsid w:val="6B12DF9E"/>
    <w:rsid w:val="6BCAE3FF"/>
    <w:rsid w:val="6BE8C20E"/>
    <w:rsid w:val="6C46DC08"/>
    <w:rsid w:val="6D4F7AD2"/>
    <w:rsid w:val="6D7B0379"/>
    <w:rsid w:val="6F5817B9"/>
    <w:rsid w:val="6FE30920"/>
    <w:rsid w:val="701312B5"/>
    <w:rsid w:val="71239683"/>
    <w:rsid w:val="71DDFD4E"/>
    <w:rsid w:val="72273BD1"/>
    <w:rsid w:val="729AE9EA"/>
    <w:rsid w:val="73A0B3F3"/>
    <w:rsid w:val="745FBC42"/>
    <w:rsid w:val="7493AA8F"/>
    <w:rsid w:val="74ED9021"/>
    <w:rsid w:val="759AEF77"/>
    <w:rsid w:val="76B07611"/>
    <w:rsid w:val="76DA0F43"/>
    <w:rsid w:val="76FFBB6F"/>
    <w:rsid w:val="77F6876E"/>
    <w:rsid w:val="7B784B0A"/>
    <w:rsid w:val="7B8C4F28"/>
    <w:rsid w:val="7B8CDA2B"/>
    <w:rsid w:val="7D1D5944"/>
    <w:rsid w:val="7F1DE102"/>
    <w:rsid w:val="7F42187D"/>
    <w:rsid w:val="7F6599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957BCE8"/>
  <w15:chartTrackingRefBased/>
  <w15:docId w15:val="{BE70A016-B3BD-4577-8182-EE157D5C6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80293"/>
    <w:pPr>
      <w:spacing w:after="0" w:line="240" w:lineRule="auto"/>
    </w:pPr>
    <w:rPr>
      <w:rFonts w:ascii=".SF UI" w:hAnsi=".SF UI" w:cs="Times New Roman"/>
      <w:sz w:val="29"/>
      <w:szCs w:val="29"/>
      <w:lang w:eastAsia="en-GB"/>
    </w:rPr>
  </w:style>
  <w:style w:type="paragraph" w:customStyle="1" w:styleId="p2">
    <w:name w:val="p2"/>
    <w:basedOn w:val="Normal"/>
    <w:rsid w:val="00A80293"/>
    <w:pPr>
      <w:spacing w:after="0" w:line="240" w:lineRule="auto"/>
    </w:pPr>
    <w:rPr>
      <w:rFonts w:ascii=".SF UI" w:hAnsi=".SF UI" w:cs="Times New Roman"/>
      <w:sz w:val="29"/>
      <w:szCs w:val="29"/>
      <w:lang w:eastAsia="en-GB"/>
    </w:rPr>
  </w:style>
  <w:style w:type="paragraph" w:customStyle="1" w:styleId="p3">
    <w:name w:val="p3"/>
    <w:basedOn w:val="Normal"/>
    <w:rsid w:val="00A80293"/>
    <w:pPr>
      <w:spacing w:after="0" w:line="240" w:lineRule="auto"/>
    </w:pPr>
    <w:rPr>
      <w:rFonts w:ascii="Times New Roman" w:hAnsi="Times New Roman" w:cs="Times New Roman"/>
      <w:sz w:val="29"/>
      <w:szCs w:val="29"/>
      <w:lang w:eastAsia="en-GB"/>
    </w:rPr>
  </w:style>
  <w:style w:type="character" w:customStyle="1" w:styleId="s1">
    <w:name w:val="s1"/>
    <w:basedOn w:val="DefaultParagraphFont"/>
    <w:rsid w:val="00A80293"/>
    <w:rPr>
      <w:rFonts w:ascii=".SFUI-Semibold" w:hAnsi=".SFUI-Semibold" w:hint="default"/>
      <w:b/>
      <w:bCs/>
      <w:i w:val="0"/>
      <w:iCs w:val="0"/>
      <w:sz w:val="29"/>
      <w:szCs w:val="29"/>
    </w:rPr>
  </w:style>
  <w:style w:type="character" w:customStyle="1" w:styleId="s2">
    <w:name w:val="s2"/>
    <w:basedOn w:val="DefaultParagraphFont"/>
    <w:rsid w:val="00A80293"/>
    <w:rPr>
      <w:rFonts w:ascii=".SFUI-SemiboldItalic" w:hAnsi=".SFUI-SemiboldItalic" w:hint="default"/>
      <w:b/>
      <w:bCs/>
      <w:i/>
      <w:iCs/>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Jorisa Belushi (2440189)</dc:creator>
  <cp:keywords/>
  <dc:description/>
  <cp:lastModifiedBy>Jorisa Belushi (2440189)</cp:lastModifiedBy>
  <cp:revision>2</cp:revision>
  <dcterms:created xsi:type="dcterms:W3CDTF">2025-12-18T13:14:00Z</dcterms:created>
  <dcterms:modified xsi:type="dcterms:W3CDTF">2025-12-18T14:40:00Z</dcterms:modified>
</cp:coreProperties>
</file>