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931E3" w14:textId="77777777" w:rsidR="007E7DC2"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cs="Arial"/>
          <w:b/>
          <w:sz w:val="28"/>
          <w:szCs w:val="28"/>
          <w:lang w:val="en-GB"/>
        </w:rPr>
      </w:pPr>
      <w:r w:rsidRPr="00802C43">
        <w:rPr>
          <w:rFonts w:cs="Arial"/>
          <w:b/>
          <w:noProof/>
          <w:sz w:val="28"/>
          <w:szCs w:val="28"/>
          <w:lang w:val="en-GB"/>
        </w:rPr>
        <w:drawing>
          <wp:anchor distT="0" distB="0" distL="114300" distR="114300" simplePos="0" relativeHeight="251659264" behindDoc="0" locked="0" layoutInCell="1" allowOverlap="1" wp14:anchorId="3DEFA9D9" wp14:editId="2E53AC4B">
            <wp:simplePos x="0" y="0"/>
            <wp:positionH relativeFrom="column">
              <wp:posOffset>2266950</wp:posOffset>
            </wp:positionH>
            <wp:positionV relativeFrom="paragraph">
              <wp:posOffset>-400050</wp:posOffset>
            </wp:positionV>
            <wp:extent cx="1809750" cy="723900"/>
            <wp:effectExtent l="19050" t="0" r="0" b="0"/>
            <wp:wrapSquare wrapText="bothSides"/>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97B8DB5" w14:textId="77777777" w:rsidR="007E7DC2"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cs="Arial"/>
          <w:b/>
          <w:sz w:val="28"/>
          <w:szCs w:val="28"/>
          <w:lang w:val="en-GB"/>
        </w:rPr>
      </w:pPr>
      <w:r w:rsidRPr="00380B8E">
        <w:rPr>
          <w:rFonts w:cs="Arial"/>
          <w:b/>
          <w:sz w:val="28"/>
          <w:szCs w:val="28"/>
          <w:lang w:val="en-GB"/>
        </w:rPr>
        <w:t>International Hotel Management</w:t>
      </w:r>
    </w:p>
    <w:p w14:paraId="03F83418" w14:textId="77777777" w:rsidR="007E7DC2" w:rsidRPr="00380B8E"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cs="Arial"/>
          <w:b/>
          <w:sz w:val="28"/>
          <w:szCs w:val="28"/>
          <w:lang w:val="en-GB"/>
        </w:rPr>
      </w:pPr>
    </w:p>
    <w:p w14:paraId="63F3404D" w14:textId="350164D6" w:rsidR="007E7DC2" w:rsidRPr="00F9531A" w:rsidRDefault="00347F6F" w:rsidP="007E7DC2">
      <w:pPr>
        <w:pBdr>
          <w:top w:val="single" w:sz="4" w:space="1" w:color="auto"/>
          <w:left w:val="none" w:sz="0" w:space="0" w:color="auto"/>
          <w:bottom w:val="single" w:sz="4" w:space="1" w:color="auto"/>
          <w:right w:val="none" w:sz="0" w:space="0" w:color="auto"/>
          <w:between w:val="none" w:sz="0" w:space="0" w:color="auto"/>
          <w:bar w:val="none" w:sz="0" w:color="auto"/>
        </w:pBdr>
        <w:spacing w:after="200"/>
        <w:jc w:val="center"/>
        <w:rPr>
          <w:rFonts w:cs="Arial"/>
          <w:b/>
          <w:sz w:val="36"/>
          <w:szCs w:val="36"/>
          <w:lang w:val="en-GB"/>
        </w:rPr>
      </w:pPr>
      <w:r>
        <w:rPr>
          <w:rFonts w:cs="Arial"/>
          <w:b/>
          <w:sz w:val="36"/>
          <w:szCs w:val="36"/>
          <w:lang w:val="en-GB"/>
        </w:rPr>
        <w:t>Allergy and intolerance</w:t>
      </w:r>
    </w:p>
    <w:p w14:paraId="05F6C409" w14:textId="77777777" w:rsidR="007E7DC2" w:rsidRPr="00F9531A"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cs="Arial"/>
          <w:b/>
          <w:szCs w:val="24"/>
          <w:lang w:val="en-GB"/>
        </w:rPr>
      </w:pPr>
    </w:p>
    <w:p w14:paraId="66CB3C9F" w14:textId="77777777" w:rsidR="007E7DC2" w:rsidRPr="00F9531A"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cs="Arial"/>
          <w:b/>
          <w:szCs w:val="24"/>
          <w:lang w:val="en-GB"/>
        </w:rPr>
      </w:pPr>
    </w:p>
    <w:p w14:paraId="1DE1982D" w14:textId="77777777" w:rsidR="007E7DC2" w:rsidRPr="00F9531A"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rPr>
          <w:rFonts w:cs="Arial"/>
          <w:b/>
          <w:szCs w:val="24"/>
          <w:lang w:val="en-GB"/>
        </w:rPr>
      </w:pPr>
    </w:p>
    <w:p w14:paraId="7297A5D9" w14:textId="6CA31119" w:rsidR="007E7DC2" w:rsidRPr="00F9531A"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cs="Arial"/>
          <w:bCs/>
          <w:szCs w:val="24"/>
          <w:lang w:val="en-GB"/>
        </w:rPr>
      </w:pPr>
      <w:r w:rsidRPr="00F9531A">
        <w:rPr>
          <w:rFonts w:cs="Arial"/>
          <w:bCs/>
          <w:szCs w:val="24"/>
          <w:lang w:val="en-GB"/>
        </w:rPr>
        <w:t xml:space="preserve">Student’s </w:t>
      </w:r>
      <w:r w:rsidR="0086068D" w:rsidRPr="00F9531A">
        <w:rPr>
          <w:rFonts w:cs="Arial"/>
          <w:bCs/>
          <w:szCs w:val="24"/>
          <w:lang w:val="en-GB"/>
        </w:rPr>
        <w:t>name:</w:t>
      </w:r>
      <w:r w:rsidR="0086068D">
        <w:rPr>
          <w:rFonts w:cs="Arial"/>
          <w:bCs/>
          <w:szCs w:val="24"/>
          <w:lang w:val="en-GB"/>
        </w:rPr>
        <w:t xml:space="preserve"> Catalin</w:t>
      </w:r>
      <w:r>
        <w:rPr>
          <w:rFonts w:cs="Arial"/>
          <w:bCs/>
          <w:szCs w:val="24"/>
          <w:lang w:val="en-GB"/>
        </w:rPr>
        <w:t xml:space="preserve"> </w:t>
      </w:r>
      <w:proofErr w:type="spellStart"/>
      <w:r>
        <w:rPr>
          <w:rFonts w:cs="Arial"/>
          <w:bCs/>
          <w:szCs w:val="24"/>
          <w:lang w:val="en-GB"/>
        </w:rPr>
        <w:t>Ionut</w:t>
      </w:r>
      <w:proofErr w:type="spellEnd"/>
      <w:r>
        <w:rPr>
          <w:rFonts w:cs="Arial"/>
          <w:bCs/>
          <w:szCs w:val="24"/>
          <w:lang w:val="en-GB"/>
        </w:rPr>
        <w:t xml:space="preserve"> Asavei</w:t>
      </w:r>
    </w:p>
    <w:p w14:paraId="3EC27C2E" w14:textId="77777777" w:rsidR="007E7DC2" w:rsidRPr="00F9531A"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cs="Arial"/>
          <w:bCs/>
          <w:szCs w:val="24"/>
          <w:lang w:val="en-GB"/>
        </w:rPr>
      </w:pPr>
      <w:r>
        <w:rPr>
          <w:rFonts w:cs="Arial"/>
          <w:bCs/>
          <w:szCs w:val="24"/>
          <w:lang w:val="en-GB"/>
        </w:rPr>
        <w:t>Student ID: 2025174</w:t>
      </w:r>
    </w:p>
    <w:p w14:paraId="4622BE69" w14:textId="7C048D21" w:rsidR="007E7DC2" w:rsidRPr="00F9531A" w:rsidRDefault="007E7DC2" w:rsidP="007E7DC2">
      <w:pPr>
        <w:pBdr>
          <w:top w:val="none" w:sz="0" w:space="0" w:color="auto"/>
          <w:left w:val="none" w:sz="0" w:space="0" w:color="auto"/>
          <w:bottom w:val="none" w:sz="0" w:space="0" w:color="auto"/>
          <w:right w:val="none" w:sz="0" w:space="0" w:color="auto"/>
          <w:between w:val="none" w:sz="0" w:space="0" w:color="auto"/>
          <w:bar w:val="none" w:sz="0" w:color="auto"/>
        </w:pBdr>
        <w:spacing w:after="200"/>
        <w:jc w:val="center"/>
        <w:rPr>
          <w:rFonts w:cs="Arial"/>
          <w:szCs w:val="24"/>
          <w:lang w:val="en-GB"/>
        </w:rPr>
      </w:pPr>
      <w:r>
        <w:rPr>
          <w:rFonts w:cs="Arial"/>
          <w:bCs/>
          <w:szCs w:val="24"/>
          <w:lang w:val="en-GB"/>
        </w:rPr>
        <w:t xml:space="preserve">Lecturer Name: </w:t>
      </w:r>
      <w:r w:rsidR="00DD134E">
        <w:rPr>
          <w:rFonts w:cs="Arial"/>
          <w:bCs/>
          <w:szCs w:val="24"/>
          <w:lang w:val="en-GB"/>
        </w:rPr>
        <w:t xml:space="preserve">Samantha </w:t>
      </w:r>
      <w:proofErr w:type="spellStart"/>
      <w:r w:rsidR="00274686">
        <w:rPr>
          <w:rFonts w:cs="Arial"/>
          <w:bCs/>
          <w:szCs w:val="24"/>
          <w:lang w:val="en-GB"/>
        </w:rPr>
        <w:t>Birdsell</w:t>
      </w:r>
      <w:proofErr w:type="spellEnd"/>
      <w:r w:rsidRPr="00F9531A">
        <w:rPr>
          <w:rFonts w:cs="Arial"/>
          <w:szCs w:val="24"/>
          <w:lang w:val="en-GB"/>
        </w:rPr>
        <w:br w:type="page"/>
      </w:r>
    </w:p>
    <w:p w14:paraId="1B4E26EF" w14:textId="75D1B9F2" w:rsidR="00854157" w:rsidRDefault="00854157" w:rsidP="00854157">
      <w:pPr>
        <w:rPr>
          <w:rFonts w:cs="Arial"/>
          <w:szCs w:val="24"/>
        </w:rPr>
      </w:pPr>
      <w:r w:rsidRPr="00FA6733">
        <w:rPr>
          <w:rFonts w:cs="Arial"/>
          <w:szCs w:val="24"/>
        </w:rPr>
        <w:lastRenderedPageBreak/>
        <w:t>More and more individuals are identified as having food sensitivities. For certain use</w:t>
      </w:r>
      <w:r>
        <w:rPr>
          <w:rFonts w:cs="Arial"/>
          <w:szCs w:val="24"/>
        </w:rPr>
        <w:t xml:space="preserve">s, </w:t>
      </w:r>
      <w:r w:rsidR="005C70E6">
        <w:rPr>
          <w:rFonts w:cs="Arial"/>
          <w:szCs w:val="24"/>
        </w:rPr>
        <w:t>this percussion</w:t>
      </w:r>
      <w:r>
        <w:rPr>
          <w:rFonts w:cs="Arial"/>
          <w:szCs w:val="24"/>
        </w:rPr>
        <w:t xml:space="preserve"> can be risky</w:t>
      </w:r>
      <w:r w:rsidRPr="00FA6733">
        <w:rPr>
          <w:rFonts w:cs="Arial"/>
          <w:szCs w:val="24"/>
        </w:rPr>
        <w:t xml:space="preserve">. </w:t>
      </w:r>
      <w:r w:rsidRPr="00B654DE">
        <w:rPr>
          <w:rFonts w:cs="Arial"/>
          <w:szCs w:val="24"/>
        </w:rPr>
        <w:t>At around the same time, an overwhelming number of individuals are dining in bars and cafes.</w:t>
      </w:r>
      <w:r>
        <w:rPr>
          <w:rFonts w:cs="Arial"/>
          <w:szCs w:val="24"/>
        </w:rPr>
        <w:t xml:space="preserve"> </w:t>
      </w:r>
      <w:r w:rsidRPr="00FA6733">
        <w:rPr>
          <w:rFonts w:cs="Arial"/>
          <w:szCs w:val="24"/>
        </w:rPr>
        <w:t>As a result, the restaurant industry will increasingly be interested in unique dinners</w:t>
      </w:r>
      <w:r>
        <w:rPr>
          <w:rFonts w:cs="Arial"/>
          <w:szCs w:val="24"/>
        </w:rPr>
        <w:t xml:space="preserve"> that cater to sensitive people</w:t>
      </w:r>
      <w:r w:rsidRPr="00B654DE">
        <w:rPr>
          <w:rFonts w:cs="Arial"/>
          <w:szCs w:val="24"/>
        </w:rPr>
        <w:t>. According to a Food Standards Agency research, 60 percent of customers rega</w:t>
      </w:r>
      <w:r>
        <w:rPr>
          <w:rFonts w:cs="Arial"/>
          <w:szCs w:val="24"/>
        </w:rPr>
        <w:t xml:space="preserve">rded restaurant catalogs useful </w:t>
      </w:r>
      <w:r w:rsidRPr="00FA6733">
        <w:rPr>
          <w:rFonts w:cs="Arial"/>
          <w:szCs w:val="24"/>
        </w:rPr>
        <w:t xml:space="preserve">to be misinterpreted or lack consistent </w:t>
      </w:r>
      <w:r w:rsidR="005A5BE4" w:rsidRPr="00FA6733">
        <w:rPr>
          <w:rFonts w:cs="Arial"/>
          <w:szCs w:val="24"/>
        </w:rPr>
        <w:t>data but</w:t>
      </w:r>
      <w:r w:rsidRPr="00FA6733">
        <w:rPr>
          <w:rFonts w:cs="Arial"/>
          <w:szCs w:val="24"/>
        </w:rPr>
        <w:t xml:space="preserve"> didn't want the request to attend "boring" (Morning Advertiser, 2000</w:t>
      </w:r>
      <w:r w:rsidR="00E9275A" w:rsidRPr="00FA6733">
        <w:rPr>
          <w:rFonts w:cs="Arial"/>
          <w:szCs w:val="24"/>
        </w:rPr>
        <w:t>).</w:t>
      </w:r>
      <w:r w:rsidRPr="00FA6733">
        <w:rPr>
          <w:rFonts w:cs="Arial"/>
          <w:szCs w:val="24"/>
        </w:rPr>
        <w:t xml:space="preserve"> For the sensitive, this can be a no-brainer mistake. They prerequisite to be</w:t>
      </w:r>
      <w:r>
        <w:rPr>
          <w:rFonts w:cs="Arial"/>
          <w:szCs w:val="24"/>
        </w:rPr>
        <w:t xml:space="preserve"> familiar with if culinary professionals could be</w:t>
      </w:r>
      <w:r w:rsidRPr="00FA6733">
        <w:rPr>
          <w:rFonts w:cs="Arial"/>
          <w:szCs w:val="24"/>
        </w:rPr>
        <w:t xml:space="preserve"> properly order foodstuff if the wait workforce is prepared enough to heed the offers and pass them on to the kitchen. On a basic level, this ought not to be difﬁcult, yet in all actuality, it relies particularly upon the superiority and preparing of the team in question. At hand</w:t>
      </w:r>
      <w:r>
        <w:rPr>
          <w:rFonts w:cs="Arial"/>
          <w:szCs w:val="24"/>
        </w:rPr>
        <w:t xml:space="preserve"> </w:t>
      </w:r>
      <w:r w:rsidRPr="00FA6733">
        <w:rPr>
          <w:rFonts w:cs="Arial"/>
          <w:szCs w:val="24"/>
        </w:rPr>
        <w:t xml:space="preserve">a lot of cafés </w:t>
      </w:r>
      <w:r>
        <w:rPr>
          <w:rFonts w:cs="Arial"/>
          <w:szCs w:val="24"/>
        </w:rPr>
        <w:t xml:space="preserve">are established </w:t>
      </w:r>
      <w:r w:rsidRPr="00FA6733">
        <w:rPr>
          <w:rFonts w:cs="Arial"/>
          <w:szCs w:val="24"/>
        </w:rPr>
        <w:t>in the UK</w:t>
      </w:r>
      <w:r>
        <w:rPr>
          <w:rFonts w:cs="Arial"/>
          <w:szCs w:val="24"/>
        </w:rPr>
        <w:t xml:space="preserve"> now</w:t>
      </w:r>
      <w:r w:rsidRPr="00FA6733">
        <w:rPr>
          <w:rFonts w:cs="Arial"/>
          <w:szCs w:val="24"/>
        </w:rPr>
        <w:t>. In 1999, 45,125 wer</w:t>
      </w:r>
      <w:r>
        <w:rPr>
          <w:rFonts w:cs="Arial"/>
          <w:szCs w:val="24"/>
        </w:rPr>
        <w:t>e enrolled for VAT</w:t>
      </w:r>
      <w:r w:rsidRPr="00FA6733">
        <w:rPr>
          <w:rFonts w:cs="Arial"/>
          <w:szCs w:val="24"/>
        </w:rPr>
        <w:t>, with 28,846 speedy assistance cafés (like cheeseburger outlets) and25392 eateries. An aggregate of 64,348 public h</w:t>
      </w:r>
      <w:r>
        <w:rPr>
          <w:rFonts w:cs="Arial"/>
          <w:szCs w:val="24"/>
        </w:rPr>
        <w:t>ouses served food. The United Kingdom</w:t>
      </w:r>
      <w:r w:rsidRPr="00FA6733">
        <w:rPr>
          <w:rFonts w:cs="Arial"/>
          <w:szCs w:val="24"/>
        </w:rPr>
        <w:t xml:space="preserve"> food preparation industry utilize</w:t>
      </w:r>
      <w:r>
        <w:rPr>
          <w:rFonts w:cs="Arial"/>
          <w:szCs w:val="24"/>
        </w:rPr>
        <w:t>d 1.75 million individuals, along</w:t>
      </w:r>
      <w:r w:rsidRPr="00FA6733">
        <w:rPr>
          <w:rFonts w:cs="Arial"/>
          <w:szCs w:val="24"/>
        </w:rPr>
        <w:t xml:space="preserve"> cafés represent</w:t>
      </w:r>
      <w:r>
        <w:rPr>
          <w:rFonts w:cs="Arial"/>
          <w:szCs w:val="24"/>
        </w:rPr>
        <w:t>ing 410,800 individuals. On these</w:t>
      </w:r>
      <w:r w:rsidRPr="00FA6733">
        <w:rPr>
          <w:rFonts w:cs="Arial"/>
          <w:szCs w:val="24"/>
        </w:rPr>
        <w:t xml:space="preserve"> aggregate</w:t>
      </w:r>
      <w:r>
        <w:rPr>
          <w:rFonts w:cs="Arial"/>
          <w:szCs w:val="24"/>
        </w:rPr>
        <w:t>s</w:t>
      </w:r>
      <w:r w:rsidRPr="00FA6733">
        <w:rPr>
          <w:rFonts w:cs="Arial"/>
          <w:szCs w:val="24"/>
        </w:rPr>
        <w:t>, there are 180,000 servers and servers, with 25% on full time limit and 75% low maintenance. There is no doubt, that coffee shop workers will generally be fresh</w:t>
      </w:r>
      <w:r>
        <w:rPr>
          <w:rFonts w:cs="Arial"/>
          <w:szCs w:val="24"/>
        </w:rPr>
        <w:t xml:space="preserve"> employees. This deprivation for</w:t>
      </w:r>
      <w:r w:rsidRPr="00FA6733">
        <w:rPr>
          <w:rFonts w:cs="Arial"/>
          <w:szCs w:val="24"/>
        </w:rPr>
        <w:t xml:space="preserve"> scholarships and the burden of education</w:t>
      </w:r>
      <w:r>
        <w:rPr>
          <w:rFonts w:cs="Arial"/>
          <w:szCs w:val="24"/>
        </w:rPr>
        <w:t xml:space="preserve"> forced many students</w:t>
      </w:r>
      <w:r w:rsidRPr="00FA6733">
        <w:rPr>
          <w:rFonts w:cs="Arial"/>
          <w:szCs w:val="24"/>
        </w:rPr>
        <w:t xml:space="preserve"> to cross the threshold the job marketplace</w:t>
      </w:r>
      <w:r>
        <w:rPr>
          <w:rFonts w:cs="Arial"/>
          <w:szCs w:val="24"/>
        </w:rPr>
        <w:t xml:space="preserve"> to help with completion of</w:t>
      </w:r>
      <w:r w:rsidRPr="00FA6733">
        <w:rPr>
          <w:rFonts w:cs="Arial"/>
          <w:szCs w:val="24"/>
        </w:rPr>
        <w:t xml:space="preserve"> </w:t>
      </w:r>
      <w:r>
        <w:rPr>
          <w:rFonts w:cs="Arial"/>
          <w:szCs w:val="24"/>
        </w:rPr>
        <w:t>study</w:t>
      </w:r>
      <w:r w:rsidRPr="00FA6733">
        <w:rPr>
          <w:rFonts w:cs="Arial"/>
          <w:szCs w:val="24"/>
        </w:rPr>
        <w:t xml:space="preserve">. Trade Union Congress (2000) shows that 72% of students are working. A new look at personnel at Manchester Metropolitan University shows that 44% have part-time work and of these, 36% work in the accommodation and cooking sectors (Curtis and Lucas, 2000). Bosses realize stunt double advantage in terms of knowledge, </w:t>
      </w:r>
      <w:r w:rsidR="005A5BE4" w:rsidRPr="00FA6733">
        <w:rPr>
          <w:rFonts w:cs="Arial"/>
          <w:szCs w:val="24"/>
        </w:rPr>
        <w:t>character,</w:t>
      </w:r>
      <w:r w:rsidRPr="00FA6733">
        <w:rPr>
          <w:rFonts w:cs="Arial"/>
          <w:szCs w:val="24"/>
        </w:rPr>
        <w:t xml:space="preserve"> and ability to communicate. To be sure, other studies have suggested that companies have demonstrated a predisposition to low employment, which they consider "significantly more resilient than other </w:t>
      </w:r>
      <w:r>
        <w:rPr>
          <w:rFonts w:cs="Arial"/>
          <w:szCs w:val="24"/>
        </w:rPr>
        <w:t xml:space="preserve">low-maintenance sectors of the </w:t>
      </w:r>
      <w:r w:rsidRPr="00FA6733">
        <w:rPr>
          <w:rFonts w:cs="Arial"/>
          <w:szCs w:val="24"/>
        </w:rPr>
        <w:t>workforce"</w:t>
      </w:r>
      <w:r>
        <w:rPr>
          <w:rFonts w:cs="Arial"/>
          <w:szCs w:val="24"/>
        </w:rPr>
        <w:t>(</w:t>
      </w:r>
      <w:r>
        <w:rPr>
          <w:rFonts w:cs="Arial"/>
          <w:color w:val="222222"/>
          <w:szCs w:val="24"/>
          <w:shd w:val="clear" w:color="auto" w:fill="FFFFFF"/>
        </w:rPr>
        <w:t>Lucas, R. and Ralston, L., 1997)</w:t>
      </w:r>
      <w:r w:rsidRPr="00FA6733">
        <w:rPr>
          <w:rFonts w:cs="Arial"/>
          <w:szCs w:val="24"/>
        </w:rPr>
        <w:t xml:space="preserve">. However, the </w:t>
      </w:r>
      <w:r>
        <w:rPr>
          <w:rFonts w:cs="Arial"/>
          <w:szCs w:val="24"/>
        </w:rPr>
        <w:t>organization “(</w:t>
      </w:r>
      <w:r w:rsidRPr="00FA6733">
        <w:rPr>
          <w:rFonts w:cs="Arial"/>
          <w:szCs w:val="24"/>
        </w:rPr>
        <w:t>H</w:t>
      </w:r>
      <w:r>
        <w:rPr>
          <w:rFonts w:cs="Arial"/>
          <w:szCs w:val="24"/>
        </w:rPr>
        <w:t xml:space="preserve">ospitality Training Foundation </w:t>
      </w:r>
      <w:r w:rsidRPr="00FA6733">
        <w:rPr>
          <w:rFonts w:cs="Arial"/>
          <w:szCs w:val="24"/>
        </w:rPr>
        <w:t>2000)</w:t>
      </w:r>
      <w:r>
        <w:rPr>
          <w:rFonts w:cs="Arial"/>
          <w:szCs w:val="24"/>
        </w:rPr>
        <w:t>”</w:t>
      </w:r>
      <w:r w:rsidRPr="00FA6733">
        <w:rPr>
          <w:rFonts w:cs="Arial"/>
          <w:szCs w:val="24"/>
        </w:rPr>
        <w:t xml:space="preserve"> notes that "the extraordinary number of fresh</w:t>
      </w:r>
      <w:r>
        <w:rPr>
          <w:rFonts w:cs="Arial"/>
          <w:szCs w:val="24"/>
        </w:rPr>
        <w:t xml:space="preserve"> professionals in</w:t>
      </w:r>
      <w:r w:rsidRPr="00FA6733">
        <w:rPr>
          <w:rFonts w:cs="Arial"/>
          <w:szCs w:val="24"/>
        </w:rPr>
        <w:t xml:space="preserve"> company go </w:t>
      </w:r>
      <w:r w:rsidR="00DC1BB3" w:rsidRPr="00FA6733">
        <w:rPr>
          <w:rFonts w:cs="Arial"/>
          <w:szCs w:val="24"/>
        </w:rPr>
        <w:t>an</w:t>
      </w:r>
      <w:r w:rsidRPr="00FA6733">
        <w:rPr>
          <w:rFonts w:cs="Arial"/>
          <w:szCs w:val="24"/>
        </w:rPr>
        <w:t xml:space="preserve"> extended mode in the direction of clarifying the key issues facing neighborhood bosses, such as turnover rates are high, with many young people considering positions in th</w:t>
      </w:r>
      <w:r>
        <w:rPr>
          <w:rFonts w:cs="Arial"/>
          <w:szCs w:val="24"/>
        </w:rPr>
        <w:t xml:space="preserve">e hotel industry such as </w:t>
      </w:r>
      <w:r w:rsidRPr="00FA6733">
        <w:rPr>
          <w:rFonts w:cs="Arial"/>
          <w:szCs w:val="24"/>
        </w:rPr>
        <w:t>In additional training, the H</w:t>
      </w:r>
      <w:r>
        <w:rPr>
          <w:rFonts w:cs="Arial"/>
          <w:szCs w:val="24"/>
        </w:rPr>
        <w:t xml:space="preserve">uman </w:t>
      </w:r>
      <w:r w:rsidRPr="00FA6733">
        <w:rPr>
          <w:rFonts w:cs="Arial"/>
          <w:szCs w:val="24"/>
        </w:rPr>
        <w:t>R</w:t>
      </w:r>
      <w:r>
        <w:rPr>
          <w:rFonts w:cs="Arial"/>
          <w:szCs w:val="24"/>
        </w:rPr>
        <w:t xml:space="preserve">esource </w:t>
      </w:r>
      <w:r w:rsidRPr="00FA6733">
        <w:rPr>
          <w:rFonts w:cs="Arial"/>
          <w:szCs w:val="24"/>
        </w:rPr>
        <w:t>M</w:t>
      </w:r>
      <w:r>
        <w:rPr>
          <w:rFonts w:cs="Arial"/>
          <w:szCs w:val="24"/>
        </w:rPr>
        <w:t>anagement</w:t>
      </w:r>
      <w:r w:rsidRPr="00FA6733">
        <w:rPr>
          <w:rFonts w:cs="Arial"/>
          <w:szCs w:val="24"/>
        </w:rPr>
        <w:t xml:space="preserve"> department of a minor restaurant collection established that forward-facing desk workers are “transient in nature.</w:t>
      </w:r>
      <w:r>
        <w:rPr>
          <w:rFonts w:cs="Arial"/>
          <w:szCs w:val="24"/>
        </w:rPr>
        <w:t>”(</w:t>
      </w:r>
      <w:proofErr w:type="spellStart"/>
      <w:r>
        <w:rPr>
          <w:rFonts w:cs="Arial"/>
          <w:color w:val="222222"/>
          <w:szCs w:val="24"/>
          <w:shd w:val="clear" w:color="auto" w:fill="FFFFFF"/>
        </w:rPr>
        <w:t>Kelliher</w:t>
      </w:r>
      <w:proofErr w:type="spellEnd"/>
      <w:r>
        <w:rPr>
          <w:rFonts w:cs="Arial"/>
          <w:color w:val="222222"/>
          <w:szCs w:val="24"/>
          <w:shd w:val="clear" w:color="auto" w:fill="FFFFFF"/>
        </w:rPr>
        <w:t>, C. and Perrett, G., 2001</w:t>
      </w:r>
      <w:r>
        <w:rPr>
          <w:rFonts w:cs="Arial"/>
          <w:szCs w:val="24"/>
        </w:rPr>
        <w:t>)</w:t>
      </w:r>
      <w:r w:rsidRPr="00FA6733">
        <w:rPr>
          <w:rFonts w:cs="Arial"/>
          <w:szCs w:val="24"/>
        </w:rPr>
        <w:t>, so coming up areas are often new</w:t>
      </w:r>
      <w:r>
        <w:rPr>
          <w:rFonts w:cs="Arial"/>
          <w:szCs w:val="24"/>
        </w:rPr>
        <w:t xml:space="preserve"> </w:t>
      </w:r>
      <w:r>
        <w:rPr>
          <w:rFonts w:cs="Arial"/>
          <w:szCs w:val="24"/>
        </w:rPr>
        <w:lastRenderedPageBreak/>
        <w:t>students</w:t>
      </w:r>
      <w:r w:rsidRPr="00FA6733">
        <w:rPr>
          <w:rFonts w:cs="Arial"/>
          <w:szCs w:val="24"/>
        </w:rPr>
        <w:t xml:space="preserve">, low maintenance, and do not enjoy taking care of gigs as a profession. </w:t>
      </w:r>
      <w:r w:rsidRPr="00106672">
        <w:rPr>
          <w:rFonts w:cs="Arial"/>
          <w:szCs w:val="24"/>
        </w:rPr>
        <w:t>Prior to October 1, 2021, allergy information for these products</w:t>
      </w:r>
      <w:r>
        <w:rPr>
          <w:rFonts w:cs="Arial"/>
          <w:szCs w:val="24"/>
        </w:rPr>
        <w:t xml:space="preserve"> could be provided in any way. </w:t>
      </w:r>
      <w:r w:rsidRPr="00106672">
        <w:rPr>
          <w:rFonts w:cs="Arial"/>
          <w:szCs w:val="24"/>
        </w:rPr>
        <w:t>Beginning October 1, 2021, governments throughout the United Kingdom have req</w:t>
      </w:r>
      <w:r>
        <w:rPr>
          <w:rFonts w:cs="Arial"/>
          <w:szCs w:val="24"/>
        </w:rPr>
        <w:t xml:space="preserve">uired certain foods to include </w:t>
      </w:r>
      <w:r w:rsidRPr="00106672">
        <w:rPr>
          <w:rFonts w:cs="Arial"/>
          <w:szCs w:val="24"/>
        </w:rPr>
        <w:t xml:space="preserve">information on ingredients </w:t>
      </w:r>
      <w:r>
        <w:rPr>
          <w:rFonts w:cs="Arial"/>
          <w:szCs w:val="24"/>
        </w:rPr>
        <w:t xml:space="preserve">and allergens on their labels. </w:t>
      </w:r>
      <w:r w:rsidRPr="00106672">
        <w:rPr>
          <w:rFonts w:cs="Arial"/>
          <w:szCs w:val="24"/>
        </w:rPr>
        <w:t xml:space="preserve">This amendment will increase transparency in the purchase and consumption of meals </w:t>
      </w:r>
      <w:r>
        <w:rPr>
          <w:rFonts w:cs="Arial"/>
          <w:szCs w:val="24"/>
        </w:rPr>
        <w:t>and provide certainty to people</w:t>
      </w:r>
      <w:r w:rsidRPr="00106672">
        <w:rPr>
          <w:rFonts w:cs="Arial"/>
          <w:szCs w:val="24"/>
        </w:rPr>
        <w:t xml:space="preserve"> with food aller</w:t>
      </w:r>
      <w:r>
        <w:rPr>
          <w:rFonts w:cs="Arial"/>
          <w:szCs w:val="24"/>
        </w:rPr>
        <w:t xml:space="preserve">gies </w:t>
      </w:r>
      <w:r w:rsidRPr="00106672">
        <w:rPr>
          <w:rFonts w:cs="Arial"/>
          <w:szCs w:val="24"/>
        </w:rPr>
        <w:t>when purchasing pre-packaged foods for direct sale such as sandwich</w:t>
      </w:r>
      <w:r>
        <w:rPr>
          <w:rFonts w:cs="Arial"/>
          <w:szCs w:val="24"/>
        </w:rPr>
        <w:t xml:space="preserve">es and salads. Teenage parents </w:t>
      </w:r>
      <w:r w:rsidRPr="00106672">
        <w:rPr>
          <w:rFonts w:cs="Arial"/>
          <w:szCs w:val="24"/>
        </w:rPr>
        <w:t xml:space="preserve">who died </w:t>
      </w:r>
      <w:r w:rsidR="005A5BE4" w:rsidRPr="00106672">
        <w:rPr>
          <w:rFonts w:cs="Arial"/>
          <w:szCs w:val="24"/>
        </w:rPr>
        <w:t>because of</w:t>
      </w:r>
      <w:r>
        <w:rPr>
          <w:rFonts w:cs="Arial"/>
          <w:szCs w:val="24"/>
        </w:rPr>
        <w:t xml:space="preserve"> an allergic reaction to </w:t>
      </w:r>
      <w:r w:rsidR="005C70E6" w:rsidRPr="00106672">
        <w:rPr>
          <w:rFonts w:cs="Arial"/>
          <w:szCs w:val="24"/>
        </w:rPr>
        <w:t>Pert</w:t>
      </w:r>
      <w:r w:rsidRPr="00106672">
        <w:rPr>
          <w:rFonts w:cs="Arial"/>
          <w:szCs w:val="24"/>
        </w:rPr>
        <w:t xml:space="preserve"> a Manger's ba</w:t>
      </w:r>
      <w:r>
        <w:rPr>
          <w:rFonts w:cs="Arial"/>
          <w:szCs w:val="24"/>
        </w:rPr>
        <w:t xml:space="preserve">guette welcomed the passage of </w:t>
      </w:r>
      <w:r w:rsidRPr="00106672">
        <w:rPr>
          <w:rFonts w:cs="Arial"/>
          <w:szCs w:val="24"/>
        </w:rPr>
        <w:t>new food safety regulations that require full labeling of all food ingredients and allergens produced. Pre-packaged for direct sale in the field</w:t>
      </w:r>
      <w:r>
        <w:rPr>
          <w:rFonts w:cs="Arial"/>
          <w:szCs w:val="24"/>
        </w:rPr>
        <w:t xml:space="preserve"> </w:t>
      </w:r>
      <w:hyperlink r:id="rId6" w:history="1">
        <w:r w:rsidRPr="00106672">
          <w:rPr>
            <w:rStyle w:val="Hyperlink"/>
            <w:rFonts w:cs="Arial"/>
            <w:szCs w:val="24"/>
          </w:rPr>
          <w:t>(https://www.narf.org.uk/).</w:t>
        </w:r>
      </w:hyperlink>
    </w:p>
    <w:p w14:paraId="20387106" w14:textId="5B205AA3" w:rsidR="00854157" w:rsidRDefault="00854157" w:rsidP="00854157">
      <w:pPr>
        <w:rPr>
          <w:rFonts w:cs="Arial"/>
          <w:szCs w:val="24"/>
        </w:rPr>
      </w:pPr>
      <w:r w:rsidRPr="00FA6733">
        <w:rPr>
          <w:rFonts w:cs="Arial"/>
          <w:szCs w:val="24"/>
        </w:rPr>
        <w:t>Numerous have acknowledged slight preparation, because ma</w:t>
      </w:r>
      <w:r>
        <w:rPr>
          <w:rFonts w:cs="Arial"/>
          <w:szCs w:val="24"/>
        </w:rPr>
        <w:t>nagers are afraid assigning hours</w:t>
      </w:r>
      <w:r w:rsidRPr="00FA6733">
        <w:rPr>
          <w:rFonts w:cs="Arial"/>
          <w:szCs w:val="24"/>
        </w:rPr>
        <w:t xml:space="preserve"> and currency to employees who are unable to stay in their occupations for a certain era</w:t>
      </w:r>
      <w:r>
        <w:rPr>
          <w:rFonts w:cs="Arial"/>
          <w:szCs w:val="24"/>
        </w:rPr>
        <w:t xml:space="preserve"> of </w:t>
      </w:r>
      <w:r w:rsidR="00E9275A">
        <w:rPr>
          <w:rFonts w:cs="Arial"/>
          <w:szCs w:val="24"/>
        </w:rPr>
        <w:t>time,</w:t>
      </w:r>
      <w:r>
        <w:rPr>
          <w:rFonts w:cs="Arial"/>
          <w:szCs w:val="24"/>
        </w:rPr>
        <w:t xml:space="preserve"> the </w:t>
      </w:r>
      <w:r w:rsidRPr="00FA6733">
        <w:rPr>
          <w:rFonts w:cs="Arial"/>
          <w:szCs w:val="24"/>
        </w:rPr>
        <w:t xml:space="preserve">standard may be </w:t>
      </w:r>
      <w:r w:rsidR="005A5BE4" w:rsidRPr="00FA6733">
        <w:rPr>
          <w:rFonts w:cs="Arial"/>
          <w:szCs w:val="24"/>
        </w:rPr>
        <w:t>little,</w:t>
      </w:r>
      <w:r w:rsidRPr="00FA6733">
        <w:rPr>
          <w:rFonts w:cs="Arial"/>
          <w:szCs w:val="24"/>
        </w:rPr>
        <w:t xml:space="preserve"> and employees possibly will not be acquainted with how to grip special dinner desires separate. About a quarter of a million (235,100) restaurant workers are paid to cook, 62% full-time, but are still underemployed. There were 15,268 opportunities (6.5% absolute workforce) for culi</w:t>
      </w:r>
      <w:r>
        <w:rPr>
          <w:rFonts w:cs="Arial"/>
          <w:szCs w:val="24"/>
        </w:rPr>
        <w:t xml:space="preserve">nary professionals/chefs as of </w:t>
      </w:r>
      <w:r w:rsidRPr="00FA6733">
        <w:rPr>
          <w:rFonts w:cs="Arial"/>
          <w:szCs w:val="24"/>
        </w:rPr>
        <w:t>July 1999 (Hospitality Training Foundation, 2000). In addition, the side by side of pr</w:t>
      </w:r>
      <w:r>
        <w:rPr>
          <w:rFonts w:cs="Arial"/>
          <w:szCs w:val="24"/>
        </w:rPr>
        <w:t>eparation expected to work out the</w:t>
      </w:r>
      <w:r w:rsidRPr="00FA6733">
        <w:rPr>
          <w:rFonts w:cs="Arial"/>
          <w:szCs w:val="24"/>
        </w:rPr>
        <w:t xml:space="preserve"> food industry is negligible. N</w:t>
      </w:r>
      <w:r>
        <w:rPr>
          <w:rFonts w:cs="Arial"/>
          <w:szCs w:val="24"/>
        </w:rPr>
        <w:t>ever</w:t>
      </w:r>
      <w:r w:rsidRPr="00FA6733">
        <w:rPr>
          <w:rFonts w:cs="Arial"/>
          <w:szCs w:val="24"/>
        </w:rPr>
        <w:t xml:space="preserve"> the chef nor the owner essential to be qualified to work in the business, let alone information about food sensitivities and special dietary needs. More attention to the sensitivity and background of possible frameworks for screening purchaser orders and</w:t>
      </w:r>
      <w:r>
        <w:rPr>
          <w:rFonts w:cs="Arial"/>
          <w:szCs w:val="24"/>
        </w:rPr>
        <w:t xml:space="preserve"> well-prepared workforce </w:t>
      </w:r>
      <w:r w:rsidRPr="00FA6733">
        <w:rPr>
          <w:rFonts w:cs="Arial"/>
          <w:szCs w:val="24"/>
        </w:rPr>
        <w:t>pos</w:t>
      </w:r>
      <w:r>
        <w:rPr>
          <w:rFonts w:cs="Arial"/>
          <w:szCs w:val="24"/>
        </w:rPr>
        <w:t>sibly will be conceivable arrangements. This</w:t>
      </w:r>
      <w:r w:rsidRPr="00FA6733">
        <w:rPr>
          <w:rFonts w:cs="Arial"/>
          <w:szCs w:val="24"/>
        </w:rPr>
        <w:t xml:space="preserve"> commitment for </w:t>
      </w:r>
      <w:r w:rsidR="00E9275A" w:rsidRPr="00FA6733">
        <w:rPr>
          <w:rFonts w:cs="Arial"/>
          <w:szCs w:val="24"/>
        </w:rPr>
        <w:t>this break</w:t>
      </w:r>
      <w:r w:rsidRPr="00FA6733">
        <w:rPr>
          <w:rFonts w:cs="Arial"/>
          <w:szCs w:val="24"/>
        </w:rPr>
        <w:t xml:space="preserve"> with the owners of food channels, who plainly prerequisite to acquire a more noteworthy comprehension of the matters required prior to preparing their staff. In any case, they don't appear to be ready to pay for this preparation. Public Institute of Allergy and Infectious Diseases, working with 34 expert associations, government organizations, and patient promotion gatherings, drove the improvement of clinical rules for the determination and the board of food sensitivity (</w:t>
      </w:r>
      <w:r w:rsidRPr="00FA6733">
        <w:rPr>
          <w:rFonts w:cs="Arial"/>
          <w:color w:val="222222"/>
          <w:szCs w:val="24"/>
          <w:shd w:val="clear" w:color="auto" w:fill="FFFFFF"/>
        </w:rPr>
        <w:t>Fraser, B., 2020)</w:t>
      </w:r>
      <w:r w:rsidRPr="00FA6733">
        <w:rPr>
          <w:rFonts w:cs="Arial"/>
          <w:szCs w:val="24"/>
        </w:rPr>
        <w:t>. These Guidelines are planned for use by a wide assortment of medical care experts, including family practice doctors, clinical trained professionals, and attendant specialists.</w:t>
      </w:r>
    </w:p>
    <w:p w14:paraId="3054B09F" w14:textId="77777777" w:rsidR="00854157" w:rsidRPr="00FA6733" w:rsidRDefault="00854157" w:rsidP="00854157">
      <w:pPr>
        <w:pStyle w:val="Heading1"/>
        <w:spacing w:line="360" w:lineRule="auto"/>
        <w:jc w:val="both"/>
        <w:rPr>
          <w:rFonts w:cs="Arial"/>
          <w:sz w:val="24"/>
          <w:szCs w:val="24"/>
        </w:rPr>
      </w:pPr>
      <w:r w:rsidRPr="00FA6733">
        <w:rPr>
          <w:rFonts w:cs="Arial"/>
          <w:b/>
          <w:sz w:val="24"/>
          <w:szCs w:val="24"/>
        </w:rPr>
        <w:lastRenderedPageBreak/>
        <w:t>References</w:t>
      </w:r>
      <w:r w:rsidRPr="00FA6733">
        <w:rPr>
          <w:rFonts w:cs="Arial"/>
          <w:sz w:val="24"/>
          <w:szCs w:val="24"/>
        </w:rPr>
        <w:t>:</w:t>
      </w:r>
    </w:p>
    <w:p w14:paraId="3C089B81" w14:textId="77777777" w:rsidR="00854157" w:rsidRPr="00FA6733" w:rsidRDefault="00854157" w:rsidP="00854157">
      <w:pPr>
        <w:rPr>
          <w:rFonts w:cs="Arial"/>
          <w:color w:val="222222"/>
          <w:szCs w:val="24"/>
          <w:shd w:val="clear" w:color="auto" w:fill="FFFFFF"/>
        </w:rPr>
      </w:pPr>
      <w:r w:rsidRPr="00FA6733">
        <w:rPr>
          <w:rFonts w:cs="Arial"/>
          <w:color w:val="222222"/>
          <w:szCs w:val="24"/>
          <w:shd w:val="clear" w:color="auto" w:fill="FFFFFF"/>
        </w:rPr>
        <w:t>Fraser, B., 2020. From Hospitality Classrooms to Successful Careers: A Current Appraisal of Australian International Hotel Requirements. </w:t>
      </w:r>
      <w:r w:rsidRPr="00FA6733">
        <w:rPr>
          <w:rFonts w:cs="Arial"/>
          <w:i/>
          <w:iCs/>
          <w:color w:val="222222"/>
          <w:szCs w:val="24"/>
          <w:shd w:val="clear" w:color="auto" w:fill="FFFFFF"/>
        </w:rPr>
        <w:t>Journal of Hospitality &amp; Tourism Education</w:t>
      </w:r>
      <w:r w:rsidRPr="00FA6733">
        <w:rPr>
          <w:rFonts w:cs="Arial"/>
          <w:color w:val="222222"/>
          <w:szCs w:val="24"/>
          <w:shd w:val="clear" w:color="auto" w:fill="FFFFFF"/>
        </w:rPr>
        <w:t>, </w:t>
      </w:r>
      <w:r w:rsidRPr="00FA6733">
        <w:rPr>
          <w:rFonts w:cs="Arial"/>
          <w:i/>
          <w:iCs/>
          <w:color w:val="222222"/>
          <w:szCs w:val="24"/>
          <w:shd w:val="clear" w:color="auto" w:fill="FFFFFF"/>
        </w:rPr>
        <w:t>32</w:t>
      </w:r>
      <w:r w:rsidRPr="00FA6733">
        <w:rPr>
          <w:rFonts w:cs="Arial"/>
          <w:color w:val="222222"/>
          <w:szCs w:val="24"/>
          <w:shd w:val="clear" w:color="auto" w:fill="FFFFFF"/>
        </w:rPr>
        <w:t>(4), pp.234-254.</w:t>
      </w:r>
    </w:p>
    <w:p w14:paraId="3142723D" w14:textId="0B0DDED1" w:rsidR="00854157" w:rsidRPr="00FA6733" w:rsidRDefault="00854157" w:rsidP="00854157">
      <w:pPr>
        <w:rPr>
          <w:rFonts w:cs="Arial"/>
          <w:szCs w:val="24"/>
        </w:rPr>
      </w:pPr>
      <w:r w:rsidRPr="00FA6733">
        <w:rPr>
          <w:rFonts w:cs="Arial"/>
          <w:szCs w:val="24"/>
        </w:rPr>
        <w:t xml:space="preserve">Hospitality Training Foundation (2000), </w:t>
      </w:r>
      <w:r w:rsidR="005C70E6" w:rsidRPr="00FA6733">
        <w:rPr>
          <w:rFonts w:cs="Arial"/>
          <w:szCs w:val="24"/>
        </w:rPr>
        <w:t>Labor</w:t>
      </w:r>
      <w:r w:rsidRPr="00FA6733">
        <w:rPr>
          <w:rFonts w:cs="Arial"/>
          <w:szCs w:val="24"/>
        </w:rPr>
        <w:t xml:space="preserve"> Market Review 2000, HTF, London.</w:t>
      </w:r>
    </w:p>
    <w:p w14:paraId="5D2567D9" w14:textId="77777777" w:rsidR="00854157" w:rsidRPr="00FA6733" w:rsidRDefault="00854157" w:rsidP="00854157">
      <w:pPr>
        <w:rPr>
          <w:rFonts w:cs="Arial"/>
          <w:color w:val="222222"/>
          <w:szCs w:val="24"/>
          <w:shd w:val="clear" w:color="auto" w:fill="FFFFFF"/>
        </w:rPr>
      </w:pPr>
      <w:proofErr w:type="spellStart"/>
      <w:r w:rsidRPr="00FA6733">
        <w:rPr>
          <w:rFonts w:cs="Arial"/>
          <w:color w:val="222222"/>
          <w:szCs w:val="24"/>
          <w:shd w:val="clear" w:color="auto" w:fill="FFFFFF"/>
        </w:rPr>
        <w:t>Pratten</w:t>
      </w:r>
      <w:proofErr w:type="spellEnd"/>
      <w:r w:rsidRPr="00FA6733">
        <w:rPr>
          <w:rFonts w:cs="Arial"/>
          <w:color w:val="222222"/>
          <w:szCs w:val="24"/>
          <w:shd w:val="clear" w:color="auto" w:fill="FFFFFF"/>
        </w:rPr>
        <w:t>, J.D., 2004. Customer satisfaction and waiting staff. </w:t>
      </w:r>
      <w:r w:rsidRPr="00FA6733">
        <w:rPr>
          <w:rFonts w:cs="Arial"/>
          <w:i/>
          <w:iCs/>
          <w:color w:val="222222"/>
          <w:szCs w:val="24"/>
          <w:shd w:val="clear" w:color="auto" w:fill="FFFFFF"/>
        </w:rPr>
        <w:t>International Journal of Contemporary Hospitality Management</w:t>
      </w:r>
      <w:r w:rsidRPr="00FA6733">
        <w:rPr>
          <w:rFonts w:cs="Arial"/>
          <w:color w:val="222222"/>
          <w:szCs w:val="24"/>
          <w:shd w:val="clear" w:color="auto" w:fill="FFFFFF"/>
        </w:rPr>
        <w:t>.</w:t>
      </w:r>
    </w:p>
    <w:p w14:paraId="7F0DD9ED" w14:textId="77777777" w:rsidR="00854157" w:rsidRPr="00FA6733" w:rsidRDefault="00854157" w:rsidP="00854157">
      <w:pPr>
        <w:rPr>
          <w:rFonts w:cs="Arial"/>
          <w:szCs w:val="24"/>
        </w:rPr>
      </w:pPr>
      <w:r w:rsidRPr="00FA6733">
        <w:rPr>
          <w:rFonts w:cs="Arial"/>
          <w:color w:val="222222"/>
          <w:szCs w:val="24"/>
          <w:shd w:val="clear" w:color="auto" w:fill="FFFFFF"/>
        </w:rPr>
        <w:t>Baum, T., 2002. Skills and training for the hospitality sector: a review of issues. </w:t>
      </w:r>
      <w:r w:rsidRPr="00FA6733">
        <w:rPr>
          <w:rFonts w:cs="Arial"/>
          <w:i/>
          <w:iCs/>
          <w:color w:val="222222"/>
          <w:szCs w:val="24"/>
          <w:shd w:val="clear" w:color="auto" w:fill="FFFFFF"/>
        </w:rPr>
        <w:t>Journal of vocational Education and Training</w:t>
      </w:r>
      <w:r w:rsidRPr="00FA6733">
        <w:rPr>
          <w:rFonts w:cs="Arial"/>
          <w:color w:val="222222"/>
          <w:szCs w:val="24"/>
          <w:shd w:val="clear" w:color="auto" w:fill="FFFFFF"/>
        </w:rPr>
        <w:t>, </w:t>
      </w:r>
      <w:r w:rsidRPr="00FA6733">
        <w:rPr>
          <w:rFonts w:cs="Arial"/>
          <w:i/>
          <w:iCs/>
          <w:color w:val="222222"/>
          <w:szCs w:val="24"/>
          <w:shd w:val="clear" w:color="auto" w:fill="FFFFFF"/>
        </w:rPr>
        <w:t>54</w:t>
      </w:r>
      <w:r w:rsidRPr="00FA6733">
        <w:rPr>
          <w:rFonts w:cs="Arial"/>
          <w:color w:val="222222"/>
          <w:szCs w:val="24"/>
          <w:shd w:val="clear" w:color="auto" w:fill="FFFFFF"/>
        </w:rPr>
        <w:t>(3), pp.343-364.</w:t>
      </w:r>
    </w:p>
    <w:p w14:paraId="516E6117" w14:textId="77777777" w:rsidR="00854157" w:rsidRPr="00FA6733" w:rsidRDefault="00854157" w:rsidP="00854157">
      <w:pPr>
        <w:rPr>
          <w:rFonts w:cs="Arial"/>
          <w:szCs w:val="24"/>
        </w:rPr>
      </w:pPr>
      <w:proofErr w:type="spellStart"/>
      <w:r w:rsidRPr="00FA6733">
        <w:rPr>
          <w:rFonts w:cs="Arial"/>
          <w:color w:val="222222"/>
          <w:szCs w:val="24"/>
          <w:shd w:val="clear" w:color="auto" w:fill="FFFFFF"/>
        </w:rPr>
        <w:t>Kelliher</w:t>
      </w:r>
      <w:proofErr w:type="spellEnd"/>
      <w:r w:rsidRPr="00FA6733">
        <w:rPr>
          <w:rFonts w:cs="Arial"/>
          <w:color w:val="222222"/>
          <w:szCs w:val="24"/>
          <w:shd w:val="clear" w:color="auto" w:fill="FFFFFF"/>
        </w:rPr>
        <w:t>, C. and Perrett, G., 2001. Business strategy and approaches to HRM</w:t>
      </w:r>
      <w:r w:rsidRPr="00FA6733">
        <w:rPr>
          <w:rFonts w:ascii="Cambria Math" w:hAnsi="Cambria Math" w:cs="Cambria Math"/>
          <w:color w:val="222222"/>
          <w:szCs w:val="24"/>
          <w:shd w:val="clear" w:color="auto" w:fill="FFFFFF"/>
        </w:rPr>
        <w:t>‐</w:t>
      </w:r>
      <w:r w:rsidRPr="00FA6733">
        <w:rPr>
          <w:rFonts w:cs="Arial"/>
          <w:color w:val="222222"/>
          <w:szCs w:val="24"/>
          <w:shd w:val="clear" w:color="auto" w:fill="FFFFFF"/>
        </w:rPr>
        <w:t>A case study of new developments in the United Kingdom restaurant industry. </w:t>
      </w:r>
      <w:r w:rsidRPr="00FA6733">
        <w:rPr>
          <w:rFonts w:cs="Arial"/>
          <w:i/>
          <w:iCs/>
          <w:color w:val="222222"/>
          <w:szCs w:val="24"/>
          <w:shd w:val="clear" w:color="auto" w:fill="FFFFFF"/>
        </w:rPr>
        <w:t>Personnel Review</w:t>
      </w:r>
      <w:r w:rsidRPr="00FA6733">
        <w:rPr>
          <w:rFonts w:cs="Arial"/>
          <w:color w:val="222222"/>
          <w:szCs w:val="24"/>
          <w:shd w:val="clear" w:color="auto" w:fill="FFFFFF"/>
        </w:rPr>
        <w:t>.</w:t>
      </w:r>
    </w:p>
    <w:p w14:paraId="128FA346" w14:textId="77777777" w:rsidR="00854157" w:rsidRPr="00FA6733" w:rsidRDefault="00854157" w:rsidP="00854157">
      <w:pPr>
        <w:rPr>
          <w:rFonts w:cs="Arial"/>
          <w:color w:val="222222"/>
          <w:szCs w:val="24"/>
          <w:shd w:val="clear" w:color="auto" w:fill="FFFFFF"/>
        </w:rPr>
      </w:pPr>
      <w:r w:rsidRPr="00FA6733">
        <w:rPr>
          <w:rFonts w:cs="Arial"/>
          <w:color w:val="222222"/>
          <w:szCs w:val="24"/>
          <w:shd w:val="clear" w:color="auto" w:fill="FFFFFF"/>
        </w:rPr>
        <w:t>Marsh, M.N., 1992. Mucosal pathology in gluten sensitivity. In </w:t>
      </w:r>
      <w:r w:rsidRPr="00FA6733">
        <w:rPr>
          <w:rFonts w:cs="Arial"/>
          <w:i/>
          <w:iCs/>
          <w:color w:val="222222"/>
          <w:szCs w:val="24"/>
          <w:shd w:val="clear" w:color="auto" w:fill="FFFFFF"/>
        </w:rPr>
        <w:t>Coeliac disease</w:t>
      </w:r>
      <w:r w:rsidRPr="00FA6733">
        <w:rPr>
          <w:rFonts w:cs="Arial"/>
          <w:color w:val="222222"/>
          <w:szCs w:val="24"/>
          <w:shd w:val="clear" w:color="auto" w:fill="FFFFFF"/>
        </w:rPr>
        <w:t> (pp. 136-191). Blackwell Scientific Publications, Oxford.</w:t>
      </w:r>
    </w:p>
    <w:p w14:paraId="2B7767D5" w14:textId="18E51B39" w:rsidR="00854157" w:rsidRPr="00FA6733" w:rsidRDefault="00854157" w:rsidP="00854157">
      <w:pPr>
        <w:rPr>
          <w:rFonts w:cs="Arial"/>
          <w:szCs w:val="24"/>
        </w:rPr>
      </w:pPr>
      <w:r w:rsidRPr="00FA6733">
        <w:rPr>
          <w:rFonts w:cs="Arial"/>
          <w:color w:val="222222"/>
          <w:szCs w:val="24"/>
          <w:shd w:val="clear" w:color="auto" w:fill="FFFFFF"/>
        </w:rPr>
        <w:t xml:space="preserve">Lucas, R. and Ralston, L., 1997. Youth, </w:t>
      </w:r>
      <w:r w:rsidR="005A5BE4" w:rsidRPr="00FA6733">
        <w:rPr>
          <w:rFonts w:cs="Arial"/>
          <w:color w:val="222222"/>
          <w:szCs w:val="24"/>
          <w:shd w:val="clear" w:color="auto" w:fill="FFFFFF"/>
        </w:rPr>
        <w:t>gender,</w:t>
      </w:r>
      <w:r w:rsidRPr="00FA6733">
        <w:rPr>
          <w:rFonts w:cs="Arial"/>
          <w:color w:val="222222"/>
          <w:szCs w:val="24"/>
          <w:shd w:val="clear" w:color="auto" w:fill="FFFFFF"/>
        </w:rPr>
        <w:t xml:space="preserve"> and part</w:t>
      </w:r>
      <w:r w:rsidRPr="00FA6733">
        <w:rPr>
          <w:rFonts w:ascii="Cambria Math" w:hAnsi="Cambria Math" w:cs="Cambria Math"/>
          <w:color w:val="222222"/>
          <w:szCs w:val="24"/>
          <w:shd w:val="clear" w:color="auto" w:fill="FFFFFF"/>
        </w:rPr>
        <w:t>‐</w:t>
      </w:r>
      <w:r w:rsidRPr="00FA6733">
        <w:rPr>
          <w:rFonts w:cs="Arial"/>
          <w:color w:val="222222"/>
          <w:szCs w:val="24"/>
          <w:shd w:val="clear" w:color="auto" w:fill="FFFFFF"/>
        </w:rPr>
        <w:t>time employment: a preliminary appraisal of student employment. </w:t>
      </w:r>
      <w:r w:rsidRPr="00FA6733">
        <w:rPr>
          <w:rFonts w:cs="Arial"/>
          <w:i/>
          <w:iCs/>
          <w:color w:val="222222"/>
          <w:szCs w:val="24"/>
          <w:shd w:val="clear" w:color="auto" w:fill="FFFFFF"/>
        </w:rPr>
        <w:t>Employee Relations</w:t>
      </w:r>
      <w:r w:rsidRPr="00FA6733">
        <w:rPr>
          <w:rFonts w:cs="Arial"/>
          <w:color w:val="222222"/>
          <w:szCs w:val="24"/>
          <w:shd w:val="clear" w:color="auto" w:fill="FFFFFF"/>
        </w:rPr>
        <w:t>.</w:t>
      </w:r>
    </w:p>
    <w:p w14:paraId="70124F5F" w14:textId="77777777" w:rsidR="00A665C9" w:rsidRDefault="00A665C9"/>
    <w:sectPr w:rsidR="00A66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F37"/>
    <w:rsid w:val="00274686"/>
    <w:rsid w:val="00347F6F"/>
    <w:rsid w:val="005A5BE4"/>
    <w:rsid w:val="005C70E6"/>
    <w:rsid w:val="006115D8"/>
    <w:rsid w:val="007B6F37"/>
    <w:rsid w:val="007E7DC2"/>
    <w:rsid w:val="00854157"/>
    <w:rsid w:val="0086068D"/>
    <w:rsid w:val="00A665C9"/>
    <w:rsid w:val="00D41DB2"/>
    <w:rsid w:val="00DC1BB3"/>
    <w:rsid w:val="00DD134E"/>
    <w:rsid w:val="00E92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08564"/>
  <w15:chartTrackingRefBased/>
  <w15:docId w15:val="{1EA4EDF7-7BE8-46F3-ABB1-DADB4CFC1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DC2"/>
    <w:pPr>
      <w:pBdr>
        <w:top w:val="nil"/>
        <w:left w:val="nil"/>
        <w:bottom w:val="nil"/>
        <w:right w:val="nil"/>
        <w:between w:val="nil"/>
        <w:bar w:val="nil"/>
      </w:pBdr>
      <w:spacing w:before="120" w:after="120" w:line="360" w:lineRule="auto"/>
      <w:jc w:val="both"/>
    </w:pPr>
    <w:rPr>
      <w:rFonts w:ascii="Arial" w:eastAsia="Times New Roman" w:hAnsi="Arial" w:cs="Times New Roman"/>
      <w:color w:val="000000"/>
      <w:sz w:val="24"/>
      <w:szCs w:val="20"/>
      <w:u w:color="000000"/>
      <w:bdr w:val="nil"/>
      <w:lang w:val="en-US" w:eastAsia="en-IN"/>
    </w:rPr>
  </w:style>
  <w:style w:type="paragraph" w:styleId="Heading1">
    <w:name w:val="heading 1"/>
    <w:basedOn w:val="Normal"/>
    <w:next w:val="Normal"/>
    <w:link w:val="Heading1Char"/>
    <w:uiPriority w:val="9"/>
    <w:qFormat/>
    <w:rsid w:val="0085415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jc w:val="left"/>
      <w:outlineLvl w:val="0"/>
    </w:pPr>
    <w:rPr>
      <w:rFonts w:eastAsiaTheme="majorEastAsia" w:cstheme="majorBidi"/>
      <w:color w:val="auto"/>
      <w:sz w:val="28"/>
      <w:szCs w:val="32"/>
      <w:bdr w:val="none" w:sz="0" w:space="0" w:color="auto"/>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157"/>
    <w:rPr>
      <w:rFonts w:ascii="Arial" w:eastAsiaTheme="majorEastAsia" w:hAnsi="Arial" w:cstheme="majorBidi"/>
      <w:sz w:val="28"/>
      <w:szCs w:val="32"/>
      <w:lang w:val="en-US"/>
    </w:rPr>
  </w:style>
  <w:style w:type="character" w:styleId="Hyperlink">
    <w:name w:val="Hyperlink"/>
    <w:basedOn w:val="DefaultParagraphFont"/>
    <w:uiPriority w:val="99"/>
    <w:unhideWhenUsed/>
    <w:rsid w:val="008541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rf.org.uk/)." TargetMode="Externa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985</Words>
  <Characters>5617</Characters>
  <Application>Microsoft Office Word</Application>
  <DocSecurity>0</DocSecurity>
  <Lines>46</Lines>
  <Paragraphs>13</Paragraphs>
  <ScaleCrop>false</ScaleCrop>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dc:creator>
  <cp:keywords/>
  <dc:description/>
  <cp:lastModifiedBy>Catalin</cp:lastModifiedBy>
  <cp:revision>2</cp:revision>
  <dcterms:created xsi:type="dcterms:W3CDTF">2022-02-10T18:37:00Z</dcterms:created>
  <dcterms:modified xsi:type="dcterms:W3CDTF">2022-02-10T18:37:00Z</dcterms:modified>
</cp:coreProperties>
</file>