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1495D" w14:textId="5CEB29C0" w:rsidR="00AC56CF" w:rsidRPr="007E01CF" w:rsidRDefault="00AC56CF" w:rsidP="007E01CF">
      <w:pPr>
        <w:pStyle w:val="p1"/>
        <w:spacing w:line="480" w:lineRule="auto"/>
        <w:jc w:val="center"/>
        <w:rPr>
          <w:rFonts w:ascii="Calibri" w:hAnsi="Calibri" w:cs="Calibri"/>
          <w:sz w:val="28"/>
          <w:szCs w:val="28"/>
          <w:u w:val="single"/>
        </w:rPr>
      </w:pPr>
      <w:r w:rsidRPr="007E01CF">
        <w:rPr>
          <w:rFonts w:ascii="Calibri" w:hAnsi="Calibri" w:cs="Calibri"/>
          <w:sz w:val="28"/>
          <w:szCs w:val="28"/>
          <w:u w:val="single"/>
        </w:rPr>
        <w:t>Research Report: A qualitative report using thematic analysis on teaching assistants’ experiences working with children with ADHD</w:t>
      </w:r>
    </w:p>
    <w:p w14:paraId="4F4844C7" w14:textId="7E8167FC"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t>Abstract</w:t>
      </w:r>
    </w:p>
    <w:p w14:paraId="620CB184" w14:textId="25F9CE57" w:rsidR="000F2105" w:rsidRPr="007E01CF" w:rsidRDefault="007D391A" w:rsidP="007E01CF">
      <w:pPr>
        <w:pStyle w:val="isselectedend"/>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This research report is based on the exploration of teaching assistants’ experiences when working and supporting children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(ADHD), utilising a qualitative design of semi-structured interviews to adopt a thematic analysis approach within data collection. Reflexive thematic analysis will be conducted to detect patterns throughout participants’ evidence. </w:t>
      </w:r>
    </w:p>
    <w:p w14:paraId="29074573" w14:textId="1275A3D8" w:rsidR="00EC33F8" w:rsidRPr="00EC33F8" w:rsidRDefault="00EC33F8" w:rsidP="00C23A15">
      <w:pPr>
        <w:pStyle w:val="NormalWeb"/>
        <w:spacing w:line="480" w:lineRule="auto"/>
        <w:jc w:val="both"/>
        <w:rPr>
          <w:rFonts w:ascii="Calibri" w:hAnsi="Calibri" w:cs="Calibri"/>
          <w:color w:val="000000" w:themeColor="text1"/>
        </w:rPr>
      </w:pPr>
      <w:r w:rsidRPr="00EC33F8">
        <w:rPr>
          <w:rFonts w:ascii="Calibri" w:hAnsi="Calibri" w:cs="Calibri"/>
          <w:color w:val="000000" w:themeColor="text1"/>
        </w:rPr>
        <w:t>There were three main themes that emerged. First, negotiating complexity encapsulated the dynamic and frequently unpredictable character of helping children with ADHD, necessitating ongoing strategy adaption. Second, the substantial emotional requirements imposed on teaching assistants, such as, handling frustration while cultivating trust and constructive relationships were brought to light by emotional labour. Third, participants' opinions of inadequate training, a shortage of adequate resources, and a lack of acknowledgement within the larger academic framework were reflected in systemic limitations.</w:t>
      </w:r>
    </w:p>
    <w:p w14:paraId="623BE615" w14:textId="1E5A2438" w:rsidR="00C23A15" w:rsidRPr="00EC33F8" w:rsidRDefault="00EC33F8" w:rsidP="007E01CF">
      <w:pPr>
        <w:pStyle w:val="p1"/>
        <w:spacing w:line="480" w:lineRule="auto"/>
        <w:jc w:val="both"/>
        <w:rPr>
          <w:rFonts w:ascii="Calibri" w:hAnsi="Calibri" w:cs="Calibri"/>
          <w:sz w:val="22"/>
          <w:szCs w:val="22"/>
        </w:rPr>
      </w:pPr>
      <w:r w:rsidRPr="00EC33F8">
        <w:rPr>
          <w:rFonts w:ascii="Calibri" w:hAnsi="Calibri" w:cs="Calibri"/>
          <w:sz w:val="22"/>
          <w:szCs w:val="22"/>
        </w:rPr>
        <w:t xml:space="preserve">These results imply that although teaching assistants are essential to inclusive education, larger institutional and structural variables influence how effective they are. </w:t>
      </w:r>
      <w:proofErr w:type="gramStart"/>
      <w:r w:rsidRPr="00EC33F8">
        <w:rPr>
          <w:rFonts w:ascii="Calibri" w:hAnsi="Calibri" w:cs="Calibri"/>
          <w:sz w:val="22"/>
          <w:szCs w:val="22"/>
        </w:rPr>
        <w:t>In order to</w:t>
      </w:r>
      <w:proofErr w:type="gramEnd"/>
      <w:r w:rsidRPr="00EC33F8">
        <w:rPr>
          <w:rFonts w:ascii="Calibri" w:hAnsi="Calibri" w:cs="Calibri"/>
          <w:sz w:val="22"/>
          <w:szCs w:val="22"/>
        </w:rPr>
        <w:t xml:space="preserve"> improve staff wellbeing and student outcomes, consequences involve the necessity for focused professional development, more precise role description, and more institutional support. Future studies should look more closely at how educational systems may serve neurodiverse students by better integrating and empowering teaching assistants.</w:t>
      </w:r>
    </w:p>
    <w:p w14:paraId="468F2462" w14:textId="77777777" w:rsidR="00C23A15" w:rsidRDefault="00C23A15" w:rsidP="007E01CF">
      <w:pPr>
        <w:pStyle w:val="p1"/>
        <w:spacing w:line="480" w:lineRule="auto"/>
        <w:jc w:val="both"/>
        <w:rPr>
          <w:rFonts w:ascii="Calibri" w:hAnsi="Calibri" w:cs="Calibri"/>
          <w:sz w:val="24"/>
          <w:szCs w:val="24"/>
          <w:u w:val="single"/>
        </w:rPr>
      </w:pPr>
    </w:p>
    <w:p w14:paraId="186ABB53" w14:textId="77777777" w:rsidR="00EC33F8" w:rsidRDefault="00EC33F8" w:rsidP="007E01CF">
      <w:pPr>
        <w:pStyle w:val="p1"/>
        <w:spacing w:line="480" w:lineRule="auto"/>
        <w:jc w:val="both"/>
        <w:rPr>
          <w:rFonts w:ascii="Calibri" w:hAnsi="Calibri" w:cs="Calibri"/>
          <w:sz w:val="24"/>
          <w:szCs w:val="24"/>
          <w:u w:val="single"/>
        </w:rPr>
      </w:pPr>
    </w:p>
    <w:p w14:paraId="2D73C3B8" w14:textId="77777777" w:rsidR="00EC33F8" w:rsidRDefault="00EC33F8" w:rsidP="007E01CF">
      <w:pPr>
        <w:pStyle w:val="p1"/>
        <w:spacing w:line="480" w:lineRule="auto"/>
        <w:jc w:val="both"/>
        <w:rPr>
          <w:rFonts w:ascii="Calibri" w:hAnsi="Calibri" w:cs="Calibri"/>
          <w:sz w:val="24"/>
          <w:szCs w:val="24"/>
          <w:u w:val="single"/>
        </w:rPr>
      </w:pPr>
    </w:p>
    <w:p w14:paraId="2C6F085F" w14:textId="2EF6A11A" w:rsidR="00503626"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 xml:space="preserve">Introduction </w:t>
      </w:r>
    </w:p>
    <w:p w14:paraId="46D7677E" w14:textId="239BF958" w:rsidR="00B90CE3" w:rsidRPr="007E01CF" w:rsidRDefault="00503626" w:rsidP="007E01CF">
      <w:pPr>
        <w:pStyle w:val="df3vjf"/>
        <w:spacing w:before="0" w:beforeAutospacing="0" w:after="0" w:afterAutospacing="0" w:line="480" w:lineRule="auto"/>
        <w:jc w:val="both"/>
        <w:rPr>
          <w:rFonts w:ascii="Calibri" w:eastAsiaTheme="majorEastAsia" w:hAnsi="Calibri" w:cs="Calibri"/>
          <w:color w:val="0A0A0A"/>
          <w:sz w:val="22"/>
          <w:szCs w:val="22"/>
        </w:rPr>
      </w:pPr>
      <w:r w:rsidRPr="007E01CF">
        <w:rPr>
          <w:rFonts w:ascii="Calibri" w:hAnsi="Calibri" w:cs="Calibri"/>
          <w:color w:val="000000"/>
          <w:sz w:val="22"/>
          <w:szCs w:val="22"/>
        </w:rPr>
        <w:t xml:space="preserve">Siva Prasad M.S and Rahul </w:t>
      </w:r>
      <w:proofErr w:type="spellStart"/>
      <w:r w:rsidRPr="007E01CF">
        <w:rPr>
          <w:rFonts w:ascii="Calibri" w:hAnsi="Calibri" w:cs="Calibri"/>
          <w:color w:val="000000"/>
          <w:sz w:val="22"/>
          <w:szCs w:val="22"/>
        </w:rPr>
        <w:t>Kumminimana</w:t>
      </w:r>
      <w:proofErr w:type="spellEnd"/>
      <w:r w:rsidRPr="007E01CF">
        <w:rPr>
          <w:rFonts w:ascii="Calibri" w:hAnsi="Calibri" w:cs="Calibri"/>
          <w:color w:val="000000"/>
          <w:sz w:val="22"/>
          <w:szCs w:val="22"/>
        </w:rPr>
        <w:t xml:space="preserve"> (2025)</w:t>
      </w:r>
      <w:r w:rsidRPr="007E01CF">
        <w:rPr>
          <w:rFonts w:ascii="Calibri" w:hAnsi="Calibri" w:cs="Calibri"/>
          <w:sz w:val="22"/>
          <w:szCs w:val="22"/>
        </w:rPr>
        <w:t xml:space="preserve"> elucidate that </w:t>
      </w:r>
      <w:r w:rsidRPr="007E01CF">
        <w:rPr>
          <w:rFonts w:ascii="Calibri" w:hAnsi="Calibri" w:cs="Calibri"/>
          <w:color w:val="000000" w:themeColor="text1"/>
          <w:sz w:val="22"/>
          <w:szCs w:val="22"/>
        </w:rPr>
        <w:t xml:space="preserve">adopting a pedagogical perspective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refers to a prevalent neurodevelopmental condition which results in impulsivity, hyperactivity and inattention. ADHD can substantially influence a child’s academic performance and ability to socialise. </w:t>
      </w:r>
      <w:r w:rsidR="007B7BE7" w:rsidRPr="007E01CF">
        <w:rPr>
          <w:rFonts w:ascii="Calibri" w:hAnsi="Calibri" w:cs="Calibri"/>
          <w:color w:val="000000" w:themeColor="text1"/>
          <w:sz w:val="22"/>
          <w:szCs w:val="22"/>
        </w:rPr>
        <w:t xml:space="preserve">Children within academic environments that have </w:t>
      </w:r>
      <w:proofErr w:type="gramStart"/>
      <w:r w:rsidR="007B7BE7" w:rsidRPr="007E01CF">
        <w:rPr>
          <w:rFonts w:ascii="Calibri" w:hAnsi="Calibri" w:cs="Calibri"/>
          <w:color w:val="000000" w:themeColor="text1"/>
          <w:sz w:val="22"/>
          <w:szCs w:val="22"/>
        </w:rPr>
        <w:t>Attention Deficit Hyperactivity Disorder</w:t>
      </w:r>
      <w:proofErr w:type="gramEnd"/>
      <w:r w:rsidR="007B7BE7" w:rsidRPr="007E01CF">
        <w:rPr>
          <w:rFonts w:ascii="Calibri" w:hAnsi="Calibri" w:cs="Calibri"/>
          <w:color w:val="000000" w:themeColor="text1"/>
          <w:sz w:val="22"/>
          <w:szCs w:val="22"/>
        </w:rPr>
        <w:t xml:space="preserve"> are frequently exposed to constraints when regulating expected behaviour, sustaining attention and </w:t>
      </w:r>
      <w:r w:rsidR="007B7BE7" w:rsidRPr="007E01CF">
        <w:rPr>
          <w:rStyle w:val="Strong"/>
          <w:rFonts w:ascii="Calibri" w:eastAsiaTheme="majorEastAsia" w:hAnsi="Calibri" w:cs="Calibri"/>
          <w:b w:val="0"/>
          <w:bCs w:val="0"/>
          <w:color w:val="0A0A0A"/>
          <w:sz w:val="22"/>
          <w:szCs w:val="22"/>
        </w:rPr>
        <w:t>d</w:t>
      </w:r>
      <w:r w:rsidR="007B7BE7" w:rsidRPr="007E01CF">
        <w:rPr>
          <w:rStyle w:val="Strong"/>
          <w:rFonts w:ascii="Calibri" w:eastAsiaTheme="majorEastAsia" w:hAnsi="Calibri" w:cs="Calibri"/>
          <w:b w:val="0"/>
          <w:bCs w:val="0"/>
          <w:color w:val="0A0A0A"/>
          <w:sz w:val="22"/>
          <w:szCs w:val="22"/>
        </w:rPr>
        <w:t>emonstrating adherence to established classroom norms</w:t>
      </w:r>
      <w:r w:rsidR="007B7BE7" w:rsidRPr="007E01CF">
        <w:rPr>
          <w:rStyle w:val="Strong"/>
          <w:rFonts w:ascii="Calibri" w:eastAsiaTheme="majorEastAsia" w:hAnsi="Calibri" w:cs="Calibri"/>
          <w:b w:val="0"/>
          <w:bCs w:val="0"/>
          <w:color w:val="0A0A0A"/>
          <w:sz w:val="22"/>
          <w:szCs w:val="22"/>
        </w:rPr>
        <w:t xml:space="preserve">, for instance, internalising classroom procedures and routines </w:t>
      </w:r>
      <w:r w:rsidR="007B7BE7" w:rsidRPr="007E01CF">
        <w:rPr>
          <w:rFonts w:ascii="Calibri" w:hAnsi="Calibri" w:cs="Calibri"/>
          <w:color w:val="000000"/>
          <w:sz w:val="22"/>
          <w:szCs w:val="22"/>
        </w:rPr>
        <w:t>(Moore et al., 2017</w:t>
      </w:r>
      <w:r w:rsidR="007B7BE7" w:rsidRPr="007E01CF">
        <w:rPr>
          <w:rStyle w:val="Strong"/>
          <w:rFonts w:ascii="Calibri" w:eastAsiaTheme="majorEastAsia" w:hAnsi="Calibri" w:cs="Calibri"/>
          <w:b w:val="0"/>
          <w:bCs w:val="0"/>
          <w:color w:val="0A0A0A"/>
          <w:sz w:val="22"/>
          <w:szCs w:val="22"/>
        </w:rPr>
        <w:t xml:space="preserve">). </w:t>
      </w:r>
      <w:r w:rsidR="001F71E6" w:rsidRPr="007E01CF">
        <w:rPr>
          <w:rStyle w:val="Strong"/>
          <w:rFonts w:ascii="Calibri" w:eastAsiaTheme="majorEastAsia" w:hAnsi="Calibri" w:cs="Calibri"/>
          <w:b w:val="0"/>
          <w:bCs w:val="0"/>
          <w:color w:val="0A0A0A"/>
          <w:sz w:val="22"/>
          <w:szCs w:val="22"/>
        </w:rPr>
        <w:t>Despite traditional educational institutions in the United Kingdom have made a greater effort to make accommodations for neurodiverse students in response to inclusive education policy, the actual application of support measures is still difficult and inconsistent.</w:t>
      </w:r>
    </w:p>
    <w:p w14:paraId="1D168128" w14:textId="3F30509D" w:rsidR="00C64F37" w:rsidRPr="007E01CF" w:rsidRDefault="00B90CE3"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Within this theoretical framework Teaching Assistants (TA) represent a crucial but often underappreciated role. Teaching assistants are statistically the main individuals within the education sector to interact in smaller groups or on a </w:t>
      </w:r>
      <w:proofErr w:type="gramStart"/>
      <w:r w:rsidRPr="007E01CF">
        <w:rPr>
          <w:rFonts w:ascii="Calibri" w:hAnsi="Calibri" w:cs="Calibri"/>
          <w:color w:val="000000" w:themeColor="text1"/>
          <w:sz w:val="22"/>
          <w:szCs w:val="22"/>
        </w:rPr>
        <w:t>one to one</w:t>
      </w:r>
      <w:proofErr w:type="gramEnd"/>
      <w:r w:rsidRPr="007E01CF">
        <w:rPr>
          <w:rFonts w:ascii="Calibri" w:hAnsi="Calibri" w:cs="Calibri"/>
          <w:color w:val="000000" w:themeColor="text1"/>
          <w:sz w:val="22"/>
          <w:szCs w:val="22"/>
        </w:rPr>
        <w:t xml:space="preserve"> basis with children who are diagnosed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or are working towards their diagnosis daily </w:t>
      </w:r>
      <w:r w:rsidRPr="007E01CF">
        <w:rPr>
          <w:rFonts w:ascii="Calibri" w:hAnsi="Calibri" w:cs="Calibri"/>
          <w:sz w:val="22"/>
          <w:szCs w:val="22"/>
        </w:rPr>
        <w:t>(Ward et al., 2021)</w:t>
      </w:r>
      <w:r w:rsidRPr="007E01CF">
        <w:rPr>
          <w:rFonts w:ascii="Calibri" w:hAnsi="Calibri" w:cs="Calibri"/>
          <w:color w:val="000000" w:themeColor="text1"/>
          <w:sz w:val="22"/>
          <w:szCs w:val="22"/>
        </w:rPr>
        <w:t xml:space="preserve">. Teaching Assistants are not only responsible for academic orchestration but also accountable for emotional regulation, adapting academic materials and behaviour management. Conversely, </w:t>
      </w:r>
      <w:proofErr w:type="gramStart"/>
      <w:r w:rsidRPr="007E01CF">
        <w:rPr>
          <w:rFonts w:ascii="Calibri" w:hAnsi="Calibri" w:cs="Calibri"/>
          <w:color w:val="000000" w:themeColor="text1"/>
          <w:sz w:val="22"/>
          <w:szCs w:val="22"/>
        </w:rPr>
        <w:t>in spite of</w:t>
      </w:r>
      <w:proofErr w:type="gramEnd"/>
      <w:r w:rsidRPr="007E01CF">
        <w:rPr>
          <w:rFonts w:ascii="Calibri" w:hAnsi="Calibri" w:cs="Calibri"/>
          <w:color w:val="000000" w:themeColor="text1"/>
          <w:sz w:val="22"/>
          <w:szCs w:val="22"/>
        </w:rPr>
        <w:t xml:space="preserve"> this, TA’s systematically have minimal, insufficient training with unclear limits within their role which can result in restriction towards their efficiency. </w:t>
      </w:r>
      <w:r w:rsidRPr="007E01CF">
        <w:rPr>
          <w:rFonts w:ascii="Calibri" w:hAnsi="Calibri" w:cs="Calibri"/>
          <w:color w:val="000000" w:themeColor="text1"/>
          <w:sz w:val="22"/>
          <w:szCs w:val="22"/>
        </w:rPr>
        <w:t xml:space="preserve">Additionally, their </w:t>
      </w:r>
      <w:r w:rsidRPr="007E01CF">
        <w:rPr>
          <w:rFonts w:ascii="Calibri" w:hAnsi="Calibri" w:cs="Calibri"/>
          <w:color w:val="000000" w:themeColor="text1"/>
          <w:sz w:val="22"/>
          <w:szCs w:val="22"/>
        </w:rPr>
        <w:t>provisions</w:t>
      </w:r>
      <w:r w:rsidRPr="007E01CF">
        <w:rPr>
          <w:rFonts w:ascii="Calibri" w:hAnsi="Calibri" w:cs="Calibri"/>
          <w:color w:val="000000" w:themeColor="text1"/>
          <w:sz w:val="22"/>
          <w:szCs w:val="22"/>
        </w:rPr>
        <w:t xml:space="preserve"> are occasionally underappreciated in school hierarchies, which raises questions concerning professional assistance and acknowledgement</w:t>
      </w:r>
      <w:r w:rsidRPr="007E01CF">
        <w:rPr>
          <w:rFonts w:ascii="Calibri" w:hAnsi="Calibri" w:cs="Calibri"/>
          <w:color w:val="000000" w:themeColor="text1"/>
          <w:sz w:val="22"/>
          <w:szCs w:val="22"/>
        </w:rPr>
        <w:t xml:space="preserve"> </w:t>
      </w:r>
      <w:r w:rsidRPr="007E01CF">
        <w:rPr>
          <w:rFonts w:ascii="Calibri" w:hAnsi="Calibri" w:cs="Calibri"/>
          <w:sz w:val="22"/>
          <w:szCs w:val="22"/>
        </w:rPr>
        <w:t>(Burgess &amp; Mayes, 2007)</w:t>
      </w:r>
      <w:r w:rsidRPr="007E01CF">
        <w:rPr>
          <w:rFonts w:ascii="Calibri" w:hAnsi="Calibri" w:cs="Calibri"/>
          <w:color w:val="000000" w:themeColor="text1"/>
          <w:sz w:val="22"/>
          <w:szCs w:val="22"/>
        </w:rPr>
        <w:t>.</w:t>
      </w:r>
    </w:p>
    <w:p w14:paraId="56BAE680" w14:textId="77777777" w:rsidR="00B32B80" w:rsidRPr="007E01CF" w:rsidRDefault="00B32B80" w:rsidP="007E01CF">
      <w:pPr>
        <w:pStyle w:val="p1"/>
        <w:spacing w:line="480" w:lineRule="auto"/>
        <w:jc w:val="both"/>
        <w:rPr>
          <w:rFonts w:ascii="Calibri" w:hAnsi="Calibri" w:cs="Calibri"/>
          <w:color w:val="000000" w:themeColor="text1"/>
          <w:sz w:val="22"/>
          <w:szCs w:val="22"/>
        </w:rPr>
      </w:pPr>
    </w:p>
    <w:p w14:paraId="71BE6E83" w14:textId="49F4C9AF" w:rsidR="00C64F37" w:rsidRPr="007E01CF" w:rsidRDefault="00C64F37"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This combination of excessive responsibility and inadequate institutional support gives rise to the current research challenge. There is still an absence of qualitative research examining the personal experiences of Teaching Assistants themselves, </w:t>
      </w:r>
      <w:proofErr w:type="gramStart"/>
      <w:r w:rsidRPr="007E01CF">
        <w:rPr>
          <w:rFonts w:ascii="Calibri" w:hAnsi="Calibri" w:cs="Calibri"/>
          <w:color w:val="000000" w:themeColor="text1"/>
          <w:sz w:val="22"/>
          <w:szCs w:val="22"/>
        </w:rPr>
        <w:t>despite the fact that</w:t>
      </w:r>
      <w:proofErr w:type="gramEnd"/>
      <w:r w:rsidRPr="007E01CF">
        <w:rPr>
          <w:rFonts w:ascii="Calibri" w:hAnsi="Calibri" w:cs="Calibri"/>
          <w:color w:val="000000" w:themeColor="text1"/>
          <w:sz w:val="22"/>
          <w:szCs w:val="22"/>
        </w:rPr>
        <w:t xml:space="preserve"> quantitative studies have looked at the impact of intervention for children with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w:t>
      </w:r>
      <w:r w:rsidRPr="007E01CF">
        <w:rPr>
          <w:rFonts w:ascii="Calibri" w:hAnsi="Calibri" w:cs="Calibri"/>
          <w:sz w:val="22"/>
          <w:szCs w:val="22"/>
        </w:rPr>
        <w:t xml:space="preserve">(Greenway &amp; </w:t>
      </w:r>
      <w:r w:rsidRPr="007E01CF">
        <w:rPr>
          <w:rFonts w:ascii="Calibri" w:hAnsi="Calibri" w:cs="Calibri"/>
          <w:sz w:val="22"/>
          <w:szCs w:val="22"/>
        </w:rPr>
        <w:lastRenderedPageBreak/>
        <w:t>Rees Edwards, 2020)</w:t>
      </w:r>
      <w:r w:rsidRPr="007E01CF">
        <w:rPr>
          <w:rFonts w:ascii="Calibri" w:hAnsi="Calibri" w:cs="Calibri"/>
          <w:color w:val="000000" w:themeColor="text1"/>
          <w:sz w:val="22"/>
          <w:szCs w:val="22"/>
        </w:rPr>
        <w:t>. It is essential to comprehend how TAs view and manage their duties due to their perspectives may provide clarity on the sociocultural elements that influence assistance provision as well as the practical difficulties of inclusive education. Without these viewpoints, policy and practice incur the possibility of ignoring the complex challenges of practical teaching</w:t>
      </w:r>
      <w:r w:rsidRPr="007E01CF">
        <w:rPr>
          <w:rFonts w:ascii="Calibri" w:hAnsi="Calibri" w:cs="Calibri"/>
          <w:color w:val="000000" w:themeColor="text1"/>
          <w:sz w:val="22"/>
          <w:szCs w:val="22"/>
        </w:rPr>
        <w:t xml:space="preserve"> </w:t>
      </w:r>
      <w:r w:rsidRPr="007E01CF">
        <w:rPr>
          <w:rFonts w:ascii="Calibri" w:hAnsi="Calibri" w:cs="Calibri"/>
          <w:sz w:val="22"/>
          <w:szCs w:val="22"/>
        </w:rPr>
        <w:t>(Greenway &amp; Rees Edwards, 2021)</w:t>
      </w:r>
      <w:r w:rsidRPr="007E01CF">
        <w:rPr>
          <w:rFonts w:ascii="Calibri" w:hAnsi="Calibri" w:cs="Calibri"/>
          <w:color w:val="000000" w:themeColor="text1"/>
          <w:sz w:val="22"/>
          <w:szCs w:val="22"/>
        </w:rPr>
        <w:t>.</w:t>
      </w:r>
    </w:p>
    <w:p w14:paraId="10FFEC38" w14:textId="77777777" w:rsidR="00B32B80" w:rsidRPr="007E01CF" w:rsidRDefault="00B32B80" w:rsidP="007E01CF">
      <w:pPr>
        <w:pStyle w:val="p1"/>
        <w:spacing w:line="480" w:lineRule="auto"/>
        <w:jc w:val="both"/>
        <w:rPr>
          <w:rFonts w:ascii="Calibri" w:hAnsi="Calibri" w:cs="Calibri"/>
          <w:color w:val="000000" w:themeColor="text1"/>
          <w:sz w:val="22"/>
          <w:szCs w:val="22"/>
        </w:rPr>
      </w:pPr>
    </w:p>
    <w:p w14:paraId="0F32FE88" w14:textId="4F254180" w:rsidR="00FD20D6" w:rsidRPr="007E01CF" w:rsidRDefault="00B32B80" w:rsidP="007E01CF">
      <w:pPr>
        <w:pStyle w:val="p1"/>
        <w:spacing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With the intention of investigation teaching assistants’ perceptions whilst aiding children with ADHD, this </w:t>
      </w:r>
      <w:proofErr w:type="gramStart"/>
      <w:r w:rsidRPr="007E01CF">
        <w:rPr>
          <w:rFonts w:ascii="Calibri" w:hAnsi="Calibri" w:cs="Calibri"/>
          <w:color w:val="000000" w:themeColor="text1"/>
          <w:sz w:val="22"/>
          <w:szCs w:val="22"/>
        </w:rPr>
        <w:t>study  used</w:t>
      </w:r>
      <w:proofErr w:type="gramEnd"/>
      <w:r w:rsidRPr="007E01CF">
        <w:rPr>
          <w:rFonts w:ascii="Calibri" w:hAnsi="Calibri" w:cs="Calibri"/>
          <w:color w:val="000000" w:themeColor="text1"/>
          <w:sz w:val="22"/>
          <w:szCs w:val="22"/>
        </w:rPr>
        <w:t xml:space="preserve"> a qualitive methodology incorporating a reflective thematic analysis. The objective of this research is to produce comprehensive on the structural, emotions and relational aspects of teaching </w:t>
      </w:r>
      <w:proofErr w:type="gramStart"/>
      <w:r w:rsidRPr="007E01CF">
        <w:rPr>
          <w:rFonts w:ascii="Calibri" w:hAnsi="Calibri" w:cs="Calibri"/>
          <w:color w:val="000000" w:themeColor="text1"/>
          <w:sz w:val="22"/>
          <w:szCs w:val="22"/>
        </w:rPr>
        <w:t>assistants</w:t>
      </w:r>
      <w:proofErr w:type="gramEnd"/>
      <w:r w:rsidRPr="007E01CF">
        <w:rPr>
          <w:rFonts w:ascii="Calibri" w:hAnsi="Calibri" w:cs="Calibri"/>
          <w:color w:val="000000" w:themeColor="text1"/>
          <w:sz w:val="22"/>
          <w:szCs w:val="22"/>
        </w:rPr>
        <w:t xml:space="preserve"> jobs. </w:t>
      </w:r>
      <w:r w:rsidRPr="007E01CF">
        <w:rPr>
          <w:rFonts w:ascii="Calibri" w:hAnsi="Calibri" w:cs="Calibri"/>
          <w:color w:val="000000" w:themeColor="text1"/>
          <w:sz w:val="22"/>
          <w:szCs w:val="22"/>
        </w:rPr>
        <w:t>This is crucial for guiding the distribution of resources and professional advancement as well as promoting a more comprehensive knowledge of inclusion in practice. In the end, analysing TAs' experiences provides a useful perspective for assessing and improving assistance for students with ADHD in traditional educational environments.</w:t>
      </w:r>
    </w:p>
    <w:p w14:paraId="0D18C1E6" w14:textId="77777777" w:rsidR="001E580B" w:rsidRPr="007E01CF" w:rsidRDefault="001E580B" w:rsidP="007E01CF">
      <w:pPr>
        <w:pStyle w:val="p1"/>
        <w:spacing w:line="480" w:lineRule="auto"/>
        <w:jc w:val="both"/>
        <w:rPr>
          <w:rFonts w:ascii="Calibri" w:hAnsi="Calibri" w:cs="Calibri"/>
          <w:sz w:val="24"/>
          <w:szCs w:val="24"/>
          <w:u w:val="wave"/>
        </w:rPr>
      </w:pPr>
    </w:p>
    <w:p w14:paraId="38183A93" w14:textId="77777777" w:rsidR="00923AF0" w:rsidRPr="007E01CF" w:rsidRDefault="00923AF0" w:rsidP="007E01CF">
      <w:pPr>
        <w:pStyle w:val="p1"/>
        <w:spacing w:line="480" w:lineRule="auto"/>
        <w:jc w:val="both"/>
        <w:rPr>
          <w:rFonts w:ascii="Calibri" w:hAnsi="Calibri" w:cs="Calibri"/>
          <w:sz w:val="24"/>
          <w:szCs w:val="24"/>
          <w:u w:val="single"/>
        </w:rPr>
      </w:pPr>
    </w:p>
    <w:p w14:paraId="58A61BB1" w14:textId="77777777" w:rsidR="00923AF0" w:rsidRPr="007E01CF" w:rsidRDefault="00923AF0" w:rsidP="007E01CF">
      <w:pPr>
        <w:pStyle w:val="p1"/>
        <w:spacing w:line="480" w:lineRule="auto"/>
        <w:jc w:val="both"/>
        <w:rPr>
          <w:rFonts w:ascii="Calibri" w:hAnsi="Calibri" w:cs="Calibri"/>
          <w:sz w:val="24"/>
          <w:szCs w:val="24"/>
          <w:u w:val="single"/>
        </w:rPr>
      </w:pPr>
    </w:p>
    <w:p w14:paraId="36559793" w14:textId="77777777" w:rsidR="00923AF0" w:rsidRPr="007E01CF" w:rsidRDefault="00923AF0" w:rsidP="007E01CF">
      <w:pPr>
        <w:pStyle w:val="p1"/>
        <w:spacing w:line="480" w:lineRule="auto"/>
        <w:jc w:val="both"/>
        <w:rPr>
          <w:rFonts w:ascii="Calibri" w:hAnsi="Calibri" w:cs="Calibri"/>
          <w:sz w:val="24"/>
          <w:szCs w:val="24"/>
          <w:u w:val="single"/>
        </w:rPr>
      </w:pPr>
    </w:p>
    <w:p w14:paraId="22DCD5FB" w14:textId="77777777" w:rsidR="00923AF0" w:rsidRPr="007E01CF" w:rsidRDefault="00923AF0" w:rsidP="007E01CF">
      <w:pPr>
        <w:pStyle w:val="p1"/>
        <w:spacing w:line="480" w:lineRule="auto"/>
        <w:jc w:val="both"/>
        <w:rPr>
          <w:rFonts w:ascii="Calibri" w:hAnsi="Calibri" w:cs="Calibri"/>
          <w:sz w:val="24"/>
          <w:szCs w:val="24"/>
          <w:u w:val="single"/>
        </w:rPr>
      </w:pPr>
    </w:p>
    <w:p w14:paraId="48087108" w14:textId="77777777" w:rsidR="00923AF0" w:rsidRPr="007E01CF" w:rsidRDefault="00923AF0" w:rsidP="007E01CF">
      <w:pPr>
        <w:pStyle w:val="p1"/>
        <w:spacing w:line="480" w:lineRule="auto"/>
        <w:jc w:val="both"/>
        <w:rPr>
          <w:rFonts w:ascii="Calibri" w:hAnsi="Calibri" w:cs="Calibri"/>
          <w:sz w:val="24"/>
          <w:szCs w:val="24"/>
          <w:u w:val="single"/>
        </w:rPr>
      </w:pPr>
    </w:p>
    <w:p w14:paraId="1ED73D87" w14:textId="77777777" w:rsidR="00923AF0" w:rsidRPr="007E01CF" w:rsidRDefault="00923AF0" w:rsidP="007E01CF">
      <w:pPr>
        <w:pStyle w:val="p1"/>
        <w:spacing w:line="480" w:lineRule="auto"/>
        <w:jc w:val="both"/>
        <w:rPr>
          <w:rFonts w:ascii="Calibri" w:hAnsi="Calibri" w:cs="Calibri"/>
          <w:sz w:val="24"/>
          <w:szCs w:val="24"/>
          <w:u w:val="single"/>
        </w:rPr>
      </w:pPr>
    </w:p>
    <w:p w14:paraId="7ADDA1B6" w14:textId="77777777" w:rsidR="00923AF0" w:rsidRPr="007E01CF" w:rsidRDefault="00923AF0" w:rsidP="007E01CF">
      <w:pPr>
        <w:pStyle w:val="p1"/>
        <w:spacing w:line="480" w:lineRule="auto"/>
        <w:jc w:val="both"/>
        <w:rPr>
          <w:rFonts w:ascii="Calibri" w:hAnsi="Calibri" w:cs="Calibri"/>
          <w:sz w:val="24"/>
          <w:szCs w:val="24"/>
          <w:u w:val="single"/>
        </w:rPr>
      </w:pPr>
    </w:p>
    <w:p w14:paraId="278C4EBB" w14:textId="77777777" w:rsidR="00923AF0" w:rsidRPr="007E01CF" w:rsidRDefault="00923AF0" w:rsidP="007E01CF">
      <w:pPr>
        <w:pStyle w:val="p1"/>
        <w:spacing w:line="480" w:lineRule="auto"/>
        <w:jc w:val="both"/>
        <w:rPr>
          <w:rFonts w:ascii="Calibri" w:hAnsi="Calibri" w:cs="Calibri"/>
          <w:sz w:val="24"/>
          <w:szCs w:val="24"/>
          <w:u w:val="single"/>
        </w:rPr>
      </w:pPr>
    </w:p>
    <w:p w14:paraId="5C7E39E3" w14:textId="77777777" w:rsidR="00923AF0" w:rsidRPr="007E01CF" w:rsidRDefault="00923AF0" w:rsidP="007E01CF">
      <w:pPr>
        <w:pStyle w:val="p1"/>
        <w:spacing w:line="480" w:lineRule="auto"/>
        <w:jc w:val="both"/>
        <w:rPr>
          <w:rFonts w:ascii="Calibri" w:hAnsi="Calibri" w:cs="Calibri"/>
          <w:sz w:val="24"/>
          <w:szCs w:val="24"/>
          <w:u w:val="single"/>
        </w:rPr>
      </w:pPr>
    </w:p>
    <w:p w14:paraId="4A05DDAF" w14:textId="77777777" w:rsidR="00923AF0" w:rsidRPr="007E01CF" w:rsidRDefault="00923AF0" w:rsidP="007E01CF">
      <w:pPr>
        <w:pStyle w:val="p1"/>
        <w:spacing w:line="480" w:lineRule="auto"/>
        <w:jc w:val="both"/>
        <w:rPr>
          <w:rFonts w:ascii="Calibri" w:hAnsi="Calibri" w:cs="Calibri"/>
          <w:sz w:val="24"/>
          <w:szCs w:val="24"/>
          <w:u w:val="single"/>
        </w:rPr>
      </w:pPr>
    </w:p>
    <w:p w14:paraId="7985D411" w14:textId="77777777" w:rsidR="00C23A15" w:rsidRDefault="00C23A15" w:rsidP="007E01CF">
      <w:pPr>
        <w:pStyle w:val="p1"/>
        <w:spacing w:line="480" w:lineRule="auto"/>
        <w:jc w:val="both"/>
        <w:rPr>
          <w:rFonts w:ascii="Calibri" w:hAnsi="Calibri" w:cs="Calibri"/>
          <w:sz w:val="24"/>
          <w:szCs w:val="24"/>
          <w:u w:val="single"/>
        </w:rPr>
      </w:pPr>
    </w:p>
    <w:p w14:paraId="07F9AE1B" w14:textId="7C739771"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Literature Review</w:t>
      </w:r>
    </w:p>
    <w:p w14:paraId="0A50C853" w14:textId="0FA99B86"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 xml:space="preserve">Introduction </w:t>
      </w:r>
    </w:p>
    <w:p w14:paraId="5145AE68" w14:textId="6B48B3C2" w:rsidR="005A2382" w:rsidRPr="007E01CF" w:rsidRDefault="005A2382" w:rsidP="007E01CF">
      <w:pPr>
        <w:pStyle w:val="p1"/>
        <w:spacing w:line="480" w:lineRule="auto"/>
        <w:jc w:val="both"/>
        <w:rPr>
          <w:rFonts w:ascii="Calibri" w:hAnsi="Calibri" w:cs="Calibri"/>
          <w:b/>
          <w:bCs/>
          <w:color w:val="000000" w:themeColor="text1"/>
          <w:sz w:val="22"/>
          <w:szCs w:val="22"/>
        </w:rPr>
      </w:pPr>
      <w:r w:rsidRPr="007E01CF">
        <w:rPr>
          <w:rStyle w:val="Strong"/>
          <w:rFonts w:ascii="Calibri" w:eastAsiaTheme="majorEastAsia" w:hAnsi="Calibri" w:cs="Calibri"/>
          <w:b w:val="0"/>
          <w:bCs w:val="0"/>
          <w:color w:val="0A0A0A"/>
          <w:sz w:val="22"/>
          <w:szCs w:val="22"/>
        </w:rPr>
        <w:t>During the entirety of</w:t>
      </w:r>
      <w:r w:rsidRPr="007E01CF">
        <w:rPr>
          <w:rStyle w:val="Strong"/>
          <w:rFonts w:ascii="Calibri" w:eastAsiaTheme="majorEastAsia" w:hAnsi="Calibri" w:cs="Calibri"/>
          <w:b w:val="0"/>
          <w:bCs w:val="0"/>
          <w:color w:val="0A0A0A"/>
          <w:sz w:val="22"/>
          <w:szCs w:val="22"/>
        </w:rPr>
        <w:t xml:space="preserve"> this literature review, there is an objective formulated to critically interrogate the diverse range of academic literature which display the views of Teaching Assistants experiences with children with </w:t>
      </w:r>
      <w:proofErr w:type="gramStart"/>
      <w:r w:rsidRPr="007E01CF">
        <w:rPr>
          <w:rStyle w:val="Strong"/>
          <w:rFonts w:ascii="Calibri" w:eastAsiaTheme="majorEastAsia" w:hAnsi="Calibri" w:cs="Calibri"/>
          <w:b w:val="0"/>
          <w:bCs w:val="0"/>
          <w:color w:val="0A0A0A"/>
          <w:sz w:val="22"/>
          <w:szCs w:val="22"/>
        </w:rPr>
        <w:t>Attention Deficit Hyperactivity Disorder</w:t>
      </w:r>
      <w:proofErr w:type="gramEnd"/>
      <w:r w:rsidRPr="007E01CF">
        <w:rPr>
          <w:rStyle w:val="Strong"/>
          <w:rFonts w:ascii="Calibri" w:eastAsiaTheme="majorEastAsia" w:hAnsi="Calibri" w:cs="Calibri"/>
          <w:b w:val="0"/>
          <w:bCs w:val="0"/>
          <w:color w:val="0A0A0A"/>
          <w:sz w:val="22"/>
          <w:szCs w:val="22"/>
        </w:rPr>
        <w:t xml:space="preserve"> regarding contemporary inclusive education. </w:t>
      </w:r>
      <w:r w:rsidR="007923EF" w:rsidRPr="007E01CF">
        <w:rPr>
          <w:rStyle w:val="Strong"/>
          <w:rFonts w:ascii="Calibri" w:eastAsiaTheme="majorEastAsia" w:hAnsi="Calibri" w:cs="Calibri"/>
          <w:b w:val="0"/>
          <w:bCs w:val="0"/>
          <w:color w:val="0A0A0A"/>
          <w:sz w:val="22"/>
          <w:szCs w:val="22"/>
        </w:rPr>
        <w:t>Teaching assistants' responsibilities persist as vaguely defined and inconsistently implemented, despite policy's growing emphasis on their importance in assisting diverse learners</w:t>
      </w:r>
      <w:r w:rsidR="007923EF" w:rsidRPr="007E01CF">
        <w:rPr>
          <w:rStyle w:val="Strong"/>
          <w:rFonts w:ascii="Calibri" w:eastAsiaTheme="majorEastAsia" w:hAnsi="Calibri" w:cs="Calibri"/>
          <w:b w:val="0"/>
          <w:bCs w:val="0"/>
          <w:color w:val="0A0A0A"/>
          <w:sz w:val="22"/>
          <w:szCs w:val="22"/>
        </w:rPr>
        <w:t xml:space="preserve">. </w:t>
      </w:r>
      <w:r w:rsidR="007923EF" w:rsidRPr="007E01CF">
        <w:rPr>
          <w:rStyle w:val="Strong"/>
          <w:rFonts w:ascii="Calibri" w:eastAsiaTheme="majorEastAsia" w:hAnsi="Calibri" w:cs="Calibri"/>
          <w:b w:val="0"/>
          <w:bCs w:val="0"/>
          <w:color w:val="0A0A0A"/>
          <w:sz w:val="22"/>
          <w:szCs w:val="22"/>
        </w:rPr>
        <w:t xml:space="preserve">The theories of ADHD in children, the increasing educational and pastoral roles of teaching assistants, and the intricacies of their daily experiences </w:t>
      </w:r>
      <w:proofErr w:type="gramStart"/>
      <w:r w:rsidR="007923EF" w:rsidRPr="007E01CF">
        <w:rPr>
          <w:rStyle w:val="Strong"/>
          <w:rFonts w:ascii="Calibri" w:eastAsiaTheme="majorEastAsia" w:hAnsi="Calibri" w:cs="Calibri"/>
          <w:b w:val="0"/>
          <w:bCs w:val="0"/>
          <w:color w:val="0A0A0A"/>
          <w:sz w:val="22"/>
          <w:szCs w:val="22"/>
        </w:rPr>
        <w:t>in actuality are</w:t>
      </w:r>
      <w:proofErr w:type="gramEnd"/>
      <w:r w:rsidR="007923EF" w:rsidRPr="007E01CF">
        <w:rPr>
          <w:rStyle w:val="Strong"/>
          <w:rFonts w:ascii="Calibri" w:eastAsiaTheme="majorEastAsia" w:hAnsi="Calibri" w:cs="Calibri"/>
          <w:b w:val="0"/>
          <w:bCs w:val="0"/>
          <w:color w:val="0A0A0A"/>
          <w:sz w:val="22"/>
          <w:szCs w:val="22"/>
        </w:rPr>
        <w:t xml:space="preserve"> the three domains in which this literature review assesses current research.</w:t>
      </w:r>
      <w:r w:rsidR="00AD3DE4" w:rsidRPr="007E01CF">
        <w:rPr>
          <w:rStyle w:val="Strong"/>
          <w:rFonts w:ascii="Calibri" w:eastAsiaTheme="majorEastAsia" w:hAnsi="Calibri" w:cs="Calibri"/>
          <w:b w:val="0"/>
          <w:bCs w:val="0"/>
          <w:color w:val="0A0A0A"/>
          <w:sz w:val="22"/>
          <w:szCs w:val="22"/>
        </w:rPr>
        <w:t xml:space="preserve"> </w:t>
      </w:r>
      <w:r w:rsidR="00AD3DE4" w:rsidRPr="007E01CF">
        <w:rPr>
          <w:rStyle w:val="Strong"/>
          <w:rFonts w:ascii="Calibri" w:eastAsiaTheme="majorEastAsia" w:hAnsi="Calibri" w:cs="Calibri"/>
          <w:b w:val="0"/>
          <w:bCs w:val="0"/>
          <w:color w:val="0A0A0A"/>
          <w:sz w:val="22"/>
          <w:szCs w:val="22"/>
        </w:rPr>
        <w:t>Conflicts related to standardised training, job transparency, and psychological labour are given special emphasis. By doing this, the review highlights shortcomings in the existing body of evidence and pinpoints consequences for future policy, practice, and research.</w:t>
      </w:r>
    </w:p>
    <w:p w14:paraId="4282DAE3" w14:textId="77777777" w:rsidR="005A2382" w:rsidRPr="007E01CF" w:rsidRDefault="005A2382" w:rsidP="007E01CF">
      <w:pPr>
        <w:pStyle w:val="p1"/>
        <w:spacing w:line="480" w:lineRule="auto"/>
        <w:jc w:val="both"/>
        <w:rPr>
          <w:rFonts w:ascii="Calibri" w:hAnsi="Calibri" w:cs="Calibri"/>
          <w:color w:val="EE0000"/>
          <w:sz w:val="22"/>
          <w:szCs w:val="22"/>
        </w:rPr>
      </w:pPr>
    </w:p>
    <w:p w14:paraId="6B5DED57" w14:textId="0D67001F" w:rsidR="008D6602"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Attention Deficit Hyperactivity Disorder in Children</w:t>
      </w:r>
    </w:p>
    <w:p w14:paraId="12993107" w14:textId="1B47FA43" w:rsidR="008D6602" w:rsidRPr="007E01CF" w:rsidRDefault="007F0DB0"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Attention Deficit Hyperactivity Disorder in children can be rationalised as inadequate developmental behaviours, such as, hyperactivity, inattention and impulsivity that can result in substantial functional inability. ADHD is a heterogeneous neurodevelopmental condition. </w:t>
      </w:r>
      <w:r w:rsidRPr="007E01CF">
        <w:rPr>
          <w:rFonts w:ascii="Calibri" w:hAnsi="Calibri" w:cs="Calibri"/>
          <w:color w:val="1F1F1F"/>
          <w:sz w:val="22"/>
          <w:szCs w:val="22"/>
          <w:shd w:val="clear" w:color="auto" w:fill="FFFFFF"/>
        </w:rPr>
        <w:t>American Psychiatric Association. (</w:t>
      </w:r>
      <w:r w:rsidRPr="007E01CF">
        <w:rPr>
          <w:rFonts w:ascii="Calibri" w:hAnsi="Calibri" w:cs="Calibri"/>
          <w:color w:val="1F1F1F"/>
          <w:sz w:val="22"/>
          <w:szCs w:val="22"/>
          <w:shd w:val="clear" w:color="auto" w:fill="FFFFFF"/>
        </w:rPr>
        <w:t>2013</w:t>
      </w:r>
      <w:r w:rsidRPr="007E01CF">
        <w:rPr>
          <w:rFonts w:ascii="Calibri" w:hAnsi="Calibri" w:cs="Calibri"/>
          <w:color w:val="1F1F1F"/>
          <w:sz w:val="22"/>
          <w:szCs w:val="22"/>
          <w:shd w:val="clear" w:color="auto" w:fill="FFFFFF"/>
        </w:rPr>
        <w:t>)</w:t>
      </w:r>
      <w:r w:rsidRPr="007E01CF">
        <w:rPr>
          <w:rFonts w:ascii="Calibri" w:hAnsi="Calibri" w:cs="Calibri"/>
          <w:color w:val="1F1F1F"/>
          <w:sz w:val="22"/>
          <w:szCs w:val="22"/>
          <w:shd w:val="clear" w:color="auto" w:fill="FFFFFF"/>
        </w:rPr>
        <w:t xml:space="preserve"> explicate that </w:t>
      </w:r>
      <w:proofErr w:type="gramStart"/>
      <w:r w:rsidRPr="007E01CF">
        <w:rPr>
          <w:rFonts w:ascii="Calibri" w:hAnsi="Calibri" w:cs="Calibri"/>
          <w:color w:val="1F1F1F"/>
          <w:sz w:val="22"/>
          <w:szCs w:val="22"/>
          <w:shd w:val="clear" w:color="auto" w:fill="FFFFFF"/>
        </w:rPr>
        <w:t>Attention Deficit Hyperactivity Disorder</w:t>
      </w:r>
      <w:proofErr w:type="gramEnd"/>
      <w:r w:rsidRPr="007E01CF">
        <w:rPr>
          <w:rFonts w:ascii="Calibri" w:hAnsi="Calibri" w:cs="Calibri"/>
          <w:color w:val="1F1F1F"/>
          <w:sz w:val="22"/>
          <w:szCs w:val="22"/>
          <w:shd w:val="clear" w:color="auto" w:fill="FFFFFF"/>
        </w:rPr>
        <w:t xml:space="preserve"> has three main presentations; predominately inattentive, predominately hyperactive and predominately combined. The difference in what subtype the child has, depends on the display of behaviour given across their life. </w:t>
      </w:r>
      <w:r w:rsidRPr="007E01CF">
        <w:rPr>
          <w:rFonts w:ascii="Calibri" w:hAnsi="Calibri" w:cs="Calibri"/>
          <w:sz w:val="22"/>
          <w:szCs w:val="22"/>
        </w:rPr>
        <w:t>D</w:t>
      </w:r>
      <w:r w:rsidRPr="007E01CF">
        <w:rPr>
          <w:rFonts w:ascii="Calibri" w:hAnsi="Calibri" w:cs="Calibri"/>
          <w:sz w:val="22"/>
          <w:szCs w:val="22"/>
        </w:rPr>
        <w:t>e la Peña et al. (2020)</w:t>
      </w:r>
      <w:r w:rsidR="00EB7F71" w:rsidRPr="007E01CF">
        <w:rPr>
          <w:rFonts w:ascii="Calibri" w:hAnsi="Calibri" w:cs="Calibri"/>
          <w:sz w:val="22"/>
          <w:szCs w:val="22"/>
        </w:rPr>
        <w:t xml:space="preserve"> articulates that </w:t>
      </w:r>
      <w:r w:rsidR="00EB7F71" w:rsidRPr="007E01CF">
        <w:rPr>
          <w:rFonts w:ascii="Calibri" w:hAnsi="Calibri" w:cs="Calibri"/>
          <w:sz w:val="22"/>
          <w:szCs w:val="22"/>
        </w:rPr>
        <w:t>the hyperactivity subtype is characterised by abnormal motor movement, restlessness, and inadequate regulation of inhibitions, the inattention subtype is characterised by deficiencies in sustained concentration, organisation, and functional capacity.</w:t>
      </w:r>
      <w:r w:rsidR="00EB7F71" w:rsidRPr="007E01CF">
        <w:rPr>
          <w:rFonts w:ascii="Calibri" w:hAnsi="Calibri" w:cs="Calibri"/>
          <w:sz w:val="22"/>
          <w:szCs w:val="22"/>
        </w:rPr>
        <w:t xml:space="preserve"> </w:t>
      </w:r>
      <w:r w:rsidR="00EB7F71" w:rsidRPr="007E01CF">
        <w:rPr>
          <w:rFonts w:ascii="Calibri" w:hAnsi="Calibri" w:cs="Calibri"/>
          <w:sz w:val="22"/>
          <w:szCs w:val="22"/>
        </w:rPr>
        <w:t>Hallowell and Ratey (2021)</w:t>
      </w:r>
      <w:r w:rsidR="00EB7F71" w:rsidRPr="007E01CF">
        <w:rPr>
          <w:rFonts w:ascii="Calibri" w:hAnsi="Calibri" w:cs="Calibri"/>
          <w:sz w:val="22"/>
          <w:szCs w:val="22"/>
        </w:rPr>
        <w:t xml:space="preserve"> state that c</w:t>
      </w:r>
      <w:r w:rsidR="00EB7F71" w:rsidRPr="007E01CF">
        <w:rPr>
          <w:rFonts w:ascii="Calibri" w:hAnsi="Calibri" w:cs="Calibri"/>
          <w:sz w:val="22"/>
          <w:szCs w:val="22"/>
        </w:rPr>
        <w:t xml:space="preserve">urrent research places </w:t>
      </w:r>
      <w:proofErr w:type="gramStart"/>
      <w:r w:rsidR="00EB7F71" w:rsidRPr="007E01CF">
        <w:rPr>
          <w:rFonts w:ascii="Calibri" w:hAnsi="Calibri" w:cs="Calibri"/>
          <w:sz w:val="22"/>
          <w:szCs w:val="22"/>
        </w:rPr>
        <w:t xml:space="preserve">Attention Deficit </w:t>
      </w:r>
      <w:r w:rsidR="00EB7F71" w:rsidRPr="007E01CF">
        <w:rPr>
          <w:rFonts w:ascii="Calibri" w:hAnsi="Calibri" w:cs="Calibri"/>
          <w:sz w:val="22"/>
          <w:szCs w:val="22"/>
        </w:rPr>
        <w:t>Hyperactivity</w:t>
      </w:r>
      <w:r w:rsidR="00EB7F71" w:rsidRPr="007E01CF">
        <w:rPr>
          <w:rFonts w:ascii="Calibri" w:hAnsi="Calibri" w:cs="Calibri"/>
          <w:sz w:val="22"/>
          <w:szCs w:val="22"/>
        </w:rPr>
        <w:t xml:space="preserve"> Disorder</w:t>
      </w:r>
      <w:proofErr w:type="gramEnd"/>
      <w:r w:rsidR="00EB7F71" w:rsidRPr="007E01CF">
        <w:rPr>
          <w:rFonts w:ascii="Calibri" w:hAnsi="Calibri" w:cs="Calibri"/>
          <w:sz w:val="22"/>
          <w:szCs w:val="22"/>
        </w:rPr>
        <w:t xml:space="preserve"> in the context of executive functioning impairments, which are associated with abnormal frontal lobe development </w:t>
      </w:r>
      <w:r w:rsidR="00EB7F71" w:rsidRPr="007E01CF">
        <w:rPr>
          <w:rFonts w:ascii="Calibri" w:hAnsi="Calibri" w:cs="Calibri"/>
          <w:sz w:val="22"/>
          <w:szCs w:val="22"/>
        </w:rPr>
        <w:lastRenderedPageBreak/>
        <w:t>and dopamine modulation processes.</w:t>
      </w:r>
      <w:r w:rsidR="00EB7F71" w:rsidRPr="007E01CF">
        <w:rPr>
          <w:rFonts w:ascii="Calibri" w:hAnsi="Calibri" w:cs="Calibri"/>
          <w:sz w:val="22"/>
          <w:szCs w:val="22"/>
        </w:rPr>
        <w:t xml:space="preserve"> </w:t>
      </w:r>
      <w:r w:rsidR="00EB7F71" w:rsidRPr="007E01CF">
        <w:rPr>
          <w:rFonts w:ascii="Calibri" w:hAnsi="Calibri" w:cs="Calibri"/>
          <w:sz w:val="22"/>
          <w:szCs w:val="22"/>
        </w:rPr>
        <w:t xml:space="preserve">Environmental </w:t>
      </w:r>
      <w:r w:rsidR="004A0D66" w:rsidRPr="007E01CF">
        <w:rPr>
          <w:rFonts w:ascii="Calibri" w:hAnsi="Calibri" w:cs="Calibri"/>
          <w:sz w:val="22"/>
          <w:szCs w:val="22"/>
        </w:rPr>
        <w:t>variables relate</w:t>
      </w:r>
      <w:r w:rsidR="00EB7F71" w:rsidRPr="007E01CF">
        <w:rPr>
          <w:rFonts w:ascii="Calibri" w:hAnsi="Calibri" w:cs="Calibri"/>
          <w:sz w:val="22"/>
          <w:szCs w:val="22"/>
        </w:rPr>
        <w:t xml:space="preserve"> to neurological susceptibility in a multifactorial development, despite elevated heritability assessments suggesting a strong genetic basis.</w:t>
      </w:r>
    </w:p>
    <w:p w14:paraId="58BFF372" w14:textId="77777777" w:rsidR="00ED739C" w:rsidRPr="007E01CF" w:rsidRDefault="00ED739C" w:rsidP="007E01CF">
      <w:pPr>
        <w:pStyle w:val="p1"/>
        <w:spacing w:line="480" w:lineRule="auto"/>
        <w:jc w:val="both"/>
        <w:rPr>
          <w:rFonts w:ascii="Calibri" w:hAnsi="Calibri" w:cs="Calibri"/>
          <w:color w:val="EE0000"/>
          <w:sz w:val="24"/>
          <w:szCs w:val="24"/>
        </w:rPr>
      </w:pPr>
    </w:p>
    <w:p w14:paraId="1841B09F" w14:textId="5C70477E"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 xml:space="preserve">Role of Teaching Assistants </w:t>
      </w:r>
    </w:p>
    <w:p w14:paraId="721FC9A8" w14:textId="417F6385" w:rsidR="00E74BD0" w:rsidRPr="007E01CF" w:rsidRDefault="002617AC" w:rsidP="007E01CF">
      <w:pPr>
        <w:pStyle w:val="p1"/>
        <w:spacing w:line="480" w:lineRule="auto"/>
        <w:jc w:val="both"/>
        <w:rPr>
          <w:rFonts w:ascii="Calibri" w:hAnsi="Calibri" w:cs="Calibri"/>
          <w:color w:val="000000" w:themeColor="text1"/>
          <w:sz w:val="22"/>
          <w:szCs w:val="22"/>
        </w:rPr>
      </w:pPr>
      <w:r w:rsidRPr="007E01CF">
        <w:rPr>
          <w:rFonts w:ascii="Calibri" w:hAnsi="Calibri" w:cs="Calibri"/>
          <w:sz w:val="22"/>
          <w:szCs w:val="22"/>
        </w:rPr>
        <w:t>Burgess and Mayes</w:t>
      </w:r>
      <w:r w:rsidRPr="007E01CF">
        <w:rPr>
          <w:rFonts w:ascii="Calibri" w:hAnsi="Calibri" w:cs="Calibri"/>
          <w:sz w:val="22"/>
          <w:szCs w:val="22"/>
        </w:rPr>
        <w:t>,</w:t>
      </w:r>
      <w:r w:rsidRPr="007E01CF">
        <w:rPr>
          <w:rFonts w:ascii="Calibri" w:hAnsi="Calibri" w:cs="Calibri"/>
          <w:sz w:val="22"/>
          <w:szCs w:val="22"/>
        </w:rPr>
        <w:t xml:space="preserve"> (2007)</w:t>
      </w:r>
      <w:r w:rsidRPr="007E01CF">
        <w:rPr>
          <w:rFonts w:ascii="Calibri" w:hAnsi="Calibri" w:cs="Calibri"/>
          <w:sz w:val="22"/>
          <w:szCs w:val="22"/>
        </w:rPr>
        <w:t xml:space="preserve"> initially proposed that teaching assistants </w:t>
      </w:r>
      <w:r w:rsidRPr="007E01CF">
        <w:rPr>
          <w:rFonts w:ascii="Calibri" w:hAnsi="Calibri" w:cs="Calibri"/>
          <w:sz w:val="22"/>
          <w:szCs w:val="22"/>
        </w:rPr>
        <w:t>are essential in helping the growing proportion of students with special educational needs and disabilities (SEND), especially those with complex needs</w:t>
      </w:r>
      <w:r w:rsidRPr="007E01CF">
        <w:rPr>
          <w:rFonts w:ascii="Calibri" w:hAnsi="Calibri" w:cs="Calibri"/>
          <w:sz w:val="22"/>
          <w:szCs w:val="22"/>
        </w:rPr>
        <w:t xml:space="preserve">, such as, </w:t>
      </w:r>
      <w:proofErr w:type="gramStart"/>
      <w:r w:rsidRPr="007E01CF">
        <w:rPr>
          <w:rFonts w:ascii="Calibri" w:hAnsi="Calibri" w:cs="Calibri"/>
          <w:sz w:val="22"/>
          <w:szCs w:val="22"/>
        </w:rPr>
        <w:t>Attention Deficit Hyperactivity Disorder</w:t>
      </w:r>
      <w:proofErr w:type="gramEnd"/>
      <w:r w:rsidRPr="007E01CF">
        <w:rPr>
          <w:rFonts w:ascii="Calibri" w:hAnsi="Calibri" w:cs="Calibri"/>
          <w:sz w:val="22"/>
          <w:szCs w:val="22"/>
        </w:rPr>
        <w:t>.</w:t>
      </w:r>
      <w:r w:rsidRPr="007E01CF">
        <w:rPr>
          <w:rFonts w:ascii="Calibri" w:hAnsi="Calibri" w:cs="Calibri"/>
          <w:sz w:val="22"/>
          <w:szCs w:val="22"/>
        </w:rPr>
        <w:t xml:space="preserve"> However, according to </w:t>
      </w:r>
      <w:r w:rsidRPr="007E01CF">
        <w:rPr>
          <w:rFonts w:ascii="Calibri" w:hAnsi="Calibri" w:cs="Calibri"/>
          <w:sz w:val="22"/>
          <w:szCs w:val="22"/>
        </w:rPr>
        <w:t>Yang et al.</w:t>
      </w:r>
      <w:r w:rsidRPr="007E01CF">
        <w:rPr>
          <w:rFonts w:ascii="Calibri" w:hAnsi="Calibri" w:cs="Calibri"/>
          <w:sz w:val="22"/>
          <w:szCs w:val="22"/>
        </w:rPr>
        <w:t xml:space="preserve"> </w:t>
      </w:r>
      <w:r w:rsidRPr="007E01CF">
        <w:rPr>
          <w:rFonts w:ascii="Calibri" w:hAnsi="Calibri" w:cs="Calibri"/>
          <w:sz w:val="22"/>
          <w:szCs w:val="22"/>
        </w:rPr>
        <w:t>(2022)</w:t>
      </w:r>
      <w:r w:rsidRPr="007E01CF">
        <w:rPr>
          <w:rFonts w:ascii="Calibri" w:hAnsi="Calibri" w:cs="Calibri"/>
          <w:sz w:val="22"/>
          <w:szCs w:val="22"/>
        </w:rPr>
        <w:t xml:space="preserve"> their</w:t>
      </w:r>
      <w:r w:rsidRPr="007E01CF">
        <w:rPr>
          <w:rFonts w:ascii="Calibri" w:hAnsi="Calibri" w:cs="Calibri"/>
          <w:sz w:val="22"/>
          <w:szCs w:val="22"/>
        </w:rPr>
        <w:t xml:space="preserve"> efficacy relies more on planned, evidence-based implementation than on in-person assistance.</w:t>
      </w:r>
      <w:r w:rsidRPr="007E01CF">
        <w:rPr>
          <w:rFonts w:ascii="Calibri" w:hAnsi="Calibri" w:cs="Calibri"/>
          <w:sz w:val="22"/>
          <w:szCs w:val="22"/>
        </w:rPr>
        <w:t xml:space="preserve"> </w:t>
      </w:r>
      <w:r w:rsidRPr="007E01CF">
        <w:rPr>
          <w:rFonts w:ascii="Calibri" w:hAnsi="Calibri" w:cs="Calibri"/>
          <w:sz w:val="22"/>
          <w:szCs w:val="22"/>
        </w:rPr>
        <w:t>Three fundamental elements are identified in guidelines from the Education Endowment Foundation (EEF, 2022). Beginning through strategies like pre-teaching vocabulary, encouraging participation, and fostering willingness to learn, teaching assistants should facilitate access to quality instruction rather than replacing the instructor. Furthermore, teaching assistants should encourage independence among pupils while acknowledging that academic structuring needs to be flexible and gradually removed, even while certain types of support could still be required.</w:t>
      </w:r>
      <w:r w:rsidRPr="007E01CF">
        <w:rPr>
          <w:rFonts w:ascii="Calibri" w:hAnsi="Calibri" w:cs="Calibri"/>
          <w:sz w:val="22"/>
          <w:szCs w:val="22"/>
        </w:rPr>
        <w:t xml:space="preserve"> </w:t>
      </w:r>
      <w:r w:rsidRPr="007E01CF">
        <w:rPr>
          <w:rFonts w:ascii="Calibri" w:hAnsi="Calibri" w:cs="Calibri"/>
          <w:sz w:val="22"/>
          <w:szCs w:val="22"/>
        </w:rPr>
        <w:t>Ward et al. (2021)</w:t>
      </w:r>
      <w:r w:rsidRPr="007E01CF">
        <w:rPr>
          <w:rFonts w:ascii="Calibri" w:hAnsi="Calibri" w:cs="Calibri"/>
          <w:sz w:val="22"/>
          <w:szCs w:val="22"/>
        </w:rPr>
        <w:t xml:space="preserve"> reinforces that the role of teaching assistants may also include aiding academic abilities as well as behaviour and emotional needs. This can include taking children in smaller groups that require further help </w:t>
      </w:r>
      <w:proofErr w:type="gramStart"/>
      <w:r w:rsidRPr="007E01CF">
        <w:rPr>
          <w:rFonts w:ascii="Calibri" w:hAnsi="Calibri" w:cs="Calibri"/>
          <w:sz w:val="22"/>
          <w:szCs w:val="22"/>
        </w:rPr>
        <w:t>in particular subjects</w:t>
      </w:r>
      <w:proofErr w:type="gramEnd"/>
      <w:r w:rsidRPr="007E01CF">
        <w:rPr>
          <w:rFonts w:ascii="Calibri" w:hAnsi="Calibri" w:cs="Calibri"/>
          <w:sz w:val="22"/>
          <w:szCs w:val="22"/>
        </w:rPr>
        <w:t xml:space="preserve"> (typically literacy and numeracy) and working closed with children who have special educational needs so that all their requirements are met which they may not be in a traditional classroom environment.</w:t>
      </w:r>
    </w:p>
    <w:p w14:paraId="647ECD9F" w14:textId="77777777" w:rsidR="00C04194" w:rsidRPr="007E01CF" w:rsidRDefault="00C04194" w:rsidP="007E01CF">
      <w:pPr>
        <w:pStyle w:val="p1"/>
        <w:spacing w:line="480" w:lineRule="auto"/>
        <w:jc w:val="both"/>
        <w:rPr>
          <w:rFonts w:ascii="Calibri" w:hAnsi="Calibri" w:cs="Calibri"/>
          <w:sz w:val="24"/>
          <w:szCs w:val="24"/>
          <w:u w:val="wave"/>
        </w:rPr>
      </w:pPr>
    </w:p>
    <w:p w14:paraId="47FBB851" w14:textId="5D8F5500"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Experiences of Teaching Assistants</w:t>
      </w:r>
    </w:p>
    <w:p w14:paraId="14B61F3E" w14:textId="53544B09" w:rsidR="00BE3894" w:rsidRPr="007E01CF" w:rsidRDefault="00BE3894" w:rsidP="007E01CF">
      <w:pPr>
        <w:pStyle w:val="p1"/>
        <w:spacing w:line="480" w:lineRule="auto"/>
        <w:jc w:val="both"/>
        <w:rPr>
          <w:rFonts w:ascii="Calibri" w:hAnsi="Calibri" w:cs="Calibri"/>
          <w:color w:val="000000" w:themeColor="text1"/>
          <w:sz w:val="22"/>
          <w:szCs w:val="22"/>
        </w:rPr>
      </w:pPr>
      <w:r w:rsidRPr="007E01CF">
        <w:rPr>
          <w:rFonts w:ascii="Calibri" w:hAnsi="Calibri" w:cs="Calibri"/>
          <w:sz w:val="22"/>
          <w:szCs w:val="22"/>
        </w:rPr>
        <w:t xml:space="preserve">Symes &amp; Humphrey, </w:t>
      </w:r>
      <w:r w:rsidRPr="007E01CF">
        <w:rPr>
          <w:rFonts w:ascii="Calibri" w:hAnsi="Calibri" w:cs="Calibri"/>
          <w:sz w:val="22"/>
          <w:szCs w:val="22"/>
        </w:rPr>
        <w:t>(</w:t>
      </w:r>
      <w:r w:rsidRPr="007E01CF">
        <w:rPr>
          <w:rFonts w:ascii="Calibri" w:hAnsi="Calibri" w:cs="Calibri"/>
          <w:sz w:val="22"/>
          <w:szCs w:val="22"/>
        </w:rPr>
        <w:t>2011)</w:t>
      </w:r>
      <w:r w:rsidRPr="007E01CF">
        <w:rPr>
          <w:rFonts w:ascii="Calibri" w:hAnsi="Calibri" w:cs="Calibri"/>
          <w:sz w:val="22"/>
          <w:szCs w:val="22"/>
        </w:rPr>
        <w:t xml:space="preserve"> acknowledged that within educational institutions, teaching assistants have </w:t>
      </w:r>
      <w:r w:rsidRPr="007E01CF">
        <w:rPr>
          <w:rFonts w:ascii="Calibri" w:hAnsi="Calibri" w:cs="Calibri"/>
          <w:sz w:val="22"/>
          <w:szCs w:val="22"/>
        </w:rPr>
        <w:t xml:space="preserve">an intricate and frequently underappreciated role that is marked by an elevated emotional strain and a substantial pedagogical impact.   TAs perform a broad spectrum of duties, such as providing one-on-one support, delivering focused interventions, managing behaviour, and facilitating learning for </w:t>
      </w:r>
      <w:r w:rsidRPr="007E01CF">
        <w:rPr>
          <w:rFonts w:ascii="Calibri" w:hAnsi="Calibri" w:cs="Calibri"/>
          <w:sz w:val="22"/>
          <w:szCs w:val="22"/>
        </w:rPr>
        <w:lastRenderedPageBreak/>
        <w:t>students with special educational needs and disabilities (SEND).</w:t>
      </w:r>
      <w:r w:rsidRPr="007E01CF">
        <w:rPr>
          <w:rFonts w:ascii="Calibri" w:hAnsi="Calibri" w:cs="Calibri"/>
          <w:sz w:val="22"/>
          <w:szCs w:val="22"/>
        </w:rPr>
        <w:t xml:space="preserve"> </w:t>
      </w:r>
      <w:r w:rsidRPr="007E01CF">
        <w:rPr>
          <w:rFonts w:ascii="Calibri" w:hAnsi="Calibri" w:cs="Calibri"/>
          <w:sz w:val="22"/>
          <w:szCs w:val="22"/>
        </w:rPr>
        <w:t>Webster</w:t>
      </w:r>
      <w:r w:rsidRPr="007E01CF">
        <w:rPr>
          <w:rFonts w:ascii="Calibri" w:hAnsi="Calibri" w:cs="Calibri"/>
          <w:sz w:val="22"/>
          <w:szCs w:val="22"/>
        </w:rPr>
        <w:t>,</w:t>
      </w:r>
      <w:r w:rsidRPr="007E01CF">
        <w:rPr>
          <w:rFonts w:ascii="Calibri" w:hAnsi="Calibri" w:cs="Calibri"/>
          <w:sz w:val="22"/>
          <w:szCs w:val="22"/>
        </w:rPr>
        <w:t xml:space="preserve"> (2024)</w:t>
      </w:r>
      <w:r w:rsidRPr="007E01CF">
        <w:rPr>
          <w:rFonts w:ascii="Calibri" w:hAnsi="Calibri" w:cs="Calibri"/>
          <w:sz w:val="22"/>
          <w:szCs w:val="22"/>
        </w:rPr>
        <w:t xml:space="preserve"> asserted his contentment with Symes and Humphrey, (2011) by stating that teaching assistants </w:t>
      </w:r>
      <w:r w:rsidRPr="007E01CF">
        <w:rPr>
          <w:rFonts w:ascii="Calibri" w:hAnsi="Calibri" w:cs="Calibri"/>
          <w:sz w:val="22"/>
          <w:szCs w:val="22"/>
        </w:rPr>
        <w:t>are sometimes referred to as the "glue" of the classroom.</w:t>
      </w:r>
      <w:r w:rsidR="00A76B42" w:rsidRPr="007E01CF">
        <w:rPr>
          <w:rFonts w:ascii="Calibri" w:hAnsi="Calibri" w:cs="Calibri"/>
          <w:sz w:val="22"/>
          <w:szCs w:val="22"/>
        </w:rPr>
        <w:t xml:space="preserve"> </w:t>
      </w:r>
      <w:r w:rsidR="00A76B42" w:rsidRPr="007E01CF">
        <w:rPr>
          <w:rFonts w:ascii="Calibri" w:hAnsi="Calibri" w:cs="Calibri"/>
          <w:sz w:val="22"/>
          <w:szCs w:val="22"/>
        </w:rPr>
        <w:t>Sharples et al. (2015)</w:t>
      </w:r>
      <w:r w:rsidR="00A76B42" w:rsidRPr="007E01CF">
        <w:rPr>
          <w:rFonts w:ascii="Calibri" w:hAnsi="Calibri" w:cs="Calibri"/>
          <w:sz w:val="22"/>
          <w:szCs w:val="22"/>
        </w:rPr>
        <w:t xml:space="preserve"> explains that b</w:t>
      </w:r>
      <w:r w:rsidR="00A76B42" w:rsidRPr="007E01CF">
        <w:rPr>
          <w:rFonts w:ascii="Calibri" w:hAnsi="Calibri" w:cs="Calibri"/>
          <w:sz w:val="22"/>
          <w:szCs w:val="22"/>
        </w:rPr>
        <w:t xml:space="preserve">uilding strong, trusting connections with students is essential to teaching assistants job, but it also requires prolonged emotional </w:t>
      </w:r>
      <w:r w:rsidR="00081690" w:rsidRPr="007E01CF">
        <w:rPr>
          <w:rFonts w:ascii="Calibri" w:hAnsi="Calibri" w:cs="Calibri"/>
          <w:sz w:val="22"/>
          <w:szCs w:val="22"/>
        </w:rPr>
        <w:t>labour</w:t>
      </w:r>
      <w:r w:rsidR="00A76B42" w:rsidRPr="007E01CF">
        <w:rPr>
          <w:rFonts w:ascii="Calibri" w:hAnsi="Calibri" w:cs="Calibri"/>
          <w:sz w:val="22"/>
          <w:szCs w:val="22"/>
        </w:rPr>
        <w:t xml:space="preserve">, the constant control of individual feelings </w:t>
      </w:r>
      <w:proofErr w:type="gramStart"/>
      <w:r w:rsidR="00A76B42" w:rsidRPr="007E01CF">
        <w:rPr>
          <w:rFonts w:ascii="Calibri" w:hAnsi="Calibri" w:cs="Calibri"/>
          <w:sz w:val="22"/>
          <w:szCs w:val="22"/>
        </w:rPr>
        <w:t>in order to</w:t>
      </w:r>
      <w:proofErr w:type="gramEnd"/>
      <w:r w:rsidR="00A76B42" w:rsidRPr="007E01CF">
        <w:rPr>
          <w:rFonts w:ascii="Calibri" w:hAnsi="Calibri" w:cs="Calibri"/>
          <w:sz w:val="22"/>
          <w:szCs w:val="22"/>
        </w:rPr>
        <w:t xml:space="preserve"> satisfy the subjective needs of students.   This is especially noticeable when helping students with significant behavioural or psychological needs, frequently in situations that are unpredictable and demanding. As a result, a lot of TAs suffer from mental and emotional exhaustion, which is made worse by long hours, inadequate training, and occasionally occupational exclusion. </w:t>
      </w:r>
      <w:r w:rsidR="00081690" w:rsidRPr="007E01CF">
        <w:rPr>
          <w:rFonts w:ascii="Calibri" w:hAnsi="Calibri" w:cs="Calibri"/>
          <w:sz w:val="22"/>
          <w:szCs w:val="22"/>
        </w:rPr>
        <w:t>Lawrence et al. (2017)</w:t>
      </w:r>
      <w:r w:rsidR="00081690" w:rsidRPr="007E01CF">
        <w:rPr>
          <w:rFonts w:ascii="Calibri" w:hAnsi="Calibri" w:cs="Calibri"/>
          <w:sz w:val="22"/>
          <w:szCs w:val="22"/>
        </w:rPr>
        <w:t xml:space="preserve"> notions that despite the negative experiences of teaching assistants, there are also positive benefits, </w:t>
      </w:r>
      <w:r w:rsidR="00081690" w:rsidRPr="007E01CF">
        <w:rPr>
          <w:rFonts w:ascii="Calibri" w:hAnsi="Calibri" w:cs="Calibri"/>
          <w:sz w:val="22"/>
          <w:szCs w:val="22"/>
        </w:rPr>
        <w:t xml:space="preserve">the position is often described as inherently fulfilling, with instances of student comprehension and advancement offering a great sense of significance and fulfilment with work. </w:t>
      </w:r>
      <w:r w:rsidR="00081690" w:rsidRPr="007E01CF">
        <w:rPr>
          <w:rFonts w:ascii="Calibri" w:hAnsi="Calibri" w:cs="Calibri"/>
          <w:sz w:val="22"/>
          <w:szCs w:val="22"/>
        </w:rPr>
        <w:t xml:space="preserve"> </w:t>
      </w:r>
      <w:r w:rsidR="00081690" w:rsidRPr="007E01CF">
        <w:rPr>
          <w:rFonts w:ascii="Calibri" w:hAnsi="Calibri" w:cs="Calibri"/>
          <w:sz w:val="22"/>
          <w:szCs w:val="22"/>
        </w:rPr>
        <w:t>Clarke and Visser</w:t>
      </w:r>
      <w:r w:rsidR="00081690" w:rsidRPr="007E01CF">
        <w:rPr>
          <w:rFonts w:ascii="Calibri" w:hAnsi="Calibri" w:cs="Calibri"/>
          <w:sz w:val="22"/>
          <w:szCs w:val="22"/>
        </w:rPr>
        <w:t>,</w:t>
      </w:r>
      <w:r w:rsidR="00081690" w:rsidRPr="007E01CF">
        <w:rPr>
          <w:rFonts w:ascii="Calibri" w:hAnsi="Calibri" w:cs="Calibri"/>
          <w:sz w:val="22"/>
          <w:szCs w:val="22"/>
        </w:rPr>
        <w:t xml:space="preserve"> (2016)</w:t>
      </w:r>
      <w:r w:rsidR="00081690" w:rsidRPr="007E01CF">
        <w:rPr>
          <w:rFonts w:ascii="Calibri" w:hAnsi="Calibri" w:cs="Calibri"/>
          <w:sz w:val="22"/>
          <w:szCs w:val="22"/>
        </w:rPr>
        <w:t xml:space="preserve"> contradict this however, recognising that there is a structural conflict. They explain that </w:t>
      </w:r>
      <w:r w:rsidR="00081690" w:rsidRPr="007E01CF">
        <w:rPr>
          <w:rFonts w:ascii="Calibri" w:hAnsi="Calibri" w:cs="Calibri"/>
          <w:sz w:val="22"/>
          <w:szCs w:val="22"/>
        </w:rPr>
        <w:t xml:space="preserve">although teaching assistants are crucial to inclusive practice, their welfare is frequently not given enough priority. </w:t>
      </w:r>
      <w:proofErr w:type="gramStart"/>
      <w:r w:rsidR="00081690" w:rsidRPr="007E01CF">
        <w:rPr>
          <w:rFonts w:ascii="Calibri" w:hAnsi="Calibri" w:cs="Calibri"/>
          <w:sz w:val="22"/>
          <w:szCs w:val="22"/>
        </w:rPr>
        <w:t>In order to</w:t>
      </w:r>
      <w:proofErr w:type="gramEnd"/>
      <w:r w:rsidR="00081690" w:rsidRPr="007E01CF">
        <w:rPr>
          <w:rFonts w:ascii="Calibri" w:hAnsi="Calibri" w:cs="Calibri"/>
          <w:sz w:val="22"/>
          <w:szCs w:val="22"/>
        </w:rPr>
        <w:t xml:space="preserve"> maintain practitioner welfare and educational efficacy, addressing this calls for increased awareness of emotional demands, enhanced professional growth, and systemic support.</w:t>
      </w:r>
    </w:p>
    <w:p w14:paraId="206E1464" w14:textId="77777777" w:rsidR="00C04194" w:rsidRPr="007E01CF" w:rsidRDefault="00C04194" w:rsidP="007E01CF">
      <w:pPr>
        <w:pStyle w:val="p1"/>
        <w:spacing w:line="480" w:lineRule="auto"/>
        <w:jc w:val="both"/>
        <w:rPr>
          <w:rFonts w:ascii="Calibri" w:hAnsi="Calibri" w:cs="Calibri"/>
          <w:sz w:val="24"/>
          <w:szCs w:val="24"/>
          <w:u w:val="wave"/>
        </w:rPr>
      </w:pPr>
    </w:p>
    <w:p w14:paraId="2CD667E3" w14:textId="0937CDD5" w:rsidR="00087426" w:rsidRPr="007E01CF" w:rsidRDefault="00087426" w:rsidP="007E01CF">
      <w:pPr>
        <w:pStyle w:val="p1"/>
        <w:spacing w:line="480" w:lineRule="auto"/>
        <w:jc w:val="both"/>
        <w:rPr>
          <w:rFonts w:ascii="Calibri" w:hAnsi="Calibri" w:cs="Calibri"/>
          <w:sz w:val="24"/>
          <w:szCs w:val="24"/>
          <w:u w:val="wave"/>
        </w:rPr>
      </w:pPr>
      <w:r w:rsidRPr="007E01CF">
        <w:rPr>
          <w:rFonts w:ascii="Calibri" w:hAnsi="Calibri" w:cs="Calibri"/>
          <w:sz w:val="24"/>
          <w:szCs w:val="24"/>
          <w:u w:val="wave"/>
        </w:rPr>
        <w:t>Conclusion</w:t>
      </w:r>
    </w:p>
    <w:p w14:paraId="298DDC81" w14:textId="77777777" w:rsidR="00C23A15" w:rsidRDefault="004D60D8"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This literature review containing experiences of teaching assistants helping children with </w:t>
      </w:r>
      <w:proofErr w:type="gramStart"/>
      <w:r w:rsidRPr="007E01CF">
        <w:rPr>
          <w:rFonts w:ascii="Calibri" w:hAnsi="Calibri" w:cs="Calibri"/>
          <w:sz w:val="22"/>
          <w:szCs w:val="22"/>
        </w:rPr>
        <w:t>Attention Deficit Hyperactivity Disorder</w:t>
      </w:r>
      <w:proofErr w:type="gramEnd"/>
      <w:r w:rsidR="00F14301" w:rsidRPr="007E01CF">
        <w:rPr>
          <w:rFonts w:ascii="Calibri" w:hAnsi="Calibri" w:cs="Calibri"/>
          <w:sz w:val="22"/>
          <w:szCs w:val="22"/>
        </w:rPr>
        <w:t xml:space="preserve"> has synthesised critically throughout, exposing a pedagogical significance. </w:t>
      </w:r>
      <w:r w:rsidR="00A455B3" w:rsidRPr="007E01CF">
        <w:rPr>
          <w:rFonts w:ascii="Calibri" w:hAnsi="Calibri" w:cs="Calibri"/>
          <w:sz w:val="22"/>
          <w:szCs w:val="22"/>
        </w:rPr>
        <w:t xml:space="preserve">The data reveals conflicts between policy objectives and the realities of inadequate training, contradictory interpretations of ADHD, and significant psychological work, even though teaching assistants are presented as essential to a comprehensive approach.   These results imply that existing assistance systems are still not properly conceptualised and implemented.   To enhance academic performance and match behaviour with established guidelines, a more precise job definition is required, along with ongoing career advancement and more systematically rigorous research.  </w:t>
      </w:r>
    </w:p>
    <w:p w14:paraId="0C410BBE" w14:textId="22BF8CEB" w:rsidR="00004480" w:rsidRPr="00C23A15" w:rsidRDefault="00004480" w:rsidP="007E01CF">
      <w:pPr>
        <w:pStyle w:val="p1"/>
        <w:spacing w:line="480" w:lineRule="auto"/>
        <w:jc w:val="both"/>
        <w:rPr>
          <w:rFonts w:ascii="Calibri" w:hAnsi="Calibri" w:cs="Calibri"/>
          <w:sz w:val="22"/>
          <w:szCs w:val="22"/>
        </w:rPr>
      </w:pPr>
      <w:r w:rsidRPr="007E01CF">
        <w:rPr>
          <w:rFonts w:ascii="Calibri" w:hAnsi="Calibri" w:cs="Calibri"/>
          <w:color w:val="auto"/>
          <w:sz w:val="24"/>
          <w:szCs w:val="24"/>
          <w:u w:val="single"/>
        </w:rPr>
        <w:lastRenderedPageBreak/>
        <w:t>Research Questions</w:t>
      </w:r>
    </w:p>
    <w:p w14:paraId="5A7C7666" w14:textId="4C22E8FA" w:rsidR="00923AF0" w:rsidRPr="007E01CF" w:rsidRDefault="00923AF0" w:rsidP="007E01CF">
      <w:p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 xml:space="preserve">After appraising my literature review, it is evident that there have been deliberations on different </w:t>
      </w:r>
      <w:r w:rsidRPr="007E01CF">
        <w:rPr>
          <w:rFonts w:ascii="Calibri" w:hAnsi="Calibri" w:cs="Calibri"/>
          <w:color w:val="000000"/>
          <w:sz w:val="22"/>
          <w:szCs w:val="22"/>
        </w:rPr>
        <w:t xml:space="preserve">teaching assistants’ experiences and their job role when working with children with </w:t>
      </w:r>
      <w:proofErr w:type="gramStart"/>
      <w:r w:rsidRPr="007E01CF">
        <w:rPr>
          <w:rFonts w:ascii="Calibri" w:hAnsi="Calibri" w:cs="Calibri"/>
          <w:color w:val="000000"/>
          <w:sz w:val="22"/>
          <w:szCs w:val="22"/>
        </w:rPr>
        <w:t>Attention Deficit Hyperactivity Disorder</w:t>
      </w:r>
      <w:proofErr w:type="gramEnd"/>
      <w:r w:rsidRPr="007E01CF">
        <w:rPr>
          <w:rFonts w:ascii="Calibri" w:hAnsi="Calibri" w:cs="Calibri"/>
          <w:color w:val="000000"/>
          <w:sz w:val="22"/>
          <w:szCs w:val="22"/>
        </w:rPr>
        <w:t xml:space="preserve"> </w:t>
      </w:r>
      <w:r w:rsidRPr="007E01CF">
        <w:rPr>
          <w:rFonts w:ascii="Calibri" w:hAnsi="Calibri" w:cs="Calibri"/>
          <w:color w:val="000000"/>
          <w:sz w:val="22"/>
          <w:szCs w:val="22"/>
        </w:rPr>
        <w:t xml:space="preserve">and how they positively affect students’ development in all the research and observations that have taken place. However, there are still minimalistic learning environments that </w:t>
      </w:r>
      <w:r w:rsidRPr="007E01CF">
        <w:rPr>
          <w:rFonts w:ascii="Calibri" w:hAnsi="Calibri" w:cs="Calibri"/>
          <w:color w:val="000000"/>
          <w:sz w:val="22"/>
          <w:szCs w:val="22"/>
        </w:rPr>
        <w:t>include, understand and train teaching assistants within their occupation and educational setting</w:t>
      </w:r>
      <w:r w:rsidRPr="007E01CF">
        <w:rPr>
          <w:rFonts w:ascii="Calibri" w:hAnsi="Calibri" w:cs="Calibri"/>
          <w:color w:val="000000"/>
          <w:sz w:val="22"/>
          <w:szCs w:val="22"/>
        </w:rPr>
        <w:t xml:space="preserve">. Consequently, my </w:t>
      </w:r>
      <w:r w:rsidRPr="007E01CF">
        <w:rPr>
          <w:rFonts w:ascii="Calibri" w:hAnsi="Calibri" w:cs="Calibri"/>
          <w:color w:val="000000"/>
          <w:sz w:val="22"/>
          <w:szCs w:val="22"/>
        </w:rPr>
        <w:t>research report</w:t>
      </w:r>
      <w:r w:rsidRPr="007E01CF">
        <w:rPr>
          <w:rFonts w:ascii="Calibri" w:hAnsi="Calibri" w:cs="Calibri"/>
          <w:color w:val="000000"/>
          <w:sz w:val="22"/>
          <w:szCs w:val="22"/>
        </w:rPr>
        <w:t xml:space="preserve"> will concentrate on answering the following research questions: </w:t>
      </w:r>
    </w:p>
    <w:p w14:paraId="1C3A7A71" w14:textId="0344C8B6" w:rsidR="00923AF0" w:rsidRPr="007E01CF" w:rsidRDefault="00884DBD" w:rsidP="007E01CF">
      <w:pPr>
        <w:pStyle w:val="ListParagraph"/>
        <w:numPr>
          <w:ilvl w:val="0"/>
          <w:numId w:val="7"/>
        </w:num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How are teaching assistants' methods for assisting students with ADHD in standard schools influenced by systemic limitations and unstructured learning?</w:t>
      </w:r>
    </w:p>
    <w:p w14:paraId="2B9F38D1" w14:textId="74219CC9" w:rsidR="00884DBD" w:rsidRPr="007E01CF" w:rsidRDefault="00884DBD" w:rsidP="007E01CF">
      <w:pPr>
        <w:pStyle w:val="ListParagraph"/>
        <w:numPr>
          <w:ilvl w:val="0"/>
          <w:numId w:val="7"/>
        </w:numPr>
        <w:spacing w:after="160" w:line="480" w:lineRule="auto"/>
        <w:jc w:val="both"/>
        <w:rPr>
          <w:rFonts w:ascii="Calibri" w:hAnsi="Calibri" w:cs="Calibri"/>
          <w:color w:val="000000"/>
          <w:sz w:val="22"/>
          <w:szCs w:val="22"/>
        </w:rPr>
      </w:pPr>
      <w:r w:rsidRPr="007E01CF">
        <w:rPr>
          <w:rFonts w:ascii="Calibri" w:hAnsi="Calibri" w:cs="Calibri"/>
          <w:color w:val="000000"/>
          <w:sz w:val="22"/>
          <w:szCs w:val="22"/>
        </w:rPr>
        <w:t>How do teaching assistants provide students with ADHD in traditional school settings whilst balancing systemic constraints and individual responsibility?</w:t>
      </w:r>
    </w:p>
    <w:p w14:paraId="5E6D1F2A" w14:textId="77777777" w:rsidR="00884DBD" w:rsidRPr="007E01CF" w:rsidRDefault="00884DBD" w:rsidP="007E01CF">
      <w:pPr>
        <w:spacing w:after="160" w:line="480" w:lineRule="auto"/>
        <w:jc w:val="both"/>
        <w:rPr>
          <w:rFonts w:ascii="Calibri" w:hAnsi="Calibri" w:cs="Calibri"/>
          <w:color w:val="000000"/>
          <w:sz w:val="22"/>
          <w:szCs w:val="22"/>
        </w:rPr>
      </w:pPr>
    </w:p>
    <w:p w14:paraId="42DEB5A8" w14:textId="77777777" w:rsidR="00884DBD" w:rsidRPr="007E01CF" w:rsidRDefault="00884DBD" w:rsidP="007E01CF">
      <w:pPr>
        <w:spacing w:before="100" w:beforeAutospacing="1" w:after="100" w:afterAutospacing="1" w:line="480" w:lineRule="auto"/>
        <w:jc w:val="both"/>
        <w:rPr>
          <w:rFonts w:ascii="Calibri" w:hAnsi="Calibri" w:cs="Calibri"/>
          <w:color w:val="EE0000"/>
          <w:sz w:val="22"/>
          <w:szCs w:val="22"/>
        </w:rPr>
      </w:pPr>
    </w:p>
    <w:p w14:paraId="67872514"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78C58DD1"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6C0B1410"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24BF29F7"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7516DE18"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5A904AAC"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0C37D70B" w14:textId="77777777" w:rsidR="006C1BA8" w:rsidRPr="007E01CF" w:rsidRDefault="006C1BA8" w:rsidP="007E01CF">
      <w:pPr>
        <w:spacing w:before="100" w:beforeAutospacing="1" w:after="100" w:afterAutospacing="1" w:line="480" w:lineRule="auto"/>
        <w:jc w:val="both"/>
        <w:rPr>
          <w:rFonts w:ascii="Calibri" w:hAnsi="Calibri" w:cs="Calibri"/>
          <w:color w:val="EE0000"/>
          <w:sz w:val="22"/>
          <w:szCs w:val="22"/>
        </w:rPr>
      </w:pPr>
    </w:p>
    <w:p w14:paraId="0BFA2847" w14:textId="77777777" w:rsidR="00C23A15" w:rsidRDefault="00C23A15" w:rsidP="007E01CF">
      <w:pPr>
        <w:pStyle w:val="p1"/>
        <w:spacing w:line="480" w:lineRule="auto"/>
        <w:jc w:val="both"/>
        <w:rPr>
          <w:rFonts w:ascii="Calibri" w:hAnsi="Calibri" w:cs="Calibri"/>
          <w:sz w:val="24"/>
          <w:szCs w:val="24"/>
          <w:u w:val="single"/>
        </w:rPr>
      </w:pPr>
    </w:p>
    <w:p w14:paraId="63D6BBED" w14:textId="4FA1C472" w:rsidR="001E580B" w:rsidRPr="007E01CF"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Methodology</w:t>
      </w:r>
    </w:p>
    <w:p w14:paraId="20031FC1" w14:textId="77777777" w:rsidR="005A2D87" w:rsidRPr="007E01CF" w:rsidRDefault="005A2D87"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Introduction</w:t>
      </w:r>
    </w:p>
    <w:p w14:paraId="3BBEE3A9" w14:textId="3B10949A" w:rsidR="005A2D87" w:rsidRPr="007E01CF" w:rsidRDefault="005A2D87"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This thematic analysis research report has the aim to explore </w:t>
      </w:r>
      <w:r w:rsidRPr="007E01CF">
        <w:rPr>
          <w:rFonts w:ascii="Calibri" w:hAnsi="Calibri" w:cs="Calibri"/>
          <w:sz w:val="22"/>
          <w:szCs w:val="22"/>
        </w:rPr>
        <w:t xml:space="preserve">teaching assistants’ experiences working with children with </w:t>
      </w:r>
      <w:proofErr w:type="gramStart"/>
      <w:r w:rsidRPr="007E01CF">
        <w:rPr>
          <w:rFonts w:ascii="Calibri" w:hAnsi="Calibri" w:cs="Calibri"/>
          <w:sz w:val="22"/>
          <w:szCs w:val="22"/>
        </w:rPr>
        <w:t>A</w:t>
      </w:r>
      <w:r w:rsidRPr="007E01CF">
        <w:rPr>
          <w:rFonts w:ascii="Calibri" w:hAnsi="Calibri" w:cs="Calibri"/>
          <w:sz w:val="22"/>
          <w:szCs w:val="22"/>
        </w:rPr>
        <w:t>ttention Deficit Hyperactivity Disorder</w:t>
      </w:r>
      <w:proofErr w:type="gramEnd"/>
      <w:r w:rsidRPr="007E01CF">
        <w:rPr>
          <w:rFonts w:ascii="Calibri" w:hAnsi="Calibri" w:cs="Calibri"/>
          <w:sz w:val="22"/>
          <w:szCs w:val="22"/>
        </w:rPr>
        <w:t xml:space="preserve">. It is a subject matter that has been researched for decades with no real impact within the educational setting field. For that reason, it is crucial that the subject under consideration is continued to be highlighted. This chapter will outline the research’s methodology, providing an explanation and justification for the research design, tools, ethical considerations, selection of participants chosen and expose clarification for how the data was coded and processed. </w:t>
      </w:r>
    </w:p>
    <w:p w14:paraId="7FB87734" w14:textId="77777777" w:rsidR="00DD1A44" w:rsidRPr="007E01CF" w:rsidRDefault="00DD1A44" w:rsidP="007E01CF">
      <w:pPr>
        <w:pStyle w:val="p1"/>
        <w:spacing w:line="480" w:lineRule="auto"/>
        <w:jc w:val="both"/>
        <w:rPr>
          <w:rFonts w:ascii="Calibri" w:hAnsi="Calibri" w:cs="Calibri"/>
          <w:sz w:val="28"/>
          <w:szCs w:val="28"/>
          <w:u w:val="single"/>
        </w:rPr>
      </w:pPr>
    </w:p>
    <w:p w14:paraId="00A2A760" w14:textId="35192277" w:rsidR="001E580B" w:rsidRPr="007E01CF" w:rsidRDefault="00F723C9"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 xml:space="preserve">Research </w:t>
      </w:r>
      <w:r w:rsidR="001E580B" w:rsidRPr="007E01CF">
        <w:rPr>
          <w:rFonts w:ascii="Calibri" w:hAnsi="Calibri" w:cs="Calibri"/>
          <w:sz w:val="22"/>
          <w:szCs w:val="22"/>
          <w:u w:val="wave"/>
        </w:rPr>
        <w:t>Design</w:t>
      </w:r>
    </w:p>
    <w:p w14:paraId="1F864EE7" w14:textId="1D4217C0" w:rsidR="00F723C9" w:rsidRPr="007E01CF" w:rsidRDefault="00F723C9" w:rsidP="007E01CF">
      <w:pPr>
        <w:spacing w:before="100" w:beforeAutospacing="1" w:after="100" w:afterAutospacing="1" w:line="480" w:lineRule="auto"/>
        <w:jc w:val="both"/>
        <w:rPr>
          <w:rFonts w:ascii="Calibri" w:hAnsi="Calibri" w:cs="Calibri"/>
          <w:color w:val="000000"/>
          <w:sz w:val="22"/>
          <w:szCs w:val="22"/>
        </w:rPr>
      </w:pPr>
      <w:r w:rsidRPr="007E01CF">
        <w:rPr>
          <w:rFonts w:ascii="Calibri" w:hAnsi="Calibri" w:cs="Calibri"/>
          <w:color w:val="000000"/>
          <w:sz w:val="22"/>
          <w:szCs w:val="22"/>
        </w:rPr>
        <w:t>Throughout this research report</w:t>
      </w:r>
      <w:r w:rsidR="00836F06" w:rsidRPr="007E01CF">
        <w:rPr>
          <w:rFonts w:ascii="Calibri" w:hAnsi="Calibri" w:cs="Calibri"/>
          <w:color w:val="000000"/>
          <w:sz w:val="22"/>
          <w:szCs w:val="22"/>
        </w:rPr>
        <w:t xml:space="preserve">, I used a qualitive approach methodology due to my research technique having the ability to accumulate data from teaching assistants from various learning environments. The justification in using a qualitive thematic analysis methodology approach is the need to conduct interviews and data collection from individuals discussing their lived experiences of assisting students with </w:t>
      </w:r>
      <w:proofErr w:type="gramStart"/>
      <w:r w:rsidR="00836F06" w:rsidRPr="007E01CF">
        <w:rPr>
          <w:rFonts w:ascii="Calibri" w:hAnsi="Calibri" w:cs="Calibri"/>
          <w:color w:val="000000"/>
          <w:sz w:val="22"/>
          <w:szCs w:val="22"/>
        </w:rPr>
        <w:t>Attention Deficit Hyperactivity Disorder</w:t>
      </w:r>
      <w:proofErr w:type="gramEnd"/>
      <w:r w:rsidR="00836F06" w:rsidRPr="007E01CF">
        <w:rPr>
          <w:rFonts w:ascii="Calibri" w:hAnsi="Calibri" w:cs="Calibri"/>
          <w:color w:val="000000"/>
          <w:sz w:val="22"/>
          <w:szCs w:val="22"/>
        </w:rPr>
        <w:t xml:space="preserve"> to support the research I have executed in the literature review. </w:t>
      </w:r>
      <w:r w:rsidR="00A72996" w:rsidRPr="007E01CF">
        <w:rPr>
          <w:rFonts w:ascii="Calibri" w:hAnsi="Calibri" w:cs="Calibri"/>
          <w:color w:val="000000"/>
          <w:sz w:val="22"/>
          <w:szCs w:val="22"/>
        </w:rPr>
        <w:t xml:space="preserve">I will be predominately using qualitive data approach by utilising semi-structured interviews to explore a variety of topics through one-on-one interviews. Interviews provide a thorough comparable qualitive data due to their ability to provide trustworthy sources. </w:t>
      </w:r>
    </w:p>
    <w:p w14:paraId="1BE1D1B9" w14:textId="27F23D11" w:rsidR="001E580B" w:rsidRPr="007E01CF" w:rsidRDefault="00F53F10" w:rsidP="007E01CF">
      <w:pPr>
        <w:spacing w:before="100" w:beforeAutospacing="1" w:after="100" w:afterAutospacing="1" w:line="480" w:lineRule="auto"/>
        <w:jc w:val="both"/>
        <w:rPr>
          <w:rFonts w:ascii="Calibri" w:hAnsi="Calibri" w:cs="Calibri"/>
          <w:color w:val="000000"/>
          <w:sz w:val="22"/>
          <w:szCs w:val="22"/>
        </w:rPr>
      </w:pPr>
      <w:r w:rsidRPr="007E01CF">
        <w:rPr>
          <w:rFonts w:ascii="Calibri" w:hAnsi="Calibri" w:cs="Calibri"/>
          <w:color w:val="000000"/>
          <w:sz w:val="22"/>
          <w:szCs w:val="22"/>
        </w:rPr>
        <w:t>In accordance with Wilkinson &amp; Birmingham (2003), interviews may diverge from the main topic of the research and take detours, which makes them time-consuming both during the interview and throughout the much lengthier process of writing up the transcribed information.   The ability to read facial emotions and body language is a benefit of direct interaction</w:t>
      </w:r>
      <w:r w:rsidR="00EA44A3" w:rsidRPr="007E01CF">
        <w:rPr>
          <w:rFonts w:ascii="Calibri" w:hAnsi="Calibri" w:cs="Calibri"/>
          <w:color w:val="000000"/>
          <w:sz w:val="22"/>
          <w:szCs w:val="22"/>
        </w:rPr>
        <w:t>, on the other hand</w:t>
      </w:r>
      <w:r w:rsidRPr="007E01CF">
        <w:rPr>
          <w:rFonts w:ascii="Calibri" w:hAnsi="Calibri" w:cs="Calibri"/>
          <w:color w:val="000000"/>
          <w:sz w:val="22"/>
          <w:szCs w:val="22"/>
        </w:rPr>
        <w:t xml:space="preserve">.    As the discussion progresses, they might be recorded as points that may be useful in the study's data analysis phase. However, interviewees may be shy, uncomfortable in person, or unfamiliar with technology. </w:t>
      </w:r>
      <w:r w:rsidRPr="007E01CF">
        <w:rPr>
          <w:rFonts w:ascii="Calibri" w:hAnsi="Calibri" w:cs="Calibri"/>
          <w:color w:val="000000"/>
          <w:sz w:val="22"/>
          <w:szCs w:val="22"/>
        </w:rPr>
        <w:lastRenderedPageBreak/>
        <w:t xml:space="preserve">Using Teams or the phone is more cost-effective and may put participants at ease because there is no need to travel, </w:t>
      </w:r>
      <w:proofErr w:type="gramStart"/>
      <w:r w:rsidRPr="007E01CF">
        <w:rPr>
          <w:rFonts w:ascii="Calibri" w:hAnsi="Calibri" w:cs="Calibri"/>
          <w:color w:val="000000"/>
          <w:sz w:val="22"/>
          <w:szCs w:val="22"/>
        </w:rPr>
        <w:t>all of</w:t>
      </w:r>
      <w:proofErr w:type="gramEnd"/>
      <w:r w:rsidRPr="007E01CF">
        <w:rPr>
          <w:rFonts w:ascii="Calibri" w:hAnsi="Calibri" w:cs="Calibri"/>
          <w:color w:val="000000"/>
          <w:sz w:val="22"/>
          <w:szCs w:val="22"/>
        </w:rPr>
        <w:t xml:space="preserve"> these factors need to be </w:t>
      </w:r>
      <w:proofErr w:type="gramStart"/>
      <w:r w:rsidRPr="007E01CF">
        <w:rPr>
          <w:rFonts w:ascii="Calibri" w:hAnsi="Calibri" w:cs="Calibri"/>
          <w:color w:val="000000"/>
          <w:sz w:val="22"/>
          <w:szCs w:val="22"/>
        </w:rPr>
        <w:t>taken into account</w:t>
      </w:r>
      <w:proofErr w:type="gramEnd"/>
      <w:r w:rsidRPr="007E01CF">
        <w:rPr>
          <w:rFonts w:ascii="Calibri" w:hAnsi="Calibri" w:cs="Calibri"/>
          <w:color w:val="000000"/>
          <w:sz w:val="22"/>
          <w:szCs w:val="22"/>
        </w:rPr>
        <w:t xml:space="preserve"> when utilising a qualitive approach.</w:t>
      </w:r>
    </w:p>
    <w:p w14:paraId="69E76EA2" w14:textId="242B9037" w:rsidR="00DD1A44"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Participants and Sampling</w:t>
      </w:r>
    </w:p>
    <w:p w14:paraId="7ADF1FB8" w14:textId="6707AD14" w:rsidR="00004480" w:rsidRPr="007E01CF" w:rsidRDefault="00467F50" w:rsidP="007E01CF">
      <w:pPr>
        <w:pStyle w:val="p1"/>
        <w:spacing w:line="480" w:lineRule="auto"/>
        <w:jc w:val="both"/>
        <w:rPr>
          <w:rFonts w:ascii="Calibri" w:hAnsi="Calibri" w:cs="Calibri"/>
          <w:color w:val="auto"/>
          <w:sz w:val="22"/>
          <w:szCs w:val="22"/>
        </w:rPr>
      </w:pPr>
      <w:r w:rsidRPr="007E01CF">
        <w:rPr>
          <w:rFonts w:ascii="Calibri" w:hAnsi="Calibri" w:cs="Calibri"/>
          <w:color w:val="auto"/>
          <w:sz w:val="22"/>
          <w:szCs w:val="22"/>
        </w:rPr>
        <w:t xml:space="preserve">The design of my thematic analysis research report </w:t>
      </w:r>
      <w:r w:rsidR="00781463" w:rsidRPr="007E01CF">
        <w:rPr>
          <w:rFonts w:ascii="Calibri" w:hAnsi="Calibri" w:cs="Calibri"/>
          <w:color w:val="auto"/>
          <w:sz w:val="22"/>
          <w:szCs w:val="22"/>
        </w:rPr>
        <w:t xml:space="preserve">embraced the differences of personal opinions between each teaching assistant. Through the ability of examination towards each teaching </w:t>
      </w:r>
      <w:proofErr w:type="gramStart"/>
      <w:r w:rsidR="00781463" w:rsidRPr="007E01CF">
        <w:rPr>
          <w:rFonts w:ascii="Calibri" w:hAnsi="Calibri" w:cs="Calibri"/>
          <w:color w:val="auto"/>
          <w:sz w:val="22"/>
          <w:szCs w:val="22"/>
        </w:rPr>
        <w:t>assistants</w:t>
      </w:r>
      <w:proofErr w:type="gramEnd"/>
      <w:r w:rsidR="00781463" w:rsidRPr="007E01CF">
        <w:rPr>
          <w:rFonts w:ascii="Calibri" w:hAnsi="Calibri" w:cs="Calibri"/>
          <w:color w:val="auto"/>
          <w:sz w:val="22"/>
          <w:szCs w:val="22"/>
        </w:rPr>
        <w:t xml:space="preserve"> attitudes, personal beliefs and experiences, I was capable of drawing conclusions from the data provided that spoke towards teaching assistants experience with working with children in ADHD as </w:t>
      </w:r>
      <w:proofErr w:type="gramStart"/>
      <w:r w:rsidR="00781463" w:rsidRPr="007E01CF">
        <w:rPr>
          <w:rFonts w:ascii="Calibri" w:hAnsi="Calibri" w:cs="Calibri"/>
          <w:color w:val="auto"/>
          <w:sz w:val="22"/>
          <w:szCs w:val="22"/>
        </w:rPr>
        <w:t>a general consensus</w:t>
      </w:r>
      <w:proofErr w:type="gramEnd"/>
      <w:r w:rsidR="00781463" w:rsidRPr="007E01CF">
        <w:rPr>
          <w:rFonts w:ascii="Calibri" w:hAnsi="Calibri" w:cs="Calibri"/>
          <w:color w:val="auto"/>
          <w:sz w:val="22"/>
          <w:szCs w:val="22"/>
        </w:rPr>
        <w:t xml:space="preserve">, this included comparable features which enables a higher level of data integrity. </w:t>
      </w:r>
      <w:r w:rsidR="00781463" w:rsidRPr="007E01CF">
        <w:rPr>
          <w:rFonts w:ascii="Calibri" w:hAnsi="Calibri" w:cs="Calibri"/>
          <w:color w:val="auto"/>
          <w:sz w:val="22"/>
          <w:szCs w:val="22"/>
        </w:rPr>
        <w:t xml:space="preserve">A document of information outlining the research's features, the researcher's email contact for any questions or concerns, and a link to participate in an interview were given to each potential participant. Based on the information in the correspondence, potential participants will be able to make an informed decision about </w:t>
      </w:r>
      <w:proofErr w:type="gramStart"/>
      <w:r w:rsidR="00781463" w:rsidRPr="007E01CF">
        <w:rPr>
          <w:rFonts w:ascii="Calibri" w:hAnsi="Calibri" w:cs="Calibri"/>
          <w:color w:val="auto"/>
          <w:sz w:val="22"/>
          <w:szCs w:val="22"/>
        </w:rPr>
        <w:t>whether or not</w:t>
      </w:r>
      <w:proofErr w:type="gramEnd"/>
      <w:r w:rsidR="00781463" w:rsidRPr="007E01CF">
        <w:rPr>
          <w:rFonts w:ascii="Calibri" w:hAnsi="Calibri" w:cs="Calibri"/>
          <w:color w:val="auto"/>
          <w:sz w:val="22"/>
          <w:szCs w:val="22"/>
        </w:rPr>
        <w:t xml:space="preserve"> they want to attend the interview. Participants were urged to think about participating in a data collecting, which will be qualitative and involve one-on-one, semi-structured interviews. </w:t>
      </w:r>
      <w:proofErr w:type="gramStart"/>
      <w:r w:rsidR="00781463" w:rsidRPr="007E01CF">
        <w:rPr>
          <w:rFonts w:ascii="Calibri" w:hAnsi="Calibri" w:cs="Calibri"/>
          <w:color w:val="auto"/>
          <w:sz w:val="22"/>
          <w:szCs w:val="22"/>
        </w:rPr>
        <w:t>In order to</w:t>
      </w:r>
      <w:proofErr w:type="gramEnd"/>
      <w:r w:rsidR="00781463" w:rsidRPr="007E01CF">
        <w:rPr>
          <w:rFonts w:ascii="Calibri" w:hAnsi="Calibri" w:cs="Calibri"/>
          <w:color w:val="auto"/>
          <w:sz w:val="22"/>
          <w:szCs w:val="22"/>
        </w:rPr>
        <w:t xml:space="preserve"> assist with this, at the conclusion of the informative document, prospective participants were invited to freely indicate their interest by entering an email address.</w:t>
      </w:r>
    </w:p>
    <w:p w14:paraId="6D3002D3" w14:textId="77777777" w:rsidR="0005769B" w:rsidRPr="007E01CF" w:rsidRDefault="0005769B" w:rsidP="007E01CF">
      <w:pPr>
        <w:pStyle w:val="p1"/>
        <w:spacing w:line="480" w:lineRule="auto"/>
        <w:jc w:val="both"/>
        <w:rPr>
          <w:rFonts w:ascii="Calibri" w:hAnsi="Calibri" w:cs="Calibri"/>
          <w:color w:val="auto"/>
          <w:sz w:val="22"/>
          <w:szCs w:val="22"/>
        </w:rPr>
      </w:pPr>
    </w:p>
    <w:p w14:paraId="425A6358" w14:textId="3BCFA63B" w:rsidR="00004480"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Ethical Considerations</w:t>
      </w:r>
    </w:p>
    <w:p w14:paraId="1D03F798" w14:textId="390175A2" w:rsidR="0011269B" w:rsidRPr="007E01CF" w:rsidRDefault="0011269B"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The head educator and the educational institution could have been the recognisable gatekeepers of my investigation. I gave the headteacher an explanation of the project, its objectives, my research topics, etc. to avoid any problems. My primary request to the gatekeeper is that they provide information to the staff on my behalf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encourage participation in the study.</w:t>
      </w:r>
      <w:r w:rsidR="007124BA" w:rsidRPr="007E01CF">
        <w:rPr>
          <w:rFonts w:ascii="Calibri" w:hAnsi="Calibri" w:cs="Calibri"/>
          <w:sz w:val="22"/>
          <w:szCs w:val="22"/>
        </w:rPr>
        <w:t xml:space="preserve"> </w:t>
      </w:r>
    </w:p>
    <w:p w14:paraId="7BE6B5C9" w14:textId="18A4088F" w:rsidR="007124BA" w:rsidRPr="007E01CF" w:rsidRDefault="007124BA"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Participants must sign a form indicating their informed, voluntary consent to the ethical concerns if they want to proceed and participate. They are notified that they can change their mind at any time. Additional information was provided to each participant on a "Participant Information Sheet," </w:t>
      </w:r>
      <w:r w:rsidRPr="007E01CF">
        <w:rPr>
          <w:rFonts w:ascii="Calibri" w:hAnsi="Calibri" w:cs="Calibri"/>
          <w:sz w:val="22"/>
          <w:szCs w:val="22"/>
        </w:rPr>
        <w:lastRenderedPageBreak/>
        <w:t>enabling informed decision-making regarding participation.  Their intention to take part in each approach will be expressed in writing. to ensure that the participant is at ease both at the beginning of the interview and throughout. All materials pertaining to the survey will include information about the right to withdraw.</w:t>
      </w:r>
      <w:r w:rsidRPr="007E01CF">
        <w:rPr>
          <w:rFonts w:ascii="Calibri" w:hAnsi="Calibri" w:cs="Calibri"/>
          <w:sz w:val="22"/>
          <w:szCs w:val="22"/>
        </w:rPr>
        <w:t xml:space="preserve"> </w:t>
      </w:r>
      <w:r w:rsidRPr="007E01CF">
        <w:rPr>
          <w:rFonts w:ascii="Calibri" w:hAnsi="Calibri" w:cs="Calibri"/>
          <w:sz w:val="22"/>
          <w:szCs w:val="22"/>
        </w:rPr>
        <w:t>Furthermore, no explanation is required if someone chooses to withdraw from the research for no apparent reason.   If a participant wishes to withdraw, they must email the researcher with their ID number which will be assigned to them at the beginning of the interviews. The researcher will then confirm in writing the reasons behind the withdrawal. After erasing their data, the researcher will additionally confirm this in writing. Additionally, the researcher will promise that the contribution will never appear in a paper relating to the study.</w:t>
      </w:r>
    </w:p>
    <w:p w14:paraId="3D4B5638" w14:textId="7CDF3012" w:rsidR="00223158" w:rsidRPr="007E01CF" w:rsidRDefault="002B2B22"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Data storage was considered with extreme care during the research endeavour, and no raw, </w:t>
      </w:r>
      <w:r w:rsidRPr="007E01CF">
        <w:rPr>
          <w:rFonts w:ascii="Calibri" w:hAnsi="Calibri" w:cs="Calibri"/>
          <w:sz w:val="22"/>
          <w:szCs w:val="22"/>
        </w:rPr>
        <w:t>anonymised</w:t>
      </w:r>
      <w:r w:rsidRPr="007E01CF">
        <w:rPr>
          <w:rFonts w:ascii="Calibri" w:hAnsi="Calibri" w:cs="Calibri"/>
          <w:sz w:val="22"/>
          <w:szCs w:val="22"/>
        </w:rPr>
        <w:t xml:space="preserve"> data was shared with anyone. I took measures to guarantee that any delicate content or data pertaining to intellectual property rights is kept secure while I saved my data on a password-protected digital data account. I made sure that the files' names preserve confidentiality and anonymity.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protect the participants' confidentiality, any components that needed to be eliminated during transcription would be omitted</w:t>
      </w:r>
      <w:r w:rsidR="00223158" w:rsidRPr="007E01CF">
        <w:rPr>
          <w:rFonts w:ascii="Calibri" w:hAnsi="Calibri" w:cs="Calibri"/>
          <w:sz w:val="22"/>
          <w:szCs w:val="22"/>
        </w:rPr>
        <w:t>.</w:t>
      </w:r>
    </w:p>
    <w:p w14:paraId="654C0C53" w14:textId="77777777" w:rsidR="00CA3C8B" w:rsidRPr="007E01CF" w:rsidRDefault="00CA3C8B" w:rsidP="007E01CF">
      <w:pPr>
        <w:pStyle w:val="p1"/>
        <w:spacing w:line="480" w:lineRule="auto"/>
        <w:jc w:val="both"/>
        <w:rPr>
          <w:rFonts w:ascii="Calibri" w:hAnsi="Calibri" w:cs="Calibri"/>
          <w:sz w:val="22"/>
          <w:szCs w:val="22"/>
        </w:rPr>
      </w:pPr>
    </w:p>
    <w:p w14:paraId="2866E3CE" w14:textId="76AA05D3" w:rsidR="001E580B" w:rsidRPr="007E01CF" w:rsidRDefault="001E580B"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Data Analysis</w:t>
      </w:r>
    </w:p>
    <w:p w14:paraId="3E712AEE" w14:textId="3DE9B87F" w:rsidR="001E580B" w:rsidRPr="007E01CF" w:rsidRDefault="00CA3C8B" w:rsidP="007E01CF">
      <w:pPr>
        <w:pStyle w:val="p1"/>
        <w:spacing w:line="480" w:lineRule="auto"/>
        <w:jc w:val="both"/>
        <w:rPr>
          <w:rFonts w:ascii="Calibri" w:hAnsi="Calibri" w:cs="Calibri"/>
          <w:sz w:val="22"/>
          <w:szCs w:val="22"/>
        </w:rPr>
      </w:pPr>
      <w:r w:rsidRPr="007E01CF">
        <w:rPr>
          <w:rFonts w:ascii="Calibri" w:hAnsi="Calibri" w:cs="Calibri"/>
          <w:sz w:val="22"/>
          <w:szCs w:val="22"/>
        </w:rPr>
        <w:t xml:space="preserve">The qualitative data was examined using thematic analysis in accordance with Braun &amp; Clarke (2006), which is a methodical procedure of finding patterns of meaning within the collected data.   The first step in the analysis was familiarity, which involved reading the transcripts several times to get a general sense and make notes. </w:t>
      </w:r>
      <w:proofErr w:type="gramStart"/>
      <w:r w:rsidRPr="007E01CF">
        <w:rPr>
          <w:rFonts w:ascii="Calibri" w:hAnsi="Calibri" w:cs="Calibri"/>
          <w:sz w:val="22"/>
          <w:szCs w:val="22"/>
        </w:rPr>
        <w:t>In order to</w:t>
      </w:r>
      <w:proofErr w:type="gramEnd"/>
      <w:r w:rsidRPr="007E01CF">
        <w:rPr>
          <w:rFonts w:ascii="Calibri" w:hAnsi="Calibri" w:cs="Calibri"/>
          <w:sz w:val="22"/>
          <w:szCs w:val="22"/>
        </w:rPr>
        <w:t xml:space="preserve"> identify pertinent characteristics associated with the research topics, the initial coding process entailed methodically labelling significant data segments. After that, codes were examined and categorised to find commonalities, differences, and recurrent themes among codes.</w:t>
      </w:r>
      <w:r w:rsidR="00D45588" w:rsidRPr="007E01CF">
        <w:rPr>
          <w:rFonts w:ascii="Calibri" w:hAnsi="Calibri" w:cs="Calibri"/>
          <w:sz w:val="22"/>
          <w:szCs w:val="22"/>
        </w:rPr>
        <w:t xml:space="preserve"> To</w:t>
      </w:r>
      <w:r w:rsidR="00D45588" w:rsidRPr="007E01CF">
        <w:rPr>
          <w:rFonts w:ascii="Calibri" w:hAnsi="Calibri" w:cs="Calibri"/>
          <w:sz w:val="22"/>
          <w:szCs w:val="22"/>
        </w:rPr>
        <w:t xml:space="preserve"> guarantee coherence and conformity with the broader analytical narrative and study objectives, these themes were honed, defined, and given names. </w:t>
      </w:r>
      <w:proofErr w:type="gramStart"/>
      <w:r w:rsidR="00D45588" w:rsidRPr="007E01CF">
        <w:rPr>
          <w:rFonts w:ascii="Calibri" w:hAnsi="Calibri" w:cs="Calibri"/>
          <w:sz w:val="22"/>
          <w:szCs w:val="22"/>
        </w:rPr>
        <w:t>In order to</w:t>
      </w:r>
      <w:proofErr w:type="gramEnd"/>
      <w:r w:rsidR="00D45588" w:rsidRPr="007E01CF">
        <w:rPr>
          <w:rFonts w:ascii="Calibri" w:hAnsi="Calibri" w:cs="Calibri"/>
          <w:sz w:val="22"/>
          <w:szCs w:val="22"/>
        </w:rPr>
        <w:t xml:space="preserve"> improve validity and depth of analysis, coding and theme development were continuous across the procedure, </w:t>
      </w:r>
      <w:r w:rsidR="00D45588" w:rsidRPr="007E01CF">
        <w:rPr>
          <w:rFonts w:ascii="Calibri" w:hAnsi="Calibri" w:cs="Calibri"/>
          <w:sz w:val="22"/>
          <w:szCs w:val="22"/>
        </w:rPr>
        <w:lastRenderedPageBreak/>
        <w:t xml:space="preserve">including constant contrast between standardised data extracts and emergent interpretations. Researchers' reflexive conversations promoted uniformity and decreased prejudice. The final evaluation made sure that the theme framework was clear and in line with the goals of the research </w:t>
      </w:r>
      <w:proofErr w:type="gramStart"/>
      <w:r w:rsidR="00D45588" w:rsidRPr="007E01CF">
        <w:rPr>
          <w:rFonts w:ascii="Calibri" w:hAnsi="Calibri" w:cs="Calibri"/>
          <w:sz w:val="22"/>
          <w:szCs w:val="22"/>
        </w:rPr>
        <w:t>in order to</w:t>
      </w:r>
      <w:proofErr w:type="gramEnd"/>
      <w:r w:rsidR="00D45588" w:rsidRPr="007E01CF">
        <w:rPr>
          <w:rFonts w:ascii="Calibri" w:hAnsi="Calibri" w:cs="Calibri"/>
          <w:sz w:val="22"/>
          <w:szCs w:val="22"/>
        </w:rPr>
        <w:t xml:space="preserve"> ensure accurate reporting.</w:t>
      </w:r>
    </w:p>
    <w:p w14:paraId="57A6D384" w14:textId="77777777" w:rsidR="00CA3C8B" w:rsidRPr="007E01CF" w:rsidRDefault="00CA3C8B" w:rsidP="007E01CF">
      <w:pPr>
        <w:pStyle w:val="p1"/>
        <w:spacing w:line="480" w:lineRule="auto"/>
        <w:jc w:val="both"/>
        <w:rPr>
          <w:rFonts w:ascii="Calibri" w:hAnsi="Calibri" w:cs="Calibri"/>
          <w:color w:val="EE0000"/>
          <w:sz w:val="22"/>
          <w:szCs w:val="22"/>
        </w:rPr>
      </w:pPr>
    </w:p>
    <w:p w14:paraId="17017791" w14:textId="77777777" w:rsidR="00747782" w:rsidRPr="007E01CF" w:rsidRDefault="00747782" w:rsidP="007E01CF">
      <w:pPr>
        <w:pStyle w:val="p1"/>
        <w:spacing w:line="480" w:lineRule="auto"/>
        <w:jc w:val="both"/>
        <w:rPr>
          <w:rFonts w:ascii="Calibri" w:hAnsi="Calibri" w:cs="Calibri"/>
          <w:sz w:val="24"/>
          <w:szCs w:val="24"/>
          <w:u w:val="single"/>
        </w:rPr>
      </w:pPr>
    </w:p>
    <w:p w14:paraId="00F86E33" w14:textId="77777777" w:rsidR="00747782" w:rsidRPr="007E01CF" w:rsidRDefault="00747782" w:rsidP="007E01CF">
      <w:pPr>
        <w:pStyle w:val="p1"/>
        <w:spacing w:line="480" w:lineRule="auto"/>
        <w:jc w:val="both"/>
        <w:rPr>
          <w:rFonts w:ascii="Calibri" w:hAnsi="Calibri" w:cs="Calibri"/>
          <w:sz w:val="24"/>
          <w:szCs w:val="24"/>
          <w:u w:val="single"/>
        </w:rPr>
      </w:pPr>
    </w:p>
    <w:p w14:paraId="319D9261" w14:textId="77777777" w:rsidR="00747782" w:rsidRPr="007E01CF" w:rsidRDefault="00747782" w:rsidP="007E01CF">
      <w:pPr>
        <w:pStyle w:val="p1"/>
        <w:spacing w:line="480" w:lineRule="auto"/>
        <w:jc w:val="both"/>
        <w:rPr>
          <w:rFonts w:ascii="Calibri" w:hAnsi="Calibri" w:cs="Calibri"/>
          <w:sz w:val="24"/>
          <w:szCs w:val="24"/>
          <w:u w:val="single"/>
        </w:rPr>
      </w:pPr>
    </w:p>
    <w:p w14:paraId="392E4CDB" w14:textId="77777777" w:rsidR="00747782" w:rsidRPr="007E01CF" w:rsidRDefault="00747782" w:rsidP="007E01CF">
      <w:pPr>
        <w:pStyle w:val="p1"/>
        <w:spacing w:line="480" w:lineRule="auto"/>
        <w:jc w:val="both"/>
        <w:rPr>
          <w:rFonts w:ascii="Calibri" w:hAnsi="Calibri" w:cs="Calibri"/>
          <w:sz w:val="24"/>
          <w:szCs w:val="24"/>
          <w:u w:val="single"/>
        </w:rPr>
      </w:pPr>
    </w:p>
    <w:p w14:paraId="097F663F" w14:textId="77777777" w:rsidR="00747782" w:rsidRPr="007E01CF" w:rsidRDefault="00747782" w:rsidP="007E01CF">
      <w:pPr>
        <w:pStyle w:val="p1"/>
        <w:spacing w:line="480" w:lineRule="auto"/>
        <w:jc w:val="both"/>
        <w:rPr>
          <w:rFonts w:ascii="Calibri" w:hAnsi="Calibri" w:cs="Calibri"/>
          <w:sz w:val="24"/>
          <w:szCs w:val="24"/>
          <w:u w:val="single"/>
        </w:rPr>
      </w:pPr>
    </w:p>
    <w:p w14:paraId="5B3A0FC8" w14:textId="77777777" w:rsidR="00747782" w:rsidRPr="007E01CF" w:rsidRDefault="00747782" w:rsidP="007E01CF">
      <w:pPr>
        <w:pStyle w:val="p1"/>
        <w:spacing w:line="480" w:lineRule="auto"/>
        <w:jc w:val="both"/>
        <w:rPr>
          <w:rFonts w:ascii="Calibri" w:hAnsi="Calibri" w:cs="Calibri"/>
          <w:sz w:val="24"/>
          <w:szCs w:val="24"/>
          <w:u w:val="single"/>
        </w:rPr>
      </w:pPr>
    </w:p>
    <w:p w14:paraId="0382EAD0" w14:textId="77777777" w:rsidR="00747782" w:rsidRPr="007E01CF" w:rsidRDefault="00747782" w:rsidP="007E01CF">
      <w:pPr>
        <w:pStyle w:val="p1"/>
        <w:spacing w:line="480" w:lineRule="auto"/>
        <w:jc w:val="both"/>
        <w:rPr>
          <w:rFonts w:ascii="Calibri" w:hAnsi="Calibri" w:cs="Calibri"/>
          <w:sz w:val="24"/>
          <w:szCs w:val="24"/>
          <w:u w:val="single"/>
        </w:rPr>
      </w:pPr>
    </w:p>
    <w:p w14:paraId="7B92CF14" w14:textId="77777777" w:rsidR="00747782" w:rsidRPr="007E01CF" w:rsidRDefault="00747782" w:rsidP="007E01CF">
      <w:pPr>
        <w:pStyle w:val="p1"/>
        <w:spacing w:line="480" w:lineRule="auto"/>
        <w:jc w:val="both"/>
        <w:rPr>
          <w:rFonts w:ascii="Calibri" w:hAnsi="Calibri" w:cs="Calibri"/>
          <w:sz w:val="24"/>
          <w:szCs w:val="24"/>
          <w:u w:val="single"/>
        </w:rPr>
      </w:pPr>
    </w:p>
    <w:p w14:paraId="27C38FA8" w14:textId="77777777" w:rsidR="00747782" w:rsidRPr="007E01CF" w:rsidRDefault="00747782" w:rsidP="007E01CF">
      <w:pPr>
        <w:pStyle w:val="p1"/>
        <w:spacing w:line="480" w:lineRule="auto"/>
        <w:jc w:val="both"/>
        <w:rPr>
          <w:rFonts w:ascii="Calibri" w:hAnsi="Calibri" w:cs="Calibri"/>
          <w:sz w:val="24"/>
          <w:szCs w:val="24"/>
          <w:u w:val="single"/>
        </w:rPr>
      </w:pPr>
    </w:p>
    <w:p w14:paraId="635A7BB6" w14:textId="77777777" w:rsidR="00747782" w:rsidRPr="007E01CF" w:rsidRDefault="00747782" w:rsidP="007E01CF">
      <w:pPr>
        <w:pStyle w:val="p1"/>
        <w:spacing w:line="480" w:lineRule="auto"/>
        <w:jc w:val="both"/>
        <w:rPr>
          <w:rFonts w:ascii="Calibri" w:hAnsi="Calibri" w:cs="Calibri"/>
          <w:sz w:val="24"/>
          <w:szCs w:val="24"/>
          <w:u w:val="single"/>
        </w:rPr>
      </w:pPr>
    </w:p>
    <w:p w14:paraId="0665830F" w14:textId="77777777" w:rsidR="00747782" w:rsidRPr="007E01CF" w:rsidRDefault="00747782" w:rsidP="007E01CF">
      <w:pPr>
        <w:pStyle w:val="p1"/>
        <w:spacing w:line="480" w:lineRule="auto"/>
        <w:jc w:val="both"/>
        <w:rPr>
          <w:rFonts w:ascii="Calibri" w:hAnsi="Calibri" w:cs="Calibri"/>
          <w:sz w:val="24"/>
          <w:szCs w:val="24"/>
          <w:u w:val="single"/>
        </w:rPr>
      </w:pPr>
    </w:p>
    <w:p w14:paraId="5EA41BDC" w14:textId="77777777" w:rsidR="00747782" w:rsidRPr="007E01CF" w:rsidRDefault="00747782" w:rsidP="007E01CF">
      <w:pPr>
        <w:pStyle w:val="p1"/>
        <w:spacing w:line="480" w:lineRule="auto"/>
        <w:jc w:val="both"/>
        <w:rPr>
          <w:rFonts w:ascii="Calibri" w:hAnsi="Calibri" w:cs="Calibri"/>
          <w:sz w:val="24"/>
          <w:szCs w:val="24"/>
          <w:u w:val="single"/>
        </w:rPr>
      </w:pPr>
    </w:p>
    <w:p w14:paraId="656ED58F" w14:textId="77777777" w:rsidR="00747782" w:rsidRPr="007E01CF" w:rsidRDefault="00747782" w:rsidP="007E01CF">
      <w:pPr>
        <w:pStyle w:val="p1"/>
        <w:spacing w:line="480" w:lineRule="auto"/>
        <w:jc w:val="both"/>
        <w:rPr>
          <w:rFonts w:ascii="Calibri" w:hAnsi="Calibri" w:cs="Calibri"/>
          <w:sz w:val="24"/>
          <w:szCs w:val="24"/>
          <w:u w:val="single"/>
        </w:rPr>
      </w:pPr>
    </w:p>
    <w:p w14:paraId="72CD7841" w14:textId="77777777" w:rsidR="00747782" w:rsidRPr="007E01CF" w:rsidRDefault="00747782" w:rsidP="007E01CF">
      <w:pPr>
        <w:pStyle w:val="p1"/>
        <w:spacing w:line="480" w:lineRule="auto"/>
        <w:jc w:val="both"/>
        <w:rPr>
          <w:rFonts w:ascii="Calibri" w:hAnsi="Calibri" w:cs="Calibri"/>
          <w:sz w:val="24"/>
          <w:szCs w:val="24"/>
          <w:u w:val="single"/>
        </w:rPr>
      </w:pPr>
    </w:p>
    <w:p w14:paraId="2E095474" w14:textId="77777777" w:rsidR="00747782" w:rsidRPr="007E01CF" w:rsidRDefault="00747782" w:rsidP="007E01CF">
      <w:pPr>
        <w:pStyle w:val="p1"/>
        <w:spacing w:line="480" w:lineRule="auto"/>
        <w:jc w:val="both"/>
        <w:rPr>
          <w:rFonts w:ascii="Calibri" w:hAnsi="Calibri" w:cs="Calibri"/>
          <w:sz w:val="24"/>
          <w:szCs w:val="24"/>
          <w:u w:val="single"/>
        </w:rPr>
      </w:pPr>
    </w:p>
    <w:p w14:paraId="221C61D6" w14:textId="77777777" w:rsidR="00747782" w:rsidRPr="007E01CF" w:rsidRDefault="00747782" w:rsidP="007E01CF">
      <w:pPr>
        <w:pStyle w:val="p1"/>
        <w:spacing w:line="480" w:lineRule="auto"/>
        <w:jc w:val="both"/>
        <w:rPr>
          <w:rFonts w:ascii="Calibri" w:hAnsi="Calibri" w:cs="Calibri"/>
          <w:sz w:val="24"/>
          <w:szCs w:val="24"/>
          <w:u w:val="single"/>
        </w:rPr>
      </w:pPr>
    </w:p>
    <w:p w14:paraId="3F52D847" w14:textId="77777777" w:rsidR="00747782" w:rsidRPr="007E01CF" w:rsidRDefault="00747782" w:rsidP="007E01CF">
      <w:pPr>
        <w:pStyle w:val="p1"/>
        <w:spacing w:line="480" w:lineRule="auto"/>
        <w:jc w:val="both"/>
        <w:rPr>
          <w:rFonts w:ascii="Calibri" w:hAnsi="Calibri" w:cs="Calibri"/>
          <w:sz w:val="24"/>
          <w:szCs w:val="24"/>
          <w:u w:val="single"/>
        </w:rPr>
      </w:pPr>
    </w:p>
    <w:p w14:paraId="76F60E15" w14:textId="77777777" w:rsidR="00747782" w:rsidRPr="007E01CF" w:rsidRDefault="00747782" w:rsidP="007E01CF">
      <w:pPr>
        <w:pStyle w:val="p1"/>
        <w:spacing w:line="480" w:lineRule="auto"/>
        <w:jc w:val="both"/>
        <w:rPr>
          <w:rFonts w:ascii="Calibri" w:hAnsi="Calibri" w:cs="Calibri"/>
          <w:sz w:val="24"/>
          <w:szCs w:val="24"/>
          <w:u w:val="single"/>
        </w:rPr>
      </w:pPr>
    </w:p>
    <w:p w14:paraId="59E5BACC" w14:textId="77777777" w:rsidR="00C23A15" w:rsidRDefault="00C23A15" w:rsidP="007E01CF">
      <w:pPr>
        <w:pStyle w:val="p1"/>
        <w:spacing w:line="480" w:lineRule="auto"/>
        <w:jc w:val="both"/>
        <w:rPr>
          <w:rFonts w:ascii="Calibri" w:hAnsi="Calibri" w:cs="Calibri"/>
          <w:sz w:val="24"/>
          <w:szCs w:val="24"/>
          <w:u w:val="single"/>
        </w:rPr>
      </w:pPr>
    </w:p>
    <w:p w14:paraId="3E863D64" w14:textId="16E7E916" w:rsidR="001E580B" w:rsidRPr="007E01CF" w:rsidRDefault="00A80955"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 xml:space="preserve">Statement of </w:t>
      </w:r>
      <w:r w:rsidR="001E580B" w:rsidRPr="007E01CF">
        <w:rPr>
          <w:rFonts w:ascii="Calibri" w:hAnsi="Calibri" w:cs="Calibri"/>
          <w:sz w:val="24"/>
          <w:szCs w:val="24"/>
          <w:u w:val="single"/>
        </w:rPr>
        <w:t>Results</w:t>
      </w:r>
      <w:r w:rsidR="00004480" w:rsidRPr="007E01CF">
        <w:rPr>
          <w:rFonts w:ascii="Calibri" w:hAnsi="Calibri" w:cs="Calibri"/>
          <w:sz w:val="24"/>
          <w:szCs w:val="24"/>
          <w:u w:val="single"/>
        </w:rPr>
        <w:t xml:space="preserve"> </w:t>
      </w:r>
    </w:p>
    <w:p w14:paraId="390B2143" w14:textId="09F73DA1" w:rsidR="00655345" w:rsidRPr="007E01CF" w:rsidRDefault="00655345"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Introduction</w:t>
      </w:r>
    </w:p>
    <w:p w14:paraId="230A3A9E" w14:textId="33782032" w:rsidR="00FD20D6" w:rsidRPr="007E01CF" w:rsidRDefault="00186F66" w:rsidP="007E01CF">
      <w:pPr>
        <w:pStyle w:val="p1"/>
        <w:spacing w:line="480" w:lineRule="auto"/>
        <w:jc w:val="both"/>
        <w:rPr>
          <w:rFonts w:ascii="Calibri" w:hAnsi="Calibri" w:cs="Calibri"/>
          <w:sz w:val="22"/>
          <w:szCs w:val="22"/>
        </w:rPr>
      </w:pPr>
      <w:r w:rsidRPr="007E01CF">
        <w:rPr>
          <w:rFonts w:ascii="Calibri" w:hAnsi="Calibri" w:cs="Calibri"/>
          <w:sz w:val="22"/>
          <w:szCs w:val="22"/>
        </w:rPr>
        <w:t>The qualitative findings from the completed interviews that relate to the three study topics will be discussed throughout this chapter. The information gathered aided in the crucial findings that addressed the t</w:t>
      </w:r>
      <w:r w:rsidRPr="007E01CF">
        <w:rPr>
          <w:rFonts w:ascii="Calibri" w:hAnsi="Calibri" w:cs="Calibri"/>
          <w:sz w:val="22"/>
          <w:szCs w:val="22"/>
        </w:rPr>
        <w:t>wo</w:t>
      </w:r>
      <w:r w:rsidRPr="007E01CF">
        <w:rPr>
          <w:rFonts w:ascii="Calibri" w:hAnsi="Calibri" w:cs="Calibri"/>
          <w:sz w:val="22"/>
          <w:szCs w:val="22"/>
        </w:rPr>
        <w:t xml:space="preserve"> research questions.</w:t>
      </w:r>
    </w:p>
    <w:p w14:paraId="21076D30" w14:textId="77777777" w:rsidR="00186F66" w:rsidRPr="007E01CF" w:rsidRDefault="00186F66" w:rsidP="007E01CF">
      <w:pPr>
        <w:pStyle w:val="p1"/>
        <w:spacing w:line="480" w:lineRule="auto"/>
        <w:jc w:val="both"/>
        <w:rPr>
          <w:rFonts w:ascii="Calibri" w:hAnsi="Calibri" w:cs="Calibri"/>
          <w:sz w:val="24"/>
          <w:szCs w:val="24"/>
          <w:u w:val="wave"/>
        </w:rPr>
      </w:pPr>
    </w:p>
    <w:p w14:paraId="53DB7D68" w14:textId="5A9AF8DF" w:rsidR="00186F66" w:rsidRPr="007E01CF" w:rsidRDefault="00186F66"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t>Research Question one</w:t>
      </w:r>
    </w:p>
    <w:p w14:paraId="20E50896" w14:textId="78E4ABDF" w:rsidR="00186F66" w:rsidRPr="007E01CF" w:rsidRDefault="00186F66" w:rsidP="007E01CF">
      <w:pPr>
        <w:spacing w:after="160" w:line="480" w:lineRule="auto"/>
        <w:jc w:val="both"/>
        <w:rPr>
          <w:rFonts w:ascii="Calibri" w:hAnsi="Calibri" w:cs="Calibri"/>
          <w:b/>
          <w:bCs/>
          <w:color w:val="000000"/>
          <w:sz w:val="22"/>
          <w:szCs w:val="22"/>
        </w:rPr>
      </w:pPr>
      <w:r w:rsidRPr="007E01CF">
        <w:rPr>
          <w:rFonts w:ascii="Calibri" w:hAnsi="Calibri" w:cs="Calibri"/>
          <w:b/>
          <w:bCs/>
          <w:color w:val="000000"/>
          <w:sz w:val="22"/>
          <w:szCs w:val="22"/>
        </w:rPr>
        <w:t xml:space="preserve">Research Question One: </w:t>
      </w:r>
      <w:r w:rsidRPr="007E01CF">
        <w:rPr>
          <w:rFonts w:ascii="Calibri" w:hAnsi="Calibri" w:cs="Calibri"/>
          <w:b/>
          <w:bCs/>
          <w:color w:val="000000"/>
          <w:sz w:val="22"/>
          <w:szCs w:val="22"/>
        </w:rPr>
        <w:t>How are teaching assistants' methods for assisting students with ADHD in standard schools influenced by systemic limitations and unstructured learning?</w:t>
      </w:r>
    </w:p>
    <w:p w14:paraId="3A2F13FD" w14:textId="79D7AF7D" w:rsidR="0086113B" w:rsidRPr="007E01CF" w:rsidRDefault="0086113B" w:rsidP="007E01CF">
      <w:pPr>
        <w:spacing w:after="160" w:line="480" w:lineRule="auto"/>
        <w:jc w:val="both"/>
        <w:rPr>
          <w:rFonts w:ascii="Calibri" w:hAnsi="Calibri" w:cs="Calibri"/>
          <w:color w:val="000000" w:themeColor="text1"/>
          <w:sz w:val="22"/>
          <w:szCs w:val="22"/>
        </w:rPr>
      </w:pPr>
      <w:r w:rsidRPr="007E01CF">
        <w:rPr>
          <w:rFonts w:ascii="Calibri" w:hAnsi="Calibri" w:cs="Calibri"/>
          <w:color w:val="000000" w:themeColor="text1"/>
          <w:sz w:val="22"/>
          <w:szCs w:val="22"/>
        </w:rPr>
        <w:t xml:space="preserve">The summary of the results from the interviews revealed a range of parallels from each teaching assistants lived experiences. The interview participants reported that they received little to no training </w:t>
      </w:r>
      <w:proofErr w:type="gramStart"/>
      <w:r w:rsidRPr="007E01CF">
        <w:rPr>
          <w:rFonts w:ascii="Calibri" w:hAnsi="Calibri" w:cs="Calibri"/>
          <w:color w:val="000000" w:themeColor="text1"/>
          <w:sz w:val="22"/>
          <w:szCs w:val="22"/>
        </w:rPr>
        <w:t>in regard to</w:t>
      </w:r>
      <w:proofErr w:type="gramEnd"/>
      <w:r w:rsidRPr="007E01CF">
        <w:rPr>
          <w:rFonts w:ascii="Calibri" w:hAnsi="Calibri" w:cs="Calibri"/>
          <w:color w:val="000000" w:themeColor="text1"/>
          <w:sz w:val="22"/>
          <w:szCs w:val="22"/>
        </w:rPr>
        <w:t xml:space="preserve"> </w:t>
      </w:r>
      <w:proofErr w:type="gramStart"/>
      <w:r w:rsidRPr="007E01CF">
        <w:rPr>
          <w:rFonts w:ascii="Calibri" w:hAnsi="Calibri" w:cs="Calibri"/>
          <w:color w:val="000000" w:themeColor="text1"/>
          <w:sz w:val="22"/>
          <w:szCs w:val="22"/>
        </w:rPr>
        <w:t>Attention deficit Hyperactivity Disorder</w:t>
      </w:r>
      <w:proofErr w:type="gramEnd"/>
      <w:r w:rsidRPr="007E01CF">
        <w:rPr>
          <w:rFonts w:ascii="Calibri" w:hAnsi="Calibri" w:cs="Calibri"/>
          <w:color w:val="000000" w:themeColor="text1"/>
          <w:sz w:val="22"/>
          <w:szCs w:val="22"/>
        </w:rPr>
        <w:t xml:space="preserve">, they relied on learning from the children and by making mistakes forming </w:t>
      </w:r>
      <w:r w:rsidRPr="007E01CF">
        <w:rPr>
          <w:rFonts w:ascii="Calibri" w:hAnsi="Calibri" w:cs="Calibri"/>
          <w:color w:val="000000" w:themeColor="text1"/>
          <w:sz w:val="22"/>
          <w:szCs w:val="22"/>
        </w:rPr>
        <w:t>general</w:t>
      </w:r>
      <w:r w:rsidRPr="007E01CF">
        <w:rPr>
          <w:rFonts w:ascii="Calibri" w:hAnsi="Calibri" w:cs="Calibri"/>
          <w:color w:val="000000" w:themeColor="text1"/>
          <w:sz w:val="22"/>
          <w:szCs w:val="22"/>
        </w:rPr>
        <w:t>ised</w:t>
      </w:r>
      <w:r w:rsidRPr="007E01CF">
        <w:rPr>
          <w:rFonts w:ascii="Calibri" w:hAnsi="Calibri" w:cs="Calibri"/>
          <w:color w:val="000000" w:themeColor="text1"/>
          <w:sz w:val="22"/>
          <w:szCs w:val="22"/>
        </w:rPr>
        <w:t xml:space="preserve"> experience</w:t>
      </w:r>
      <w:r w:rsidRPr="007E01CF">
        <w:rPr>
          <w:rFonts w:ascii="Calibri" w:hAnsi="Calibri" w:cs="Calibri"/>
          <w:color w:val="000000" w:themeColor="text1"/>
          <w:sz w:val="22"/>
          <w:szCs w:val="22"/>
        </w:rPr>
        <w:t xml:space="preserve"> and </w:t>
      </w:r>
      <w:r w:rsidRPr="007E01CF">
        <w:rPr>
          <w:rFonts w:ascii="Calibri" w:hAnsi="Calibri" w:cs="Calibri"/>
          <w:color w:val="000000" w:themeColor="text1"/>
          <w:sz w:val="22"/>
          <w:szCs w:val="22"/>
        </w:rPr>
        <w:t>unstructured learning to create their strategies for helping children with ADHD</w:t>
      </w:r>
      <w:r w:rsidRPr="007E01CF">
        <w:rPr>
          <w:rFonts w:ascii="Calibri" w:hAnsi="Calibri" w:cs="Calibri"/>
          <w:color w:val="000000" w:themeColor="text1"/>
          <w:sz w:val="22"/>
          <w:szCs w:val="22"/>
        </w:rPr>
        <w:t xml:space="preserve">. There was a collective absence of support from educational institutions which promoted adaptability, lived expertise to create professional self-assurance. Due to this, educational institutional constraints formed a lack of resources, professional development, multifaced educational practitioners’ collaboration. </w:t>
      </w:r>
      <w:r w:rsidR="00B373E1" w:rsidRPr="007E01CF">
        <w:rPr>
          <w:rFonts w:ascii="Calibri" w:hAnsi="Calibri" w:cs="Calibri"/>
          <w:color w:val="000000" w:themeColor="text1"/>
          <w:sz w:val="22"/>
          <w:szCs w:val="22"/>
        </w:rPr>
        <w:t>T</w:t>
      </w:r>
      <w:r w:rsidR="00B373E1" w:rsidRPr="007E01CF">
        <w:rPr>
          <w:rFonts w:ascii="Calibri" w:hAnsi="Calibri" w:cs="Calibri"/>
          <w:color w:val="000000" w:themeColor="text1"/>
          <w:sz w:val="22"/>
          <w:szCs w:val="22"/>
        </w:rPr>
        <w:t xml:space="preserve">eaching </w:t>
      </w:r>
      <w:r w:rsidR="00B373E1" w:rsidRPr="007E01CF">
        <w:rPr>
          <w:rFonts w:ascii="Calibri" w:hAnsi="Calibri" w:cs="Calibri"/>
          <w:color w:val="000000" w:themeColor="text1"/>
          <w:sz w:val="22"/>
          <w:szCs w:val="22"/>
        </w:rPr>
        <w:t>As</w:t>
      </w:r>
      <w:r w:rsidR="00B373E1" w:rsidRPr="007E01CF">
        <w:rPr>
          <w:rFonts w:ascii="Calibri" w:hAnsi="Calibri" w:cs="Calibri"/>
          <w:color w:val="000000" w:themeColor="text1"/>
          <w:sz w:val="22"/>
          <w:szCs w:val="22"/>
        </w:rPr>
        <w:t>sistants</w:t>
      </w:r>
      <w:r w:rsidR="00B373E1" w:rsidRPr="007E01CF">
        <w:rPr>
          <w:rFonts w:ascii="Calibri" w:hAnsi="Calibri" w:cs="Calibri"/>
          <w:color w:val="000000" w:themeColor="text1"/>
          <w:sz w:val="22"/>
          <w:szCs w:val="22"/>
        </w:rPr>
        <w:t xml:space="preserve"> are frequently given unequal responsibilities when providing ADHD support, and parent-TA engagement can be disjointed or contradictory. Informal training combined with structural limitations leads to inclusive procedures that are not consistently reinforced but rather recurrent, unreliable, and dependent on the individual.</w:t>
      </w:r>
    </w:p>
    <w:p w14:paraId="5C6CFC1E" w14:textId="02CA6CEC" w:rsidR="009E10A3" w:rsidRPr="007E01CF" w:rsidRDefault="009E10A3" w:rsidP="007E01CF">
      <w:pPr>
        <w:spacing w:after="160"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 xml:space="preserve">Theme One: Teaching Assistants Experimental Training through Experience </w:t>
      </w:r>
    </w:p>
    <w:p w14:paraId="1EEA57AD" w14:textId="236CC756" w:rsidR="00FB6917" w:rsidRDefault="00FB6917" w:rsidP="007E01CF">
      <w:pPr>
        <w:spacing w:before="100" w:beforeAutospacing="1" w:after="100" w:afterAutospacing="1" w:line="480" w:lineRule="auto"/>
        <w:jc w:val="both"/>
        <w:rPr>
          <w:rFonts w:ascii="Calibri" w:hAnsi="Calibri" w:cs="Calibri"/>
          <w:color w:val="000000"/>
          <w:sz w:val="22"/>
          <w:szCs w:val="22"/>
        </w:rPr>
      </w:pPr>
      <w:r>
        <w:rPr>
          <w:rFonts w:ascii="Calibri" w:hAnsi="Calibri" w:cs="Calibri"/>
          <w:color w:val="000000"/>
          <w:sz w:val="22"/>
          <w:szCs w:val="22"/>
        </w:rPr>
        <w:t xml:space="preserve">One of the main themes that emerged from the interviews are that teaching assistants’ professional competence has been situated practices rather than training being provided, this reinforces </w:t>
      </w:r>
      <w:r w:rsidRPr="00FB6917">
        <w:rPr>
          <w:rFonts w:ascii="Calibri" w:hAnsi="Calibri" w:cs="Calibri"/>
          <w:color w:val="000000"/>
          <w:sz w:val="22"/>
          <w:szCs w:val="22"/>
        </w:rPr>
        <w:t>Lave and Wenger</w:t>
      </w:r>
      <w:r>
        <w:rPr>
          <w:rFonts w:ascii="Calibri" w:hAnsi="Calibri" w:cs="Calibri"/>
          <w:color w:val="000000"/>
          <w:sz w:val="22"/>
          <w:szCs w:val="22"/>
        </w:rPr>
        <w:t>,</w:t>
      </w:r>
      <w:r w:rsidRPr="00FB6917">
        <w:rPr>
          <w:rFonts w:ascii="Calibri" w:hAnsi="Calibri" w:cs="Calibri"/>
          <w:color w:val="000000"/>
          <w:sz w:val="22"/>
          <w:szCs w:val="22"/>
        </w:rPr>
        <w:t xml:space="preserve"> (1991)</w:t>
      </w:r>
      <w:r>
        <w:rPr>
          <w:rFonts w:ascii="Calibri" w:hAnsi="Calibri" w:cs="Calibri"/>
          <w:color w:val="000000"/>
          <w:sz w:val="22"/>
          <w:szCs w:val="22"/>
        </w:rPr>
        <w:t xml:space="preserve"> theory of Situated Learning and Communities of Practice. This theory established that professional’s ability to success in their occupation comes from participation instead of instruction. </w:t>
      </w:r>
      <w:r w:rsidR="00832F3E" w:rsidRPr="00832F3E">
        <w:rPr>
          <w:rFonts w:ascii="Calibri" w:hAnsi="Calibri" w:cs="Calibri"/>
          <w:color w:val="000000"/>
          <w:sz w:val="22"/>
          <w:szCs w:val="22"/>
        </w:rPr>
        <w:lastRenderedPageBreak/>
        <w:t>The lack of specialised ADHD education was uniformly acknowledged by participants across all reports, with one saying, "No ADHD-specific training." "I was blind going into this... it was trial and error really... a lot of error if I'm honest" (Interview 3) and "I had to go and research it myself" (Interview 2).</w:t>
      </w:r>
      <w:r w:rsidR="00832F3E">
        <w:rPr>
          <w:rFonts w:ascii="Calibri" w:hAnsi="Calibri" w:cs="Calibri"/>
          <w:color w:val="000000"/>
          <w:sz w:val="22"/>
          <w:szCs w:val="22"/>
        </w:rPr>
        <w:t xml:space="preserve"> </w:t>
      </w:r>
      <w:r w:rsidR="00832F3E" w:rsidRPr="00832F3E">
        <w:rPr>
          <w:rFonts w:ascii="Calibri" w:hAnsi="Calibri" w:cs="Calibri"/>
          <w:color w:val="000000"/>
          <w:sz w:val="22"/>
          <w:szCs w:val="22"/>
        </w:rPr>
        <w:t>Teaching Assistants are positioned as self-sufficient trainees in practice-based settings due to the lack of formal intellectual guidance.</w:t>
      </w:r>
    </w:p>
    <w:p w14:paraId="6F5FA82D" w14:textId="312FAF59" w:rsidR="00832F3E" w:rsidRPr="00FB6917" w:rsidRDefault="00832F3E" w:rsidP="007E01CF">
      <w:pPr>
        <w:spacing w:before="100" w:beforeAutospacing="1" w:after="100" w:afterAutospacing="1" w:line="480" w:lineRule="auto"/>
        <w:jc w:val="both"/>
        <w:rPr>
          <w:rFonts w:ascii="Calibri" w:hAnsi="Calibri" w:cs="Calibri"/>
          <w:color w:val="000000" w:themeColor="text1"/>
          <w:sz w:val="21"/>
          <w:szCs w:val="21"/>
        </w:rPr>
      </w:pPr>
      <w:r w:rsidRPr="00832F3E">
        <w:rPr>
          <w:rFonts w:ascii="Calibri" w:hAnsi="Calibri" w:cs="Calibri"/>
          <w:color w:val="000000" w:themeColor="text1"/>
          <w:sz w:val="21"/>
          <w:szCs w:val="21"/>
        </w:rPr>
        <w:t>Participants remarked about how frequent interactions with students helped them create flexible, tangible knowledge gradually.   One of the teaching assistants highlighted continuous improvement, saying, "you try it out, sometimes it works sometimes it doesn't" (Interview 4), while another stated that "I have learned so much from the children themselves..." (Interview 1). This illustrates a type of experiential expertise development in which cycles of feedback among standard conduct, action, and consequence give rise to educational tactics.</w:t>
      </w:r>
      <w:r>
        <w:rPr>
          <w:rFonts w:ascii="Calibri" w:hAnsi="Calibri" w:cs="Calibri"/>
          <w:color w:val="000000" w:themeColor="text1"/>
          <w:sz w:val="21"/>
          <w:szCs w:val="21"/>
        </w:rPr>
        <w:t xml:space="preserve"> </w:t>
      </w:r>
      <w:r w:rsidRPr="00832F3E">
        <w:rPr>
          <w:rFonts w:ascii="Calibri" w:hAnsi="Calibri" w:cs="Calibri"/>
          <w:color w:val="000000" w:themeColor="text1"/>
          <w:sz w:val="21"/>
          <w:szCs w:val="21"/>
        </w:rPr>
        <w:t xml:space="preserve">Crucially, this method of learning also defines one's character.   Enhanced confidence in work and authority </w:t>
      </w:r>
      <w:proofErr w:type="gramStart"/>
      <w:r w:rsidRPr="00832F3E">
        <w:rPr>
          <w:rFonts w:ascii="Calibri" w:hAnsi="Calibri" w:cs="Calibri"/>
          <w:color w:val="000000" w:themeColor="text1"/>
          <w:sz w:val="21"/>
          <w:szCs w:val="21"/>
        </w:rPr>
        <w:t>were</w:t>
      </w:r>
      <w:proofErr w:type="gramEnd"/>
      <w:r w:rsidRPr="00832F3E">
        <w:rPr>
          <w:rFonts w:ascii="Calibri" w:hAnsi="Calibri" w:cs="Calibri"/>
          <w:color w:val="000000" w:themeColor="text1"/>
          <w:sz w:val="21"/>
          <w:szCs w:val="21"/>
        </w:rPr>
        <w:t xml:space="preserve"> reported by </w:t>
      </w:r>
      <w:proofErr w:type="gramStart"/>
      <w:r w:rsidRPr="00832F3E">
        <w:rPr>
          <w:rFonts w:ascii="Calibri" w:hAnsi="Calibri" w:cs="Calibri"/>
          <w:color w:val="000000" w:themeColor="text1"/>
          <w:sz w:val="21"/>
          <w:szCs w:val="21"/>
        </w:rPr>
        <w:t>a number of</w:t>
      </w:r>
      <w:proofErr w:type="gramEnd"/>
      <w:r w:rsidRPr="00832F3E">
        <w:rPr>
          <w:rFonts w:ascii="Calibri" w:hAnsi="Calibri" w:cs="Calibri"/>
          <w:color w:val="000000" w:themeColor="text1"/>
          <w:sz w:val="21"/>
          <w:szCs w:val="21"/>
        </w:rPr>
        <w:t xml:space="preserve"> individuals, such as: "I'm not afraid to </w:t>
      </w:r>
      <w:proofErr w:type="spellStart"/>
      <w:r w:rsidRPr="00832F3E">
        <w:rPr>
          <w:rFonts w:ascii="Calibri" w:hAnsi="Calibri" w:cs="Calibri"/>
          <w:color w:val="000000" w:themeColor="text1"/>
          <w:sz w:val="21"/>
          <w:szCs w:val="21"/>
        </w:rPr>
        <w:t>voicemy</w:t>
      </w:r>
      <w:proofErr w:type="spellEnd"/>
      <w:r w:rsidRPr="00832F3E">
        <w:rPr>
          <w:rFonts w:ascii="Calibri" w:hAnsi="Calibri" w:cs="Calibri"/>
          <w:color w:val="000000" w:themeColor="text1"/>
          <w:sz w:val="21"/>
          <w:szCs w:val="21"/>
        </w:rPr>
        <w:t xml:space="preserve"> opinions and concerns now... "I know what I'm doing" (Interview 2). This suggests that knowledge is developed using repeated interaction with students and staff rather than just being technical.</w:t>
      </w:r>
      <w:r>
        <w:rPr>
          <w:rFonts w:ascii="Calibri" w:hAnsi="Calibri" w:cs="Calibri"/>
          <w:color w:val="000000" w:themeColor="text1"/>
          <w:sz w:val="21"/>
          <w:szCs w:val="21"/>
        </w:rPr>
        <w:t xml:space="preserve"> </w:t>
      </w:r>
      <w:r w:rsidRPr="00832F3E">
        <w:rPr>
          <w:rFonts w:ascii="Calibri" w:hAnsi="Calibri" w:cs="Calibri"/>
          <w:color w:val="000000" w:themeColor="text1"/>
          <w:sz w:val="21"/>
          <w:szCs w:val="21"/>
        </w:rPr>
        <w:t>Theoretically, teaching assistants are positioned as essentially experts without institutional recognition because of the systemic lack of structured ADHD pedagogical training offered by conventional education systems, which is highlighted by their dependence on hands-on learning.</w:t>
      </w:r>
    </w:p>
    <w:p w14:paraId="11A659B7" w14:textId="77777777" w:rsidR="001B2C2D" w:rsidRDefault="009E10A3" w:rsidP="00133998">
      <w:pPr>
        <w:tabs>
          <w:tab w:val="left" w:pos="6747"/>
        </w:tabs>
        <w:spacing w:after="160"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 xml:space="preserve">Theme Two: Systematic Constraints that Damage Inclusive Practice </w:t>
      </w:r>
    </w:p>
    <w:p w14:paraId="0CA5D205" w14:textId="77777777" w:rsidR="00B86BB4" w:rsidRDefault="001B2C2D" w:rsidP="00133998">
      <w:pPr>
        <w:tabs>
          <w:tab w:val="left" w:pos="6747"/>
        </w:tabs>
        <w:spacing w:after="160" w:line="480" w:lineRule="auto"/>
        <w:jc w:val="both"/>
        <w:rPr>
          <w:rFonts w:ascii="Calibri" w:hAnsi="Calibri" w:cs="Calibri"/>
          <w:color w:val="000000" w:themeColor="text1"/>
          <w:sz w:val="22"/>
          <w:szCs w:val="22"/>
        </w:rPr>
      </w:pPr>
      <w:r w:rsidRPr="001B2C2D">
        <w:rPr>
          <w:rFonts w:ascii="Calibri" w:hAnsi="Calibri" w:cs="Calibri"/>
          <w:color w:val="000000" w:themeColor="text1"/>
          <w:sz w:val="22"/>
          <w:szCs w:val="22"/>
        </w:rPr>
        <w:t xml:space="preserve">The second theme of Systematic Constraints that Damage Inclusive Practice demonstrates how systemic division and unequal accountability for inclusion limit teaching </w:t>
      </w:r>
      <w:proofErr w:type="gramStart"/>
      <w:r w:rsidRPr="001B2C2D">
        <w:rPr>
          <w:rFonts w:ascii="Calibri" w:hAnsi="Calibri" w:cs="Calibri"/>
          <w:color w:val="000000" w:themeColor="text1"/>
          <w:sz w:val="22"/>
          <w:szCs w:val="22"/>
        </w:rPr>
        <w:t>assistants</w:t>
      </w:r>
      <w:proofErr w:type="gramEnd"/>
      <w:r w:rsidRPr="001B2C2D">
        <w:rPr>
          <w:rFonts w:ascii="Calibri" w:hAnsi="Calibri" w:cs="Calibri"/>
          <w:color w:val="000000" w:themeColor="text1"/>
          <w:sz w:val="22"/>
          <w:szCs w:val="22"/>
        </w:rPr>
        <w:t xml:space="preserve"> practice. One participant expressed that there was little structural assistance, saying, "We are left to get on with it." There is no money for extras, </w:t>
      </w:r>
      <w:r w:rsidRPr="001B2C2D">
        <w:rPr>
          <w:rFonts w:ascii="Calibri" w:hAnsi="Calibri" w:cs="Calibri"/>
          <w:color w:val="000000" w:themeColor="text1"/>
          <w:sz w:val="22"/>
          <w:szCs w:val="22"/>
        </w:rPr>
        <w:t>no training</w:t>
      </w:r>
      <w:r w:rsidRPr="001B2C2D">
        <w:rPr>
          <w:rFonts w:ascii="Calibri" w:hAnsi="Calibri" w:cs="Calibri"/>
          <w:color w:val="000000" w:themeColor="text1"/>
          <w:sz w:val="22"/>
          <w:szCs w:val="22"/>
        </w:rPr>
        <w:t>, nothing" (Interview 2). This is consistent with criticisms of neoliberal educational institutions by Rinehart, (2016), which transfer responsibility for complicated demands without matching funding, and reflects a larger systemic dependence on teaching assistants as inexpensive advocates of inclusion.</w:t>
      </w:r>
    </w:p>
    <w:p w14:paraId="3AAAA190" w14:textId="5A996C50" w:rsidR="009E10A3" w:rsidRPr="001B2C2D" w:rsidRDefault="00B86BB4" w:rsidP="00133998">
      <w:pPr>
        <w:tabs>
          <w:tab w:val="left" w:pos="6747"/>
        </w:tabs>
        <w:spacing w:after="160" w:line="480" w:lineRule="auto"/>
        <w:jc w:val="both"/>
        <w:rPr>
          <w:rFonts w:ascii="Calibri" w:hAnsi="Calibri" w:cs="Calibri"/>
          <w:color w:val="000000" w:themeColor="text1"/>
          <w:sz w:val="22"/>
          <w:szCs w:val="22"/>
        </w:rPr>
      </w:pPr>
      <w:r w:rsidRPr="00B86BB4">
        <w:rPr>
          <w:rFonts w:ascii="Calibri" w:hAnsi="Calibri" w:cs="Calibri"/>
          <w:color w:val="000000" w:themeColor="text1"/>
          <w:sz w:val="22"/>
          <w:szCs w:val="22"/>
        </w:rPr>
        <w:lastRenderedPageBreak/>
        <w:t>Insufficient cooperation between educators and teaching assistants is a major systemic strain.   "Some teachers just say, 'that's your job, deal with him'" (Interview 1) and "they don't understand... it's just bad behaviour" (Interview 6) are two examples of how some participants described being positioned as the only managers of ADHD behaviour. This suggests a broken inclusion paradigm that undermines a cohesive educational response by assigning rather than sharing responsibilities.</w:t>
      </w:r>
      <w:r w:rsidR="00133998" w:rsidRPr="001B2C2D">
        <w:rPr>
          <w:rFonts w:ascii="Calibri" w:hAnsi="Calibri" w:cs="Calibri"/>
          <w:color w:val="000000" w:themeColor="text1"/>
          <w:sz w:val="22"/>
          <w:szCs w:val="22"/>
        </w:rPr>
        <w:tab/>
      </w:r>
    </w:p>
    <w:p w14:paraId="128BFAFB" w14:textId="4940717C" w:rsidR="009E10A3" w:rsidRPr="007E01CF" w:rsidRDefault="00B86BB4" w:rsidP="00B86BB4">
      <w:pPr>
        <w:spacing w:after="160" w:line="480" w:lineRule="auto"/>
        <w:jc w:val="both"/>
        <w:rPr>
          <w:rFonts w:ascii="Calibri" w:hAnsi="Calibri" w:cs="Calibri"/>
          <w:color w:val="000000" w:themeColor="text1"/>
          <w:sz w:val="22"/>
          <w:szCs w:val="22"/>
        </w:rPr>
      </w:pPr>
      <w:r w:rsidRPr="00B86BB4">
        <w:rPr>
          <w:rFonts w:ascii="Calibri" w:hAnsi="Calibri" w:cs="Calibri"/>
          <w:color w:val="000000" w:themeColor="text1"/>
          <w:sz w:val="22"/>
          <w:szCs w:val="22"/>
        </w:rPr>
        <w:t>Inclusion is further complicated by the role of caregivers, creating what are known as omnidirectional attribution issues. Parental reluctance was characterised by one participant as follows: "Every strategy we use has been criticised.   It's your work; I don't have time for it" (Interview 1). Others talked of detachment or excessive involvement, both of which are likely to undermine persistent engagement.   This indicates a malfunction in the school-home-pupil multidisciplinary cooperation models that are necessary for efficient SEN service.</w:t>
      </w:r>
      <w:r>
        <w:rPr>
          <w:rFonts w:ascii="Calibri" w:hAnsi="Calibri" w:cs="Calibri"/>
          <w:color w:val="000000" w:themeColor="text1"/>
          <w:sz w:val="22"/>
          <w:szCs w:val="22"/>
        </w:rPr>
        <w:t xml:space="preserve"> </w:t>
      </w:r>
      <w:r w:rsidRPr="00B86BB4">
        <w:rPr>
          <w:rFonts w:ascii="Calibri" w:hAnsi="Calibri" w:cs="Calibri"/>
          <w:color w:val="000000" w:themeColor="text1"/>
          <w:sz w:val="22"/>
          <w:szCs w:val="22"/>
        </w:rPr>
        <w:t>Lacking institutional governing authority, teaching assistants take on the role of the practical core of integration within this disjointed system.</w:t>
      </w:r>
    </w:p>
    <w:p w14:paraId="2751FCF6" w14:textId="77777777" w:rsidR="00186F66" w:rsidRPr="007E01CF" w:rsidRDefault="00186F66" w:rsidP="007E01CF">
      <w:pPr>
        <w:spacing w:after="160" w:line="480" w:lineRule="auto"/>
        <w:jc w:val="both"/>
        <w:rPr>
          <w:rFonts w:ascii="Calibri" w:hAnsi="Calibri" w:cs="Calibri"/>
          <w:color w:val="000000"/>
          <w:sz w:val="22"/>
          <w:szCs w:val="22"/>
          <w:u w:val="wave"/>
        </w:rPr>
      </w:pPr>
      <w:r w:rsidRPr="007E01CF">
        <w:rPr>
          <w:rFonts w:ascii="Calibri" w:hAnsi="Calibri" w:cs="Calibri"/>
          <w:color w:val="000000"/>
          <w:sz w:val="22"/>
          <w:szCs w:val="22"/>
          <w:u w:val="wave"/>
        </w:rPr>
        <w:t>Research Question Two</w:t>
      </w:r>
    </w:p>
    <w:p w14:paraId="0D871A78" w14:textId="517B0D49" w:rsidR="00186F66" w:rsidRPr="007E01CF" w:rsidRDefault="00186F66" w:rsidP="007E01CF">
      <w:pPr>
        <w:spacing w:after="160" w:line="480" w:lineRule="auto"/>
        <w:jc w:val="both"/>
        <w:rPr>
          <w:rFonts w:ascii="Calibri" w:hAnsi="Calibri" w:cs="Calibri"/>
          <w:b/>
          <w:bCs/>
          <w:color w:val="000000"/>
          <w:sz w:val="22"/>
          <w:szCs w:val="22"/>
          <w:u w:val="wave"/>
        </w:rPr>
      </w:pPr>
      <w:r w:rsidRPr="007E01CF">
        <w:rPr>
          <w:rFonts w:ascii="Calibri" w:hAnsi="Calibri" w:cs="Calibri"/>
          <w:b/>
          <w:bCs/>
          <w:color w:val="000000"/>
          <w:sz w:val="22"/>
          <w:szCs w:val="22"/>
        </w:rPr>
        <w:t xml:space="preserve">Research Question Two: </w:t>
      </w:r>
      <w:r w:rsidRPr="007E01CF">
        <w:rPr>
          <w:rFonts w:ascii="Calibri" w:hAnsi="Calibri" w:cs="Calibri"/>
          <w:b/>
          <w:bCs/>
          <w:color w:val="000000"/>
          <w:sz w:val="22"/>
          <w:szCs w:val="22"/>
        </w:rPr>
        <w:t>How do teaching assistants provide students with ADHD in traditional school settings whilst balancing systemic constraints and individual responsibility?</w:t>
      </w:r>
    </w:p>
    <w:p w14:paraId="6FC472C0" w14:textId="63E54534" w:rsidR="00186F66" w:rsidRPr="00906D36" w:rsidRDefault="00906D36" w:rsidP="007E01CF">
      <w:pPr>
        <w:pStyle w:val="p1"/>
        <w:spacing w:line="480" w:lineRule="auto"/>
        <w:jc w:val="both"/>
        <w:rPr>
          <w:rFonts w:ascii="Calibri" w:hAnsi="Calibri" w:cs="Calibri"/>
          <w:color w:val="000000" w:themeColor="text1"/>
          <w:sz w:val="22"/>
          <w:szCs w:val="22"/>
        </w:rPr>
      </w:pPr>
      <w:r>
        <w:rPr>
          <w:rFonts w:ascii="Calibri" w:hAnsi="Calibri" w:cs="Calibri"/>
          <w:color w:val="000000" w:themeColor="text1"/>
          <w:sz w:val="22"/>
          <w:szCs w:val="22"/>
        </w:rPr>
        <w:t xml:space="preserve">When assisting children with </w:t>
      </w:r>
      <w:proofErr w:type="gramStart"/>
      <w:r>
        <w:rPr>
          <w:rFonts w:ascii="Calibri" w:hAnsi="Calibri" w:cs="Calibri"/>
          <w:color w:val="000000" w:themeColor="text1"/>
          <w:sz w:val="22"/>
          <w:szCs w:val="22"/>
        </w:rPr>
        <w:t>Attention Deficit Hyperactivity Disorder</w:t>
      </w:r>
      <w:proofErr w:type="gramEnd"/>
      <w:r>
        <w:rPr>
          <w:rFonts w:ascii="Calibri" w:hAnsi="Calibri" w:cs="Calibri"/>
          <w:color w:val="000000" w:themeColor="text1"/>
          <w:sz w:val="22"/>
          <w:szCs w:val="22"/>
        </w:rPr>
        <w:t xml:space="preserve">, teaching assistants require to perform a great deal of emotional labour that combines not only stress but also job satisfaction and fulfilment. </w:t>
      </w:r>
      <w:r w:rsidRPr="00906D36">
        <w:rPr>
          <w:rFonts w:ascii="Calibri" w:hAnsi="Calibri" w:cs="Calibri"/>
          <w:color w:val="000000" w:themeColor="text1"/>
          <w:sz w:val="22"/>
          <w:szCs w:val="22"/>
        </w:rPr>
        <w:t xml:space="preserve">Participants talked about feeling worn out and frustrated because they had to constantly control their emotions in uncertain situations. Teaching assistants additionally engage on advocacy duties, dispelling prejudice and redefining ADHD as a disability as opposed to a behavioural issue. This expands their duties to include multicultural discussion with workers and parents in addition to educating. Teaching Assistants reported significant intrinsic benefits despite these demands, especially when they saw students' growth and felt they had a significant impact. Nevertheless, since TAs oversee acceptable conduct, interpersonal interactions, and student wellness, this emotional </w:t>
      </w:r>
      <w:r w:rsidRPr="00906D36">
        <w:rPr>
          <w:rFonts w:ascii="Calibri" w:hAnsi="Calibri" w:cs="Calibri"/>
          <w:color w:val="000000" w:themeColor="text1"/>
          <w:sz w:val="22"/>
          <w:szCs w:val="22"/>
        </w:rPr>
        <w:lastRenderedPageBreak/>
        <w:t xml:space="preserve">labour is still largely unacknowledged by institutions, </w:t>
      </w:r>
      <w:proofErr w:type="gramStart"/>
      <w:r w:rsidRPr="00906D36">
        <w:rPr>
          <w:rFonts w:ascii="Calibri" w:hAnsi="Calibri" w:cs="Calibri"/>
          <w:color w:val="000000" w:themeColor="text1"/>
          <w:sz w:val="22"/>
          <w:szCs w:val="22"/>
        </w:rPr>
        <w:t>despite the fact that</w:t>
      </w:r>
      <w:proofErr w:type="gramEnd"/>
      <w:r w:rsidRPr="00906D36">
        <w:rPr>
          <w:rFonts w:ascii="Calibri" w:hAnsi="Calibri" w:cs="Calibri"/>
          <w:color w:val="000000" w:themeColor="text1"/>
          <w:sz w:val="22"/>
          <w:szCs w:val="22"/>
        </w:rPr>
        <w:t xml:space="preserve"> it is crucial for preserving inclusiveness.</w:t>
      </w:r>
    </w:p>
    <w:p w14:paraId="6384395F" w14:textId="1D8AA8D3" w:rsidR="00186F66" w:rsidRDefault="009E10A3" w:rsidP="007E01CF">
      <w:pPr>
        <w:spacing w:line="480" w:lineRule="auto"/>
        <w:jc w:val="both"/>
        <w:rPr>
          <w:rFonts w:ascii="Calibri" w:hAnsi="Calibri" w:cs="Calibri"/>
          <w:b/>
          <w:bCs/>
          <w:color w:val="000000" w:themeColor="text1"/>
          <w:sz w:val="22"/>
          <w:szCs w:val="22"/>
        </w:rPr>
      </w:pPr>
      <w:r w:rsidRPr="007E01CF">
        <w:rPr>
          <w:rFonts w:ascii="Calibri" w:hAnsi="Calibri" w:cs="Calibri"/>
          <w:b/>
          <w:bCs/>
          <w:color w:val="000000" w:themeColor="text1"/>
          <w:sz w:val="22"/>
          <w:szCs w:val="22"/>
        </w:rPr>
        <w:t xml:space="preserve">Theme One: </w:t>
      </w:r>
      <w:r w:rsidRPr="007E01CF">
        <w:rPr>
          <w:rFonts w:ascii="Calibri" w:hAnsi="Calibri" w:cs="Calibri"/>
          <w:b/>
          <w:bCs/>
          <w:color w:val="000000" w:themeColor="text1"/>
          <w:sz w:val="22"/>
          <w:szCs w:val="22"/>
        </w:rPr>
        <w:t xml:space="preserve">Representation and </w:t>
      </w:r>
      <w:r w:rsidRPr="007E01CF">
        <w:rPr>
          <w:rFonts w:ascii="Calibri" w:hAnsi="Calibri" w:cs="Calibri"/>
          <w:b/>
          <w:bCs/>
          <w:color w:val="000000" w:themeColor="text1"/>
          <w:sz w:val="22"/>
          <w:szCs w:val="22"/>
        </w:rPr>
        <w:t>Psych-emotional</w:t>
      </w:r>
      <w:r w:rsidRPr="007E01CF">
        <w:rPr>
          <w:rFonts w:ascii="Calibri" w:hAnsi="Calibri" w:cs="Calibri"/>
          <w:b/>
          <w:bCs/>
          <w:color w:val="000000" w:themeColor="text1"/>
          <w:sz w:val="22"/>
          <w:szCs w:val="22"/>
        </w:rPr>
        <w:t xml:space="preserve"> labour</w:t>
      </w:r>
    </w:p>
    <w:p w14:paraId="07584490" w14:textId="1AAD7E71" w:rsidR="000B0A6E" w:rsidRDefault="000B0A6E" w:rsidP="000B0A6E">
      <w:pPr>
        <w:spacing w:line="480" w:lineRule="auto"/>
        <w:jc w:val="both"/>
        <w:rPr>
          <w:rFonts w:ascii="Calibri" w:hAnsi="Calibri" w:cs="Calibri"/>
          <w:color w:val="000000" w:themeColor="text1"/>
          <w:sz w:val="22"/>
          <w:szCs w:val="22"/>
        </w:rPr>
      </w:pPr>
      <w:r w:rsidRPr="000B0A6E">
        <w:rPr>
          <w:rFonts w:ascii="Calibri" w:hAnsi="Calibri" w:cs="Calibri"/>
          <w:color w:val="000000" w:themeColor="text1"/>
          <w:sz w:val="22"/>
          <w:szCs w:val="22"/>
        </w:rPr>
        <w:t>The final theme emphasises the emotional aspect of teaching assistant's work, which is most effectively understood in relation to Hochschild's theory of emotional labour, in which Kruml and Geddes (2000) explain employees regulate and control their emotions as a component of their job responsibilities.   A contradictory emotional structure was reflected in the participants' consistent descriptions of both fulfilment and tiredness.</w:t>
      </w:r>
      <w:r>
        <w:rPr>
          <w:rFonts w:ascii="Calibri" w:hAnsi="Calibri" w:cs="Calibri"/>
          <w:color w:val="000000" w:themeColor="text1"/>
          <w:sz w:val="22"/>
          <w:szCs w:val="22"/>
        </w:rPr>
        <w:t xml:space="preserve"> </w:t>
      </w:r>
      <w:r w:rsidRPr="000B0A6E">
        <w:rPr>
          <w:rFonts w:ascii="Calibri" w:hAnsi="Calibri" w:cs="Calibri"/>
          <w:color w:val="000000" w:themeColor="text1"/>
          <w:sz w:val="22"/>
          <w:szCs w:val="22"/>
        </w:rPr>
        <w:t xml:space="preserve">"I go home absolutely exhausted... like I've been in ten rounds with Mike Tyson" (Interview 1) and "some days I cry through sheer frustration" (Interview 6) were two common embodied expressions of emotional strain. This illustrates consistent emotional control in the face of unpredictable behaviour and the demands of educational institutions.  </w:t>
      </w:r>
    </w:p>
    <w:p w14:paraId="05193E29" w14:textId="021ABB1C" w:rsidR="000B0A6E" w:rsidRDefault="000B0A6E" w:rsidP="000B0A6E">
      <w:pPr>
        <w:spacing w:line="480" w:lineRule="auto"/>
        <w:jc w:val="both"/>
        <w:rPr>
          <w:rFonts w:ascii="Calibri" w:hAnsi="Calibri" w:cs="Calibri"/>
          <w:color w:val="000000" w:themeColor="text1"/>
          <w:sz w:val="22"/>
          <w:szCs w:val="22"/>
        </w:rPr>
      </w:pPr>
      <w:r w:rsidRPr="000B0A6E">
        <w:rPr>
          <w:rFonts w:ascii="Calibri" w:hAnsi="Calibri" w:cs="Calibri"/>
          <w:color w:val="000000" w:themeColor="text1"/>
          <w:sz w:val="22"/>
          <w:szCs w:val="22"/>
        </w:rPr>
        <w:t xml:space="preserve">Advocacy work, in which teaching assistants aggressively refute deficiency narratives around ADHD, is a crucial component of this psychological labour.   "I will always defend those children... it's not naughty behaviour, it's a disability," said one participant (Interview 5). Others talked about aggressively combating stigma from parents and staff, demonstrating that inclusion work goes above education into sociocultural and political struggle. Participants regularly expressed substantial intrinsic incentive regardless of this emotional cost.   "It is so rewarding... I just know I've made a difference" (Interview 5) and "seeing him progress... it was a pleasure" (Interview 6) </w:t>
      </w:r>
      <w:proofErr w:type="gramStart"/>
      <w:r w:rsidRPr="000B0A6E">
        <w:rPr>
          <w:rFonts w:ascii="Calibri" w:hAnsi="Calibri" w:cs="Calibri"/>
          <w:color w:val="000000" w:themeColor="text1"/>
          <w:sz w:val="22"/>
          <w:szCs w:val="22"/>
        </w:rPr>
        <w:t>were</w:t>
      </w:r>
      <w:proofErr w:type="gramEnd"/>
      <w:r w:rsidRPr="000B0A6E">
        <w:rPr>
          <w:rFonts w:ascii="Calibri" w:hAnsi="Calibri" w:cs="Calibri"/>
          <w:color w:val="000000" w:themeColor="text1"/>
          <w:sz w:val="22"/>
          <w:szCs w:val="22"/>
        </w:rPr>
        <w:t xml:space="preserve"> two examples of how advancement was presented as having great significance. This is consistent with studies on caring occupations, where creating meaning serves as a coping strategy for intense emotional strain.</w:t>
      </w:r>
      <w:r>
        <w:rPr>
          <w:rFonts w:ascii="Calibri" w:hAnsi="Calibri" w:cs="Calibri"/>
          <w:color w:val="000000" w:themeColor="text1"/>
          <w:sz w:val="22"/>
          <w:szCs w:val="22"/>
        </w:rPr>
        <w:t xml:space="preserve"> </w:t>
      </w:r>
      <w:r w:rsidRPr="000B0A6E">
        <w:rPr>
          <w:rFonts w:ascii="Calibri" w:hAnsi="Calibri" w:cs="Calibri"/>
          <w:color w:val="000000" w:themeColor="text1"/>
          <w:sz w:val="22"/>
          <w:szCs w:val="22"/>
        </w:rPr>
        <w:t>Crucially, this emotional effort is both operationally necessary for inclusion and structurally unacknowledged. TAs successfully preserve inclusiveness through emotional commitment as opposed to formal obligation by absorbing behavioural fluctuations, mediating conflict, and preserving interpersonal stability.</w:t>
      </w:r>
    </w:p>
    <w:p w14:paraId="5CD69902" w14:textId="77777777" w:rsidR="000B0A6E" w:rsidRDefault="000B0A6E" w:rsidP="000B0A6E">
      <w:pPr>
        <w:spacing w:line="480" w:lineRule="auto"/>
        <w:jc w:val="both"/>
        <w:rPr>
          <w:rFonts w:ascii="Calibri" w:hAnsi="Calibri" w:cs="Calibri"/>
          <w:color w:val="000000" w:themeColor="text1"/>
          <w:sz w:val="22"/>
          <w:szCs w:val="22"/>
        </w:rPr>
      </w:pPr>
    </w:p>
    <w:p w14:paraId="6005B88F" w14:textId="77777777" w:rsidR="000B0A6E" w:rsidRPr="000B0A6E" w:rsidRDefault="000B0A6E" w:rsidP="000B0A6E">
      <w:pPr>
        <w:spacing w:line="480" w:lineRule="auto"/>
        <w:jc w:val="both"/>
        <w:rPr>
          <w:rFonts w:ascii="Calibri" w:hAnsi="Calibri" w:cs="Calibri"/>
          <w:color w:val="000000" w:themeColor="text1"/>
          <w:sz w:val="22"/>
          <w:szCs w:val="22"/>
        </w:rPr>
      </w:pPr>
    </w:p>
    <w:p w14:paraId="2916E790" w14:textId="3E157FB3" w:rsidR="001E580B" w:rsidRPr="00B72C13" w:rsidRDefault="009E10A3" w:rsidP="007E01CF">
      <w:pPr>
        <w:pStyle w:val="p1"/>
        <w:spacing w:line="480" w:lineRule="auto"/>
        <w:jc w:val="both"/>
        <w:rPr>
          <w:rFonts w:ascii="Calibri" w:hAnsi="Calibri" w:cs="Calibri"/>
          <w:sz w:val="22"/>
          <w:szCs w:val="22"/>
          <w:u w:val="wave"/>
        </w:rPr>
      </w:pPr>
      <w:r w:rsidRPr="007E01CF">
        <w:rPr>
          <w:rFonts w:ascii="Calibri" w:hAnsi="Calibri" w:cs="Calibri"/>
          <w:sz w:val="22"/>
          <w:szCs w:val="22"/>
          <w:u w:val="wave"/>
        </w:rPr>
        <w:lastRenderedPageBreak/>
        <w:t>Summary of Findings</w:t>
      </w:r>
    </w:p>
    <w:p w14:paraId="05E48E5F" w14:textId="42CA6C5C" w:rsidR="00C23A15" w:rsidRPr="00B72C13" w:rsidRDefault="00B72C13" w:rsidP="007E01CF">
      <w:pPr>
        <w:pStyle w:val="p1"/>
        <w:spacing w:line="480" w:lineRule="auto"/>
        <w:jc w:val="both"/>
        <w:rPr>
          <w:rFonts w:ascii="Calibri" w:hAnsi="Calibri" w:cs="Calibri"/>
          <w:sz w:val="22"/>
          <w:szCs w:val="22"/>
        </w:rPr>
      </w:pPr>
      <w:r w:rsidRPr="00B72C13">
        <w:rPr>
          <w:rFonts w:ascii="Calibri" w:hAnsi="Calibri" w:cs="Calibri"/>
          <w:sz w:val="22"/>
          <w:szCs w:val="22"/>
        </w:rPr>
        <w:t xml:space="preserve">Teaching Assistants approach appears throughout the dataset </w:t>
      </w:r>
      <w:proofErr w:type="gramStart"/>
      <w:r w:rsidRPr="00B72C13">
        <w:rPr>
          <w:rFonts w:ascii="Calibri" w:hAnsi="Calibri" w:cs="Calibri"/>
          <w:sz w:val="22"/>
          <w:szCs w:val="22"/>
        </w:rPr>
        <w:t>as a result of</w:t>
      </w:r>
      <w:proofErr w:type="gramEnd"/>
      <w:r w:rsidRPr="00B72C13">
        <w:rPr>
          <w:rFonts w:ascii="Calibri" w:hAnsi="Calibri" w:cs="Calibri"/>
          <w:sz w:val="22"/>
          <w:szCs w:val="22"/>
        </w:rPr>
        <w:t xml:space="preserve"> emotionally taxing work, structural disorganisation, and contextual hands-on learning.   Despite the lack of structured instruction frameworks, strategies for helping students with ADHD are established from informal practice-based learning methods, but they are also limited by uneven organisational and multidisciplinary collaboration.   TAs take on an excessive amount of responsibility for inclusiveness in this setting, carrying out advocacy duties, psychological, and instructional work. As a result, inclusion in mainstream schools is revealed to be a practically and emotionally dependent procedure as opposed to a structurally supported one, creating a contradictory professional experience marked by reward and tiredness.</w:t>
      </w:r>
    </w:p>
    <w:p w14:paraId="44573A38" w14:textId="77777777" w:rsidR="00C23A15" w:rsidRDefault="00C23A15" w:rsidP="007E01CF">
      <w:pPr>
        <w:pStyle w:val="p1"/>
        <w:spacing w:line="480" w:lineRule="auto"/>
        <w:jc w:val="both"/>
        <w:rPr>
          <w:rFonts w:ascii="Calibri" w:hAnsi="Calibri" w:cs="Calibri"/>
          <w:sz w:val="24"/>
          <w:szCs w:val="24"/>
          <w:u w:val="single"/>
        </w:rPr>
      </w:pPr>
    </w:p>
    <w:p w14:paraId="6BC6FE55" w14:textId="77777777" w:rsidR="00C23A15" w:rsidRDefault="00C23A15" w:rsidP="007E01CF">
      <w:pPr>
        <w:pStyle w:val="p1"/>
        <w:spacing w:line="480" w:lineRule="auto"/>
        <w:jc w:val="both"/>
        <w:rPr>
          <w:rFonts w:ascii="Calibri" w:hAnsi="Calibri" w:cs="Calibri"/>
          <w:sz w:val="24"/>
          <w:szCs w:val="24"/>
          <w:u w:val="single"/>
        </w:rPr>
      </w:pPr>
    </w:p>
    <w:p w14:paraId="4DEAE904" w14:textId="77777777" w:rsidR="00C23A15" w:rsidRDefault="00C23A15" w:rsidP="007E01CF">
      <w:pPr>
        <w:pStyle w:val="p1"/>
        <w:spacing w:line="480" w:lineRule="auto"/>
        <w:jc w:val="both"/>
        <w:rPr>
          <w:rFonts w:ascii="Calibri" w:hAnsi="Calibri" w:cs="Calibri"/>
          <w:sz w:val="24"/>
          <w:szCs w:val="24"/>
          <w:u w:val="single"/>
        </w:rPr>
      </w:pPr>
    </w:p>
    <w:p w14:paraId="623A9321" w14:textId="77777777" w:rsidR="00C23A15" w:rsidRDefault="00C23A15" w:rsidP="007E01CF">
      <w:pPr>
        <w:pStyle w:val="p1"/>
        <w:spacing w:line="480" w:lineRule="auto"/>
        <w:jc w:val="both"/>
        <w:rPr>
          <w:rFonts w:ascii="Calibri" w:hAnsi="Calibri" w:cs="Calibri"/>
          <w:sz w:val="24"/>
          <w:szCs w:val="24"/>
          <w:u w:val="single"/>
        </w:rPr>
      </w:pPr>
    </w:p>
    <w:p w14:paraId="23773C17" w14:textId="77777777" w:rsidR="00C23A15" w:rsidRDefault="00C23A15" w:rsidP="007E01CF">
      <w:pPr>
        <w:pStyle w:val="p1"/>
        <w:spacing w:line="480" w:lineRule="auto"/>
        <w:jc w:val="both"/>
        <w:rPr>
          <w:rFonts w:ascii="Calibri" w:hAnsi="Calibri" w:cs="Calibri"/>
          <w:sz w:val="24"/>
          <w:szCs w:val="24"/>
          <w:u w:val="single"/>
        </w:rPr>
      </w:pPr>
    </w:p>
    <w:p w14:paraId="7CD662FE" w14:textId="77777777" w:rsidR="00C23A15" w:rsidRDefault="00C23A15" w:rsidP="007E01CF">
      <w:pPr>
        <w:pStyle w:val="p1"/>
        <w:spacing w:line="480" w:lineRule="auto"/>
        <w:jc w:val="both"/>
        <w:rPr>
          <w:rFonts w:ascii="Calibri" w:hAnsi="Calibri" w:cs="Calibri"/>
          <w:sz w:val="24"/>
          <w:szCs w:val="24"/>
          <w:u w:val="single"/>
        </w:rPr>
      </w:pPr>
    </w:p>
    <w:p w14:paraId="771DFA11" w14:textId="77777777" w:rsidR="00C23A15" w:rsidRDefault="00C23A15" w:rsidP="007E01CF">
      <w:pPr>
        <w:pStyle w:val="p1"/>
        <w:spacing w:line="480" w:lineRule="auto"/>
        <w:jc w:val="both"/>
        <w:rPr>
          <w:rFonts w:ascii="Calibri" w:hAnsi="Calibri" w:cs="Calibri"/>
          <w:sz w:val="24"/>
          <w:szCs w:val="24"/>
          <w:u w:val="single"/>
        </w:rPr>
      </w:pPr>
    </w:p>
    <w:p w14:paraId="6D2B9AD4" w14:textId="77777777" w:rsidR="00C23A15" w:rsidRDefault="00C23A15" w:rsidP="007E01CF">
      <w:pPr>
        <w:pStyle w:val="p1"/>
        <w:spacing w:line="480" w:lineRule="auto"/>
        <w:jc w:val="both"/>
        <w:rPr>
          <w:rFonts w:ascii="Calibri" w:hAnsi="Calibri" w:cs="Calibri"/>
          <w:sz w:val="24"/>
          <w:szCs w:val="24"/>
          <w:u w:val="single"/>
        </w:rPr>
      </w:pPr>
    </w:p>
    <w:p w14:paraId="3AB4E9F8" w14:textId="77777777" w:rsidR="00B72C13" w:rsidRDefault="00B72C13" w:rsidP="007E01CF">
      <w:pPr>
        <w:pStyle w:val="p1"/>
        <w:spacing w:line="480" w:lineRule="auto"/>
        <w:jc w:val="both"/>
        <w:rPr>
          <w:rFonts w:ascii="Calibri" w:hAnsi="Calibri" w:cs="Calibri"/>
          <w:sz w:val="24"/>
          <w:szCs w:val="24"/>
          <w:u w:val="single"/>
        </w:rPr>
      </w:pPr>
    </w:p>
    <w:p w14:paraId="652329EC" w14:textId="77777777" w:rsidR="00B72C13" w:rsidRDefault="00B72C13" w:rsidP="007E01CF">
      <w:pPr>
        <w:pStyle w:val="p1"/>
        <w:spacing w:line="480" w:lineRule="auto"/>
        <w:jc w:val="both"/>
        <w:rPr>
          <w:rFonts w:ascii="Calibri" w:hAnsi="Calibri" w:cs="Calibri"/>
          <w:sz w:val="24"/>
          <w:szCs w:val="24"/>
          <w:u w:val="single"/>
        </w:rPr>
      </w:pPr>
    </w:p>
    <w:p w14:paraId="19381F00" w14:textId="77777777" w:rsidR="00B72C13" w:rsidRDefault="00B72C13" w:rsidP="007E01CF">
      <w:pPr>
        <w:pStyle w:val="p1"/>
        <w:spacing w:line="480" w:lineRule="auto"/>
        <w:jc w:val="both"/>
        <w:rPr>
          <w:rFonts w:ascii="Calibri" w:hAnsi="Calibri" w:cs="Calibri"/>
          <w:sz w:val="24"/>
          <w:szCs w:val="24"/>
          <w:u w:val="single"/>
        </w:rPr>
      </w:pPr>
    </w:p>
    <w:p w14:paraId="2DE85C01" w14:textId="77777777" w:rsidR="00B72C13" w:rsidRDefault="00B72C13" w:rsidP="007E01CF">
      <w:pPr>
        <w:pStyle w:val="p1"/>
        <w:spacing w:line="480" w:lineRule="auto"/>
        <w:jc w:val="both"/>
        <w:rPr>
          <w:rFonts w:ascii="Calibri" w:hAnsi="Calibri" w:cs="Calibri"/>
          <w:sz w:val="24"/>
          <w:szCs w:val="24"/>
          <w:u w:val="single"/>
        </w:rPr>
      </w:pPr>
    </w:p>
    <w:p w14:paraId="143EA5B3" w14:textId="77777777" w:rsidR="00B72C13" w:rsidRDefault="00B72C13" w:rsidP="007E01CF">
      <w:pPr>
        <w:pStyle w:val="p1"/>
        <w:spacing w:line="480" w:lineRule="auto"/>
        <w:jc w:val="both"/>
        <w:rPr>
          <w:rFonts w:ascii="Calibri" w:hAnsi="Calibri" w:cs="Calibri"/>
          <w:sz w:val="24"/>
          <w:szCs w:val="24"/>
          <w:u w:val="single"/>
        </w:rPr>
      </w:pPr>
    </w:p>
    <w:p w14:paraId="1920A1DA" w14:textId="77777777" w:rsidR="00B72C13" w:rsidRDefault="00B72C13" w:rsidP="007E01CF">
      <w:pPr>
        <w:pStyle w:val="p1"/>
        <w:spacing w:line="480" w:lineRule="auto"/>
        <w:jc w:val="both"/>
        <w:rPr>
          <w:rFonts w:ascii="Calibri" w:hAnsi="Calibri" w:cs="Calibri"/>
          <w:sz w:val="24"/>
          <w:szCs w:val="24"/>
          <w:u w:val="single"/>
        </w:rPr>
      </w:pPr>
    </w:p>
    <w:p w14:paraId="73EFC899" w14:textId="77777777" w:rsidR="009247A6" w:rsidRDefault="009247A6" w:rsidP="007E01CF">
      <w:pPr>
        <w:pStyle w:val="p1"/>
        <w:spacing w:line="480" w:lineRule="auto"/>
        <w:jc w:val="both"/>
        <w:rPr>
          <w:rFonts w:ascii="Calibri" w:hAnsi="Calibri" w:cs="Calibri"/>
          <w:sz w:val="24"/>
          <w:szCs w:val="24"/>
          <w:u w:val="single"/>
        </w:rPr>
      </w:pPr>
    </w:p>
    <w:p w14:paraId="1624AB9D" w14:textId="7C0C0384" w:rsidR="001E580B" w:rsidRDefault="001E580B" w:rsidP="007E01CF">
      <w:pPr>
        <w:pStyle w:val="p1"/>
        <w:spacing w:line="480" w:lineRule="auto"/>
        <w:jc w:val="both"/>
        <w:rPr>
          <w:rFonts w:ascii="Calibri" w:hAnsi="Calibri" w:cs="Calibri"/>
          <w:sz w:val="24"/>
          <w:szCs w:val="24"/>
          <w:u w:val="single"/>
        </w:rPr>
      </w:pPr>
      <w:r w:rsidRPr="007E01CF">
        <w:rPr>
          <w:rFonts w:ascii="Calibri" w:hAnsi="Calibri" w:cs="Calibri"/>
          <w:sz w:val="24"/>
          <w:szCs w:val="24"/>
          <w:u w:val="single"/>
        </w:rPr>
        <w:lastRenderedPageBreak/>
        <w:t>Conclusion</w:t>
      </w:r>
      <w:r w:rsidR="00004480" w:rsidRPr="007E01CF">
        <w:rPr>
          <w:rFonts w:ascii="Calibri" w:hAnsi="Calibri" w:cs="Calibri"/>
          <w:sz w:val="24"/>
          <w:szCs w:val="24"/>
          <w:u w:val="single"/>
        </w:rPr>
        <w:t xml:space="preserve"> </w:t>
      </w:r>
    </w:p>
    <w:p w14:paraId="2D8FCCC4" w14:textId="05C69310" w:rsidR="00935CD3"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 xml:space="preserve">The purpose of this research report was to investigate how teaching </w:t>
      </w:r>
      <w:proofErr w:type="spellStart"/>
      <w:r w:rsidRPr="004E3100">
        <w:rPr>
          <w:rFonts w:ascii="Calibri" w:hAnsi="Calibri" w:cs="Calibri"/>
          <w:sz w:val="22"/>
          <w:szCs w:val="22"/>
        </w:rPr>
        <w:t>assistant's</w:t>
      </w:r>
      <w:proofErr w:type="spellEnd"/>
      <w:r w:rsidRPr="004E3100">
        <w:rPr>
          <w:rFonts w:ascii="Calibri" w:hAnsi="Calibri" w:cs="Calibri"/>
          <w:sz w:val="22"/>
          <w:szCs w:val="22"/>
        </w:rPr>
        <w:t xml:space="preserve"> (TAs) experiences working with ADHD students in regular classroom environments. The results offer a complex description of a function that is marked by both substantial systemic limitation and considerable emotional engagement. The emotionally taxing characteristics of the job, the solitary and customised character of the TA position, and the difficulty of handling ADHD-related actions in classroom settings were the main themes. Crucially, the data showed that many of the difficulties TAs encounter are influenced by broader structural problems, such as inadequate training, uneven institutional support, and enduring misconceptions about ADHD. TAs also became important advocates, vigorously combating stigma and attempting to maintain inclusive practice </w:t>
      </w:r>
      <w:proofErr w:type="gramStart"/>
      <w:r w:rsidRPr="004E3100">
        <w:rPr>
          <w:rFonts w:ascii="Calibri" w:hAnsi="Calibri" w:cs="Calibri"/>
          <w:sz w:val="22"/>
          <w:szCs w:val="22"/>
        </w:rPr>
        <w:t>in spite of</w:t>
      </w:r>
      <w:proofErr w:type="gramEnd"/>
      <w:r w:rsidRPr="004E3100">
        <w:rPr>
          <w:rFonts w:ascii="Calibri" w:hAnsi="Calibri" w:cs="Calibri"/>
          <w:sz w:val="22"/>
          <w:szCs w:val="22"/>
        </w:rPr>
        <w:t xml:space="preserve"> these obstacles.</w:t>
      </w:r>
    </w:p>
    <w:p w14:paraId="2F0A3BEF" w14:textId="7AA56AA6" w:rsidR="004E3100"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These results have significant practical ramifications. First and foremost, there is an obvious and pressing need for all school personnel, including teachers, upper management, and other support personnel, to get thorough training tailored to ADHD. Such instruction may increase comprehension, lessen unfavourable attitudes, and encourage more dependable and successful behavioural strategies. Second, schools ought to adopt more cooperative support models that lessen the personal strain on teaching assistants and promote shared accountability for students with ADHD.</w:t>
      </w:r>
      <w:r>
        <w:rPr>
          <w:rFonts w:ascii="Calibri" w:hAnsi="Calibri" w:cs="Calibri"/>
          <w:sz w:val="22"/>
          <w:szCs w:val="22"/>
        </w:rPr>
        <w:t xml:space="preserve"> </w:t>
      </w:r>
      <w:r w:rsidRPr="004E3100">
        <w:rPr>
          <w:rFonts w:ascii="Calibri" w:hAnsi="Calibri" w:cs="Calibri"/>
          <w:sz w:val="22"/>
          <w:szCs w:val="22"/>
        </w:rPr>
        <w:t>Additionally, building positive relationships with parents may enhance uniformity between the home and the school, promoting more successful intervention techniques.</w:t>
      </w:r>
    </w:p>
    <w:p w14:paraId="4C2CB5BA" w14:textId="19B5CC92" w:rsidR="004E3100" w:rsidRPr="004E3100" w:rsidRDefault="004E3100" w:rsidP="007E01CF">
      <w:pPr>
        <w:pStyle w:val="p1"/>
        <w:spacing w:line="480" w:lineRule="auto"/>
        <w:jc w:val="both"/>
        <w:rPr>
          <w:rFonts w:ascii="Calibri" w:hAnsi="Calibri" w:cs="Calibri"/>
          <w:sz w:val="22"/>
          <w:szCs w:val="22"/>
        </w:rPr>
      </w:pPr>
      <w:r w:rsidRPr="004E3100">
        <w:rPr>
          <w:rFonts w:ascii="Calibri" w:hAnsi="Calibri" w:cs="Calibri"/>
          <w:sz w:val="22"/>
          <w:szCs w:val="22"/>
        </w:rPr>
        <w:t xml:space="preserve">Nonetheless there are a few restrictions to be aware of. The research's small, very comparable sample of a typical TAs may have limited the findings' applicability in different educational settings. Furthermore, the analysis's focus is limited to TA experiences because to the lack of viewpoints from educators, parents, and students. The interpretive character of thematic analysis also </w:t>
      </w:r>
      <w:proofErr w:type="gramStart"/>
      <w:r w:rsidRPr="004E3100">
        <w:rPr>
          <w:rFonts w:ascii="Calibri" w:hAnsi="Calibri" w:cs="Calibri"/>
          <w:sz w:val="22"/>
          <w:szCs w:val="22"/>
        </w:rPr>
        <w:t>influence</w:t>
      </w:r>
      <w:proofErr w:type="gramEnd"/>
      <w:r w:rsidRPr="004E3100">
        <w:rPr>
          <w:rFonts w:ascii="Calibri" w:hAnsi="Calibri" w:cs="Calibri"/>
          <w:sz w:val="22"/>
          <w:szCs w:val="22"/>
        </w:rPr>
        <w:t xml:space="preserve"> the results.</w:t>
      </w:r>
    </w:p>
    <w:p w14:paraId="63253A4B" w14:textId="088F8601" w:rsidR="001E580B" w:rsidRPr="004E3100" w:rsidRDefault="004E3100" w:rsidP="004E3100">
      <w:pPr>
        <w:pStyle w:val="p1"/>
        <w:spacing w:line="480" w:lineRule="auto"/>
        <w:rPr>
          <w:rFonts w:ascii="Calibri" w:hAnsi="Calibri" w:cs="Calibri"/>
          <w:sz w:val="22"/>
          <w:szCs w:val="22"/>
        </w:rPr>
      </w:pPr>
      <w:proofErr w:type="gramStart"/>
      <w:r w:rsidRPr="004E3100">
        <w:rPr>
          <w:rFonts w:ascii="Calibri" w:hAnsi="Calibri" w:cs="Calibri"/>
          <w:sz w:val="22"/>
          <w:szCs w:val="22"/>
        </w:rPr>
        <w:t>In order to</w:t>
      </w:r>
      <w:proofErr w:type="gramEnd"/>
      <w:r w:rsidRPr="004E3100">
        <w:rPr>
          <w:rFonts w:ascii="Calibri" w:hAnsi="Calibri" w:cs="Calibri"/>
          <w:sz w:val="22"/>
          <w:szCs w:val="22"/>
        </w:rPr>
        <w:t xml:space="preserve"> more fully comprehend systemic implications on ADHD support, future research should aim to solve these constraints by involving a wider range of participants, especially teachers and </w:t>
      </w:r>
      <w:r w:rsidRPr="004E3100">
        <w:rPr>
          <w:rFonts w:ascii="Calibri" w:hAnsi="Calibri" w:cs="Calibri"/>
          <w:sz w:val="22"/>
          <w:szCs w:val="22"/>
        </w:rPr>
        <w:lastRenderedPageBreak/>
        <w:t>school administrators. Additionally, longitudinal studies may offer important insights into how TA experiences and duties change over time. Furthermore, assessing the results of focused training interventions may provide useful suggestions for enhancing inclusive teaching methods. Overall, this study emphasises the vital yet underappreciated role that TAs play and emphasises the necessity of systemic change to better assist staff and children with ADHD.</w:t>
      </w:r>
    </w:p>
    <w:p w14:paraId="3D71D0D6" w14:textId="77777777" w:rsidR="00947122" w:rsidRDefault="00947122" w:rsidP="001E580B">
      <w:pPr>
        <w:pStyle w:val="p1"/>
        <w:rPr>
          <w:rFonts w:ascii="Calibri" w:hAnsi="Calibri" w:cs="Calibri"/>
          <w:sz w:val="24"/>
          <w:szCs w:val="24"/>
          <w:u w:val="single"/>
        </w:rPr>
      </w:pPr>
    </w:p>
    <w:p w14:paraId="1796B395" w14:textId="77777777" w:rsidR="00947122" w:rsidRDefault="00947122" w:rsidP="001E580B">
      <w:pPr>
        <w:pStyle w:val="p1"/>
        <w:rPr>
          <w:rFonts w:ascii="Calibri" w:hAnsi="Calibri" w:cs="Calibri"/>
          <w:sz w:val="24"/>
          <w:szCs w:val="24"/>
          <w:u w:val="single"/>
        </w:rPr>
      </w:pPr>
    </w:p>
    <w:p w14:paraId="01917D42" w14:textId="77777777" w:rsidR="00947122" w:rsidRDefault="00947122" w:rsidP="001E580B">
      <w:pPr>
        <w:pStyle w:val="p1"/>
        <w:rPr>
          <w:rFonts w:ascii="Calibri" w:hAnsi="Calibri" w:cs="Calibri"/>
          <w:sz w:val="24"/>
          <w:szCs w:val="24"/>
          <w:u w:val="single"/>
        </w:rPr>
      </w:pPr>
    </w:p>
    <w:p w14:paraId="31449637" w14:textId="77777777" w:rsidR="00947122" w:rsidRDefault="00947122" w:rsidP="001E580B">
      <w:pPr>
        <w:pStyle w:val="p1"/>
        <w:rPr>
          <w:rFonts w:ascii="Calibri" w:hAnsi="Calibri" w:cs="Calibri"/>
          <w:sz w:val="24"/>
          <w:szCs w:val="24"/>
          <w:u w:val="single"/>
        </w:rPr>
      </w:pPr>
    </w:p>
    <w:p w14:paraId="4E0B5424" w14:textId="77777777" w:rsidR="00947122" w:rsidRDefault="00947122" w:rsidP="001E580B">
      <w:pPr>
        <w:pStyle w:val="p1"/>
        <w:rPr>
          <w:rFonts w:ascii="Calibri" w:hAnsi="Calibri" w:cs="Calibri"/>
          <w:sz w:val="24"/>
          <w:szCs w:val="24"/>
          <w:u w:val="single"/>
        </w:rPr>
      </w:pPr>
    </w:p>
    <w:p w14:paraId="7976FA4D" w14:textId="77777777" w:rsidR="00947122" w:rsidRDefault="00947122" w:rsidP="001E580B">
      <w:pPr>
        <w:pStyle w:val="p1"/>
        <w:rPr>
          <w:rFonts w:ascii="Calibri" w:hAnsi="Calibri" w:cs="Calibri"/>
          <w:sz w:val="24"/>
          <w:szCs w:val="24"/>
          <w:u w:val="single"/>
        </w:rPr>
      </w:pPr>
    </w:p>
    <w:p w14:paraId="53535210" w14:textId="77777777" w:rsidR="00947122" w:rsidRDefault="00947122" w:rsidP="001E580B">
      <w:pPr>
        <w:pStyle w:val="p1"/>
        <w:rPr>
          <w:rFonts w:ascii="Calibri" w:hAnsi="Calibri" w:cs="Calibri"/>
          <w:sz w:val="24"/>
          <w:szCs w:val="24"/>
          <w:u w:val="single"/>
        </w:rPr>
      </w:pPr>
    </w:p>
    <w:p w14:paraId="4F5E5017" w14:textId="77777777" w:rsidR="00947122" w:rsidRDefault="00947122" w:rsidP="001E580B">
      <w:pPr>
        <w:pStyle w:val="p1"/>
        <w:rPr>
          <w:rFonts w:ascii="Calibri" w:hAnsi="Calibri" w:cs="Calibri"/>
          <w:sz w:val="24"/>
          <w:szCs w:val="24"/>
          <w:u w:val="single"/>
        </w:rPr>
      </w:pPr>
    </w:p>
    <w:p w14:paraId="00A37677" w14:textId="77777777" w:rsidR="00947122" w:rsidRDefault="00947122" w:rsidP="001E580B">
      <w:pPr>
        <w:pStyle w:val="p1"/>
        <w:rPr>
          <w:rFonts w:ascii="Calibri" w:hAnsi="Calibri" w:cs="Calibri"/>
          <w:sz w:val="24"/>
          <w:szCs w:val="24"/>
          <w:u w:val="single"/>
        </w:rPr>
      </w:pPr>
    </w:p>
    <w:p w14:paraId="3594830D" w14:textId="77777777" w:rsidR="00947122" w:rsidRDefault="00947122" w:rsidP="001E580B">
      <w:pPr>
        <w:pStyle w:val="p1"/>
        <w:rPr>
          <w:rFonts w:ascii="Calibri" w:hAnsi="Calibri" w:cs="Calibri"/>
          <w:sz w:val="24"/>
          <w:szCs w:val="24"/>
          <w:u w:val="single"/>
        </w:rPr>
      </w:pPr>
    </w:p>
    <w:p w14:paraId="11101BA6" w14:textId="77777777" w:rsidR="00947122" w:rsidRDefault="00947122" w:rsidP="001E580B">
      <w:pPr>
        <w:pStyle w:val="p1"/>
        <w:rPr>
          <w:rFonts w:ascii="Calibri" w:hAnsi="Calibri" w:cs="Calibri"/>
          <w:sz w:val="24"/>
          <w:szCs w:val="24"/>
          <w:u w:val="single"/>
        </w:rPr>
      </w:pPr>
    </w:p>
    <w:p w14:paraId="7917F142" w14:textId="77777777" w:rsidR="00947122" w:rsidRDefault="00947122" w:rsidP="001E580B">
      <w:pPr>
        <w:pStyle w:val="p1"/>
        <w:rPr>
          <w:rFonts w:ascii="Calibri" w:hAnsi="Calibri" w:cs="Calibri"/>
          <w:sz w:val="24"/>
          <w:szCs w:val="24"/>
          <w:u w:val="single"/>
        </w:rPr>
      </w:pPr>
    </w:p>
    <w:p w14:paraId="6669154D" w14:textId="77777777" w:rsidR="00947122" w:rsidRDefault="00947122" w:rsidP="001E580B">
      <w:pPr>
        <w:pStyle w:val="p1"/>
        <w:rPr>
          <w:rFonts w:ascii="Calibri" w:hAnsi="Calibri" w:cs="Calibri"/>
          <w:sz w:val="24"/>
          <w:szCs w:val="24"/>
          <w:u w:val="single"/>
        </w:rPr>
      </w:pPr>
    </w:p>
    <w:p w14:paraId="3F738F68" w14:textId="77777777" w:rsidR="00947122" w:rsidRDefault="00947122" w:rsidP="001E580B">
      <w:pPr>
        <w:pStyle w:val="p1"/>
        <w:rPr>
          <w:rFonts w:ascii="Calibri" w:hAnsi="Calibri" w:cs="Calibri"/>
          <w:sz w:val="24"/>
          <w:szCs w:val="24"/>
          <w:u w:val="single"/>
        </w:rPr>
      </w:pPr>
    </w:p>
    <w:p w14:paraId="020A4AE0" w14:textId="77777777" w:rsidR="00947122" w:rsidRDefault="00947122" w:rsidP="001E580B">
      <w:pPr>
        <w:pStyle w:val="p1"/>
        <w:rPr>
          <w:rFonts w:ascii="Calibri" w:hAnsi="Calibri" w:cs="Calibri"/>
          <w:sz w:val="24"/>
          <w:szCs w:val="24"/>
          <w:u w:val="single"/>
        </w:rPr>
      </w:pPr>
    </w:p>
    <w:p w14:paraId="415EF492" w14:textId="77777777" w:rsidR="004E3100" w:rsidRDefault="004E3100" w:rsidP="001E580B">
      <w:pPr>
        <w:pStyle w:val="p1"/>
        <w:rPr>
          <w:rFonts w:ascii="Calibri" w:hAnsi="Calibri" w:cs="Calibri"/>
          <w:sz w:val="24"/>
          <w:szCs w:val="24"/>
          <w:u w:val="single"/>
        </w:rPr>
      </w:pPr>
    </w:p>
    <w:p w14:paraId="199DBDF4" w14:textId="77777777" w:rsidR="004E3100" w:rsidRDefault="004E3100" w:rsidP="001E580B">
      <w:pPr>
        <w:pStyle w:val="p1"/>
        <w:rPr>
          <w:rFonts w:ascii="Calibri" w:hAnsi="Calibri" w:cs="Calibri"/>
          <w:sz w:val="24"/>
          <w:szCs w:val="24"/>
          <w:u w:val="single"/>
        </w:rPr>
      </w:pPr>
    </w:p>
    <w:p w14:paraId="6340093D" w14:textId="77777777" w:rsidR="004E3100" w:rsidRDefault="004E3100" w:rsidP="001E580B">
      <w:pPr>
        <w:pStyle w:val="p1"/>
        <w:rPr>
          <w:rFonts w:ascii="Calibri" w:hAnsi="Calibri" w:cs="Calibri"/>
          <w:sz w:val="24"/>
          <w:szCs w:val="24"/>
          <w:u w:val="single"/>
        </w:rPr>
      </w:pPr>
    </w:p>
    <w:p w14:paraId="216D9FE1" w14:textId="77777777" w:rsidR="004E3100" w:rsidRDefault="004E3100" w:rsidP="001E580B">
      <w:pPr>
        <w:pStyle w:val="p1"/>
        <w:rPr>
          <w:rFonts w:ascii="Calibri" w:hAnsi="Calibri" w:cs="Calibri"/>
          <w:sz w:val="24"/>
          <w:szCs w:val="24"/>
          <w:u w:val="single"/>
        </w:rPr>
      </w:pPr>
    </w:p>
    <w:p w14:paraId="3136D864" w14:textId="77777777" w:rsidR="004E3100" w:rsidRDefault="004E3100" w:rsidP="001E580B">
      <w:pPr>
        <w:pStyle w:val="p1"/>
        <w:rPr>
          <w:rFonts w:ascii="Calibri" w:hAnsi="Calibri" w:cs="Calibri"/>
          <w:sz w:val="24"/>
          <w:szCs w:val="24"/>
          <w:u w:val="single"/>
        </w:rPr>
      </w:pPr>
    </w:p>
    <w:p w14:paraId="5BFAC1A4" w14:textId="77777777" w:rsidR="004E3100" w:rsidRDefault="004E3100" w:rsidP="001E580B">
      <w:pPr>
        <w:pStyle w:val="p1"/>
        <w:rPr>
          <w:rFonts w:ascii="Calibri" w:hAnsi="Calibri" w:cs="Calibri"/>
          <w:sz w:val="24"/>
          <w:szCs w:val="24"/>
          <w:u w:val="single"/>
        </w:rPr>
      </w:pPr>
    </w:p>
    <w:p w14:paraId="60279B2D" w14:textId="77777777" w:rsidR="004E3100" w:rsidRDefault="004E3100" w:rsidP="001E580B">
      <w:pPr>
        <w:pStyle w:val="p1"/>
        <w:rPr>
          <w:rFonts w:ascii="Calibri" w:hAnsi="Calibri" w:cs="Calibri"/>
          <w:sz w:val="24"/>
          <w:szCs w:val="24"/>
          <w:u w:val="single"/>
        </w:rPr>
      </w:pPr>
    </w:p>
    <w:p w14:paraId="3CDC5C01" w14:textId="77777777" w:rsidR="004E3100" w:rsidRDefault="004E3100" w:rsidP="001E580B">
      <w:pPr>
        <w:pStyle w:val="p1"/>
        <w:rPr>
          <w:rFonts w:ascii="Calibri" w:hAnsi="Calibri" w:cs="Calibri"/>
          <w:sz w:val="24"/>
          <w:szCs w:val="24"/>
          <w:u w:val="single"/>
        </w:rPr>
      </w:pPr>
    </w:p>
    <w:p w14:paraId="79731BEC" w14:textId="77777777" w:rsidR="004E3100" w:rsidRDefault="004E3100" w:rsidP="001E580B">
      <w:pPr>
        <w:pStyle w:val="p1"/>
        <w:rPr>
          <w:rFonts w:ascii="Calibri" w:hAnsi="Calibri" w:cs="Calibri"/>
          <w:sz w:val="24"/>
          <w:szCs w:val="24"/>
          <w:u w:val="single"/>
        </w:rPr>
      </w:pPr>
    </w:p>
    <w:p w14:paraId="239DD36C" w14:textId="77777777" w:rsidR="004E3100" w:rsidRDefault="004E3100" w:rsidP="001E580B">
      <w:pPr>
        <w:pStyle w:val="p1"/>
        <w:rPr>
          <w:rFonts w:ascii="Calibri" w:hAnsi="Calibri" w:cs="Calibri"/>
          <w:sz w:val="24"/>
          <w:szCs w:val="24"/>
          <w:u w:val="single"/>
        </w:rPr>
      </w:pPr>
    </w:p>
    <w:p w14:paraId="280BEF78" w14:textId="77777777" w:rsidR="004E3100" w:rsidRDefault="004E3100" w:rsidP="001E580B">
      <w:pPr>
        <w:pStyle w:val="p1"/>
        <w:rPr>
          <w:rFonts w:ascii="Calibri" w:hAnsi="Calibri" w:cs="Calibri"/>
          <w:sz w:val="24"/>
          <w:szCs w:val="24"/>
          <w:u w:val="single"/>
        </w:rPr>
      </w:pPr>
    </w:p>
    <w:p w14:paraId="1A5340EA" w14:textId="77777777" w:rsidR="004E3100" w:rsidRDefault="004E3100" w:rsidP="001E580B">
      <w:pPr>
        <w:pStyle w:val="p1"/>
        <w:rPr>
          <w:rFonts w:ascii="Calibri" w:hAnsi="Calibri" w:cs="Calibri"/>
          <w:sz w:val="24"/>
          <w:szCs w:val="24"/>
          <w:u w:val="single"/>
        </w:rPr>
      </w:pPr>
    </w:p>
    <w:p w14:paraId="7496560F" w14:textId="77777777" w:rsidR="004E3100" w:rsidRDefault="004E3100" w:rsidP="001E580B">
      <w:pPr>
        <w:pStyle w:val="p1"/>
        <w:rPr>
          <w:rFonts w:ascii="Calibri" w:hAnsi="Calibri" w:cs="Calibri"/>
          <w:sz w:val="24"/>
          <w:szCs w:val="24"/>
          <w:u w:val="single"/>
        </w:rPr>
      </w:pPr>
    </w:p>
    <w:p w14:paraId="65437965" w14:textId="77777777" w:rsidR="004E3100" w:rsidRDefault="004E3100" w:rsidP="001E580B">
      <w:pPr>
        <w:pStyle w:val="p1"/>
        <w:rPr>
          <w:rFonts w:ascii="Calibri" w:hAnsi="Calibri" w:cs="Calibri"/>
          <w:sz w:val="24"/>
          <w:szCs w:val="24"/>
          <w:u w:val="single"/>
        </w:rPr>
      </w:pPr>
    </w:p>
    <w:p w14:paraId="37F0FE53" w14:textId="77777777" w:rsidR="004E3100" w:rsidRDefault="004E3100" w:rsidP="001E580B">
      <w:pPr>
        <w:pStyle w:val="p1"/>
        <w:rPr>
          <w:rFonts w:ascii="Calibri" w:hAnsi="Calibri" w:cs="Calibri"/>
          <w:sz w:val="24"/>
          <w:szCs w:val="24"/>
          <w:u w:val="single"/>
        </w:rPr>
      </w:pPr>
    </w:p>
    <w:p w14:paraId="0DADF82F" w14:textId="77777777" w:rsidR="004E3100" w:rsidRDefault="004E3100" w:rsidP="001E580B">
      <w:pPr>
        <w:pStyle w:val="p1"/>
        <w:rPr>
          <w:rFonts w:ascii="Calibri" w:hAnsi="Calibri" w:cs="Calibri"/>
          <w:sz w:val="24"/>
          <w:szCs w:val="24"/>
          <w:u w:val="single"/>
        </w:rPr>
      </w:pPr>
    </w:p>
    <w:p w14:paraId="1351A67F" w14:textId="77777777" w:rsidR="004E3100" w:rsidRDefault="004E3100" w:rsidP="001E580B">
      <w:pPr>
        <w:pStyle w:val="p1"/>
        <w:rPr>
          <w:rFonts w:ascii="Calibri" w:hAnsi="Calibri" w:cs="Calibri"/>
          <w:sz w:val="24"/>
          <w:szCs w:val="24"/>
          <w:u w:val="single"/>
        </w:rPr>
      </w:pPr>
    </w:p>
    <w:p w14:paraId="77AC427D" w14:textId="77777777" w:rsidR="004E3100" w:rsidRDefault="004E3100" w:rsidP="001E580B">
      <w:pPr>
        <w:pStyle w:val="p1"/>
        <w:rPr>
          <w:rFonts w:ascii="Calibri" w:hAnsi="Calibri" w:cs="Calibri"/>
          <w:sz w:val="24"/>
          <w:szCs w:val="24"/>
          <w:u w:val="single"/>
        </w:rPr>
      </w:pPr>
    </w:p>
    <w:p w14:paraId="0C307C2B" w14:textId="77777777" w:rsidR="004E3100" w:rsidRDefault="004E3100" w:rsidP="001E580B">
      <w:pPr>
        <w:pStyle w:val="p1"/>
        <w:rPr>
          <w:rFonts w:ascii="Calibri" w:hAnsi="Calibri" w:cs="Calibri"/>
          <w:sz w:val="24"/>
          <w:szCs w:val="24"/>
          <w:u w:val="single"/>
        </w:rPr>
      </w:pPr>
    </w:p>
    <w:p w14:paraId="2A4B7BD1" w14:textId="77777777" w:rsidR="004E3100" w:rsidRDefault="004E3100" w:rsidP="001E580B">
      <w:pPr>
        <w:pStyle w:val="p1"/>
        <w:rPr>
          <w:rFonts w:ascii="Calibri" w:hAnsi="Calibri" w:cs="Calibri"/>
          <w:sz w:val="24"/>
          <w:szCs w:val="24"/>
          <w:u w:val="single"/>
        </w:rPr>
      </w:pPr>
    </w:p>
    <w:p w14:paraId="39156C21" w14:textId="77777777" w:rsidR="004E3100" w:rsidRDefault="004E3100" w:rsidP="001E580B">
      <w:pPr>
        <w:pStyle w:val="p1"/>
        <w:rPr>
          <w:rFonts w:ascii="Calibri" w:hAnsi="Calibri" w:cs="Calibri"/>
          <w:sz w:val="24"/>
          <w:szCs w:val="24"/>
          <w:u w:val="single"/>
        </w:rPr>
      </w:pPr>
    </w:p>
    <w:p w14:paraId="4CCBB0BF" w14:textId="77777777" w:rsidR="004E3100" w:rsidRDefault="004E3100" w:rsidP="001E580B">
      <w:pPr>
        <w:pStyle w:val="p1"/>
        <w:rPr>
          <w:rFonts w:ascii="Calibri" w:hAnsi="Calibri" w:cs="Calibri"/>
          <w:sz w:val="24"/>
          <w:szCs w:val="24"/>
          <w:u w:val="single"/>
        </w:rPr>
      </w:pPr>
    </w:p>
    <w:p w14:paraId="73A8AF7E" w14:textId="77777777" w:rsidR="00072912" w:rsidRDefault="00072912" w:rsidP="001E580B">
      <w:pPr>
        <w:pStyle w:val="p1"/>
        <w:rPr>
          <w:rFonts w:ascii="Calibri" w:hAnsi="Calibri" w:cs="Calibri"/>
          <w:sz w:val="24"/>
          <w:szCs w:val="24"/>
          <w:u w:val="single"/>
        </w:rPr>
      </w:pPr>
    </w:p>
    <w:p w14:paraId="4A2944F5" w14:textId="4822A1DE" w:rsidR="00072912" w:rsidRDefault="00072912" w:rsidP="001E580B">
      <w:pPr>
        <w:pStyle w:val="p1"/>
        <w:rPr>
          <w:rFonts w:ascii="Calibri" w:hAnsi="Calibri" w:cs="Calibri"/>
          <w:sz w:val="24"/>
          <w:szCs w:val="24"/>
          <w:u w:val="single"/>
        </w:rPr>
      </w:pPr>
      <w:r>
        <w:rPr>
          <w:rFonts w:ascii="Calibri" w:hAnsi="Calibri" w:cs="Calibri"/>
          <w:sz w:val="24"/>
          <w:szCs w:val="24"/>
          <w:u w:val="single"/>
        </w:rPr>
        <w:lastRenderedPageBreak/>
        <w:t>References</w:t>
      </w:r>
    </w:p>
    <w:p w14:paraId="108F9919" w14:textId="77777777" w:rsidR="00072912" w:rsidRPr="00072912" w:rsidRDefault="00072912" w:rsidP="00072912">
      <w:pPr>
        <w:pStyle w:val="p1"/>
        <w:jc w:val="both"/>
        <w:rPr>
          <w:rFonts w:ascii="Calibri" w:hAnsi="Calibri" w:cs="Calibri"/>
          <w:sz w:val="22"/>
          <w:szCs w:val="22"/>
          <w:u w:val="wave"/>
        </w:rPr>
      </w:pPr>
    </w:p>
    <w:p w14:paraId="6FF11019"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b/>
          <w:bCs/>
          <w:color w:val="000000"/>
          <w:sz w:val="22"/>
          <w:szCs w:val="22"/>
        </w:rPr>
      </w:pPr>
      <w:r w:rsidRPr="00072912">
        <w:rPr>
          <w:rStyle w:val="Strong"/>
          <w:rFonts w:ascii="Calibri" w:eastAsiaTheme="majorEastAsia" w:hAnsi="Calibri" w:cs="Calibri"/>
          <w:b w:val="0"/>
          <w:bCs w:val="0"/>
          <w:color w:val="0A0A0A"/>
          <w:sz w:val="22"/>
          <w:szCs w:val="22"/>
        </w:rPr>
        <w:t>American Psychiatric Association. (2013).</w:t>
      </w:r>
      <w:r w:rsidRPr="00072912">
        <w:rPr>
          <w:rStyle w:val="apple-converted-space"/>
          <w:rFonts w:ascii="Calibri" w:eastAsiaTheme="majorEastAsia" w:hAnsi="Calibri" w:cs="Calibri"/>
          <w:b/>
          <w:bCs/>
          <w:color w:val="0A0A0A"/>
          <w:sz w:val="22"/>
          <w:szCs w:val="22"/>
        </w:rPr>
        <w:t> </w:t>
      </w:r>
      <w:r w:rsidRPr="00072912">
        <w:rPr>
          <w:rStyle w:val="Emphasis"/>
          <w:rFonts w:ascii="Calibri" w:eastAsiaTheme="majorEastAsia" w:hAnsi="Calibri" w:cs="Calibri"/>
          <w:b/>
          <w:bCs/>
          <w:color w:val="0A0A0A"/>
          <w:sz w:val="22"/>
          <w:szCs w:val="22"/>
        </w:rPr>
        <w:t>Diagnostic and statistical manual of mental disorders</w:t>
      </w:r>
      <w:r w:rsidRPr="00072912">
        <w:rPr>
          <w:rStyle w:val="apple-converted-space"/>
          <w:rFonts w:ascii="Calibri" w:eastAsiaTheme="majorEastAsia" w:hAnsi="Calibri" w:cs="Calibri"/>
          <w:b/>
          <w:bCs/>
          <w:color w:val="0A0A0A"/>
          <w:sz w:val="22"/>
          <w:szCs w:val="22"/>
        </w:rPr>
        <w:t> </w:t>
      </w:r>
      <w:r w:rsidRPr="00072912">
        <w:rPr>
          <w:rStyle w:val="Strong"/>
          <w:rFonts w:ascii="Calibri" w:eastAsiaTheme="majorEastAsia" w:hAnsi="Calibri" w:cs="Calibri"/>
          <w:b w:val="0"/>
          <w:bCs w:val="0"/>
          <w:color w:val="0A0A0A"/>
          <w:sz w:val="22"/>
          <w:szCs w:val="22"/>
        </w:rPr>
        <w:t xml:space="preserve">(5th ed.). </w:t>
      </w:r>
      <w:hyperlink r:id="rId7" w:history="1">
        <w:r w:rsidRPr="00072912">
          <w:rPr>
            <w:rStyle w:val="Hyperlink"/>
            <w:rFonts w:ascii="Calibri" w:eastAsiaTheme="majorEastAsia" w:hAnsi="Calibri" w:cs="Calibri"/>
            <w:sz w:val="22"/>
            <w:szCs w:val="22"/>
          </w:rPr>
          <w:t>https://doi.org/10.1176/appi.books.9780890425596</w:t>
        </w:r>
      </w:hyperlink>
      <w:r w:rsidRPr="00072912">
        <w:rPr>
          <w:rFonts w:ascii="Calibri" w:hAnsi="Calibri" w:cs="Calibri"/>
          <w:b/>
          <w:bCs/>
          <w:color w:val="0A0A0A"/>
          <w:sz w:val="22"/>
          <w:szCs w:val="22"/>
          <w:shd w:val="clear" w:color="auto" w:fill="FFFFFF"/>
        </w:rPr>
        <w:t>.</w:t>
      </w:r>
    </w:p>
    <w:p w14:paraId="0E037BE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Braun, V., &amp; Clarke, V. (2006). Using Thematic Analysis in Psychology.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Qualitative Research in Psychology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w:t>
      </w:r>
      <w:r w:rsidRPr="00072912">
        <w:rPr>
          <w:rFonts w:ascii="Calibri" w:hAnsi="Calibri" w:cs="Calibri"/>
          <w:color w:val="000000"/>
          <w:sz w:val="22"/>
          <w:szCs w:val="22"/>
        </w:rPr>
        <w:t>(2), 77–101. https://doi.org/10.1191/1478088706qp063oa</w:t>
      </w:r>
    </w:p>
    <w:p w14:paraId="36B436B0"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Burgess, H., &amp; Mayes, A. S. (2007). Supporting the professional development of teaching assistants: classroom teachers’ perspectives on their mentoring role.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The Curriculum Journal</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18</w:t>
      </w:r>
      <w:r w:rsidRPr="00072912">
        <w:rPr>
          <w:rFonts w:ascii="Calibri" w:hAnsi="Calibri" w:cs="Calibri"/>
          <w:color w:val="000000"/>
          <w:sz w:val="22"/>
          <w:szCs w:val="22"/>
        </w:rPr>
        <w:t>(3), 389–407. https://doi.org/10.1080/09585170701590056</w:t>
      </w:r>
    </w:p>
    <w:p w14:paraId="3AA2D08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Clarke, E., &amp; Visser, J. (2016). Teaching Assistants managing behaviour - who knows how they do it? A review of literature.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Support for Learning</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31</w:t>
      </w:r>
      <w:r w:rsidRPr="00072912">
        <w:rPr>
          <w:rFonts w:ascii="Calibri" w:hAnsi="Calibri" w:cs="Calibri"/>
          <w:color w:val="000000"/>
          <w:sz w:val="22"/>
          <w:szCs w:val="22"/>
        </w:rPr>
        <w:t>(4), 266–280. https://doi.org/10.1111/1467-9604.12137</w:t>
      </w:r>
    </w:p>
    <w:p w14:paraId="1325EB83"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D</w:t>
      </w:r>
      <w:r w:rsidRPr="00072912">
        <w:rPr>
          <w:rFonts w:ascii="Calibri" w:hAnsi="Calibri" w:cs="Calibri"/>
          <w:color w:val="000000"/>
          <w:sz w:val="22"/>
          <w:szCs w:val="22"/>
        </w:rPr>
        <w:t xml:space="preserve">e la Peña, I. C., Pan, M. C., Thai, C. G., &amp; </w:t>
      </w:r>
      <w:proofErr w:type="spellStart"/>
      <w:r w:rsidRPr="00072912">
        <w:rPr>
          <w:rFonts w:ascii="Calibri" w:hAnsi="Calibri" w:cs="Calibri"/>
          <w:color w:val="000000"/>
          <w:sz w:val="22"/>
          <w:szCs w:val="22"/>
        </w:rPr>
        <w:t>Alisso</w:t>
      </w:r>
      <w:proofErr w:type="spellEnd"/>
      <w:r w:rsidRPr="00072912">
        <w:rPr>
          <w:rFonts w:ascii="Calibri" w:hAnsi="Calibri" w:cs="Calibri"/>
          <w:color w:val="000000"/>
          <w:sz w:val="22"/>
          <w:szCs w:val="22"/>
        </w:rPr>
        <w:t>, T. (2020). Attention-Deficit/Hyperactivity Disorder Predominantly Inattentive Subtype/Presentation: Research Progress and Translational Studies.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Brain Sciences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10</w:t>
      </w:r>
      <w:r w:rsidRPr="00072912">
        <w:rPr>
          <w:rFonts w:ascii="Calibri" w:hAnsi="Calibri" w:cs="Calibri"/>
          <w:color w:val="000000"/>
          <w:sz w:val="22"/>
          <w:szCs w:val="22"/>
        </w:rPr>
        <w:t>(5), 292. https://doi.org/10.3390/brainsci10050292</w:t>
      </w:r>
    </w:p>
    <w:p w14:paraId="30C8C3BA"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Glover, D., &amp; Horner, L. (2017).</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 xml:space="preserve">Paying attention to pupils with </w:t>
      </w:r>
      <w:proofErr w:type="gramStart"/>
      <w:r w:rsidRPr="00072912">
        <w:rPr>
          <w:rFonts w:ascii="Calibri" w:hAnsi="Calibri" w:cs="Calibri"/>
          <w:i/>
          <w:iCs/>
          <w:color w:val="000000"/>
          <w:sz w:val="22"/>
          <w:szCs w:val="22"/>
        </w:rPr>
        <w:t>ADHD :</w:t>
      </w:r>
      <w:proofErr w:type="gramEnd"/>
      <w:r w:rsidRPr="00072912">
        <w:rPr>
          <w:rFonts w:ascii="Calibri" w:hAnsi="Calibri" w:cs="Calibri"/>
          <w:i/>
          <w:iCs/>
          <w:color w:val="000000"/>
          <w:sz w:val="22"/>
          <w:szCs w:val="22"/>
        </w:rPr>
        <w:t xml:space="preserve"> a guide for teaching assistants Original Citation</w:t>
      </w:r>
      <w:r w:rsidRPr="00072912">
        <w:rPr>
          <w:rFonts w:ascii="Calibri" w:hAnsi="Calibri" w:cs="Calibri"/>
          <w:color w:val="000000"/>
          <w:sz w:val="22"/>
          <w:szCs w:val="22"/>
        </w:rPr>
        <w:t>. https://eprints.hud.ac.uk/id/eprint/31694/1/PEM%20SPRING17%20P49-51.pdf</w:t>
      </w:r>
    </w:p>
    <w:p w14:paraId="210986D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Greenway, C. W., &amp; Rees Edwards, A. (2020). Knowledge and attitudes towards attention-deficit hyperactivity disorder (ADHD): a comparison of teachers and teaching assistants.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Australian Journal of Learning Difficulties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25</w:t>
      </w:r>
      <w:r w:rsidRPr="00072912">
        <w:rPr>
          <w:rFonts w:ascii="Calibri" w:hAnsi="Calibri" w:cs="Calibri"/>
          <w:color w:val="000000"/>
          <w:sz w:val="22"/>
          <w:szCs w:val="22"/>
        </w:rPr>
        <w:t>(1), 31–49. https://doi.org/10.1080/19404158.2019.1709875</w:t>
      </w:r>
    </w:p>
    <w:p w14:paraId="0585EE60"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Greenway, C. W., &amp; Rees Edwards, A. (2021). Teaching assistants’ facilitators and barriers to effective practice working with children with ADHD: a qualitative study.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British Journal of Special Education</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48</w:t>
      </w:r>
      <w:r w:rsidRPr="00072912">
        <w:rPr>
          <w:rFonts w:ascii="Calibri" w:hAnsi="Calibri" w:cs="Calibri"/>
          <w:color w:val="000000"/>
          <w:sz w:val="22"/>
          <w:szCs w:val="22"/>
        </w:rPr>
        <w:t>(3). https://doi.org/10.1111/1467-8578.12377</w:t>
      </w:r>
    </w:p>
    <w:p w14:paraId="7E16824F"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Hallowell, E. M., &amp; Ratey, J. J. (2021).</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ADHD 2.0</w:t>
      </w:r>
      <w:r w:rsidRPr="00072912">
        <w:rPr>
          <w:rFonts w:ascii="Calibri" w:hAnsi="Calibri" w:cs="Calibri"/>
          <w:color w:val="000000"/>
          <w:sz w:val="22"/>
          <w:szCs w:val="22"/>
        </w:rPr>
        <w:t>. Ballantine Books.</w:t>
      </w:r>
    </w:p>
    <w:p w14:paraId="4091FBB2"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Kruml, S. M., &amp; Geddes, D. (2000). Exploring the Dimensions of Emotional Labor.</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Management Communication Quarterly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14</w:t>
      </w:r>
      <w:r w:rsidRPr="00072912">
        <w:rPr>
          <w:rFonts w:ascii="Calibri" w:hAnsi="Calibri" w:cs="Calibri"/>
          <w:color w:val="000000"/>
          <w:sz w:val="22"/>
          <w:szCs w:val="22"/>
        </w:rPr>
        <w:t>(1), 8–49. https://doi.org/10.1177/0893318900141002</w:t>
      </w:r>
    </w:p>
    <w:p w14:paraId="3B71C431"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lastRenderedPageBreak/>
        <w:t>Lave, J., &amp; Wenger, E. (1991). Situated Learning: Legitimate Peripheral Participation.</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Man</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29</w:t>
      </w:r>
      <w:r w:rsidRPr="00072912">
        <w:rPr>
          <w:rFonts w:ascii="Calibri" w:hAnsi="Calibri" w:cs="Calibri"/>
          <w:color w:val="000000"/>
          <w:sz w:val="22"/>
          <w:szCs w:val="22"/>
        </w:rPr>
        <w:t>(2), 487. https://doi.org/10.2307/2804509</w:t>
      </w:r>
    </w:p>
    <w:p w14:paraId="16804E31"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Lawrence, K., Estrada, R. D., &amp; McCormick, J. (2017). Teachers’ Experiences </w:t>
      </w:r>
      <w:proofErr w:type="gramStart"/>
      <w:r w:rsidRPr="00072912">
        <w:rPr>
          <w:rFonts w:ascii="Calibri" w:hAnsi="Calibri" w:cs="Calibri"/>
          <w:color w:val="000000"/>
          <w:sz w:val="22"/>
          <w:szCs w:val="22"/>
        </w:rPr>
        <w:t>With</w:t>
      </w:r>
      <w:proofErr w:type="gramEnd"/>
      <w:r w:rsidRPr="00072912">
        <w:rPr>
          <w:rFonts w:ascii="Calibri" w:hAnsi="Calibri" w:cs="Calibri"/>
          <w:color w:val="000000"/>
          <w:sz w:val="22"/>
          <w:szCs w:val="22"/>
        </w:rPr>
        <w:t xml:space="preserve"> and Perceptions of Students </w:t>
      </w:r>
      <w:proofErr w:type="gramStart"/>
      <w:r w:rsidRPr="00072912">
        <w:rPr>
          <w:rFonts w:ascii="Calibri" w:hAnsi="Calibri" w:cs="Calibri"/>
          <w:color w:val="000000"/>
          <w:sz w:val="22"/>
          <w:szCs w:val="22"/>
        </w:rPr>
        <w:t>With</w:t>
      </w:r>
      <w:proofErr w:type="gramEnd"/>
      <w:r w:rsidRPr="00072912">
        <w:rPr>
          <w:rFonts w:ascii="Calibri" w:hAnsi="Calibri" w:cs="Calibri"/>
          <w:color w:val="000000"/>
          <w:sz w:val="22"/>
          <w:szCs w:val="22"/>
        </w:rPr>
        <w:t xml:space="preserve"> Attention Deficit/hyperactivity Disorder.</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 xml:space="preserve">Journal of </w:t>
      </w:r>
      <w:proofErr w:type="spellStart"/>
      <w:r w:rsidRPr="00072912">
        <w:rPr>
          <w:rFonts w:ascii="Calibri" w:hAnsi="Calibri" w:cs="Calibri"/>
          <w:i/>
          <w:iCs/>
          <w:color w:val="000000"/>
          <w:sz w:val="22"/>
          <w:szCs w:val="22"/>
        </w:rPr>
        <w:t>Pediatric</w:t>
      </w:r>
      <w:proofErr w:type="spellEnd"/>
      <w:r w:rsidRPr="00072912">
        <w:rPr>
          <w:rFonts w:ascii="Calibri" w:hAnsi="Calibri" w:cs="Calibri"/>
          <w:i/>
          <w:iCs/>
          <w:color w:val="000000"/>
          <w:sz w:val="22"/>
          <w:szCs w:val="22"/>
        </w:rPr>
        <w:t xml:space="preserve"> Nursing</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36</w:t>
      </w:r>
      <w:r w:rsidRPr="00072912">
        <w:rPr>
          <w:rFonts w:ascii="Calibri" w:hAnsi="Calibri" w:cs="Calibri"/>
          <w:color w:val="000000"/>
          <w:sz w:val="22"/>
          <w:szCs w:val="22"/>
        </w:rPr>
        <w:t>(36), 141–148. https://doi.org/10.1016/j.pedn.2017.06.010</w:t>
      </w:r>
    </w:p>
    <w:p w14:paraId="53445EBA"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Moore, D. A., Russell, A. E., Arnell, S., &amp; Ford, T. J. (2017). Educators’ experiences of managing students with ADHD: a qualitative study.</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Child: Care, Health and Development</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43</w:t>
      </w:r>
      <w:r w:rsidRPr="00072912">
        <w:rPr>
          <w:rFonts w:ascii="Calibri" w:hAnsi="Calibri" w:cs="Calibri"/>
          <w:color w:val="000000"/>
          <w:sz w:val="22"/>
          <w:szCs w:val="22"/>
        </w:rPr>
        <w:t>(4), 489–498. https://doi.org/10.1111/cch.12448</w:t>
      </w:r>
    </w:p>
    <w:p w14:paraId="03F5485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Rinehart, R. E. (2016). Neoliberalism, audit culture, and teachers: Empowering goal setting in an audit culture.</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Teachers and Curriculum</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16</w:t>
      </w:r>
      <w:r w:rsidRPr="00072912">
        <w:rPr>
          <w:rFonts w:ascii="Calibri" w:hAnsi="Calibri" w:cs="Calibri"/>
          <w:color w:val="000000"/>
          <w:sz w:val="22"/>
          <w:szCs w:val="22"/>
        </w:rPr>
        <w:t>(1). https://doi.org/10.15663/tandc.v16i1.128</w:t>
      </w:r>
    </w:p>
    <w:p w14:paraId="73E4F31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Sharples, J., Webster, R., &amp; Blatchford, P. (2015).</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Making Best Use of Teaching Assistants: Guidance Report</w:t>
      </w:r>
      <w:r w:rsidRPr="00072912">
        <w:rPr>
          <w:rFonts w:ascii="Calibri" w:hAnsi="Calibri" w:cs="Calibri"/>
          <w:color w:val="000000"/>
          <w:sz w:val="22"/>
          <w:szCs w:val="22"/>
        </w:rPr>
        <w:t>.</w:t>
      </w:r>
    </w:p>
    <w:p w14:paraId="314EBB9F"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Siva Prasad M.S, &amp; Rahul </w:t>
      </w:r>
      <w:proofErr w:type="spellStart"/>
      <w:r w:rsidRPr="00072912">
        <w:rPr>
          <w:rFonts w:ascii="Calibri" w:hAnsi="Calibri" w:cs="Calibri"/>
          <w:color w:val="000000"/>
          <w:sz w:val="22"/>
          <w:szCs w:val="22"/>
        </w:rPr>
        <w:t>Kumminimana</w:t>
      </w:r>
      <w:proofErr w:type="spellEnd"/>
      <w:r w:rsidRPr="00072912">
        <w:rPr>
          <w:rFonts w:ascii="Calibri" w:hAnsi="Calibri" w:cs="Calibri"/>
          <w:color w:val="000000"/>
          <w:sz w:val="22"/>
          <w:szCs w:val="22"/>
        </w:rPr>
        <w:t>. (2025). Attention-deficit/hyperactivity disorder: insights, advances and challenges in research and practice.</w:t>
      </w:r>
      <w:r w:rsidRPr="00072912">
        <w:rPr>
          <w:rStyle w:val="apple-converted-space"/>
          <w:rFonts w:ascii="Calibri" w:eastAsiaTheme="majorEastAsia" w:hAnsi="Calibri" w:cs="Calibri"/>
          <w:color w:val="000000"/>
          <w:sz w:val="22"/>
          <w:szCs w:val="22"/>
        </w:rPr>
        <w:t> </w:t>
      </w:r>
      <w:proofErr w:type="spellStart"/>
      <w:r w:rsidRPr="00072912">
        <w:rPr>
          <w:rFonts w:ascii="Calibri" w:hAnsi="Calibri" w:cs="Calibri"/>
          <w:i/>
          <w:iCs/>
          <w:color w:val="000000"/>
          <w:sz w:val="22"/>
          <w:szCs w:val="22"/>
        </w:rPr>
        <w:t>Postępy</w:t>
      </w:r>
      <w:proofErr w:type="spellEnd"/>
      <w:r w:rsidRPr="00072912">
        <w:rPr>
          <w:rFonts w:ascii="Calibri" w:hAnsi="Calibri" w:cs="Calibri"/>
          <w:i/>
          <w:iCs/>
          <w:color w:val="000000"/>
          <w:sz w:val="22"/>
          <w:szCs w:val="22"/>
        </w:rPr>
        <w:t xml:space="preserve"> </w:t>
      </w:r>
      <w:proofErr w:type="spellStart"/>
      <w:r w:rsidRPr="00072912">
        <w:rPr>
          <w:rFonts w:ascii="Calibri" w:hAnsi="Calibri" w:cs="Calibri"/>
          <w:i/>
          <w:iCs/>
          <w:color w:val="000000"/>
          <w:sz w:val="22"/>
          <w:szCs w:val="22"/>
        </w:rPr>
        <w:t>Psychiatrii</w:t>
      </w:r>
      <w:proofErr w:type="spellEnd"/>
      <w:r w:rsidRPr="00072912">
        <w:rPr>
          <w:rFonts w:ascii="Calibri" w:hAnsi="Calibri" w:cs="Calibri"/>
          <w:i/>
          <w:iCs/>
          <w:color w:val="000000"/>
          <w:sz w:val="22"/>
          <w:szCs w:val="22"/>
        </w:rPr>
        <w:t xml:space="preserve"> I </w:t>
      </w:r>
      <w:proofErr w:type="spellStart"/>
      <w:r w:rsidRPr="00072912">
        <w:rPr>
          <w:rFonts w:ascii="Calibri" w:hAnsi="Calibri" w:cs="Calibri"/>
          <w:i/>
          <w:iCs/>
          <w:color w:val="000000"/>
          <w:sz w:val="22"/>
          <w:szCs w:val="22"/>
        </w:rPr>
        <w:t>Neurologii</w:t>
      </w:r>
      <w:proofErr w:type="spellEnd"/>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34</w:t>
      </w:r>
      <w:r w:rsidRPr="00072912">
        <w:rPr>
          <w:rFonts w:ascii="Calibri" w:hAnsi="Calibri" w:cs="Calibri"/>
          <w:color w:val="000000"/>
          <w:sz w:val="22"/>
          <w:szCs w:val="22"/>
        </w:rPr>
        <w:t>(3), 196–206. https://doi.org/10.5114/ppn.2025.153717</w:t>
      </w:r>
    </w:p>
    <w:p w14:paraId="34808107"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Symes, W., &amp; Humphrey, N. (2011). School Factors That Facilitate or Hinder the Ability of Teaching Assistants to Effectively Support Pupils with Autism Spectrum Disorders (ASDs) in Mainstream Secondary Schools.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Journal of Research in Special Educational Needs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11</w:t>
      </w:r>
      <w:r w:rsidRPr="00072912">
        <w:rPr>
          <w:rFonts w:ascii="Calibri" w:hAnsi="Calibri" w:cs="Calibri"/>
          <w:color w:val="000000"/>
          <w:sz w:val="22"/>
          <w:szCs w:val="22"/>
        </w:rPr>
        <w:t>(3), 153–161. https://doi.org/10.1111/j.1471-3802.2011.01196.x</w:t>
      </w:r>
    </w:p>
    <w:p w14:paraId="40E2C136"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 xml:space="preserve">Ward, R. J., Kovshoff, H., &amp; </w:t>
      </w:r>
      <w:proofErr w:type="spellStart"/>
      <w:r w:rsidRPr="00072912">
        <w:rPr>
          <w:rFonts w:ascii="Calibri" w:hAnsi="Calibri" w:cs="Calibri"/>
          <w:color w:val="000000"/>
          <w:sz w:val="22"/>
          <w:szCs w:val="22"/>
        </w:rPr>
        <w:t>Kreppner</w:t>
      </w:r>
      <w:proofErr w:type="spellEnd"/>
      <w:r w:rsidRPr="00072912">
        <w:rPr>
          <w:rFonts w:ascii="Calibri" w:hAnsi="Calibri" w:cs="Calibri"/>
          <w:color w:val="000000"/>
          <w:sz w:val="22"/>
          <w:szCs w:val="22"/>
        </w:rPr>
        <w:t>, J. (2021). School staff perspectives on ADHD and training: understanding the needs and views of UK primary staff.</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Emotional and Behavioural Difficulties</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26</w:t>
      </w:r>
      <w:r w:rsidRPr="00072912">
        <w:rPr>
          <w:rFonts w:ascii="Calibri" w:hAnsi="Calibri" w:cs="Calibri"/>
          <w:color w:val="000000"/>
          <w:sz w:val="22"/>
          <w:szCs w:val="22"/>
        </w:rPr>
        <w:t xml:space="preserve">(3), 1–16. </w:t>
      </w:r>
      <w:hyperlink r:id="rId8" w:history="1">
        <w:r w:rsidRPr="00072912">
          <w:rPr>
            <w:rStyle w:val="Hyperlink"/>
            <w:rFonts w:ascii="Calibri" w:hAnsi="Calibri" w:cs="Calibri"/>
            <w:sz w:val="22"/>
            <w:szCs w:val="22"/>
          </w:rPr>
          <w:t>https://doi.org/10.1080/13632752.2021.1965342</w:t>
        </w:r>
      </w:hyperlink>
    </w:p>
    <w:p w14:paraId="561AFC06"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t>Webster, R. (2024). Teaching on the cheap? The extent and impact of teaching assistants covering classes and leading lessons.</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British Educational Research Journal</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50</w:t>
      </w:r>
      <w:r w:rsidRPr="00072912">
        <w:rPr>
          <w:rFonts w:ascii="Calibri" w:hAnsi="Calibri" w:cs="Calibri"/>
          <w:color w:val="000000"/>
          <w:sz w:val="22"/>
          <w:szCs w:val="22"/>
        </w:rPr>
        <w:t>(6). https://doi.org/10.1002/berj.4043</w:t>
      </w:r>
    </w:p>
    <w:p w14:paraId="64434FFD" w14:textId="77777777" w:rsidR="00072912" w:rsidRPr="00072912" w:rsidRDefault="00072912" w:rsidP="00072912">
      <w:pPr>
        <w:pStyle w:val="NormalWeb"/>
        <w:numPr>
          <w:ilvl w:val="0"/>
          <w:numId w:val="12"/>
        </w:numPr>
        <w:shd w:val="clear" w:color="auto" w:fill="FFFFFF"/>
        <w:spacing w:before="0" w:beforeAutospacing="0" w:after="0" w:afterAutospacing="0" w:line="235" w:lineRule="atLeast"/>
        <w:jc w:val="both"/>
        <w:rPr>
          <w:rFonts w:ascii="Calibri" w:hAnsi="Calibri" w:cs="Calibri"/>
          <w:color w:val="000000" w:themeColor="text1"/>
          <w:sz w:val="22"/>
          <w:szCs w:val="22"/>
        </w:rPr>
      </w:pPr>
      <w:r w:rsidRPr="00072912">
        <w:rPr>
          <w:rFonts w:ascii="Calibri" w:hAnsi="Calibri" w:cs="Calibri"/>
          <w:color w:val="000000" w:themeColor="text1"/>
          <w:sz w:val="22"/>
          <w:szCs w:val="22"/>
        </w:rPr>
        <w:t>Wilkinson, D. and Birmingham, P. (2003) Using research instruments a guide for researchers. London: Routledge Falmer.</w:t>
      </w:r>
    </w:p>
    <w:p w14:paraId="056086A3" w14:textId="77777777" w:rsidR="00072912" w:rsidRPr="00072912" w:rsidRDefault="00072912" w:rsidP="00072912">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072912">
        <w:rPr>
          <w:rFonts w:ascii="Calibri" w:hAnsi="Calibri" w:cs="Calibri"/>
          <w:color w:val="000000"/>
          <w:sz w:val="22"/>
          <w:szCs w:val="22"/>
        </w:rPr>
        <w:lastRenderedPageBreak/>
        <w:t>Yang, L., Hsu, C.-L., Ye, T., &amp; Sin, K. F. (2022). Assessing Emotions of Teaching Assistants in Inclusive Education.</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Frontiers in Psychology</w:t>
      </w:r>
      <w:r w:rsidRPr="00072912">
        <w:rPr>
          <w:rFonts w:ascii="Calibri" w:hAnsi="Calibri" w:cs="Calibri"/>
          <w:color w:val="000000"/>
          <w:sz w:val="22"/>
          <w:szCs w:val="22"/>
        </w:rPr>
        <w:t>,</w:t>
      </w:r>
      <w:r w:rsidRPr="00072912">
        <w:rPr>
          <w:rStyle w:val="apple-converted-space"/>
          <w:rFonts w:ascii="Calibri" w:eastAsiaTheme="majorEastAsia" w:hAnsi="Calibri" w:cs="Calibri"/>
          <w:color w:val="000000"/>
          <w:sz w:val="22"/>
          <w:szCs w:val="22"/>
        </w:rPr>
        <w:t> </w:t>
      </w:r>
      <w:r w:rsidRPr="00072912">
        <w:rPr>
          <w:rFonts w:ascii="Calibri" w:hAnsi="Calibri" w:cs="Calibri"/>
          <w:i/>
          <w:iCs/>
          <w:color w:val="000000"/>
          <w:sz w:val="22"/>
          <w:szCs w:val="22"/>
        </w:rPr>
        <w:t>13</w:t>
      </w:r>
      <w:r w:rsidRPr="00072912">
        <w:rPr>
          <w:rFonts w:ascii="Calibri" w:hAnsi="Calibri" w:cs="Calibri"/>
          <w:color w:val="000000"/>
          <w:sz w:val="22"/>
          <w:szCs w:val="22"/>
        </w:rPr>
        <w:t xml:space="preserve">(13). </w:t>
      </w:r>
      <w:hyperlink r:id="rId9" w:history="1">
        <w:r w:rsidRPr="00072912">
          <w:rPr>
            <w:rStyle w:val="Hyperlink"/>
            <w:rFonts w:ascii="Calibri" w:hAnsi="Calibri" w:cs="Calibri"/>
            <w:sz w:val="22"/>
            <w:szCs w:val="22"/>
          </w:rPr>
          <w:t>https://doi.org/10.3389/fpsyg.2022.813726</w:t>
        </w:r>
      </w:hyperlink>
    </w:p>
    <w:p w14:paraId="3EEF602C" w14:textId="77777777" w:rsidR="000B0A6E" w:rsidRPr="009247A6" w:rsidRDefault="000B0A6E" w:rsidP="000B0A6E">
      <w:pPr>
        <w:pStyle w:val="NormalWeb"/>
        <w:spacing w:before="0" w:beforeAutospacing="0" w:after="0" w:afterAutospacing="0" w:line="480" w:lineRule="atLeast"/>
        <w:ind w:left="720"/>
        <w:jc w:val="both"/>
        <w:rPr>
          <w:rFonts w:ascii="Calibri" w:hAnsi="Calibri" w:cs="Calibri"/>
          <w:color w:val="000000"/>
          <w:sz w:val="22"/>
          <w:szCs w:val="22"/>
        </w:rPr>
      </w:pPr>
    </w:p>
    <w:p w14:paraId="6C16FA86" w14:textId="77777777" w:rsidR="00FB6917" w:rsidRPr="0045736A" w:rsidRDefault="00FB6917" w:rsidP="009247A6">
      <w:pPr>
        <w:pStyle w:val="NormalWeb"/>
        <w:spacing w:before="0" w:beforeAutospacing="0" w:after="0" w:afterAutospacing="0" w:line="480" w:lineRule="atLeast"/>
        <w:ind w:left="720"/>
        <w:jc w:val="both"/>
        <w:rPr>
          <w:rFonts w:ascii="Calibri" w:hAnsi="Calibri" w:cs="Calibri"/>
          <w:color w:val="000000"/>
          <w:sz w:val="22"/>
          <w:szCs w:val="22"/>
        </w:rPr>
      </w:pPr>
    </w:p>
    <w:p w14:paraId="6B12F7E9" w14:textId="77777777" w:rsidR="007F0DB0" w:rsidRPr="008D6602" w:rsidRDefault="007F0DB0" w:rsidP="0045736A">
      <w:pPr>
        <w:pStyle w:val="NormalWeb"/>
        <w:spacing w:before="0" w:beforeAutospacing="0" w:after="0" w:afterAutospacing="0" w:line="480" w:lineRule="atLeast"/>
        <w:ind w:left="720"/>
        <w:rPr>
          <w:rFonts w:ascii="Calibri" w:hAnsi="Calibri" w:cs="Calibri"/>
          <w:b/>
          <w:bCs/>
          <w:color w:val="000000"/>
        </w:rPr>
      </w:pPr>
    </w:p>
    <w:p w14:paraId="71F4714D" w14:textId="77777777" w:rsidR="001E580B" w:rsidRDefault="001E580B" w:rsidP="001E580B">
      <w:pPr>
        <w:pStyle w:val="p1"/>
        <w:rPr>
          <w:rFonts w:ascii="Calibri" w:hAnsi="Calibri" w:cs="Calibri"/>
          <w:sz w:val="24"/>
          <w:szCs w:val="24"/>
          <w:u w:val="wave"/>
        </w:rPr>
      </w:pPr>
    </w:p>
    <w:p w14:paraId="6A2E280F" w14:textId="581D2A81" w:rsidR="001E580B" w:rsidRDefault="001E580B" w:rsidP="001E580B">
      <w:pPr>
        <w:pStyle w:val="p1"/>
        <w:rPr>
          <w:rFonts w:ascii="Calibri" w:hAnsi="Calibri" w:cs="Calibri"/>
          <w:sz w:val="24"/>
          <w:szCs w:val="24"/>
          <w:u w:val="wave"/>
        </w:rPr>
      </w:pPr>
      <w:r>
        <w:rPr>
          <w:rFonts w:ascii="Calibri" w:hAnsi="Calibri" w:cs="Calibri"/>
          <w:sz w:val="24"/>
          <w:szCs w:val="24"/>
          <w:u w:val="wave"/>
        </w:rPr>
        <w:t xml:space="preserve"> </w:t>
      </w:r>
    </w:p>
    <w:p w14:paraId="3B2FAFE5" w14:textId="77777777" w:rsidR="00705141" w:rsidRDefault="00705141" w:rsidP="001E580B">
      <w:pPr>
        <w:pStyle w:val="p1"/>
        <w:rPr>
          <w:rFonts w:ascii="Calibri" w:hAnsi="Calibri" w:cs="Calibri"/>
          <w:sz w:val="24"/>
          <w:szCs w:val="24"/>
          <w:u w:val="wave"/>
        </w:rPr>
      </w:pPr>
    </w:p>
    <w:p w14:paraId="36E0257B" w14:textId="77777777" w:rsidR="00705141" w:rsidRDefault="00705141" w:rsidP="001E580B">
      <w:pPr>
        <w:pStyle w:val="p1"/>
        <w:rPr>
          <w:rFonts w:ascii="Calibri" w:hAnsi="Calibri" w:cs="Calibri"/>
          <w:sz w:val="24"/>
          <w:szCs w:val="24"/>
          <w:u w:val="wave"/>
        </w:rPr>
      </w:pPr>
    </w:p>
    <w:p w14:paraId="42A50795" w14:textId="77777777" w:rsidR="00705141" w:rsidRDefault="00705141" w:rsidP="001E580B">
      <w:pPr>
        <w:pStyle w:val="p1"/>
        <w:rPr>
          <w:rFonts w:ascii="Calibri" w:hAnsi="Calibri" w:cs="Calibri"/>
          <w:sz w:val="24"/>
          <w:szCs w:val="24"/>
          <w:u w:val="wave"/>
        </w:rPr>
      </w:pPr>
    </w:p>
    <w:p w14:paraId="10D265E0" w14:textId="77777777" w:rsidR="00705141" w:rsidRDefault="00705141" w:rsidP="001E580B">
      <w:pPr>
        <w:pStyle w:val="p1"/>
        <w:rPr>
          <w:rFonts w:ascii="Calibri" w:hAnsi="Calibri" w:cs="Calibri"/>
          <w:sz w:val="24"/>
          <w:szCs w:val="24"/>
          <w:u w:val="wave"/>
        </w:rPr>
      </w:pPr>
    </w:p>
    <w:p w14:paraId="3DFEBC0F" w14:textId="77777777" w:rsidR="00705141" w:rsidRDefault="00705141" w:rsidP="001E580B">
      <w:pPr>
        <w:pStyle w:val="p1"/>
        <w:rPr>
          <w:rFonts w:ascii="Calibri" w:hAnsi="Calibri" w:cs="Calibri"/>
          <w:sz w:val="24"/>
          <w:szCs w:val="24"/>
          <w:u w:val="wave"/>
        </w:rPr>
      </w:pPr>
    </w:p>
    <w:p w14:paraId="2C20BBB3" w14:textId="77777777" w:rsidR="00705141" w:rsidRDefault="00705141" w:rsidP="001E580B">
      <w:pPr>
        <w:pStyle w:val="p1"/>
        <w:rPr>
          <w:rFonts w:ascii="Calibri" w:hAnsi="Calibri" w:cs="Calibri"/>
          <w:sz w:val="24"/>
          <w:szCs w:val="24"/>
          <w:u w:val="wave"/>
        </w:rPr>
      </w:pPr>
    </w:p>
    <w:p w14:paraId="2D215084" w14:textId="77777777" w:rsidR="00705141" w:rsidRDefault="00705141" w:rsidP="001E580B">
      <w:pPr>
        <w:pStyle w:val="p1"/>
        <w:rPr>
          <w:rFonts w:ascii="Calibri" w:hAnsi="Calibri" w:cs="Calibri"/>
          <w:sz w:val="24"/>
          <w:szCs w:val="24"/>
          <w:u w:val="wave"/>
        </w:rPr>
      </w:pPr>
    </w:p>
    <w:p w14:paraId="04601337" w14:textId="77777777" w:rsidR="00705141" w:rsidRDefault="00705141" w:rsidP="001E580B">
      <w:pPr>
        <w:pStyle w:val="p1"/>
        <w:rPr>
          <w:rFonts w:ascii="Calibri" w:hAnsi="Calibri" w:cs="Calibri"/>
          <w:sz w:val="24"/>
          <w:szCs w:val="24"/>
          <w:u w:val="wave"/>
        </w:rPr>
      </w:pPr>
    </w:p>
    <w:p w14:paraId="19A4FEC8" w14:textId="77777777" w:rsidR="00705141" w:rsidRDefault="00705141" w:rsidP="001E580B">
      <w:pPr>
        <w:pStyle w:val="p1"/>
        <w:rPr>
          <w:rFonts w:ascii="Calibri" w:hAnsi="Calibri" w:cs="Calibri"/>
          <w:sz w:val="24"/>
          <w:szCs w:val="24"/>
          <w:u w:val="wave"/>
        </w:rPr>
      </w:pPr>
    </w:p>
    <w:p w14:paraId="4273DC4D" w14:textId="77777777" w:rsidR="00705141" w:rsidRDefault="00705141" w:rsidP="001E580B">
      <w:pPr>
        <w:pStyle w:val="p1"/>
        <w:rPr>
          <w:rFonts w:ascii="Calibri" w:hAnsi="Calibri" w:cs="Calibri"/>
          <w:sz w:val="24"/>
          <w:szCs w:val="24"/>
          <w:u w:val="wave"/>
        </w:rPr>
      </w:pPr>
    </w:p>
    <w:p w14:paraId="6B547949" w14:textId="77777777" w:rsidR="00705141" w:rsidRDefault="00705141" w:rsidP="001E580B">
      <w:pPr>
        <w:pStyle w:val="p1"/>
        <w:rPr>
          <w:rFonts w:ascii="Calibri" w:hAnsi="Calibri" w:cs="Calibri"/>
          <w:sz w:val="24"/>
          <w:szCs w:val="24"/>
          <w:u w:val="wave"/>
        </w:rPr>
      </w:pPr>
    </w:p>
    <w:p w14:paraId="674E5C8B" w14:textId="77777777" w:rsidR="00705141" w:rsidRDefault="00705141" w:rsidP="001E580B">
      <w:pPr>
        <w:pStyle w:val="p1"/>
        <w:rPr>
          <w:rFonts w:ascii="Calibri" w:hAnsi="Calibri" w:cs="Calibri"/>
          <w:sz w:val="24"/>
          <w:szCs w:val="24"/>
          <w:u w:val="wave"/>
        </w:rPr>
      </w:pPr>
    </w:p>
    <w:p w14:paraId="11FDB703" w14:textId="77777777" w:rsidR="00705141" w:rsidRDefault="00705141" w:rsidP="001E580B">
      <w:pPr>
        <w:pStyle w:val="p1"/>
        <w:rPr>
          <w:rFonts w:ascii="Calibri" w:hAnsi="Calibri" w:cs="Calibri"/>
          <w:sz w:val="24"/>
          <w:szCs w:val="24"/>
          <w:u w:val="wave"/>
        </w:rPr>
      </w:pPr>
    </w:p>
    <w:p w14:paraId="5A927838" w14:textId="77777777" w:rsidR="00705141" w:rsidRDefault="00705141" w:rsidP="001E580B">
      <w:pPr>
        <w:pStyle w:val="p1"/>
        <w:rPr>
          <w:rFonts w:ascii="Calibri" w:hAnsi="Calibri" w:cs="Calibri"/>
          <w:sz w:val="24"/>
          <w:szCs w:val="24"/>
          <w:u w:val="wave"/>
        </w:rPr>
      </w:pPr>
    </w:p>
    <w:p w14:paraId="628EA41D" w14:textId="77777777" w:rsidR="00705141" w:rsidRDefault="00705141" w:rsidP="001E580B">
      <w:pPr>
        <w:pStyle w:val="p1"/>
        <w:rPr>
          <w:rFonts w:ascii="Calibri" w:hAnsi="Calibri" w:cs="Calibri"/>
          <w:sz w:val="24"/>
          <w:szCs w:val="24"/>
          <w:u w:val="wave"/>
        </w:rPr>
      </w:pPr>
    </w:p>
    <w:p w14:paraId="0BEFF601" w14:textId="77777777" w:rsidR="00705141" w:rsidRDefault="00705141" w:rsidP="001E580B">
      <w:pPr>
        <w:pStyle w:val="p1"/>
        <w:rPr>
          <w:rFonts w:ascii="Calibri" w:hAnsi="Calibri" w:cs="Calibri"/>
          <w:sz w:val="24"/>
          <w:szCs w:val="24"/>
          <w:u w:val="wave"/>
        </w:rPr>
      </w:pPr>
    </w:p>
    <w:p w14:paraId="6C587F24" w14:textId="77777777" w:rsidR="00705141" w:rsidRDefault="00705141" w:rsidP="001E580B">
      <w:pPr>
        <w:pStyle w:val="p1"/>
        <w:rPr>
          <w:rFonts w:ascii="Calibri" w:hAnsi="Calibri" w:cs="Calibri"/>
          <w:sz w:val="24"/>
          <w:szCs w:val="24"/>
          <w:u w:val="wave"/>
        </w:rPr>
      </w:pPr>
    </w:p>
    <w:p w14:paraId="527375CE" w14:textId="77777777" w:rsidR="00705141" w:rsidRDefault="00705141" w:rsidP="001E580B">
      <w:pPr>
        <w:pStyle w:val="p1"/>
        <w:rPr>
          <w:rFonts w:ascii="Calibri" w:hAnsi="Calibri" w:cs="Calibri"/>
          <w:sz w:val="24"/>
          <w:szCs w:val="24"/>
          <w:u w:val="wave"/>
        </w:rPr>
      </w:pPr>
    </w:p>
    <w:p w14:paraId="3BEA98D3" w14:textId="77777777" w:rsidR="00705141" w:rsidRDefault="00705141" w:rsidP="001E580B">
      <w:pPr>
        <w:pStyle w:val="p1"/>
        <w:rPr>
          <w:rFonts w:ascii="Calibri" w:hAnsi="Calibri" w:cs="Calibri"/>
          <w:sz w:val="24"/>
          <w:szCs w:val="24"/>
          <w:u w:val="wave"/>
        </w:rPr>
      </w:pPr>
    </w:p>
    <w:p w14:paraId="3602ABAB" w14:textId="77777777" w:rsidR="00705141" w:rsidRDefault="00705141" w:rsidP="001E580B">
      <w:pPr>
        <w:pStyle w:val="p1"/>
        <w:rPr>
          <w:rFonts w:ascii="Calibri" w:hAnsi="Calibri" w:cs="Calibri"/>
          <w:sz w:val="24"/>
          <w:szCs w:val="24"/>
          <w:u w:val="wave"/>
        </w:rPr>
      </w:pPr>
    </w:p>
    <w:p w14:paraId="2000AF01" w14:textId="77777777" w:rsidR="00705141" w:rsidRDefault="00705141" w:rsidP="001E580B">
      <w:pPr>
        <w:pStyle w:val="p1"/>
        <w:rPr>
          <w:rFonts w:ascii="Calibri" w:hAnsi="Calibri" w:cs="Calibri"/>
          <w:sz w:val="24"/>
          <w:szCs w:val="24"/>
          <w:u w:val="wave"/>
        </w:rPr>
      </w:pPr>
    </w:p>
    <w:p w14:paraId="0AD599C1" w14:textId="77777777" w:rsidR="00705141" w:rsidRDefault="00705141" w:rsidP="001E580B">
      <w:pPr>
        <w:pStyle w:val="p1"/>
        <w:rPr>
          <w:rFonts w:ascii="Calibri" w:hAnsi="Calibri" w:cs="Calibri"/>
          <w:sz w:val="24"/>
          <w:szCs w:val="24"/>
          <w:u w:val="wave"/>
        </w:rPr>
      </w:pPr>
    </w:p>
    <w:p w14:paraId="018376A9" w14:textId="77777777" w:rsidR="00705141" w:rsidRDefault="00705141" w:rsidP="001E580B">
      <w:pPr>
        <w:pStyle w:val="p1"/>
        <w:rPr>
          <w:rFonts w:ascii="Calibri" w:hAnsi="Calibri" w:cs="Calibri"/>
          <w:sz w:val="24"/>
          <w:szCs w:val="24"/>
          <w:u w:val="wave"/>
        </w:rPr>
      </w:pPr>
    </w:p>
    <w:p w14:paraId="65C4EA59" w14:textId="77777777" w:rsidR="00705141" w:rsidRDefault="00705141" w:rsidP="001E580B">
      <w:pPr>
        <w:pStyle w:val="p1"/>
        <w:rPr>
          <w:rFonts w:ascii="Calibri" w:hAnsi="Calibri" w:cs="Calibri"/>
          <w:sz w:val="24"/>
          <w:szCs w:val="24"/>
          <w:u w:val="wave"/>
        </w:rPr>
      </w:pPr>
    </w:p>
    <w:p w14:paraId="35388214" w14:textId="77777777" w:rsidR="00705141" w:rsidRDefault="00705141" w:rsidP="001E580B">
      <w:pPr>
        <w:pStyle w:val="p1"/>
        <w:rPr>
          <w:rFonts w:ascii="Calibri" w:hAnsi="Calibri" w:cs="Calibri"/>
          <w:sz w:val="24"/>
          <w:szCs w:val="24"/>
          <w:u w:val="wave"/>
        </w:rPr>
      </w:pPr>
    </w:p>
    <w:p w14:paraId="47DCB5F0" w14:textId="77777777" w:rsidR="00705141" w:rsidRDefault="00705141" w:rsidP="001E580B">
      <w:pPr>
        <w:pStyle w:val="p1"/>
        <w:rPr>
          <w:rFonts w:ascii="Calibri" w:hAnsi="Calibri" w:cs="Calibri"/>
          <w:sz w:val="24"/>
          <w:szCs w:val="24"/>
          <w:u w:val="wave"/>
        </w:rPr>
      </w:pPr>
    </w:p>
    <w:p w14:paraId="268C67C2" w14:textId="77777777" w:rsidR="00705141" w:rsidRDefault="00705141" w:rsidP="001E580B">
      <w:pPr>
        <w:pStyle w:val="p1"/>
        <w:rPr>
          <w:rFonts w:ascii="Calibri" w:hAnsi="Calibri" w:cs="Calibri"/>
          <w:sz w:val="24"/>
          <w:szCs w:val="24"/>
          <w:u w:val="wave"/>
        </w:rPr>
      </w:pPr>
    </w:p>
    <w:p w14:paraId="720C1080" w14:textId="77777777" w:rsidR="00705141" w:rsidRDefault="00705141" w:rsidP="001E580B">
      <w:pPr>
        <w:pStyle w:val="p1"/>
        <w:rPr>
          <w:rFonts w:ascii="Calibri" w:hAnsi="Calibri" w:cs="Calibri"/>
          <w:sz w:val="24"/>
          <w:szCs w:val="24"/>
          <w:u w:val="wave"/>
        </w:rPr>
      </w:pPr>
    </w:p>
    <w:p w14:paraId="6FF8802E" w14:textId="77777777" w:rsidR="0045736A" w:rsidRDefault="0045736A" w:rsidP="001E580B">
      <w:pPr>
        <w:pStyle w:val="p1"/>
        <w:rPr>
          <w:rFonts w:ascii="Calibri" w:hAnsi="Calibri" w:cs="Calibri"/>
          <w:sz w:val="24"/>
          <w:szCs w:val="24"/>
          <w:u w:val="wave"/>
        </w:rPr>
      </w:pPr>
    </w:p>
    <w:p w14:paraId="44B62400" w14:textId="77777777" w:rsidR="0045736A" w:rsidRDefault="0045736A" w:rsidP="001E580B">
      <w:pPr>
        <w:pStyle w:val="p1"/>
        <w:rPr>
          <w:rFonts w:ascii="Calibri" w:hAnsi="Calibri" w:cs="Calibri"/>
          <w:sz w:val="24"/>
          <w:szCs w:val="24"/>
          <w:u w:val="wave"/>
        </w:rPr>
      </w:pPr>
    </w:p>
    <w:p w14:paraId="1EF1BF4A" w14:textId="77777777" w:rsidR="0045736A" w:rsidRDefault="0045736A" w:rsidP="001E580B">
      <w:pPr>
        <w:pStyle w:val="p1"/>
        <w:rPr>
          <w:rFonts w:ascii="Calibri" w:hAnsi="Calibri" w:cs="Calibri"/>
          <w:sz w:val="24"/>
          <w:szCs w:val="24"/>
          <w:u w:val="wave"/>
        </w:rPr>
      </w:pPr>
    </w:p>
    <w:p w14:paraId="420E4E46" w14:textId="77777777" w:rsidR="0045736A" w:rsidRDefault="0045736A" w:rsidP="001E580B">
      <w:pPr>
        <w:pStyle w:val="p1"/>
        <w:rPr>
          <w:rFonts w:ascii="Calibri" w:hAnsi="Calibri" w:cs="Calibri"/>
          <w:sz w:val="24"/>
          <w:szCs w:val="24"/>
          <w:u w:val="wave"/>
        </w:rPr>
      </w:pPr>
    </w:p>
    <w:p w14:paraId="09301786" w14:textId="77777777" w:rsidR="0045736A" w:rsidRDefault="0045736A" w:rsidP="001E580B">
      <w:pPr>
        <w:pStyle w:val="p1"/>
        <w:rPr>
          <w:rFonts w:ascii="Calibri" w:hAnsi="Calibri" w:cs="Calibri"/>
          <w:sz w:val="24"/>
          <w:szCs w:val="24"/>
          <w:u w:val="wave"/>
        </w:rPr>
      </w:pPr>
    </w:p>
    <w:p w14:paraId="7F259677" w14:textId="77777777" w:rsidR="0045736A" w:rsidRDefault="0045736A" w:rsidP="001E580B">
      <w:pPr>
        <w:pStyle w:val="p1"/>
        <w:rPr>
          <w:rFonts w:ascii="Calibri" w:hAnsi="Calibri" w:cs="Calibri"/>
          <w:sz w:val="24"/>
          <w:szCs w:val="24"/>
          <w:u w:val="single"/>
        </w:rPr>
      </w:pPr>
    </w:p>
    <w:p w14:paraId="49D40DE0" w14:textId="77777777" w:rsidR="00D34967" w:rsidRDefault="00D34967" w:rsidP="001E580B">
      <w:pPr>
        <w:pStyle w:val="p1"/>
        <w:rPr>
          <w:rFonts w:ascii="Calibri" w:hAnsi="Calibri" w:cs="Calibri"/>
          <w:sz w:val="24"/>
          <w:szCs w:val="24"/>
          <w:u w:val="single"/>
        </w:rPr>
      </w:pPr>
    </w:p>
    <w:p w14:paraId="040AF462" w14:textId="17471F84" w:rsidR="001E580B" w:rsidRPr="00004480" w:rsidRDefault="001E580B" w:rsidP="001E580B">
      <w:pPr>
        <w:pStyle w:val="p1"/>
        <w:rPr>
          <w:rFonts w:ascii="Calibri" w:hAnsi="Calibri" w:cs="Calibri"/>
          <w:sz w:val="24"/>
          <w:szCs w:val="24"/>
          <w:u w:val="single"/>
        </w:rPr>
      </w:pPr>
      <w:r w:rsidRPr="00004480">
        <w:rPr>
          <w:rFonts w:ascii="Calibri" w:hAnsi="Calibri" w:cs="Calibri"/>
          <w:sz w:val="24"/>
          <w:szCs w:val="24"/>
          <w:u w:val="single"/>
        </w:rPr>
        <w:lastRenderedPageBreak/>
        <w:t>Appendix</w:t>
      </w:r>
    </w:p>
    <w:p w14:paraId="2B33BDE5" w14:textId="77777777" w:rsidR="001E580B" w:rsidRPr="001E580B" w:rsidRDefault="001E580B" w:rsidP="001E580B">
      <w:pPr>
        <w:pStyle w:val="p1"/>
        <w:rPr>
          <w:rFonts w:ascii="Calibri" w:hAnsi="Calibri" w:cs="Calibri"/>
          <w:sz w:val="24"/>
          <w:szCs w:val="24"/>
          <w:u w:val="wave"/>
        </w:rPr>
      </w:pPr>
    </w:p>
    <w:p w14:paraId="0716D97F" w14:textId="77777777" w:rsidR="00AC56CF" w:rsidRDefault="00AC56CF" w:rsidP="001A1562">
      <w:pPr>
        <w:tabs>
          <w:tab w:val="num" w:pos="1440"/>
        </w:tabs>
        <w:ind w:left="1440" w:hanging="360"/>
      </w:pPr>
    </w:p>
    <w:p w14:paraId="7FDB11AC" w14:textId="77777777" w:rsidR="00565633" w:rsidRDefault="00565633"/>
    <w:sectPr w:rsidR="00565633">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ECF3B" w14:textId="77777777" w:rsidR="002A4A28" w:rsidRDefault="002A4A28" w:rsidP="00C64F37">
      <w:r>
        <w:separator/>
      </w:r>
    </w:p>
  </w:endnote>
  <w:endnote w:type="continuationSeparator" w:id="0">
    <w:p w14:paraId="073B7F7C" w14:textId="77777777" w:rsidR="002A4A28" w:rsidRDefault="002A4A28" w:rsidP="00C64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0152366"/>
      <w:docPartObj>
        <w:docPartGallery w:val="Page Numbers (Bottom of Page)"/>
        <w:docPartUnique/>
      </w:docPartObj>
    </w:sdtPr>
    <w:sdtContent>
      <w:p w14:paraId="6D99AC42" w14:textId="2ACFE53B" w:rsidR="00C64F37" w:rsidRDefault="00C64F37" w:rsidP="000C5E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07A4445" w14:textId="77777777" w:rsidR="00C64F37" w:rsidRDefault="00C64F37" w:rsidP="00C64F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7886259"/>
      <w:docPartObj>
        <w:docPartGallery w:val="Page Numbers (Bottom of Page)"/>
        <w:docPartUnique/>
      </w:docPartObj>
    </w:sdtPr>
    <w:sdtContent>
      <w:p w14:paraId="113ADA3B" w14:textId="0128CB08" w:rsidR="00C64F37" w:rsidRDefault="00C64F37" w:rsidP="000C5E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1E4B47" w14:textId="77777777" w:rsidR="00C64F37" w:rsidRDefault="00C64F37" w:rsidP="00C64F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F1EA3" w14:textId="77777777" w:rsidR="002A4A28" w:rsidRDefault="002A4A28" w:rsidP="00C64F37">
      <w:r>
        <w:separator/>
      </w:r>
    </w:p>
  </w:footnote>
  <w:footnote w:type="continuationSeparator" w:id="0">
    <w:p w14:paraId="47FE6B13" w14:textId="77777777" w:rsidR="002A4A28" w:rsidRDefault="002A4A28" w:rsidP="00C64F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C2315"/>
    <w:multiLevelType w:val="hybridMultilevel"/>
    <w:tmpl w:val="266EA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64D9E"/>
    <w:multiLevelType w:val="hybridMultilevel"/>
    <w:tmpl w:val="D2385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573"/>
    <w:multiLevelType w:val="hybridMultilevel"/>
    <w:tmpl w:val="7C5A2058"/>
    <w:lvl w:ilvl="0" w:tplc="4EC09AC0">
      <w:start w:val="1"/>
      <w:numFmt w:val="bullet"/>
      <w:lvlText w:val=" "/>
      <w:lvlJc w:val="left"/>
      <w:pPr>
        <w:tabs>
          <w:tab w:val="num" w:pos="720"/>
        </w:tabs>
        <w:ind w:left="720" w:hanging="360"/>
      </w:pPr>
      <w:rPr>
        <w:rFonts w:ascii="Arial" w:hAnsi="Arial" w:hint="default"/>
      </w:rPr>
    </w:lvl>
    <w:lvl w:ilvl="1" w:tplc="5A4A1E88">
      <w:start w:val="1"/>
      <w:numFmt w:val="bullet"/>
      <w:lvlText w:val=" "/>
      <w:lvlJc w:val="left"/>
      <w:pPr>
        <w:tabs>
          <w:tab w:val="num" w:pos="1440"/>
        </w:tabs>
        <w:ind w:left="1440" w:hanging="360"/>
      </w:pPr>
      <w:rPr>
        <w:rFonts w:ascii="Arial" w:hAnsi="Arial" w:hint="default"/>
      </w:rPr>
    </w:lvl>
    <w:lvl w:ilvl="2" w:tplc="8DDCAE0C">
      <w:numFmt w:val="bullet"/>
      <w:lvlText w:val=" "/>
      <w:lvlJc w:val="left"/>
      <w:pPr>
        <w:tabs>
          <w:tab w:val="num" w:pos="2160"/>
        </w:tabs>
        <w:ind w:left="2160" w:hanging="360"/>
      </w:pPr>
      <w:rPr>
        <w:rFonts w:ascii="Arial" w:hAnsi="Arial" w:hint="default"/>
      </w:rPr>
    </w:lvl>
    <w:lvl w:ilvl="3" w:tplc="A278681C">
      <w:numFmt w:val="bullet"/>
      <w:lvlText w:val=" "/>
      <w:lvlJc w:val="left"/>
      <w:pPr>
        <w:tabs>
          <w:tab w:val="num" w:pos="2880"/>
        </w:tabs>
        <w:ind w:left="2880" w:hanging="360"/>
      </w:pPr>
      <w:rPr>
        <w:rFonts w:ascii="Arial" w:hAnsi="Arial" w:hint="default"/>
      </w:rPr>
    </w:lvl>
    <w:lvl w:ilvl="4" w:tplc="86D871E2" w:tentative="1">
      <w:start w:val="1"/>
      <w:numFmt w:val="bullet"/>
      <w:lvlText w:val=" "/>
      <w:lvlJc w:val="left"/>
      <w:pPr>
        <w:tabs>
          <w:tab w:val="num" w:pos="3600"/>
        </w:tabs>
        <w:ind w:left="3600" w:hanging="360"/>
      </w:pPr>
      <w:rPr>
        <w:rFonts w:ascii="Arial" w:hAnsi="Arial" w:hint="default"/>
      </w:rPr>
    </w:lvl>
    <w:lvl w:ilvl="5" w:tplc="7AE8BCF0" w:tentative="1">
      <w:start w:val="1"/>
      <w:numFmt w:val="bullet"/>
      <w:lvlText w:val=" "/>
      <w:lvlJc w:val="left"/>
      <w:pPr>
        <w:tabs>
          <w:tab w:val="num" w:pos="4320"/>
        </w:tabs>
        <w:ind w:left="4320" w:hanging="360"/>
      </w:pPr>
      <w:rPr>
        <w:rFonts w:ascii="Arial" w:hAnsi="Arial" w:hint="default"/>
      </w:rPr>
    </w:lvl>
    <w:lvl w:ilvl="6" w:tplc="DF22AA3A" w:tentative="1">
      <w:start w:val="1"/>
      <w:numFmt w:val="bullet"/>
      <w:lvlText w:val=" "/>
      <w:lvlJc w:val="left"/>
      <w:pPr>
        <w:tabs>
          <w:tab w:val="num" w:pos="5040"/>
        </w:tabs>
        <w:ind w:left="5040" w:hanging="360"/>
      </w:pPr>
      <w:rPr>
        <w:rFonts w:ascii="Arial" w:hAnsi="Arial" w:hint="default"/>
      </w:rPr>
    </w:lvl>
    <w:lvl w:ilvl="7" w:tplc="15CA5108" w:tentative="1">
      <w:start w:val="1"/>
      <w:numFmt w:val="bullet"/>
      <w:lvlText w:val=" "/>
      <w:lvlJc w:val="left"/>
      <w:pPr>
        <w:tabs>
          <w:tab w:val="num" w:pos="5760"/>
        </w:tabs>
        <w:ind w:left="5760" w:hanging="360"/>
      </w:pPr>
      <w:rPr>
        <w:rFonts w:ascii="Arial" w:hAnsi="Arial" w:hint="default"/>
      </w:rPr>
    </w:lvl>
    <w:lvl w:ilvl="8" w:tplc="F6104480" w:tentative="1">
      <w:start w:val="1"/>
      <w:numFmt w:val="bullet"/>
      <w:lvlText w:val=" "/>
      <w:lvlJc w:val="left"/>
      <w:pPr>
        <w:tabs>
          <w:tab w:val="num" w:pos="6480"/>
        </w:tabs>
        <w:ind w:left="6480" w:hanging="360"/>
      </w:pPr>
      <w:rPr>
        <w:rFonts w:ascii="Arial" w:hAnsi="Arial" w:hint="default"/>
      </w:rPr>
    </w:lvl>
  </w:abstractNum>
  <w:abstractNum w:abstractNumId="3" w15:restartNumberingAfterBreak="0">
    <w:nsid w:val="1E7B7F9E"/>
    <w:multiLevelType w:val="hybridMultilevel"/>
    <w:tmpl w:val="7B20DBD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9C763E2"/>
    <w:multiLevelType w:val="multilevel"/>
    <w:tmpl w:val="463CC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493E86"/>
    <w:multiLevelType w:val="multilevel"/>
    <w:tmpl w:val="DAF22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2718C4"/>
    <w:multiLevelType w:val="hybridMultilevel"/>
    <w:tmpl w:val="266EA84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2192065"/>
    <w:multiLevelType w:val="multilevel"/>
    <w:tmpl w:val="16DC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62249B"/>
    <w:multiLevelType w:val="multilevel"/>
    <w:tmpl w:val="19DEA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F2F38"/>
    <w:multiLevelType w:val="hybridMultilevel"/>
    <w:tmpl w:val="0FC0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2479B"/>
    <w:multiLevelType w:val="multilevel"/>
    <w:tmpl w:val="9E6E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275068"/>
    <w:multiLevelType w:val="multilevel"/>
    <w:tmpl w:val="B5201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657727">
    <w:abstractNumId w:val="2"/>
  </w:num>
  <w:num w:numId="2" w16cid:durableId="777332787">
    <w:abstractNumId w:val="9"/>
  </w:num>
  <w:num w:numId="3" w16cid:durableId="1638101308">
    <w:abstractNumId w:val="5"/>
  </w:num>
  <w:num w:numId="4" w16cid:durableId="1315259821">
    <w:abstractNumId w:val="8"/>
  </w:num>
  <w:num w:numId="5" w16cid:durableId="1483235114">
    <w:abstractNumId w:val="7"/>
  </w:num>
  <w:num w:numId="6" w16cid:durableId="726760388">
    <w:abstractNumId w:val="10"/>
  </w:num>
  <w:num w:numId="7" w16cid:durableId="596642916">
    <w:abstractNumId w:val="0"/>
  </w:num>
  <w:num w:numId="8" w16cid:durableId="1768236498">
    <w:abstractNumId w:val="11"/>
  </w:num>
  <w:num w:numId="9" w16cid:durableId="1751805133">
    <w:abstractNumId w:val="4"/>
  </w:num>
  <w:num w:numId="10" w16cid:durableId="1003632927">
    <w:abstractNumId w:val="1"/>
  </w:num>
  <w:num w:numId="11" w16cid:durableId="1008605345">
    <w:abstractNumId w:val="6"/>
  </w:num>
  <w:num w:numId="12" w16cid:durableId="645276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562"/>
    <w:rsid w:val="00004480"/>
    <w:rsid w:val="0005769B"/>
    <w:rsid w:val="00072912"/>
    <w:rsid w:val="00081690"/>
    <w:rsid w:val="00087426"/>
    <w:rsid w:val="00097256"/>
    <w:rsid w:val="000A355A"/>
    <w:rsid w:val="000B0A6E"/>
    <w:rsid w:val="000B16CE"/>
    <w:rsid w:val="000E4BD7"/>
    <w:rsid w:val="000F2105"/>
    <w:rsid w:val="0011269B"/>
    <w:rsid w:val="00133998"/>
    <w:rsid w:val="00186F66"/>
    <w:rsid w:val="001A1562"/>
    <w:rsid w:val="001A6F70"/>
    <w:rsid w:val="001B2C2D"/>
    <w:rsid w:val="001E3676"/>
    <w:rsid w:val="001E580B"/>
    <w:rsid w:val="001F2A88"/>
    <w:rsid w:val="001F71E6"/>
    <w:rsid w:val="00217247"/>
    <w:rsid w:val="00223158"/>
    <w:rsid w:val="002617AC"/>
    <w:rsid w:val="0028135A"/>
    <w:rsid w:val="002A4A28"/>
    <w:rsid w:val="002B2B22"/>
    <w:rsid w:val="00326D70"/>
    <w:rsid w:val="00353EBA"/>
    <w:rsid w:val="004351E3"/>
    <w:rsid w:val="00445B2D"/>
    <w:rsid w:val="0045736A"/>
    <w:rsid w:val="00467F50"/>
    <w:rsid w:val="004A0D66"/>
    <w:rsid w:val="004A646E"/>
    <w:rsid w:val="004D60D8"/>
    <w:rsid w:val="004E3100"/>
    <w:rsid w:val="00503626"/>
    <w:rsid w:val="005128DB"/>
    <w:rsid w:val="0052727F"/>
    <w:rsid w:val="00565633"/>
    <w:rsid w:val="005A2382"/>
    <w:rsid w:val="005A2D87"/>
    <w:rsid w:val="005A6008"/>
    <w:rsid w:val="005C54EB"/>
    <w:rsid w:val="005E5032"/>
    <w:rsid w:val="00655345"/>
    <w:rsid w:val="00677529"/>
    <w:rsid w:val="00683C23"/>
    <w:rsid w:val="006A5567"/>
    <w:rsid w:val="006C1BA8"/>
    <w:rsid w:val="00705141"/>
    <w:rsid w:val="007054FA"/>
    <w:rsid w:val="007124BA"/>
    <w:rsid w:val="00747782"/>
    <w:rsid w:val="00781463"/>
    <w:rsid w:val="007923EF"/>
    <w:rsid w:val="007B7BE7"/>
    <w:rsid w:val="007D391A"/>
    <w:rsid w:val="007E01CF"/>
    <w:rsid w:val="007E1C8C"/>
    <w:rsid w:val="007F0DB0"/>
    <w:rsid w:val="00832F3E"/>
    <w:rsid w:val="00836F06"/>
    <w:rsid w:val="0086113B"/>
    <w:rsid w:val="00884DBD"/>
    <w:rsid w:val="008D6602"/>
    <w:rsid w:val="008E63BD"/>
    <w:rsid w:val="00906D36"/>
    <w:rsid w:val="00923AF0"/>
    <w:rsid w:val="009247A6"/>
    <w:rsid w:val="00935CD3"/>
    <w:rsid w:val="00947122"/>
    <w:rsid w:val="00963276"/>
    <w:rsid w:val="009E10A3"/>
    <w:rsid w:val="00A455B3"/>
    <w:rsid w:val="00A72996"/>
    <w:rsid w:val="00A76B42"/>
    <w:rsid w:val="00A80955"/>
    <w:rsid w:val="00AC56CF"/>
    <w:rsid w:val="00AD3DE4"/>
    <w:rsid w:val="00B14898"/>
    <w:rsid w:val="00B2194F"/>
    <w:rsid w:val="00B32B80"/>
    <w:rsid w:val="00B373E1"/>
    <w:rsid w:val="00B72C13"/>
    <w:rsid w:val="00B86BB4"/>
    <w:rsid w:val="00B90CE3"/>
    <w:rsid w:val="00BB207B"/>
    <w:rsid w:val="00BC785A"/>
    <w:rsid w:val="00BE3894"/>
    <w:rsid w:val="00C04194"/>
    <w:rsid w:val="00C23A15"/>
    <w:rsid w:val="00C64F37"/>
    <w:rsid w:val="00C65E45"/>
    <w:rsid w:val="00C74690"/>
    <w:rsid w:val="00C87C58"/>
    <w:rsid w:val="00CA3C8B"/>
    <w:rsid w:val="00D34967"/>
    <w:rsid w:val="00D45588"/>
    <w:rsid w:val="00D73F49"/>
    <w:rsid w:val="00DD1A44"/>
    <w:rsid w:val="00DF1337"/>
    <w:rsid w:val="00E00F6B"/>
    <w:rsid w:val="00E74BD0"/>
    <w:rsid w:val="00E77483"/>
    <w:rsid w:val="00EA44A3"/>
    <w:rsid w:val="00EB7F71"/>
    <w:rsid w:val="00EC33F8"/>
    <w:rsid w:val="00ED739C"/>
    <w:rsid w:val="00EE03ED"/>
    <w:rsid w:val="00F14301"/>
    <w:rsid w:val="00F53F10"/>
    <w:rsid w:val="00F723C9"/>
    <w:rsid w:val="00FB6917"/>
    <w:rsid w:val="00FC3269"/>
    <w:rsid w:val="00FD20D6"/>
    <w:rsid w:val="00FD2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9AC37"/>
  <w15:chartTrackingRefBased/>
  <w15:docId w15:val="{9C2745A1-DF0E-504F-8463-7E0361C7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F6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A15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15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15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5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5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5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5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5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5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5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15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15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5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5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5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5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5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562"/>
    <w:rPr>
      <w:rFonts w:eastAsiaTheme="majorEastAsia" w:cstheme="majorBidi"/>
      <w:color w:val="272727" w:themeColor="text1" w:themeTint="D8"/>
    </w:rPr>
  </w:style>
  <w:style w:type="paragraph" w:styleId="Title">
    <w:name w:val="Title"/>
    <w:basedOn w:val="Normal"/>
    <w:next w:val="Normal"/>
    <w:link w:val="TitleChar"/>
    <w:uiPriority w:val="10"/>
    <w:qFormat/>
    <w:rsid w:val="001A15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5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5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5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5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1562"/>
    <w:rPr>
      <w:i/>
      <w:iCs/>
      <w:color w:val="404040" w:themeColor="text1" w:themeTint="BF"/>
    </w:rPr>
  </w:style>
  <w:style w:type="paragraph" w:styleId="ListParagraph">
    <w:name w:val="List Paragraph"/>
    <w:basedOn w:val="Normal"/>
    <w:uiPriority w:val="34"/>
    <w:qFormat/>
    <w:rsid w:val="001A1562"/>
    <w:pPr>
      <w:ind w:left="720"/>
      <w:contextualSpacing/>
    </w:pPr>
  </w:style>
  <w:style w:type="character" w:styleId="IntenseEmphasis">
    <w:name w:val="Intense Emphasis"/>
    <w:basedOn w:val="DefaultParagraphFont"/>
    <w:uiPriority w:val="21"/>
    <w:qFormat/>
    <w:rsid w:val="001A1562"/>
    <w:rPr>
      <w:i/>
      <w:iCs/>
      <w:color w:val="0F4761" w:themeColor="accent1" w:themeShade="BF"/>
    </w:rPr>
  </w:style>
  <w:style w:type="paragraph" w:styleId="IntenseQuote">
    <w:name w:val="Intense Quote"/>
    <w:basedOn w:val="Normal"/>
    <w:next w:val="Normal"/>
    <w:link w:val="IntenseQuoteChar"/>
    <w:uiPriority w:val="30"/>
    <w:qFormat/>
    <w:rsid w:val="001A15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562"/>
    <w:rPr>
      <w:i/>
      <w:iCs/>
      <w:color w:val="0F4761" w:themeColor="accent1" w:themeShade="BF"/>
    </w:rPr>
  </w:style>
  <w:style w:type="character" w:styleId="IntenseReference">
    <w:name w:val="Intense Reference"/>
    <w:basedOn w:val="DefaultParagraphFont"/>
    <w:uiPriority w:val="32"/>
    <w:qFormat/>
    <w:rsid w:val="001A1562"/>
    <w:rPr>
      <w:b/>
      <w:bCs/>
      <w:smallCaps/>
      <w:color w:val="0F4761" w:themeColor="accent1" w:themeShade="BF"/>
      <w:spacing w:val="5"/>
    </w:rPr>
  </w:style>
  <w:style w:type="paragraph" w:customStyle="1" w:styleId="p1">
    <w:name w:val="p1"/>
    <w:basedOn w:val="Normal"/>
    <w:rsid w:val="00AC56CF"/>
    <w:rPr>
      <w:rFonts w:ascii="Arial" w:hAnsi="Arial" w:cs="Arial"/>
      <w:color w:val="000000"/>
      <w:sz w:val="17"/>
      <w:szCs w:val="17"/>
    </w:rPr>
  </w:style>
  <w:style w:type="character" w:customStyle="1" w:styleId="apple-converted-space">
    <w:name w:val="apple-converted-space"/>
    <w:basedOn w:val="DefaultParagraphFont"/>
    <w:rsid w:val="00004480"/>
  </w:style>
  <w:style w:type="character" w:styleId="Strong">
    <w:name w:val="Strong"/>
    <w:basedOn w:val="DefaultParagraphFont"/>
    <w:uiPriority w:val="22"/>
    <w:qFormat/>
    <w:rsid w:val="00004480"/>
    <w:rPr>
      <w:b/>
      <w:bCs/>
    </w:rPr>
  </w:style>
  <w:style w:type="paragraph" w:styleId="NormalWeb">
    <w:name w:val="Normal (Web)"/>
    <w:basedOn w:val="Normal"/>
    <w:uiPriority w:val="99"/>
    <w:unhideWhenUsed/>
    <w:rsid w:val="00217247"/>
    <w:pPr>
      <w:spacing w:before="100" w:beforeAutospacing="1" w:after="100" w:afterAutospacing="1"/>
    </w:pPr>
  </w:style>
  <w:style w:type="paragraph" w:customStyle="1" w:styleId="isselectedend">
    <w:name w:val="isselectedend"/>
    <w:basedOn w:val="Normal"/>
    <w:rsid w:val="00FD20D6"/>
    <w:pPr>
      <w:spacing w:before="100" w:beforeAutospacing="1" w:after="100" w:afterAutospacing="1"/>
    </w:pPr>
  </w:style>
  <w:style w:type="character" w:styleId="Emphasis">
    <w:name w:val="Emphasis"/>
    <w:basedOn w:val="DefaultParagraphFont"/>
    <w:uiPriority w:val="20"/>
    <w:qFormat/>
    <w:rsid w:val="00FD20D6"/>
    <w:rPr>
      <w:i/>
      <w:iCs/>
    </w:rPr>
  </w:style>
  <w:style w:type="character" w:styleId="Hyperlink">
    <w:name w:val="Hyperlink"/>
    <w:basedOn w:val="DefaultParagraphFont"/>
    <w:uiPriority w:val="99"/>
    <w:unhideWhenUsed/>
    <w:rsid w:val="00503626"/>
    <w:rPr>
      <w:color w:val="467886" w:themeColor="hyperlink"/>
      <w:u w:val="single"/>
    </w:rPr>
  </w:style>
  <w:style w:type="character" w:styleId="UnresolvedMention">
    <w:name w:val="Unresolved Mention"/>
    <w:basedOn w:val="DefaultParagraphFont"/>
    <w:uiPriority w:val="99"/>
    <w:semiHidden/>
    <w:unhideWhenUsed/>
    <w:rsid w:val="00503626"/>
    <w:rPr>
      <w:color w:val="605E5C"/>
      <w:shd w:val="clear" w:color="auto" w:fill="E1DFDD"/>
    </w:rPr>
  </w:style>
  <w:style w:type="paragraph" w:customStyle="1" w:styleId="df3vjf">
    <w:name w:val="df3vjf"/>
    <w:basedOn w:val="Normal"/>
    <w:rsid w:val="007B7BE7"/>
    <w:pPr>
      <w:spacing w:before="100" w:beforeAutospacing="1" w:after="100" w:afterAutospacing="1"/>
    </w:pPr>
  </w:style>
  <w:style w:type="paragraph" w:styleId="Footer">
    <w:name w:val="footer"/>
    <w:basedOn w:val="Normal"/>
    <w:link w:val="FooterChar"/>
    <w:uiPriority w:val="99"/>
    <w:unhideWhenUsed/>
    <w:rsid w:val="00C64F37"/>
    <w:pPr>
      <w:tabs>
        <w:tab w:val="center" w:pos="4513"/>
        <w:tab w:val="right" w:pos="9026"/>
      </w:tabs>
    </w:pPr>
  </w:style>
  <w:style w:type="character" w:customStyle="1" w:styleId="FooterChar">
    <w:name w:val="Footer Char"/>
    <w:basedOn w:val="DefaultParagraphFont"/>
    <w:link w:val="Footer"/>
    <w:uiPriority w:val="99"/>
    <w:rsid w:val="00C64F37"/>
  </w:style>
  <w:style w:type="character" w:styleId="PageNumber">
    <w:name w:val="page number"/>
    <w:basedOn w:val="DefaultParagraphFont"/>
    <w:uiPriority w:val="99"/>
    <w:semiHidden/>
    <w:unhideWhenUsed/>
    <w:rsid w:val="00C64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32752.2021.196534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6/appi.books.978089042559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89/fpsyg.2022.8137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22</Pages>
  <Words>5437</Words>
  <Characters>30991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cp:lastModifiedBy>
  <cp:revision>117</cp:revision>
  <dcterms:created xsi:type="dcterms:W3CDTF">2026-03-18T15:18:00Z</dcterms:created>
  <dcterms:modified xsi:type="dcterms:W3CDTF">2026-04-21T14:57:00Z</dcterms:modified>
</cp:coreProperties>
</file>