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oter4.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word/header5.xml" ContentType="application/vnd.openxmlformats-officedocument.wordprocessingml.header+xml"/>
  <Override PartName="/word/settings.xml" ContentType="application/vnd.openxmlformats-officedocument.wordprocessingml.settings+xml"/>
  <Override PartName="/docProps/custom.xml" ContentType="application/vnd.openxmlformats-officedocument.custom-properties+xml"/>
  <Override PartName="/word/header2.xml" ContentType="application/vnd.openxmlformats-officedocument.wordprocessingml.header+xml"/>
  <Override PartName="/word/footer3.xml" ContentType="application/vnd.openxmlformats-officedocument.wordprocessingml.footer+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bCs/>
          <w:sz w:val="32"/>
          <w:szCs w:val="32"/>
          <w:lang w:val="en-US"/>
        </w:rPr>
      </w:pPr>
      <w:r>
        <w:rPr>
          <w:b/>
          <w:bCs/>
          <w:noProof/>
          <w:sz w:val="32"/>
          <w:szCs w:val="32"/>
          <w:lang w:val="en-US"/>
        </w:rPr>
        <w:drawing>
          <wp:inline distL="0" distT="0" distB="0" distR="0">
            <wp:extent cx="2979420" cy="1450060"/>
            <wp:effectExtent l="19050" t="19050" r="11430" b="17145"/>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2979420" cy="1450060"/>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sz w:val="32"/>
          <w:szCs w:val="32"/>
          <w:lang w:val="en-US"/>
        </w:rPr>
      </w:pPr>
      <w:r>
        <w:rPr>
          <w:b/>
          <w:bCs/>
          <w:sz w:val="32"/>
          <w:szCs w:val="32"/>
          <w:lang w:val="en-US"/>
        </w:rPr>
        <w:t>Program: Master of Business Administration</w:t>
      </w:r>
    </w:p>
    <w:p>
      <w:pPr>
        <w:pStyle w:val="style0"/>
        <w:jc w:val="center"/>
        <w:rPr>
          <w:b/>
          <w:bCs/>
          <w:sz w:val="32"/>
          <w:szCs w:val="32"/>
          <w:lang w:val="en-US"/>
        </w:rPr>
      </w:pPr>
      <w:r>
        <w:rPr>
          <w:b/>
          <w:bCs/>
          <w:sz w:val="32"/>
          <w:szCs w:val="32"/>
          <w:lang w:val="en-US"/>
        </w:rPr>
        <w:t>Module: Marketing Management (LCMB7024)</w:t>
      </w:r>
    </w:p>
    <w:p>
      <w:pPr>
        <w:pStyle w:val="style0"/>
        <w:jc w:val="center"/>
        <w:rPr>
          <w:b/>
          <w:bCs/>
          <w:sz w:val="32"/>
          <w:szCs w:val="32"/>
          <w:lang w:val="en-US"/>
        </w:rPr>
      </w:pPr>
      <w:r>
        <w:rPr>
          <w:b/>
          <w:bCs/>
          <w:sz w:val="32"/>
          <w:szCs w:val="32"/>
          <w:lang w:val="en-US"/>
        </w:rPr>
        <w:t>Module Lecturer: Dian Mayasari (Birmingham)</w:t>
      </w:r>
    </w:p>
    <w:p>
      <w:pPr>
        <w:pStyle w:val="style0"/>
        <w:jc w:val="center"/>
        <w:rPr>
          <w:b/>
          <w:bCs/>
          <w:sz w:val="32"/>
          <w:szCs w:val="32"/>
          <w:lang w:val="en-US"/>
        </w:rPr>
      </w:pPr>
      <w:r>
        <w:rPr>
          <w:b/>
          <w:bCs/>
          <w:sz w:val="32"/>
          <w:szCs w:val="32"/>
          <w:lang w:val="en-US"/>
        </w:rPr>
        <w:t xml:space="preserve">Marketing Environment Analysis </w:t>
      </w:r>
      <w:r>
        <w:rPr>
          <w:b/>
          <w:bCs/>
          <w:sz w:val="32"/>
          <w:szCs w:val="32"/>
          <w:lang w:val="en-US"/>
        </w:rPr>
        <w:t>for</w:t>
      </w:r>
      <w:r>
        <w:rPr>
          <w:b/>
          <w:bCs/>
          <w:sz w:val="32"/>
          <w:szCs w:val="32"/>
          <w:lang w:val="en-US"/>
        </w:rPr>
        <w:t xml:space="preserve"> Pioneer (Tesla) and Follower (Volkswagen)</w:t>
      </w:r>
    </w:p>
    <w:p>
      <w:pPr>
        <w:pStyle w:val="style0"/>
        <w:jc w:val="center"/>
        <w:rPr>
          <w:b/>
          <w:bCs/>
          <w:sz w:val="32"/>
          <w:szCs w:val="32"/>
          <w:lang w:val="en-US"/>
        </w:rPr>
      </w:pPr>
    </w:p>
    <w:p>
      <w:pPr>
        <w:pStyle w:val="style0"/>
        <w:jc w:val="center"/>
        <w:rPr>
          <w:b/>
          <w:bCs/>
          <w:sz w:val="32"/>
          <w:szCs w:val="32"/>
          <w:lang w:val="en-US"/>
        </w:rPr>
      </w:pPr>
    </w:p>
    <w:p>
      <w:pPr>
        <w:pStyle w:val="style0"/>
        <w:jc w:val="center"/>
        <w:rPr>
          <w:b/>
          <w:bCs/>
          <w:szCs w:val="24"/>
          <w:lang w:val="en-US"/>
        </w:rPr>
      </w:pPr>
      <w:r>
        <w:rPr>
          <w:b/>
          <w:bCs/>
          <w:szCs w:val="24"/>
          <w:lang w:val="en-US"/>
        </w:rPr>
        <w:t xml:space="preserve">Student Name:payal odedra </w:t>
      </w:r>
    </w:p>
    <w:p>
      <w:pPr>
        <w:pStyle w:val="style0"/>
        <w:jc w:val="center"/>
        <w:rPr>
          <w:b/>
          <w:bCs/>
          <w:szCs w:val="24"/>
          <w:lang w:val="en-US"/>
        </w:rPr>
      </w:pPr>
      <w:r>
        <w:rPr>
          <w:b/>
          <w:bCs/>
          <w:szCs w:val="24"/>
          <w:lang w:val="en-US"/>
        </w:rPr>
        <w:t>Student ID:2439521</w:t>
      </w:r>
    </w:p>
    <w:p>
      <w:pPr>
        <w:pStyle w:val="style0"/>
        <w:jc w:val="center"/>
        <w:rPr>
          <w:b/>
          <w:bCs/>
          <w:szCs w:val="24"/>
          <w:lang w:val="en-US"/>
        </w:rPr>
      </w:pPr>
      <w:r>
        <w:rPr>
          <w:b/>
          <w:bCs/>
          <w:szCs w:val="24"/>
          <w:lang w:val="en-US"/>
        </w:rPr>
        <w:t xml:space="preserve">Word Count: </w:t>
      </w:r>
      <w:r>
        <w:rPr>
          <w:b/>
          <w:bCs/>
          <w:szCs w:val="24"/>
          <w:lang w:val="en-US"/>
        </w:rPr>
        <w:t>2526</w:t>
      </w:r>
    </w:p>
    <w:p>
      <w:pPr>
        <w:pStyle w:val="style0"/>
        <w:jc w:val="center"/>
        <w:rPr>
          <w:b/>
          <w:bCs/>
          <w:szCs w:val="24"/>
          <w:lang w:val="en-US"/>
        </w:rPr>
      </w:pPr>
      <w:r>
        <w:rPr>
          <w:b/>
          <w:bCs/>
          <w:szCs w:val="24"/>
          <w:lang w:val="en-US"/>
        </w:rPr>
        <w:t xml:space="preserve">Submission Name: Marketing Management – Individual Assignment </w:t>
      </w:r>
    </w:p>
    <w:p>
      <w:pPr>
        <w:pStyle w:val="style0"/>
        <w:spacing w:lineRule="auto" w:line="259"/>
        <w:jc w:val="left"/>
        <w:rPr>
          <w:b/>
          <w:bCs/>
          <w:szCs w:val="24"/>
          <w:lang w:val="en-US"/>
        </w:rPr>
      </w:pPr>
      <w:r>
        <w:rPr>
          <w:b/>
          <w:bCs/>
          <w:szCs w:val="24"/>
          <w:lang w:val="en-US"/>
        </w:rPr>
        <w:br w:type="page"/>
      </w:r>
    </w:p>
    <w:p>
      <w:pPr>
        <w:pStyle w:val="style266"/>
        <w:jc w:val="center"/>
        <w:rPr>
          <w:rFonts w:ascii="Arial" w:cs="Arial" w:hAnsi="Arial"/>
          <w:b/>
          <w:bCs/>
          <w:color w:val="auto"/>
        </w:rPr>
      </w:pPr>
      <w:r>
        <w:rPr>
          <w:rFonts w:ascii="Arial" w:cs="Arial" w:hAnsi="Arial"/>
          <w:b/>
          <w:bCs/>
          <w:color w:val="auto"/>
        </w:rPr>
        <w:t>Table of Contents</w:t>
      </w:r>
    </w:p>
    <w:p>
      <w:pPr>
        <w:pStyle w:val="style19"/>
        <w:tabs>
          <w:tab w:val="left" w:leader="none" w:pos="480"/>
          <w:tab w:val="right" w:leader="dot" w:pos="9350"/>
        </w:tabs>
        <w:rPr>
          <w:noProof/>
        </w:rPr>
      </w:pPr>
      <w:r>
        <w:rPr/>
        <w:fldChar w:fldCharType="begin"/>
      </w:r>
      <w:r>
        <w:instrText xml:space="preserve"> TOC \o "1-3" \h \z \u </w:instrText>
      </w:r>
      <w:r>
        <w:rPr/>
        <w:fldChar w:fldCharType="separate"/>
      </w:r>
      <w:r>
        <w:rPr/>
        <w:fldChar w:fldCharType="begin"/>
      </w:r>
      <w:r>
        <w:instrText xml:space="preserve"> HYPERLINK \l "_Toc210841448" </w:instrText>
      </w:r>
      <w:r>
        <w:rPr/>
        <w:fldChar w:fldCharType="separate"/>
      </w:r>
      <w:r>
        <w:rPr>
          <w:rStyle w:val="style85"/>
          <w:noProof/>
        </w:rPr>
        <w:t>1.</w:t>
      </w:r>
      <w:r>
        <w:rPr>
          <w:noProof/>
        </w:rPr>
        <w:tab/>
      </w:r>
      <w:r>
        <w:rPr>
          <w:rStyle w:val="style85"/>
          <w:noProof/>
        </w:rPr>
        <w:t>Introduction</w:t>
      </w:r>
      <w:r>
        <w:rPr>
          <w:noProof/>
          <w:webHidden/>
        </w:rPr>
        <w:tab/>
      </w:r>
      <w:r>
        <w:rPr>
          <w:noProof/>
          <w:webHidden/>
        </w:rPr>
        <w:fldChar w:fldCharType="begin"/>
      </w:r>
      <w:r>
        <w:rPr>
          <w:noProof/>
          <w:webHidden/>
        </w:rPr>
        <w:instrText xml:space="preserve"> PAGEREF _Toc210841448 \h </w:instrText>
      </w:r>
      <w:r>
        <w:rPr>
          <w:noProof/>
          <w:webHidden/>
        </w:rPr>
        <w:fldChar w:fldCharType="separate"/>
      </w:r>
      <w:r>
        <w:rPr>
          <w:noProof/>
          <w:webHidden/>
        </w:rPr>
        <w:t>3</w:t>
      </w:r>
      <w:r>
        <w:rPr>
          <w:noProof/>
          <w:webHidden/>
        </w:rPr>
        <w:fldChar w:fldCharType="end"/>
      </w:r>
      <w:r>
        <w:rPr/>
        <w:fldChar w:fldCharType="end"/>
      </w:r>
    </w:p>
    <w:p>
      <w:pPr>
        <w:pStyle w:val="style19"/>
        <w:tabs>
          <w:tab w:val="left" w:leader="none" w:pos="480"/>
          <w:tab w:val="right" w:leader="dot" w:pos="9350"/>
        </w:tabs>
        <w:rPr>
          <w:noProof/>
        </w:rPr>
      </w:pPr>
      <w:r>
        <w:rPr/>
        <w:fldChar w:fldCharType="begin"/>
      </w:r>
      <w:r>
        <w:instrText xml:space="preserve"> HYPERLINK \l "_Toc210841449" </w:instrText>
      </w:r>
      <w:r>
        <w:rPr/>
        <w:fldChar w:fldCharType="separate"/>
      </w:r>
      <w:r>
        <w:rPr>
          <w:rStyle w:val="style85"/>
          <w:noProof/>
        </w:rPr>
        <w:t>2.</w:t>
      </w:r>
      <w:r>
        <w:rPr>
          <w:noProof/>
        </w:rPr>
        <w:tab/>
      </w:r>
      <w:r>
        <w:rPr>
          <w:rStyle w:val="style85"/>
          <w:noProof/>
        </w:rPr>
        <w:t>Overview of Pioneer and Follower Organisations</w:t>
      </w:r>
      <w:r>
        <w:rPr>
          <w:noProof/>
          <w:webHidden/>
        </w:rPr>
        <w:tab/>
      </w:r>
      <w:r>
        <w:rPr>
          <w:noProof/>
          <w:webHidden/>
        </w:rPr>
        <w:fldChar w:fldCharType="begin"/>
      </w:r>
      <w:r>
        <w:rPr>
          <w:noProof/>
          <w:webHidden/>
        </w:rPr>
        <w:instrText xml:space="preserve"> PAGEREF _Toc210841449 \h </w:instrText>
      </w:r>
      <w:r>
        <w:rPr>
          <w:noProof/>
          <w:webHidden/>
        </w:rPr>
        <w:fldChar w:fldCharType="separate"/>
      </w:r>
      <w:r>
        <w:rPr>
          <w:noProof/>
          <w:webHidden/>
        </w:rPr>
        <w:t>3</w:t>
      </w:r>
      <w:r>
        <w:rPr>
          <w:noProof/>
          <w:webHidden/>
        </w:rPr>
        <w:fldChar w:fldCharType="end"/>
      </w:r>
      <w:r>
        <w:rPr/>
        <w:fldChar w:fldCharType="end"/>
      </w:r>
    </w:p>
    <w:p>
      <w:pPr>
        <w:pStyle w:val="style19"/>
        <w:tabs>
          <w:tab w:val="left" w:leader="none" w:pos="480"/>
          <w:tab w:val="right" w:leader="dot" w:pos="9350"/>
        </w:tabs>
        <w:rPr>
          <w:noProof/>
        </w:rPr>
      </w:pPr>
      <w:r>
        <w:rPr/>
        <w:fldChar w:fldCharType="begin"/>
      </w:r>
      <w:r>
        <w:instrText xml:space="preserve"> HYPERLINK \l "_Toc210841450" </w:instrText>
      </w:r>
      <w:r>
        <w:rPr/>
        <w:fldChar w:fldCharType="separate"/>
      </w:r>
      <w:r>
        <w:rPr>
          <w:rStyle w:val="style85"/>
          <w:noProof/>
        </w:rPr>
        <w:t>3.</w:t>
      </w:r>
      <w:r>
        <w:rPr>
          <w:noProof/>
        </w:rPr>
        <w:tab/>
      </w:r>
      <w:r>
        <w:rPr>
          <w:rStyle w:val="style85"/>
          <w:noProof/>
        </w:rPr>
        <w:t>Macro Environment Analysis</w:t>
      </w:r>
      <w:r>
        <w:rPr>
          <w:noProof/>
          <w:webHidden/>
        </w:rPr>
        <w:tab/>
      </w:r>
      <w:r>
        <w:rPr>
          <w:noProof/>
          <w:webHidden/>
        </w:rPr>
        <w:fldChar w:fldCharType="begin"/>
      </w:r>
      <w:r>
        <w:rPr>
          <w:noProof/>
          <w:webHidden/>
        </w:rPr>
        <w:instrText xml:space="preserve"> PAGEREF _Toc210841450 \h </w:instrText>
      </w:r>
      <w:r>
        <w:rPr>
          <w:noProof/>
          <w:webHidden/>
        </w:rPr>
        <w:fldChar w:fldCharType="separate"/>
      </w:r>
      <w:r>
        <w:rPr>
          <w:noProof/>
          <w:webHidden/>
        </w:rPr>
        <w:t>3</w:t>
      </w:r>
      <w:r>
        <w:rPr>
          <w:noProof/>
          <w:webHidden/>
        </w:rPr>
        <w:fldChar w:fldCharType="end"/>
      </w:r>
      <w:r>
        <w:rPr/>
        <w:fldChar w:fldCharType="end"/>
      </w:r>
    </w:p>
    <w:p>
      <w:pPr>
        <w:pStyle w:val="style20"/>
        <w:tabs>
          <w:tab w:val="left" w:leader="none" w:pos="960"/>
          <w:tab w:val="right" w:leader="dot" w:pos="9350"/>
        </w:tabs>
        <w:rPr>
          <w:noProof/>
        </w:rPr>
      </w:pPr>
      <w:r>
        <w:rPr/>
        <w:fldChar w:fldCharType="begin"/>
      </w:r>
      <w:r>
        <w:instrText xml:space="preserve"> HYPERLINK \l "_Toc210841451" </w:instrText>
      </w:r>
      <w:r>
        <w:rPr/>
        <w:fldChar w:fldCharType="separate"/>
      </w:r>
      <w:r>
        <w:rPr>
          <w:rStyle w:val="style85"/>
          <w:noProof/>
        </w:rPr>
        <w:t>3.1</w:t>
      </w:r>
      <w:r>
        <w:rPr>
          <w:noProof/>
        </w:rPr>
        <w:tab/>
      </w:r>
      <w:r>
        <w:rPr>
          <w:rStyle w:val="style85"/>
          <w:noProof/>
        </w:rPr>
        <w:t>Macro Marketing Environment Analysis</w:t>
      </w:r>
      <w:r>
        <w:rPr>
          <w:noProof/>
          <w:webHidden/>
        </w:rPr>
        <w:tab/>
      </w:r>
      <w:r>
        <w:rPr>
          <w:noProof/>
          <w:webHidden/>
        </w:rPr>
        <w:fldChar w:fldCharType="begin"/>
      </w:r>
      <w:r>
        <w:rPr>
          <w:noProof/>
          <w:webHidden/>
        </w:rPr>
        <w:instrText xml:space="preserve"> PAGEREF _Toc210841451 \h </w:instrText>
      </w:r>
      <w:r>
        <w:rPr>
          <w:noProof/>
          <w:webHidden/>
        </w:rPr>
        <w:fldChar w:fldCharType="separate"/>
      </w:r>
      <w:r>
        <w:rPr>
          <w:noProof/>
          <w:webHidden/>
        </w:rPr>
        <w:t>3</w:t>
      </w:r>
      <w:r>
        <w:rPr>
          <w:noProof/>
          <w:webHidden/>
        </w:rPr>
        <w:fldChar w:fldCharType="end"/>
      </w:r>
      <w:r>
        <w:rPr/>
        <w:fldChar w:fldCharType="end"/>
      </w:r>
    </w:p>
    <w:p>
      <w:pPr>
        <w:pStyle w:val="style20"/>
        <w:tabs>
          <w:tab w:val="left" w:leader="none" w:pos="960"/>
          <w:tab w:val="right" w:leader="dot" w:pos="9350"/>
        </w:tabs>
        <w:rPr>
          <w:noProof/>
        </w:rPr>
      </w:pPr>
      <w:r>
        <w:rPr/>
        <w:fldChar w:fldCharType="begin"/>
      </w:r>
      <w:r>
        <w:instrText xml:space="preserve"> HYPERLINK \l "_Toc210841452" </w:instrText>
      </w:r>
      <w:r>
        <w:rPr/>
        <w:fldChar w:fldCharType="separate"/>
      </w:r>
      <w:r>
        <w:rPr>
          <w:rStyle w:val="style85"/>
          <w:noProof/>
        </w:rPr>
        <w:t>3.2</w:t>
      </w:r>
      <w:r>
        <w:rPr>
          <w:noProof/>
        </w:rPr>
        <w:tab/>
      </w:r>
      <w:r>
        <w:rPr>
          <w:rStyle w:val="style85"/>
          <w:noProof/>
        </w:rPr>
        <w:t>Selection of Two Macro Factors</w:t>
      </w:r>
      <w:r>
        <w:rPr>
          <w:noProof/>
          <w:webHidden/>
        </w:rPr>
        <w:tab/>
      </w:r>
      <w:r>
        <w:rPr>
          <w:noProof/>
          <w:webHidden/>
        </w:rPr>
        <w:fldChar w:fldCharType="begin"/>
      </w:r>
      <w:r>
        <w:rPr>
          <w:noProof/>
          <w:webHidden/>
        </w:rPr>
        <w:instrText xml:space="preserve"> PAGEREF _Toc210841452 \h </w:instrText>
      </w:r>
      <w:r>
        <w:rPr>
          <w:noProof/>
          <w:webHidden/>
        </w:rPr>
        <w:fldChar w:fldCharType="separate"/>
      </w:r>
      <w:r>
        <w:rPr>
          <w:noProof/>
          <w:webHidden/>
        </w:rPr>
        <w:t>6</w:t>
      </w:r>
      <w:r>
        <w:rPr>
          <w:noProof/>
          <w:webHidden/>
        </w:rPr>
        <w:fldChar w:fldCharType="end"/>
      </w:r>
      <w:r>
        <w:rPr/>
        <w:fldChar w:fldCharType="end"/>
      </w:r>
    </w:p>
    <w:p>
      <w:pPr>
        <w:pStyle w:val="style20"/>
        <w:tabs>
          <w:tab w:val="left" w:leader="none" w:pos="960"/>
          <w:tab w:val="right" w:leader="dot" w:pos="9350"/>
        </w:tabs>
        <w:rPr>
          <w:noProof/>
        </w:rPr>
      </w:pPr>
      <w:r>
        <w:rPr/>
        <w:fldChar w:fldCharType="begin"/>
      </w:r>
      <w:r>
        <w:instrText xml:space="preserve"> HYPERLINK \l "_Toc210841453" </w:instrText>
      </w:r>
      <w:r>
        <w:rPr/>
        <w:fldChar w:fldCharType="separate"/>
      </w:r>
      <w:r>
        <w:rPr>
          <w:rStyle w:val="style85"/>
          <w:noProof/>
        </w:rPr>
        <w:t>3.3</w:t>
      </w:r>
      <w:r>
        <w:rPr>
          <w:noProof/>
        </w:rPr>
        <w:tab/>
      </w:r>
      <w:r>
        <w:rPr>
          <w:rStyle w:val="style85"/>
          <w:noProof/>
        </w:rPr>
        <w:t>Critical Examination of These Factors for Tesla and Volkswagen</w:t>
      </w:r>
      <w:r>
        <w:rPr>
          <w:noProof/>
          <w:webHidden/>
        </w:rPr>
        <w:tab/>
      </w:r>
      <w:r>
        <w:rPr>
          <w:noProof/>
          <w:webHidden/>
        </w:rPr>
        <w:fldChar w:fldCharType="begin"/>
      </w:r>
      <w:r>
        <w:rPr>
          <w:noProof/>
          <w:webHidden/>
        </w:rPr>
        <w:instrText xml:space="preserve"> PAGEREF _Toc210841453 \h </w:instrText>
      </w:r>
      <w:r>
        <w:rPr>
          <w:noProof/>
          <w:webHidden/>
        </w:rPr>
        <w:fldChar w:fldCharType="separate"/>
      </w:r>
      <w:r>
        <w:rPr>
          <w:noProof/>
          <w:webHidden/>
        </w:rPr>
        <w:t>6</w:t>
      </w:r>
      <w:r>
        <w:rPr>
          <w:noProof/>
          <w:webHidden/>
        </w:rPr>
        <w:fldChar w:fldCharType="end"/>
      </w:r>
      <w:r>
        <w:rPr/>
        <w:fldChar w:fldCharType="end"/>
      </w:r>
    </w:p>
    <w:p>
      <w:pPr>
        <w:pStyle w:val="style19"/>
        <w:tabs>
          <w:tab w:val="left" w:leader="none" w:pos="480"/>
          <w:tab w:val="right" w:leader="dot" w:pos="9350"/>
        </w:tabs>
        <w:rPr>
          <w:noProof/>
        </w:rPr>
      </w:pPr>
      <w:r>
        <w:rPr/>
        <w:fldChar w:fldCharType="begin"/>
      </w:r>
      <w:r>
        <w:instrText xml:space="preserve"> HYPERLINK \l "_Toc210841454" </w:instrText>
      </w:r>
      <w:r>
        <w:rPr/>
        <w:fldChar w:fldCharType="separate"/>
      </w:r>
      <w:r>
        <w:rPr>
          <w:rStyle w:val="style85"/>
          <w:noProof/>
        </w:rPr>
        <w:t>4.</w:t>
      </w:r>
      <w:r>
        <w:rPr>
          <w:noProof/>
        </w:rPr>
        <w:tab/>
      </w:r>
      <w:r>
        <w:rPr>
          <w:rStyle w:val="style85"/>
          <w:noProof/>
        </w:rPr>
        <w:t>Response of Organisations to External Factors</w:t>
      </w:r>
      <w:r>
        <w:rPr>
          <w:noProof/>
          <w:webHidden/>
        </w:rPr>
        <w:tab/>
      </w:r>
      <w:r>
        <w:rPr>
          <w:noProof/>
          <w:webHidden/>
        </w:rPr>
        <w:fldChar w:fldCharType="begin"/>
      </w:r>
      <w:r>
        <w:rPr>
          <w:noProof/>
          <w:webHidden/>
        </w:rPr>
        <w:instrText xml:space="preserve"> PAGEREF _Toc210841454 \h </w:instrText>
      </w:r>
      <w:r>
        <w:rPr>
          <w:noProof/>
          <w:webHidden/>
        </w:rPr>
        <w:fldChar w:fldCharType="separate"/>
      </w:r>
      <w:r>
        <w:rPr>
          <w:noProof/>
          <w:webHidden/>
        </w:rPr>
        <w:t>9</w:t>
      </w:r>
      <w:r>
        <w:rPr>
          <w:noProof/>
          <w:webHidden/>
        </w:rPr>
        <w:fldChar w:fldCharType="end"/>
      </w:r>
      <w:r>
        <w:rPr/>
        <w:fldChar w:fldCharType="end"/>
      </w:r>
    </w:p>
    <w:p>
      <w:pPr>
        <w:pStyle w:val="style20"/>
        <w:tabs>
          <w:tab w:val="left" w:leader="none" w:pos="960"/>
          <w:tab w:val="right" w:leader="dot" w:pos="9350"/>
        </w:tabs>
        <w:rPr>
          <w:noProof/>
        </w:rPr>
      </w:pPr>
      <w:r>
        <w:rPr/>
        <w:fldChar w:fldCharType="begin"/>
      </w:r>
      <w:r>
        <w:instrText xml:space="preserve"> HYPERLINK \l "_Toc210841455" </w:instrText>
      </w:r>
      <w:r>
        <w:rPr/>
        <w:fldChar w:fldCharType="separate"/>
      </w:r>
      <w:r>
        <w:rPr>
          <w:rStyle w:val="style85"/>
          <w:noProof/>
        </w:rPr>
        <w:t>4.1</w:t>
      </w:r>
      <w:r>
        <w:rPr>
          <w:noProof/>
        </w:rPr>
        <w:tab/>
      </w:r>
      <w:r>
        <w:rPr>
          <w:rStyle w:val="style85"/>
          <w:noProof/>
        </w:rPr>
        <w:t>Marketing Strategies of Tesla</w:t>
      </w:r>
      <w:r>
        <w:rPr>
          <w:noProof/>
          <w:webHidden/>
        </w:rPr>
        <w:tab/>
      </w:r>
      <w:r>
        <w:rPr>
          <w:noProof/>
          <w:webHidden/>
        </w:rPr>
        <w:fldChar w:fldCharType="begin"/>
      </w:r>
      <w:r>
        <w:rPr>
          <w:noProof/>
          <w:webHidden/>
        </w:rPr>
        <w:instrText xml:space="preserve"> PAGEREF _Toc210841455 \h </w:instrText>
      </w:r>
      <w:r>
        <w:rPr>
          <w:noProof/>
          <w:webHidden/>
        </w:rPr>
        <w:fldChar w:fldCharType="separate"/>
      </w:r>
      <w:r>
        <w:rPr>
          <w:noProof/>
          <w:webHidden/>
        </w:rPr>
        <w:t>9</w:t>
      </w:r>
      <w:r>
        <w:rPr>
          <w:noProof/>
          <w:webHidden/>
        </w:rPr>
        <w:fldChar w:fldCharType="end"/>
      </w:r>
      <w:r>
        <w:rPr/>
        <w:fldChar w:fldCharType="end"/>
      </w:r>
    </w:p>
    <w:p>
      <w:pPr>
        <w:pStyle w:val="style20"/>
        <w:tabs>
          <w:tab w:val="left" w:leader="none" w:pos="960"/>
          <w:tab w:val="right" w:leader="dot" w:pos="9350"/>
        </w:tabs>
        <w:rPr>
          <w:noProof/>
        </w:rPr>
      </w:pPr>
      <w:r>
        <w:rPr/>
        <w:fldChar w:fldCharType="begin"/>
      </w:r>
      <w:r>
        <w:instrText xml:space="preserve"> HYPERLINK \l "_Toc210841456" </w:instrText>
      </w:r>
      <w:r>
        <w:rPr/>
        <w:fldChar w:fldCharType="separate"/>
      </w:r>
      <w:r>
        <w:rPr>
          <w:rStyle w:val="style85"/>
          <w:noProof/>
        </w:rPr>
        <w:t>4.2</w:t>
      </w:r>
      <w:r>
        <w:rPr>
          <w:noProof/>
        </w:rPr>
        <w:tab/>
      </w:r>
      <w:r>
        <w:rPr>
          <w:rStyle w:val="style85"/>
          <w:noProof/>
        </w:rPr>
        <w:t>Marketing Strategies of Volkswagen</w:t>
      </w:r>
      <w:r>
        <w:rPr>
          <w:noProof/>
          <w:webHidden/>
        </w:rPr>
        <w:tab/>
      </w:r>
      <w:r>
        <w:rPr>
          <w:noProof/>
          <w:webHidden/>
        </w:rPr>
        <w:fldChar w:fldCharType="begin"/>
      </w:r>
      <w:r>
        <w:rPr>
          <w:noProof/>
          <w:webHidden/>
        </w:rPr>
        <w:instrText xml:space="preserve"> PAGEREF _Toc210841456 \h </w:instrText>
      </w:r>
      <w:r>
        <w:rPr>
          <w:noProof/>
          <w:webHidden/>
        </w:rPr>
        <w:fldChar w:fldCharType="separate"/>
      </w:r>
      <w:r>
        <w:rPr>
          <w:noProof/>
          <w:webHidden/>
        </w:rPr>
        <w:t>11</w:t>
      </w:r>
      <w:r>
        <w:rPr>
          <w:noProof/>
          <w:webHidden/>
        </w:rPr>
        <w:fldChar w:fldCharType="end"/>
      </w:r>
      <w:r>
        <w:rPr/>
        <w:fldChar w:fldCharType="end"/>
      </w:r>
    </w:p>
    <w:p>
      <w:pPr>
        <w:pStyle w:val="style19"/>
        <w:tabs>
          <w:tab w:val="left" w:leader="none" w:pos="480"/>
          <w:tab w:val="right" w:leader="dot" w:pos="9350"/>
        </w:tabs>
        <w:rPr>
          <w:noProof/>
        </w:rPr>
      </w:pPr>
      <w:r>
        <w:rPr/>
        <w:fldChar w:fldCharType="begin"/>
      </w:r>
      <w:r>
        <w:instrText xml:space="preserve"> HYPERLINK \l "_Toc210841457" </w:instrText>
      </w:r>
      <w:r>
        <w:rPr/>
        <w:fldChar w:fldCharType="separate"/>
      </w:r>
      <w:r>
        <w:rPr>
          <w:rStyle w:val="style85"/>
          <w:noProof/>
        </w:rPr>
        <w:t>5.</w:t>
      </w:r>
      <w:r>
        <w:rPr>
          <w:noProof/>
        </w:rPr>
        <w:tab/>
      </w:r>
      <w:r>
        <w:rPr>
          <w:rStyle w:val="style85"/>
          <w:noProof/>
        </w:rPr>
        <w:t>Conclusion</w:t>
      </w:r>
      <w:r>
        <w:rPr>
          <w:noProof/>
          <w:webHidden/>
        </w:rPr>
        <w:tab/>
      </w:r>
      <w:r>
        <w:rPr>
          <w:noProof/>
          <w:webHidden/>
        </w:rPr>
        <w:fldChar w:fldCharType="begin"/>
      </w:r>
      <w:r>
        <w:rPr>
          <w:noProof/>
          <w:webHidden/>
        </w:rPr>
        <w:instrText xml:space="preserve"> PAGEREF _Toc210841457 \h </w:instrText>
      </w:r>
      <w:r>
        <w:rPr>
          <w:noProof/>
          <w:webHidden/>
        </w:rPr>
        <w:fldChar w:fldCharType="separate"/>
      </w:r>
      <w:r>
        <w:rPr>
          <w:noProof/>
          <w:webHidden/>
        </w:rPr>
        <w:t>13</w:t>
      </w:r>
      <w:r>
        <w:rPr>
          <w:noProof/>
          <w:webHidden/>
        </w:rPr>
        <w:fldChar w:fldCharType="end"/>
      </w:r>
      <w:r>
        <w:rPr/>
        <w:fldChar w:fldCharType="end"/>
      </w:r>
    </w:p>
    <w:p>
      <w:pPr>
        <w:pStyle w:val="style19"/>
        <w:tabs>
          <w:tab w:val="left" w:leader="none" w:pos="480"/>
          <w:tab w:val="right" w:leader="dot" w:pos="9350"/>
        </w:tabs>
        <w:rPr>
          <w:noProof/>
        </w:rPr>
      </w:pPr>
      <w:r>
        <w:rPr/>
        <w:fldChar w:fldCharType="begin"/>
      </w:r>
      <w:r>
        <w:instrText xml:space="preserve"> HYPERLINK \l "_Toc210841458" </w:instrText>
      </w:r>
      <w:r>
        <w:rPr/>
        <w:fldChar w:fldCharType="separate"/>
      </w:r>
      <w:r>
        <w:rPr>
          <w:rStyle w:val="style85"/>
          <w:noProof/>
        </w:rPr>
        <w:t>6.</w:t>
      </w:r>
      <w:r>
        <w:rPr>
          <w:noProof/>
        </w:rPr>
        <w:tab/>
      </w:r>
      <w:r>
        <w:rPr>
          <w:rStyle w:val="style85"/>
          <w:noProof/>
        </w:rPr>
        <w:t>References</w:t>
      </w:r>
      <w:r>
        <w:rPr>
          <w:noProof/>
          <w:webHidden/>
        </w:rPr>
        <w:tab/>
      </w:r>
      <w:r>
        <w:rPr>
          <w:noProof/>
          <w:webHidden/>
        </w:rPr>
        <w:fldChar w:fldCharType="begin"/>
      </w:r>
      <w:r>
        <w:rPr>
          <w:noProof/>
          <w:webHidden/>
        </w:rPr>
        <w:instrText xml:space="preserve"> PAGEREF _Toc210841458 \h </w:instrText>
      </w:r>
      <w:r>
        <w:rPr>
          <w:noProof/>
          <w:webHidden/>
        </w:rPr>
        <w:fldChar w:fldCharType="separate"/>
      </w:r>
      <w:r>
        <w:rPr>
          <w:noProof/>
          <w:webHidden/>
        </w:rPr>
        <w:t>14</w:t>
      </w:r>
      <w:r>
        <w:rPr>
          <w:noProof/>
          <w:webHidden/>
        </w:rPr>
        <w:fldChar w:fldCharType="end"/>
      </w:r>
      <w:r>
        <w:rPr/>
        <w:fldChar w:fldCharType="end"/>
      </w:r>
    </w:p>
    <w:p>
      <w:pPr>
        <w:pStyle w:val="style0"/>
        <w:rPr/>
      </w:pPr>
      <w:r>
        <w:rPr>
          <w:b/>
          <w:bCs/>
          <w:noProof/>
        </w:rPr>
        <w:fldChar w:fldCharType="end"/>
      </w:r>
    </w:p>
    <w:p>
      <w:pPr>
        <w:pStyle w:val="style0"/>
        <w:jc w:val="center"/>
        <w:rPr>
          <w:b/>
          <w:bCs/>
          <w:szCs w:val="24"/>
          <w:lang w:val="en-US"/>
        </w:rPr>
      </w:pPr>
    </w:p>
    <w:p>
      <w:pPr>
        <w:pStyle w:val="style0"/>
        <w:spacing w:lineRule="auto" w:line="259"/>
        <w:jc w:val="left"/>
        <w:rPr>
          <w:b/>
          <w:bCs/>
          <w:szCs w:val="24"/>
          <w:lang w:val="en-US"/>
        </w:rPr>
      </w:pPr>
      <w:r>
        <w:rPr>
          <w:b/>
          <w:bCs/>
          <w:szCs w:val="24"/>
          <w:lang w:val="en-US"/>
        </w:rPr>
        <w:br w:type="page"/>
      </w:r>
    </w:p>
    <w:bookmarkStart w:id="0" w:name="_Toc210841448"/>
    <w:p>
      <w:pPr>
        <w:pStyle w:val="style1"/>
        <w:rPr/>
      </w:pPr>
      <w:r>
        <w:t>Introduction</w:t>
      </w:r>
      <w:bookmarkEnd w:id="0"/>
    </w:p>
    <w:p>
      <w:pPr>
        <w:pStyle w:val="style0"/>
        <w:rPr>
          <w:lang w:val="en-US"/>
        </w:rPr>
      </w:pPr>
      <w:r>
        <w:rPr>
          <w:lang w:val="en-US"/>
        </w:rPr>
        <w:t xml:space="preserve">The report focuses on the marketing environment analysis of pioneer and follower organisations. </w:t>
      </w:r>
      <w:r>
        <w:rPr>
          <w:lang w:val="en-US"/>
        </w:rPr>
        <w:t xml:space="preserve">A robust marketing environment analysis provides an organisation </w:t>
      </w:r>
      <w:r>
        <w:rPr>
          <w:lang w:val="en-US"/>
        </w:rPr>
        <w:t xml:space="preserve">with </w:t>
      </w:r>
      <w:r>
        <w:rPr>
          <w:lang w:val="en-US"/>
        </w:rPr>
        <w:t>opportunities to understand market trends, characteristics, and competitors, and to get acquainted with its own capabilities, thereby developing robust strategic marketing planning (</w:t>
      </w:r>
      <w:r>
        <w:rPr>
          <w:shd w:val="clear" w:color="auto" w:fill="ffffff"/>
        </w:rPr>
        <w:t>Yaneva, 2020</w:t>
      </w:r>
      <w:r>
        <w:rPr>
          <w:lang w:val="en-US"/>
        </w:rPr>
        <w:t xml:space="preserve">). </w:t>
      </w:r>
      <w:r>
        <w:rPr>
          <w:lang w:val="en-US"/>
        </w:rPr>
        <w:t>The report aims to analyse the marketing environment of Tesla, the pioneer of electric vehicles and Volkswagen, a follower organisation in the automobile industry.</w:t>
      </w:r>
      <w:r>
        <w:rPr>
          <w:lang w:val="en-US"/>
        </w:rPr>
        <w:t xml:space="preserve"> It includes a critical macro environment analysis to develop marketing strategies to respond to external factors for Tesla and Volkswagen.</w:t>
      </w:r>
    </w:p>
    <w:bookmarkStart w:id="1" w:name="_Toc210841449"/>
    <w:p>
      <w:pPr>
        <w:pStyle w:val="style1"/>
        <w:rPr/>
      </w:pPr>
      <w:r>
        <w:t>Overview of Pioneer and Follower Organisations</w:t>
      </w:r>
      <w:bookmarkEnd w:id="1"/>
      <w:r>
        <w:t xml:space="preserve"> </w:t>
      </w:r>
    </w:p>
    <w:p>
      <w:pPr>
        <w:pStyle w:val="style0"/>
        <w:rPr>
          <w:lang w:val="en-US"/>
        </w:rPr>
      </w:pPr>
      <w:r>
        <w:rPr>
          <w:lang w:val="en-US"/>
        </w:rPr>
        <w:t>The pioneer organisation in the EV industry is Tesla. It is an American multinational automobile company that builds electric vehicles and batteries with innovative technologies for a better future (</w:t>
      </w:r>
      <w:r>
        <w:rPr>
          <w:lang w:val="en-US"/>
        </w:rPr>
        <w:t xml:space="preserve">Tesla, 2025a). </w:t>
      </w:r>
      <w:r>
        <w:rPr>
          <w:lang w:val="en-US"/>
        </w:rPr>
        <w:t xml:space="preserve">In Q2 2025, Tesla generated a total YoY revenue of $22.5 billion (Tesla, 2025b). </w:t>
      </w:r>
      <w:r>
        <w:rPr>
          <w:lang w:val="en-US"/>
        </w:rPr>
        <w:t xml:space="preserve">The selected follower organisation is Volkswagen, which is a legacy German automotive giant but now focuses on electrification due to changing market conditions. The largest automaker in Europe aims to shape the autonomous future of mobility and zero emission (Volkswagen, 2025a). </w:t>
      </w:r>
      <w:r>
        <w:rPr>
          <w:lang w:val="en-US"/>
        </w:rPr>
        <w:t>Volkswagen Group generated around 158.4 billion EUR sales revenue in H1 2025</w:t>
      </w:r>
      <w:r>
        <w:rPr>
          <w:lang w:val="en-US"/>
        </w:rPr>
        <w:t>,</w:t>
      </w:r>
      <w:r>
        <w:rPr>
          <w:lang w:val="en-US"/>
        </w:rPr>
        <w:t xml:space="preserve"> with the operating revenue of 6.7 billion EUR (Volkswagen, 2025b). Therefore, these two organisations can be excellent case studies to evaluate the opportunities and threats posed by macro environment factors and develop marketing strategies to respond to external factors to maintain their competitiveness.</w:t>
      </w:r>
    </w:p>
    <w:bookmarkStart w:id="2" w:name="_Toc210841450"/>
    <w:p>
      <w:pPr>
        <w:pStyle w:val="style1"/>
        <w:rPr/>
      </w:pPr>
      <w:r>
        <w:t>Macro Environment Analysis</w:t>
      </w:r>
      <w:bookmarkEnd w:id="2"/>
    </w:p>
    <w:bookmarkStart w:id="3" w:name="_Toc210841451"/>
    <w:p>
      <w:pPr>
        <w:pStyle w:val="style2"/>
        <w:rPr/>
      </w:pPr>
      <w:r>
        <w:t>Macro Marketing Environment Analysis</w:t>
      </w:r>
      <w:bookmarkEnd w:id="3"/>
    </w:p>
    <w:p>
      <w:pPr>
        <w:pStyle w:val="style0"/>
        <w:rPr>
          <w:lang w:val="en-US"/>
        </w:rPr>
      </w:pPr>
      <w:r>
        <w:rPr>
          <w:lang w:val="en-US"/>
        </w:rPr>
        <w:t xml:space="preserve">The PESTLE framework is used to analyse the macro marketing environment, as an integral component of strategic marketing management of both Tesla and Volkswagen. </w:t>
      </w:r>
    </w:p>
    <w:p>
      <w:pPr>
        <w:pStyle w:val="style179"/>
        <w:numPr>
          <w:ilvl w:val="0"/>
          <w:numId w:val="5"/>
        </w:numPr>
        <w:rPr>
          <w:lang w:val="en-US"/>
        </w:rPr>
      </w:pPr>
      <w:r>
        <w:rPr>
          <w:b/>
          <w:bCs/>
          <w:lang w:val="en-US"/>
        </w:rPr>
        <w:t>Political:</w:t>
      </w:r>
      <w:r>
        <w:rPr>
          <w:lang w:val="en-US"/>
        </w:rPr>
        <w:t xml:space="preserve"> Government regulations to shift towards net zero enable opportunities for EV organisations, including Tesla and Volkswagen. </w:t>
      </w:r>
      <w:r>
        <w:rPr>
          <w:lang w:val="en-US"/>
        </w:rPr>
        <w:t xml:space="preserve">In the U.S, the </w:t>
      </w:r>
      <w:r>
        <w:rPr>
          <w:lang w:val="en-US"/>
        </w:rPr>
        <w:t xml:space="preserve">Environmental Protection Agency announced its final national pollution standards for all vehicles to achieve a clean energy and sustainable future (EPA, 2024).  </w:t>
      </w:r>
      <w:r>
        <w:rPr>
          <w:lang w:val="en-US"/>
        </w:rPr>
        <w:t xml:space="preserve">However, Trump’s auto tariffs have turmoiled the automobile companies, including Tesla, whose quarterly earnings plunged by 20% in automobile revenue (Kolodny and Levy, 2025). </w:t>
      </w:r>
      <w:r>
        <w:rPr>
          <w:lang w:val="en-US"/>
        </w:rPr>
        <w:t>Similarly, the U.S tariff led to a decline in Volkswagen's revenue of 80.8 billion euros, missing analyst expectations (</w:t>
      </w:r>
      <w:r>
        <w:rPr/>
        <w:fldChar w:fldCharType="begin"/>
      </w:r>
      <w:r>
        <w:instrText xml:space="preserve"> HYPERLINK "https://www.cnbc.com/sam-meredith/" </w:instrText>
      </w:r>
      <w:r>
        <w:rPr/>
        <w:fldChar w:fldCharType="separate"/>
      </w:r>
      <w:r>
        <w:t>Meredith</w:t>
      </w:r>
      <w:r>
        <w:rPr/>
        <w:fldChar w:fldCharType="end"/>
      </w:r>
      <w:r>
        <w:t xml:space="preserve">, 2025). Therefore, government regulations and tariffs can impose both opportunities and threats for automobile organisations. </w:t>
      </w:r>
    </w:p>
    <w:p>
      <w:pPr>
        <w:pStyle w:val="style179"/>
        <w:numPr>
          <w:ilvl w:val="0"/>
          <w:numId w:val="5"/>
        </w:numPr>
        <w:rPr>
          <w:lang w:val="en-US"/>
        </w:rPr>
      </w:pPr>
      <w:r>
        <w:rPr>
          <w:b/>
          <w:bCs/>
          <w:lang w:val="en-US"/>
        </w:rPr>
        <w:t>Economic:</w:t>
      </w:r>
      <w:r>
        <w:rPr>
          <w:lang w:val="en-US"/>
        </w:rPr>
        <w:t xml:space="preserve"> Higher inflation and exchange rates can increase operational costs and reduce consumers' spending power for EV organisations. </w:t>
      </w:r>
      <w:r>
        <w:rPr>
          <w:lang w:val="en-US"/>
        </w:rPr>
        <w:t xml:space="preserve">Eckert </w:t>
      </w:r>
      <w:r>
        <w:rPr>
          <w:lang w:val="en-US"/>
        </w:rPr>
        <w:t>(</w:t>
      </w:r>
      <w:r>
        <w:rPr>
          <w:lang w:val="en-US"/>
        </w:rPr>
        <w:t>2025</w:t>
      </w:r>
      <w:r>
        <w:rPr>
          <w:lang w:val="en-US"/>
        </w:rPr>
        <w:t xml:space="preserve">) reported that the disappearance of $7500 tax subsidy can decrease EV sales by 5% in the U.S, which worries EV makers like Tesla and Volkswagen. </w:t>
      </w:r>
      <w:r>
        <w:rPr>
          <w:lang w:val="en-US"/>
        </w:rPr>
        <w:t>Moreover, the annual inflation rate in Germany increased to 2.4% in September 2025, for the 2</w:t>
      </w:r>
      <w:r>
        <w:rPr>
          <w:vertAlign w:val="superscript"/>
          <w:lang w:val="en-US"/>
        </w:rPr>
        <w:t>nd</w:t>
      </w:r>
      <w:r>
        <w:rPr>
          <w:lang w:val="en-US"/>
        </w:rPr>
        <w:t xml:space="preserve"> consecutive month, as </w:t>
      </w:r>
      <w:r>
        <w:rPr>
          <w:lang w:val="en-US"/>
        </w:rPr>
        <w:t>outlined</w:t>
      </w:r>
      <w:r>
        <w:rPr>
          <w:lang w:val="en-US"/>
        </w:rPr>
        <w:t xml:space="preserve"> in Figure 1 (</w:t>
      </w:r>
      <w:r>
        <w:rPr>
          <w:lang w:val="en-US"/>
        </w:rPr>
        <w:t>Trading Economics, 2025</w:t>
      </w:r>
      <w:r>
        <w:rPr>
          <w:lang w:val="en-US"/>
        </w:rPr>
        <w:t xml:space="preserve">).  Volatile economic conditions, exchange rates and rising inflation can increase production costs for automobile organisations, while reducing customers’ purchasing power. </w:t>
      </w:r>
    </w:p>
    <w:p>
      <w:pPr>
        <w:pStyle w:val="style0"/>
        <w:jc w:val="center"/>
        <w:rPr>
          <w:lang w:val="en-US"/>
        </w:rPr>
      </w:pPr>
      <w:r>
        <w:rPr>
          <w:noProof/>
          <w:lang w:val="en-US"/>
        </w:rPr>
        <w:drawing>
          <wp:inline distL="0" distT="0" distB="0" distR="0">
            <wp:extent cx="4850130" cy="2381020"/>
            <wp:effectExtent l="19050" t="19050" r="26669" b="19685"/>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4850130" cy="2381020"/>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lang w:val="en-US"/>
        </w:rPr>
      </w:pPr>
      <w:r>
        <w:rPr>
          <w:b/>
          <w:bCs/>
          <w:lang w:val="en-US"/>
        </w:rPr>
        <w:t xml:space="preserve">Figure 1: Inflation Rate in Germany </w:t>
      </w:r>
    </w:p>
    <w:p>
      <w:pPr>
        <w:pStyle w:val="style0"/>
        <w:jc w:val="center"/>
        <w:rPr>
          <w:lang w:val="en-US"/>
        </w:rPr>
      </w:pPr>
      <w:r>
        <w:rPr>
          <w:lang w:val="en-US"/>
        </w:rPr>
        <w:t>(Source: Trading Economics, 2025)</w:t>
      </w:r>
    </w:p>
    <w:p>
      <w:pPr>
        <w:pStyle w:val="style179"/>
        <w:numPr>
          <w:ilvl w:val="0"/>
          <w:numId w:val="5"/>
        </w:numPr>
        <w:rPr>
          <w:lang w:val="en-US"/>
        </w:rPr>
      </w:pPr>
      <w:r>
        <w:rPr>
          <w:b/>
          <w:bCs/>
          <w:lang w:val="en-US"/>
        </w:rPr>
        <w:t>Social</w:t>
      </w:r>
      <w:r>
        <w:rPr>
          <w:lang w:val="en-US"/>
        </w:rPr>
        <w:t>:</w:t>
      </w:r>
      <w:r>
        <w:rPr>
          <w:lang w:val="en-US"/>
        </w:rPr>
        <w:t xml:space="preserve"> Changing consumer attitudes and growing environmental consciousness </w:t>
      </w:r>
      <w:r>
        <w:rPr>
          <w:lang w:val="en-US"/>
        </w:rPr>
        <w:t xml:space="preserve">are strategic opportunities for automobile organisations to reshape their business </w:t>
      </w:r>
      <w:r>
        <w:rPr>
          <w:lang w:val="en-US"/>
        </w:rPr>
        <w:t xml:space="preserve">models. </w:t>
      </w:r>
      <w:r>
        <w:rPr>
          <w:lang w:val="en-US"/>
        </w:rPr>
        <w:t xml:space="preserve">The Pew Research Centre surveyed that the EV market in the U.S is growing, as one-third of Americans are seriously considering purchasing an EV (Kennedy, </w:t>
      </w:r>
      <w:r>
        <w:rPr>
          <w:lang w:val="en-US"/>
        </w:rPr>
        <w:t>Kikuchi</w:t>
      </w:r>
      <w:r>
        <w:rPr>
          <w:lang w:val="en-US"/>
        </w:rPr>
        <w:t xml:space="preserve"> and Tyson, 2025) (Figure 2). </w:t>
      </w:r>
      <w:r>
        <w:rPr>
          <w:lang w:val="en-US"/>
        </w:rPr>
        <w:t>Similarly, 80% of Germans are likely to purchase an EV but are concerned about high costs (28%), inadequate charging infrastructure (16%</w:t>
      </w:r>
      <w:r>
        <w:rPr>
          <w:lang w:val="en-US"/>
        </w:rPr>
        <w:t>)</w:t>
      </w:r>
      <w:r>
        <w:rPr>
          <w:lang w:val="en-US"/>
        </w:rPr>
        <w:t xml:space="preserve"> and limited range (17%) (Wehrmann, 2025). </w:t>
      </w:r>
      <w:r>
        <w:rPr>
          <w:lang w:val="en-US"/>
        </w:rPr>
        <w:t xml:space="preserve">Hence, the current market trends towards sustainability, environmental consciousness and technology advancement can benefit both pioneer and follower organisations. </w:t>
      </w:r>
    </w:p>
    <w:p>
      <w:pPr>
        <w:pStyle w:val="style0"/>
        <w:jc w:val="center"/>
        <w:rPr>
          <w:lang w:val="en-US"/>
        </w:rPr>
      </w:pPr>
      <w:r>
        <w:rPr>
          <w:noProof/>
          <w:lang w:val="en-US"/>
        </w:rPr>
        <w:drawing>
          <wp:inline distL="0" distT="0" distB="0" distR="0">
            <wp:extent cx="4396740" cy="4243873"/>
            <wp:effectExtent l="19050" t="19050" r="22860" b="23495"/>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4396740" cy="4243873"/>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lang w:val="en-US"/>
        </w:rPr>
      </w:pPr>
      <w:r>
        <w:rPr>
          <w:b/>
          <w:bCs/>
          <w:lang w:val="en-US"/>
        </w:rPr>
        <w:t>Figure 2: Interests Of Americans towards EV Purchasing</w:t>
      </w:r>
    </w:p>
    <w:p>
      <w:pPr>
        <w:pStyle w:val="style0"/>
        <w:jc w:val="center"/>
        <w:rPr>
          <w:lang w:val="en-US"/>
        </w:rPr>
      </w:pPr>
      <w:r>
        <w:rPr>
          <w:lang w:val="en-US"/>
        </w:rPr>
        <w:t xml:space="preserve">(Source: Kennedy, </w:t>
      </w:r>
      <w:r>
        <w:rPr>
          <w:lang w:val="en-US"/>
        </w:rPr>
        <w:t>Kikuchi</w:t>
      </w:r>
      <w:r>
        <w:rPr>
          <w:lang w:val="en-US"/>
        </w:rPr>
        <w:t xml:space="preserve"> and Tyson, 2025) </w:t>
      </w:r>
    </w:p>
    <w:p>
      <w:pPr>
        <w:pStyle w:val="style179"/>
        <w:numPr>
          <w:ilvl w:val="0"/>
          <w:numId w:val="5"/>
        </w:numPr>
        <w:rPr>
          <w:lang w:val="en-US"/>
        </w:rPr>
      </w:pPr>
      <w:r>
        <w:rPr>
          <w:b/>
          <w:bCs/>
          <w:lang w:val="en-US"/>
        </w:rPr>
        <w:t>Technological</w:t>
      </w:r>
      <w:r>
        <w:rPr>
          <w:lang w:val="en-US"/>
        </w:rPr>
        <w:t>:</w:t>
      </w:r>
      <w:r>
        <w:rPr>
          <w:lang w:val="en-US"/>
        </w:rPr>
        <w:t xml:space="preserve"> The global automobile industry is transitioning towards sustainable and clean innovations, led by Tesla. Moreover, the rapid innovation growth, fueled by R&amp;D spending, the startup </w:t>
      </w:r>
      <w:r>
        <w:rPr>
          <w:lang w:val="en-US"/>
        </w:rPr>
        <w:t>ecosystem</w:t>
      </w:r>
      <w:r>
        <w:rPr>
          <w:lang w:val="en-US"/>
        </w:rPr>
        <w:t xml:space="preserve"> and the growth of high-tech sectors, has aided Germany to rank 11</w:t>
      </w:r>
      <w:r>
        <w:rPr>
          <w:vertAlign w:val="superscript"/>
          <w:lang w:val="en-US"/>
        </w:rPr>
        <w:t>th</w:t>
      </w:r>
      <w:r>
        <w:rPr>
          <w:lang w:val="en-US"/>
        </w:rPr>
        <w:t xml:space="preserve"> in the Global Innovation Index (GII) </w:t>
      </w:r>
      <w:r>
        <w:rPr>
          <w:lang w:val="en-US"/>
        </w:rPr>
        <w:t>2025 (WIPO, 2025). Similarly, the USA continues to drive its innovation capabilities and R&amp;D spending to rank 3</w:t>
      </w:r>
      <w:r>
        <w:rPr>
          <w:vertAlign w:val="superscript"/>
          <w:lang w:val="en-US"/>
        </w:rPr>
        <w:t>rd</w:t>
      </w:r>
      <w:r>
        <w:rPr>
          <w:lang w:val="en-US"/>
        </w:rPr>
        <w:t xml:space="preserve"> in the GII (WIPO, 2025). Undoubtedly, Tesla is the global leader of innovation, characterised by autonomous and self-driving vehicles and gigafactories, while Volkswagen has been following Tesla to embed digital technologies such as IoT and AI to enhance customer experience. </w:t>
      </w:r>
    </w:p>
    <w:p>
      <w:pPr>
        <w:pStyle w:val="style179"/>
        <w:numPr>
          <w:ilvl w:val="0"/>
          <w:numId w:val="5"/>
        </w:numPr>
        <w:rPr>
          <w:lang w:val="en-US"/>
        </w:rPr>
      </w:pPr>
      <w:r>
        <w:rPr>
          <w:b/>
          <w:bCs/>
          <w:lang w:val="en-US"/>
        </w:rPr>
        <w:t>Legal</w:t>
      </w:r>
      <w:r>
        <w:rPr>
          <w:lang w:val="en-US"/>
        </w:rPr>
        <w:t>:</w:t>
      </w:r>
      <w:r>
        <w:rPr>
          <w:lang w:val="en-US"/>
        </w:rPr>
        <w:t xml:space="preserve"> Global automobile organisations such as Tesla and Volkswagen must comply with industry safety and environmental regulations to maintain competitiveness in the industry. For example, Germany targets to reach net zero emissions by 2045 under its climate law (Clean Energy Wire, 2025). </w:t>
      </w:r>
      <w:r>
        <w:rPr>
          <w:lang w:val="en-US"/>
        </w:rPr>
        <w:t xml:space="preserve">Therefore, it can be an opportunity for Volkswagen to comply with the emission regulations to recover its brand image after the greenwashing scandal. Moreover, automobile organisations should also adhere to EU GDPR and Data Protection laws to ethically manage customers’ data and avoid any legal penalties. </w:t>
      </w:r>
    </w:p>
    <w:p>
      <w:pPr>
        <w:pStyle w:val="style179"/>
        <w:numPr>
          <w:ilvl w:val="0"/>
          <w:numId w:val="5"/>
        </w:numPr>
        <w:rPr>
          <w:lang w:val="en-US"/>
        </w:rPr>
      </w:pPr>
      <w:r>
        <w:rPr>
          <w:b/>
          <w:bCs/>
          <w:lang w:val="en-US"/>
        </w:rPr>
        <w:t>Environmental</w:t>
      </w:r>
      <w:r>
        <w:rPr>
          <w:lang w:val="en-US"/>
        </w:rPr>
        <w:t>:</w:t>
      </w:r>
      <w:r>
        <w:rPr>
          <w:lang w:val="en-US"/>
        </w:rPr>
        <w:t xml:space="preserve"> Climate change is a major concern for the automobile industry. According to McKnight and Farhrni (2024), the automobile industry is accountable for 10% of the global greenhouse gas emissions, with the annual production of 80 million vehicles. It navigates automobile organisations such as Volkswagen to shift from traditional diesel vehicles and invest in electric vehicles. On the other hand, it can increase competitive threats for Tesla, which leads to further product innovation to gain a competitive edge. </w:t>
      </w:r>
    </w:p>
    <w:bookmarkStart w:id="4" w:name="_Toc210841452"/>
    <w:p>
      <w:pPr>
        <w:pStyle w:val="style2"/>
        <w:rPr/>
      </w:pPr>
      <w:r>
        <w:t>Selection of Two Macro Factors</w:t>
      </w:r>
      <w:bookmarkEnd w:id="4"/>
    </w:p>
    <w:p>
      <w:pPr>
        <w:pStyle w:val="style0"/>
        <w:rPr>
          <w:lang w:val="en-US"/>
        </w:rPr>
      </w:pPr>
      <w:r>
        <w:rPr>
          <w:lang w:val="en-US"/>
        </w:rPr>
        <w:t xml:space="preserve">Based on the analysis of the macro environment, two selected external factors are political and </w:t>
      </w:r>
      <w:r>
        <w:rPr>
          <w:lang w:val="en-US"/>
        </w:rPr>
        <w:t>technological</w:t>
      </w:r>
      <w:r>
        <w:rPr>
          <w:lang w:val="en-US"/>
        </w:rPr>
        <w:t xml:space="preserve"> factors that can impose opportunities and threats for both pioneering (Tesla) and follower (Volkswagen) organisations. </w:t>
      </w:r>
    </w:p>
    <w:bookmarkStart w:id="5" w:name="_Toc210841453"/>
    <w:p>
      <w:pPr>
        <w:pStyle w:val="style2"/>
        <w:rPr/>
      </w:pPr>
      <w:r>
        <w:t>Critical Examination of These Factors for Tesla and Volkswagen</w:t>
      </w:r>
      <w:bookmarkEnd w:id="5"/>
    </w:p>
    <w:p>
      <w:pPr>
        <w:pStyle w:val="style0"/>
        <w:rPr>
          <w:b/>
          <w:bCs/>
          <w:lang w:val="en-US"/>
        </w:rPr>
      </w:pPr>
      <w:r>
        <w:rPr>
          <w:b/>
          <w:bCs/>
          <w:lang w:val="en-US"/>
        </w:rPr>
        <w:t>Political Factor</w:t>
      </w:r>
    </w:p>
    <w:p>
      <w:pPr>
        <w:pStyle w:val="style0"/>
        <w:rPr>
          <w:lang w:val="en-US"/>
        </w:rPr>
      </w:pPr>
      <w:r>
        <w:rPr>
          <w:lang w:val="en-US"/>
        </w:rPr>
        <w:t xml:space="preserve">Political or legal regulations in the global automobile industry have been changing, which create both opportunities and threats for Tesla and Volkswagen. The recent automobile regulation accelerates the growth of electric vehicles by implementing stricter emissions </w:t>
      </w:r>
      <w:r>
        <w:rPr>
          <w:lang w:val="en-US"/>
        </w:rPr>
        <w:t xml:space="preserve">regulations and a clean energy economy. </w:t>
      </w:r>
      <w:r>
        <w:rPr>
          <w:lang w:val="en-US"/>
        </w:rPr>
        <w:t xml:space="preserve">For example, the Federal Government has adopted a net-zero emissions vehicles by 2030 to build a sustainable future by funding EV charging stations and pushing EV purchasing (Department of Transportation, 2025). It brings a significant opportunity to Tesla </w:t>
      </w:r>
      <w:r>
        <w:rPr>
          <w:lang w:val="en-US"/>
        </w:rPr>
        <w:t xml:space="preserve">to increase its EV demands and sales in the U.S and EU markets. </w:t>
      </w:r>
      <w:r>
        <w:rPr>
          <w:lang w:val="en-US"/>
        </w:rPr>
        <w:t xml:space="preserve">On the other hand, the Trump government has removed the EV tax credits, which eliminates the financial advantage of Tesla, forcing the brand to compete on features and prices against its full-scale followers. </w:t>
      </w:r>
      <w:r>
        <w:rPr>
          <w:lang w:val="en-US"/>
        </w:rPr>
        <w:t xml:space="preserve">Isidore </w:t>
      </w:r>
      <w:r>
        <w:rPr>
          <w:lang w:val="en-US"/>
        </w:rPr>
        <w:t>(</w:t>
      </w:r>
      <w:r>
        <w:rPr>
          <w:lang w:val="en-US"/>
        </w:rPr>
        <w:t>2025</w:t>
      </w:r>
      <w:r>
        <w:rPr>
          <w:lang w:val="en-US"/>
        </w:rPr>
        <w:t>) reported</w:t>
      </w:r>
      <w:r>
        <w:rPr>
          <w:lang w:val="en-US"/>
        </w:rPr>
        <w:t xml:space="preserve"> that the abrupt mitigation of energy tax credits can threaten America's energy independence and increase financial troubles for Tesla, costing it an estimated $1.2 billion annually. Hence, it is expected that the EV tax credit, which indirectly benefits EV makers by increasing demand, would now threaten Tesla's sales and reduce consumer </w:t>
      </w:r>
      <w:r>
        <w:rPr>
          <w:lang w:val="en-US"/>
        </w:rPr>
        <w:t>demand</w:t>
      </w:r>
      <w:r>
        <w:rPr>
          <w:lang w:val="en-US"/>
        </w:rPr>
        <w:t>.</w:t>
      </w:r>
      <w:r>
        <w:rPr>
          <w:lang w:val="en-US"/>
        </w:rPr>
        <w:t xml:space="preserve"> </w:t>
      </w:r>
    </w:p>
    <w:p>
      <w:pPr>
        <w:pStyle w:val="style0"/>
        <w:rPr>
          <w:lang w:val="en-US"/>
        </w:rPr>
      </w:pPr>
      <w:r>
        <w:rPr>
          <w:lang w:val="en-US"/>
        </w:rPr>
        <w:t xml:space="preserve">On the other hand, </w:t>
      </w:r>
      <w:r>
        <w:rPr>
          <w:lang w:val="en-US"/>
        </w:rPr>
        <w:t>the German government has launched a comprehensive incentive package to push EV adoption and reach the climate goals under the “Responsibility for Germany” program through tax relief measures, expanding EV infrastructure, special depreciation for EVs and others (European Commission, 2025). The government initiatives would certainly support Volkswagen to accelerate EV demands and</w:t>
      </w:r>
      <w:r>
        <w:rPr>
          <w:lang w:val="en-US"/>
        </w:rPr>
        <w:t xml:space="preserve"> revamp its sales in Germany (Saptakee, 2024). In contrast, the global trade tensions and geopolitical issues</w:t>
      </w:r>
      <w:r>
        <w:rPr>
          <w:lang w:val="en-US"/>
        </w:rPr>
        <w:t xml:space="preserve"> can threaten the supply chain of Volkswagen. </w:t>
      </w:r>
      <w:r>
        <w:rPr>
          <w:lang w:val="en-US"/>
        </w:rPr>
        <w:t>The legacy automaker has been financially suffering due to Trump's tariff policies. Due to the U.S tariffs, Volkswagen lost about $1.5 billion over the first half of 2025 with a 16% drop in sales in North America (</w:t>
      </w:r>
      <w:r>
        <w:rPr>
          <w:lang w:val="en-US"/>
        </w:rPr>
        <w:t>Zahn, 2025</w:t>
      </w:r>
      <w:r>
        <w:rPr>
          <w:lang w:val="en-US"/>
        </w:rPr>
        <w:t xml:space="preserve">). Further challenges await the organisation due to trade restrictions and geopolitical tensions, which are a key threat to the company. </w:t>
      </w:r>
    </w:p>
    <w:p>
      <w:pPr>
        <w:pStyle w:val="style0"/>
        <w:rPr>
          <w:b/>
          <w:bCs/>
          <w:lang w:val="en-US"/>
        </w:rPr>
      </w:pPr>
      <w:r>
        <w:rPr>
          <w:b/>
          <w:bCs/>
          <w:lang w:val="en-US"/>
        </w:rPr>
        <w:t>Technological</w:t>
      </w:r>
      <w:r>
        <w:rPr>
          <w:b/>
          <w:bCs/>
          <w:lang w:val="en-US"/>
        </w:rPr>
        <w:t xml:space="preserve"> Factor</w:t>
      </w:r>
    </w:p>
    <w:p>
      <w:pPr>
        <w:pStyle w:val="style0"/>
        <w:rPr>
          <w:lang w:val="en-US"/>
        </w:rPr>
      </w:pPr>
      <w:r>
        <w:rPr>
          <w:lang w:val="en-US"/>
        </w:rPr>
        <w:t xml:space="preserve">Technology is the most disruptive source of competitive advantage for both pioneer and follower organisations. It can also impose challenges for organisations due to its highly disruptive nature and complexities. </w:t>
      </w:r>
      <w:r>
        <w:rPr>
          <w:lang w:val="en-US"/>
        </w:rPr>
        <w:t xml:space="preserve">The technological advancement in the U.S automobile industry is driven by advanced electrification, self-driving cars, connected vehicles, 3D printing, AI and many more. </w:t>
      </w:r>
      <w:r>
        <w:rPr>
          <w:lang w:val="en-US"/>
        </w:rPr>
        <w:t>It is evident that Tesla is the global leader of sustainable innovation through autonomous vehicles, AI, robotics, 3D printing and others (Tesla, 2025</w:t>
      </w:r>
      <w:r>
        <w:rPr>
          <w:lang w:val="en-US"/>
        </w:rPr>
        <w:t>c</w:t>
      </w:r>
      <w:r>
        <w:rPr>
          <w:lang w:val="en-US"/>
        </w:rPr>
        <w:t xml:space="preserve">). </w:t>
      </w:r>
      <w:r>
        <w:rPr>
          <w:lang w:val="en-US"/>
        </w:rPr>
        <w:t xml:space="preserve">Hence, the rapid technological advancement is a significant opportunity for Tesla </w:t>
      </w:r>
      <w:r>
        <w:rPr>
          <w:lang w:val="en-US"/>
        </w:rPr>
        <w:t xml:space="preserve">to occupy its market positions, control over battery technology and implement new innovations through the gigafactory while decreasing production costs. </w:t>
      </w:r>
      <w:r>
        <w:rPr>
          <w:lang w:val="en-US"/>
        </w:rPr>
        <w:t xml:space="preserve">For instance, Tesla has launched its upgraded full self-driving vehicle with an automated driving system to navigate driving situations with minimal driver assistance (Kharpal and Iordache, 2025). </w:t>
      </w:r>
      <w:r>
        <w:rPr>
          <w:lang w:val="en-US"/>
        </w:rPr>
        <w:t xml:space="preserve">On the contrary, technology has imposed threats to Tesla's vehicles and brand reputation. Technological limitations and FSD obsolescence result in safety issues and affect Tesla's reputation. According to </w:t>
      </w:r>
      <w:r>
        <w:rPr>
          <w:lang w:val="en-US"/>
        </w:rPr>
        <w:t xml:space="preserve">Shepardson and Sriram </w:t>
      </w:r>
      <w:r>
        <w:rPr>
          <w:lang w:val="en-US"/>
        </w:rPr>
        <w:t>(</w:t>
      </w:r>
      <w:r>
        <w:rPr>
          <w:lang w:val="en-US"/>
        </w:rPr>
        <w:t>2024</w:t>
      </w:r>
      <w:r>
        <w:rPr>
          <w:lang w:val="en-US"/>
        </w:rPr>
        <w:t>), Tesla's FSD software failed, leading to four reported crashes, which open</w:t>
      </w:r>
      <w:r>
        <w:rPr>
          <w:lang w:val="en-US"/>
        </w:rPr>
        <w:t>ed</w:t>
      </w:r>
      <w:r>
        <w:rPr>
          <w:lang w:val="en-US"/>
        </w:rPr>
        <w:t xml:space="preserve"> inequity in its vehicles by the U.S auto safety regulator. </w:t>
      </w:r>
      <w:r>
        <w:rPr>
          <w:lang w:val="en-US"/>
        </w:rPr>
        <w:t xml:space="preserve">Therefore, technological issues can threaten Tesla’s operations and create backlash and legal issues. </w:t>
      </w:r>
    </w:p>
    <w:p>
      <w:pPr>
        <w:pStyle w:val="style0"/>
        <w:rPr>
          <w:lang w:val="en-US"/>
        </w:rPr>
      </w:pPr>
      <w:r>
        <w:rPr>
          <w:lang w:val="en-US"/>
        </w:rPr>
        <w:t>Similar to</w:t>
      </w:r>
      <w:r>
        <w:rPr>
          <w:lang w:val="en-US"/>
        </w:rPr>
        <w:t xml:space="preserve"> Tesla, Volkswagen focuses on technological innovation in its electric vehicles. </w:t>
      </w:r>
      <w:r>
        <w:rPr>
          <w:lang w:val="en-US"/>
        </w:rPr>
        <w:t xml:space="preserve">The German automobile industry is transformed by key technologies, including modern software vehicles, automation, autopilot technologies, advanced driving </w:t>
      </w:r>
      <w:r>
        <w:rPr>
          <w:lang w:val="en-US"/>
        </w:rPr>
        <w:t>systems</w:t>
      </w:r>
      <w:r>
        <w:rPr>
          <w:lang w:val="en-US"/>
        </w:rPr>
        <w:t xml:space="preserve"> and others (Safonau, 2024). </w:t>
      </w:r>
      <w:r>
        <w:rPr>
          <w:lang w:val="en-US"/>
        </w:rPr>
        <w:t xml:space="preserve">Hence, it is a notable opportunity for Volkswagen to drive electrification and product innovations. The organisation is awarded the Automotive Innovations award 2024 as the most innovative EV brand, which highlights Volkswagen’s innovations in major areas like Autonomous Driving and ADAS, electric drive, customer experience, supply </w:t>
      </w:r>
      <w:r>
        <w:rPr>
          <w:lang w:val="en-US"/>
        </w:rPr>
        <w:t>chain</w:t>
      </w:r>
      <w:r>
        <w:rPr>
          <w:lang w:val="en-US"/>
        </w:rPr>
        <w:t xml:space="preserve"> and others (Volkswagen, 2024). Therefore, Volkswagen can follow the pioneer in EV innovation, and create differentiation through superior customer experience, autonomous </w:t>
      </w:r>
      <w:r>
        <w:rPr>
          <w:lang w:val="en-US"/>
        </w:rPr>
        <w:t>solutions</w:t>
      </w:r>
      <w:r>
        <w:rPr>
          <w:lang w:val="en-US"/>
        </w:rPr>
        <w:t xml:space="preserve"> and lower production costs to maximise sales and achieve competitive advantages. </w:t>
      </w:r>
    </w:p>
    <w:p>
      <w:pPr>
        <w:pStyle w:val="style0"/>
        <w:rPr>
          <w:lang w:val="en-US"/>
        </w:rPr>
      </w:pPr>
      <w:r>
        <w:rPr>
          <w:lang w:val="en-US"/>
        </w:rPr>
        <w:t xml:space="preserve">In addition to technological opportunities, data security and technological obsolescence are crucial threats to Volkswagen. </w:t>
      </w:r>
      <w:r>
        <w:rPr>
          <w:lang w:val="en-US"/>
        </w:rPr>
        <w:t>With the advancements of autonomous driving and personalised customer experiences, threats related to cybersecurity and data breaches are also increasing (</w:t>
      </w:r>
      <w:r>
        <w:rPr>
          <w:shd w:val="clear" w:color="auto" w:fill="ffffff"/>
        </w:rPr>
        <w:t xml:space="preserve">Muhammad </w:t>
      </w:r>
      <w:r>
        <w:rPr>
          <w:i/>
          <w:iCs/>
          <w:shd w:val="clear" w:color="auto" w:fill="ffffff"/>
        </w:rPr>
        <w:t>et al.</w:t>
      </w:r>
      <w:r>
        <w:rPr>
          <w:shd w:val="clear" w:color="auto" w:fill="ffffff"/>
        </w:rPr>
        <w:t>, 2023</w:t>
      </w:r>
      <w:r>
        <w:rPr>
          <w:lang w:val="en-US"/>
        </w:rPr>
        <w:t xml:space="preserve">). </w:t>
      </w:r>
      <w:r>
        <w:rPr>
          <w:lang w:val="en-US"/>
        </w:rPr>
        <w:t xml:space="preserve">Volkswagen can face cybersecurity threats such as ransomware attacks, remote </w:t>
      </w:r>
      <w:r>
        <w:rPr>
          <w:lang w:val="en-US"/>
        </w:rPr>
        <w:t>hacking</w:t>
      </w:r>
      <w:r>
        <w:rPr>
          <w:lang w:val="en-US"/>
        </w:rPr>
        <w:t xml:space="preserve"> and data breaches, which can steal customers' personal data and compromise safety, resulting in financial losses and reputational damages. Recently, a data breach at Volkswagen leaked data from 800,000 electric vehicles, which questioned the data safety of customers and the vulnerability of autonomous cars</w:t>
      </w:r>
      <w:r>
        <w:rPr>
          <w:lang w:val="en-US"/>
        </w:rPr>
        <w:t xml:space="preserve"> (Europarl, 2025). </w:t>
      </w:r>
      <w:r>
        <w:rPr>
          <w:lang w:val="en-US"/>
        </w:rPr>
        <w:t xml:space="preserve">Therefore, it is a huge threat to Volkswagen, which </w:t>
      </w:r>
      <w:r>
        <w:rPr>
          <w:lang w:val="en-US"/>
        </w:rPr>
        <w:t xml:space="preserve">would not only affect customers' personal data but also damage the brand's reputation and trust. </w:t>
      </w:r>
    </w:p>
    <w:bookmarkStart w:id="6" w:name="_Toc210841454"/>
    <w:p>
      <w:pPr>
        <w:pStyle w:val="style1"/>
        <w:rPr/>
      </w:pPr>
      <w:r>
        <w:t>Response of Organisations to External Factors</w:t>
      </w:r>
      <w:bookmarkEnd w:id="6"/>
      <w:r>
        <w:t xml:space="preserve"> </w:t>
      </w:r>
    </w:p>
    <w:bookmarkStart w:id="7" w:name="_Toc210841455"/>
    <w:p>
      <w:pPr>
        <w:pStyle w:val="style2"/>
        <w:rPr/>
      </w:pPr>
      <w:r>
        <w:t>Marketing Strategies of Tesla</w:t>
      </w:r>
      <w:bookmarkEnd w:id="7"/>
    </w:p>
    <w:p>
      <w:pPr>
        <w:pStyle w:val="style0"/>
        <w:rPr>
          <w:lang w:val="en-US"/>
        </w:rPr>
      </w:pPr>
      <w:r>
        <w:rPr>
          <w:lang w:val="en-US"/>
        </w:rPr>
        <w:t xml:space="preserve">As per the analysis, Tesla should strategically respond to the selected external factors (political and technological) to maintain competitiveness. </w:t>
      </w:r>
      <w:r>
        <w:rPr>
          <w:lang w:val="en-US"/>
        </w:rPr>
        <w:t xml:space="preserve">Tesla should follow the differentiation strategy to maintain its agility against the regulatory changes and environmental policies. </w:t>
      </w:r>
      <w:r>
        <w:rPr>
          <w:lang w:val="en-US"/>
        </w:rPr>
        <w:t xml:space="preserve">The EV pioneer bypasses tariff threats by localising its gigafactories across the US and scaling innovation. </w:t>
      </w:r>
      <w:r>
        <w:rPr>
          <w:lang w:val="en-US"/>
        </w:rPr>
        <w:t xml:space="preserve">According to </w:t>
      </w:r>
      <w:r>
        <w:rPr>
          <w:shd w:val="clear" w:color="auto" w:fill="ffffff"/>
        </w:rPr>
        <w:t xml:space="preserve">Farida and Setiawan </w:t>
      </w:r>
      <w:r>
        <w:rPr>
          <w:lang w:val="en-US"/>
        </w:rPr>
        <w:t>(</w:t>
      </w:r>
      <w:r>
        <w:rPr>
          <w:lang w:val="en-US"/>
        </w:rPr>
        <w:t>2022</w:t>
      </w:r>
      <w:r>
        <w:rPr>
          <w:lang w:val="en-US"/>
        </w:rPr>
        <w:t>), innovation is fundamental to</w:t>
      </w:r>
      <w:r>
        <w:rPr>
          <w:lang w:val="en-US"/>
        </w:rPr>
        <w:t xml:space="preserve"> creating differentiation and gain competitive advantages in the dynamic business environment. </w:t>
      </w:r>
      <w:r>
        <w:rPr>
          <w:lang w:val="en-US"/>
        </w:rPr>
        <w:t xml:space="preserve">Hence, Tesla can enhance innovation in its EVs and </w:t>
      </w:r>
      <w:r>
        <w:rPr>
          <w:lang w:val="en-US"/>
        </w:rPr>
        <w:t>focus on the mass market</w:t>
      </w:r>
      <w:r>
        <w:rPr>
          <w:lang w:val="en-US"/>
        </w:rPr>
        <w:t xml:space="preserve"> by highlighting localised supply chains and technological innovations. </w:t>
      </w:r>
    </w:p>
    <w:p>
      <w:pPr>
        <w:pStyle w:val="style0"/>
        <w:rPr>
          <w:lang w:val="en-US"/>
        </w:rPr>
      </w:pPr>
      <w:r>
        <w:rPr>
          <w:lang w:val="en-US"/>
        </w:rPr>
        <w:t xml:space="preserve">Based on the new marketing strategy, Tesla should target upper-to-middle income class individuals, families aged between 25-to-65 years, focusing on quality, sustainability, </w:t>
      </w:r>
      <w:r>
        <w:rPr>
          <w:lang w:val="en-US"/>
        </w:rPr>
        <w:t>safety</w:t>
      </w:r>
      <w:r>
        <w:rPr>
          <w:lang w:val="en-US"/>
        </w:rPr>
        <w:t xml:space="preserve"> and innovation. </w:t>
      </w:r>
      <w:r>
        <w:rPr>
          <w:lang w:val="en-US"/>
        </w:rPr>
        <w:t xml:space="preserve">It should target first-time EV buyers, seeking performance or ICE-to-EV switchers across the urban areas of the U.S. </w:t>
      </w:r>
      <w:r>
        <w:rPr>
          <w:lang w:val="en-US"/>
        </w:rPr>
        <w:t xml:space="preserve">Tesla should use a differentiated targeting strategy to categorise its bifurcated product line for both premium and mass-market products. The firm can further incentivise customers to encourage EV buying and avoid threats resulting from the mitigation of the energy tax credit. </w:t>
      </w:r>
      <w:r>
        <w:rPr>
          <w:lang w:val="en-US"/>
        </w:rPr>
        <w:t xml:space="preserve">Thus, the new positioning statement of Tesla should be based on quality, innovation, </w:t>
      </w:r>
      <w:r>
        <w:rPr>
          <w:lang w:val="en-US"/>
        </w:rPr>
        <w:t>sustainability</w:t>
      </w:r>
      <w:r>
        <w:rPr>
          <w:lang w:val="en-US"/>
        </w:rPr>
        <w:t xml:space="preserve"> and performance at cost-efficient prices to respond to the opportunities and avoid threats derived from political and technological factors. </w:t>
      </w:r>
    </w:p>
    <w:p>
      <w:pPr>
        <w:pStyle w:val="style0"/>
        <w:jc w:val="center"/>
        <w:rPr>
          <w:lang w:val="en-US"/>
        </w:rPr>
      </w:pPr>
      <w:r>
        <w:rPr>
          <w:noProof/>
          <w:lang w:val="en-US"/>
        </w:rPr>
        <w:drawing>
          <wp:inline distL="0" distT="0" distB="0" distR="0">
            <wp:extent cx="4351020" cy="2818866"/>
            <wp:effectExtent l="19050" t="19050" r="11430" b="19685"/>
            <wp:docPr id="102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5" cstate="print"/>
                    <a:srcRect l="0" t="0" r="0" b="0"/>
                    <a:stretch/>
                  </pic:blipFill>
                  <pic:spPr>
                    <a:xfrm rot="0">
                      <a:off x="0" y="0"/>
                      <a:ext cx="4351020" cy="2818866"/>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lang w:val="en-US"/>
        </w:rPr>
      </w:pPr>
      <w:r>
        <w:rPr>
          <w:b/>
          <w:bCs/>
          <w:lang w:val="en-US"/>
        </w:rPr>
        <w:t xml:space="preserve">Figure </w:t>
      </w:r>
      <w:r>
        <w:rPr>
          <w:b/>
          <w:bCs/>
          <w:lang w:val="en-US"/>
        </w:rPr>
        <w:t>3</w:t>
      </w:r>
      <w:r>
        <w:rPr>
          <w:b/>
          <w:bCs/>
          <w:lang w:val="en-US"/>
        </w:rPr>
        <w:t>: New Positioning Map of Tesla</w:t>
      </w:r>
    </w:p>
    <w:p>
      <w:pPr>
        <w:pStyle w:val="style0"/>
        <w:jc w:val="center"/>
        <w:rPr>
          <w:lang w:val="en-US"/>
        </w:rPr>
      </w:pPr>
      <w:r>
        <w:rPr>
          <w:lang w:val="en-US"/>
        </w:rPr>
        <w:t>(Source: Self-created)</w:t>
      </w:r>
    </w:p>
    <w:p>
      <w:pPr>
        <w:pStyle w:val="style0"/>
        <w:rPr>
          <w:b/>
          <w:bCs/>
          <w:lang w:val="en-US"/>
        </w:rPr>
      </w:pPr>
      <w:r>
        <w:rPr>
          <w:b/>
          <w:bCs/>
          <w:lang w:val="en-US"/>
        </w:rPr>
        <w:t>Marketing Mix Strategy</w:t>
      </w:r>
    </w:p>
    <w:p>
      <w:pPr>
        <w:pStyle w:val="style179"/>
        <w:numPr>
          <w:ilvl w:val="0"/>
          <w:numId w:val="26"/>
        </w:numPr>
        <w:rPr>
          <w:lang w:val="en-US"/>
        </w:rPr>
      </w:pPr>
      <w:r>
        <w:rPr>
          <w:b/>
          <w:bCs/>
          <w:lang w:val="en-US"/>
        </w:rPr>
        <w:t>Product</w:t>
      </w:r>
      <w:r>
        <w:rPr>
          <w:lang w:val="en-US"/>
        </w:rPr>
        <w:t>:</w:t>
      </w:r>
      <w:r>
        <w:rPr>
          <w:lang w:val="en-US"/>
        </w:rPr>
        <w:t xml:space="preserve"> As per Kotler’s three product levels, Tesla’s core products will be core EVs, addressing mass-market concerns about quality, </w:t>
      </w:r>
      <w:r>
        <w:rPr>
          <w:lang w:val="en-US"/>
        </w:rPr>
        <w:t>performance</w:t>
      </w:r>
      <w:r>
        <w:rPr>
          <w:lang w:val="en-US"/>
        </w:rPr>
        <w:t xml:space="preserve"> and safety. Actual product will be based on its brand image, premium </w:t>
      </w:r>
      <w:r>
        <w:rPr>
          <w:lang w:val="en-US"/>
        </w:rPr>
        <w:t>design</w:t>
      </w:r>
      <w:r>
        <w:rPr>
          <w:lang w:val="en-US"/>
        </w:rPr>
        <w:t xml:space="preserve"> </w:t>
      </w:r>
      <w:r>
        <w:rPr>
          <w:lang w:val="en-US"/>
        </w:rPr>
        <w:t>and innovation</w:t>
      </w:r>
      <w:r>
        <w:rPr>
          <w:lang w:val="en-US"/>
        </w:rPr>
        <w:t xml:space="preserve">. The augmented product will be characterised by superior </w:t>
      </w:r>
      <w:r>
        <w:rPr>
          <w:lang w:val="en-US"/>
        </w:rPr>
        <w:t xml:space="preserve">test driving, </w:t>
      </w:r>
      <w:r>
        <w:rPr>
          <w:lang w:val="en-US"/>
        </w:rPr>
        <w:t xml:space="preserve">after-sales service, </w:t>
      </w:r>
      <w:r>
        <w:rPr>
          <w:lang w:val="en-US"/>
        </w:rPr>
        <w:t>warranty</w:t>
      </w:r>
      <w:r>
        <w:rPr>
          <w:lang w:val="en-US"/>
        </w:rPr>
        <w:t xml:space="preserve"> and product support. </w:t>
      </w:r>
    </w:p>
    <w:p>
      <w:pPr>
        <w:pStyle w:val="style179"/>
        <w:numPr>
          <w:ilvl w:val="0"/>
          <w:numId w:val="26"/>
        </w:numPr>
        <w:rPr>
          <w:lang w:val="en-US"/>
        </w:rPr>
      </w:pPr>
      <w:r>
        <w:rPr>
          <w:b/>
          <w:bCs/>
          <w:lang w:val="en-US"/>
        </w:rPr>
        <w:t>Price</w:t>
      </w:r>
      <w:r>
        <w:rPr>
          <w:lang w:val="en-US"/>
        </w:rPr>
        <w:t>:</w:t>
      </w:r>
      <w:r>
        <w:rPr>
          <w:lang w:val="en-US"/>
        </w:rPr>
        <w:t xml:space="preserve"> Tesla should leverage a transparent value-based pricing strategy to distinguish its products from competitors. Value-based pricing emphasises products' values and enhances customers' perceptions towards higher quality (</w:t>
      </w:r>
      <w:r>
        <w:rPr>
          <w:shd w:val="clear" w:color="auto" w:fill="ffffff"/>
        </w:rPr>
        <w:t>Arowolo, Ademola and Bakare, 2025</w:t>
      </w:r>
      <w:r>
        <w:rPr>
          <w:lang w:val="en-US"/>
        </w:rPr>
        <w:t xml:space="preserve">). </w:t>
      </w:r>
    </w:p>
    <w:p>
      <w:pPr>
        <w:pStyle w:val="style179"/>
        <w:numPr>
          <w:ilvl w:val="0"/>
          <w:numId w:val="26"/>
        </w:numPr>
        <w:rPr>
          <w:lang w:val="en-US"/>
        </w:rPr>
      </w:pPr>
      <w:r>
        <w:rPr>
          <w:b/>
          <w:bCs/>
          <w:lang w:val="en-US"/>
        </w:rPr>
        <w:t>Place</w:t>
      </w:r>
      <w:r>
        <w:rPr>
          <w:lang w:val="en-US"/>
        </w:rPr>
        <w:t>:</w:t>
      </w:r>
      <w:r>
        <w:rPr>
          <w:lang w:val="en-US"/>
        </w:rPr>
        <w:t xml:space="preserve"> Tesla should expand its distribution and implement a multi-channel distribution strategy, encompassing different channels including website, mobile application, third-party dealers, e-commerce </w:t>
      </w:r>
      <w:r>
        <w:rPr>
          <w:lang w:val="en-US"/>
        </w:rPr>
        <w:t>platforms</w:t>
      </w:r>
      <w:r>
        <w:rPr>
          <w:lang w:val="en-US"/>
        </w:rPr>
        <w:t xml:space="preserve"> and others. </w:t>
      </w:r>
    </w:p>
    <w:p>
      <w:pPr>
        <w:pStyle w:val="style179"/>
        <w:numPr>
          <w:ilvl w:val="0"/>
          <w:numId w:val="26"/>
        </w:numPr>
        <w:rPr>
          <w:lang w:val="en-US"/>
        </w:rPr>
      </w:pPr>
      <w:r>
        <w:rPr>
          <w:b/>
          <w:bCs/>
          <w:lang w:val="en-US"/>
        </w:rPr>
        <w:t>Promotions</w:t>
      </w:r>
      <w:r>
        <w:rPr>
          <w:lang w:val="en-US"/>
        </w:rPr>
        <w:t xml:space="preserve">: </w:t>
      </w:r>
      <w:r>
        <w:rPr>
          <w:lang w:val="en-US"/>
        </w:rPr>
        <w:t xml:space="preserve">It should integrate different marketing channels, including targeted paid advertisements, social media marketing, influencer </w:t>
      </w:r>
      <w:r>
        <w:rPr>
          <w:lang w:val="en-US"/>
        </w:rPr>
        <w:t>collaboration</w:t>
      </w:r>
      <w:r>
        <w:rPr>
          <w:lang w:val="en-US"/>
        </w:rPr>
        <w:t xml:space="preserve"> and word-of-mouth to promote its new product range to seize regulatory and technological </w:t>
      </w:r>
      <w:r>
        <w:rPr>
          <w:lang w:val="en-US"/>
        </w:rPr>
        <w:t xml:space="preserve">opportunities. For example, BMW has transformed its digital marketing, engaging with youths through social media and personalised content (Torossian, 2025). </w:t>
      </w:r>
    </w:p>
    <w:bookmarkStart w:id="8" w:name="_Toc210841456"/>
    <w:p>
      <w:pPr>
        <w:pStyle w:val="style2"/>
        <w:rPr/>
      </w:pPr>
      <w:r>
        <w:t>Marketing Strategies of Volkswagen</w:t>
      </w:r>
      <w:bookmarkEnd w:id="8"/>
    </w:p>
    <w:p>
      <w:pPr>
        <w:pStyle w:val="style0"/>
        <w:rPr>
          <w:lang w:val="en-US"/>
        </w:rPr>
      </w:pPr>
      <w:r>
        <w:rPr>
          <w:lang w:val="en-US"/>
        </w:rPr>
        <w:t>On the other hand, Volkswagen should expand its EV product range to explore the op</w:t>
      </w:r>
      <w:r>
        <w:rPr>
          <w:lang w:val="en-US"/>
        </w:rPr>
        <w:t xml:space="preserve">portunities resulting from the government's initiatives to incentivise EV purchase and environmental policies. </w:t>
      </w:r>
      <w:r>
        <w:rPr>
          <w:lang w:val="en-US"/>
        </w:rPr>
        <w:t xml:space="preserve">Moreover, the company should employ a cost leadership strategy to foster EV transition at budget-friendly prices. Volkswagen should shift its manufacturing hubs to the U.S and localise battery components to avoid tariffs and comply with protectionist policies. For example, Nissan has been shifting some of the domestic production to the U.S to reduce production costs and eliminate Trump's tariffs (Reuters, 2025). </w:t>
      </w:r>
      <w:r>
        <w:rPr>
          <w:lang w:val="en-US"/>
        </w:rPr>
        <w:t xml:space="preserve">Similarly, Volkswagen should strengthen local production through vertical integration and promote innovation in products and customer experience. </w:t>
      </w:r>
    </w:p>
    <w:p>
      <w:pPr>
        <w:pStyle w:val="style0"/>
        <w:rPr>
          <w:lang w:val="en-US"/>
        </w:rPr>
      </w:pPr>
      <w:r>
        <w:rPr>
          <w:lang w:val="en-US"/>
        </w:rPr>
        <w:t>In order to</w:t>
      </w:r>
      <w:r>
        <w:rPr>
          <w:lang w:val="en-US"/>
        </w:rPr>
        <w:t xml:space="preserve"> respond to the changes, Volkswagen should focus on becoming a diversified EV leader, focusing on quality, localised </w:t>
      </w:r>
      <w:r>
        <w:rPr>
          <w:lang w:val="en-US"/>
        </w:rPr>
        <w:t>distribution</w:t>
      </w:r>
      <w:r>
        <w:rPr>
          <w:lang w:val="en-US"/>
        </w:rPr>
        <w:t xml:space="preserve"> and innovation. As per the segmentation criteria, Volkswagen should target young individuals, families across Europe and the U.S, who value </w:t>
      </w:r>
      <w:r>
        <w:rPr>
          <w:lang w:val="en-US"/>
        </w:rPr>
        <w:t xml:space="preserve">sustainability, safety, </w:t>
      </w:r>
      <w:r>
        <w:rPr>
          <w:lang w:val="en-US"/>
        </w:rPr>
        <w:t>quality</w:t>
      </w:r>
      <w:r>
        <w:rPr>
          <w:lang w:val="en-US"/>
        </w:rPr>
        <w:t xml:space="preserve"> and innovation. </w:t>
      </w:r>
      <w:r>
        <w:rPr>
          <w:lang w:val="en-US"/>
        </w:rPr>
        <w:t xml:space="preserve">The brand should use a differentiated targeting strategy to attract both young individuals and families through technological innovation, personalised features, perceived </w:t>
      </w:r>
      <w:r>
        <w:rPr>
          <w:lang w:val="en-US"/>
        </w:rPr>
        <w:t>quality</w:t>
      </w:r>
      <w:r>
        <w:rPr>
          <w:lang w:val="en-US"/>
        </w:rPr>
        <w:t xml:space="preserve"> and safety over Tesla. </w:t>
      </w:r>
      <w:r>
        <w:rPr>
          <w:lang w:val="en-US"/>
        </w:rPr>
        <w:t xml:space="preserve">Thus, the positioning strategy will be based on safety, reliability, innovation, </w:t>
      </w:r>
      <w:r>
        <w:rPr>
          <w:lang w:val="en-US"/>
        </w:rPr>
        <w:t>sustainability</w:t>
      </w:r>
      <w:r>
        <w:rPr>
          <w:lang w:val="en-US"/>
        </w:rPr>
        <w:t xml:space="preserve"> and affordable pricing. </w:t>
      </w:r>
    </w:p>
    <w:p>
      <w:pPr>
        <w:pStyle w:val="style0"/>
        <w:jc w:val="center"/>
        <w:rPr>
          <w:b/>
          <w:bCs/>
          <w:lang w:val="en-US"/>
        </w:rPr>
      </w:pPr>
      <w:r>
        <w:rPr>
          <w:b/>
          <w:bCs/>
          <w:noProof/>
          <w:lang w:val="en-US"/>
        </w:rPr>
        <w:drawing>
          <wp:inline distL="0" distT="0" distB="0" distR="0">
            <wp:extent cx="4457700" cy="3088958"/>
            <wp:effectExtent l="19050" t="19050" r="19050" b="16510"/>
            <wp:docPr id="1030"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6" cstate="print"/>
                    <a:srcRect l="0" t="0" r="0" b="0"/>
                    <a:stretch/>
                  </pic:blipFill>
                  <pic:spPr>
                    <a:xfrm rot="0">
                      <a:off x="0" y="0"/>
                      <a:ext cx="4457700" cy="3088958"/>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b/>
          <w:bCs/>
          <w:lang w:val="en-US"/>
        </w:rPr>
      </w:pPr>
      <w:r>
        <w:rPr>
          <w:b/>
          <w:bCs/>
          <w:lang w:val="en-US"/>
        </w:rPr>
        <w:t>Figure 4: New Positioning Strategy of Volkswagen</w:t>
      </w:r>
    </w:p>
    <w:p>
      <w:pPr>
        <w:pStyle w:val="style0"/>
        <w:jc w:val="center"/>
        <w:rPr>
          <w:lang w:val="en-US"/>
        </w:rPr>
      </w:pPr>
      <w:r>
        <w:rPr>
          <w:lang w:val="en-US"/>
        </w:rPr>
        <w:t>(Source: Self-developed)</w:t>
      </w:r>
    </w:p>
    <w:p>
      <w:pPr>
        <w:pStyle w:val="style0"/>
        <w:rPr>
          <w:b/>
          <w:bCs/>
          <w:lang w:val="en-US"/>
        </w:rPr>
      </w:pPr>
      <w:r>
        <w:rPr>
          <w:b/>
          <w:bCs/>
          <w:lang w:val="en-US"/>
        </w:rPr>
        <w:t>Marketing Mix Strategy</w:t>
      </w:r>
    </w:p>
    <w:p>
      <w:pPr>
        <w:pStyle w:val="style179"/>
        <w:numPr>
          <w:ilvl w:val="0"/>
          <w:numId w:val="28"/>
        </w:numPr>
        <w:rPr>
          <w:lang w:val="en-US"/>
        </w:rPr>
      </w:pPr>
      <w:r>
        <w:rPr>
          <w:b/>
          <w:bCs/>
          <w:lang w:val="en-US"/>
        </w:rPr>
        <w:t>Product</w:t>
      </w:r>
      <w:r>
        <w:rPr>
          <w:lang w:val="en-US"/>
        </w:rPr>
        <w:t>:</w:t>
      </w:r>
      <w:r>
        <w:rPr>
          <w:lang w:val="en-US"/>
        </w:rPr>
        <w:t xml:space="preserve"> Volkswagen should introduce new EV models based on superior quality, performance, </w:t>
      </w:r>
      <w:r>
        <w:rPr>
          <w:lang w:val="en-US"/>
        </w:rPr>
        <w:t>safety</w:t>
      </w:r>
      <w:r>
        <w:rPr>
          <w:lang w:val="en-US"/>
        </w:rPr>
        <w:t xml:space="preserve"> and innovation. Its core product will be stylish and family-centric EV models, while the actual product will be its charging infrastructure, mobile test drive experience, </w:t>
      </w:r>
      <w:r>
        <w:rPr>
          <w:lang w:val="en-US"/>
        </w:rPr>
        <w:t>safety</w:t>
      </w:r>
      <w:r>
        <w:rPr>
          <w:lang w:val="en-US"/>
        </w:rPr>
        <w:t xml:space="preserve"> and reliability. Moreover, augmented product quality will include localised materials, immersive customer experience, customer </w:t>
      </w:r>
      <w:r>
        <w:rPr>
          <w:lang w:val="en-US"/>
        </w:rPr>
        <w:t>support</w:t>
      </w:r>
      <w:r>
        <w:rPr>
          <w:lang w:val="en-US"/>
        </w:rPr>
        <w:t xml:space="preserve"> and extended product warranty. </w:t>
      </w:r>
    </w:p>
    <w:p>
      <w:pPr>
        <w:pStyle w:val="style179"/>
        <w:numPr>
          <w:ilvl w:val="0"/>
          <w:numId w:val="28"/>
        </w:numPr>
        <w:rPr>
          <w:lang w:val="en-US"/>
        </w:rPr>
      </w:pPr>
      <w:r>
        <w:rPr>
          <w:b/>
          <w:bCs/>
          <w:lang w:val="en-US"/>
        </w:rPr>
        <w:t>Price:</w:t>
      </w:r>
      <w:r>
        <w:rPr>
          <w:lang w:val="en-US"/>
        </w:rPr>
        <w:t xml:space="preserve"> Volkswagen can implement a penetration pricing strategy to attract mass customers with a lower price for its EV than Tesla. According to </w:t>
      </w:r>
      <w:r>
        <w:rPr>
          <w:shd w:val="clear" w:color="auto" w:fill="ffffff"/>
        </w:rPr>
        <w:t xml:space="preserve">Erbil </w:t>
      </w:r>
      <w:r>
        <w:rPr>
          <w:lang w:val="en-US"/>
        </w:rPr>
        <w:t>(</w:t>
      </w:r>
      <w:r>
        <w:rPr>
          <w:lang w:val="en-US"/>
        </w:rPr>
        <w:t>2022</w:t>
      </w:r>
      <w:r>
        <w:rPr>
          <w:lang w:val="en-US"/>
        </w:rPr>
        <w:t xml:space="preserve">), penetration pricing is effective for new products that attract customers through lower pricing and influence their decision-making. </w:t>
      </w:r>
      <w:r>
        <w:rPr>
          <w:lang w:val="en-US"/>
        </w:rPr>
        <w:t xml:space="preserve">Thus, it would provide a competitive advantage to drive customers’ attention and retention. </w:t>
      </w:r>
    </w:p>
    <w:p>
      <w:pPr>
        <w:pStyle w:val="style179"/>
        <w:numPr>
          <w:ilvl w:val="0"/>
          <w:numId w:val="28"/>
        </w:numPr>
        <w:rPr>
          <w:lang w:val="en-US"/>
        </w:rPr>
      </w:pPr>
      <w:r>
        <w:rPr>
          <w:b/>
          <w:bCs/>
          <w:lang w:val="en-US"/>
        </w:rPr>
        <w:t>Place</w:t>
      </w:r>
      <w:r>
        <w:rPr>
          <w:lang w:val="en-US"/>
        </w:rPr>
        <w:t>:</w:t>
      </w:r>
      <w:r>
        <w:rPr>
          <w:lang w:val="en-US"/>
        </w:rPr>
        <w:t xml:space="preserve"> Volkswagen should maximise its distribution network by partnering with EV dealers and offering test drives to customers to experience the immersion and quality of its EVs. Moreover, the brand should distribute the product through retail </w:t>
      </w:r>
      <w:r>
        <w:rPr>
          <w:lang w:val="en-US"/>
        </w:rPr>
        <w:t xml:space="preserve">outlets, e-commerce </w:t>
      </w:r>
      <w:r>
        <w:rPr>
          <w:lang w:val="en-US"/>
        </w:rPr>
        <w:t>marketplaces</w:t>
      </w:r>
      <w:r>
        <w:rPr>
          <w:lang w:val="en-US"/>
        </w:rPr>
        <w:t xml:space="preserve"> and a direct website to enhance customer experiences. </w:t>
      </w:r>
    </w:p>
    <w:p>
      <w:pPr>
        <w:pStyle w:val="style179"/>
        <w:numPr>
          <w:ilvl w:val="0"/>
          <w:numId w:val="28"/>
        </w:numPr>
        <w:rPr>
          <w:lang w:val="en-US"/>
        </w:rPr>
      </w:pPr>
      <w:r>
        <w:rPr>
          <w:b/>
          <w:bCs/>
          <w:lang w:val="en-US"/>
        </w:rPr>
        <w:t>Promotion</w:t>
      </w:r>
      <w:r>
        <w:rPr>
          <w:lang w:val="en-US"/>
        </w:rPr>
        <w:t xml:space="preserve">: </w:t>
      </w:r>
      <w:r>
        <w:rPr>
          <w:lang w:val="en-US"/>
        </w:rPr>
        <w:t>In order to</w:t>
      </w:r>
      <w:r>
        <w:rPr>
          <w:lang w:val="en-US"/>
        </w:rPr>
        <w:t xml:space="preserve"> communicate with customers, Volkswagen should adopt an experiential marketing strategy, highlighting immersive experiences, 360-degree safety features and others. The brand should incorporate social media, direct marketing, celebrity endorsements, PR </w:t>
      </w:r>
      <w:r>
        <w:rPr>
          <w:lang w:val="en-US"/>
        </w:rPr>
        <w:t>campaigns</w:t>
      </w:r>
      <w:r>
        <w:rPr>
          <w:lang w:val="en-US"/>
        </w:rPr>
        <w:t xml:space="preserve"> and others to develop its marketing and promotional strategies. </w:t>
      </w:r>
    </w:p>
    <w:bookmarkStart w:id="9" w:name="_Toc210841457"/>
    <w:p>
      <w:pPr>
        <w:pStyle w:val="style1"/>
        <w:rPr/>
      </w:pPr>
      <w:r>
        <w:t>Conclusion</w:t>
      </w:r>
      <w:bookmarkEnd w:id="9"/>
    </w:p>
    <w:p>
      <w:pPr>
        <w:pStyle w:val="style0"/>
        <w:rPr>
          <w:lang w:val="en-US"/>
        </w:rPr>
      </w:pPr>
      <w:r>
        <w:rPr>
          <w:lang w:val="en-US"/>
        </w:rPr>
        <w:t xml:space="preserve">The report has presented the marketing environmental analysis of the pioneer (Tesla) and follower (Volkswagen) organisations. </w:t>
      </w:r>
      <w:r>
        <w:rPr>
          <w:lang w:val="en-US"/>
        </w:rPr>
        <w:t xml:space="preserve">As per the macro environment analysis, political and technological factors can impose significant opportunities and threats on both organisations. Tesla should adopt a differentiation strategy, and Volkswagen should implement a cost leadership strategy to respond to the opportunities and threats to maintain their competitiveness. </w:t>
      </w:r>
    </w:p>
    <w:p>
      <w:pPr>
        <w:pStyle w:val="style0"/>
        <w:spacing w:lineRule="auto" w:line="259"/>
        <w:jc w:val="left"/>
        <w:rPr>
          <w:b/>
          <w:lang w:val="en-US"/>
        </w:rPr>
      </w:pPr>
      <w:r>
        <w:br w:type="page"/>
      </w:r>
    </w:p>
    <w:bookmarkStart w:id="10" w:name="_Toc210841458"/>
    <w:p>
      <w:pPr>
        <w:pStyle w:val="style1"/>
        <w:rPr/>
      </w:pPr>
      <w:r>
        <w:t>References</w:t>
      </w:r>
      <w:bookmarkEnd w:id="10"/>
    </w:p>
    <w:bookmarkStart w:id="11" w:name="_Hlk210841295"/>
    <w:p>
      <w:pPr>
        <w:pStyle w:val="style0"/>
        <w:rPr>
          <w:shd w:val="clear" w:color="auto" w:fill="ffffff"/>
        </w:rPr>
      </w:pPr>
      <w:r>
        <w:rPr>
          <w:shd w:val="clear" w:color="auto" w:fill="ffffff"/>
        </w:rPr>
        <w:t xml:space="preserve">Arowolo, P.A., Ademola, M. and Bakare, O.W. (2025) ‘Pricing strategies and consumer purchase decision of automobile vehicle owners in Ekiti State, Nigeria’, </w:t>
      </w:r>
      <w:r>
        <w:rPr>
          <w:i/>
          <w:iCs/>
          <w:shd w:val="clear" w:color="auto" w:fill="ffffff"/>
        </w:rPr>
        <w:t>JABU International Journal of Social and Management Sciences</w:t>
      </w:r>
      <w:r>
        <w:rPr>
          <w:shd w:val="clear" w:color="auto" w:fill="ffffff"/>
        </w:rPr>
        <w:t>, </w:t>
      </w:r>
      <w:r>
        <w:rPr>
          <w:shd w:val="clear" w:color="auto" w:fill="ffffff"/>
        </w:rPr>
        <w:t>9</w:t>
      </w:r>
      <w:r>
        <w:rPr>
          <w:shd w:val="clear" w:color="auto" w:fill="ffffff"/>
        </w:rPr>
        <w:t xml:space="preserve">(2), pp.3-22. Available at: </w:t>
      </w:r>
      <w:r>
        <w:rPr/>
        <w:fldChar w:fldCharType="begin"/>
      </w:r>
      <w:r>
        <w:instrText xml:space="preserve"> HYPERLINK "https://jabu.edu.ng/wp-content/uploads/2025/06/1.-Pricing-Strategies-and-Consumer-Purchase-Decision-of-Automobile-Vehicle-Owners-in-Ekiti-State-Nigeria.pdf" </w:instrText>
      </w:r>
      <w:r>
        <w:rPr/>
        <w:fldChar w:fldCharType="separate"/>
      </w:r>
      <w:r>
        <w:rPr>
          <w:rStyle w:val="style85"/>
          <w:shd w:val="clear" w:color="auto" w:fill="ffffff"/>
        </w:rPr>
        <w:t>https://jabu.edu.ng/wp-content/uploads/2025/06/1.-Pricing-Strategies-and-Consumer-Purchase-Decision-of-Automobile-Vehicle-Owners-in-Ekiti-State-Nigeria.pdf</w:t>
      </w:r>
      <w:r>
        <w:rPr/>
        <w:fldChar w:fldCharType="end"/>
      </w:r>
      <w:r>
        <w:rPr>
          <w:shd w:val="clear" w:color="auto" w:fill="ffffff"/>
        </w:rPr>
        <w:t xml:space="preserve"> (Accessed: 10 October 2025).</w:t>
      </w:r>
    </w:p>
    <w:p>
      <w:pPr>
        <w:pStyle w:val="style0"/>
        <w:rPr>
          <w:shd w:val="clear" w:color="auto" w:fill="ffffff"/>
        </w:rPr>
      </w:pPr>
      <w:r>
        <w:rPr>
          <w:lang w:val="en-US"/>
        </w:rPr>
        <w:t xml:space="preserve">Clean Energy Wire (2025) </w:t>
      </w:r>
      <w:r>
        <w:rPr>
          <w:i/>
          <w:iCs/>
          <w:lang w:eastAsia="en-GB"/>
        </w:rPr>
        <w:t>Germany’s greenhouse gas emissions and energy transition targets</w:t>
      </w:r>
      <w:r>
        <w:rPr>
          <w:lang w:eastAsia="en-GB"/>
        </w:rPr>
        <w:t xml:space="preserve">. Available at: </w:t>
      </w:r>
      <w:r>
        <w:rPr/>
        <w:fldChar w:fldCharType="begin"/>
      </w:r>
      <w:r>
        <w:instrText xml:space="preserve"> HYPERLINK "https://www.cleanenergywire.org/factsheets/germanys-greenhouse-gas-emissions-and-climate-targets" </w:instrText>
      </w:r>
      <w:r>
        <w:rPr/>
        <w:fldChar w:fldCharType="separate"/>
      </w:r>
      <w:r>
        <w:rPr>
          <w:rStyle w:val="style85"/>
          <w:lang w:eastAsia="en-GB"/>
        </w:rPr>
        <w:t>https://www.cleanenergywire.org/factsheets/germanys-greenhouse-gas-emissions-and-climate-targets</w:t>
      </w:r>
      <w:r>
        <w:rPr/>
        <w:fldChar w:fldCharType="end"/>
      </w:r>
      <w:r>
        <w:rPr>
          <w:lang w:eastAsia="en-GB"/>
        </w:rPr>
        <w:t xml:space="preserve"> </w:t>
      </w:r>
      <w:r>
        <w:rPr>
          <w:shd w:val="clear" w:color="auto" w:fill="ffffff"/>
        </w:rPr>
        <w:t xml:space="preserve">(Accessed: 10 October 2025). </w:t>
      </w:r>
    </w:p>
    <w:p>
      <w:pPr>
        <w:pStyle w:val="style0"/>
        <w:rPr>
          <w:shd w:val="clear" w:color="auto" w:fill="ffffff"/>
        </w:rPr>
      </w:pPr>
      <w:r>
        <w:rPr>
          <w:lang w:val="en-US"/>
        </w:rPr>
        <w:t xml:space="preserve">Department of Transportation (2025) </w:t>
      </w:r>
      <w:r>
        <w:rPr>
          <w:i/>
          <w:iCs/>
          <w:lang w:eastAsia="en-GB"/>
        </w:rPr>
        <w:t>Electric Vehicles &amp; Rural Transportation</w:t>
      </w:r>
      <w:r>
        <w:rPr>
          <w:lang w:eastAsia="en-GB"/>
        </w:rPr>
        <w:t xml:space="preserve">. Available at: </w:t>
      </w:r>
      <w:r>
        <w:rPr/>
        <w:fldChar w:fldCharType="begin"/>
      </w:r>
      <w:r>
        <w:instrText xml:space="preserve"> HYPERLINK "https://www.transportation.gov/rural/ev" </w:instrText>
      </w:r>
      <w:r>
        <w:rPr/>
        <w:fldChar w:fldCharType="separate"/>
      </w:r>
      <w:r>
        <w:rPr>
          <w:rStyle w:val="style85"/>
          <w:lang w:eastAsia="en-GB"/>
        </w:rPr>
        <w:t>https://www.transportation.gov/rural/ev</w:t>
      </w:r>
      <w:r>
        <w:rPr/>
        <w:fldChar w:fldCharType="end"/>
      </w:r>
      <w:r>
        <w:rPr>
          <w:lang w:eastAsia="en-GB"/>
        </w:rPr>
        <w:t xml:space="preserve"> </w:t>
      </w:r>
      <w:r>
        <w:rPr>
          <w:shd w:val="clear" w:color="auto" w:fill="ffffff"/>
        </w:rPr>
        <w:t xml:space="preserve">(Accessed: 10 October 2025). </w:t>
      </w:r>
    </w:p>
    <w:p>
      <w:pPr>
        <w:pStyle w:val="style0"/>
        <w:rPr>
          <w:shd w:val="clear" w:color="auto" w:fill="ffffff"/>
        </w:rPr>
      </w:pPr>
      <w:r>
        <w:rPr>
          <w:lang w:val="en-US"/>
        </w:rPr>
        <w:t>Eckert, N. (2025) ‘</w:t>
      </w:r>
      <w:r>
        <w:rPr>
          <w:lang w:eastAsia="en-GB"/>
        </w:rPr>
        <w:t xml:space="preserve">End of EV tax subsidy sparks </w:t>
      </w:r>
      <w:r>
        <w:rPr>
          <w:lang w:eastAsia="en-GB"/>
        </w:rPr>
        <w:t>worries</w:t>
      </w:r>
      <w:r>
        <w:rPr>
          <w:lang w:eastAsia="en-GB"/>
        </w:rPr>
        <w:t xml:space="preserve"> of collapse in US electric car sales</w:t>
      </w:r>
      <w:r>
        <w:rPr>
          <w:lang w:eastAsia="en-GB"/>
        </w:rPr>
        <w:t xml:space="preserve">’, </w:t>
      </w:r>
      <w:r>
        <w:rPr>
          <w:i/>
          <w:iCs/>
          <w:lang w:eastAsia="en-GB"/>
        </w:rPr>
        <w:t>Reuters</w:t>
      </w:r>
      <w:r>
        <w:rPr>
          <w:lang w:eastAsia="en-GB"/>
        </w:rPr>
        <w:t xml:space="preserve">, 2 October. Available at: </w:t>
      </w:r>
      <w:r>
        <w:rPr/>
        <w:fldChar w:fldCharType="begin"/>
      </w:r>
      <w:r>
        <w:instrText xml:space="preserve"> HYPERLINK "https://www.reuters.com/business/autos-transportation/car-executives-fear-collapse-ev-sales-us-tax-subsidy-vanishes-2025-10-01/" </w:instrText>
      </w:r>
      <w:r>
        <w:rPr/>
        <w:fldChar w:fldCharType="separate"/>
      </w:r>
      <w:r>
        <w:rPr>
          <w:rStyle w:val="style85"/>
          <w:lang w:eastAsia="en-GB"/>
        </w:rPr>
        <w:t>https://www.reuters.com/business/autos-transportation/car-executives-fear-collapse-ev-sales-us-tax-subsidy-vanishes-2025-10-01/</w:t>
      </w:r>
      <w:r>
        <w:rPr/>
        <w:fldChar w:fldCharType="end"/>
      </w:r>
      <w:r>
        <w:rPr>
          <w:lang w:eastAsia="en-GB"/>
        </w:rPr>
        <w:t xml:space="preserve"> </w:t>
      </w:r>
      <w:r>
        <w:rPr>
          <w:shd w:val="clear" w:color="auto" w:fill="ffffff"/>
        </w:rPr>
        <w:t xml:space="preserve">(Accessed: 10 October 2025). </w:t>
      </w:r>
    </w:p>
    <w:p>
      <w:pPr>
        <w:pStyle w:val="style0"/>
        <w:rPr>
          <w:shd w:val="clear" w:color="auto" w:fill="ffffff"/>
        </w:rPr>
      </w:pPr>
      <w:r>
        <w:rPr>
          <w:lang w:val="en-US"/>
        </w:rPr>
        <w:t xml:space="preserve">EPA (2024) </w:t>
      </w:r>
      <w:r>
        <w:rPr>
          <w:i/>
          <w:iCs/>
          <w:lang w:eastAsia="en-GB"/>
        </w:rPr>
        <w:t>Biden-Harris Administration finalizes strongest-ever pollution standards for cars that position U.S. companies and workers to lead the clean vehicle future, protect public health, address the climate crisis, save drivers money.</w:t>
      </w:r>
      <w:r>
        <w:rPr>
          <w:lang w:eastAsia="en-GB"/>
        </w:rPr>
        <w:t xml:space="preserve"> Available at: </w:t>
      </w:r>
      <w:r>
        <w:rPr/>
        <w:fldChar w:fldCharType="begin"/>
      </w:r>
      <w:r>
        <w:instrText xml:space="preserve"> HYPERLINK "https://www.epa.gov/newsreleases/biden-harris-administration-finalizes-strongest-ever-pollution-standards-cars-position" </w:instrText>
      </w:r>
      <w:r>
        <w:rPr/>
        <w:fldChar w:fldCharType="separate"/>
      </w:r>
      <w:r>
        <w:rPr>
          <w:rStyle w:val="style85"/>
          <w:lang w:eastAsia="en-GB"/>
        </w:rPr>
        <w:t>https://www.epa.gov/newsreleases/biden-harris-administration-finalizes-strongest-ever-pollution-standards-cars-position</w:t>
      </w:r>
      <w:r>
        <w:rPr/>
        <w:fldChar w:fldCharType="end"/>
      </w:r>
      <w:r>
        <w:rPr>
          <w:lang w:eastAsia="en-GB"/>
        </w:rPr>
        <w:t xml:space="preserve"> </w:t>
      </w:r>
      <w:r>
        <w:rPr>
          <w:shd w:val="clear" w:color="auto" w:fill="ffffff"/>
        </w:rPr>
        <w:t xml:space="preserve">(Accessed: 10 October 2025). </w:t>
      </w:r>
    </w:p>
    <w:p>
      <w:pPr>
        <w:pStyle w:val="style0"/>
        <w:rPr>
          <w:shd w:val="clear" w:color="auto" w:fill="ffffff"/>
        </w:rPr>
      </w:pPr>
      <w:r>
        <w:rPr>
          <w:shd w:val="clear" w:color="auto" w:fill="ffffff"/>
        </w:rPr>
        <w:t>Erbil, K. (2022) ‘Penetration Pricing Strategy and Customer Retention–An Analysis’, </w:t>
      </w:r>
      <w:r>
        <w:rPr>
          <w:i/>
          <w:iCs/>
          <w:shd w:val="clear" w:color="auto" w:fill="ffffff"/>
        </w:rPr>
        <w:t xml:space="preserve">Journal of Positive School Psychology, </w:t>
      </w:r>
      <w:r>
        <w:rPr>
          <w:shd w:val="clear" w:color="auto" w:fill="ffffff"/>
        </w:rPr>
        <w:t>6(</w:t>
      </w:r>
      <w:r>
        <w:rPr>
          <w:shd w:val="clear" w:color="auto" w:fill="ffffff"/>
        </w:rPr>
        <w:t xml:space="preserve">5), pp.7058-7072. Available at: </w:t>
      </w:r>
      <w:r>
        <w:rPr/>
        <w:fldChar w:fldCharType="begin"/>
      </w:r>
      <w:r>
        <w:instrText xml:space="preserve"> HYPERLINK "https://www.researchgate.net/profile/Sarah-Azad-Fouad-Arif/publication/362113459_Penetration_Pricing_Strategy_and_Customer_Retention_-An_Analysis/links/638fb877e42faa7e759dbe0a/Penetration-Pricing-Strategy-and-Customer-Retention-An-Analysis.pdf" </w:instrText>
      </w:r>
      <w:r>
        <w:rPr/>
        <w:fldChar w:fldCharType="separate"/>
      </w:r>
      <w:r>
        <w:rPr>
          <w:rStyle w:val="style85"/>
          <w:shd w:val="clear" w:color="auto" w:fill="ffffff"/>
        </w:rPr>
        <w:t>https://www.researchgate.net/profile/Sarah-Azad-Fouad-Arif/publication/362113459_Penetration_Pricing_Strategy_and_Customer_Retention_-An_Analysis/links/638fb877e42faa7e759dbe0a/Penetration-Pricing-Strategy-and-Customer-Retention-An-Analysis.pdf</w:t>
      </w:r>
      <w:r>
        <w:rPr/>
        <w:fldChar w:fldCharType="end"/>
      </w:r>
      <w:r>
        <w:rPr>
          <w:shd w:val="clear" w:color="auto" w:fill="ffffff"/>
        </w:rPr>
        <w:t xml:space="preserve"> (Accessed: 10 October 2025). </w:t>
      </w:r>
    </w:p>
    <w:p>
      <w:pPr>
        <w:pStyle w:val="style0"/>
        <w:rPr>
          <w:shd w:val="clear" w:color="auto" w:fill="ffffff"/>
        </w:rPr>
      </w:pPr>
      <w:r>
        <w:rPr>
          <w:lang w:val="en-US"/>
        </w:rPr>
        <w:t>Europarl</w:t>
      </w:r>
      <w:r>
        <w:rPr>
          <w:lang w:val="en-US"/>
        </w:rPr>
        <w:t xml:space="preserve"> (2025) </w:t>
      </w:r>
      <w:r>
        <w:rPr>
          <w:i/>
          <w:iCs/>
          <w:lang w:eastAsia="en-GB"/>
        </w:rPr>
        <w:t>Data leak affecting owners of Volkswagen Group electric vehicles</w:t>
      </w:r>
      <w:r>
        <w:rPr>
          <w:lang w:eastAsia="en-GB"/>
        </w:rPr>
        <w:t xml:space="preserve">. Available at: </w:t>
      </w:r>
      <w:r>
        <w:rPr/>
        <w:fldChar w:fldCharType="begin"/>
      </w:r>
      <w:r>
        <w:instrText xml:space="preserve"> HYPERLINK "https://www.europarl.europa.eu/doceo/document/E-10-2025-000182_EN.html" </w:instrText>
      </w:r>
      <w:r>
        <w:rPr/>
        <w:fldChar w:fldCharType="separate"/>
      </w:r>
      <w:r>
        <w:rPr>
          <w:rStyle w:val="style85"/>
          <w:lang w:eastAsia="en-GB"/>
        </w:rPr>
        <w:t>https://www.europarl.europa.eu/doceo/document/E-10-2025-000182_EN.html</w:t>
      </w:r>
      <w:r>
        <w:rPr/>
        <w:fldChar w:fldCharType="end"/>
      </w:r>
      <w:r>
        <w:rPr>
          <w:lang w:eastAsia="en-GB"/>
        </w:rPr>
        <w:t xml:space="preserve"> </w:t>
      </w:r>
      <w:r>
        <w:rPr>
          <w:shd w:val="clear" w:color="auto" w:fill="ffffff"/>
        </w:rPr>
        <w:t xml:space="preserve">(Accessed: 10 October 2025). </w:t>
      </w:r>
    </w:p>
    <w:p>
      <w:pPr>
        <w:pStyle w:val="style0"/>
        <w:rPr>
          <w:shd w:val="clear" w:color="auto" w:fill="ffffff"/>
        </w:rPr>
      </w:pPr>
      <w:r>
        <w:rPr>
          <w:lang w:val="en-US"/>
        </w:rPr>
        <w:t xml:space="preserve">European Commission (2025) </w:t>
      </w:r>
      <w:r>
        <w:rPr>
          <w:i/>
          <w:iCs/>
          <w:lang w:eastAsia="en-GB"/>
        </w:rPr>
        <w:t>Germany Launches New Incentive Plans for Electric Vehicles</w:t>
      </w:r>
      <w:r>
        <w:rPr>
          <w:lang w:eastAsia="en-GB"/>
        </w:rPr>
        <w:t xml:space="preserve">. Available at: </w:t>
      </w:r>
      <w:r>
        <w:rPr/>
        <w:fldChar w:fldCharType="begin"/>
      </w:r>
      <w:r>
        <w:instrText xml:space="preserve"> HYPERLINK "https://alternative-fuels-observatory.ec.europa.eu/general-information/news/germany-launches-new-incentive-plans-electric-vehicles" </w:instrText>
      </w:r>
      <w:r>
        <w:rPr/>
        <w:fldChar w:fldCharType="separate"/>
      </w:r>
      <w:r>
        <w:rPr>
          <w:rStyle w:val="style85"/>
          <w:lang w:eastAsia="en-GB"/>
        </w:rPr>
        <w:t>https://alternative-fuels-observatory.ec.europa.eu/general-information/news/germany-launches-new-incentive-plans-electric-vehicles</w:t>
      </w:r>
      <w:r>
        <w:rPr/>
        <w:fldChar w:fldCharType="end"/>
      </w:r>
      <w:r>
        <w:rPr>
          <w:lang w:eastAsia="en-GB"/>
        </w:rPr>
        <w:t xml:space="preserve"> </w:t>
      </w:r>
      <w:r>
        <w:rPr>
          <w:shd w:val="clear" w:color="auto" w:fill="ffffff"/>
        </w:rPr>
        <w:t xml:space="preserve">(Accessed: 10 October 2025). </w:t>
      </w:r>
    </w:p>
    <w:p>
      <w:pPr>
        <w:pStyle w:val="style0"/>
        <w:rPr>
          <w:shd w:val="clear" w:color="auto" w:fill="ffffff"/>
        </w:rPr>
      </w:pPr>
      <w:r>
        <w:rPr>
          <w:shd w:val="clear" w:color="auto" w:fill="ffffff"/>
        </w:rPr>
        <w:t>Farida, I. and Setiawan, D. (2022) ‘Business strategies and competitive advantage: the role of performance and innovation’, </w:t>
      </w:r>
      <w:r>
        <w:rPr>
          <w:i/>
          <w:iCs/>
          <w:shd w:val="clear" w:color="auto" w:fill="ffffff"/>
        </w:rPr>
        <w:t>Journal of open innovation: Technology, market, and complexity</w:t>
      </w:r>
      <w:r>
        <w:rPr>
          <w:shd w:val="clear" w:color="auto" w:fill="ffffff"/>
        </w:rPr>
        <w:t>, </w:t>
      </w:r>
      <w:r>
        <w:rPr>
          <w:shd w:val="clear" w:color="auto" w:fill="ffffff"/>
        </w:rPr>
        <w:t>8</w:t>
      </w:r>
      <w:r>
        <w:rPr>
          <w:shd w:val="clear" w:color="auto" w:fill="ffffff"/>
        </w:rPr>
        <w:t xml:space="preserve">(3), p.163. Available at: </w:t>
      </w:r>
      <w:r>
        <w:rPr/>
        <w:fldChar w:fldCharType="begin"/>
      </w:r>
      <w:r>
        <w:instrText xml:space="preserve"> HYPERLINK "https://www.sciencedirect.com/science/article/pii/S2199853122007648" </w:instrText>
      </w:r>
      <w:r>
        <w:rPr/>
        <w:fldChar w:fldCharType="separate"/>
      </w:r>
      <w:r>
        <w:rPr>
          <w:rStyle w:val="style85"/>
          <w:shd w:val="clear" w:color="auto" w:fill="ffffff"/>
        </w:rPr>
        <w:t>https://www.sciencedirect.com/science/article/pii/S2199853122007648</w:t>
      </w:r>
      <w:r>
        <w:rPr/>
        <w:fldChar w:fldCharType="end"/>
      </w:r>
      <w:r>
        <w:rPr>
          <w:shd w:val="clear" w:color="auto" w:fill="ffffff"/>
        </w:rPr>
        <w:t xml:space="preserve"> (Accessed: 10 October 2025). </w:t>
      </w:r>
    </w:p>
    <w:p>
      <w:pPr>
        <w:pStyle w:val="style0"/>
        <w:rPr>
          <w:shd w:val="clear" w:color="auto" w:fill="ffffff"/>
        </w:rPr>
      </w:pPr>
      <w:r>
        <w:rPr>
          <w:lang w:val="en-US"/>
        </w:rPr>
        <w:t>Isidore, C. (2025) ‘</w:t>
      </w:r>
      <w:r>
        <w:rPr>
          <w:lang w:eastAsia="en-GB"/>
        </w:rPr>
        <w:t>Why Tesla now needs the EV tax credit that Musk once said should go away</w:t>
      </w:r>
      <w:r>
        <w:rPr>
          <w:lang w:eastAsia="en-GB"/>
        </w:rPr>
        <w:t xml:space="preserve">’, </w:t>
      </w:r>
      <w:r>
        <w:rPr>
          <w:i/>
          <w:iCs/>
          <w:lang w:eastAsia="en-GB"/>
        </w:rPr>
        <w:t>CNN Business</w:t>
      </w:r>
      <w:r>
        <w:rPr>
          <w:lang w:eastAsia="en-GB"/>
        </w:rPr>
        <w:t xml:space="preserve">, June 5. Available at: </w:t>
      </w:r>
      <w:r>
        <w:rPr/>
        <w:fldChar w:fldCharType="begin"/>
      </w:r>
      <w:r>
        <w:instrText xml:space="preserve"> HYPERLINK "https://edition.cnn.com/2025/06/05/business/musk-trump-tesla-ev-tax-credit" </w:instrText>
      </w:r>
      <w:r>
        <w:rPr/>
        <w:fldChar w:fldCharType="separate"/>
      </w:r>
      <w:r>
        <w:rPr>
          <w:rStyle w:val="style85"/>
          <w:lang w:eastAsia="en-GB"/>
        </w:rPr>
        <w:t>https://edition.cnn.com/2025/06/05/business/musk-trump-tesla-ev-tax-credit</w:t>
      </w:r>
      <w:r>
        <w:rPr/>
        <w:fldChar w:fldCharType="end"/>
      </w:r>
      <w:r>
        <w:rPr>
          <w:lang w:eastAsia="en-GB"/>
        </w:rPr>
        <w:t xml:space="preserve"> </w:t>
      </w:r>
      <w:r>
        <w:rPr>
          <w:shd w:val="clear" w:color="auto" w:fill="ffffff"/>
        </w:rPr>
        <w:t xml:space="preserve">(Accessed: 10 October 2025). </w:t>
      </w:r>
    </w:p>
    <w:p>
      <w:pPr>
        <w:pStyle w:val="style0"/>
        <w:rPr>
          <w:shd w:val="clear" w:color="auto" w:fill="ffffff"/>
        </w:rPr>
      </w:pPr>
      <w:r>
        <w:rPr>
          <w:lang w:val="en-US"/>
        </w:rPr>
        <w:t xml:space="preserve">Kennedy, B., Kikuchi, </w:t>
      </w:r>
      <w:r>
        <w:rPr>
          <w:lang w:val="en-US"/>
        </w:rPr>
        <w:t>E.</w:t>
      </w:r>
      <w:r>
        <w:rPr>
          <w:lang w:val="en-US"/>
        </w:rPr>
        <w:t xml:space="preserve"> and Tyson, A. (2025) ‘</w:t>
      </w:r>
      <w:r>
        <w:rPr>
          <w:lang w:eastAsia="en-GB"/>
        </w:rPr>
        <w:t>Americans’ interest in purchasing electric and hybrid vehicles</w:t>
      </w:r>
      <w:r>
        <w:rPr>
          <w:lang w:eastAsia="en-GB"/>
        </w:rPr>
        <w:t xml:space="preserve">’, </w:t>
      </w:r>
      <w:r>
        <w:rPr>
          <w:i/>
          <w:iCs/>
          <w:lang w:eastAsia="en-GB"/>
        </w:rPr>
        <w:t>Pew Research Center</w:t>
      </w:r>
      <w:r>
        <w:rPr>
          <w:lang w:eastAsia="en-GB"/>
        </w:rPr>
        <w:t xml:space="preserve">. Available at: </w:t>
      </w:r>
      <w:r>
        <w:rPr/>
        <w:fldChar w:fldCharType="begin"/>
      </w:r>
      <w:r>
        <w:instrText xml:space="preserve"> HYPERLINK "https://www.pewresearch.org/science/2025/06/05/americans-interest-in-purchasing-electric-and-hybrid-vehicles/" </w:instrText>
      </w:r>
      <w:r>
        <w:rPr/>
        <w:fldChar w:fldCharType="separate"/>
      </w:r>
      <w:r>
        <w:rPr>
          <w:rStyle w:val="style85"/>
          <w:lang w:eastAsia="en-GB"/>
        </w:rPr>
        <w:t>https://www.pewresearch.org/science/2025/06/05/americans-interest-in-purchasing-electric-and-hybrid-vehicles/</w:t>
      </w:r>
      <w:r>
        <w:rPr/>
        <w:fldChar w:fldCharType="end"/>
      </w:r>
      <w:r>
        <w:rPr>
          <w:lang w:eastAsia="en-GB"/>
        </w:rPr>
        <w:t xml:space="preserve"> </w:t>
      </w:r>
      <w:r>
        <w:rPr>
          <w:shd w:val="clear" w:color="auto" w:fill="ffffff"/>
        </w:rPr>
        <w:t xml:space="preserve">(Accessed: 10 October 2025). </w:t>
      </w:r>
    </w:p>
    <w:p>
      <w:pPr>
        <w:pStyle w:val="style0"/>
        <w:rPr>
          <w:shd w:val="clear" w:color="auto" w:fill="ffffff"/>
        </w:rPr>
      </w:pPr>
      <w:r>
        <w:rPr>
          <w:lang w:val="en-US"/>
        </w:rPr>
        <w:t>Kharpal</w:t>
      </w:r>
      <w:r>
        <w:rPr>
          <w:lang w:val="en-US"/>
        </w:rPr>
        <w:t>, A. and Iordache, R. (2025) ‘</w:t>
      </w:r>
      <w:r>
        <w:rPr>
          <w:lang w:eastAsia="en-GB"/>
        </w:rPr>
        <w:t>Musk says Tesla is training an upgraded Full Self-Driving model which could be released next month</w:t>
      </w:r>
      <w:r>
        <w:rPr>
          <w:lang w:eastAsia="en-GB"/>
        </w:rPr>
        <w:t xml:space="preserve">’, </w:t>
      </w:r>
      <w:r>
        <w:rPr>
          <w:i/>
          <w:iCs/>
          <w:lang w:eastAsia="en-GB"/>
        </w:rPr>
        <w:t>CNBC</w:t>
      </w:r>
      <w:r>
        <w:rPr>
          <w:lang w:eastAsia="en-GB"/>
        </w:rPr>
        <w:t xml:space="preserve">, 6 August. Available at: </w:t>
      </w:r>
      <w:r>
        <w:rPr/>
        <w:fldChar w:fldCharType="begin"/>
      </w:r>
      <w:r>
        <w:instrText xml:space="preserve"> HYPERLINK "https://www.cnbc.com/2025/08/06/tesla-training-improved-full-self-driving-fsd-model-could-release-next-month.html" </w:instrText>
      </w:r>
      <w:r>
        <w:rPr/>
        <w:fldChar w:fldCharType="separate"/>
      </w:r>
      <w:r>
        <w:rPr>
          <w:rStyle w:val="style85"/>
          <w:lang w:eastAsia="en-GB"/>
        </w:rPr>
        <w:t>https://www.cnbc.com/2025/08/06/tesla-training-improved-full-self-driving-fsd-model-could-release-next-month.html</w:t>
      </w:r>
      <w:r>
        <w:rPr/>
        <w:fldChar w:fldCharType="end"/>
      </w:r>
      <w:r>
        <w:rPr>
          <w:lang w:eastAsia="en-GB"/>
        </w:rPr>
        <w:t xml:space="preserve"> </w:t>
      </w:r>
      <w:r>
        <w:rPr>
          <w:shd w:val="clear" w:color="auto" w:fill="ffffff"/>
        </w:rPr>
        <w:t xml:space="preserve">(Accessed: 10 October 2025). </w:t>
      </w:r>
    </w:p>
    <w:p>
      <w:pPr>
        <w:pStyle w:val="style0"/>
        <w:rPr>
          <w:shd w:val="clear" w:color="auto" w:fill="ffffff"/>
        </w:rPr>
      </w:pPr>
      <w:r>
        <w:rPr>
          <w:lang w:val="en-US"/>
        </w:rPr>
        <w:t>Kolodny, L. and Levy, A. (2025) ‘</w:t>
      </w:r>
      <w:r>
        <w:rPr>
          <w:lang w:eastAsia="en-GB"/>
        </w:rPr>
        <w:t>Here’s what Elon Musk said about tariffs and their potential effect on Tesla</w:t>
      </w:r>
      <w:r>
        <w:rPr>
          <w:lang w:eastAsia="en-GB"/>
        </w:rPr>
        <w:t xml:space="preserve">’, </w:t>
      </w:r>
      <w:r>
        <w:rPr>
          <w:i/>
          <w:iCs/>
          <w:lang w:eastAsia="en-GB"/>
        </w:rPr>
        <w:t>CNBC,</w:t>
      </w:r>
      <w:r>
        <w:rPr>
          <w:lang w:eastAsia="en-GB"/>
        </w:rPr>
        <w:t xml:space="preserve"> 22 April. Available at: </w:t>
      </w:r>
      <w:r>
        <w:rPr/>
        <w:fldChar w:fldCharType="begin"/>
      </w:r>
      <w:r>
        <w:instrText xml:space="preserve"> HYPERLINK "https://www.cnbc.com/2025/04/22/what-elon-musk-said-about-tariffs-and-their-potential-effect-on-tesla.html" </w:instrText>
      </w:r>
      <w:r>
        <w:rPr/>
        <w:fldChar w:fldCharType="separate"/>
      </w:r>
      <w:r>
        <w:rPr>
          <w:rStyle w:val="style85"/>
          <w:lang w:eastAsia="en-GB"/>
        </w:rPr>
        <w:t>https://www.cnbc.com/2025/04/22/what-elon-musk-said-about-tariffs-and-their-potential-effect-on-tesla.html</w:t>
      </w:r>
      <w:r>
        <w:rPr/>
        <w:fldChar w:fldCharType="end"/>
      </w:r>
      <w:r>
        <w:rPr>
          <w:lang w:eastAsia="en-GB"/>
        </w:rPr>
        <w:t xml:space="preserve"> </w:t>
      </w:r>
      <w:r>
        <w:rPr>
          <w:shd w:val="clear" w:color="auto" w:fill="ffffff"/>
        </w:rPr>
        <w:t xml:space="preserve">(Accessed: 10 October 2025). </w:t>
      </w:r>
    </w:p>
    <w:p>
      <w:pPr>
        <w:pStyle w:val="style0"/>
        <w:rPr>
          <w:shd w:val="clear" w:color="auto" w:fill="ffffff"/>
        </w:rPr>
      </w:pPr>
      <w:r>
        <w:rPr>
          <w:lang w:val="en-US"/>
        </w:rPr>
        <w:t>McKnight, L. and Farhrni, S. (2024) ‘</w:t>
      </w:r>
      <w:r>
        <w:rPr>
          <w:lang w:eastAsia="en-GB"/>
        </w:rPr>
        <w:t>How to navigate sustainability in the automotive industry</w:t>
      </w:r>
      <w:r>
        <w:rPr>
          <w:lang w:eastAsia="en-GB"/>
        </w:rPr>
        <w:t xml:space="preserve">’, </w:t>
      </w:r>
      <w:r>
        <w:rPr>
          <w:i/>
          <w:iCs/>
          <w:lang w:eastAsia="en-GB"/>
        </w:rPr>
        <w:t>World Economic Forum.</w:t>
      </w:r>
      <w:r>
        <w:rPr>
          <w:lang w:eastAsia="en-GB"/>
        </w:rPr>
        <w:t xml:space="preserve"> Available at: </w:t>
      </w:r>
      <w:r>
        <w:rPr/>
        <w:fldChar w:fldCharType="begin"/>
      </w:r>
      <w:r>
        <w:instrText xml:space="preserve"> HYPERLINK "https://www.weforum.org/stories/2024/05/how-to-navigate-sustainability-in-the-automotive-industry/" </w:instrText>
      </w:r>
      <w:r>
        <w:rPr/>
        <w:fldChar w:fldCharType="separate"/>
      </w:r>
      <w:r>
        <w:rPr>
          <w:rStyle w:val="style85"/>
          <w:lang w:eastAsia="en-GB"/>
        </w:rPr>
        <w:t>https://www.weforum.org/stories/2024/05/how-to-navigate-sustainability-in-the-automotive-industry/</w:t>
      </w:r>
      <w:r>
        <w:rPr/>
        <w:fldChar w:fldCharType="end"/>
      </w:r>
      <w:r>
        <w:rPr>
          <w:lang w:eastAsia="en-GB"/>
        </w:rPr>
        <w:t xml:space="preserve"> </w:t>
      </w:r>
      <w:r>
        <w:rPr>
          <w:shd w:val="clear" w:color="auto" w:fill="ffffff"/>
        </w:rPr>
        <w:t xml:space="preserve">(Accessed: 10 October 2025). </w:t>
      </w:r>
    </w:p>
    <w:p>
      <w:pPr>
        <w:pStyle w:val="style0"/>
        <w:rPr>
          <w:lang w:eastAsia="en-GB"/>
        </w:rPr>
      </w:pPr>
      <w:r>
        <w:rPr/>
        <w:fldChar w:fldCharType="begin"/>
      </w:r>
      <w:r>
        <w:instrText xml:space="preserve"> HYPERLINK "https://www.cnbc.com/sam-meredith/" </w:instrText>
      </w:r>
      <w:r>
        <w:rPr/>
        <w:fldChar w:fldCharType="separate"/>
      </w:r>
      <w:r>
        <w:t>Meredith</w:t>
      </w:r>
      <w:r>
        <w:rPr/>
        <w:fldChar w:fldCharType="end"/>
      </w:r>
      <w:r>
        <w:t>, S. (2025) ‘</w:t>
      </w:r>
      <w:r>
        <w:rPr>
          <w:lang w:eastAsia="en-GB"/>
        </w:rPr>
        <w:t>Volkswagen cuts guidance after taking $1.5 billion hit from U.S. tariffs in first half</w:t>
      </w:r>
      <w:r>
        <w:rPr>
          <w:lang w:eastAsia="en-GB"/>
        </w:rPr>
        <w:t xml:space="preserve">’. </w:t>
      </w:r>
      <w:r>
        <w:rPr>
          <w:i/>
          <w:iCs/>
          <w:lang w:eastAsia="en-GB"/>
        </w:rPr>
        <w:t>CNBC</w:t>
      </w:r>
      <w:r>
        <w:rPr>
          <w:lang w:eastAsia="en-GB"/>
        </w:rPr>
        <w:t xml:space="preserve">, 25 July. Available at: </w:t>
      </w:r>
      <w:r>
        <w:rPr/>
        <w:fldChar w:fldCharType="begin"/>
      </w:r>
      <w:r>
        <w:instrText xml:space="preserve"> HYPERLINK "https://www.cnbc.com/2025/07/25/volkswagen-posts-29percent-drop-in-second-quarter-profit-as-tariffs-hit-hard.html" </w:instrText>
      </w:r>
      <w:r>
        <w:rPr/>
        <w:fldChar w:fldCharType="separate"/>
      </w:r>
      <w:r>
        <w:rPr>
          <w:rStyle w:val="style85"/>
          <w:lang w:eastAsia="en-GB"/>
        </w:rPr>
        <w:t>https://www.cnbc.com/2025/07/25/volkswagen-posts-29percent-drop-in-second-quarter-profit-as-tariffs-hit-hard.html</w:t>
      </w:r>
      <w:r>
        <w:rPr/>
        <w:fldChar w:fldCharType="end"/>
      </w:r>
      <w:r>
        <w:rPr>
          <w:lang w:eastAsia="en-GB"/>
        </w:rPr>
        <w:t xml:space="preserve"> </w:t>
      </w:r>
      <w:r>
        <w:rPr>
          <w:shd w:val="clear" w:color="auto" w:fill="ffffff"/>
        </w:rPr>
        <w:t xml:space="preserve">(Accessed: 10 October 2025). </w:t>
      </w:r>
    </w:p>
    <w:p>
      <w:pPr>
        <w:pStyle w:val="style0"/>
        <w:rPr>
          <w:shd w:val="clear" w:color="auto" w:fill="ffffff"/>
        </w:rPr>
      </w:pPr>
      <w:r>
        <w:rPr>
          <w:shd w:val="clear" w:color="auto" w:fill="ffffff"/>
        </w:rPr>
        <w:t xml:space="preserve">Muhammad, Z., Anwar, Z., Saleem, B. and Shahid, J. (2023) ‘Emerging cybersecurity and privacy threats to electric vehicles and their impact on human and environmental sustainability’, </w:t>
      </w:r>
      <w:r>
        <w:rPr>
          <w:i/>
          <w:iCs/>
          <w:shd w:val="clear" w:color="auto" w:fill="ffffff"/>
        </w:rPr>
        <w:t>Energies</w:t>
      </w:r>
      <w:r>
        <w:rPr>
          <w:shd w:val="clear" w:color="auto" w:fill="ffffff"/>
        </w:rPr>
        <w:t>, </w:t>
      </w:r>
      <w:r>
        <w:rPr>
          <w:shd w:val="clear" w:color="auto" w:fill="ffffff"/>
        </w:rPr>
        <w:t>16</w:t>
      </w:r>
      <w:r>
        <w:rPr>
          <w:shd w:val="clear" w:color="auto" w:fill="ffffff"/>
        </w:rPr>
        <w:t xml:space="preserve">(3), p.1113. Available at: </w:t>
      </w:r>
      <w:r>
        <w:rPr/>
        <w:fldChar w:fldCharType="begin"/>
      </w:r>
      <w:r>
        <w:instrText xml:space="preserve"> HYPERLINK "https://doi.org/10.3390/en16031113" </w:instrText>
      </w:r>
      <w:r>
        <w:rPr/>
        <w:fldChar w:fldCharType="separate"/>
      </w:r>
      <w:r>
        <w:rPr>
          <w:rStyle w:val="style85"/>
          <w:shd w:val="clear" w:color="auto" w:fill="ffffff"/>
        </w:rPr>
        <w:t>https://doi.org/10.3390/en16031113</w:t>
      </w:r>
      <w:r>
        <w:rPr/>
        <w:fldChar w:fldCharType="end"/>
      </w:r>
      <w:r>
        <w:rPr>
          <w:shd w:val="clear" w:color="auto" w:fill="ffffff"/>
        </w:rPr>
        <w:t xml:space="preserve"> (Accessed: 10 October 2025). </w:t>
      </w:r>
    </w:p>
    <w:p>
      <w:pPr>
        <w:pStyle w:val="style0"/>
        <w:rPr>
          <w:shd w:val="clear" w:color="auto" w:fill="ffffff"/>
        </w:rPr>
      </w:pPr>
      <w:r>
        <w:t xml:space="preserve">Reuters (2025) </w:t>
      </w:r>
      <w:r>
        <w:rPr>
          <w:i/>
          <w:iCs/>
        </w:rPr>
        <w:t>Nissan considers transferring some domestic production to US, Nikkei says</w:t>
      </w:r>
      <w:r>
        <w:t xml:space="preserve">, 5 April. Available at: </w:t>
      </w:r>
      <w:r>
        <w:rPr/>
        <w:fldChar w:fldCharType="begin"/>
      </w:r>
      <w:r>
        <w:instrText xml:space="preserve"> HYPERLINK "https://www.reuters.com/business/autos-transportation/nissan-considers-transferring-some-domestic-production-us-nikkei-says-2025-04-05/" </w:instrText>
      </w:r>
      <w:r>
        <w:rPr/>
        <w:fldChar w:fldCharType="separate"/>
      </w:r>
      <w:r>
        <w:rPr>
          <w:rStyle w:val="style85"/>
        </w:rPr>
        <w:t>https://www.reuters.com/business/autos-transportation/nissan-considers-transferring-some-domestic-production-us-nikkei-says-2025-04-05/</w:t>
      </w:r>
      <w:r>
        <w:rPr/>
        <w:fldChar w:fldCharType="end"/>
      </w:r>
      <w:r>
        <w:t xml:space="preserve"> </w:t>
      </w:r>
      <w:r>
        <w:rPr>
          <w:shd w:val="clear" w:color="auto" w:fill="ffffff"/>
        </w:rPr>
        <w:t xml:space="preserve">(Accessed: 10 October 2025). </w:t>
      </w:r>
    </w:p>
    <w:p>
      <w:pPr>
        <w:pStyle w:val="style0"/>
        <w:rPr>
          <w:shd w:val="clear" w:color="auto" w:fill="ffffff"/>
        </w:rPr>
      </w:pPr>
      <w:r>
        <w:rPr>
          <w:lang w:val="en-US"/>
        </w:rPr>
        <w:t>Safonau</w:t>
      </w:r>
      <w:r>
        <w:rPr>
          <w:lang w:val="en-US"/>
        </w:rPr>
        <w:t>, A. (2024) ‘</w:t>
      </w:r>
      <w:r>
        <w:rPr>
          <w:lang w:eastAsia="en-GB"/>
        </w:rPr>
        <w:t>How Embedded Technologies Have Been Transforming the German Automotive Industry</w:t>
      </w:r>
      <w:r>
        <w:rPr>
          <w:lang w:eastAsia="en-GB"/>
        </w:rPr>
        <w:t xml:space="preserve">’, </w:t>
      </w:r>
      <w:r>
        <w:rPr>
          <w:i/>
          <w:iCs/>
          <w:lang w:eastAsia="en-GB"/>
        </w:rPr>
        <w:t>EE Times</w:t>
      </w:r>
      <w:r>
        <w:rPr>
          <w:lang w:eastAsia="en-GB"/>
        </w:rPr>
        <w:t xml:space="preserve">, 25 September. Available at: </w:t>
      </w:r>
      <w:r>
        <w:rPr/>
        <w:fldChar w:fldCharType="begin"/>
      </w:r>
      <w:r>
        <w:instrText xml:space="preserve"> HYPERLINK "https://www.eetimes.com/how-embedded-technologies-have-been-transforming-the-german-automotive-industry/" </w:instrText>
      </w:r>
      <w:r>
        <w:rPr/>
        <w:fldChar w:fldCharType="separate"/>
      </w:r>
      <w:r>
        <w:rPr>
          <w:rStyle w:val="style85"/>
          <w:lang w:eastAsia="en-GB"/>
        </w:rPr>
        <w:t>https://www.eetimes.com/how-embedded-technologies-have-been-transforming-the-german-automotive-industry/</w:t>
      </w:r>
      <w:r>
        <w:rPr/>
        <w:fldChar w:fldCharType="end"/>
      </w:r>
      <w:r>
        <w:rPr>
          <w:lang w:eastAsia="en-GB"/>
        </w:rPr>
        <w:t xml:space="preserve"> </w:t>
      </w:r>
      <w:r>
        <w:rPr>
          <w:shd w:val="clear" w:color="auto" w:fill="ffffff"/>
        </w:rPr>
        <w:t xml:space="preserve">(Accessed: 10 October 2025). </w:t>
      </w:r>
    </w:p>
    <w:p>
      <w:pPr>
        <w:pStyle w:val="style0"/>
        <w:rPr>
          <w:shd w:val="clear" w:color="auto" w:fill="ffffff"/>
        </w:rPr>
      </w:pPr>
      <w:r>
        <w:rPr>
          <w:lang w:val="en-US"/>
        </w:rPr>
        <w:t>Saptakee</w:t>
      </w:r>
      <w:r>
        <w:rPr>
          <w:lang w:val="en-US"/>
        </w:rPr>
        <w:t>, S. (2024) ‘</w:t>
      </w:r>
      <w:r>
        <w:rPr>
          <w:shd w:val="clear" w:color="auto" w:fill="ffffff"/>
        </w:rPr>
        <w:t xml:space="preserve">Potential Volkswagen Demise Looms, Germany Gears Up for EV Revival’, </w:t>
      </w:r>
      <w:r>
        <w:rPr>
          <w:i/>
          <w:iCs/>
          <w:shd w:val="clear" w:color="auto" w:fill="ffffff"/>
        </w:rPr>
        <w:t>Carbon Credits</w:t>
      </w:r>
      <w:r>
        <w:rPr>
          <w:shd w:val="clear" w:color="auto" w:fill="ffffff"/>
        </w:rPr>
        <w:t xml:space="preserve">. Available at: </w:t>
      </w:r>
      <w:r>
        <w:rPr/>
        <w:fldChar w:fldCharType="begin"/>
      </w:r>
      <w:r>
        <w:instrText xml:space="preserve"> HYPERLINK "https://carboncredits.com/potential-volkswagen-demise-looms-germany-gears-up-for-ev-revival/" </w:instrText>
      </w:r>
      <w:r>
        <w:rPr/>
        <w:fldChar w:fldCharType="separate"/>
      </w:r>
      <w:r>
        <w:rPr>
          <w:rStyle w:val="style85"/>
          <w:shd w:val="clear" w:color="auto" w:fill="ffffff"/>
        </w:rPr>
        <w:t>https://carboncredits.com/potential-volkswagen-demise-looms-germany-gears-up-for-ev-revival/</w:t>
      </w:r>
      <w:r>
        <w:rPr/>
        <w:fldChar w:fldCharType="end"/>
      </w:r>
      <w:r>
        <w:rPr>
          <w:shd w:val="clear" w:color="auto" w:fill="ffffff"/>
        </w:rPr>
        <w:t xml:space="preserve"> (Accessed: 10 October 2025). </w:t>
      </w:r>
    </w:p>
    <w:p>
      <w:pPr>
        <w:pStyle w:val="style0"/>
        <w:rPr>
          <w:shd w:val="clear" w:color="auto" w:fill="ffffff"/>
        </w:rPr>
      </w:pPr>
      <w:r>
        <w:rPr>
          <w:lang w:val="en-US"/>
        </w:rPr>
        <w:t>Shepardson, D. and Sriram, A. (2024) ‘</w:t>
      </w:r>
      <w:r>
        <w:rPr>
          <w:lang w:eastAsia="en-GB"/>
        </w:rPr>
        <w:t>US probes Tesla's Full Self-Driving software in 2.4 mln cars after fatal crash</w:t>
      </w:r>
      <w:r>
        <w:rPr>
          <w:lang w:eastAsia="en-GB"/>
        </w:rPr>
        <w:t xml:space="preserve">’, </w:t>
      </w:r>
      <w:r>
        <w:rPr>
          <w:i/>
          <w:iCs/>
          <w:lang w:eastAsia="en-GB"/>
        </w:rPr>
        <w:t>Reuters</w:t>
      </w:r>
      <w:r>
        <w:rPr>
          <w:lang w:eastAsia="en-GB"/>
        </w:rPr>
        <w:t xml:space="preserve">, 18 October. Available at: </w:t>
      </w:r>
      <w:r>
        <w:rPr/>
        <w:fldChar w:fldCharType="begin"/>
      </w:r>
      <w:r>
        <w:instrText xml:space="preserve"> HYPERLINK "https://www.reuters.com/business/autos-transportation/nhtsa-opens-probe-into-24-mln-tesla-vehicles-over-full-self-driving-collisions-2024-10-18/" </w:instrText>
      </w:r>
      <w:r>
        <w:rPr/>
        <w:fldChar w:fldCharType="separate"/>
      </w:r>
      <w:r>
        <w:rPr>
          <w:rStyle w:val="style85"/>
          <w:lang w:eastAsia="en-GB"/>
        </w:rPr>
        <w:t>https://www.reuters.com/business/autos-transportation/nhtsa-opens-probe-into-24-mln-tesla-vehicles-over-full-self-driving-collisions-2024-10-18/</w:t>
      </w:r>
      <w:r>
        <w:rPr/>
        <w:fldChar w:fldCharType="end"/>
      </w:r>
      <w:r>
        <w:rPr>
          <w:lang w:eastAsia="en-GB"/>
        </w:rPr>
        <w:t xml:space="preserve"> </w:t>
      </w:r>
      <w:r>
        <w:rPr>
          <w:shd w:val="clear" w:color="auto" w:fill="ffffff"/>
        </w:rPr>
        <w:t xml:space="preserve">(Accessed: 10 October 2025). </w:t>
      </w:r>
    </w:p>
    <w:p>
      <w:pPr>
        <w:pStyle w:val="style0"/>
        <w:rPr/>
      </w:pPr>
      <w:r>
        <w:t xml:space="preserve">Tesla (2025a) </w:t>
      </w:r>
      <w:r>
        <w:rPr>
          <w:i/>
          <w:iCs/>
        </w:rPr>
        <w:t>About Us</w:t>
      </w:r>
      <w:r>
        <w:t xml:space="preserve">. Available at: </w:t>
      </w:r>
      <w:r>
        <w:rPr/>
        <w:fldChar w:fldCharType="begin"/>
      </w:r>
      <w:r>
        <w:instrText xml:space="preserve"> HYPERLINK "https://www.tesla.com/about" </w:instrText>
      </w:r>
      <w:r>
        <w:rPr/>
        <w:fldChar w:fldCharType="separate"/>
      </w:r>
      <w:r>
        <w:rPr>
          <w:rStyle w:val="style85"/>
        </w:rPr>
        <w:t>https://www.tesla.com/about</w:t>
      </w:r>
      <w:r>
        <w:rPr/>
        <w:fldChar w:fldCharType="end"/>
      </w:r>
      <w:r>
        <w:t xml:space="preserve"> </w:t>
      </w:r>
      <w:r>
        <w:rPr>
          <w:shd w:val="clear" w:color="auto" w:fill="ffffff"/>
        </w:rPr>
        <w:t xml:space="preserve">(Accessed: 10 October 2025). </w:t>
      </w:r>
    </w:p>
    <w:p>
      <w:pPr>
        <w:pStyle w:val="style0"/>
        <w:rPr/>
      </w:pPr>
      <w:r>
        <w:rPr>
          <w:lang w:val="en-US"/>
        </w:rPr>
        <w:t xml:space="preserve">Tesla (2025b) </w:t>
      </w:r>
      <w:r>
        <w:rPr>
          <w:i/>
          <w:iCs/>
        </w:rPr>
        <w:t>Q2 2025 Update.</w:t>
      </w:r>
      <w:r>
        <w:t xml:space="preserve"> Available at: </w:t>
      </w:r>
      <w:r>
        <w:rPr/>
        <w:fldChar w:fldCharType="begin"/>
      </w:r>
      <w:r>
        <w:instrText xml:space="preserve"> HYPERLINK "https://www.tesla.com/sites/default/files/downloads/TSLA-Q2-2025-Update.pdf" </w:instrText>
      </w:r>
      <w:r>
        <w:rPr/>
        <w:fldChar w:fldCharType="separate"/>
      </w:r>
      <w:r>
        <w:rPr>
          <w:rStyle w:val="style85"/>
        </w:rPr>
        <w:t>https://www.tesla.com/sites/default/files/downloads/TSLA-Q2-2025-Update.pdf</w:t>
      </w:r>
      <w:r>
        <w:rPr/>
        <w:fldChar w:fldCharType="end"/>
      </w:r>
      <w:r>
        <w:t xml:space="preserve"> </w:t>
      </w:r>
      <w:r>
        <w:rPr>
          <w:shd w:val="clear" w:color="auto" w:fill="ffffff"/>
        </w:rPr>
        <w:t xml:space="preserve">(Accessed: 10 October 2025). </w:t>
      </w:r>
    </w:p>
    <w:p>
      <w:pPr>
        <w:pStyle w:val="style0"/>
        <w:rPr>
          <w:shd w:val="clear" w:color="auto" w:fill="ffffff"/>
        </w:rPr>
      </w:pPr>
      <w:r>
        <w:t xml:space="preserve">Tesla (2025c) </w:t>
      </w:r>
      <w:r>
        <w:rPr>
          <w:i/>
          <w:iCs/>
        </w:rPr>
        <w:t>AI &amp; Robotics</w:t>
      </w:r>
      <w:r>
        <w:t xml:space="preserve">. Available at: </w:t>
      </w:r>
      <w:r>
        <w:rPr/>
        <w:fldChar w:fldCharType="begin"/>
      </w:r>
      <w:r>
        <w:instrText xml:space="preserve"> HYPERLINK "https://www.tesla.com/AI" </w:instrText>
      </w:r>
      <w:r>
        <w:rPr/>
        <w:fldChar w:fldCharType="separate"/>
      </w:r>
      <w:r>
        <w:rPr>
          <w:rStyle w:val="style85"/>
        </w:rPr>
        <w:t>https://www.tesla.com/AI</w:t>
      </w:r>
      <w:r>
        <w:rPr/>
        <w:fldChar w:fldCharType="end"/>
      </w:r>
      <w:r>
        <w:t xml:space="preserve"> </w:t>
      </w:r>
      <w:r>
        <w:rPr>
          <w:shd w:val="clear" w:color="auto" w:fill="ffffff"/>
        </w:rPr>
        <w:t xml:space="preserve">(Accessed: 10 October 2025). </w:t>
      </w:r>
    </w:p>
    <w:p>
      <w:pPr>
        <w:pStyle w:val="style0"/>
        <w:rPr>
          <w:shd w:val="clear" w:color="auto" w:fill="ffffff"/>
        </w:rPr>
      </w:pPr>
      <w:r>
        <w:rPr>
          <w:lang w:val="en-US"/>
        </w:rPr>
        <w:t xml:space="preserve">Torossian, R. (2025) </w:t>
      </w:r>
      <w:r>
        <w:t>‘PR lessons from BMW’s digital marketing strategy: Embracing the future of mobility</w:t>
      </w:r>
      <w:r>
        <w:t xml:space="preserve">’, </w:t>
      </w:r>
      <w:r>
        <w:rPr>
          <w:i/>
          <w:iCs/>
        </w:rPr>
        <w:t>Agility PR Solutions</w:t>
      </w:r>
      <w:r>
        <w:t xml:space="preserve">. Available at: </w:t>
      </w:r>
      <w:r>
        <w:rPr/>
        <w:fldChar w:fldCharType="begin"/>
      </w:r>
      <w:r>
        <w:instrText xml:space="preserve"> HYPERLINK "https://www.agilitypr.com/pr-news/content-media-relations/pr-lessons-from-bmws-digital-marketing-strategy-embracing-the-future-of-mobility/" </w:instrText>
      </w:r>
      <w:r>
        <w:rPr/>
        <w:fldChar w:fldCharType="separate"/>
      </w:r>
      <w:r>
        <w:rPr>
          <w:rStyle w:val="style85"/>
        </w:rPr>
        <w:t>https://www.agilitypr.com/pr-news/content-media-relations/pr-lessons-from-bmws-digital-marketing-strategy-embracing-the-future-of-mobility/</w:t>
      </w:r>
      <w:r>
        <w:rPr/>
        <w:fldChar w:fldCharType="end"/>
      </w:r>
      <w:r>
        <w:t xml:space="preserve"> </w:t>
      </w:r>
      <w:r>
        <w:rPr>
          <w:shd w:val="clear" w:color="auto" w:fill="ffffff"/>
        </w:rPr>
        <w:t xml:space="preserve">(Accessed: 10 October 2025). </w:t>
      </w:r>
    </w:p>
    <w:p>
      <w:pPr>
        <w:pStyle w:val="style0"/>
        <w:rPr>
          <w:shd w:val="clear" w:color="auto" w:fill="ffffff"/>
        </w:rPr>
      </w:pPr>
      <w:r>
        <w:t xml:space="preserve">Trading Economics (2025) </w:t>
      </w:r>
      <w:r>
        <w:rPr>
          <w:i/>
          <w:iCs/>
        </w:rPr>
        <w:t>Germany Inflation Rate</w:t>
      </w:r>
      <w:r>
        <w:t xml:space="preserve">. Available at: </w:t>
      </w:r>
      <w:r>
        <w:rPr/>
        <w:fldChar w:fldCharType="begin"/>
      </w:r>
      <w:r>
        <w:instrText xml:space="preserve"> HYPERLINK "https://tradingeconomics.com/germany/inflation-cpi" </w:instrText>
      </w:r>
      <w:r>
        <w:rPr/>
        <w:fldChar w:fldCharType="separate"/>
      </w:r>
      <w:r>
        <w:rPr>
          <w:rStyle w:val="style85"/>
        </w:rPr>
        <w:t>https://tradingeconomics.com/germany/inflation-cpi</w:t>
      </w:r>
      <w:r>
        <w:rPr/>
        <w:fldChar w:fldCharType="end"/>
      </w:r>
      <w:r>
        <w:t xml:space="preserve"> </w:t>
      </w:r>
      <w:r>
        <w:rPr>
          <w:shd w:val="clear" w:color="auto" w:fill="ffffff"/>
        </w:rPr>
        <w:t xml:space="preserve">(Accessed: 10 October 2025). </w:t>
      </w:r>
    </w:p>
    <w:p>
      <w:pPr>
        <w:pStyle w:val="style0"/>
        <w:rPr>
          <w:shd w:val="clear" w:color="auto" w:fill="ffffff"/>
        </w:rPr>
      </w:pPr>
      <w:r>
        <w:t xml:space="preserve">Volkswagen (2024) </w:t>
      </w:r>
      <w:r>
        <w:rPr>
          <w:i/>
          <w:iCs/>
        </w:rPr>
        <w:t>Volkswagen is the most innovative volume brand for electric drive systems.</w:t>
      </w:r>
      <w:r>
        <w:t xml:space="preserve"> Available at: </w:t>
      </w:r>
      <w:r>
        <w:rPr/>
        <w:fldChar w:fldCharType="begin"/>
      </w:r>
      <w:r>
        <w:instrText xml:space="preserve"> HYPERLINK "https://www.volkswagen-newsroom.com/en/press-releases/volkswagen-is-the-most-innovative-volume-brand-for-electric-drive-systems-18540" </w:instrText>
      </w:r>
      <w:r>
        <w:rPr/>
        <w:fldChar w:fldCharType="separate"/>
      </w:r>
      <w:r>
        <w:rPr>
          <w:rStyle w:val="style85"/>
        </w:rPr>
        <w:t>https://www.volkswagen-newsroom.com/en/press-releases/volkswagen-is-the-most-innovative-volume-brand-for-electric-drive-systems-18540</w:t>
      </w:r>
      <w:r>
        <w:rPr/>
        <w:fldChar w:fldCharType="end"/>
      </w:r>
      <w:r>
        <w:t xml:space="preserve"> </w:t>
      </w:r>
      <w:r>
        <w:rPr>
          <w:shd w:val="clear" w:color="auto" w:fill="ffffff"/>
        </w:rPr>
        <w:t xml:space="preserve">(Accessed: 10 October 2025). </w:t>
      </w:r>
    </w:p>
    <w:p>
      <w:pPr>
        <w:pStyle w:val="style0"/>
        <w:rPr/>
      </w:pPr>
      <w:r>
        <w:rPr>
          <w:lang w:val="en-US"/>
        </w:rPr>
        <w:t xml:space="preserve">Volkswagen (2025a) </w:t>
      </w:r>
      <w:r>
        <w:rPr>
          <w:i/>
          <w:iCs/>
        </w:rPr>
        <w:t>About Us</w:t>
      </w:r>
      <w:r>
        <w:t xml:space="preserve">. Available at: </w:t>
      </w:r>
      <w:r>
        <w:rPr/>
        <w:fldChar w:fldCharType="begin"/>
      </w:r>
      <w:r>
        <w:instrText xml:space="preserve"> HYPERLINK "https://www.volkswagen-group.com/en/about-us-16013" </w:instrText>
      </w:r>
      <w:r>
        <w:rPr/>
        <w:fldChar w:fldCharType="separate"/>
      </w:r>
      <w:r>
        <w:rPr>
          <w:rStyle w:val="style85"/>
        </w:rPr>
        <w:t>https://www.volkswagen-group.com/en/about-us-16013</w:t>
      </w:r>
      <w:r>
        <w:rPr/>
        <w:fldChar w:fldCharType="end"/>
      </w:r>
      <w:r>
        <w:t xml:space="preserve"> </w:t>
      </w:r>
      <w:r>
        <w:rPr>
          <w:shd w:val="clear" w:color="auto" w:fill="ffffff"/>
        </w:rPr>
        <w:t xml:space="preserve">(Accessed: 10 October 2025). </w:t>
      </w:r>
    </w:p>
    <w:p>
      <w:pPr>
        <w:pStyle w:val="style0"/>
        <w:rPr>
          <w:shd w:val="clear" w:color="auto" w:fill="ffffff"/>
        </w:rPr>
      </w:pPr>
      <w:r>
        <w:t xml:space="preserve">Volkswagen (2025b) </w:t>
      </w:r>
      <w:r>
        <w:rPr>
          <w:i/>
          <w:iCs/>
        </w:rPr>
        <w:t>Half-Yearly Financial Report 2025</w:t>
      </w:r>
      <w:r>
        <w:t xml:space="preserve">. Available at: </w:t>
      </w:r>
      <w:r>
        <w:rPr/>
        <w:fldChar w:fldCharType="begin"/>
      </w:r>
      <w:r>
        <w:instrText xml:space="preserve"> HYPERLINK "https://www.volkswagen-group.com/en/half-yearly-financial-report-2025-19407" </w:instrText>
      </w:r>
      <w:r>
        <w:rPr/>
        <w:fldChar w:fldCharType="separate"/>
      </w:r>
      <w:r>
        <w:rPr>
          <w:rStyle w:val="style85"/>
        </w:rPr>
        <w:t>https://www.volkswagen-group.com/en/half-yearly-financial-report-2025-19407</w:t>
      </w:r>
      <w:r>
        <w:rPr/>
        <w:fldChar w:fldCharType="end"/>
      </w:r>
      <w:r>
        <w:t xml:space="preserve"> </w:t>
      </w:r>
      <w:r>
        <w:rPr>
          <w:shd w:val="clear" w:color="auto" w:fill="ffffff"/>
        </w:rPr>
        <w:t xml:space="preserve">(Accessed: 10 October 2025). </w:t>
      </w:r>
    </w:p>
    <w:p>
      <w:pPr>
        <w:pStyle w:val="style0"/>
        <w:rPr>
          <w:shd w:val="clear" w:color="auto" w:fill="ffffff"/>
        </w:rPr>
      </w:pPr>
      <w:r>
        <w:rPr>
          <w:lang w:val="en-US"/>
        </w:rPr>
        <w:t>Wehrmann, B. (2025) ‘</w:t>
      </w:r>
      <w:r>
        <w:rPr>
          <w:lang w:eastAsia="en-GB"/>
        </w:rPr>
        <w:t>Share of Germans willing to buy an electric car almost doubles to 58% – survey</w:t>
      </w:r>
      <w:r>
        <w:rPr>
          <w:lang w:eastAsia="en-GB"/>
        </w:rPr>
        <w:t xml:space="preserve">’, </w:t>
      </w:r>
      <w:r>
        <w:rPr>
          <w:i/>
          <w:iCs/>
          <w:lang w:eastAsia="en-GB"/>
        </w:rPr>
        <w:t>Clean Energy Wire.</w:t>
      </w:r>
      <w:r>
        <w:rPr>
          <w:lang w:eastAsia="en-GB"/>
        </w:rPr>
        <w:t xml:space="preserve"> Available at: </w:t>
      </w:r>
      <w:r>
        <w:rPr/>
        <w:fldChar w:fldCharType="begin"/>
      </w:r>
      <w:r>
        <w:instrText xml:space="preserve"> HYPERLINK "https://www.cleanenergywire.org/news/share-germans-willing-buy-electric-car-almost-doubles-58-survey" </w:instrText>
      </w:r>
      <w:r>
        <w:rPr/>
        <w:fldChar w:fldCharType="separate"/>
      </w:r>
      <w:r>
        <w:rPr>
          <w:rStyle w:val="style85"/>
          <w:lang w:eastAsia="en-GB"/>
        </w:rPr>
        <w:t>https://www.cleanenergywire.org/news/share-germans-willing-buy-electric-car-almost-doubles-58-survey</w:t>
      </w:r>
      <w:r>
        <w:rPr/>
        <w:fldChar w:fldCharType="end"/>
      </w:r>
      <w:r>
        <w:rPr>
          <w:lang w:eastAsia="en-GB"/>
        </w:rPr>
        <w:t xml:space="preserve"> </w:t>
      </w:r>
      <w:r>
        <w:rPr>
          <w:shd w:val="clear" w:color="auto" w:fill="ffffff"/>
        </w:rPr>
        <w:t xml:space="preserve">(Accessed: 10 October 2025). </w:t>
      </w:r>
    </w:p>
    <w:p>
      <w:pPr>
        <w:pStyle w:val="style0"/>
        <w:rPr>
          <w:shd w:val="clear" w:color="auto" w:fill="ffffff"/>
        </w:rPr>
      </w:pPr>
      <w:r>
        <w:t xml:space="preserve">WIPO (2025) </w:t>
      </w:r>
      <w:r>
        <w:rPr>
          <w:i/>
          <w:iCs/>
        </w:rPr>
        <w:t>Global Innovation Index</w:t>
      </w:r>
      <w:r>
        <w:t xml:space="preserve">. Available at: </w:t>
      </w:r>
      <w:r>
        <w:rPr/>
        <w:fldChar w:fldCharType="begin"/>
      </w:r>
      <w:r>
        <w:instrText xml:space="preserve"> HYPERLINK "https://www.wipo.int/en/web/global-innovation-index" </w:instrText>
      </w:r>
      <w:r>
        <w:rPr/>
        <w:fldChar w:fldCharType="separate"/>
      </w:r>
      <w:r>
        <w:rPr>
          <w:rStyle w:val="style85"/>
        </w:rPr>
        <w:t>https://www.wipo.int/en/web/global-innovation-index</w:t>
      </w:r>
      <w:r>
        <w:rPr/>
        <w:fldChar w:fldCharType="end"/>
      </w:r>
      <w:r>
        <w:t xml:space="preserve"> </w:t>
      </w:r>
      <w:r>
        <w:rPr>
          <w:shd w:val="clear" w:color="auto" w:fill="ffffff"/>
        </w:rPr>
        <w:t xml:space="preserve">(Accessed: 10 October 2025). </w:t>
      </w:r>
    </w:p>
    <w:p>
      <w:pPr>
        <w:pStyle w:val="style0"/>
        <w:rPr>
          <w:shd w:val="clear" w:color="auto" w:fill="ffffff"/>
        </w:rPr>
      </w:pPr>
      <w:r>
        <w:rPr>
          <w:shd w:val="clear" w:color="auto" w:fill="ffffff"/>
        </w:rPr>
        <w:t xml:space="preserve">Yaneva, D. (2020) ‘Importance of the marketing environment analysis in the process of Strategic Marketing Decision making’, </w:t>
      </w:r>
      <w:r>
        <w:rPr>
          <w:i/>
          <w:iCs/>
          <w:shd w:val="clear" w:color="auto" w:fill="ffffff"/>
        </w:rPr>
        <w:t>Economics and Law</w:t>
      </w:r>
      <w:r>
        <w:rPr>
          <w:shd w:val="clear" w:color="auto" w:fill="ffffff"/>
        </w:rPr>
        <w:t>, </w:t>
      </w:r>
      <w:r>
        <w:rPr>
          <w:shd w:val="clear" w:color="auto" w:fill="ffffff"/>
        </w:rPr>
        <w:t>2</w:t>
      </w:r>
      <w:r>
        <w:rPr>
          <w:shd w:val="clear" w:color="auto" w:fill="ffffff"/>
        </w:rPr>
        <w:t xml:space="preserve">(2), pp.24-32. Available at: </w:t>
      </w:r>
      <w:r>
        <w:rPr/>
        <w:fldChar w:fldCharType="begin"/>
      </w:r>
      <w:r>
        <w:instrText xml:space="preserve"> HYPERLINK "https://el.swu.bg/wp-content/uploads/2020/12/IMPORTANCE-OF-THE-MARKETING-ENVIRONMENT-ANALYSIS-IN-THE-PROCESS-OF-STRATEGIC-MARKETING-DECISION-MAKING.pdf" </w:instrText>
      </w:r>
      <w:r>
        <w:rPr/>
        <w:fldChar w:fldCharType="separate"/>
      </w:r>
      <w:r>
        <w:rPr>
          <w:rStyle w:val="style85"/>
          <w:shd w:val="clear" w:color="auto" w:fill="ffffff"/>
        </w:rPr>
        <w:t>https://el.swu.bg/wp-content/uploads/2020/12/IMPORTANCE-OF-THE-MARKETING-ENVIRONMENT-ANALYSIS-IN-THE-PROCESS-OF-STRATEGIC-MARKETING-DECISION-MAKING.pdf</w:t>
      </w:r>
      <w:r>
        <w:rPr/>
        <w:fldChar w:fldCharType="end"/>
      </w:r>
      <w:r>
        <w:rPr>
          <w:shd w:val="clear" w:color="auto" w:fill="ffffff"/>
        </w:rPr>
        <w:t xml:space="preserve"> (Accessed: 10 October 2025). </w:t>
      </w:r>
    </w:p>
    <w:p>
      <w:pPr>
        <w:pStyle w:val="style0"/>
        <w:rPr>
          <w:shd w:val="clear" w:color="auto" w:fill="ffffff"/>
        </w:rPr>
      </w:pPr>
      <w:r>
        <w:rPr>
          <w:lang w:val="en-US"/>
        </w:rPr>
        <w:t>Zahn, M. (2025) ‘</w:t>
      </w:r>
      <w:r>
        <w:rPr>
          <w:lang w:eastAsia="en-GB"/>
        </w:rPr>
        <w:t>Volkswagen suffers $1.5 billion loss from Trump's tariffs</w:t>
      </w:r>
      <w:r>
        <w:rPr>
          <w:lang w:eastAsia="en-GB"/>
        </w:rPr>
        <w:t xml:space="preserve">’, </w:t>
      </w:r>
      <w:r>
        <w:rPr>
          <w:i/>
          <w:iCs/>
          <w:lang w:eastAsia="en-GB"/>
        </w:rPr>
        <w:t>ABC News</w:t>
      </w:r>
      <w:r>
        <w:rPr>
          <w:lang w:eastAsia="en-GB"/>
        </w:rPr>
        <w:t xml:space="preserve">, 25 July. Available at: </w:t>
      </w:r>
      <w:r>
        <w:rPr/>
        <w:fldChar w:fldCharType="begin"/>
      </w:r>
      <w:r>
        <w:instrText xml:space="preserve"> HYPERLINK "https://abcnews.go.com/Business/volkswagen-suffers-15-billion-loss-trumps-tariffs/story?id=124065273" </w:instrText>
      </w:r>
      <w:r>
        <w:rPr/>
        <w:fldChar w:fldCharType="separate"/>
      </w:r>
      <w:r>
        <w:rPr>
          <w:rStyle w:val="style85"/>
          <w:lang w:eastAsia="en-GB"/>
        </w:rPr>
        <w:t>https://abcnews.go.com/Business/volkswagen-suffers-15-billion-loss-trumps-tariffs/story?id=124065273</w:t>
      </w:r>
      <w:r>
        <w:rPr/>
        <w:fldChar w:fldCharType="end"/>
      </w:r>
      <w:r>
        <w:rPr>
          <w:lang w:eastAsia="en-GB"/>
        </w:rPr>
        <w:t xml:space="preserve"> </w:t>
      </w:r>
      <w:r>
        <w:rPr>
          <w:shd w:val="clear" w:color="auto" w:fill="ffffff"/>
        </w:rPr>
        <w:t xml:space="preserve">(Accessed: 10 October 2025). </w:t>
      </w:r>
    </w:p>
    <w:bookmarkEnd w:id="11"/>
    <w:p>
      <w:pPr>
        <w:pStyle w:val="style0"/>
        <w:rPr>
          <w:shd w:val="clear" w:color="auto" w:fill="ffffff"/>
        </w:rPr>
      </w:pPr>
    </w:p>
    <w:p>
      <w:pPr>
        <w:pStyle w:val="style0"/>
        <w:rPr>
          <w:sz w:val="48"/>
        </w:rPr>
      </w:pPr>
    </w:p>
    <w:p>
      <w:pPr>
        <w:pStyle w:val="style0"/>
        <w:rPr>
          <w:lang w:val="en-US"/>
        </w:rPr>
      </w:pPr>
    </w:p>
    <w:p>
      <w:pPr>
        <w:pStyle w:val="style0"/>
        <w:rPr>
          <w:shd w:val="clear" w:color="auto" w:fill="ffffff"/>
        </w:rPr>
      </w:pPr>
    </w:p>
    <w:p>
      <w:pPr>
        <w:pStyle w:val="style0"/>
        <w:rPr>
          <w:lang w:eastAsia="en-GB"/>
        </w:rPr>
      </w:pPr>
    </w:p>
    <w:p>
      <w:pPr>
        <w:pStyle w:val="style0"/>
        <w:rPr/>
      </w:pPr>
    </w:p>
    <w:p>
      <w:pPr>
        <w:pStyle w:val="style0"/>
        <w:rPr>
          <w:lang w:eastAsia="en-GB"/>
        </w:rPr>
      </w:pPr>
    </w:p>
    <w:p>
      <w:pPr>
        <w:pStyle w:val="style0"/>
        <w:rPr>
          <w:lang w:eastAsia="en-GB"/>
        </w:rPr>
      </w:pPr>
    </w:p>
    <w:p>
      <w:pPr>
        <w:pStyle w:val="style0"/>
        <w:rPr>
          <w:lang w:eastAsia="en-GB"/>
        </w:rPr>
      </w:pPr>
    </w:p>
    <w:p>
      <w:pPr>
        <w:pStyle w:val="style0"/>
        <w:rPr>
          <w:shd w:val="clear" w:color="auto" w:fill="ffffff"/>
        </w:rPr>
      </w:pPr>
    </w:p>
    <w:p>
      <w:pPr>
        <w:pStyle w:val="style0"/>
        <w:rPr>
          <w:lang w:eastAsia="en-GB"/>
        </w:rPr>
      </w:pPr>
    </w:p>
    <w:p>
      <w:pPr>
        <w:pStyle w:val="style0"/>
        <w:rPr/>
      </w:pPr>
    </w:p>
    <w:p>
      <w:pPr>
        <w:pStyle w:val="style0"/>
        <w:rPr>
          <w:lang w:eastAsia="en-GB"/>
        </w:rPr>
      </w:pPr>
    </w:p>
    <w:p>
      <w:pPr>
        <w:pStyle w:val="style0"/>
        <w:rPr>
          <w:shd w:val="clear" w:color="auto" w:fill="ffffff"/>
        </w:rPr>
      </w:pPr>
    </w:p>
    <w:p>
      <w:pPr>
        <w:pStyle w:val="style0"/>
        <w:rPr>
          <w:lang w:eastAsia="en-GB"/>
        </w:rPr>
      </w:pPr>
    </w:p>
    <w:sectPr>
      <w:headerReference w:type="even" r:id="rId7"/>
      <w:headerReference w:type="default" r:id="rId8"/>
      <w:footerReference w:type="even" r:id="rId9"/>
      <w:footerReference w:type="default" r:id="rId10"/>
      <w:headerReference w:type="first" r:id="rId11"/>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0030204"/>
    <w:charset w:val="00"/>
    <w:family w:val="swiss"/>
    <w:pitch w:val="variable"/>
    <w:sig w:usb0="E4002EFF" w:usb1="C200247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Light">
    <w:altName w:val="Calibri Light"/>
    <w:panose1 w:val="020f0302020000030204"/>
    <w:charset w:val="00"/>
    <w:family w:val="swiss"/>
    <w:pitch w:val="variable"/>
    <w:sig w:usb0="E4002EFF" w:usb1="C200247B" w:usb2="00000009" w:usb3="00000000" w:csb0="000001FF" w:csb1="00000000"/>
  </w:font>
</w:fonts>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rPr/>
    </w:pPr>
  </w:p>
</w:ftr>
</file>

<file path=word/footer4.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p>
</w:hdr>
</file>

<file path=word/header5.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3F90F9DC"/>
    <w:lvl w:ilvl="0" w:tplc="9AD8F10C">
      <w:start w:val="1"/>
      <w:numFmt w:val="bullet"/>
      <w:lvlText w:val=""/>
      <w:lvlJc w:val="left"/>
      <w:pPr>
        <w:ind w:left="720" w:hanging="360"/>
      </w:pPr>
      <w:rPr>
        <w:rFonts w:ascii="Symbol" w:hAnsi="Symbol" w:hint="default"/>
      </w:rPr>
    </w:lvl>
    <w:lvl w:ilvl="1" w:tplc="F872EC84" w:tentative="1">
      <w:start w:val="1"/>
      <w:numFmt w:val="bullet"/>
      <w:lvlText w:val="o"/>
      <w:lvlJc w:val="left"/>
      <w:pPr>
        <w:ind w:left="1440" w:hanging="360"/>
      </w:pPr>
      <w:rPr>
        <w:rFonts w:ascii="Courier New" w:cs="Courier New" w:hAnsi="Courier New" w:hint="default"/>
      </w:rPr>
    </w:lvl>
    <w:lvl w:ilvl="2" w:tplc="4872C85E" w:tentative="1">
      <w:start w:val="1"/>
      <w:numFmt w:val="bullet"/>
      <w:lvlText w:val=""/>
      <w:lvlJc w:val="left"/>
      <w:pPr>
        <w:ind w:left="2160" w:hanging="360"/>
      </w:pPr>
      <w:rPr>
        <w:rFonts w:ascii="Wingdings" w:hAnsi="Wingdings" w:hint="default"/>
      </w:rPr>
    </w:lvl>
    <w:lvl w:ilvl="3" w:tplc="3E2ED3CA" w:tentative="1">
      <w:start w:val="1"/>
      <w:numFmt w:val="bullet"/>
      <w:lvlText w:val=""/>
      <w:lvlJc w:val="left"/>
      <w:pPr>
        <w:ind w:left="2880" w:hanging="360"/>
      </w:pPr>
      <w:rPr>
        <w:rFonts w:ascii="Symbol" w:hAnsi="Symbol" w:hint="default"/>
      </w:rPr>
    </w:lvl>
    <w:lvl w:ilvl="4" w:tplc="A888EA86" w:tentative="1">
      <w:start w:val="1"/>
      <w:numFmt w:val="bullet"/>
      <w:lvlText w:val="o"/>
      <w:lvlJc w:val="left"/>
      <w:pPr>
        <w:ind w:left="3600" w:hanging="360"/>
      </w:pPr>
      <w:rPr>
        <w:rFonts w:ascii="Courier New" w:cs="Courier New" w:hAnsi="Courier New" w:hint="default"/>
      </w:rPr>
    </w:lvl>
    <w:lvl w:ilvl="5" w:tplc="B9EAE790" w:tentative="1">
      <w:start w:val="1"/>
      <w:numFmt w:val="bullet"/>
      <w:lvlText w:val=""/>
      <w:lvlJc w:val="left"/>
      <w:pPr>
        <w:ind w:left="4320" w:hanging="360"/>
      </w:pPr>
      <w:rPr>
        <w:rFonts w:ascii="Wingdings" w:hAnsi="Wingdings" w:hint="default"/>
      </w:rPr>
    </w:lvl>
    <w:lvl w:ilvl="6" w:tplc="33628E6A" w:tentative="1">
      <w:start w:val="1"/>
      <w:numFmt w:val="bullet"/>
      <w:lvlText w:val=""/>
      <w:lvlJc w:val="left"/>
      <w:pPr>
        <w:ind w:left="5040" w:hanging="360"/>
      </w:pPr>
      <w:rPr>
        <w:rFonts w:ascii="Symbol" w:hAnsi="Symbol" w:hint="default"/>
      </w:rPr>
    </w:lvl>
    <w:lvl w:ilvl="7" w:tplc="241A6CEA" w:tentative="1">
      <w:start w:val="1"/>
      <w:numFmt w:val="bullet"/>
      <w:lvlText w:val="o"/>
      <w:lvlJc w:val="left"/>
      <w:pPr>
        <w:ind w:left="5760" w:hanging="360"/>
      </w:pPr>
      <w:rPr>
        <w:rFonts w:ascii="Courier New" w:cs="Courier New" w:hAnsi="Courier New" w:hint="default"/>
      </w:rPr>
    </w:lvl>
    <w:lvl w:ilvl="8" w:tplc="D88C08AC"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1100B24C"/>
    <w:lvl w:ilvl="0" w:tplc="66D8E966">
      <w:start w:val="1"/>
      <w:numFmt w:val="bullet"/>
      <w:lvlText w:val=""/>
      <w:lvlJc w:val="left"/>
      <w:pPr>
        <w:ind w:left="720" w:hanging="360"/>
      </w:pPr>
      <w:rPr>
        <w:rFonts w:ascii="Symbol" w:hAnsi="Symbol" w:hint="default"/>
      </w:rPr>
    </w:lvl>
    <w:lvl w:ilvl="1" w:tplc="984C01CA" w:tentative="1">
      <w:start w:val="1"/>
      <w:numFmt w:val="bullet"/>
      <w:lvlText w:val="o"/>
      <w:lvlJc w:val="left"/>
      <w:pPr>
        <w:ind w:left="1440" w:hanging="360"/>
      </w:pPr>
      <w:rPr>
        <w:rFonts w:ascii="Courier New" w:cs="Courier New" w:hAnsi="Courier New" w:hint="default"/>
      </w:rPr>
    </w:lvl>
    <w:lvl w:ilvl="2" w:tplc="D94860DA" w:tentative="1">
      <w:start w:val="1"/>
      <w:numFmt w:val="bullet"/>
      <w:lvlText w:val=""/>
      <w:lvlJc w:val="left"/>
      <w:pPr>
        <w:ind w:left="2160" w:hanging="360"/>
      </w:pPr>
      <w:rPr>
        <w:rFonts w:ascii="Wingdings" w:hAnsi="Wingdings" w:hint="default"/>
      </w:rPr>
    </w:lvl>
    <w:lvl w:ilvl="3" w:tplc="118C85BE" w:tentative="1">
      <w:start w:val="1"/>
      <w:numFmt w:val="bullet"/>
      <w:lvlText w:val=""/>
      <w:lvlJc w:val="left"/>
      <w:pPr>
        <w:ind w:left="2880" w:hanging="360"/>
      </w:pPr>
      <w:rPr>
        <w:rFonts w:ascii="Symbol" w:hAnsi="Symbol" w:hint="default"/>
      </w:rPr>
    </w:lvl>
    <w:lvl w:ilvl="4" w:tplc="6364884C" w:tentative="1">
      <w:start w:val="1"/>
      <w:numFmt w:val="bullet"/>
      <w:lvlText w:val="o"/>
      <w:lvlJc w:val="left"/>
      <w:pPr>
        <w:ind w:left="3600" w:hanging="360"/>
      </w:pPr>
      <w:rPr>
        <w:rFonts w:ascii="Courier New" w:cs="Courier New" w:hAnsi="Courier New" w:hint="default"/>
      </w:rPr>
    </w:lvl>
    <w:lvl w:ilvl="5" w:tplc="39E21316" w:tentative="1">
      <w:start w:val="1"/>
      <w:numFmt w:val="bullet"/>
      <w:lvlText w:val=""/>
      <w:lvlJc w:val="left"/>
      <w:pPr>
        <w:ind w:left="4320" w:hanging="360"/>
      </w:pPr>
      <w:rPr>
        <w:rFonts w:ascii="Wingdings" w:hAnsi="Wingdings" w:hint="default"/>
      </w:rPr>
    </w:lvl>
    <w:lvl w:ilvl="6" w:tplc="92DC8962" w:tentative="1">
      <w:start w:val="1"/>
      <w:numFmt w:val="bullet"/>
      <w:lvlText w:val=""/>
      <w:lvlJc w:val="left"/>
      <w:pPr>
        <w:ind w:left="5040" w:hanging="360"/>
      </w:pPr>
      <w:rPr>
        <w:rFonts w:ascii="Symbol" w:hAnsi="Symbol" w:hint="default"/>
      </w:rPr>
    </w:lvl>
    <w:lvl w:ilvl="7" w:tplc="ECCCF630" w:tentative="1">
      <w:start w:val="1"/>
      <w:numFmt w:val="bullet"/>
      <w:lvlText w:val="o"/>
      <w:lvlJc w:val="left"/>
      <w:pPr>
        <w:ind w:left="5760" w:hanging="360"/>
      </w:pPr>
      <w:rPr>
        <w:rFonts w:ascii="Courier New" w:cs="Courier New" w:hAnsi="Courier New" w:hint="default"/>
      </w:rPr>
    </w:lvl>
    <w:lvl w:ilvl="8" w:tplc="1C1CCD72" w:tentative="1">
      <w:start w:val="1"/>
      <w:numFmt w:val="bullet"/>
      <w:lvlText w:val=""/>
      <w:lvlJc w:val="left"/>
      <w:pPr>
        <w:ind w:left="6480" w:hanging="360"/>
      </w:pPr>
      <w:rPr>
        <w:rFonts w:ascii="Wingdings" w:hAnsi="Wingdings" w:hint="default"/>
      </w:rPr>
    </w:lvl>
  </w:abstractNum>
  <w:abstractNum w:abstractNumId="2">
    <w:nsid w:val="00000002"/>
    <w:multiLevelType w:val="multilevel"/>
    <w:tmpl w:val="CEC4F07A"/>
    <w:lvl w:ilvl="0">
      <w:start w:val="1"/>
      <w:numFmt w:val="decimal"/>
      <w:pStyle w:val="style1"/>
      <w:lvlText w:val="%1."/>
      <w:lvlJc w:val="left"/>
      <w:pPr>
        <w:ind w:left="720" w:hanging="360"/>
      </w:pPr>
      <w:rPr>
        <w:rFonts w:hint="default"/>
      </w:rPr>
    </w:lvl>
    <w:lvl w:ilvl="1">
      <w:start w:val="1"/>
      <w:numFmt w:val="decimal"/>
      <w:pStyle w:val="style2"/>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nsid w:val="00000003"/>
    <w:multiLevelType w:val="hybridMultilevel"/>
    <w:tmpl w:val="F5D6D498"/>
    <w:lvl w:ilvl="0" w:tplc="B8088C2E">
      <w:start w:val="1"/>
      <w:numFmt w:val="bullet"/>
      <w:lvlText w:val=""/>
      <w:lvlJc w:val="left"/>
      <w:pPr>
        <w:ind w:left="720" w:hanging="360"/>
      </w:pPr>
      <w:rPr>
        <w:rFonts w:ascii="Symbol" w:hAnsi="Symbol" w:hint="default"/>
      </w:rPr>
    </w:lvl>
    <w:lvl w:ilvl="1" w:tplc="4C5E4156" w:tentative="1">
      <w:start w:val="1"/>
      <w:numFmt w:val="bullet"/>
      <w:lvlText w:val="o"/>
      <w:lvlJc w:val="left"/>
      <w:pPr>
        <w:ind w:left="1440" w:hanging="360"/>
      </w:pPr>
      <w:rPr>
        <w:rFonts w:ascii="Courier New" w:cs="Courier New" w:hAnsi="Courier New" w:hint="default"/>
      </w:rPr>
    </w:lvl>
    <w:lvl w:ilvl="2" w:tplc="F83E00A2" w:tentative="1">
      <w:start w:val="1"/>
      <w:numFmt w:val="bullet"/>
      <w:lvlText w:val=""/>
      <w:lvlJc w:val="left"/>
      <w:pPr>
        <w:ind w:left="2160" w:hanging="360"/>
      </w:pPr>
      <w:rPr>
        <w:rFonts w:ascii="Wingdings" w:hAnsi="Wingdings" w:hint="default"/>
      </w:rPr>
    </w:lvl>
    <w:lvl w:ilvl="3" w:tplc="C046E0B2" w:tentative="1">
      <w:start w:val="1"/>
      <w:numFmt w:val="bullet"/>
      <w:lvlText w:val=""/>
      <w:lvlJc w:val="left"/>
      <w:pPr>
        <w:ind w:left="2880" w:hanging="360"/>
      </w:pPr>
      <w:rPr>
        <w:rFonts w:ascii="Symbol" w:hAnsi="Symbol" w:hint="default"/>
      </w:rPr>
    </w:lvl>
    <w:lvl w:ilvl="4" w:tplc="A314A958" w:tentative="1">
      <w:start w:val="1"/>
      <w:numFmt w:val="bullet"/>
      <w:lvlText w:val="o"/>
      <w:lvlJc w:val="left"/>
      <w:pPr>
        <w:ind w:left="3600" w:hanging="360"/>
      </w:pPr>
      <w:rPr>
        <w:rFonts w:ascii="Courier New" w:cs="Courier New" w:hAnsi="Courier New" w:hint="default"/>
      </w:rPr>
    </w:lvl>
    <w:lvl w:ilvl="5" w:tplc="11BCD2E2" w:tentative="1">
      <w:start w:val="1"/>
      <w:numFmt w:val="bullet"/>
      <w:lvlText w:val=""/>
      <w:lvlJc w:val="left"/>
      <w:pPr>
        <w:ind w:left="4320" w:hanging="360"/>
      </w:pPr>
      <w:rPr>
        <w:rFonts w:ascii="Wingdings" w:hAnsi="Wingdings" w:hint="default"/>
      </w:rPr>
    </w:lvl>
    <w:lvl w:ilvl="6" w:tplc="C5281DCC" w:tentative="1">
      <w:start w:val="1"/>
      <w:numFmt w:val="bullet"/>
      <w:lvlText w:val=""/>
      <w:lvlJc w:val="left"/>
      <w:pPr>
        <w:ind w:left="5040" w:hanging="360"/>
      </w:pPr>
      <w:rPr>
        <w:rFonts w:ascii="Symbol" w:hAnsi="Symbol" w:hint="default"/>
      </w:rPr>
    </w:lvl>
    <w:lvl w:ilvl="7" w:tplc="A4B0A6EA" w:tentative="1">
      <w:start w:val="1"/>
      <w:numFmt w:val="bullet"/>
      <w:lvlText w:val="o"/>
      <w:lvlJc w:val="left"/>
      <w:pPr>
        <w:ind w:left="5760" w:hanging="360"/>
      </w:pPr>
      <w:rPr>
        <w:rFonts w:ascii="Courier New" w:cs="Courier New" w:hAnsi="Courier New" w:hint="default"/>
      </w:rPr>
    </w:lvl>
    <w:lvl w:ilvl="8" w:tplc="DB969D0C" w:tentative="1">
      <w:start w:val="1"/>
      <w:numFmt w:val="bullet"/>
      <w:lvlText w:val=""/>
      <w:lvlJc w:val="left"/>
      <w:pPr>
        <w:ind w:left="6480" w:hanging="360"/>
      </w:pPr>
      <w:rPr>
        <w:rFonts w:ascii="Wingdings" w:hAnsi="Wingdings" w:hint="default"/>
      </w:rPr>
    </w:lvl>
  </w:abstractNum>
  <w:num w:numId="1">
    <w:abstractNumId w:val="2"/>
  </w:num>
  <w:num w:numId="2">
    <w:abstractNumId w:val="2"/>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3"/>
  </w:num>
  <w:num w:numId="2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2"/>
        <w:szCs w:val="22"/>
        <w:lang w:val="en-US"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lineRule="auto" w:line="360"/>
      <w:jc w:val="both"/>
    </w:pPr>
    <w:rPr>
      <w:rFonts w:ascii="Arial" w:hAnsi="Arial"/>
      <w:kern w:val="0"/>
      <w:sz w:val="24"/>
      <w:lang w:val="en-GB"/>
      <w14:ligatures xmlns:w14="http://schemas.microsoft.com/office/word/2010/wordml" w14:val="none"/>
    </w:rPr>
  </w:style>
  <w:style w:type="paragraph" w:styleId="style1">
    <w:name w:val="heading 1"/>
    <w:basedOn w:val="style179"/>
    <w:next w:val="style0"/>
    <w:link w:val="style4098"/>
    <w:qFormat/>
    <w:uiPriority w:val="9"/>
    <w:pPr>
      <w:numPr>
        <w:ilvl w:val="0"/>
        <w:numId w:val="1"/>
      </w:numPr>
      <w:tabs>
        <w:tab w:val="left" w:leader="none" w:pos="360"/>
      </w:tabs>
      <w:ind w:firstLine="0"/>
      <w:outlineLvl w:val="0"/>
    </w:pPr>
    <w:rPr>
      <w:b/>
      <w:lang w:val="en-US"/>
    </w:rPr>
  </w:style>
  <w:style w:type="paragraph" w:styleId="style2">
    <w:name w:val="heading 2"/>
    <w:basedOn w:val="style179"/>
    <w:next w:val="style0"/>
    <w:link w:val="style4097"/>
    <w:qFormat/>
    <w:uiPriority w:val="9"/>
    <w:pPr>
      <w:numPr>
        <w:ilvl w:val="1"/>
        <w:numId w:val="1"/>
      </w:numPr>
      <w:outlineLvl w:val="1"/>
    </w:pPr>
    <w:rPr>
      <w:b/>
      <w:bCs/>
      <w:lang w:val="en-US"/>
    </w:rPr>
  </w:style>
  <w:style w:type="paragraph" w:styleId="style3">
    <w:name w:val="heading 3"/>
    <w:basedOn w:val="style0"/>
    <w:next w:val="style0"/>
    <w:link w:val="style4099"/>
    <w:qFormat/>
    <w:uiPriority w:val="9"/>
    <w:pPr>
      <w:keepNext/>
      <w:keepLines/>
      <w:spacing w:before="160" w:after="80"/>
      <w:outlineLvl w:val="2"/>
    </w:pPr>
    <w:rPr>
      <w:rFonts w:ascii="Calibri" w:cs="宋体" w:eastAsia="宋体" w:hAnsi="Calibri"/>
      <w:color w:val="2f5496"/>
      <w:sz w:val="28"/>
      <w:szCs w:val="28"/>
    </w:rPr>
  </w:style>
  <w:style w:type="paragraph" w:styleId="style4">
    <w:name w:val="heading 4"/>
    <w:basedOn w:val="style0"/>
    <w:next w:val="style0"/>
    <w:link w:val="style4100"/>
    <w:qFormat/>
    <w:uiPriority w:val="9"/>
    <w:pPr>
      <w:keepNext/>
      <w:keepLines/>
      <w:spacing w:before="80" w:after="40"/>
      <w:outlineLvl w:val="3"/>
    </w:pPr>
    <w:rPr>
      <w:rFonts w:ascii="Calibri" w:cs="宋体" w:eastAsia="宋体" w:hAnsi="Calibri"/>
      <w:i/>
      <w:iCs/>
      <w:color w:val="2f5496"/>
    </w:rPr>
  </w:style>
  <w:style w:type="paragraph" w:styleId="style5">
    <w:name w:val="heading 5"/>
    <w:basedOn w:val="style0"/>
    <w:next w:val="style0"/>
    <w:link w:val="style4101"/>
    <w:qFormat/>
    <w:uiPriority w:val="9"/>
    <w:pPr>
      <w:keepNext/>
      <w:keepLines/>
      <w:spacing w:before="80" w:after="40"/>
      <w:outlineLvl w:val="4"/>
    </w:pPr>
    <w:rPr>
      <w:rFonts w:ascii="Calibri" w:cs="宋体" w:eastAsia="宋体" w:hAnsi="Calibri"/>
      <w:color w:val="2f5496"/>
    </w:rPr>
  </w:style>
  <w:style w:type="paragraph" w:styleId="style6">
    <w:name w:val="heading 6"/>
    <w:basedOn w:val="style0"/>
    <w:next w:val="style0"/>
    <w:link w:val="style4102"/>
    <w:qFormat/>
    <w:uiPriority w:val="9"/>
    <w:pPr>
      <w:keepNext/>
      <w:keepLines/>
      <w:spacing w:before="40" w:after="0"/>
      <w:outlineLvl w:val="5"/>
    </w:pPr>
    <w:rPr>
      <w:rFonts w:ascii="Calibri" w:cs="宋体" w:eastAsia="宋体" w:hAnsi="Calibri"/>
      <w:i/>
      <w:iCs/>
      <w:color w:val="595959"/>
    </w:rPr>
  </w:style>
  <w:style w:type="paragraph" w:styleId="style7">
    <w:name w:val="heading 7"/>
    <w:basedOn w:val="style0"/>
    <w:next w:val="style0"/>
    <w:link w:val="style4103"/>
    <w:qFormat/>
    <w:uiPriority w:val="9"/>
    <w:pPr>
      <w:keepNext/>
      <w:keepLines/>
      <w:spacing w:before="40" w:after="0"/>
      <w:outlineLvl w:val="6"/>
    </w:pPr>
    <w:rPr>
      <w:rFonts w:ascii="Calibri" w:cs="宋体" w:eastAsia="宋体" w:hAnsi="Calibri"/>
      <w:color w:val="595959"/>
    </w:rPr>
  </w:style>
  <w:style w:type="paragraph" w:styleId="style8">
    <w:name w:val="heading 8"/>
    <w:basedOn w:val="style0"/>
    <w:next w:val="style0"/>
    <w:link w:val="style4104"/>
    <w:qFormat/>
    <w:uiPriority w:val="9"/>
    <w:pPr>
      <w:keepNext/>
      <w:keepLines/>
      <w:spacing w:after="0"/>
      <w:outlineLvl w:val="7"/>
    </w:pPr>
    <w:rPr>
      <w:rFonts w:ascii="Calibri" w:cs="宋体" w:eastAsia="宋体" w:hAnsi="Calibri"/>
      <w:i/>
      <w:iCs/>
      <w:color w:val="272727"/>
    </w:rPr>
  </w:style>
  <w:style w:type="paragraph" w:styleId="style9">
    <w:name w:val="heading 9"/>
    <w:basedOn w:val="style0"/>
    <w:next w:val="style0"/>
    <w:link w:val="style4105"/>
    <w:qFormat/>
    <w:uiPriority w:val="9"/>
    <w:pPr>
      <w:keepNext/>
      <w:keepLines/>
      <w:spacing w:after="0"/>
      <w:outlineLvl w:val="8"/>
    </w:pPr>
    <w:rPr>
      <w:rFonts w:ascii="Calibri" w:cs="宋体" w:eastAsia="宋体" w:hAnsi="Calibri"/>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2 Char_e3cf80e4-4f52-4501-ab5e-37d9a22405a2"/>
    <w:basedOn w:val="style65"/>
    <w:next w:val="style4097"/>
    <w:link w:val="style2"/>
    <w:uiPriority w:val="9"/>
    <w:rPr>
      <w:rFonts w:ascii="Arial" w:hAnsi="Arial"/>
      <w:b/>
      <w:bCs/>
      <w:kern w:val="0"/>
      <w:sz w:val="24"/>
      <w14:ligatures xmlns:w14="http://schemas.microsoft.com/office/word/2010/wordml" w14:val="none"/>
    </w:rPr>
  </w:style>
  <w:style w:type="character" w:customStyle="1" w:styleId="style4098">
    <w:name w:val="Heading 1 Char_6a4c93b6-12fc-4403-92e7-ad4aa282223b"/>
    <w:basedOn w:val="style65"/>
    <w:next w:val="style4098"/>
    <w:link w:val="style1"/>
    <w:uiPriority w:val="9"/>
    <w:rPr>
      <w:rFonts w:ascii="Times New Roman" w:hAnsi="Times New Roman"/>
      <w:b/>
      <w:sz w:val="24"/>
    </w:rPr>
  </w:style>
  <w:style w:type="paragraph" w:styleId="style179">
    <w:name w:val="List Paragraph"/>
    <w:basedOn w:val="style0"/>
    <w:next w:val="style179"/>
    <w:qFormat/>
    <w:uiPriority w:val="34"/>
    <w:pPr>
      <w:ind w:left="720"/>
      <w:contextualSpacing/>
    </w:pPr>
    <w:rPr/>
  </w:style>
  <w:style w:type="character" w:customStyle="1" w:styleId="style4099">
    <w:name w:val="Heading 3 Char_82d88af3-543f-4c1b-9549-03d5deda46ff"/>
    <w:basedOn w:val="style65"/>
    <w:next w:val="style4099"/>
    <w:link w:val="style3"/>
    <w:uiPriority w:val="9"/>
    <w:rPr>
      <w:rFonts w:cs="宋体" w:eastAsia="宋体"/>
      <w:color w:val="2f5496"/>
      <w:kern w:val="0"/>
      <w:sz w:val="28"/>
      <w:szCs w:val="28"/>
      <w:lang w:val="en-GB"/>
      <w14:ligatures xmlns:w14="http://schemas.microsoft.com/office/word/2010/wordml" w14:val="none"/>
    </w:rPr>
  </w:style>
  <w:style w:type="character" w:customStyle="1" w:styleId="style4100">
    <w:name w:val="Heading 4 Char_6e0a255b-ab49-4778-842b-361a97d11e67"/>
    <w:basedOn w:val="style65"/>
    <w:next w:val="style4100"/>
    <w:link w:val="style4"/>
    <w:uiPriority w:val="9"/>
    <w:rPr>
      <w:rFonts w:cs="宋体" w:eastAsia="宋体"/>
      <w:i/>
      <w:iCs/>
      <w:color w:val="2f5496"/>
      <w:kern w:val="0"/>
      <w:sz w:val="24"/>
      <w:lang w:val="en-GB"/>
      <w14:ligatures xmlns:w14="http://schemas.microsoft.com/office/word/2010/wordml" w14:val="none"/>
    </w:rPr>
  </w:style>
  <w:style w:type="character" w:customStyle="1" w:styleId="style4101">
    <w:name w:val="Heading 5 Char_0199d96a-1f29-4c8a-8474-8799b963f61f"/>
    <w:basedOn w:val="style65"/>
    <w:next w:val="style4101"/>
    <w:link w:val="style5"/>
    <w:uiPriority w:val="9"/>
    <w:rPr>
      <w:rFonts w:cs="宋体" w:eastAsia="宋体"/>
      <w:color w:val="2f5496"/>
      <w:kern w:val="0"/>
      <w:sz w:val="24"/>
      <w:lang w:val="en-GB"/>
      <w14:ligatures xmlns:w14="http://schemas.microsoft.com/office/word/2010/wordml" w14:val="none"/>
    </w:rPr>
  </w:style>
  <w:style w:type="character" w:customStyle="1" w:styleId="style4102">
    <w:name w:val="Heading 6 Char_a9c00431-a6b1-4980-a079-95d0b040b051"/>
    <w:basedOn w:val="style65"/>
    <w:next w:val="style4102"/>
    <w:link w:val="style6"/>
    <w:uiPriority w:val="9"/>
    <w:rPr>
      <w:rFonts w:cs="宋体" w:eastAsia="宋体"/>
      <w:i/>
      <w:iCs/>
      <w:color w:val="595959"/>
      <w:kern w:val="0"/>
      <w:sz w:val="24"/>
      <w:lang w:val="en-GB"/>
      <w14:ligatures xmlns:w14="http://schemas.microsoft.com/office/word/2010/wordml" w14:val="none"/>
    </w:rPr>
  </w:style>
  <w:style w:type="character" w:customStyle="1" w:styleId="style4103">
    <w:name w:val="Heading 7 Char_e7873822-68fe-4117-8de7-8a9b2d1d04aa"/>
    <w:basedOn w:val="style65"/>
    <w:next w:val="style4103"/>
    <w:link w:val="style7"/>
    <w:uiPriority w:val="9"/>
    <w:rPr>
      <w:rFonts w:cs="宋体" w:eastAsia="宋体"/>
      <w:color w:val="595959"/>
      <w:kern w:val="0"/>
      <w:sz w:val="24"/>
      <w:lang w:val="en-GB"/>
      <w14:ligatures xmlns:w14="http://schemas.microsoft.com/office/word/2010/wordml" w14:val="none"/>
    </w:rPr>
  </w:style>
  <w:style w:type="character" w:customStyle="1" w:styleId="style4104">
    <w:name w:val="Heading 8 Char_5b1dd087-d995-4be3-9a5d-a32986fdc206"/>
    <w:basedOn w:val="style65"/>
    <w:next w:val="style4104"/>
    <w:link w:val="style8"/>
    <w:uiPriority w:val="9"/>
    <w:rPr>
      <w:rFonts w:cs="宋体" w:eastAsia="宋体"/>
      <w:i/>
      <w:iCs/>
      <w:color w:val="272727"/>
      <w:kern w:val="0"/>
      <w:sz w:val="24"/>
      <w:lang w:val="en-GB"/>
      <w14:ligatures xmlns:w14="http://schemas.microsoft.com/office/word/2010/wordml" w14:val="none"/>
    </w:rPr>
  </w:style>
  <w:style w:type="character" w:customStyle="1" w:styleId="style4105">
    <w:name w:val="Heading 9 Char_7506da98-b128-4360-9dbe-9dcdd781855d"/>
    <w:basedOn w:val="style65"/>
    <w:next w:val="style4105"/>
    <w:link w:val="style9"/>
    <w:uiPriority w:val="9"/>
    <w:rPr>
      <w:rFonts w:cs="宋体" w:eastAsia="宋体"/>
      <w:color w:val="272727"/>
      <w:kern w:val="0"/>
      <w:sz w:val="24"/>
      <w:lang w:val="en-GB"/>
      <w14:ligatures xmlns:w14="http://schemas.microsoft.com/office/word/2010/wordml" w14:val="none"/>
    </w:rPr>
  </w:style>
  <w:style w:type="paragraph" w:styleId="style62">
    <w:name w:val="Title"/>
    <w:basedOn w:val="style0"/>
    <w:next w:val="style0"/>
    <w:link w:val="style4106"/>
    <w:qFormat/>
    <w:uiPriority w:val="10"/>
    <w:pPr>
      <w:spacing w:after="80" w:lineRule="auto" w:line="240"/>
      <w:contextualSpacing/>
    </w:pPr>
    <w:rPr>
      <w:rFonts w:ascii="Calibri Light" w:cs="宋体" w:eastAsia="宋体" w:hAnsi="Calibri Light"/>
      <w:spacing w:val="-10"/>
      <w:kern w:val="28"/>
      <w:sz w:val="56"/>
      <w:szCs w:val="56"/>
    </w:rPr>
  </w:style>
  <w:style w:type="character" w:customStyle="1" w:styleId="style4106">
    <w:name w:val="Title Char_21f18b66-cadb-4a36-8b25-82e82f31ea99"/>
    <w:basedOn w:val="style65"/>
    <w:next w:val="style4106"/>
    <w:link w:val="style62"/>
    <w:uiPriority w:val="10"/>
    <w:rPr>
      <w:rFonts w:ascii="Calibri Light" w:cs="宋体" w:eastAsia="宋体" w:hAnsi="Calibri Light"/>
      <w:spacing w:val="-10"/>
      <w:kern w:val="28"/>
      <w:sz w:val="56"/>
      <w:szCs w:val="56"/>
      <w:lang w:val="en-GB"/>
      <w14:ligatures xmlns:w14="http://schemas.microsoft.com/office/word/2010/wordml" w14:val="none"/>
    </w:rPr>
  </w:style>
  <w:style w:type="paragraph" w:styleId="style74">
    <w:name w:val="Subtitle"/>
    <w:basedOn w:val="style0"/>
    <w:next w:val="style0"/>
    <w:link w:val="style4107"/>
    <w:qFormat/>
    <w:uiPriority w:val="11"/>
    <w:pPr>
      <w:numPr>
        <w:ilvl w:val="1"/>
        <w:numId w:val="0"/>
      </w:numPr>
    </w:pPr>
    <w:rPr>
      <w:rFonts w:ascii="Calibri" w:cs="宋体" w:eastAsia="宋体" w:hAnsi="Calibri"/>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kern w:val="0"/>
      <w:sz w:val="28"/>
      <w:szCs w:val="28"/>
      <w:lang w:val="en-GB"/>
      <w14:ligatures xmlns:w14="http://schemas.microsoft.com/office/word/2010/wordml" w14:val="none"/>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c0b9d5dc-bcc3-4530-9d82-fb922ba18e97"/>
    <w:basedOn w:val="style65"/>
    <w:next w:val="style4108"/>
    <w:link w:val="style180"/>
    <w:uiPriority w:val="29"/>
    <w:rPr>
      <w:rFonts w:ascii="Times New Roman" w:hAnsi="Times New Roman"/>
      <w:i/>
      <w:iCs/>
      <w:color w:val="404040"/>
      <w:kern w:val="0"/>
      <w:sz w:val="24"/>
      <w:lang w:val="en-GB"/>
      <w14:ligatures xmlns:w14="http://schemas.microsoft.com/office/word/2010/wordml" w14:val="none"/>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6c4e3ab5-2d56-4100-8c1a-4b9b751658f6"/>
    <w:basedOn w:val="style65"/>
    <w:next w:val="style4109"/>
    <w:link w:val="style181"/>
    <w:uiPriority w:val="30"/>
    <w:rPr>
      <w:rFonts w:ascii="Times New Roman" w:hAnsi="Times New Roman"/>
      <w:i/>
      <w:iCs/>
      <w:color w:val="2f5496"/>
      <w:kern w:val="0"/>
      <w:sz w:val="24"/>
      <w:lang w:val="en-GB"/>
      <w14:ligatures xmlns:w14="http://schemas.microsoft.com/office/word/2010/wordml" w14:val="none"/>
    </w:rPr>
  </w:style>
  <w:style w:type="character" w:styleId="style263">
    <w:name w:val="Intense Reference"/>
    <w:basedOn w:val="style65"/>
    <w:next w:val="style263"/>
    <w:qFormat/>
    <w:uiPriority w:val="32"/>
    <w:rPr>
      <w:b/>
      <w:bCs/>
      <w:smallCaps/>
      <w:color w:val="2f5496"/>
      <w:spacing w:val="5"/>
    </w:rPr>
  </w:style>
  <w:style w:type="character" w:styleId="style85">
    <w:name w:val="Hyperlink"/>
    <w:basedOn w:val="style65"/>
    <w:next w:val="style85"/>
    <w:uiPriority w:val="99"/>
    <w:rPr>
      <w:color w:val="0563c1"/>
      <w:u w:val="single"/>
    </w:rPr>
  </w:style>
  <w:style w:type="character" w:customStyle="1" w:styleId="style4110">
    <w:name w:val="Unresolved Mention"/>
    <w:basedOn w:val="style65"/>
    <w:next w:val="style4110"/>
    <w:uiPriority w:val="99"/>
    <w:rPr>
      <w:color w:val="605e5c"/>
      <w:shd w:val="clear" w:color="auto" w:fill="e1dfdd"/>
    </w:rPr>
  </w:style>
  <w:style w:type="character" w:customStyle="1" w:styleId="style4111">
    <w:name w:val="field"/>
    <w:basedOn w:val="style65"/>
    <w:next w:val="style4111"/>
  </w:style>
  <w:style w:type="character" w:customStyle="1" w:styleId="style4112">
    <w:name w:val="gtosm"/>
    <w:basedOn w:val="style65"/>
    <w:next w:val="style4112"/>
  </w:style>
  <w:style w:type="paragraph" w:styleId="style31">
    <w:name w:val="header"/>
    <w:basedOn w:val="style0"/>
    <w:next w:val="style31"/>
    <w:link w:val="style4113"/>
    <w:uiPriority w:val="99"/>
    <w:pPr>
      <w:tabs>
        <w:tab w:val="center" w:leader="none" w:pos="4680"/>
        <w:tab w:val="right" w:leader="none" w:pos="9360"/>
      </w:tabs>
      <w:spacing w:after="0" w:lineRule="auto" w:line="240"/>
    </w:pPr>
    <w:rPr/>
  </w:style>
  <w:style w:type="character" w:customStyle="1" w:styleId="style4113">
    <w:name w:val="Header Char_adbdd4cf-a410-4ffa-b530-0fd4d431f20b"/>
    <w:basedOn w:val="style65"/>
    <w:next w:val="style4113"/>
    <w:link w:val="style31"/>
    <w:uiPriority w:val="99"/>
    <w:rPr>
      <w:rFonts w:ascii="Arial" w:hAnsi="Arial"/>
      <w:kern w:val="0"/>
      <w:sz w:val="24"/>
      <w:lang w:val="en-GB"/>
      <w14:ligatures xmlns:w14="http://schemas.microsoft.com/office/word/2010/wordml" w14:val="none"/>
    </w:rPr>
  </w:style>
  <w:style w:type="paragraph" w:styleId="style32">
    <w:name w:val="footer"/>
    <w:basedOn w:val="style0"/>
    <w:next w:val="style32"/>
    <w:link w:val="style4114"/>
    <w:uiPriority w:val="99"/>
    <w:pPr>
      <w:tabs>
        <w:tab w:val="center" w:leader="none" w:pos="4680"/>
        <w:tab w:val="right" w:leader="none" w:pos="9360"/>
      </w:tabs>
      <w:spacing w:after="0" w:lineRule="auto" w:line="240"/>
    </w:pPr>
    <w:rPr/>
  </w:style>
  <w:style w:type="character" w:customStyle="1" w:styleId="style4114">
    <w:name w:val="Footer Char_e8653a70-6b65-4f0e-bcd4-8ceb87d64501"/>
    <w:basedOn w:val="style65"/>
    <w:next w:val="style4114"/>
    <w:link w:val="style32"/>
    <w:uiPriority w:val="99"/>
    <w:rPr>
      <w:rFonts w:ascii="Arial" w:hAnsi="Arial"/>
      <w:kern w:val="0"/>
      <w:sz w:val="24"/>
      <w:lang w:val="en-GB"/>
      <w14:ligatures xmlns:w14="http://schemas.microsoft.com/office/word/2010/wordml" w14:val="none"/>
    </w:rPr>
  </w:style>
  <w:style w:type="paragraph" w:styleId="style266">
    <w:name w:val="TOC Heading"/>
    <w:basedOn w:val="style1"/>
    <w:next w:val="style0"/>
    <w:qFormat/>
    <w:uiPriority w:val="39"/>
    <w:pPr>
      <w:keepNext/>
      <w:keepLines/>
      <w:numPr>
        <w:ilvl w:val="0"/>
        <w:numId w:val="0"/>
      </w:numPr>
      <w:spacing w:before="240" w:after="0" w:lineRule="auto" w:line="259"/>
      <w:jc w:val="left"/>
      <w:outlineLvl w:val="9"/>
      <w:contextualSpacing w:val="false"/>
    </w:pPr>
    <w:rPr>
      <w:rFonts w:ascii="Calibri Light" w:cs="宋体" w:eastAsia="宋体" w:hAnsi="Calibri Light"/>
      <w:b w:val="false"/>
      <w:color w:val="2f5496"/>
      <w:sz w:val="32"/>
      <w:szCs w:val="32"/>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s>
</file>

<file path=word/_rels/document.xml.rels><?xml version="1.0" encoding="UTF-8"?>
<Relationships xmlns="http://schemas.openxmlformats.org/package/2006/relationships"><Relationship Id="rId11" Type="http://schemas.openxmlformats.org/officeDocument/2006/relationships/header" Target="header5.xml"/><Relationship Id="rId10" Type="http://schemas.openxmlformats.org/officeDocument/2006/relationships/footer" Target="footer4.xml"/><Relationship Id="rId13" Type="http://schemas.openxmlformats.org/officeDocument/2006/relationships/fontTable" Target="fontTable.xml"/><Relationship Id="rId12" Type="http://schemas.openxmlformats.org/officeDocument/2006/relationships/styles" Target="style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footer" Target="footer3.xml"/><Relationship Id="rId15" Type="http://schemas.openxmlformats.org/officeDocument/2006/relationships/theme" Target="theme/theme1.xml"/><Relationship Id="rId14" Type="http://schemas.openxmlformats.org/officeDocument/2006/relationships/settings" Target="settings.xml"/><Relationship Id="rId16" Type="http://schemas.openxmlformats.org/officeDocument/2006/relationships/customXml" Target="../customXml/item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header" Target="header1.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EE6A77-98AB-4717-BBCC-6C5574DA0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3365</Words>
  <Pages>18</Pages>
  <Characters>23632</Characters>
  <Application>WPS Office</Application>
  <DocSecurity>0</DocSecurity>
  <Paragraphs>141</Paragraphs>
  <ScaleCrop>false</ScaleCrop>
  <LinksUpToDate>false</LinksUpToDate>
  <CharactersWithSpaces>26959</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2025-10-16T18:28:21Z</dcterms:created>
  <dc:creator>Lenovo .</dc:creator>
  <lastModifiedBy>CPH2665</lastModifiedBy>
  <dcterms:modified xsi:type="dcterms:W3CDTF">2025-10-16T18:28:21Z</dcterms:modified>
  <revision>81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27332e6a-dab7-4784-8a0e-8030d6d15463</vt:lpwstr>
  </property>
  <property fmtid="{D5CDD505-2E9C-101B-9397-08002B2CF9AE}" pid="3" name="ICV">
    <vt:lpwstr>2176a9fbae7847bebd0ab26a66529b94</vt:lpwstr>
  </property>
</Properties>
</file>