
<file path=[Content_Types].xml><?xml version="1.0" encoding="utf-8"?>
<Types xmlns="http://schemas.openxmlformats.org/package/2006/content-types">
  <Default Extension="png" ContentType="image/png"/>
  <Default Extension="rels" ContentType="application/vnd.openxmlformats-package.relationships+xml"/>
  <Default Extension="tif" ContentType="image/tiff"/>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5DA99A" w14:textId="2BFA823F" w:rsidR="00E9053D" w:rsidRDefault="006F7847">
      <w:pPr>
        <w:widowControl/>
        <w:jc w:val="left"/>
      </w:pPr>
      <w:r>
        <w:rPr>
          <w:noProof/>
        </w:rPr>
        <mc:AlternateContent>
          <mc:Choice Requires="wps">
            <w:drawing>
              <wp:anchor distT="45720" distB="45720" distL="114300" distR="114300" simplePos="0" relativeHeight="251660288" behindDoc="0" locked="0" layoutInCell="1" allowOverlap="1" wp14:anchorId="44637A63" wp14:editId="093A9B5A">
                <wp:simplePos x="0" y="0"/>
                <wp:positionH relativeFrom="page">
                  <wp:align>left</wp:align>
                </wp:positionH>
                <wp:positionV relativeFrom="paragraph">
                  <wp:posOffset>7239000</wp:posOffset>
                </wp:positionV>
                <wp:extent cx="2360930" cy="1404620"/>
                <wp:effectExtent l="0" t="0" r="12700" b="25400"/>
                <wp:wrapSquare wrapText="bothSides"/>
                <wp:docPr id="21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12700">
                          <a:solidFill>
                            <a:schemeClr val="bg2"/>
                          </a:solidFill>
                          <a:prstDash val="lgDashDotDot"/>
                          <a:miter lim="800000"/>
                          <a:headEnd/>
                          <a:tailEnd/>
                        </a:ln>
                      </wps:spPr>
                      <wps:txbx>
                        <w:txbxContent>
                          <w:p w14:paraId="1966F2C1" w14:textId="6D284F46" w:rsidR="006F7847" w:rsidRPr="006F7847" w:rsidRDefault="006F7847">
                            <w:pPr>
                              <w:rPr>
                                <w:rFonts w:ascii="Arial" w:hAnsi="Arial" w:cs="Arial"/>
                                <w:sz w:val="24"/>
                                <w:szCs w:val="24"/>
                              </w:rPr>
                            </w:pPr>
                            <w:r w:rsidRPr="006F7847">
                              <w:rPr>
                                <w:rFonts w:ascii="Arial" w:hAnsi="Arial" w:cs="Arial"/>
                                <w:sz w:val="24"/>
                                <w:szCs w:val="24"/>
                              </w:rPr>
                              <w:t>Name</w:t>
                            </w:r>
                            <w:r w:rsidR="003C20B0">
                              <w:rPr>
                                <w:rFonts w:ascii="Arial" w:hAnsi="Arial" w:cs="Arial"/>
                                <w:sz w:val="24"/>
                                <w:szCs w:val="24"/>
                              </w:rPr>
                              <w:t xml:space="preserve"> Daqian Li</w:t>
                            </w:r>
                          </w:p>
                          <w:p w14:paraId="040ED00C" w14:textId="34631A08" w:rsidR="006F7847" w:rsidRPr="006F7847" w:rsidRDefault="006F7847">
                            <w:pPr>
                              <w:rPr>
                                <w:rFonts w:ascii="Arial" w:hAnsi="Arial" w:cs="Arial"/>
                                <w:sz w:val="24"/>
                                <w:szCs w:val="24"/>
                              </w:rPr>
                            </w:pPr>
                            <w:r w:rsidRPr="006F7847">
                              <w:rPr>
                                <w:rFonts w:ascii="Arial" w:hAnsi="Arial" w:cs="Arial"/>
                                <w:sz w:val="24"/>
                                <w:szCs w:val="24"/>
                              </w:rPr>
                              <w:t>No.</w:t>
                            </w:r>
                            <w:r w:rsidR="003C20B0">
                              <w:rPr>
                                <w:rFonts w:ascii="Arial" w:hAnsi="Arial" w:cs="Arial"/>
                                <w:sz w:val="24"/>
                                <w:szCs w:val="24"/>
                              </w:rPr>
                              <w:t>1805441</w:t>
                            </w:r>
                            <w:bookmarkStart w:id="0" w:name="_GoBack"/>
                            <w:bookmarkEnd w:id="0"/>
                          </w:p>
                          <w:p w14:paraId="3E11B332" w14:textId="30B22CE6" w:rsidR="006F7847" w:rsidRPr="006F7847" w:rsidRDefault="006F7847">
                            <w:pPr>
                              <w:rPr>
                                <w:rFonts w:ascii="Arial" w:hAnsi="Arial" w:cs="Arial"/>
                                <w:b/>
                                <w:bCs/>
                                <w:color w:val="FFFFFF" w:themeColor="background1"/>
                                <w:sz w:val="24"/>
                                <w:szCs w:val="24"/>
                              </w:rPr>
                            </w:pPr>
                            <w:r w:rsidRPr="006F7847">
                              <w:rPr>
                                <w:rFonts w:ascii="Arial" w:hAnsi="Arial" w:cs="Arial"/>
                                <w:sz w:val="24"/>
                                <w:szCs w:val="24"/>
                              </w:rPr>
                              <w:t xml:space="preserve">Word Count: </w:t>
                            </w:r>
                            <w:r w:rsidRPr="006F7847">
                              <w:rPr>
                                <w:rFonts w:ascii="Arial" w:hAnsi="Arial" w:cs="Arial"/>
                                <w:b/>
                                <w:bCs/>
                                <w:color w:val="FFFFFF" w:themeColor="background1"/>
                                <w:sz w:val="24"/>
                                <w:szCs w:val="24"/>
                              </w:rPr>
                              <w:t>4</w:t>
                            </w:r>
                            <w:r w:rsidR="00986434">
                              <w:rPr>
                                <w:rFonts w:ascii="Arial" w:hAnsi="Arial" w:cs="Arial"/>
                                <w:b/>
                                <w:bCs/>
                                <w:color w:val="FFFFFF" w:themeColor="background1"/>
                                <w:sz w:val="24"/>
                                <w:szCs w:val="24"/>
                              </w:rPr>
                              <w:t>050</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44637A63" id="_x0000_t202" coordsize="21600,21600" o:spt="202" path="m,l,21600r21600,l21600,xe">
                <v:stroke joinstyle="miter"/>
                <v:path gradientshapeok="t" o:connecttype="rect"/>
              </v:shapetype>
              <v:shape id="文本框 2" o:spid="_x0000_s1026" type="#_x0000_t202" style="position:absolute;margin-left:0;margin-top:570pt;width:185.9pt;height:110.6pt;z-index:251660288;visibility:visible;mso-wrap-style:square;mso-width-percent:400;mso-height-percent:200;mso-wrap-distance-left:9pt;mso-wrap-distance-top:3.6pt;mso-wrap-distance-right:9pt;mso-wrap-distance-bottom:3.6pt;mso-position-horizontal:left;mso-position-horizontal-relative:page;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" filled="f" strokecolor="#e3ded1 [3214]" strokeweight="1pt">
                <v:stroke dashstyle="longDashDotDot"/>
                <v:textbox style="mso-fit-shape-to-text:t">
                  <w:txbxContent>
                    <w:p w14:paraId="1966F2C1" w14:textId="6D284F46" w:rsidR="006F7847" w:rsidRPr="006F7847" w:rsidRDefault="006F7847">
                      <w:pPr>
                        <w:rPr>
                          <w:rFonts w:ascii="Arial" w:hAnsi="Arial" w:cs="Arial"/>
                          <w:sz w:val="24"/>
                          <w:szCs w:val="24"/>
                        </w:rPr>
                      </w:pPr>
                      <w:r w:rsidRPr="006F7847">
                        <w:rPr>
                          <w:rFonts w:ascii="Arial" w:hAnsi="Arial" w:cs="Arial"/>
                          <w:sz w:val="24"/>
                          <w:szCs w:val="24"/>
                        </w:rPr>
                        <w:t>Name</w:t>
                      </w:r>
                      <w:r w:rsidR="003C20B0">
                        <w:rPr>
                          <w:rFonts w:ascii="Arial" w:hAnsi="Arial" w:cs="Arial"/>
                          <w:sz w:val="24"/>
                          <w:szCs w:val="24"/>
                        </w:rPr>
                        <w:t xml:space="preserve"> Daqian Li</w:t>
                      </w:r>
                    </w:p>
                    <w:p w14:paraId="040ED00C" w14:textId="34631A08" w:rsidR="006F7847" w:rsidRPr="006F7847" w:rsidRDefault="006F7847">
                      <w:pPr>
                        <w:rPr>
                          <w:rFonts w:ascii="Arial" w:hAnsi="Arial" w:cs="Arial"/>
                          <w:sz w:val="24"/>
                          <w:szCs w:val="24"/>
                        </w:rPr>
                      </w:pPr>
                      <w:r w:rsidRPr="006F7847">
                        <w:rPr>
                          <w:rFonts w:ascii="Arial" w:hAnsi="Arial" w:cs="Arial"/>
                          <w:sz w:val="24"/>
                          <w:szCs w:val="24"/>
                        </w:rPr>
                        <w:t>No.</w:t>
                      </w:r>
                      <w:r w:rsidR="003C20B0">
                        <w:rPr>
                          <w:rFonts w:ascii="Arial" w:hAnsi="Arial" w:cs="Arial"/>
                          <w:sz w:val="24"/>
                          <w:szCs w:val="24"/>
                        </w:rPr>
                        <w:t>1805441</w:t>
                      </w:r>
                      <w:bookmarkStart w:id="1" w:name="_GoBack"/>
                      <w:bookmarkEnd w:id="1"/>
                    </w:p>
                    <w:p w14:paraId="3E11B332" w14:textId="30B22CE6" w:rsidR="006F7847" w:rsidRPr="006F7847" w:rsidRDefault="006F7847">
                      <w:pPr>
                        <w:rPr>
                          <w:rFonts w:ascii="Arial" w:hAnsi="Arial" w:cs="Arial"/>
                          <w:b/>
                          <w:bCs/>
                          <w:color w:val="FFFFFF" w:themeColor="background1"/>
                          <w:sz w:val="24"/>
                          <w:szCs w:val="24"/>
                        </w:rPr>
                      </w:pPr>
                      <w:r w:rsidRPr="006F7847">
                        <w:rPr>
                          <w:rFonts w:ascii="Arial" w:hAnsi="Arial" w:cs="Arial"/>
                          <w:sz w:val="24"/>
                          <w:szCs w:val="24"/>
                        </w:rPr>
                        <w:t xml:space="preserve">Word Count: </w:t>
                      </w:r>
                      <w:r w:rsidRPr="006F7847">
                        <w:rPr>
                          <w:rFonts w:ascii="Arial" w:hAnsi="Arial" w:cs="Arial"/>
                          <w:b/>
                          <w:bCs/>
                          <w:color w:val="FFFFFF" w:themeColor="background1"/>
                          <w:sz w:val="24"/>
                          <w:szCs w:val="24"/>
                        </w:rPr>
                        <w:t>4</w:t>
                      </w:r>
                      <w:r w:rsidR="00986434">
                        <w:rPr>
                          <w:rFonts w:ascii="Arial" w:hAnsi="Arial" w:cs="Arial"/>
                          <w:b/>
                          <w:bCs/>
                          <w:color w:val="FFFFFF" w:themeColor="background1"/>
                          <w:sz w:val="24"/>
                          <w:szCs w:val="24"/>
                        </w:rPr>
                        <w:t>050</w:t>
                      </w:r>
                    </w:p>
                  </w:txbxContent>
                </v:textbox>
                <w10:wrap type="square" anchorx="page"/>
              </v:shape>
            </w:pict>
          </mc:Fallback>
        </mc:AlternateContent>
      </w:r>
      <w:r w:rsidR="00E9053D">
        <w:rPr>
          <w:noProof/>
        </w:rPr>
        <w:drawing>
          <wp:anchor distT="0" distB="0" distL="114300" distR="114300" simplePos="0" relativeHeight="251658240" behindDoc="1" locked="0" layoutInCell="1" allowOverlap="1" wp14:anchorId="02155D4F" wp14:editId="3FB629CD">
            <wp:simplePos x="0" y="0"/>
            <wp:positionH relativeFrom="page">
              <wp:align>right</wp:align>
            </wp:positionH>
            <wp:positionV relativeFrom="paragraph">
              <wp:posOffset>-914400</wp:posOffset>
            </wp:positionV>
            <wp:extent cx="7559040" cy="10688680"/>
            <wp:effectExtent l="0" t="0" r="0" b="0"/>
            <wp:wrapNone/>
            <wp:docPr id="1" name="图片 1" descr="图片包含 游戏机, 光盘&#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未标题-1_画板 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559040" cy="10688680"/>
                    </a:xfrm>
                    <a:prstGeom prst="rect">
                      <a:avLst/>
                    </a:prstGeom>
                  </pic:spPr>
                </pic:pic>
              </a:graphicData>
            </a:graphic>
            <wp14:sizeRelH relativeFrom="margin">
              <wp14:pctWidth>0</wp14:pctWidth>
            </wp14:sizeRelH>
            <wp14:sizeRelV relativeFrom="margin">
              <wp14:pctHeight>0</wp14:pctHeight>
            </wp14:sizeRelV>
          </wp:anchor>
        </w:drawing>
      </w:r>
      <w:r w:rsidR="00E9053D">
        <w:br w:type="page"/>
      </w:r>
    </w:p>
    <w:p w14:paraId="6083D128" w14:textId="77777777" w:rsidR="00A91DBF" w:rsidRPr="00A91DBF" w:rsidRDefault="00A91DBF" w:rsidP="00A91DBF">
      <w:pPr>
        <w:widowControl/>
        <w:pBdr>
          <w:bottom w:val="single" w:sz="24" w:space="1" w:color="FF1654" w:themeColor="accent5"/>
        </w:pBdr>
        <w:spacing w:before="240" w:after="240" w:line="360" w:lineRule="auto"/>
        <w:outlineLvl w:val="0"/>
        <w:rPr>
          <w:rFonts w:ascii="D-DIN" w:hAnsi="D-DIN" w:cs="Arial"/>
          <w:b/>
          <w:bCs/>
          <w:color w:val="323232" w:themeColor="text2"/>
          <w:sz w:val="32"/>
          <w:szCs w:val="32"/>
        </w:rPr>
      </w:pPr>
      <w:bookmarkStart w:id="2" w:name="_Toc40423898"/>
      <w:r w:rsidRPr="00A91DBF">
        <w:rPr>
          <w:rFonts w:ascii="D-DIN" w:hAnsi="D-DIN" w:cs="Arial"/>
          <w:b/>
          <w:bCs/>
          <w:color w:val="323232" w:themeColor="text2"/>
          <w:sz w:val="32"/>
          <w:szCs w:val="32"/>
        </w:rPr>
        <w:lastRenderedPageBreak/>
        <w:t>Executive summary</w:t>
      </w:r>
      <w:bookmarkEnd w:id="2"/>
      <w:r w:rsidRPr="00A91DBF">
        <w:rPr>
          <w:rFonts w:ascii="D-DIN" w:hAnsi="D-DIN" w:cs="Arial"/>
          <w:b/>
          <w:bCs/>
          <w:color w:val="323232" w:themeColor="text2"/>
          <w:sz w:val="32"/>
          <w:szCs w:val="32"/>
        </w:rPr>
        <w:t xml:space="preserve"> </w:t>
      </w:r>
    </w:p>
    <w:p w14:paraId="4516BDDC" w14:textId="77777777" w:rsidR="006F7847" w:rsidRDefault="00A91DBF" w:rsidP="006F7847">
      <w:pPr>
        <w:widowControl/>
        <w:spacing w:before="160" w:line="360" w:lineRule="auto"/>
      </w:pPr>
      <w:r w:rsidRPr="006F7847">
        <w:rPr>
          <w:rFonts w:ascii="Arial" w:hAnsi="Arial" w:cs="Arial"/>
          <w:sz w:val="24"/>
          <w:szCs w:val="24"/>
        </w:rPr>
        <w:t xml:space="preserve">Novo Nordisk in the leading anti-diabetic solution provider in the world. The </w:t>
      </w:r>
      <w:r w:rsidR="005419E4" w:rsidRPr="006F7847">
        <w:rPr>
          <w:rFonts w:ascii="Arial" w:hAnsi="Arial" w:cs="Arial"/>
          <w:sz w:val="24"/>
          <w:szCs w:val="24"/>
        </w:rPr>
        <w:t>company’s</w:t>
      </w:r>
      <w:r w:rsidRPr="006F7847">
        <w:rPr>
          <w:rFonts w:ascii="Arial" w:hAnsi="Arial" w:cs="Arial"/>
          <w:sz w:val="24"/>
          <w:szCs w:val="24"/>
        </w:rPr>
        <w:t xml:space="preserve"> </w:t>
      </w:r>
      <w:r w:rsidR="005419E4" w:rsidRPr="006F7847">
        <w:rPr>
          <w:rFonts w:ascii="Arial" w:hAnsi="Arial" w:cs="Arial"/>
          <w:sz w:val="24"/>
          <w:szCs w:val="24"/>
        </w:rPr>
        <w:t>growth</w:t>
      </w:r>
      <w:r w:rsidRPr="006F7847">
        <w:rPr>
          <w:rFonts w:ascii="Arial" w:hAnsi="Arial" w:cs="Arial"/>
          <w:sz w:val="24"/>
          <w:szCs w:val="24"/>
        </w:rPr>
        <w:t xml:space="preserve"> has been hampered by multiple factors. </w:t>
      </w:r>
      <w:r w:rsidR="005419E4" w:rsidRPr="006F7847">
        <w:rPr>
          <w:rFonts w:ascii="Arial" w:hAnsi="Arial" w:cs="Arial"/>
          <w:sz w:val="24"/>
          <w:szCs w:val="24"/>
        </w:rPr>
        <w:t xml:space="preserve">To retain the growth of the company, this report suggests that the company should expand in the </w:t>
      </w:r>
      <w:r w:rsidR="006764C5" w:rsidRPr="006F7847">
        <w:rPr>
          <w:rFonts w:ascii="Arial" w:hAnsi="Arial" w:cs="Arial"/>
          <w:sz w:val="24"/>
          <w:szCs w:val="24"/>
        </w:rPr>
        <w:t>Chinese</w:t>
      </w:r>
      <w:r w:rsidR="005419E4" w:rsidRPr="006F7847">
        <w:rPr>
          <w:rFonts w:ascii="Arial" w:hAnsi="Arial" w:cs="Arial"/>
          <w:sz w:val="24"/>
          <w:szCs w:val="24"/>
        </w:rPr>
        <w:t xml:space="preserve"> anti-diabetic market. </w:t>
      </w:r>
      <w:r w:rsidR="006764C5" w:rsidRPr="006F7847">
        <w:rPr>
          <w:rFonts w:ascii="Arial" w:hAnsi="Arial" w:cs="Arial"/>
          <w:sz w:val="24"/>
          <w:szCs w:val="24"/>
        </w:rPr>
        <w:t xml:space="preserve">Using the SOSTAC model, this report suggests that the company is faced with </w:t>
      </w:r>
      <w:r w:rsidR="006F7847" w:rsidRPr="006F7847">
        <w:rPr>
          <w:rFonts w:ascii="Arial" w:hAnsi="Arial" w:cs="Arial"/>
          <w:sz w:val="24"/>
          <w:szCs w:val="24"/>
        </w:rPr>
        <w:t>great</w:t>
      </w:r>
      <w:r w:rsidR="006764C5" w:rsidRPr="006F7847">
        <w:rPr>
          <w:rFonts w:ascii="Arial" w:hAnsi="Arial" w:cs="Arial"/>
          <w:sz w:val="24"/>
          <w:szCs w:val="24"/>
        </w:rPr>
        <w:t xml:space="preserve"> challenges in the market such as the changing regulatory framework and rising Chinese pharmaceutical companies, but also with great </w:t>
      </w:r>
      <w:r w:rsidR="006F7847" w:rsidRPr="006F7847">
        <w:rPr>
          <w:rFonts w:ascii="Arial" w:hAnsi="Arial" w:cs="Arial"/>
          <w:sz w:val="24"/>
          <w:szCs w:val="24"/>
        </w:rPr>
        <w:t>opportunities</w:t>
      </w:r>
      <w:r w:rsidR="006764C5" w:rsidRPr="006F7847">
        <w:rPr>
          <w:rFonts w:ascii="Arial" w:hAnsi="Arial" w:cs="Arial"/>
          <w:sz w:val="24"/>
          <w:szCs w:val="24"/>
        </w:rPr>
        <w:t xml:space="preserve">. The increasing expenditure of healthcare in China and the </w:t>
      </w:r>
      <w:r w:rsidR="006F7847" w:rsidRPr="006F7847">
        <w:rPr>
          <w:rFonts w:ascii="Arial" w:hAnsi="Arial" w:cs="Arial"/>
          <w:sz w:val="24"/>
          <w:szCs w:val="24"/>
        </w:rPr>
        <w:t>rapidly</w:t>
      </w:r>
      <w:r w:rsidR="00CD20D9" w:rsidRPr="006F7847">
        <w:rPr>
          <w:rFonts w:ascii="Arial" w:hAnsi="Arial" w:cs="Arial"/>
          <w:sz w:val="24"/>
          <w:szCs w:val="24"/>
        </w:rPr>
        <w:t xml:space="preserve"> growing market in </w:t>
      </w:r>
      <w:r w:rsidR="006F7847" w:rsidRPr="006F7847">
        <w:rPr>
          <w:rFonts w:ascii="Arial" w:hAnsi="Arial" w:cs="Arial"/>
          <w:sz w:val="24"/>
          <w:szCs w:val="24"/>
        </w:rPr>
        <w:t>China</w:t>
      </w:r>
      <w:r w:rsidR="00CD20D9" w:rsidRPr="006F7847">
        <w:rPr>
          <w:rFonts w:ascii="Arial" w:hAnsi="Arial" w:cs="Arial"/>
          <w:sz w:val="24"/>
          <w:szCs w:val="24"/>
        </w:rPr>
        <w:t xml:space="preserve"> offer the company a great opportunity for expanding its revenue source in China. </w:t>
      </w:r>
      <w:r w:rsidR="00BF38E9" w:rsidRPr="006F7847">
        <w:rPr>
          <w:rFonts w:ascii="Arial" w:hAnsi="Arial" w:cs="Arial"/>
          <w:sz w:val="24"/>
          <w:szCs w:val="24"/>
        </w:rPr>
        <w:t xml:space="preserve">The SWOT analysis in this report suggests that the company is capable of seizing the opportunity with a proper marketing plan. The marketing plan is </w:t>
      </w:r>
      <w:r w:rsidR="006F7847" w:rsidRPr="006F7847">
        <w:rPr>
          <w:rFonts w:ascii="Arial" w:hAnsi="Arial" w:cs="Arial"/>
          <w:sz w:val="24"/>
          <w:szCs w:val="24"/>
        </w:rPr>
        <w:t>proposed</w:t>
      </w:r>
      <w:r w:rsidR="00BF38E9" w:rsidRPr="006F7847">
        <w:rPr>
          <w:rFonts w:ascii="Arial" w:hAnsi="Arial" w:cs="Arial"/>
          <w:sz w:val="24"/>
          <w:szCs w:val="24"/>
        </w:rPr>
        <w:t xml:space="preserve"> with a STP analysis and a </w:t>
      </w:r>
      <w:r w:rsidR="00907A8E" w:rsidRPr="006F7847">
        <w:rPr>
          <w:rFonts w:ascii="Arial" w:hAnsi="Arial" w:cs="Arial"/>
          <w:sz w:val="24"/>
          <w:szCs w:val="24"/>
        </w:rPr>
        <w:t xml:space="preserve">7P </w:t>
      </w:r>
      <w:r w:rsidR="006F7847" w:rsidRPr="006F7847">
        <w:rPr>
          <w:rFonts w:ascii="Arial" w:hAnsi="Arial" w:cs="Arial"/>
          <w:sz w:val="24"/>
          <w:szCs w:val="24"/>
        </w:rPr>
        <w:t>marketing</w:t>
      </w:r>
      <w:r w:rsidR="00907A8E" w:rsidRPr="006F7847">
        <w:rPr>
          <w:rFonts w:ascii="Arial" w:hAnsi="Arial" w:cs="Arial"/>
          <w:sz w:val="24"/>
          <w:szCs w:val="24"/>
        </w:rPr>
        <w:t xml:space="preserve"> mix analysis. The marketing plan suggests that the company should segment the market into prescription and non-</w:t>
      </w:r>
      <w:r w:rsidR="006F7847" w:rsidRPr="006F7847">
        <w:rPr>
          <w:rFonts w:ascii="Arial" w:hAnsi="Arial" w:cs="Arial"/>
          <w:sz w:val="24"/>
          <w:szCs w:val="24"/>
        </w:rPr>
        <w:t>prescription</w:t>
      </w:r>
      <w:r w:rsidR="00907A8E" w:rsidRPr="006F7847">
        <w:rPr>
          <w:rFonts w:ascii="Arial" w:hAnsi="Arial" w:cs="Arial"/>
          <w:sz w:val="24"/>
          <w:szCs w:val="24"/>
        </w:rPr>
        <w:t xml:space="preserve"> market targeting different customers. The two market </w:t>
      </w:r>
      <w:r w:rsidR="006F7847" w:rsidRPr="006F7847">
        <w:rPr>
          <w:rFonts w:ascii="Arial" w:hAnsi="Arial" w:cs="Arial"/>
          <w:sz w:val="24"/>
          <w:szCs w:val="24"/>
        </w:rPr>
        <w:t>segments</w:t>
      </w:r>
      <w:r w:rsidR="00907A8E" w:rsidRPr="006F7847">
        <w:rPr>
          <w:rFonts w:ascii="Arial" w:hAnsi="Arial" w:cs="Arial"/>
          <w:sz w:val="24"/>
          <w:szCs w:val="24"/>
        </w:rPr>
        <w:t xml:space="preserve"> can enable the company to </w:t>
      </w:r>
      <w:r w:rsidR="006F7847" w:rsidRPr="006F7847">
        <w:rPr>
          <w:rFonts w:ascii="Arial" w:hAnsi="Arial" w:cs="Arial"/>
          <w:sz w:val="24"/>
          <w:szCs w:val="24"/>
        </w:rPr>
        <w:t>effectively use its strengths to seize the opportunity and diminish internal weaknesses. This report also proposes an implementation strategy and a control strategy for the smooth implementation of the marketing plan.</w:t>
      </w:r>
      <w:r w:rsidR="006F7847">
        <w:t xml:space="preserve"> </w:t>
      </w:r>
    </w:p>
    <w:p w14:paraId="50D6F7EE" w14:textId="77777777" w:rsidR="006F7847" w:rsidRDefault="006F7847">
      <w:pPr>
        <w:widowControl/>
        <w:jc w:val="left"/>
      </w:pPr>
      <w:r>
        <w:br w:type="page"/>
      </w:r>
    </w:p>
    <w:p w14:paraId="72431822" w14:textId="77777777" w:rsidR="006F7847" w:rsidRPr="006F7847" w:rsidRDefault="006F7847" w:rsidP="006F7847">
      <w:pPr>
        <w:widowControl/>
        <w:pBdr>
          <w:bottom w:val="single" w:sz="24" w:space="1" w:color="FF1654" w:themeColor="accent5"/>
        </w:pBdr>
        <w:spacing w:before="240" w:after="240" w:line="360" w:lineRule="auto"/>
        <w:outlineLvl w:val="0"/>
        <w:rPr>
          <w:rFonts w:ascii="D-DIN" w:hAnsi="D-DIN" w:cs="Arial"/>
          <w:b/>
          <w:bCs/>
          <w:color w:val="323232" w:themeColor="text2"/>
          <w:sz w:val="32"/>
          <w:szCs w:val="32"/>
        </w:rPr>
      </w:pPr>
      <w:bookmarkStart w:id="3" w:name="_Toc40423899"/>
      <w:r w:rsidRPr="006F7847">
        <w:rPr>
          <w:rFonts w:ascii="D-DIN" w:hAnsi="D-DIN" w:cs="Arial"/>
          <w:b/>
          <w:bCs/>
          <w:color w:val="323232" w:themeColor="text2"/>
          <w:sz w:val="32"/>
          <w:szCs w:val="32"/>
        </w:rPr>
        <w:lastRenderedPageBreak/>
        <w:t>Table of Contents</w:t>
      </w:r>
      <w:bookmarkEnd w:id="3"/>
      <w:r w:rsidRPr="006F7847">
        <w:rPr>
          <w:rFonts w:ascii="D-DIN" w:hAnsi="D-DIN" w:cs="Arial"/>
          <w:b/>
          <w:bCs/>
          <w:color w:val="323232" w:themeColor="text2"/>
          <w:sz w:val="32"/>
          <w:szCs w:val="32"/>
        </w:rPr>
        <w:t xml:space="preserve"> </w:t>
      </w:r>
    </w:p>
    <w:sdt>
      <w:sdtPr>
        <w:rPr>
          <w:rFonts w:asciiTheme="minorHAnsi" w:eastAsiaTheme="minorEastAsia" w:hAnsiTheme="minorHAnsi" w:cstheme="minorBidi"/>
          <w:color w:val="auto"/>
          <w:sz w:val="22"/>
          <w:szCs w:val="22"/>
          <w:lang w:val="zh-CN"/>
        </w:rPr>
        <w:id w:val="-27807741"/>
        <w:docPartObj>
          <w:docPartGallery w:val="Table of Contents"/>
          <w:docPartUnique/>
        </w:docPartObj>
      </w:sdtPr>
      <w:sdtEndPr>
        <w:rPr>
          <w:b/>
          <w:bCs/>
        </w:rPr>
      </w:sdtEndPr>
      <w:sdtContent>
        <w:p w14:paraId="7FC435DB" w14:textId="0E061B8E" w:rsidR="006F7847" w:rsidRDefault="006F7847">
          <w:pPr>
            <w:pStyle w:val="TOC"/>
          </w:pPr>
        </w:p>
        <w:p w14:paraId="7906983F" w14:textId="7FBDC509" w:rsidR="006F7847" w:rsidRPr="006F7847" w:rsidRDefault="006F7847" w:rsidP="006F7847">
          <w:pPr>
            <w:pStyle w:val="TOC1"/>
            <w:tabs>
              <w:tab w:val="right" w:leader="dot" w:pos="9016"/>
            </w:tabs>
            <w:spacing w:line="360" w:lineRule="auto"/>
            <w:rPr>
              <w:noProof/>
            </w:rPr>
          </w:pPr>
          <w:r w:rsidRPr="006F7847">
            <w:fldChar w:fldCharType="begin"/>
          </w:r>
          <w:r w:rsidRPr="006F7847">
            <w:instrText xml:space="preserve"> TOC \o "1-3" \h \z \u </w:instrText>
          </w:r>
          <w:r w:rsidRPr="006F7847">
            <w:fldChar w:fldCharType="separate"/>
          </w:r>
          <w:hyperlink w:anchor="_Toc40423898" w:history="1">
            <w:r w:rsidRPr="006F7847">
              <w:rPr>
                <w:rStyle w:val="a9"/>
                <w:rFonts w:ascii="D-DIN" w:hAnsi="D-DIN" w:cs="Arial"/>
                <w:noProof/>
              </w:rPr>
              <w:t>Executive summary</w:t>
            </w:r>
            <w:r w:rsidRPr="006F7847">
              <w:rPr>
                <w:noProof/>
                <w:webHidden/>
              </w:rPr>
              <w:tab/>
            </w:r>
          </w:hyperlink>
        </w:p>
        <w:p w14:paraId="0D0B9589" w14:textId="2E3CD8F1" w:rsidR="006F7847" w:rsidRPr="006F7847" w:rsidRDefault="00EC5B53" w:rsidP="006F7847">
          <w:pPr>
            <w:pStyle w:val="TOC1"/>
            <w:tabs>
              <w:tab w:val="right" w:leader="dot" w:pos="9016"/>
            </w:tabs>
            <w:spacing w:line="360" w:lineRule="auto"/>
            <w:rPr>
              <w:noProof/>
            </w:rPr>
          </w:pPr>
          <w:hyperlink w:anchor="_Toc40423899" w:history="1">
            <w:r w:rsidR="006F7847" w:rsidRPr="006F7847">
              <w:rPr>
                <w:rStyle w:val="a9"/>
                <w:rFonts w:ascii="D-DIN" w:hAnsi="D-DIN" w:cs="Arial"/>
                <w:noProof/>
              </w:rPr>
              <w:t>Table of Contents</w:t>
            </w:r>
            <w:r w:rsidR="006F7847" w:rsidRPr="006F7847">
              <w:rPr>
                <w:noProof/>
                <w:webHidden/>
              </w:rPr>
              <w:tab/>
            </w:r>
          </w:hyperlink>
        </w:p>
        <w:p w14:paraId="10746AEF" w14:textId="4B7462B5" w:rsidR="006F7847" w:rsidRPr="006F7847" w:rsidRDefault="00EC5B53" w:rsidP="006F7847">
          <w:pPr>
            <w:pStyle w:val="TOC1"/>
            <w:tabs>
              <w:tab w:val="left" w:pos="440"/>
              <w:tab w:val="right" w:leader="dot" w:pos="9016"/>
            </w:tabs>
            <w:spacing w:line="360" w:lineRule="auto"/>
            <w:rPr>
              <w:noProof/>
            </w:rPr>
          </w:pPr>
          <w:hyperlink w:anchor="_Toc40423900" w:history="1">
            <w:r w:rsidR="006F7847" w:rsidRPr="006F7847">
              <w:rPr>
                <w:rStyle w:val="a9"/>
                <w:rFonts w:ascii="D-DIN" w:hAnsi="D-DIN" w:cs="Arial"/>
                <w:noProof/>
              </w:rPr>
              <w:t>1.</w:t>
            </w:r>
            <w:r w:rsidR="006F7847" w:rsidRPr="006F7847">
              <w:rPr>
                <w:noProof/>
              </w:rPr>
              <w:tab/>
            </w:r>
            <w:r w:rsidR="006F7847" w:rsidRPr="006F7847">
              <w:rPr>
                <w:rStyle w:val="a9"/>
                <w:rFonts w:ascii="D-DIN" w:hAnsi="D-DIN" w:cs="Arial"/>
                <w:noProof/>
              </w:rPr>
              <w:t>Introduction</w:t>
            </w:r>
            <w:r w:rsidR="006F7847" w:rsidRPr="006F7847">
              <w:rPr>
                <w:noProof/>
                <w:webHidden/>
              </w:rPr>
              <w:tab/>
            </w:r>
            <w:r w:rsidR="006F7847" w:rsidRPr="006F7847">
              <w:rPr>
                <w:noProof/>
                <w:webHidden/>
              </w:rPr>
              <w:fldChar w:fldCharType="begin"/>
            </w:r>
            <w:r w:rsidR="006F7847" w:rsidRPr="006F7847">
              <w:rPr>
                <w:noProof/>
                <w:webHidden/>
              </w:rPr>
              <w:instrText xml:space="preserve"> PAGEREF _Toc40423900 \h </w:instrText>
            </w:r>
            <w:r w:rsidR="006F7847" w:rsidRPr="006F7847">
              <w:rPr>
                <w:noProof/>
                <w:webHidden/>
              </w:rPr>
            </w:r>
            <w:r w:rsidR="006F7847" w:rsidRPr="006F7847">
              <w:rPr>
                <w:noProof/>
                <w:webHidden/>
              </w:rPr>
              <w:fldChar w:fldCharType="separate"/>
            </w:r>
            <w:r w:rsidR="006F7847" w:rsidRPr="006F7847">
              <w:rPr>
                <w:noProof/>
                <w:webHidden/>
              </w:rPr>
              <w:t>1</w:t>
            </w:r>
            <w:r w:rsidR="006F7847" w:rsidRPr="006F7847">
              <w:rPr>
                <w:noProof/>
                <w:webHidden/>
              </w:rPr>
              <w:fldChar w:fldCharType="end"/>
            </w:r>
          </w:hyperlink>
        </w:p>
        <w:p w14:paraId="5D371536" w14:textId="2F0FBD74" w:rsidR="006F7847" w:rsidRPr="006F7847" w:rsidRDefault="00EC5B53" w:rsidP="006F7847">
          <w:pPr>
            <w:pStyle w:val="TOC1"/>
            <w:tabs>
              <w:tab w:val="left" w:pos="440"/>
              <w:tab w:val="right" w:leader="dot" w:pos="9016"/>
            </w:tabs>
            <w:spacing w:line="360" w:lineRule="auto"/>
            <w:rPr>
              <w:noProof/>
            </w:rPr>
          </w:pPr>
          <w:hyperlink w:anchor="_Toc40423901" w:history="1">
            <w:r w:rsidR="006F7847" w:rsidRPr="006F7847">
              <w:rPr>
                <w:rStyle w:val="a9"/>
                <w:rFonts w:ascii="D-DIN" w:hAnsi="D-DIN" w:cs="Arial"/>
                <w:noProof/>
              </w:rPr>
              <w:t>2.</w:t>
            </w:r>
            <w:r w:rsidR="006F7847" w:rsidRPr="006F7847">
              <w:rPr>
                <w:noProof/>
              </w:rPr>
              <w:tab/>
            </w:r>
            <w:r w:rsidR="006F7847" w:rsidRPr="006F7847">
              <w:rPr>
                <w:rStyle w:val="a9"/>
                <w:rFonts w:ascii="D-DIN" w:hAnsi="D-DIN" w:cs="Arial"/>
                <w:noProof/>
              </w:rPr>
              <w:t>Introduction of Novo Nordisk and market choice justification</w:t>
            </w:r>
            <w:r w:rsidR="006F7847" w:rsidRPr="006F7847">
              <w:rPr>
                <w:noProof/>
                <w:webHidden/>
              </w:rPr>
              <w:tab/>
            </w:r>
            <w:r w:rsidR="006F7847" w:rsidRPr="006F7847">
              <w:rPr>
                <w:noProof/>
                <w:webHidden/>
              </w:rPr>
              <w:fldChar w:fldCharType="begin"/>
            </w:r>
            <w:r w:rsidR="006F7847" w:rsidRPr="006F7847">
              <w:rPr>
                <w:noProof/>
                <w:webHidden/>
              </w:rPr>
              <w:instrText xml:space="preserve"> PAGEREF _Toc40423901 \h </w:instrText>
            </w:r>
            <w:r w:rsidR="006F7847" w:rsidRPr="006F7847">
              <w:rPr>
                <w:noProof/>
                <w:webHidden/>
              </w:rPr>
            </w:r>
            <w:r w:rsidR="006F7847" w:rsidRPr="006F7847">
              <w:rPr>
                <w:noProof/>
                <w:webHidden/>
              </w:rPr>
              <w:fldChar w:fldCharType="separate"/>
            </w:r>
            <w:r w:rsidR="006F7847" w:rsidRPr="006F7847">
              <w:rPr>
                <w:noProof/>
                <w:webHidden/>
              </w:rPr>
              <w:t>1</w:t>
            </w:r>
            <w:r w:rsidR="006F7847" w:rsidRPr="006F7847">
              <w:rPr>
                <w:noProof/>
                <w:webHidden/>
              </w:rPr>
              <w:fldChar w:fldCharType="end"/>
            </w:r>
          </w:hyperlink>
        </w:p>
        <w:p w14:paraId="25358FE9" w14:textId="2EF44FD3" w:rsidR="006F7847" w:rsidRPr="006F7847" w:rsidRDefault="00EC5B53" w:rsidP="006F7847">
          <w:pPr>
            <w:pStyle w:val="TOC1"/>
            <w:tabs>
              <w:tab w:val="left" w:pos="440"/>
              <w:tab w:val="right" w:leader="dot" w:pos="9016"/>
            </w:tabs>
            <w:spacing w:line="360" w:lineRule="auto"/>
            <w:rPr>
              <w:noProof/>
            </w:rPr>
          </w:pPr>
          <w:hyperlink w:anchor="_Toc40423902" w:history="1">
            <w:r w:rsidR="006F7847" w:rsidRPr="006F7847">
              <w:rPr>
                <w:rStyle w:val="a9"/>
                <w:rFonts w:ascii="D-DIN" w:hAnsi="D-DIN" w:cs="Arial"/>
                <w:noProof/>
              </w:rPr>
              <w:t>3.</w:t>
            </w:r>
            <w:r w:rsidR="006F7847" w:rsidRPr="006F7847">
              <w:rPr>
                <w:noProof/>
              </w:rPr>
              <w:tab/>
            </w:r>
            <w:r w:rsidR="006F7847" w:rsidRPr="006F7847">
              <w:rPr>
                <w:rStyle w:val="a9"/>
                <w:rFonts w:ascii="D-DIN" w:hAnsi="D-DIN" w:cs="Arial"/>
                <w:noProof/>
              </w:rPr>
              <w:t>Situation analysis</w:t>
            </w:r>
            <w:r w:rsidR="006F7847" w:rsidRPr="006F7847">
              <w:rPr>
                <w:noProof/>
                <w:webHidden/>
              </w:rPr>
              <w:tab/>
            </w:r>
            <w:r w:rsidR="006F7847" w:rsidRPr="006F7847">
              <w:rPr>
                <w:noProof/>
                <w:webHidden/>
              </w:rPr>
              <w:fldChar w:fldCharType="begin"/>
            </w:r>
            <w:r w:rsidR="006F7847" w:rsidRPr="006F7847">
              <w:rPr>
                <w:noProof/>
                <w:webHidden/>
              </w:rPr>
              <w:instrText xml:space="preserve"> PAGEREF _Toc40423902 \h </w:instrText>
            </w:r>
            <w:r w:rsidR="006F7847" w:rsidRPr="006F7847">
              <w:rPr>
                <w:noProof/>
                <w:webHidden/>
              </w:rPr>
            </w:r>
            <w:r w:rsidR="006F7847" w:rsidRPr="006F7847">
              <w:rPr>
                <w:noProof/>
                <w:webHidden/>
              </w:rPr>
              <w:fldChar w:fldCharType="separate"/>
            </w:r>
            <w:r w:rsidR="006F7847" w:rsidRPr="006F7847">
              <w:rPr>
                <w:noProof/>
                <w:webHidden/>
              </w:rPr>
              <w:t>3</w:t>
            </w:r>
            <w:r w:rsidR="006F7847" w:rsidRPr="006F7847">
              <w:rPr>
                <w:noProof/>
                <w:webHidden/>
              </w:rPr>
              <w:fldChar w:fldCharType="end"/>
            </w:r>
          </w:hyperlink>
        </w:p>
        <w:p w14:paraId="12DEA893" w14:textId="6ED2BE1B" w:rsidR="006F7847" w:rsidRPr="006F7847" w:rsidRDefault="00EC5B53" w:rsidP="006F7847">
          <w:pPr>
            <w:pStyle w:val="TOC2"/>
            <w:tabs>
              <w:tab w:val="left" w:pos="880"/>
              <w:tab w:val="right" w:leader="dot" w:pos="9016"/>
            </w:tabs>
            <w:spacing w:line="360" w:lineRule="auto"/>
            <w:rPr>
              <w:noProof/>
            </w:rPr>
          </w:pPr>
          <w:hyperlink w:anchor="_Toc40423903" w:history="1">
            <w:r w:rsidR="006F7847" w:rsidRPr="006F7847">
              <w:rPr>
                <w:rStyle w:val="a9"/>
                <w:rFonts w:ascii="Arial" w:hAnsi="Arial" w:cs="Arial"/>
                <w:noProof/>
              </w:rPr>
              <w:t>3.1.</w:t>
            </w:r>
            <w:r w:rsidR="006F7847" w:rsidRPr="006F7847">
              <w:rPr>
                <w:noProof/>
              </w:rPr>
              <w:tab/>
            </w:r>
            <w:r w:rsidR="006F7847" w:rsidRPr="006F7847">
              <w:rPr>
                <w:rStyle w:val="a9"/>
                <w:rFonts w:ascii="Arial" w:hAnsi="Arial" w:cs="Arial"/>
                <w:noProof/>
              </w:rPr>
              <w:t>Macro business environmental analysis - PEST</w:t>
            </w:r>
            <w:r w:rsidR="006F7847" w:rsidRPr="006F7847">
              <w:rPr>
                <w:noProof/>
                <w:webHidden/>
              </w:rPr>
              <w:tab/>
            </w:r>
            <w:r w:rsidR="006F7847" w:rsidRPr="006F7847">
              <w:rPr>
                <w:noProof/>
                <w:webHidden/>
              </w:rPr>
              <w:fldChar w:fldCharType="begin"/>
            </w:r>
            <w:r w:rsidR="006F7847" w:rsidRPr="006F7847">
              <w:rPr>
                <w:noProof/>
                <w:webHidden/>
              </w:rPr>
              <w:instrText xml:space="preserve"> PAGEREF _Toc40423903 \h </w:instrText>
            </w:r>
            <w:r w:rsidR="006F7847" w:rsidRPr="006F7847">
              <w:rPr>
                <w:noProof/>
                <w:webHidden/>
              </w:rPr>
            </w:r>
            <w:r w:rsidR="006F7847" w:rsidRPr="006F7847">
              <w:rPr>
                <w:noProof/>
                <w:webHidden/>
              </w:rPr>
              <w:fldChar w:fldCharType="separate"/>
            </w:r>
            <w:r w:rsidR="006F7847" w:rsidRPr="006F7847">
              <w:rPr>
                <w:noProof/>
                <w:webHidden/>
              </w:rPr>
              <w:t>3</w:t>
            </w:r>
            <w:r w:rsidR="006F7847" w:rsidRPr="006F7847">
              <w:rPr>
                <w:noProof/>
                <w:webHidden/>
              </w:rPr>
              <w:fldChar w:fldCharType="end"/>
            </w:r>
          </w:hyperlink>
        </w:p>
        <w:p w14:paraId="528758B7" w14:textId="73452EB4" w:rsidR="006F7847" w:rsidRPr="006F7847" w:rsidRDefault="00EC5B53" w:rsidP="006F7847">
          <w:pPr>
            <w:pStyle w:val="TOC2"/>
            <w:tabs>
              <w:tab w:val="left" w:pos="880"/>
              <w:tab w:val="right" w:leader="dot" w:pos="9016"/>
            </w:tabs>
            <w:spacing w:line="360" w:lineRule="auto"/>
            <w:rPr>
              <w:noProof/>
            </w:rPr>
          </w:pPr>
          <w:hyperlink w:anchor="_Toc40423908" w:history="1">
            <w:r w:rsidR="006F7847" w:rsidRPr="006F7847">
              <w:rPr>
                <w:rStyle w:val="a9"/>
                <w:rFonts w:ascii="Arial" w:hAnsi="Arial" w:cs="Arial"/>
                <w:noProof/>
              </w:rPr>
              <w:t>3.2.</w:t>
            </w:r>
            <w:r w:rsidR="006F7847" w:rsidRPr="006F7847">
              <w:rPr>
                <w:noProof/>
              </w:rPr>
              <w:tab/>
            </w:r>
            <w:r w:rsidR="006F7847" w:rsidRPr="006F7847">
              <w:rPr>
                <w:rStyle w:val="a9"/>
                <w:rFonts w:ascii="Arial" w:hAnsi="Arial" w:cs="Arial"/>
                <w:noProof/>
              </w:rPr>
              <w:t>Micro business environmental analysis – Porter’s Five Forces</w:t>
            </w:r>
            <w:r w:rsidR="006F7847" w:rsidRPr="006F7847">
              <w:rPr>
                <w:noProof/>
                <w:webHidden/>
              </w:rPr>
              <w:tab/>
            </w:r>
            <w:r w:rsidR="006F7847" w:rsidRPr="006F7847">
              <w:rPr>
                <w:noProof/>
                <w:webHidden/>
              </w:rPr>
              <w:fldChar w:fldCharType="begin"/>
            </w:r>
            <w:r w:rsidR="006F7847" w:rsidRPr="006F7847">
              <w:rPr>
                <w:noProof/>
                <w:webHidden/>
              </w:rPr>
              <w:instrText xml:space="preserve"> PAGEREF _Toc40423908 \h </w:instrText>
            </w:r>
            <w:r w:rsidR="006F7847" w:rsidRPr="006F7847">
              <w:rPr>
                <w:noProof/>
                <w:webHidden/>
              </w:rPr>
            </w:r>
            <w:r w:rsidR="006F7847" w:rsidRPr="006F7847">
              <w:rPr>
                <w:noProof/>
                <w:webHidden/>
              </w:rPr>
              <w:fldChar w:fldCharType="separate"/>
            </w:r>
            <w:r w:rsidR="006F7847" w:rsidRPr="006F7847">
              <w:rPr>
                <w:noProof/>
                <w:webHidden/>
              </w:rPr>
              <w:t>6</w:t>
            </w:r>
            <w:r w:rsidR="006F7847" w:rsidRPr="006F7847">
              <w:rPr>
                <w:noProof/>
                <w:webHidden/>
              </w:rPr>
              <w:fldChar w:fldCharType="end"/>
            </w:r>
          </w:hyperlink>
        </w:p>
        <w:p w14:paraId="259A3588" w14:textId="5C86A01F" w:rsidR="006F7847" w:rsidRPr="006F7847" w:rsidRDefault="00EC5B53" w:rsidP="006F7847">
          <w:pPr>
            <w:pStyle w:val="TOC2"/>
            <w:tabs>
              <w:tab w:val="left" w:pos="880"/>
              <w:tab w:val="right" w:leader="dot" w:pos="9016"/>
            </w:tabs>
            <w:spacing w:line="360" w:lineRule="auto"/>
            <w:rPr>
              <w:noProof/>
            </w:rPr>
          </w:pPr>
          <w:hyperlink w:anchor="_Toc40423914" w:history="1">
            <w:r w:rsidR="006F7847" w:rsidRPr="006F7847">
              <w:rPr>
                <w:rStyle w:val="a9"/>
                <w:rFonts w:ascii="Arial" w:hAnsi="Arial" w:cs="Arial"/>
                <w:noProof/>
              </w:rPr>
              <w:t>3.3.</w:t>
            </w:r>
            <w:r w:rsidR="006F7847" w:rsidRPr="006F7847">
              <w:rPr>
                <w:noProof/>
              </w:rPr>
              <w:tab/>
            </w:r>
            <w:r w:rsidR="006F7847" w:rsidRPr="006F7847">
              <w:rPr>
                <w:rStyle w:val="a9"/>
                <w:rFonts w:ascii="Arial" w:hAnsi="Arial" w:cs="Arial"/>
                <w:noProof/>
              </w:rPr>
              <w:t>Internal analysis - SWOT analysis</w:t>
            </w:r>
            <w:r w:rsidR="006F7847" w:rsidRPr="006F7847">
              <w:rPr>
                <w:noProof/>
                <w:webHidden/>
              </w:rPr>
              <w:tab/>
            </w:r>
            <w:r w:rsidR="006F7847" w:rsidRPr="006F7847">
              <w:rPr>
                <w:noProof/>
                <w:webHidden/>
              </w:rPr>
              <w:fldChar w:fldCharType="begin"/>
            </w:r>
            <w:r w:rsidR="006F7847" w:rsidRPr="006F7847">
              <w:rPr>
                <w:noProof/>
                <w:webHidden/>
              </w:rPr>
              <w:instrText xml:space="preserve"> PAGEREF _Toc40423914 \h </w:instrText>
            </w:r>
            <w:r w:rsidR="006F7847" w:rsidRPr="006F7847">
              <w:rPr>
                <w:noProof/>
                <w:webHidden/>
              </w:rPr>
            </w:r>
            <w:r w:rsidR="006F7847" w:rsidRPr="006F7847">
              <w:rPr>
                <w:noProof/>
                <w:webHidden/>
              </w:rPr>
              <w:fldChar w:fldCharType="separate"/>
            </w:r>
            <w:r w:rsidR="006F7847" w:rsidRPr="006F7847">
              <w:rPr>
                <w:noProof/>
                <w:webHidden/>
              </w:rPr>
              <w:t>7</w:t>
            </w:r>
            <w:r w:rsidR="006F7847" w:rsidRPr="006F7847">
              <w:rPr>
                <w:noProof/>
                <w:webHidden/>
              </w:rPr>
              <w:fldChar w:fldCharType="end"/>
            </w:r>
          </w:hyperlink>
        </w:p>
        <w:p w14:paraId="15549C02" w14:textId="3470A825" w:rsidR="006F7847" w:rsidRPr="006F7847" w:rsidRDefault="00EC5B53" w:rsidP="006F7847">
          <w:pPr>
            <w:pStyle w:val="TOC1"/>
            <w:tabs>
              <w:tab w:val="left" w:pos="440"/>
              <w:tab w:val="right" w:leader="dot" w:pos="9016"/>
            </w:tabs>
            <w:spacing w:line="360" w:lineRule="auto"/>
            <w:rPr>
              <w:noProof/>
            </w:rPr>
          </w:pPr>
          <w:hyperlink w:anchor="_Toc40423919" w:history="1">
            <w:r w:rsidR="006F7847" w:rsidRPr="006F7847">
              <w:rPr>
                <w:rStyle w:val="a9"/>
                <w:rFonts w:ascii="D-DIN" w:hAnsi="D-DIN" w:cs="Arial"/>
                <w:noProof/>
              </w:rPr>
              <w:t>4.</w:t>
            </w:r>
            <w:r w:rsidR="006F7847" w:rsidRPr="006F7847">
              <w:rPr>
                <w:noProof/>
              </w:rPr>
              <w:tab/>
            </w:r>
            <w:r w:rsidR="006F7847" w:rsidRPr="006F7847">
              <w:rPr>
                <w:rStyle w:val="a9"/>
                <w:rFonts w:ascii="D-DIN" w:hAnsi="D-DIN" w:cs="Arial"/>
                <w:noProof/>
              </w:rPr>
              <w:t>Marketing planning of Novo Nordisk</w:t>
            </w:r>
            <w:r w:rsidR="006F7847" w:rsidRPr="006F7847">
              <w:rPr>
                <w:noProof/>
                <w:webHidden/>
              </w:rPr>
              <w:tab/>
            </w:r>
            <w:r w:rsidR="006F7847" w:rsidRPr="006F7847">
              <w:rPr>
                <w:noProof/>
                <w:webHidden/>
              </w:rPr>
              <w:fldChar w:fldCharType="begin"/>
            </w:r>
            <w:r w:rsidR="006F7847" w:rsidRPr="006F7847">
              <w:rPr>
                <w:noProof/>
                <w:webHidden/>
              </w:rPr>
              <w:instrText xml:space="preserve"> PAGEREF _Toc40423919 \h </w:instrText>
            </w:r>
            <w:r w:rsidR="006F7847" w:rsidRPr="006F7847">
              <w:rPr>
                <w:noProof/>
                <w:webHidden/>
              </w:rPr>
            </w:r>
            <w:r w:rsidR="006F7847" w:rsidRPr="006F7847">
              <w:rPr>
                <w:noProof/>
                <w:webHidden/>
              </w:rPr>
              <w:fldChar w:fldCharType="separate"/>
            </w:r>
            <w:r w:rsidR="006F7847" w:rsidRPr="006F7847">
              <w:rPr>
                <w:noProof/>
                <w:webHidden/>
              </w:rPr>
              <w:t>9</w:t>
            </w:r>
            <w:r w:rsidR="006F7847" w:rsidRPr="006F7847">
              <w:rPr>
                <w:noProof/>
                <w:webHidden/>
              </w:rPr>
              <w:fldChar w:fldCharType="end"/>
            </w:r>
          </w:hyperlink>
        </w:p>
        <w:p w14:paraId="69F1B498" w14:textId="1CEFAE1B" w:rsidR="006F7847" w:rsidRPr="006F7847" w:rsidRDefault="00EC5B53" w:rsidP="006F7847">
          <w:pPr>
            <w:pStyle w:val="TOC2"/>
            <w:tabs>
              <w:tab w:val="left" w:pos="880"/>
              <w:tab w:val="right" w:leader="dot" w:pos="9016"/>
            </w:tabs>
            <w:spacing w:line="360" w:lineRule="auto"/>
            <w:rPr>
              <w:noProof/>
            </w:rPr>
          </w:pPr>
          <w:hyperlink w:anchor="_Toc40423920" w:history="1">
            <w:r w:rsidR="006F7847" w:rsidRPr="006F7847">
              <w:rPr>
                <w:rStyle w:val="a9"/>
                <w:rFonts w:ascii="Arial" w:hAnsi="Arial" w:cs="Arial"/>
                <w:noProof/>
              </w:rPr>
              <w:t>4.1.</w:t>
            </w:r>
            <w:r w:rsidR="006F7847" w:rsidRPr="006F7847">
              <w:rPr>
                <w:noProof/>
              </w:rPr>
              <w:tab/>
            </w:r>
            <w:r w:rsidR="006F7847" w:rsidRPr="006F7847">
              <w:rPr>
                <w:rStyle w:val="a9"/>
                <w:rFonts w:ascii="Arial" w:hAnsi="Arial" w:cs="Arial"/>
                <w:noProof/>
              </w:rPr>
              <w:t>Marketing objective establishment</w:t>
            </w:r>
            <w:r w:rsidR="006F7847" w:rsidRPr="006F7847">
              <w:rPr>
                <w:noProof/>
                <w:webHidden/>
              </w:rPr>
              <w:tab/>
            </w:r>
            <w:r w:rsidR="006F7847" w:rsidRPr="006F7847">
              <w:rPr>
                <w:noProof/>
                <w:webHidden/>
              </w:rPr>
              <w:fldChar w:fldCharType="begin"/>
            </w:r>
            <w:r w:rsidR="006F7847" w:rsidRPr="006F7847">
              <w:rPr>
                <w:noProof/>
                <w:webHidden/>
              </w:rPr>
              <w:instrText xml:space="preserve"> PAGEREF _Toc40423920 \h </w:instrText>
            </w:r>
            <w:r w:rsidR="006F7847" w:rsidRPr="006F7847">
              <w:rPr>
                <w:noProof/>
                <w:webHidden/>
              </w:rPr>
            </w:r>
            <w:r w:rsidR="006F7847" w:rsidRPr="006F7847">
              <w:rPr>
                <w:noProof/>
                <w:webHidden/>
              </w:rPr>
              <w:fldChar w:fldCharType="separate"/>
            </w:r>
            <w:r w:rsidR="006F7847" w:rsidRPr="006F7847">
              <w:rPr>
                <w:noProof/>
                <w:webHidden/>
              </w:rPr>
              <w:t>9</w:t>
            </w:r>
            <w:r w:rsidR="006F7847" w:rsidRPr="006F7847">
              <w:rPr>
                <w:noProof/>
                <w:webHidden/>
              </w:rPr>
              <w:fldChar w:fldCharType="end"/>
            </w:r>
          </w:hyperlink>
        </w:p>
        <w:p w14:paraId="78AA0A13" w14:textId="1928027E" w:rsidR="006F7847" w:rsidRPr="006F7847" w:rsidRDefault="00EC5B53" w:rsidP="006F7847">
          <w:pPr>
            <w:pStyle w:val="TOC2"/>
            <w:tabs>
              <w:tab w:val="left" w:pos="880"/>
              <w:tab w:val="right" w:leader="dot" w:pos="9016"/>
            </w:tabs>
            <w:spacing w:line="360" w:lineRule="auto"/>
            <w:rPr>
              <w:noProof/>
            </w:rPr>
          </w:pPr>
          <w:hyperlink w:anchor="_Toc40423921" w:history="1">
            <w:r w:rsidR="006F7847" w:rsidRPr="006F7847">
              <w:rPr>
                <w:rStyle w:val="a9"/>
                <w:rFonts w:ascii="Arial" w:hAnsi="Arial" w:cs="Arial"/>
                <w:noProof/>
              </w:rPr>
              <w:t>4.2.</w:t>
            </w:r>
            <w:r w:rsidR="006F7847" w:rsidRPr="006F7847">
              <w:rPr>
                <w:noProof/>
              </w:rPr>
              <w:tab/>
            </w:r>
            <w:r w:rsidR="006F7847" w:rsidRPr="006F7847">
              <w:rPr>
                <w:rStyle w:val="a9"/>
                <w:rFonts w:ascii="Arial" w:hAnsi="Arial" w:cs="Arial"/>
                <w:noProof/>
              </w:rPr>
              <w:t>STP strategy</w:t>
            </w:r>
            <w:r w:rsidR="006F7847" w:rsidRPr="006F7847">
              <w:rPr>
                <w:noProof/>
                <w:webHidden/>
              </w:rPr>
              <w:tab/>
            </w:r>
            <w:r w:rsidR="006F7847" w:rsidRPr="006F7847">
              <w:rPr>
                <w:noProof/>
                <w:webHidden/>
              </w:rPr>
              <w:fldChar w:fldCharType="begin"/>
            </w:r>
            <w:r w:rsidR="006F7847" w:rsidRPr="006F7847">
              <w:rPr>
                <w:noProof/>
                <w:webHidden/>
              </w:rPr>
              <w:instrText xml:space="preserve"> PAGEREF _Toc40423921 \h </w:instrText>
            </w:r>
            <w:r w:rsidR="006F7847" w:rsidRPr="006F7847">
              <w:rPr>
                <w:noProof/>
                <w:webHidden/>
              </w:rPr>
            </w:r>
            <w:r w:rsidR="006F7847" w:rsidRPr="006F7847">
              <w:rPr>
                <w:noProof/>
                <w:webHidden/>
              </w:rPr>
              <w:fldChar w:fldCharType="separate"/>
            </w:r>
            <w:r w:rsidR="006F7847" w:rsidRPr="006F7847">
              <w:rPr>
                <w:noProof/>
                <w:webHidden/>
              </w:rPr>
              <w:t>9</w:t>
            </w:r>
            <w:r w:rsidR="006F7847" w:rsidRPr="006F7847">
              <w:rPr>
                <w:noProof/>
                <w:webHidden/>
              </w:rPr>
              <w:fldChar w:fldCharType="end"/>
            </w:r>
          </w:hyperlink>
        </w:p>
        <w:p w14:paraId="46EA408F" w14:textId="37955A5E" w:rsidR="006F7847" w:rsidRPr="006F7847" w:rsidRDefault="00EC5B53" w:rsidP="006F7847">
          <w:pPr>
            <w:pStyle w:val="TOC2"/>
            <w:tabs>
              <w:tab w:val="left" w:pos="880"/>
              <w:tab w:val="right" w:leader="dot" w:pos="9016"/>
            </w:tabs>
            <w:spacing w:line="360" w:lineRule="auto"/>
            <w:rPr>
              <w:noProof/>
            </w:rPr>
          </w:pPr>
          <w:hyperlink w:anchor="_Toc40423925" w:history="1">
            <w:r w:rsidR="006F7847" w:rsidRPr="006F7847">
              <w:rPr>
                <w:rStyle w:val="a9"/>
                <w:rFonts w:ascii="Arial" w:hAnsi="Arial" w:cs="Arial"/>
                <w:noProof/>
              </w:rPr>
              <w:t>4.3.</w:t>
            </w:r>
            <w:r w:rsidR="006F7847" w:rsidRPr="006F7847">
              <w:rPr>
                <w:noProof/>
              </w:rPr>
              <w:tab/>
            </w:r>
            <w:r w:rsidR="006F7847" w:rsidRPr="006F7847">
              <w:rPr>
                <w:rStyle w:val="a9"/>
                <w:rFonts w:ascii="Arial" w:hAnsi="Arial" w:cs="Arial"/>
                <w:noProof/>
              </w:rPr>
              <w:t>Marketing mix – 7P</w:t>
            </w:r>
            <w:r w:rsidR="006F7847" w:rsidRPr="006F7847">
              <w:rPr>
                <w:noProof/>
                <w:webHidden/>
              </w:rPr>
              <w:tab/>
            </w:r>
            <w:r w:rsidR="006F7847" w:rsidRPr="006F7847">
              <w:rPr>
                <w:noProof/>
                <w:webHidden/>
              </w:rPr>
              <w:fldChar w:fldCharType="begin"/>
            </w:r>
            <w:r w:rsidR="006F7847" w:rsidRPr="006F7847">
              <w:rPr>
                <w:noProof/>
                <w:webHidden/>
              </w:rPr>
              <w:instrText xml:space="preserve"> PAGEREF _Toc40423925 \h </w:instrText>
            </w:r>
            <w:r w:rsidR="006F7847" w:rsidRPr="006F7847">
              <w:rPr>
                <w:noProof/>
                <w:webHidden/>
              </w:rPr>
            </w:r>
            <w:r w:rsidR="006F7847" w:rsidRPr="006F7847">
              <w:rPr>
                <w:noProof/>
                <w:webHidden/>
              </w:rPr>
              <w:fldChar w:fldCharType="separate"/>
            </w:r>
            <w:r w:rsidR="006F7847" w:rsidRPr="006F7847">
              <w:rPr>
                <w:noProof/>
                <w:webHidden/>
              </w:rPr>
              <w:t>11</w:t>
            </w:r>
            <w:r w:rsidR="006F7847" w:rsidRPr="006F7847">
              <w:rPr>
                <w:noProof/>
                <w:webHidden/>
              </w:rPr>
              <w:fldChar w:fldCharType="end"/>
            </w:r>
          </w:hyperlink>
        </w:p>
        <w:p w14:paraId="2CA1CB48" w14:textId="5CB0C7AC" w:rsidR="006F7847" w:rsidRPr="006F7847" w:rsidRDefault="00EC5B53" w:rsidP="006F7847">
          <w:pPr>
            <w:pStyle w:val="TOC2"/>
            <w:tabs>
              <w:tab w:val="left" w:pos="880"/>
              <w:tab w:val="right" w:leader="dot" w:pos="9016"/>
            </w:tabs>
            <w:spacing w:line="360" w:lineRule="auto"/>
            <w:rPr>
              <w:noProof/>
            </w:rPr>
          </w:pPr>
          <w:hyperlink w:anchor="_Toc40423933" w:history="1">
            <w:r w:rsidR="006F7847" w:rsidRPr="006F7847">
              <w:rPr>
                <w:rStyle w:val="a9"/>
                <w:rFonts w:ascii="Arial" w:hAnsi="Arial" w:cs="Arial"/>
                <w:noProof/>
              </w:rPr>
              <w:t>4.4.</w:t>
            </w:r>
            <w:r w:rsidR="006F7847" w:rsidRPr="006F7847">
              <w:rPr>
                <w:noProof/>
              </w:rPr>
              <w:tab/>
            </w:r>
            <w:r w:rsidR="006F7847" w:rsidRPr="006F7847">
              <w:rPr>
                <w:rStyle w:val="a9"/>
                <w:rFonts w:ascii="Arial" w:hAnsi="Arial" w:cs="Arial"/>
                <w:noProof/>
              </w:rPr>
              <w:t>Implementation strategy</w:t>
            </w:r>
            <w:r w:rsidR="006F7847" w:rsidRPr="006F7847">
              <w:rPr>
                <w:noProof/>
                <w:webHidden/>
              </w:rPr>
              <w:tab/>
            </w:r>
            <w:r w:rsidR="006F7847" w:rsidRPr="006F7847">
              <w:rPr>
                <w:noProof/>
                <w:webHidden/>
              </w:rPr>
              <w:fldChar w:fldCharType="begin"/>
            </w:r>
            <w:r w:rsidR="006F7847" w:rsidRPr="006F7847">
              <w:rPr>
                <w:noProof/>
                <w:webHidden/>
              </w:rPr>
              <w:instrText xml:space="preserve"> PAGEREF _Toc40423933 \h </w:instrText>
            </w:r>
            <w:r w:rsidR="006F7847" w:rsidRPr="006F7847">
              <w:rPr>
                <w:noProof/>
                <w:webHidden/>
              </w:rPr>
            </w:r>
            <w:r w:rsidR="006F7847" w:rsidRPr="006F7847">
              <w:rPr>
                <w:noProof/>
                <w:webHidden/>
              </w:rPr>
              <w:fldChar w:fldCharType="separate"/>
            </w:r>
            <w:r w:rsidR="006F7847" w:rsidRPr="006F7847">
              <w:rPr>
                <w:noProof/>
                <w:webHidden/>
              </w:rPr>
              <w:t>13</w:t>
            </w:r>
            <w:r w:rsidR="006F7847" w:rsidRPr="006F7847">
              <w:rPr>
                <w:noProof/>
                <w:webHidden/>
              </w:rPr>
              <w:fldChar w:fldCharType="end"/>
            </w:r>
          </w:hyperlink>
        </w:p>
        <w:p w14:paraId="56004F70" w14:textId="5B577AFA" w:rsidR="006F7847" w:rsidRPr="006F7847" w:rsidRDefault="00EC5B53" w:rsidP="006F7847">
          <w:pPr>
            <w:pStyle w:val="TOC2"/>
            <w:tabs>
              <w:tab w:val="left" w:pos="880"/>
              <w:tab w:val="right" w:leader="dot" w:pos="9016"/>
            </w:tabs>
            <w:spacing w:line="360" w:lineRule="auto"/>
            <w:rPr>
              <w:noProof/>
            </w:rPr>
          </w:pPr>
          <w:hyperlink w:anchor="_Toc40423934" w:history="1">
            <w:r w:rsidR="006F7847" w:rsidRPr="006F7847">
              <w:rPr>
                <w:rStyle w:val="a9"/>
                <w:rFonts w:ascii="Arial" w:hAnsi="Arial" w:cs="Arial"/>
                <w:noProof/>
              </w:rPr>
              <w:t>4.5.</w:t>
            </w:r>
            <w:r w:rsidR="006F7847" w:rsidRPr="006F7847">
              <w:rPr>
                <w:noProof/>
              </w:rPr>
              <w:tab/>
            </w:r>
            <w:r w:rsidR="006F7847" w:rsidRPr="006F7847">
              <w:rPr>
                <w:rStyle w:val="a9"/>
                <w:rFonts w:ascii="Arial" w:hAnsi="Arial" w:cs="Arial"/>
                <w:noProof/>
              </w:rPr>
              <w:t>Marketing control</w:t>
            </w:r>
            <w:r w:rsidR="006F7847" w:rsidRPr="006F7847">
              <w:rPr>
                <w:noProof/>
                <w:webHidden/>
              </w:rPr>
              <w:tab/>
            </w:r>
            <w:r w:rsidR="006F7847" w:rsidRPr="006F7847">
              <w:rPr>
                <w:noProof/>
                <w:webHidden/>
              </w:rPr>
              <w:fldChar w:fldCharType="begin"/>
            </w:r>
            <w:r w:rsidR="006F7847" w:rsidRPr="006F7847">
              <w:rPr>
                <w:noProof/>
                <w:webHidden/>
              </w:rPr>
              <w:instrText xml:space="preserve"> PAGEREF _Toc40423934 \h </w:instrText>
            </w:r>
            <w:r w:rsidR="006F7847" w:rsidRPr="006F7847">
              <w:rPr>
                <w:noProof/>
                <w:webHidden/>
              </w:rPr>
            </w:r>
            <w:r w:rsidR="006F7847" w:rsidRPr="006F7847">
              <w:rPr>
                <w:noProof/>
                <w:webHidden/>
              </w:rPr>
              <w:fldChar w:fldCharType="separate"/>
            </w:r>
            <w:r w:rsidR="006F7847" w:rsidRPr="006F7847">
              <w:rPr>
                <w:noProof/>
                <w:webHidden/>
              </w:rPr>
              <w:t>13</w:t>
            </w:r>
            <w:r w:rsidR="006F7847" w:rsidRPr="006F7847">
              <w:rPr>
                <w:noProof/>
                <w:webHidden/>
              </w:rPr>
              <w:fldChar w:fldCharType="end"/>
            </w:r>
          </w:hyperlink>
        </w:p>
        <w:p w14:paraId="64F46410" w14:textId="59095EB8" w:rsidR="006F7847" w:rsidRPr="006F7847" w:rsidRDefault="00EC5B53" w:rsidP="006F7847">
          <w:pPr>
            <w:pStyle w:val="TOC1"/>
            <w:tabs>
              <w:tab w:val="left" w:pos="440"/>
              <w:tab w:val="right" w:leader="dot" w:pos="9016"/>
            </w:tabs>
            <w:spacing w:line="360" w:lineRule="auto"/>
            <w:rPr>
              <w:noProof/>
            </w:rPr>
          </w:pPr>
          <w:hyperlink w:anchor="_Toc40423935" w:history="1">
            <w:r w:rsidR="006F7847" w:rsidRPr="006F7847">
              <w:rPr>
                <w:rStyle w:val="a9"/>
                <w:rFonts w:ascii="D-DIN" w:hAnsi="D-DIN" w:cs="Arial"/>
                <w:noProof/>
              </w:rPr>
              <w:t>5.</w:t>
            </w:r>
            <w:r w:rsidR="006F7847" w:rsidRPr="006F7847">
              <w:rPr>
                <w:noProof/>
              </w:rPr>
              <w:tab/>
            </w:r>
            <w:r w:rsidR="006F7847" w:rsidRPr="006F7847">
              <w:rPr>
                <w:rStyle w:val="a9"/>
                <w:rFonts w:ascii="D-DIN" w:hAnsi="D-DIN" w:cs="Arial"/>
                <w:noProof/>
              </w:rPr>
              <w:t>Conclusion</w:t>
            </w:r>
            <w:r w:rsidR="006F7847" w:rsidRPr="006F7847">
              <w:rPr>
                <w:noProof/>
                <w:webHidden/>
              </w:rPr>
              <w:tab/>
            </w:r>
            <w:r w:rsidR="006F7847" w:rsidRPr="006F7847">
              <w:rPr>
                <w:noProof/>
                <w:webHidden/>
              </w:rPr>
              <w:fldChar w:fldCharType="begin"/>
            </w:r>
            <w:r w:rsidR="006F7847" w:rsidRPr="006F7847">
              <w:rPr>
                <w:noProof/>
                <w:webHidden/>
              </w:rPr>
              <w:instrText xml:space="preserve"> PAGEREF _Toc40423935 \h </w:instrText>
            </w:r>
            <w:r w:rsidR="006F7847" w:rsidRPr="006F7847">
              <w:rPr>
                <w:noProof/>
                <w:webHidden/>
              </w:rPr>
            </w:r>
            <w:r w:rsidR="006F7847" w:rsidRPr="006F7847">
              <w:rPr>
                <w:noProof/>
                <w:webHidden/>
              </w:rPr>
              <w:fldChar w:fldCharType="separate"/>
            </w:r>
            <w:r w:rsidR="006F7847" w:rsidRPr="006F7847">
              <w:rPr>
                <w:noProof/>
                <w:webHidden/>
              </w:rPr>
              <w:t>15</w:t>
            </w:r>
            <w:r w:rsidR="006F7847" w:rsidRPr="006F7847">
              <w:rPr>
                <w:noProof/>
                <w:webHidden/>
              </w:rPr>
              <w:fldChar w:fldCharType="end"/>
            </w:r>
          </w:hyperlink>
        </w:p>
        <w:p w14:paraId="0EAF94A1" w14:textId="440B6CA2" w:rsidR="006F7847" w:rsidRDefault="00EC5B53" w:rsidP="006F7847">
          <w:pPr>
            <w:pStyle w:val="TOC1"/>
            <w:tabs>
              <w:tab w:val="right" w:leader="dot" w:pos="9016"/>
            </w:tabs>
            <w:spacing w:line="360" w:lineRule="auto"/>
            <w:rPr>
              <w:noProof/>
            </w:rPr>
          </w:pPr>
          <w:hyperlink w:anchor="_Toc40423936" w:history="1">
            <w:r w:rsidR="006F7847" w:rsidRPr="006F7847">
              <w:rPr>
                <w:rStyle w:val="a9"/>
                <w:rFonts w:ascii="D-DIN" w:hAnsi="D-DIN" w:cs="Arial"/>
                <w:noProof/>
              </w:rPr>
              <w:t>References</w:t>
            </w:r>
            <w:r w:rsidR="006F7847" w:rsidRPr="006F7847">
              <w:rPr>
                <w:noProof/>
                <w:webHidden/>
              </w:rPr>
              <w:tab/>
            </w:r>
            <w:r w:rsidR="006F7847" w:rsidRPr="006F7847">
              <w:rPr>
                <w:noProof/>
                <w:webHidden/>
              </w:rPr>
              <w:fldChar w:fldCharType="begin"/>
            </w:r>
            <w:r w:rsidR="006F7847" w:rsidRPr="006F7847">
              <w:rPr>
                <w:noProof/>
                <w:webHidden/>
              </w:rPr>
              <w:instrText xml:space="preserve"> PAGEREF _Toc40423936 \h </w:instrText>
            </w:r>
            <w:r w:rsidR="006F7847" w:rsidRPr="006F7847">
              <w:rPr>
                <w:noProof/>
                <w:webHidden/>
              </w:rPr>
            </w:r>
            <w:r w:rsidR="006F7847" w:rsidRPr="006F7847">
              <w:rPr>
                <w:noProof/>
                <w:webHidden/>
              </w:rPr>
              <w:fldChar w:fldCharType="separate"/>
            </w:r>
            <w:r w:rsidR="006F7847" w:rsidRPr="006F7847">
              <w:rPr>
                <w:noProof/>
                <w:webHidden/>
              </w:rPr>
              <w:t>16</w:t>
            </w:r>
            <w:r w:rsidR="006F7847" w:rsidRPr="006F7847">
              <w:rPr>
                <w:noProof/>
                <w:webHidden/>
              </w:rPr>
              <w:fldChar w:fldCharType="end"/>
            </w:r>
          </w:hyperlink>
        </w:p>
        <w:p w14:paraId="255320C6" w14:textId="0DC5D199" w:rsidR="006F7847" w:rsidRDefault="006F7847" w:rsidP="006F7847">
          <w:pPr>
            <w:spacing w:line="360" w:lineRule="auto"/>
          </w:pPr>
          <w:r w:rsidRPr="006F7847">
            <w:rPr>
              <w:lang w:val="zh-CN"/>
            </w:rPr>
            <w:fldChar w:fldCharType="end"/>
          </w:r>
        </w:p>
      </w:sdtContent>
    </w:sdt>
    <w:p w14:paraId="4876C03A" w14:textId="77777777" w:rsidR="006F7847" w:rsidRDefault="006F7847" w:rsidP="006F7847">
      <w:pPr>
        <w:widowControl/>
        <w:spacing w:before="160" w:line="360" w:lineRule="auto"/>
      </w:pPr>
    </w:p>
    <w:p w14:paraId="73E6508C" w14:textId="77777777" w:rsidR="006F7847" w:rsidRDefault="006F7847" w:rsidP="006F7847">
      <w:pPr>
        <w:widowControl/>
        <w:spacing w:before="160" w:line="360" w:lineRule="auto"/>
      </w:pPr>
    </w:p>
    <w:p w14:paraId="1D851F5A" w14:textId="0EB94059" w:rsidR="00E9053D" w:rsidRDefault="00E9053D" w:rsidP="006F7847">
      <w:pPr>
        <w:widowControl/>
        <w:spacing w:before="160" w:line="360" w:lineRule="auto"/>
      </w:pPr>
      <w:r>
        <w:br w:type="page"/>
      </w:r>
    </w:p>
    <w:p w14:paraId="475AB944" w14:textId="77777777" w:rsidR="00A91DBF" w:rsidRDefault="00A91DBF" w:rsidP="00A91DBF">
      <w:pPr>
        <w:widowControl/>
        <w:pBdr>
          <w:bottom w:val="single" w:sz="24" w:space="1" w:color="FF1654" w:themeColor="accent5"/>
        </w:pBdr>
        <w:spacing w:before="240" w:after="240" w:line="360" w:lineRule="auto"/>
        <w:outlineLvl w:val="0"/>
        <w:rPr>
          <w:rFonts w:ascii="D-DIN" w:hAnsi="D-DIN" w:cs="Arial"/>
          <w:b/>
          <w:bCs/>
          <w:color w:val="323232" w:themeColor="text2"/>
          <w:sz w:val="32"/>
          <w:szCs w:val="32"/>
        </w:rPr>
        <w:sectPr w:rsidR="00A91DBF" w:rsidSect="00FC65C8">
          <w:footerReference w:type="default" r:id="rId9"/>
          <w:pgSz w:w="11906" w:h="16838"/>
          <w:pgMar w:top="1440" w:right="1440" w:bottom="1440" w:left="1440" w:header="851" w:footer="992" w:gutter="0"/>
          <w:cols w:space="425"/>
          <w:docGrid w:linePitch="360"/>
        </w:sectPr>
      </w:pPr>
    </w:p>
    <w:p w14:paraId="7F100C6D" w14:textId="4FA48E78" w:rsidR="00E9053D" w:rsidRPr="003575AB" w:rsidRDefault="00E9053D" w:rsidP="003575AB">
      <w:pPr>
        <w:pStyle w:val="a7"/>
        <w:widowControl/>
        <w:numPr>
          <w:ilvl w:val="0"/>
          <w:numId w:val="1"/>
        </w:numPr>
        <w:pBdr>
          <w:bottom w:val="single" w:sz="24" w:space="1" w:color="FF1654" w:themeColor="accent5"/>
        </w:pBdr>
        <w:spacing w:before="240" w:after="240" w:line="360" w:lineRule="auto"/>
        <w:outlineLvl w:val="0"/>
        <w:rPr>
          <w:rFonts w:ascii="D-DIN" w:hAnsi="D-DIN" w:cs="Arial"/>
          <w:b/>
          <w:bCs/>
          <w:color w:val="323232" w:themeColor="text2"/>
          <w:sz w:val="32"/>
          <w:szCs w:val="32"/>
        </w:rPr>
      </w:pPr>
      <w:bookmarkStart w:id="4" w:name="_Toc40423900"/>
      <w:r w:rsidRPr="003575AB">
        <w:rPr>
          <w:rFonts w:ascii="D-DIN" w:hAnsi="D-DIN" w:cs="Arial"/>
          <w:b/>
          <w:bCs/>
          <w:color w:val="323232" w:themeColor="text2"/>
          <w:sz w:val="32"/>
          <w:szCs w:val="32"/>
        </w:rPr>
        <w:lastRenderedPageBreak/>
        <w:t>Introduction</w:t>
      </w:r>
      <w:bookmarkEnd w:id="4"/>
      <w:r w:rsidRPr="003575AB">
        <w:rPr>
          <w:rFonts w:ascii="D-DIN" w:hAnsi="D-DIN" w:cs="Arial"/>
          <w:b/>
          <w:bCs/>
          <w:color w:val="323232" w:themeColor="text2"/>
          <w:sz w:val="32"/>
          <w:szCs w:val="32"/>
        </w:rPr>
        <w:t xml:space="preserve"> </w:t>
      </w:r>
    </w:p>
    <w:p w14:paraId="1F0FE53E" w14:textId="4DB6962C" w:rsidR="00E9053D" w:rsidRDefault="003F7E15" w:rsidP="00E9053D">
      <w:pPr>
        <w:widowControl/>
        <w:spacing w:before="240" w:after="240" w:line="360" w:lineRule="auto"/>
        <w:rPr>
          <w:rFonts w:ascii="Arial" w:hAnsi="Arial" w:cs="Arial"/>
          <w:sz w:val="24"/>
          <w:szCs w:val="24"/>
        </w:rPr>
      </w:pPr>
      <w:r>
        <w:rPr>
          <w:rFonts w:ascii="Arial" w:hAnsi="Arial" w:cs="Arial"/>
          <w:sz w:val="24"/>
          <w:szCs w:val="24"/>
        </w:rPr>
        <w:t xml:space="preserve">Novo Nordisk is the leading pharmaceutical company in the world. The company is specialising in the development and </w:t>
      </w:r>
      <w:r w:rsidR="00861BA8">
        <w:rPr>
          <w:rFonts w:ascii="Arial" w:hAnsi="Arial" w:cs="Arial"/>
          <w:sz w:val="24"/>
          <w:szCs w:val="24"/>
        </w:rPr>
        <w:t xml:space="preserve">production of insulin. </w:t>
      </w:r>
      <w:r w:rsidR="008B6733">
        <w:rPr>
          <w:rFonts w:ascii="Arial" w:hAnsi="Arial" w:cs="Arial"/>
          <w:sz w:val="24"/>
          <w:szCs w:val="24"/>
        </w:rPr>
        <w:t xml:space="preserve">The company’s primary business lines are also focused in diabetes-related medical services and products development. </w:t>
      </w:r>
      <w:r w:rsidR="0078647A">
        <w:rPr>
          <w:rFonts w:ascii="Arial" w:hAnsi="Arial" w:cs="Arial"/>
          <w:sz w:val="24"/>
          <w:szCs w:val="24"/>
        </w:rPr>
        <w:t xml:space="preserve">The company’s recent effort has been focusing on reaching the holy grail of diabetes treatment development – the </w:t>
      </w:r>
      <w:r w:rsidR="00502AE0">
        <w:rPr>
          <w:rFonts w:ascii="Arial" w:hAnsi="Arial" w:cs="Arial"/>
          <w:sz w:val="24"/>
          <w:szCs w:val="24"/>
        </w:rPr>
        <w:t>oral insulin</w:t>
      </w:r>
      <w:r w:rsidR="005A60F3">
        <w:rPr>
          <w:rFonts w:ascii="Arial" w:hAnsi="Arial" w:cs="Arial"/>
          <w:sz w:val="24"/>
          <w:szCs w:val="24"/>
        </w:rPr>
        <w:t xml:space="preserve"> </w:t>
      </w:r>
      <w:r w:rsidR="00A155EB">
        <w:rPr>
          <w:rFonts w:ascii="Arial" w:hAnsi="Arial" w:cs="Arial"/>
          <w:sz w:val="24"/>
          <w:szCs w:val="24"/>
        </w:rPr>
        <w:fldChar w:fldCharType="begin" w:fldLock="1"/>
      </w:r>
      <w:r w:rsidR="009E3C29">
        <w:rPr>
          <w:rFonts w:ascii="Arial" w:hAnsi="Arial" w:cs="Arial"/>
          <w:sz w:val="24"/>
          <w:szCs w:val="24"/>
        </w:rPr>
        <w:instrText>ADDIN CSL_CITATION {"citationItems":[{"id":"ITEM-1","itemData":{"DOI":"10.1016/j.clim.2016.01.013","ISSN":"15217035","abstract":"Studies have shown oral insulin prevents type 1 diabetes (T1D) in mouse models, however human trials were inconclusive. We tested the ability of different insulins to prevent T1D in non-obese diabetic mice. Mice received oral insulin or PBS twice weekly and disease was monitored. Contrary to previous studies, no insulin tested showed significant ability to prevent T1D, nor did testing of linked suppression in a delayed type hypersensitivity model have reproducible effect. To investigate delivery of antigen within the GI tract, blue dye was fed to mice. Dye traveled 5-8 cm from stomach to small intestine within 10 s, suggesting orally administered antigen may not get digested in the stomach in mice. Insulin incubated with jejunum extracts was instantly digested. Thus, in humans large doses of insulin may be required to achieve tolerance as antigen may be more vulnerable to digestion in the stomach even before reaching the small intestine.","author":[{"dropping-particle":"","family":"Pham","given":"Minh N.","non-dropping-particle":"","parse-names":false,"suffix":""},{"dropping-particle":"","family":"Gibson","given":"Claire","non-dropping-particle":"","parse-names":false,"suffix":""},{"dropping-particle":"","family":"Rydén","given":"Anna K.E.","non-dropping-particle":"","parse-names":false,"suffix":""},{"dropping-particle":"","family":"Perdue","given":"Nikole","non-dropping-particle":"","parse-names":false,"suffix":""},{"dropping-particle":"","family":"Boursalian","given":"Tamar E.","non-dropping-particle":"","parse-names":false,"suffix":""},{"dropping-particle":"","family":"Pagni","given":"Philippe P.","non-dropping-particle":"","parse-names":false,"suffix":""},{"dropping-particle":"","family":"Coppieters","given":"Ken","non-dropping-particle":"","parse-names":false,"suffix":""},{"dropping-particle":"","family":"Skonberg","given":"Christian","non-dropping-particle":"","parse-names":false,"suffix":""},{"dropping-particle":"","family":"Porsgaard","given":"Trine","non-dropping-particle":"","parse-names":false,"suffix":""},{"dropping-particle":"","family":"Herrath","given":"Matthias","non-dropping-particle":"von","parse-names":false,"suffix":""},{"dropping-particle":"","family":"Vela","given":"Jose Luis","non-dropping-particle":"","parse-names":false,"suffix":""}],"container-title":"Clinical Immunology","id":"ITEM-1","issued":{"date-parts":[["2016"]]},"page":"28-33","publisher":"Elsevier","title":"Oral insulin (human, murine, or porcine) does not prevent diabetes in the non-obese diabetic mouse","type":"article-journal","volume":"164"},"uris":["http://www.mendeley.com/documents/?uuid=871a33fd-f780-429c-ac78-700fe236150d"]}],"mendeley":{"formattedCitation":"(Pham &lt;i&gt;et al.&lt;/i&gt;, 2016)","plainTextFormattedCitation":"(Pham et al., 2016)","previouslyFormattedCitation":"(Pham &lt;i&gt;et al.&lt;/i&gt;, 2016)"},"properties":{"noteIndex":0},"schema":"https://github.com/citation-style-language/schema/raw/master/csl-citation.json"}</w:instrText>
      </w:r>
      <w:r w:rsidR="00A155EB">
        <w:rPr>
          <w:rFonts w:ascii="Arial" w:hAnsi="Arial" w:cs="Arial"/>
          <w:sz w:val="24"/>
          <w:szCs w:val="24"/>
        </w:rPr>
        <w:fldChar w:fldCharType="separate"/>
      </w:r>
      <w:r w:rsidR="00A155EB" w:rsidRPr="00A155EB">
        <w:rPr>
          <w:rFonts w:ascii="Arial" w:hAnsi="Arial" w:cs="Arial"/>
          <w:noProof/>
          <w:sz w:val="24"/>
          <w:szCs w:val="24"/>
        </w:rPr>
        <w:t xml:space="preserve">(Pham </w:t>
      </w:r>
      <w:r w:rsidR="00A155EB" w:rsidRPr="00A155EB">
        <w:rPr>
          <w:rFonts w:ascii="Arial" w:hAnsi="Arial" w:cs="Arial"/>
          <w:i/>
          <w:noProof/>
          <w:sz w:val="24"/>
          <w:szCs w:val="24"/>
        </w:rPr>
        <w:t>et al.</w:t>
      </w:r>
      <w:r w:rsidR="00A155EB" w:rsidRPr="00A155EB">
        <w:rPr>
          <w:rFonts w:ascii="Arial" w:hAnsi="Arial" w:cs="Arial"/>
          <w:noProof/>
          <w:sz w:val="24"/>
          <w:szCs w:val="24"/>
        </w:rPr>
        <w:t>, 2016)</w:t>
      </w:r>
      <w:r w:rsidR="00A155EB">
        <w:rPr>
          <w:rFonts w:ascii="Arial" w:hAnsi="Arial" w:cs="Arial"/>
          <w:sz w:val="24"/>
          <w:szCs w:val="24"/>
        </w:rPr>
        <w:fldChar w:fldCharType="end"/>
      </w:r>
      <w:r w:rsidR="00502AE0">
        <w:rPr>
          <w:rFonts w:ascii="Arial" w:hAnsi="Arial" w:cs="Arial"/>
          <w:sz w:val="24"/>
          <w:szCs w:val="24"/>
        </w:rPr>
        <w:t xml:space="preserve">. The obstacles of </w:t>
      </w:r>
      <w:r w:rsidR="00F650F7">
        <w:rPr>
          <w:rFonts w:ascii="Arial" w:hAnsi="Arial" w:cs="Arial"/>
          <w:sz w:val="24"/>
          <w:szCs w:val="24"/>
        </w:rPr>
        <w:t>developing</w:t>
      </w:r>
      <w:r w:rsidR="00502AE0">
        <w:rPr>
          <w:rFonts w:ascii="Arial" w:hAnsi="Arial" w:cs="Arial"/>
          <w:sz w:val="24"/>
          <w:szCs w:val="24"/>
        </w:rPr>
        <w:t xml:space="preserve"> the </w:t>
      </w:r>
      <w:r w:rsidR="003503C9">
        <w:rPr>
          <w:rFonts w:ascii="Arial" w:hAnsi="Arial" w:cs="Arial"/>
          <w:sz w:val="24"/>
          <w:szCs w:val="24"/>
        </w:rPr>
        <w:t>oral insulin</w:t>
      </w:r>
      <w:r w:rsidR="003D184D">
        <w:rPr>
          <w:rFonts w:ascii="Arial" w:hAnsi="Arial" w:cs="Arial"/>
          <w:sz w:val="24"/>
          <w:szCs w:val="24"/>
        </w:rPr>
        <w:t xml:space="preserve"> has consumed major resources in the company</w:t>
      </w:r>
      <w:r w:rsidR="00F87956">
        <w:rPr>
          <w:rFonts w:ascii="Arial" w:hAnsi="Arial" w:cs="Arial"/>
          <w:sz w:val="24"/>
          <w:szCs w:val="24"/>
        </w:rPr>
        <w:t>. W</w:t>
      </w:r>
      <w:r w:rsidR="003503C9">
        <w:rPr>
          <w:rFonts w:ascii="Arial" w:hAnsi="Arial" w:cs="Arial"/>
          <w:sz w:val="24"/>
          <w:szCs w:val="24"/>
        </w:rPr>
        <w:t xml:space="preserve">ith the </w:t>
      </w:r>
      <w:r w:rsidR="0018331C">
        <w:rPr>
          <w:rFonts w:ascii="Arial" w:hAnsi="Arial" w:cs="Arial"/>
          <w:sz w:val="24"/>
          <w:szCs w:val="24"/>
        </w:rPr>
        <w:t xml:space="preserve">fluctuating global business environment, </w:t>
      </w:r>
      <w:r w:rsidR="00F87956">
        <w:rPr>
          <w:rFonts w:ascii="Arial" w:hAnsi="Arial" w:cs="Arial"/>
          <w:sz w:val="24"/>
          <w:szCs w:val="24"/>
        </w:rPr>
        <w:t xml:space="preserve">the company’s long-term </w:t>
      </w:r>
      <w:r w:rsidR="00836B58">
        <w:rPr>
          <w:rFonts w:ascii="Arial" w:hAnsi="Arial" w:cs="Arial"/>
          <w:sz w:val="24"/>
          <w:szCs w:val="24"/>
        </w:rPr>
        <w:t>growth is being hampered</w:t>
      </w:r>
      <w:r w:rsidR="00A155EB">
        <w:rPr>
          <w:rFonts w:ascii="Arial" w:hAnsi="Arial" w:cs="Arial"/>
          <w:sz w:val="24"/>
          <w:szCs w:val="24"/>
        </w:rPr>
        <w:t xml:space="preserve"> </w:t>
      </w:r>
      <w:r w:rsidR="009E3C29">
        <w:rPr>
          <w:rFonts w:ascii="Arial" w:hAnsi="Arial" w:cs="Arial"/>
          <w:sz w:val="24"/>
          <w:szCs w:val="24"/>
        </w:rPr>
        <w:fldChar w:fldCharType="begin" w:fldLock="1"/>
      </w:r>
      <w:r w:rsidR="00E64123">
        <w:rPr>
          <w:rFonts w:ascii="Arial" w:hAnsi="Arial" w:cs="Arial"/>
          <w:sz w:val="24"/>
          <w:szCs w:val="24"/>
        </w:rPr>
        <w:instrText>ADDIN CSL_CITATION {"citationItems":[{"id":"ITEM-1","itemData":{"URL":"https://markets.ft.com/data/equities/tearsheet/summary?s=NOVO B:CPH","accessed":{"date-parts":[["2020","5","15"]]},"author":[{"dropping-particle":"","family":"Financial Times","given":"","non-dropping-particle":"","parse-names":false,"suffix":""}],"id":"ITEM-1","issued":{"date-parts":[["2019"]]},"title":"Novo Nordisk A/S, NOVO B:CPH summary ","type":"webpage"},"uris":["http://www.mendeley.com/documents/?uuid=cfb405f9-2d60-3721-8c75-847baadfa165"]}],"mendeley":{"formattedCitation":"(Financial Times, 2019)","plainTextFormattedCitation":"(Financial Times, 2019)","previouslyFormattedCitation":"(Financial Times, 2019)"},"properties":{"noteIndex":0},"schema":"https://github.com/citation-style-language/schema/raw/master/csl-citation.json"}</w:instrText>
      </w:r>
      <w:r w:rsidR="009E3C29">
        <w:rPr>
          <w:rFonts w:ascii="Arial" w:hAnsi="Arial" w:cs="Arial"/>
          <w:sz w:val="24"/>
          <w:szCs w:val="24"/>
        </w:rPr>
        <w:fldChar w:fldCharType="separate"/>
      </w:r>
      <w:r w:rsidR="009E3C29" w:rsidRPr="009E3C29">
        <w:rPr>
          <w:rFonts w:ascii="Arial" w:hAnsi="Arial" w:cs="Arial"/>
          <w:noProof/>
          <w:sz w:val="24"/>
          <w:szCs w:val="24"/>
        </w:rPr>
        <w:t>(Financial Times, 2019)</w:t>
      </w:r>
      <w:r w:rsidR="009E3C29">
        <w:rPr>
          <w:rFonts w:ascii="Arial" w:hAnsi="Arial" w:cs="Arial"/>
          <w:sz w:val="24"/>
          <w:szCs w:val="24"/>
        </w:rPr>
        <w:fldChar w:fldCharType="end"/>
      </w:r>
      <w:r w:rsidR="00836B58">
        <w:rPr>
          <w:rFonts w:ascii="Arial" w:hAnsi="Arial" w:cs="Arial"/>
          <w:sz w:val="24"/>
          <w:szCs w:val="24"/>
        </w:rPr>
        <w:t xml:space="preserve">. In this regard, the company’s growth and profitability, if to be retained or elevated, requires he company to identify a new market for entry or expansion. </w:t>
      </w:r>
    </w:p>
    <w:p w14:paraId="1561EB54" w14:textId="032D8334" w:rsidR="00851AAA" w:rsidRDefault="00644D3F" w:rsidP="00E9053D">
      <w:pPr>
        <w:widowControl/>
        <w:spacing w:before="240" w:after="240" w:line="360" w:lineRule="auto"/>
        <w:rPr>
          <w:rFonts w:ascii="Arial" w:hAnsi="Arial" w:cs="Arial"/>
          <w:sz w:val="24"/>
          <w:szCs w:val="24"/>
        </w:rPr>
      </w:pPr>
      <w:r>
        <w:rPr>
          <w:rFonts w:ascii="Arial" w:hAnsi="Arial" w:cs="Arial"/>
          <w:sz w:val="24"/>
          <w:szCs w:val="24"/>
        </w:rPr>
        <w:t xml:space="preserve">This report is thus produced as a market audit and </w:t>
      </w:r>
      <w:r w:rsidR="006000D6">
        <w:rPr>
          <w:rFonts w:ascii="Arial" w:hAnsi="Arial" w:cs="Arial"/>
          <w:sz w:val="24"/>
          <w:szCs w:val="24"/>
        </w:rPr>
        <w:t xml:space="preserve">a </w:t>
      </w:r>
      <w:r>
        <w:rPr>
          <w:rFonts w:ascii="Arial" w:hAnsi="Arial" w:cs="Arial"/>
          <w:sz w:val="24"/>
          <w:szCs w:val="24"/>
        </w:rPr>
        <w:t xml:space="preserve">market planning </w:t>
      </w:r>
      <w:r w:rsidR="006000D6">
        <w:rPr>
          <w:rFonts w:ascii="Arial" w:hAnsi="Arial" w:cs="Arial"/>
          <w:sz w:val="24"/>
          <w:szCs w:val="24"/>
        </w:rPr>
        <w:t xml:space="preserve">recommendation for Novo Nordisk. </w:t>
      </w:r>
      <w:r w:rsidR="001C5D7A">
        <w:rPr>
          <w:rFonts w:ascii="Arial" w:hAnsi="Arial" w:cs="Arial"/>
          <w:sz w:val="24"/>
          <w:szCs w:val="24"/>
        </w:rPr>
        <w:t xml:space="preserve">The market chosen for the company is the Chinese market. </w:t>
      </w:r>
      <w:r w:rsidR="00594381">
        <w:rPr>
          <w:rFonts w:ascii="Arial" w:hAnsi="Arial" w:cs="Arial"/>
          <w:sz w:val="24"/>
          <w:szCs w:val="24"/>
        </w:rPr>
        <w:t xml:space="preserve">This </w:t>
      </w:r>
      <w:r w:rsidR="00851AAA">
        <w:rPr>
          <w:rFonts w:ascii="Arial" w:hAnsi="Arial" w:cs="Arial"/>
          <w:sz w:val="24"/>
          <w:szCs w:val="24"/>
        </w:rPr>
        <w:t>report</w:t>
      </w:r>
      <w:r w:rsidR="00594381">
        <w:rPr>
          <w:rFonts w:ascii="Arial" w:hAnsi="Arial" w:cs="Arial"/>
          <w:sz w:val="24"/>
          <w:szCs w:val="24"/>
        </w:rPr>
        <w:t xml:space="preserve"> is based on the SOTAC model with is </w:t>
      </w:r>
      <w:r w:rsidR="00851AAA">
        <w:rPr>
          <w:rFonts w:ascii="Arial" w:hAnsi="Arial" w:cs="Arial"/>
          <w:sz w:val="24"/>
          <w:szCs w:val="24"/>
        </w:rPr>
        <w:t xml:space="preserve">a marketing model consisting the six fundamental elements of marketing activities as </w:t>
      </w:r>
      <w:r w:rsidR="00851AAA" w:rsidRPr="00851AAA">
        <w:rPr>
          <w:rFonts w:ascii="Arial" w:hAnsi="Arial" w:cs="Arial"/>
          <w:sz w:val="24"/>
          <w:szCs w:val="24"/>
        </w:rPr>
        <w:t>situation, objectives, strategy, tactics, action and control</w:t>
      </w:r>
      <w:r w:rsidR="009E3C29">
        <w:rPr>
          <w:rFonts w:ascii="Arial" w:hAnsi="Arial" w:cs="Arial"/>
          <w:sz w:val="24"/>
          <w:szCs w:val="24"/>
        </w:rPr>
        <w:t xml:space="preserve"> </w:t>
      </w:r>
      <w:r w:rsidR="00E64123">
        <w:rPr>
          <w:rFonts w:ascii="Arial" w:hAnsi="Arial" w:cs="Arial"/>
          <w:sz w:val="24"/>
          <w:szCs w:val="24"/>
        </w:rPr>
        <w:fldChar w:fldCharType="begin" w:fldLock="1"/>
      </w:r>
      <w:r w:rsidR="00BB1034">
        <w:rPr>
          <w:rFonts w:ascii="Arial" w:hAnsi="Arial" w:cs="Arial"/>
          <w:sz w:val="24"/>
          <w:szCs w:val="24"/>
        </w:rPr>
        <w:instrText>ADDIN CSL_CITATION {"citationItems":[{"id":"ITEM-1","itemData":{"DOI":"10.2139/ssrn.2834279","abstract":"This report sets about explicating how the SOSTAC Model (Smith, 2011) makes possible a systematic design and implementation of a digital marketing plan. SOSTAC is an acronym for the six core components to be considered when generating a marketing plan: situation (S), objectives (O), strategy (S), tactics (T), action (A) and control (C). Each component represents a stage in the cycle of planning, and each stage is of equal importance to successful marketing planning, implementation, and review (Chaffey &amp; Smith, 2013). Now widely accepted as the forerunner system for implementing marketing plans and communications strategies, SOSTAC is an extension of the traditional SWOT analysis, that is, a situational analysis of the strengths (S), weaknesses (W), opportunities (O), and threats (T) facing a business at the outset, when introducing a new product line, or when engaging in an organizational change process.   Thus, the premises of this report are two-fold. First the report sets about detailing each stage of the SOSTAC model in sequence as it can be applied to start-up online business. Second, the report explicates each stage as a component of a digital marketing plan critiquing the necessary and sufficient operations that may or may not be applied to a start-up online business. Finally, conclusions are drawn as to the suitability of the model’s application to a small to medium sized online business.","author":[{"dropping-particle":"","family":"Cowley","given":"Michelle B.","non-dropping-particle":"","parse-names":false,"suffix":""}],"container-title":"SSRN Electronic Journal","id":"ITEM-1","issued":{"date-parts":[["2016"]]},"title":"'Jellies &amp; Jaffas': Applying PR Smith's SOSTAC Marketing Model to an Online Confectionary Start-Up","type":"article-journal"},"uris":["http://www.mendeley.com/documents/?uuid=0a14a6d0-e866-4a34-be64-52b3fcaea4e4"]}],"mendeley":{"formattedCitation":"(Cowley, 2016)","plainTextFormattedCitation":"(Cowley, 2016)","previouslyFormattedCitation":"(Cowley, 2016)"},"properties":{"noteIndex":0},"schema":"https://github.com/citation-style-language/schema/raw/master/csl-citation.json"}</w:instrText>
      </w:r>
      <w:r w:rsidR="00E64123">
        <w:rPr>
          <w:rFonts w:ascii="Arial" w:hAnsi="Arial" w:cs="Arial"/>
          <w:sz w:val="24"/>
          <w:szCs w:val="24"/>
        </w:rPr>
        <w:fldChar w:fldCharType="separate"/>
      </w:r>
      <w:r w:rsidR="00E64123" w:rsidRPr="00E64123">
        <w:rPr>
          <w:rFonts w:ascii="Arial" w:hAnsi="Arial" w:cs="Arial"/>
          <w:noProof/>
          <w:sz w:val="24"/>
          <w:szCs w:val="24"/>
        </w:rPr>
        <w:t>(Cowley, 2016)</w:t>
      </w:r>
      <w:r w:rsidR="00E64123">
        <w:rPr>
          <w:rFonts w:ascii="Arial" w:hAnsi="Arial" w:cs="Arial"/>
          <w:sz w:val="24"/>
          <w:szCs w:val="24"/>
        </w:rPr>
        <w:fldChar w:fldCharType="end"/>
      </w:r>
      <w:r w:rsidR="00851AAA">
        <w:rPr>
          <w:rFonts w:ascii="Arial" w:hAnsi="Arial" w:cs="Arial"/>
          <w:sz w:val="24"/>
          <w:szCs w:val="24"/>
        </w:rPr>
        <w:t xml:space="preserve">. The situation analysis is conducted with PEST analysis, Porter’s Five Forces analysis and </w:t>
      </w:r>
      <w:r w:rsidR="0079235C">
        <w:rPr>
          <w:rFonts w:ascii="Arial" w:hAnsi="Arial" w:cs="Arial"/>
          <w:sz w:val="24"/>
          <w:szCs w:val="24"/>
        </w:rPr>
        <w:t>a SWOT analysis. The strategy is designed with the STP (segmentation, target customer, positioning) model</w:t>
      </w:r>
      <w:r w:rsidR="00A10317">
        <w:rPr>
          <w:rFonts w:ascii="Arial" w:hAnsi="Arial" w:cs="Arial"/>
          <w:sz w:val="24"/>
          <w:szCs w:val="24"/>
        </w:rPr>
        <w:t xml:space="preserve">. The tactics are proposed with a 7P marketing mix model. The action is proposed with the </w:t>
      </w:r>
      <w:r w:rsidR="00900916">
        <w:rPr>
          <w:rFonts w:ascii="Arial" w:hAnsi="Arial" w:cs="Arial"/>
          <w:sz w:val="24"/>
          <w:szCs w:val="24"/>
        </w:rPr>
        <w:t xml:space="preserve">implementation strategy and the control is proposed with a marketing control analysis. </w:t>
      </w:r>
      <w:r w:rsidR="00A10317">
        <w:rPr>
          <w:rFonts w:ascii="Arial" w:hAnsi="Arial" w:cs="Arial"/>
          <w:sz w:val="24"/>
          <w:szCs w:val="24"/>
        </w:rPr>
        <w:t xml:space="preserve"> </w:t>
      </w:r>
      <w:r w:rsidR="0079235C">
        <w:rPr>
          <w:rFonts w:ascii="Arial" w:hAnsi="Arial" w:cs="Arial"/>
          <w:sz w:val="24"/>
          <w:szCs w:val="24"/>
        </w:rPr>
        <w:t xml:space="preserve"> </w:t>
      </w:r>
    </w:p>
    <w:p w14:paraId="3860EDEC" w14:textId="51CC1DFF" w:rsidR="00CE0CE5" w:rsidRPr="003575AB" w:rsidRDefault="00CE0CE5" w:rsidP="00F02149">
      <w:pPr>
        <w:pStyle w:val="a7"/>
        <w:widowControl/>
        <w:numPr>
          <w:ilvl w:val="0"/>
          <w:numId w:val="1"/>
        </w:numPr>
        <w:pBdr>
          <w:bottom w:val="single" w:sz="24" w:space="1" w:color="FF1654" w:themeColor="accent5"/>
        </w:pBdr>
        <w:spacing w:before="240" w:after="240" w:line="360" w:lineRule="auto"/>
        <w:contextualSpacing w:val="0"/>
        <w:outlineLvl w:val="0"/>
        <w:rPr>
          <w:rFonts w:ascii="D-DIN" w:hAnsi="D-DIN" w:cs="Arial"/>
          <w:b/>
          <w:bCs/>
          <w:color w:val="323232" w:themeColor="text2"/>
          <w:sz w:val="32"/>
          <w:szCs w:val="32"/>
        </w:rPr>
      </w:pPr>
      <w:bookmarkStart w:id="5" w:name="_Toc40423901"/>
      <w:r w:rsidRPr="003575AB">
        <w:rPr>
          <w:rFonts w:ascii="D-DIN" w:hAnsi="D-DIN" w:cs="Arial"/>
          <w:b/>
          <w:bCs/>
          <w:color w:val="323232" w:themeColor="text2"/>
          <w:sz w:val="32"/>
          <w:szCs w:val="32"/>
        </w:rPr>
        <w:t xml:space="preserve">Introduction of Novo Nordisk and </w:t>
      </w:r>
      <w:r w:rsidR="003575AB" w:rsidRPr="003575AB">
        <w:rPr>
          <w:rFonts w:ascii="D-DIN" w:hAnsi="D-DIN" w:cs="Arial" w:hint="eastAsia"/>
          <w:b/>
          <w:bCs/>
          <w:color w:val="323232" w:themeColor="text2"/>
          <w:sz w:val="32"/>
          <w:szCs w:val="32"/>
        </w:rPr>
        <w:t>market</w:t>
      </w:r>
      <w:r w:rsidR="003575AB" w:rsidRPr="003575AB">
        <w:rPr>
          <w:rFonts w:ascii="D-DIN" w:hAnsi="D-DIN" w:cs="Arial"/>
          <w:b/>
          <w:bCs/>
          <w:color w:val="323232" w:themeColor="text2"/>
          <w:sz w:val="32"/>
          <w:szCs w:val="32"/>
        </w:rPr>
        <w:t xml:space="preserve"> choice </w:t>
      </w:r>
      <w:r w:rsidRPr="003575AB">
        <w:rPr>
          <w:rFonts w:ascii="D-DIN" w:hAnsi="D-DIN" w:cs="Arial"/>
          <w:b/>
          <w:bCs/>
          <w:color w:val="323232" w:themeColor="text2"/>
          <w:sz w:val="32"/>
          <w:szCs w:val="32"/>
        </w:rPr>
        <w:t>justification</w:t>
      </w:r>
      <w:bookmarkEnd w:id="5"/>
      <w:r w:rsidRPr="003575AB">
        <w:rPr>
          <w:rFonts w:ascii="D-DIN" w:hAnsi="D-DIN" w:cs="Arial"/>
          <w:b/>
          <w:bCs/>
          <w:color w:val="323232" w:themeColor="text2"/>
          <w:sz w:val="32"/>
          <w:szCs w:val="32"/>
        </w:rPr>
        <w:t xml:space="preserve">  </w:t>
      </w:r>
    </w:p>
    <w:p w14:paraId="1D35F3A3" w14:textId="108BD2AA" w:rsidR="00CE0CE5" w:rsidRDefault="003575AB" w:rsidP="00F02149">
      <w:pPr>
        <w:widowControl/>
        <w:spacing w:before="240" w:after="240" w:line="360" w:lineRule="auto"/>
        <w:rPr>
          <w:rFonts w:ascii="Arial" w:hAnsi="Arial" w:cs="Arial"/>
          <w:sz w:val="24"/>
          <w:szCs w:val="24"/>
        </w:rPr>
      </w:pPr>
      <w:r>
        <w:rPr>
          <w:rFonts w:ascii="Arial" w:hAnsi="Arial" w:cs="Arial"/>
          <w:sz w:val="24"/>
          <w:szCs w:val="24"/>
        </w:rPr>
        <w:t xml:space="preserve">Novo Nordisk </w:t>
      </w:r>
      <w:r w:rsidR="00A737AC">
        <w:rPr>
          <w:rFonts w:ascii="Arial" w:hAnsi="Arial" w:cs="Arial"/>
          <w:sz w:val="24"/>
          <w:szCs w:val="24"/>
        </w:rPr>
        <w:t xml:space="preserve">was founded in </w:t>
      </w:r>
      <w:r w:rsidR="00020412">
        <w:rPr>
          <w:rFonts w:ascii="Arial" w:hAnsi="Arial" w:cs="Arial"/>
          <w:sz w:val="24"/>
          <w:szCs w:val="24"/>
        </w:rPr>
        <w:t>1923 in Demark</w:t>
      </w:r>
      <w:r w:rsidR="009000D0">
        <w:rPr>
          <w:rFonts w:ascii="Arial" w:hAnsi="Arial" w:cs="Arial"/>
          <w:sz w:val="24"/>
          <w:szCs w:val="24"/>
        </w:rPr>
        <w:t xml:space="preserve">. </w:t>
      </w:r>
      <w:r w:rsidR="00745874">
        <w:rPr>
          <w:rFonts w:ascii="Arial" w:hAnsi="Arial" w:cs="Arial"/>
          <w:sz w:val="24"/>
          <w:szCs w:val="24"/>
        </w:rPr>
        <w:t xml:space="preserve">Novo Nordisk has established </w:t>
      </w:r>
      <w:r w:rsidR="009000D0">
        <w:rPr>
          <w:rFonts w:ascii="Arial" w:hAnsi="Arial" w:cs="Arial"/>
          <w:sz w:val="24"/>
          <w:szCs w:val="24"/>
        </w:rPr>
        <w:t xml:space="preserve">competitive </w:t>
      </w:r>
      <w:r w:rsidR="00745874">
        <w:rPr>
          <w:rFonts w:ascii="Arial" w:hAnsi="Arial" w:cs="Arial"/>
          <w:sz w:val="24"/>
          <w:szCs w:val="24"/>
        </w:rPr>
        <w:t xml:space="preserve">advantage in developing </w:t>
      </w:r>
      <w:r w:rsidR="00BA147A">
        <w:rPr>
          <w:rFonts w:ascii="Arial" w:hAnsi="Arial" w:cs="Arial"/>
          <w:sz w:val="24"/>
          <w:szCs w:val="24"/>
        </w:rPr>
        <w:t>diabetes- and haemostasis</w:t>
      </w:r>
      <w:r w:rsidR="00BB45BB">
        <w:rPr>
          <w:rFonts w:ascii="Arial" w:hAnsi="Arial" w:cs="Arial"/>
          <w:sz w:val="24"/>
          <w:szCs w:val="24"/>
        </w:rPr>
        <w:t>-related medical products and services</w:t>
      </w:r>
      <w:r w:rsidR="00BB1034">
        <w:rPr>
          <w:rFonts w:ascii="Arial" w:hAnsi="Arial" w:cs="Arial"/>
          <w:sz w:val="24"/>
          <w:szCs w:val="24"/>
        </w:rPr>
        <w:t xml:space="preserve"> </w:t>
      </w:r>
      <w:r w:rsidR="00BB1034">
        <w:rPr>
          <w:rFonts w:ascii="Arial" w:hAnsi="Arial" w:cs="Arial"/>
          <w:sz w:val="24"/>
          <w:szCs w:val="24"/>
        </w:rPr>
        <w:fldChar w:fldCharType="begin" w:fldLock="1"/>
      </w:r>
      <w:r w:rsidR="00890E43">
        <w:rPr>
          <w:rFonts w:ascii="Arial" w:hAnsi="Arial" w:cs="Arial"/>
          <w:sz w:val="24"/>
          <w:szCs w:val="24"/>
        </w:rPr>
        <w:instrText>ADDIN CSL_CITATION {"citationItems":[{"id":"ITEM-1","itemData":{"author":[{"dropping-particle":"","family":"Novo Nordisk","given":"","non-dropping-particle":"","parse-names":false,"suffix":""}],"id":"ITEM-1","issued":{"date-parts":[["2019"]]},"title":"Novo Nordisk Annual Report 2019","type":"report"},"uris":["http://www.mendeley.com/documents/?uuid=5118f831-ee8c-3514-a37d-27352ed052de"]}],"mendeley":{"formattedCitation":"(Novo Nordisk, 2019)","plainTextFormattedCitation":"(Novo Nordisk, 2019)","previouslyFormattedCitation":"(Novo Nordisk, 2019)"},"properties":{"noteIndex":0},"schema":"https://github.com/citation-style-language/schema/raw/master/csl-citation.json"}</w:instrText>
      </w:r>
      <w:r w:rsidR="00BB1034">
        <w:rPr>
          <w:rFonts w:ascii="Arial" w:hAnsi="Arial" w:cs="Arial"/>
          <w:sz w:val="24"/>
          <w:szCs w:val="24"/>
        </w:rPr>
        <w:fldChar w:fldCharType="separate"/>
      </w:r>
      <w:r w:rsidR="00BB1034" w:rsidRPr="00BB1034">
        <w:rPr>
          <w:rFonts w:ascii="Arial" w:hAnsi="Arial" w:cs="Arial"/>
          <w:noProof/>
          <w:sz w:val="24"/>
          <w:szCs w:val="24"/>
        </w:rPr>
        <w:t>(Novo Nordisk, 2019)</w:t>
      </w:r>
      <w:r w:rsidR="00BB1034">
        <w:rPr>
          <w:rFonts w:ascii="Arial" w:hAnsi="Arial" w:cs="Arial"/>
          <w:sz w:val="24"/>
          <w:szCs w:val="24"/>
        </w:rPr>
        <w:fldChar w:fldCharType="end"/>
      </w:r>
      <w:r w:rsidR="00BB45BB">
        <w:rPr>
          <w:rFonts w:ascii="Arial" w:hAnsi="Arial" w:cs="Arial"/>
          <w:sz w:val="24"/>
          <w:szCs w:val="24"/>
        </w:rPr>
        <w:t>.</w:t>
      </w:r>
      <w:r w:rsidR="003D4A27">
        <w:rPr>
          <w:rFonts w:ascii="Arial" w:hAnsi="Arial" w:cs="Arial"/>
          <w:sz w:val="24"/>
          <w:szCs w:val="24"/>
        </w:rPr>
        <w:t xml:space="preserve"> In the anti-diabetes market, Novo Nordisk is holding a strong </w:t>
      </w:r>
      <w:r w:rsidR="00F7176B">
        <w:rPr>
          <w:rFonts w:ascii="Arial" w:hAnsi="Arial" w:cs="Arial"/>
          <w:sz w:val="24"/>
          <w:szCs w:val="24"/>
        </w:rPr>
        <w:t>market</w:t>
      </w:r>
      <w:r w:rsidR="00BB1FB3">
        <w:rPr>
          <w:rFonts w:ascii="Arial" w:hAnsi="Arial" w:cs="Arial"/>
          <w:sz w:val="24"/>
          <w:szCs w:val="24"/>
        </w:rPr>
        <w:t xml:space="preserve"> presence</w:t>
      </w:r>
      <w:r w:rsidR="00280F05">
        <w:rPr>
          <w:rFonts w:ascii="Arial" w:hAnsi="Arial" w:cs="Arial"/>
          <w:sz w:val="24"/>
          <w:szCs w:val="24"/>
        </w:rPr>
        <w:t xml:space="preserve"> as shown in figure 1. </w:t>
      </w:r>
      <w:r w:rsidR="00F7176B">
        <w:rPr>
          <w:rFonts w:ascii="Arial" w:hAnsi="Arial" w:cs="Arial"/>
          <w:sz w:val="24"/>
          <w:szCs w:val="24"/>
        </w:rPr>
        <w:t xml:space="preserve">The company’s market </w:t>
      </w:r>
      <w:r w:rsidR="00BB1FB3">
        <w:rPr>
          <w:rFonts w:ascii="Arial" w:hAnsi="Arial" w:cs="Arial"/>
          <w:sz w:val="24"/>
          <w:szCs w:val="24"/>
        </w:rPr>
        <w:t>share has not effectively translated to the profit of the company</w:t>
      </w:r>
      <w:r w:rsidR="00D506B6">
        <w:rPr>
          <w:rFonts w:ascii="Arial" w:hAnsi="Arial" w:cs="Arial"/>
          <w:sz w:val="24"/>
          <w:szCs w:val="24"/>
        </w:rPr>
        <w:t xml:space="preserve"> in recent years</w:t>
      </w:r>
      <w:r w:rsidR="00BB1FB3">
        <w:rPr>
          <w:rFonts w:ascii="Arial" w:hAnsi="Arial" w:cs="Arial"/>
          <w:sz w:val="24"/>
          <w:szCs w:val="24"/>
        </w:rPr>
        <w:t xml:space="preserve">. As shown in figure 1, the company’s growth in net profit has decreased to barely above zero in 2019. </w:t>
      </w:r>
    </w:p>
    <w:p w14:paraId="0FFD0F76" w14:textId="77777777" w:rsidR="004E5838" w:rsidRDefault="00BB1FB3" w:rsidP="004E5838">
      <w:pPr>
        <w:keepNext/>
        <w:widowControl/>
        <w:spacing w:before="240" w:after="240" w:line="360" w:lineRule="auto"/>
      </w:pPr>
      <w:r>
        <w:rPr>
          <w:rFonts w:ascii="Arial" w:hAnsi="Arial" w:cs="Arial"/>
          <w:noProof/>
          <w:sz w:val="24"/>
          <w:szCs w:val="24"/>
        </w:rPr>
        <w:lastRenderedPageBreak/>
        <w:drawing>
          <wp:inline distT="0" distB="0" distL="0" distR="0" wp14:anchorId="00A9C7F4" wp14:editId="246C4E3C">
            <wp:extent cx="6012180" cy="1973775"/>
            <wp:effectExtent l="0" t="0" r="0" b="7620"/>
            <wp:docPr id="2" name="图片 2" descr="手机屏幕截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3.tif"/>
                    <pic:cNvPicPr/>
                  </pic:nvPicPr>
                  <pic:blipFill rotWithShape="1">
                    <a:blip r:embed="rId10" cstate="print">
                      <a:extLst>
                        <a:ext uri="{28A0092B-C50C-407E-A947-70E740481C1C}">
                          <a14:useLocalDpi xmlns:a14="http://schemas.microsoft.com/office/drawing/2010/main" val="0"/>
                        </a:ext>
                      </a:extLst>
                    </a:blip>
                    <a:srcRect l="2740"/>
                    <a:stretch/>
                  </pic:blipFill>
                  <pic:spPr bwMode="auto">
                    <a:xfrm>
                      <a:off x="0" y="0"/>
                      <a:ext cx="6051734" cy="1986760"/>
                    </a:xfrm>
                    <a:prstGeom prst="rect">
                      <a:avLst/>
                    </a:prstGeom>
                    <a:ln>
                      <a:noFill/>
                    </a:ln>
                    <a:extLst>
                      <a:ext uri="{53640926-AAD7-44D8-BBD7-CCE9431645EC}">
                        <a14:shadowObscured xmlns:a14="http://schemas.microsoft.com/office/drawing/2010/main"/>
                      </a:ext>
                    </a:extLst>
                  </pic:spPr>
                </pic:pic>
              </a:graphicData>
            </a:graphic>
          </wp:inline>
        </w:drawing>
      </w:r>
    </w:p>
    <w:p w14:paraId="4484FB5B" w14:textId="5485C5D0" w:rsidR="00BB1FB3" w:rsidRPr="003542AC" w:rsidRDefault="004E5838" w:rsidP="004E5838">
      <w:pPr>
        <w:pStyle w:val="a8"/>
        <w:rPr>
          <w:rFonts w:ascii="Arial" w:hAnsi="Arial" w:cs="Arial"/>
          <w:b/>
          <w:bCs/>
          <w:i w:val="0"/>
          <w:iCs w:val="0"/>
          <w:sz w:val="24"/>
          <w:szCs w:val="24"/>
        </w:rPr>
      </w:pPr>
      <w:r w:rsidRPr="003542AC">
        <w:rPr>
          <w:rFonts w:ascii="Arial" w:hAnsi="Arial" w:cs="Arial"/>
          <w:b/>
          <w:bCs/>
          <w:i w:val="0"/>
          <w:iCs w:val="0"/>
        </w:rPr>
        <w:t xml:space="preserve">Figure </w:t>
      </w:r>
      <w:r w:rsidR="0099332D" w:rsidRPr="003542AC">
        <w:rPr>
          <w:rFonts w:ascii="Arial" w:hAnsi="Arial" w:cs="Arial"/>
          <w:b/>
          <w:bCs/>
          <w:i w:val="0"/>
          <w:iCs w:val="0"/>
        </w:rPr>
        <w:fldChar w:fldCharType="begin"/>
      </w:r>
      <w:r w:rsidR="0099332D" w:rsidRPr="003542AC">
        <w:rPr>
          <w:rFonts w:ascii="Arial" w:hAnsi="Arial" w:cs="Arial"/>
          <w:b/>
          <w:bCs/>
          <w:i w:val="0"/>
          <w:iCs w:val="0"/>
        </w:rPr>
        <w:instrText xml:space="preserve"> SEQ Figure \* ARABIC </w:instrText>
      </w:r>
      <w:r w:rsidR="0099332D" w:rsidRPr="003542AC">
        <w:rPr>
          <w:rFonts w:ascii="Arial" w:hAnsi="Arial" w:cs="Arial"/>
          <w:b/>
          <w:bCs/>
          <w:i w:val="0"/>
          <w:iCs w:val="0"/>
        </w:rPr>
        <w:fldChar w:fldCharType="separate"/>
      </w:r>
      <w:r w:rsidR="008111A3">
        <w:rPr>
          <w:rFonts w:ascii="Arial" w:hAnsi="Arial" w:cs="Arial"/>
          <w:b/>
          <w:bCs/>
          <w:i w:val="0"/>
          <w:iCs w:val="0"/>
          <w:noProof/>
        </w:rPr>
        <w:t>1</w:t>
      </w:r>
      <w:r w:rsidR="0099332D" w:rsidRPr="003542AC">
        <w:rPr>
          <w:rFonts w:ascii="Arial" w:hAnsi="Arial" w:cs="Arial"/>
          <w:b/>
          <w:bCs/>
          <w:i w:val="0"/>
          <w:iCs w:val="0"/>
          <w:noProof/>
        </w:rPr>
        <w:fldChar w:fldCharType="end"/>
      </w:r>
      <w:r w:rsidRPr="003542AC">
        <w:rPr>
          <w:rFonts w:ascii="Arial" w:hAnsi="Arial" w:cs="Arial"/>
          <w:b/>
          <w:bCs/>
          <w:i w:val="0"/>
          <w:iCs w:val="0"/>
        </w:rPr>
        <w:t xml:space="preserve">. (Left) Market share of the top 10 companies in </w:t>
      </w:r>
      <w:r w:rsidR="003542AC">
        <w:rPr>
          <w:rFonts w:ascii="Arial" w:hAnsi="Arial" w:cs="Arial" w:hint="eastAsia"/>
          <w:b/>
          <w:bCs/>
          <w:i w:val="0"/>
          <w:iCs w:val="0"/>
        </w:rPr>
        <w:t>the</w:t>
      </w:r>
      <w:r w:rsidR="003542AC">
        <w:rPr>
          <w:rFonts w:ascii="Arial" w:hAnsi="Arial" w:cs="Arial"/>
          <w:b/>
          <w:bCs/>
          <w:i w:val="0"/>
          <w:iCs w:val="0"/>
        </w:rPr>
        <w:t xml:space="preserve"> global </w:t>
      </w:r>
      <w:r w:rsidRPr="003542AC">
        <w:rPr>
          <w:rFonts w:ascii="Arial" w:hAnsi="Arial" w:cs="Arial"/>
          <w:b/>
          <w:bCs/>
          <w:i w:val="0"/>
          <w:iCs w:val="0"/>
        </w:rPr>
        <w:t xml:space="preserve">anti-diabetes </w:t>
      </w:r>
      <w:r w:rsidR="00C07334" w:rsidRPr="003542AC">
        <w:rPr>
          <w:rFonts w:ascii="Arial" w:hAnsi="Arial" w:cs="Arial"/>
          <w:b/>
          <w:bCs/>
          <w:i w:val="0"/>
          <w:iCs w:val="0"/>
        </w:rPr>
        <w:t>market. (Right) The net profit and growth of Novo Nordisk from 2010 to 2019. Source</w:t>
      </w:r>
      <w:r w:rsidR="00A30EF7">
        <w:rPr>
          <w:rFonts w:ascii="Arial" w:hAnsi="Arial" w:cs="Arial"/>
          <w:b/>
          <w:bCs/>
          <w:i w:val="0"/>
          <w:iCs w:val="0"/>
        </w:rPr>
        <w:t xml:space="preserve">: </w:t>
      </w:r>
      <w:r w:rsidR="00795386" w:rsidRPr="003542AC">
        <w:rPr>
          <w:rFonts w:ascii="Arial" w:hAnsi="Arial" w:cs="Arial"/>
          <w:b/>
          <w:bCs/>
          <w:i w:val="0"/>
          <w:iCs w:val="0"/>
        </w:rPr>
        <w:fldChar w:fldCharType="begin" w:fldLock="1"/>
      </w:r>
      <w:r w:rsidR="00E67165">
        <w:rPr>
          <w:rFonts w:ascii="Arial" w:hAnsi="Arial" w:cs="Arial"/>
          <w:b/>
          <w:bCs/>
          <w:i w:val="0"/>
          <w:iCs w:val="0"/>
        </w:rPr>
        <w:instrText>ADDIN CSL_CITATION {"citationItems":[{"id":"ITEM-1","itemData":{"author":[{"dropping-particle":"","family":"Novo Nordisk","given":"","non-dropping-particle":"","parse-names":false,"suffix":""}],"id":"ITEM-1","issued":{"date-parts":[["2019"]]},"title":"Novo Nordisk Annual Report 2019","type":"report"},"uris":["http://www.mendeley.com/documents/?uuid=5118f831-ee8c-3514-a37d-27352ed052de"]},{"id":"ITEM-2","itemData":{"URL":"https://www.evaluate.com/thought-leadership/pharma/evaluatepharma-world-preview-2018-outlook-2024","accessed":{"date-parts":[["2020","5","15"]]},"author":[{"dropping-particle":"","family":"Evaluate Inc.","given":"","non-dropping-particle":"","parse-names":false,"suffix":""}],"id":"ITEM-2","issued":{"date-parts":[["2019"]]},"title":"EvaluatePharma World Preview 2018, Outlook to 2024 ","type":"webpage"},"uris":["http://www.mendeley.com/documents/?uuid=90cab72b-f18b-38fe-b82f-cb62d22efb51"]}],"mendeley":{"formattedCitation":"(Evaluate Inc., 2019; Novo Nordisk, 2019)","plainTextFormattedCitation":"(Evaluate Inc., 2019; Novo Nordisk, 2019)","previouslyFormattedCitation":"(Evaluate Inc., 2019; Novo Nordisk, 2019)"},"properties":{"noteIndex":0},"schema":"https://github.com/citation-style-language/schema/raw/master/csl-citation.json"}</w:instrText>
      </w:r>
      <w:r w:rsidR="00795386" w:rsidRPr="003542AC">
        <w:rPr>
          <w:rFonts w:ascii="Arial" w:hAnsi="Arial" w:cs="Arial"/>
          <w:b/>
          <w:bCs/>
          <w:i w:val="0"/>
          <w:iCs w:val="0"/>
        </w:rPr>
        <w:fldChar w:fldCharType="separate"/>
      </w:r>
      <w:r w:rsidR="00795386" w:rsidRPr="003542AC">
        <w:rPr>
          <w:rFonts w:ascii="Arial" w:hAnsi="Arial" w:cs="Arial"/>
          <w:b/>
          <w:bCs/>
          <w:i w:val="0"/>
          <w:iCs w:val="0"/>
          <w:noProof/>
        </w:rPr>
        <w:t>(Evaluate Inc., 2019; Novo Nordisk, 2019)</w:t>
      </w:r>
      <w:r w:rsidR="00795386" w:rsidRPr="003542AC">
        <w:rPr>
          <w:rFonts w:ascii="Arial" w:hAnsi="Arial" w:cs="Arial"/>
          <w:b/>
          <w:bCs/>
          <w:i w:val="0"/>
          <w:iCs w:val="0"/>
        </w:rPr>
        <w:fldChar w:fldCharType="end"/>
      </w:r>
    </w:p>
    <w:p w14:paraId="7B8C6812" w14:textId="2A4374AE" w:rsidR="002F2F0A" w:rsidRPr="00E9053D" w:rsidRDefault="00E478BB" w:rsidP="00E9053D">
      <w:pPr>
        <w:widowControl/>
        <w:spacing w:before="240" w:after="240" w:line="360" w:lineRule="auto"/>
        <w:rPr>
          <w:rFonts w:ascii="Arial" w:hAnsi="Arial" w:cs="Arial"/>
          <w:sz w:val="24"/>
          <w:szCs w:val="24"/>
        </w:rPr>
      </w:pPr>
      <w:r>
        <w:rPr>
          <w:rFonts w:ascii="Arial" w:hAnsi="Arial" w:cs="Arial"/>
          <w:sz w:val="24"/>
          <w:szCs w:val="24"/>
        </w:rPr>
        <w:t xml:space="preserve">Apart from the aforementioned </w:t>
      </w:r>
      <w:r w:rsidR="00830BFE">
        <w:rPr>
          <w:rFonts w:ascii="Arial" w:hAnsi="Arial" w:cs="Arial"/>
          <w:sz w:val="24"/>
          <w:szCs w:val="24"/>
        </w:rPr>
        <w:t>cost of development on oral insulin, another primary issue in the company’s development is</w:t>
      </w:r>
      <w:r w:rsidR="00895ECB">
        <w:rPr>
          <w:rFonts w:ascii="Arial" w:hAnsi="Arial" w:cs="Arial"/>
          <w:sz w:val="24"/>
          <w:szCs w:val="24"/>
        </w:rPr>
        <w:t xml:space="preserve"> the intense competition the company is facing in emerging markets such as Brazil, China and India</w:t>
      </w:r>
      <w:r w:rsidR="00CE0B11">
        <w:rPr>
          <w:rFonts w:ascii="Arial" w:hAnsi="Arial" w:cs="Arial"/>
          <w:sz w:val="24"/>
          <w:szCs w:val="24"/>
        </w:rPr>
        <w:t xml:space="preserve"> </w:t>
      </w:r>
      <w:r w:rsidR="00E67165">
        <w:rPr>
          <w:rFonts w:ascii="Arial" w:hAnsi="Arial" w:cs="Arial"/>
          <w:sz w:val="24"/>
          <w:szCs w:val="24"/>
        </w:rPr>
        <w:fldChar w:fldCharType="begin" w:fldLock="1"/>
      </w:r>
      <w:r w:rsidR="00D67616">
        <w:rPr>
          <w:rFonts w:ascii="Arial" w:hAnsi="Arial" w:cs="Arial"/>
          <w:sz w:val="24"/>
          <w:szCs w:val="24"/>
        </w:rPr>
        <w:instrText>ADDIN CSL_CITATION {"citationItems":[{"id":"ITEM-1","itemData":{"DOI":"10.1111/dme.13947","ISSN":"14645491","PMID":"30888075","abstract":"Aim: To describe the global insulin market. Methods: Market intelligence data, United Nations Commodity Trade Statistics for insulin trade, the International Medical Products Price Guide for prices of human insulin and additional web searches were used as data sources. These sources were combined to gain further insight into possible links among market, trade flows and prices. Descriptive statistics and Spearman's rank order correlation were used for the analysis. Results: A total of 34 insulin manufacturers were identified. Most countries and territories are reliant on a limited number of supplying countries. The overall median (interquartile range) government procurement price for a 10-ml, 100-IU/ml vial during the period 1996–2013 equivalent was US$4.3 (US$ 3.8–4.8), with median prices in Africa (US$ 4.7) and low- (US$ 6.9) and low- to middle- (US$ 4.7) income countries being higher over this period. The relationships between price and quantity of insulin (Spearman's r=0.046; P&gt;0.1) and number of import links (Spearman's r=0.032; P&gt;0.1) were weak. The links between price and percentage of total insulin from a country where a ‘big three' manufacturer produces insulin (Spearman's r=0.294; P&lt;0.05) and total insulin from the main import link (Spearman's r=–0.392; P&lt;0.05) were stronger. Conclusions: This research shows the high variability of insulin prices and the reliance on a few sources, both companies and countries, for global supply. In addressing access to insulin, countries need to use existing price data to negotiate prices, and mechanisms need to be developed to foster competition and security of supply of insulin, given the limited number of truly global producers.","author":[{"dropping-particle":"","family":"Beran","given":"D.","non-dropping-particle":"","parse-names":false,"suffix":""},{"dropping-particle":"","family":"Laing","given":"R. O.","non-dropping-particle":"","parse-names":false,"suffix":""},{"dropping-particle":"","family":"Kaplan","given":"W.","non-dropping-particle":"","parse-names":false,"suffix":""},{"dropping-particle":"","family":"Knox","given":"R.","non-dropping-particle":"","parse-names":false,"suffix":""},{"dropping-particle":"","family":"Sharma","given":"A.","non-dropping-particle":"","parse-names":false,"suffix":""},{"dropping-particle":"","family":"Wirtz","given":"V. J.","non-dropping-particle":"","parse-names":false,"suffix":""},{"dropping-particle":"","family":"Frye","given":"J.","non-dropping-particle":"","parse-names":false,"suffix":""},{"dropping-particle":"","family":"Ewen","given":"M.","non-dropping-particle":"","parse-names":false,"suffix":""}],"container-title":"Diabetic Medicine","id":"ITEM-1","issue":"6","issued":{"date-parts":[["2019","6","1"]]},"note":"doi: 10.1111/dme.13947","page":"726-733","publisher":"John Wiley &amp; Sons, Ltd","title":"A perspective on global access to insulin: a descriptive study of the market, trade flows and prices","type":"article-journal","volume":"36"},"uris":["http://www.mendeley.com/documents/?uuid=cedf7f60-df8f-48d8-b601-0f1494e36e2f"]}],"mendeley":{"formattedCitation":"(Beran &lt;i&gt;et al.&lt;/i&gt;, 2019)","plainTextFormattedCitation":"(Beran et al., 2019)","previouslyFormattedCitation":"(Beran &lt;i&gt;et al.&lt;/i&gt;, 2019)"},"properties":{"noteIndex":0},"schema":"https://github.com/citation-style-language/schema/raw/master/csl-citation.json"}</w:instrText>
      </w:r>
      <w:r w:rsidR="00E67165">
        <w:rPr>
          <w:rFonts w:ascii="Arial" w:hAnsi="Arial" w:cs="Arial"/>
          <w:sz w:val="24"/>
          <w:szCs w:val="24"/>
        </w:rPr>
        <w:fldChar w:fldCharType="separate"/>
      </w:r>
      <w:r w:rsidR="00E67165" w:rsidRPr="00E67165">
        <w:rPr>
          <w:rFonts w:ascii="Arial" w:hAnsi="Arial" w:cs="Arial"/>
          <w:noProof/>
          <w:sz w:val="24"/>
          <w:szCs w:val="24"/>
        </w:rPr>
        <w:t xml:space="preserve">(Beran </w:t>
      </w:r>
      <w:r w:rsidR="00E67165" w:rsidRPr="00E67165">
        <w:rPr>
          <w:rFonts w:ascii="Arial" w:hAnsi="Arial" w:cs="Arial"/>
          <w:i/>
          <w:noProof/>
          <w:sz w:val="24"/>
          <w:szCs w:val="24"/>
        </w:rPr>
        <w:t>et al.</w:t>
      </w:r>
      <w:r w:rsidR="00E67165" w:rsidRPr="00E67165">
        <w:rPr>
          <w:rFonts w:ascii="Arial" w:hAnsi="Arial" w:cs="Arial"/>
          <w:noProof/>
          <w:sz w:val="24"/>
          <w:szCs w:val="24"/>
        </w:rPr>
        <w:t>, 2019)</w:t>
      </w:r>
      <w:r w:rsidR="00E67165">
        <w:rPr>
          <w:rFonts w:ascii="Arial" w:hAnsi="Arial" w:cs="Arial"/>
          <w:sz w:val="24"/>
          <w:szCs w:val="24"/>
        </w:rPr>
        <w:fldChar w:fldCharType="end"/>
      </w:r>
      <w:r w:rsidR="00895ECB">
        <w:rPr>
          <w:rFonts w:ascii="Arial" w:hAnsi="Arial" w:cs="Arial"/>
          <w:sz w:val="24"/>
          <w:szCs w:val="24"/>
        </w:rPr>
        <w:t xml:space="preserve">. </w:t>
      </w:r>
      <w:r w:rsidR="00F02149">
        <w:rPr>
          <w:rFonts w:ascii="Arial" w:hAnsi="Arial" w:cs="Arial"/>
          <w:sz w:val="24"/>
          <w:szCs w:val="24"/>
        </w:rPr>
        <w:t xml:space="preserve">According to </w:t>
      </w:r>
      <w:r w:rsidR="000F68FF" w:rsidRPr="000F68FF">
        <w:rPr>
          <w:rFonts w:ascii="Arial" w:hAnsi="Arial" w:cs="Arial"/>
          <w:noProof/>
          <w:sz w:val="24"/>
          <w:szCs w:val="24"/>
        </w:rPr>
        <w:t>Pacheco</w:t>
      </w:r>
      <w:r w:rsidR="000F68FF">
        <w:rPr>
          <w:rFonts w:ascii="Arial" w:hAnsi="Arial" w:cs="Arial"/>
          <w:sz w:val="24"/>
          <w:szCs w:val="24"/>
        </w:rPr>
        <w:t xml:space="preserve"> </w:t>
      </w:r>
      <w:r w:rsidR="00D67616">
        <w:rPr>
          <w:rFonts w:ascii="Arial" w:hAnsi="Arial" w:cs="Arial"/>
          <w:sz w:val="24"/>
          <w:szCs w:val="24"/>
        </w:rPr>
        <w:fldChar w:fldCharType="begin" w:fldLock="1"/>
      </w:r>
      <w:r w:rsidR="00087106">
        <w:rPr>
          <w:rFonts w:ascii="Arial" w:hAnsi="Arial" w:cs="Arial"/>
          <w:sz w:val="24"/>
          <w:szCs w:val="24"/>
        </w:rPr>
        <w:instrText>ADDIN CSL_CITATION {"citationItems":[{"id":"ITEM-1","itemData":{"author":[{"dropping-particle":"","family":"Pacheco","given":"Rafael","non-dropping-particle":"","parse-names":false,"suffix":""}],"id":"ITEM-1","issued":{"date-parts":[["2016"]]},"publisher":"Copenhagen Business School","title":"From the Economics of Value Creation to the Process of Measuring Value","type":"thesis"},"uris":["http://www.mendeley.com/documents/?uuid=20b94c73-cfe3-3d0f-b85e-bd6f671f5c1c"]}],"mendeley":{"formattedCitation":"(Pacheco, 2016)","manualFormatting":"(2016)","plainTextFormattedCitation":"(Pacheco, 2016)","previouslyFormattedCitation":"(Pacheco, 2016)"},"properties":{"noteIndex":0},"schema":"https://github.com/citation-style-language/schema/raw/master/csl-citation.json"}</w:instrText>
      </w:r>
      <w:r w:rsidR="00D67616">
        <w:rPr>
          <w:rFonts w:ascii="Arial" w:hAnsi="Arial" w:cs="Arial"/>
          <w:sz w:val="24"/>
          <w:szCs w:val="24"/>
        </w:rPr>
        <w:fldChar w:fldCharType="separate"/>
      </w:r>
      <w:r w:rsidR="000F68FF" w:rsidRPr="000F68FF">
        <w:rPr>
          <w:rFonts w:ascii="Arial" w:hAnsi="Arial" w:cs="Arial"/>
          <w:noProof/>
          <w:sz w:val="24"/>
          <w:szCs w:val="24"/>
        </w:rPr>
        <w:t>(2016)</w:t>
      </w:r>
      <w:r w:rsidR="00D67616">
        <w:rPr>
          <w:rFonts w:ascii="Arial" w:hAnsi="Arial" w:cs="Arial"/>
          <w:sz w:val="24"/>
          <w:szCs w:val="24"/>
        </w:rPr>
        <w:fldChar w:fldCharType="end"/>
      </w:r>
      <w:r w:rsidR="000F68FF">
        <w:rPr>
          <w:rFonts w:ascii="Arial" w:hAnsi="Arial" w:cs="Arial"/>
          <w:sz w:val="24"/>
          <w:szCs w:val="24"/>
        </w:rPr>
        <w:t xml:space="preserve">, </w:t>
      </w:r>
      <w:r w:rsidR="00C94BFD">
        <w:rPr>
          <w:rFonts w:ascii="Arial" w:hAnsi="Arial" w:cs="Arial"/>
          <w:sz w:val="24"/>
          <w:szCs w:val="24"/>
        </w:rPr>
        <w:t>a major</w:t>
      </w:r>
      <w:r w:rsidR="000F68FF">
        <w:rPr>
          <w:rFonts w:ascii="Arial" w:hAnsi="Arial" w:cs="Arial"/>
          <w:sz w:val="24"/>
          <w:szCs w:val="24"/>
        </w:rPr>
        <w:t xml:space="preserve"> challenge for </w:t>
      </w:r>
      <w:r w:rsidR="00C94BFD">
        <w:rPr>
          <w:rFonts w:ascii="Arial" w:hAnsi="Arial" w:cs="Arial"/>
          <w:sz w:val="24"/>
          <w:szCs w:val="24"/>
        </w:rPr>
        <w:t>antidiabetic companies in the next decade is to cater the increasing demand in emerging markets.</w:t>
      </w:r>
    </w:p>
    <w:p w14:paraId="183FFF8F" w14:textId="25166B60" w:rsidR="002F2F0A" w:rsidRDefault="002F2F0A" w:rsidP="00E9053D">
      <w:pPr>
        <w:widowControl/>
        <w:spacing w:before="240" w:after="240" w:line="360" w:lineRule="auto"/>
        <w:rPr>
          <w:rFonts w:ascii="Arial" w:hAnsi="Arial" w:cs="Arial"/>
          <w:sz w:val="24"/>
          <w:szCs w:val="24"/>
        </w:rPr>
      </w:pPr>
      <w:r>
        <w:rPr>
          <w:rFonts w:ascii="Arial" w:hAnsi="Arial" w:cs="Arial"/>
          <w:sz w:val="24"/>
          <w:szCs w:val="24"/>
        </w:rPr>
        <w:t>China is the second largest economy in the world with growing</w:t>
      </w:r>
      <w:r w:rsidR="0041376E">
        <w:rPr>
          <w:rFonts w:ascii="Arial" w:hAnsi="Arial" w:cs="Arial"/>
          <w:sz w:val="24"/>
          <w:szCs w:val="24"/>
        </w:rPr>
        <w:t xml:space="preserve"> demand on medical supplies including medical technologies, medical products and medical services</w:t>
      </w:r>
      <w:r w:rsidR="00087106">
        <w:rPr>
          <w:rFonts w:ascii="Arial" w:hAnsi="Arial" w:cs="Arial"/>
          <w:sz w:val="24"/>
          <w:szCs w:val="24"/>
        </w:rPr>
        <w:t xml:space="preserve"> </w:t>
      </w:r>
      <w:r w:rsidR="00087106">
        <w:rPr>
          <w:rFonts w:ascii="Arial" w:hAnsi="Arial" w:cs="Arial"/>
          <w:sz w:val="24"/>
          <w:szCs w:val="24"/>
        </w:rPr>
        <w:fldChar w:fldCharType="begin" w:fldLock="1"/>
      </w:r>
      <w:r w:rsidR="00AE7C34">
        <w:rPr>
          <w:rFonts w:ascii="Arial" w:hAnsi="Arial" w:cs="Arial"/>
          <w:sz w:val="24"/>
          <w:szCs w:val="24"/>
        </w:rPr>
        <w:instrText>ADDIN CSL_CITATION {"citationItems":[{"id":"ITEM-1","itemData":{"ISSN":"1036-7128","abstract":"'In the coming five years, China is expected to import $8 trillion of goods [.] and make $750 billion of outbound investment [.] Innovation will continue to feature prominently on our growth agenda,' says Chinese President Xi Jinping","author":[{"dropping-particle":"","family":"Scott","given":"Rob","non-dropping-particle":"","parse-names":false,"suffix":""}],"container-title":"Australasian Biotechnology","id":"ITEM-1","issue":"2","issued":{"date-parts":[["2017"]]},"page":"28-29","publisher":"Australian Biotechnology Association","title":"The opportunity in china's healthcare market","type":"article-journal","volume":"27"},"uris":["http://www.mendeley.com/documents/?uuid=bacd99fd-b9be-465d-ab93-f71c1d037130"]}],"mendeley":{"formattedCitation":"(Scott, 2017)","plainTextFormattedCitation":"(Scott, 2017)","previouslyFormattedCitation":"(Scott, 2017)"},"properties":{"noteIndex":0},"schema":"https://github.com/citation-style-language/schema/raw/master/csl-citation.json"}</w:instrText>
      </w:r>
      <w:r w:rsidR="00087106">
        <w:rPr>
          <w:rFonts w:ascii="Arial" w:hAnsi="Arial" w:cs="Arial"/>
          <w:sz w:val="24"/>
          <w:szCs w:val="24"/>
        </w:rPr>
        <w:fldChar w:fldCharType="separate"/>
      </w:r>
      <w:r w:rsidR="00087106" w:rsidRPr="00087106">
        <w:rPr>
          <w:rFonts w:ascii="Arial" w:hAnsi="Arial" w:cs="Arial"/>
          <w:noProof/>
          <w:sz w:val="24"/>
          <w:szCs w:val="24"/>
        </w:rPr>
        <w:t>(Scott, 2017)</w:t>
      </w:r>
      <w:r w:rsidR="00087106">
        <w:rPr>
          <w:rFonts w:ascii="Arial" w:hAnsi="Arial" w:cs="Arial"/>
          <w:sz w:val="24"/>
          <w:szCs w:val="24"/>
        </w:rPr>
        <w:fldChar w:fldCharType="end"/>
      </w:r>
      <w:r w:rsidR="00087106">
        <w:rPr>
          <w:rFonts w:ascii="Arial" w:hAnsi="Arial" w:cs="Arial"/>
          <w:sz w:val="24"/>
          <w:szCs w:val="24"/>
        </w:rPr>
        <w:t xml:space="preserve">. </w:t>
      </w:r>
      <w:r w:rsidR="00FE3FD9">
        <w:rPr>
          <w:rFonts w:ascii="Arial" w:hAnsi="Arial" w:cs="Arial"/>
          <w:sz w:val="24"/>
          <w:szCs w:val="24"/>
        </w:rPr>
        <w:t xml:space="preserve">China is ambitious to elevate its healthcare system to the global leading position despite the expenditure on healthcare per GDP in China is significantly lower that global average as shown in figure 2. </w:t>
      </w:r>
      <w:r w:rsidR="002846FA">
        <w:rPr>
          <w:rFonts w:ascii="Arial" w:hAnsi="Arial" w:cs="Arial"/>
          <w:sz w:val="24"/>
          <w:szCs w:val="24"/>
        </w:rPr>
        <w:t xml:space="preserve">This opens up an opportunity for pharmaceutical companies. </w:t>
      </w:r>
      <w:r w:rsidR="0002683E">
        <w:rPr>
          <w:rFonts w:ascii="Arial" w:hAnsi="Arial" w:cs="Arial"/>
          <w:sz w:val="24"/>
          <w:szCs w:val="24"/>
        </w:rPr>
        <w:t xml:space="preserve">In terms of anti-diabetic market, China </w:t>
      </w:r>
      <w:r w:rsidR="0032623F">
        <w:rPr>
          <w:rFonts w:ascii="Arial" w:hAnsi="Arial" w:cs="Arial"/>
          <w:sz w:val="24"/>
          <w:szCs w:val="24"/>
        </w:rPr>
        <w:t>spends the second most in anti-diabetic treatments right after the US as shown</w:t>
      </w:r>
      <w:r w:rsidR="0002683E">
        <w:rPr>
          <w:rFonts w:ascii="Arial" w:hAnsi="Arial" w:cs="Arial"/>
          <w:sz w:val="24"/>
          <w:szCs w:val="24"/>
        </w:rPr>
        <w:t xml:space="preserve"> in figure 2. This </w:t>
      </w:r>
      <w:r w:rsidR="00116B85">
        <w:rPr>
          <w:rFonts w:ascii="Arial" w:hAnsi="Arial" w:cs="Arial"/>
          <w:sz w:val="24"/>
          <w:szCs w:val="24"/>
        </w:rPr>
        <w:t xml:space="preserve">is a major opportunity for Novo Nordisk to regain its profit growth in the decade to come. The Chinese anti-diabetic and relevant markets are thus chosen as the target market under focus in this report. </w:t>
      </w:r>
    </w:p>
    <w:p w14:paraId="07F2BE17" w14:textId="77777777" w:rsidR="00116B85" w:rsidRDefault="00116B85" w:rsidP="00E9053D">
      <w:pPr>
        <w:widowControl/>
        <w:spacing w:before="240" w:after="240" w:line="360" w:lineRule="auto"/>
        <w:rPr>
          <w:rFonts w:ascii="Arial" w:hAnsi="Arial" w:cs="Arial"/>
          <w:sz w:val="24"/>
          <w:szCs w:val="24"/>
        </w:rPr>
      </w:pPr>
    </w:p>
    <w:p w14:paraId="3696F566" w14:textId="77777777" w:rsidR="00116B85" w:rsidRDefault="00116B85" w:rsidP="00116B85">
      <w:pPr>
        <w:keepNext/>
        <w:widowControl/>
        <w:spacing w:before="240" w:after="240" w:line="360" w:lineRule="auto"/>
      </w:pPr>
      <w:r>
        <w:rPr>
          <w:rFonts w:ascii="Arial" w:hAnsi="Arial" w:cs="Arial"/>
          <w:noProof/>
          <w:sz w:val="24"/>
          <w:szCs w:val="24"/>
        </w:rPr>
        <w:lastRenderedPageBreak/>
        <w:drawing>
          <wp:inline distT="0" distB="0" distL="0" distR="0" wp14:anchorId="41738DD0" wp14:editId="69E4F857">
            <wp:extent cx="5731510" cy="1947545"/>
            <wp:effectExtent l="0" t="0" r="2540" b="0"/>
            <wp:docPr id="3" name="图片 3" descr="电脑屏幕的截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6.tif"/>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1947545"/>
                    </a:xfrm>
                    <a:prstGeom prst="rect">
                      <a:avLst/>
                    </a:prstGeom>
                  </pic:spPr>
                </pic:pic>
              </a:graphicData>
            </a:graphic>
          </wp:inline>
        </w:drawing>
      </w:r>
    </w:p>
    <w:p w14:paraId="1CD7C58F" w14:textId="068DEAFD" w:rsidR="00116B85" w:rsidRPr="00312662" w:rsidRDefault="00116B85" w:rsidP="00312662">
      <w:pPr>
        <w:pStyle w:val="a8"/>
        <w:rPr>
          <w:rFonts w:ascii="Arial" w:hAnsi="Arial" w:cs="Arial"/>
          <w:b/>
          <w:bCs/>
          <w:i w:val="0"/>
          <w:iCs w:val="0"/>
        </w:rPr>
      </w:pPr>
      <w:r w:rsidRPr="00312662">
        <w:rPr>
          <w:rFonts w:ascii="Arial" w:hAnsi="Arial" w:cs="Arial"/>
          <w:b/>
          <w:bCs/>
          <w:i w:val="0"/>
          <w:iCs w:val="0"/>
        </w:rPr>
        <w:t xml:space="preserve">Figure </w:t>
      </w:r>
      <w:r w:rsidRPr="00312662">
        <w:rPr>
          <w:rFonts w:ascii="Arial" w:hAnsi="Arial" w:cs="Arial"/>
          <w:b/>
          <w:bCs/>
          <w:i w:val="0"/>
          <w:iCs w:val="0"/>
        </w:rPr>
        <w:fldChar w:fldCharType="begin"/>
      </w:r>
      <w:r w:rsidRPr="00312662">
        <w:rPr>
          <w:rFonts w:ascii="Arial" w:hAnsi="Arial" w:cs="Arial"/>
          <w:b/>
          <w:bCs/>
          <w:i w:val="0"/>
          <w:iCs w:val="0"/>
        </w:rPr>
        <w:instrText xml:space="preserve"> SEQ Figure \* ARABIC </w:instrText>
      </w:r>
      <w:r w:rsidRPr="00312662">
        <w:rPr>
          <w:rFonts w:ascii="Arial" w:hAnsi="Arial" w:cs="Arial"/>
          <w:b/>
          <w:bCs/>
          <w:i w:val="0"/>
          <w:iCs w:val="0"/>
        </w:rPr>
        <w:fldChar w:fldCharType="separate"/>
      </w:r>
      <w:r w:rsidR="008111A3">
        <w:rPr>
          <w:rFonts w:ascii="Arial" w:hAnsi="Arial" w:cs="Arial"/>
          <w:b/>
          <w:bCs/>
          <w:i w:val="0"/>
          <w:iCs w:val="0"/>
          <w:noProof/>
        </w:rPr>
        <w:t>2</w:t>
      </w:r>
      <w:r w:rsidRPr="00312662">
        <w:rPr>
          <w:rFonts w:ascii="Arial" w:hAnsi="Arial" w:cs="Arial"/>
          <w:b/>
          <w:bCs/>
          <w:i w:val="0"/>
          <w:iCs w:val="0"/>
        </w:rPr>
        <w:fldChar w:fldCharType="end"/>
      </w:r>
      <w:r w:rsidRPr="00312662">
        <w:rPr>
          <w:rFonts w:ascii="Arial" w:hAnsi="Arial" w:cs="Arial"/>
          <w:b/>
          <w:bCs/>
          <w:i w:val="0"/>
          <w:iCs w:val="0"/>
        </w:rPr>
        <w:t xml:space="preserve">. (Left) Expenditure on healthcare per GDP in China and global average in percentage. (Right) </w:t>
      </w:r>
      <w:r w:rsidR="003F2907" w:rsidRPr="00312662">
        <w:rPr>
          <w:rFonts w:ascii="Arial" w:hAnsi="Arial" w:cs="Arial"/>
          <w:b/>
          <w:bCs/>
          <w:i w:val="0"/>
          <w:iCs w:val="0"/>
        </w:rPr>
        <w:t>market size in million US dollars of a</w:t>
      </w:r>
      <w:r w:rsidR="0032623F" w:rsidRPr="00312662">
        <w:rPr>
          <w:rFonts w:ascii="Arial" w:hAnsi="Arial" w:cs="Arial"/>
          <w:b/>
          <w:bCs/>
          <w:i w:val="0"/>
          <w:iCs w:val="0"/>
        </w:rPr>
        <w:t xml:space="preserve">nti-diabetic treatment and </w:t>
      </w:r>
      <w:r w:rsidR="003F2907" w:rsidRPr="00312662">
        <w:rPr>
          <w:rFonts w:ascii="Arial" w:hAnsi="Arial" w:cs="Arial"/>
          <w:b/>
          <w:bCs/>
          <w:i w:val="0"/>
          <w:iCs w:val="0"/>
        </w:rPr>
        <w:t xml:space="preserve">relevant markets. Source: </w:t>
      </w:r>
      <w:r w:rsidR="00312662" w:rsidRPr="00312662">
        <w:rPr>
          <w:rFonts w:ascii="Arial" w:hAnsi="Arial" w:cs="Arial"/>
          <w:b/>
          <w:bCs/>
          <w:i w:val="0"/>
          <w:iCs w:val="0"/>
        </w:rPr>
        <w:fldChar w:fldCharType="begin" w:fldLock="1"/>
      </w:r>
      <w:r w:rsidR="00120ED5">
        <w:rPr>
          <w:rFonts w:ascii="Arial" w:hAnsi="Arial" w:cs="Arial"/>
          <w:b/>
          <w:bCs/>
          <w:i w:val="0"/>
          <w:iCs w:val="0"/>
        </w:rPr>
        <w:instrText>ADDIN CSL_CITATION {"citationItems":[{"id":"ITEM-1","itemData":{"author":[{"dropping-particle":"","family":"International Diabetes Federation","given":"","non-dropping-particle":"","parse-names":false,"suffix":""}],"id":"ITEM-1","issued":{"date-parts":[["2019"]]},"title":"IDF Diabetes Atlas","type":"report"},"uris":["http://www.mendeley.com/documents/?uuid=5ba0898f-4471-3478-9b76-60aef51f69e3"]},{"id":"ITEM-2","itemData":{"URL":"https://data.worldbank.org/indicator/SH.XPD.CHEX.GD.ZS?locations=CN-1W","accessed":{"date-parts":[["2020","5","15"]]},"author":[{"dropping-particle":"","family":"World Bank Data","given":"","non-dropping-particle":"","parse-names":false,"suffix":""}],"id":"ITEM-2","issued":{"date-parts":[["2019"]]},"title":"Current health expenditure (% of GDP) - China","type":"webpage"},"uris":["http://www.mendeley.com/documents/?uuid=f21ee4a8-0bd9-300a-a66e-57f595fd5c99"]}],"mendeley":{"formattedCitation":"(International Diabetes Federation, 2019; World Bank Data, 2019a)","plainTextFormattedCitation":"(International Diabetes Federation, 2019; World Bank Data, 2019a)","previouslyFormattedCitation":"(International Diabetes Federation, 2019; World Bank Data, 2019a)"},"properties":{"noteIndex":0},"schema":"https://github.com/citation-style-language/schema/raw/master/csl-citation.json"}</w:instrText>
      </w:r>
      <w:r w:rsidR="00312662" w:rsidRPr="00312662">
        <w:rPr>
          <w:rFonts w:ascii="Arial" w:hAnsi="Arial" w:cs="Arial"/>
          <w:b/>
          <w:bCs/>
          <w:i w:val="0"/>
          <w:iCs w:val="0"/>
        </w:rPr>
        <w:fldChar w:fldCharType="separate"/>
      </w:r>
      <w:r w:rsidR="0088590C" w:rsidRPr="0088590C">
        <w:rPr>
          <w:rFonts w:ascii="Arial" w:hAnsi="Arial" w:cs="Arial"/>
          <w:b/>
          <w:bCs/>
          <w:i w:val="0"/>
          <w:iCs w:val="0"/>
          <w:noProof/>
        </w:rPr>
        <w:t>(International Diabetes Federation, 2019; World Bank Data, 2019a)</w:t>
      </w:r>
      <w:r w:rsidR="00312662" w:rsidRPr="00312662">
        <w:rPr>
          <w:rFonts w:ascii="Arial" w:hAnsi="Arial" w:cs="Arial"/>
          <w:b/>
          <w:bCs/>
          <w:i w:val="0"/>
          <w:iCs w:val="0"/>
        </w:rPr>
        <w:fldChar w:fldCharType="end"/>
      </w:r>
    </w:p>
    <w:p w14:paraId="6093FEFC" w14:textId="1D6118F9" w:rsidR="00E9053D" w:rsidRPr="00312662" w:rsidRDefault="00594381" w:rsidP="00312662">
      <w:pPr>
        <w:pStyle w:val="a7"/>
        <w:widowControl/>
        <w:numPr>
          <w:ilvl w:val="0"/>
          <w:numId w:val="1"/>
        </w:numPr>
        <w:pBdr>
          <w:bottom w:val="single" w:sz="24" w:space="1" w:color="FF1654" w:themeColor="accent5"/>
        </w:pBdr>
        <w:spacing w:before="240" w:after="240" w:line="360" w:lineRule="auto"/>
        <w:contextualSpacing w:val="0"/>
        <w:outlineLvl w:val="0"/>
        <w:rPr>
          <w:rFonts w:ascii="D-DIN" w:hAnsi="D-DIN" w:cs="Arial"/>
          <w:b/>
          <w:bCs/>
          <w:color w:val="323232" w:themeColor="text2"/>
          <w:sz w:val="32"/>
          <w:szCs w:val="32"/>
        </w:rPr>
      </w:pPr>
      <w:bookmarkStart w:id="6" w:name="_Toc40423902"/>
      <w:r>
        <w:rPr>
          <w:rFonts w:ascii="D-DIN" w:hAnsi="D-DIN" w:cs="Arial"/>
          <w:b/>
          <w:bCs/>
          <w:color w:val="323232" w:themeColor="text2"/>
          <w:sz w:val="32"/>
          <w:szCs w:val="32"/>
        </w:rPr>
        <w:t>Situation</w:t>
      </w:r>
      <w:r w:rsidR="00A673C2">
        <w:rPr>
          <w:rFonts w:ascii="D-DIN" w:hAnsi="D-DIN" w:cs="Arial"/>
          <w:b/>
          <w:bCs/>
          <w:color w:val="323232" w:themeColor="text2"/>
          <w:sz w:val="32"/>
          <w:szCs w:val="32"/>
        </w:rPr>
        <w:t xml:space="preserve"> analysis</w:t>
      </w:r>
      <w:bookmarkEnd w:id="6"/>
      <w:r w:rsidR="00A673C2">
        <w:rPr>
          <w:rFonts w:ascii="D-DIN" w:hAnsi="D-DIN" w:cs="Arial"/>
          <w:b/>
          <w:bCs/>
          <w:color w:val="323232" w:themeColor="text2"/>
          <w:sz w:val="32"/>
          <w:szCs w:val="32"/>
        </w:rPr>
        <w:t xml:space="preserve"> </w:t>
      </w:r>
    </w:p>
    <w:p w14:paraId="3F99BDF2" w14:textId="140BC6C1" w:rsidR="00312662" w:rsidRDefault="008F7566" w:rsidP="00744782">
      <w:pPr>
        <w:widowControl/>
        <w:spacing w:before="240" w:after="240" w:line="360" w:lineRule="auto"/>
        <w:rPr>
          <w:rFonts w:ascii="Arial" w:hAnsi="Arial" w:cs="Arial"/>
          <w:sz w:val="24"/>
          <w:szCs w:val="24"/>
        </w:rPr>
      </w:pPr>
      <w:r>
        <w:rPr>
          <w:rFonts w:ascii="Arial" w:hAnsi="Arial" w:cs="Arial"/>
          <w:sz w:val="24"/>
          <w:szCs w:val="24"/>
        </w:rPr>
        <w:t xml:space="preserve">The business environmental scanning from the external </w:t>
      </w:r>
      <w:r w:rsidR="006355F9">
        <w:rPr>
          <w:rFonts w:ascii="Arial" w:hAnsi="Arial" w:cs="Arial"/>
          <w:sz w:val="24"/>
          <w:szCs w:val="24"/>
        </w:rPr>
        <w:t xml:space="preserve">perspective is conducted with the macro analysis using PEST and the micro analysis using Porter’s Five Forces analysis. PEST analysis assesses the market from political factors, economic factors, social factors, technological factors. </w:t>
      </w:r>
      <w:r w:rsidR="00041D48">
        <w:rPr>
          <w:rFonts w:ascii="Arial" w:hAnsi="Arial" w:cs="Arial"/>
          <w:sz w:val="24"/>
          <w:szCs w:val="24"/>
        </w:rPr>
        <w:t>The analysis is</w:t>
      </w:r>
      <w:r w:rsidR="00B76865">
        <w:rPr>
          <w:rFonts w:ascii="Arial" w:hAnsi="Arial" w:cs="Arial"/>
          <w:sz w:val="24"/>
          <w:szCs w:val="24"/>
        </w:rPr>
        <w:t xml:space="preserve"> focused more </w:t>
      </w:r>
      <w:r w:rsidR="00041D48">
        <w:rPr>
          <w:rFonts w:ascii="Arial" w:hAnsi="Arial" w:cs="Arial"/>
          <w:sz w:val="24"/>
          <w:szCs w:val="24"/>
        </w:rPr>
        <w:t xml:space="preserve">on the market level. The Porter’s Five Forces analysis is to asses the </w:t>
      </w:r>
      <w:r w:rsidR="00B76865">
        <w:rPr>
          <w:rFonts w:ascii="Arial" w:hAnsi="Arial" w:cs="Arial"/>
          <w:sz w:val="24"/>
          <w:szCs w:val="24"/>
        </w:rPr>
        <w:t>competition</w:t>
      </w:r>
      <w:r w:rsidR="00FA7D0E">
        <w:rPr>
          <w:rFonts w:ascii="Arial" w:hAnsi="Arial" w:cs="Arial"/>
          <w:sz w:val="24"/>
          <w:szCs w:val="24"/>
        </w:rPr>
        <w:t xml:space="preserve"> level in the market segment from five dimension including the buyers bargaining power, supplier’s bargaining power,</w:t>
      </w:r>
      <w:r w:rsidR="00337225">
        <w:rPr>
          <w:rFonts w:ascii="Arial" w:hAnsi="Arial" w:cs="Arial"/>
          <w:sz w:val="24"/>
          <w:szCs w:val="24"/>
        </w:rPr>
        <w:t xml:space="preserve"> threat of market entrants, threat of </w:t>
      </w:r>
      <w:r w:rsidR="00B76865">
        <w:rPr>
          <w:rFonts w:ascii="Arial" w:hAnsi="Arial" w:cs="Arial"/>
          <w:sz w:val="24"/>
          <w:szCs w:val="24"/>
        </w:rPr>
        <w:t>substitutes</w:t>
      </w:r>
      <w:r w:rsidR="00337225">
        <w:rPr>
          <w:rFonts w:ascii="Arial" w:hAnsi="Arial" w:cs="Arial"/>
          <w:sz w:val="24"/>
          <w:szCs w:val="24"/>
        </w:rPr>
        <w:t xml:space="preserve"> and the competition </w:t>
      </w:r>
      <w:r w:rsidR="00B76865">
        <w:rPr>
          <w:rFonts w:ascii="Arial" w:hAnsi="Arial" w:cs="Arial"/>
          <w:sz w:val="24"/>
          <w:szCs w:val="24"/>
        </w:rPr>
        <w:t xml:space="preserve">rivalry. The </w:t>
      </w:r>
      <w:r w:rsidR="008B126F">
        <w:rPr>
          <w:rFonts w:ascii="Arial" w:hAnsi="Arial" w:cs="Arial"/>
          <w:sz w:val="24"/>
          <w:szCs w:val="24"/>
        </w:rPr>
        <w:t>Porter’s Five For</w:t>
      </w:r>
      <w:r w:rsidR="000871F1">
        <w:rPr>
          <w:rFonts w:ascii="Arial" w:hAnsi="Arial" w:cs="Arial"/>
          <w:sz w:val="24"/>
          <w:szCs w:val="24"/>
        </w:rPr>
        <w:t xml:space="preserve">ces analysis is more focused on the sector level. </w:t>
      </w:r>
      <w:r w:rsidR="00323967">
        <w:rPr>
          <w:rFonts w:ascii="Arial" w:hAnsi="Arial" w:cs="Arial"/>
          <w:sz w:val="24"/>
          <w:szCs w:val="24"/>
        </w:rPr>
        <w:t xml:space="preserve">The internal perspective is conducted with a VRIO analysis and a SWOT analysis. </w:t>
      </w:r>
    </w:p>
    <w:p w14:paraId="6623C40E" w14:textId="00A3A649" w:rsidR="000871F1" w:rsidRPr="000871F1" w:rsidRDefault="000871F1" w:rsidP="00744782">
      <w:pPr>
        <w:pStyle w:val="a7"/>
        <w:widowControl/>
        <w:numPr>
          <w:ilvl w:val="1"/>
          <w:numId w:val="1"/>
        </w:numPr>
        <w:spacing w:before="240" w:after="240" w:line="360" w:lineRule="auto"/>
        <w:contextualSpacing w:val="0"/>
        <w:outlineLvl w:val="1"/>
        <w:rPr>
          <w:rFonts w:ascii="Arial" w:hAnsi="Arial" w:cs="Arial"/>
          <w:b/>
          <w:bCs/>
          <w:sz w:val="24"/>
          <w:szCs w:val="24"/>
        </w:rPr>
      </w:pPr>
      <w:bookmarkStart w:id="7" w:name="_Toc40423903"/>
      <w:r w:rsidRPr="000871F1">
        <w:rPr>
          <w:rFonts w:ascii="Arial" w:hAnsi="Arial" w:cs="Arial"/>
          <w:b/>
          <w:bCs/>
          <w:sz w:val="24"/>
          <w:szCs w:val="24"/>
        </w:rPr>
        <w:t>Macro business environmental analysis - PEST</w:t>
      </w:r>
      <w:bookmarkEnd w:id="7"/>
    </w:p>
    <w:p w14:paraId="1D78C59B" w14:textId="15E31F08" w:rsidR="00E9053D" w:rsidRPr="00744782" w:rsidRDefault="00744782" w:rsidP="00744782">
      <w:pPr>
        <w:pStyle w:val="a7"/>
        <w:widowControl/>
        <w:numPr>
          <w:ilvl w:val="0"/>
          <w:numId w:val="4"/>
        </w:numPr>
        <w:spacing w:before="240" w:after="240" w:line="360" w:lineRule="auto"/>
        <w:ind w:left="357" w:hanging="357"/>
        <w:contextualSpacing w:val="0"/>
        <w:outlineLvl w:val="2"/>
        <w:rPr>
          <w:rFonts w:ascii="Arial" w:hAnsi="Arial" w:cs="Arial"/>
          <w:b/>
          <w:bCs/>
          <w:sz w:val="24"/>
          <w:szCs w:val="24"/>
        </w:rPr>
      </w:pPr>
      <w:bookmarkStart w:id="8" w:name="_Toc40423823"/>
      <w:bookmarkStart w:id="9" w:name="_Toc40423904"/>
      <w:r w:rsidRPr="00744782">
        <w:rPr>
          <w:rFonts w:ascii="Arial" w:hAnsi="Arial" w:cs="Arial"/>
          <w:b/>
          <w:bCs/>
          <w:sz w:val="24"/>
          <w:szCs w:val="24"/>
        </w:rPr>
        <w:t>Political factors</w:t>
      </w:r>
      <w:bookmarkEnd w:id="8"/>
      <w:bookmarkEnd w:id="9"/>
      <w:r w:rsidRPr="00744782">
        <w:rPr>
          <w:rFonts w:ascii="Arial" w:hAnsi="Arial" w:cs="Arial"/>
          <w:b/>
          <w:bCs/>
          <w:sz w:val="24"/>
          <w:szCs w:val="24"/>
        </w:rPr>
        <w:t xml:space="preserve"> </w:t>
      </w:r>
    </w:p>
    <w:p w14:paraId="2F190BCF" w14:textId="78AABA5A" w:rsidR="00BE57B7" w:rsidRDefault="00B50A5F" w:rsidP="00744782">
      <w:pPr>
        <w:widowControl/>
        <w:spacing w:before="240" w:after="240" w:line="360" w:lineRule="auto"/>
        <w:rPr>
          <w:rFonts w:ascii="Arial" w:hAnsi="Arial" w:cs="Arial"/>
          <w:sz w:val="24"/>
          <w:szCs w:val="24"/>
        </w:rPr>
      </w:pPr>
      <w:r>
        <w:rPr>
          <w:rFonts w:ascii="Arial" w:hAnsi="Arial" w:cs="Arial"/>
          <w:sz w:val="24"/>
          <w:szCs w:val="24"/>
        </w:rPr>
        <w:t xml:space="preserve">The major </w:t>
      </w:r>
      <w:r w:rsidR="00BE6096">
        <w:rPr>
          <w:rFonts w:ascii="Arial" w:hAnsi="Arial" w:cs="Arial"/>
          <w:sz w:val="24"/>
          <w:szCs w:val="24"/>
        </w:rPr>
        <w:t xml:space="preserve">political factors are the </w:t>
      </w:r>
      <w:r w:rsidR="00B353D5">
        <w:rPr>
          <w:rFonts w:ascii="Arial" w:hAnsi="Arial" w:cs="Arial"/>
          <w:sz w:val="24"/>
          <w:szCs w:val="24"/>
        </w:rPr>
        <w:t xml:space="preserve">governmental intervention in the market and </w:t>
      </w:r>
      <w:r w:rsidR="007846F5">
        <w:rPr>
          <w:rFonts w:ascii="Arial" w:hAnsi="Arial" w:cs="Arial"/>
          <w:sz w:val="24"/>
          <w:szCs w:val="24"/>
        </w:rPr>
        <w:t xml:space="preserve">reform in the regulatory framework of the pharmaceutical </w:t>
      </w:r>
      <w:r w:rsidR="00693948">
        <w:rPr>
          <w:rFonts w:ascii="Arial" w:hAnsi="Arial" w:cs="Arial"/>
          <w:sz w:val="24"/>
          <w:szCs w:val="24"/>
        </w:rPr>
        <w:t xml:space="preserve">market. </w:t>
      </w:r>
      <w:r w:rsidR="00283ACA">
        <w:rPr>
          <w:rFonts w:ascii="Arial" w:hAnsi="Arial" w:cs="Arial"/>
          <w:sz w:val="24"/>
          <w:szCs w:val="24"/>
        </w:rPr>
        <w:t>In</w:t>
      </w:r>
      <w:r w:rsidR="00856A25">
        <w:rPr>
          <w:rFonts w:ascii="Arial" w:hAnsi="Arial" w:cs="Arial"/>
          <w:sz w:val="24"/>
          <w:szCs w:val="24"/>
        </w:rPr>
        <w:t xml:space="preserve"> 2015, Chinese government </w:t>
      </w:r>
      <w:r w:rsidR="00283ACA">
        <w:rPr>
          <w:rFonts w:ascii="Arial" w:hAnsi="Arial" w:cs="Arial"/>
          <w:sz w:val="24"/>
          <w:szCs w:val="24"/>
        </w:rPr>
        <w:t>launched</w:t>
      </w:r>
      <w:r w:rsidR="00856A25">
        <w:rPr>
          <w:rFonts w:ascii="Arial" w:hAnsi="Arial" w:cs="Arial"/>
          <w:sz w:val="24"/>
          <w:szCs w:val="24"/>
        </w:rPr>
        <w:t xml:space="preserve"> an initiative to support the R&amp;D and production capacity of domestic pharmaceutical com</w:t>
      </w:r>
      <w:r w:rsidR="00283ACA">
        <w:rPr>
          <w:rFonts w:ascii="Arial" w:hAnsi="Arial" w:cs="Arial"/>
          <w:sz w:val="24"/>
          <w:szCs w:val="24"/>
        </w:rPr>
        <w:t xml:space="preserve">panies. The initiative includes </w:t>
      </w:r>
      <w:r w:rsidR="0076741F">
        <w:rPr>
          <w:rFonts w:ascii="Arial" w:hAnsi="Arial" w:cs="Arial"/>
          <w:sz w:val="24"/>
          <w:szCs w:val="24"/>
        </w:rPr>
        <w:t xml:space="preserve">the increase on domestic pharmaceutical companies </w:t>
      </w:r>
      <w:r w:rsidR="001445A5">
        <w:rPr>
          <w:rFonts w:ascii="Arial" w:hAnsi="Arial" w:cs="Arial"/>
          <w:sz w:val="24"/>
          <w:szCs w:val="24"/>
        </w:rPr>
        <w:t>from the government with an annual 10% growth</w:t>
      </w:r>
      <w:r w:rsidR="00AD0B1F">
        <w:rPr>
          <w:rFonts w:ascii="Arial" w:hAnsi="Arial" w:cs="Arial"/>
          <w:sz w:val="24"/>
          <w:szCs w:val="24"/>
        </w:rPr>
        <w:t xml:space="preserve"> </w:t>
      </w:r>
      <w:r w:rsidR="00890E43">
        <w:rPr>
          <w:rFonts w:ascii="Arial" w:hAnsi="Arial" w:cs="Arial"/>
          <w:sz w:val="24"/>
          <w:szCs w:val="24"/>
        </w:rPr>
        <w:fldChar w:fldCharType="begin" w:fldLock="1"/>
      </w:r>
      <w:r w:rsidR="00B3420A">
        <w:rPr>
          <w:rFonts w:ascii="Arial" w:hAnsi="Arial" w:cs="Arial"/>
          <w:sz w:val="24"/>
          <w:szCs w:val="24"/>
        </w:rPr>
        <w:instrText>ADDIN CSL_CITATION {"citationItems":[{"id":"ITEM-1","itemData":{"DOI":"10.2991/assehr.k.191221.033","ISBN":"9462528713","author":[{"dropping-particle":"","family":"Wang","given":"Yongyan","non-dropping-particle":"","parse-names":false,"suffix":""},{"dropping-particle":"","family":"Zhang","given":"Jian","non-dropping-particle":"","parse-names":false,"suffix":""}],"container-title":"2019 3rd International Conference on Education, Economics and Management Research (ICEEMR 2019)","id":"ITEM-1","issued":{"date-parts":[["2020"]]},"page":"140-143","publisher":"Atlantis Press","title":"Study on the Competitiveness of Traditional Chinese Medicine Enterprises Based on the Factor Analysis","type":"paper-conference"},"uris":["http://www.mendeley.com/documents/?uuid=fcee3477-4c8d-4a0f-81e0-e45a882283bd"]}],"mendeley":{"formattedCitation":"(Wang and Zhang, 2020)","plainTextFormattedCitation":"(Wang and Zhang, 2020)","previouslyFormattedCitation":"(Wang and Zhang, 2020)"},"properties":{"noteIndex":0},"schema":"https://github.com/citation-style-language/schema/raw/master/csl-citation.json"}</w:instrText>
      </w:r>
      <w:r w:rsidR="00890E43">
        <w:rPr>
          <w:rFonts w:ascii="Arial" w:hAnsi="Arial" w:cs="Arial"/>
          <w:sz w:val="24"/>
          <w:szCs w:val="24"/>
        </w:rPr>
        <w:fldChar w:fldCharType="separate"/>
      </w:r>
      <w:r w:rsidR="00890E43" w:rsidRPr="00890E43">
        <w:rPr>
          <w:rFonts w:ascii="Arial" w:hAnsi="Arial" w:cs="Arial"/>
          <w:noProof/>
          <w:sz w:val="24"/>
          <w:szCs w:val="24"/>
        </w:rPr>
        <w:t>(Wang and Zhang, 2020)</w:t>
      </w:r>
      <w:r w:rsidR="00890E43">
        <w:rPr>
          <w:rFonts w:ascii="Arial" w:hAnsi="Arial" w:cs="Arial"/>
          <w:sz w:val="24"/>
          <w:szCs w:val="24"/>
        </w:rPr>
        <w:fldChar w:fldCharType="end"/>
      </w:r>
      <w:r w:rsidR="001445A5">
        <w:rPr>
          <w:rFonts w:ascii="Arial" w:hAnsi="Arial" w:cs="Arial"/>
          <w:sz w:val="24"/>
          <w:szCs w:val="24"/>
        </w:rPr>
        <w:t xml:space="preserve">. </w:t>
      </w:r>
      <w:r w:rsidR="00890E43">
        <w:rPr>
          <w:rFonts w:ascii="Arial" w:hAnsi="Arial" w:cs="Arial"/>
          <w:sz w:val="24"/>
          <w:szCs w:val="24"/>
        </w:rPr>
        <w:t>The</w:t>
      </w:r>
      <w:r w:rsidR="001155FD">
        <w:rPr>
          <w:rFonts w:ascii="Arial" w:hAnsi="Arial" w:cs="Arial"/>
          <w:sz w:val="24"/>
          <w:szCs w:val="24"/>
        </w:rPr>
        <w:t xml:space="preserve"> key aspect of the reform includes the establishment of a national pharmaceutical supply platform requesting any pharmaceutical company supplying medical products and services to gain a qualification for listing their</w:t>
      </w:r>
      <w:r w:rsidR="006158E0">
        <w:rPr>
          <w:rFonts w:ascii="Arial" w:hAnsi="Arial" w:cs="Arial"/>
          <w:sz w:val="24"/>
          <w:szCs w:val="24"/>
        </w:rPr>
        <w:t xml:space="preserve"> products </w:t>
      </w:r>
      <w:r w:rsidR="006158E0">
        <w:rPr>
          <w:rFonts w:ascii="Arial" w:hAnsi="Arial" w:cs="Arial"/>
          <w:sz w:val="24"/>
          <w:szCs w:val="24"/>
        </w:rPr>
        <w:lastRenderedPageBreak/>
        <w:t>on the platform</w:t>
      </w:r>
      <w:r w:rsidR="00890E43">
        <w:rPr>
          <w:rFonts w:ascii="Arial" w:hAnsi="Arial" w:cs="Arial"/>
          <w:sz w:val="24"/>
          <w:szCs w:val="24"/>
        </w:rPr>
        <w:t xml:space="preserve"> </w:t>
      </w:r>
      <w:r w:rsidR="00B3420A">
        <w:rPr>
          <w:rFonts w:ascii="Arial" w:hAnsi="Arial" w:cs="Arial"/>
          <w:sz w:val="24"/>
          <w:szCs w:val="24"/>
        </w:rPr>
        <w:fldChar w:fldCharType="begin" w:fldLock="1"/>
      </w:r>
      <w:r w:rsidR="00417A60">
        <w:rPr>
          <w:rFonts w:ascii="Arial" w:hAnsi="Arial" w:cs="Arial"/>
          <w:sz w:val="24"/>
          <w:szCs w:val="24"/>
        </w:rPr>
        <w:instrText>ADDIN CSL_CITATION {"citationItems":[{"id":"ITEM-1","itemData":{"DOI":"10.1007/978-981-13-8102-7_10","author":[{"dropping-particle":"","family":"Chen","given":"Xiangdong","non-dropping-particle":"","parse-names":false,"suffix":""},{"dropping-particle":"","family":"Xue","given":"Shaofang","non-dropping-particle":"","parse-names":false,"suffix":""},{"dropping-particle":"","family":"Lv","given":"Miaochen","non-dropping-particle":"","parse-names":false,"suffix":""},{"dropping-particle":"","family":"Wang","given":"Ruolan","non-dropping-particle":"","parse-names":false,"suffix":""}],"container-title":"Innovation, Economic Development, and Intellectual Property in India and China","id":"ITEM-1","issued":{"date-parts":[["2019"]]},"page":"215-250","publisher":"Springer","title":"Pharmaceutical Industry in China: Policy, Market and IP","type":"chapter"},"uris":["http://www.mendeley.com/documents/?uuid=100a3f99-8517-42dd-a9b3-5f38a6acd2b1"]}],"mendeley":{"formattedCitation":"(Chen &lt;i&gt;et al.&lt;/i&gt;, 2019)","plainTextFormattedCitation":"(Chen et al., 2019)","previouslyFormattedCitation":"(Chen &lt;i&gt;et al.&lt;/i&gt;, 2019)"},"properties":{"noteIndex":0},"schema":"https://github.com/citation-style-language/schema/raw/master/csl-citation.json"}</w:instrText>
      </w:r>
      <w:r w:rsidR="00B3420A">
        <w:rPr>
          <w:rFonts w:ascii="Arial" w:hAnsi="Arial" w:cs="Arial"/>
          <w:sz w:val="24"/>
          <w:szCs w:val="24"/>
        </w:rPr>
        <w:fldChar w:fldCharType="separate"/>
      </w:r>
      <w:r w:rsidR="00B3420A" w:rsidRPr="00B3420A">
        <w:rPr>
          <w:rFonts w:ascii="Arial" w:hAnsi="Arial" w:cs="Arial"/>
          <w:noProof/>
          <w:sz w:val="24"/>
          <w:szCs w:val="24"/>
        </w:rPr>
        <w:t xml:space="preserve">(Chen </w:t>
      </w:r>
      <w:r w:rsidR="00B3420A" w:rsidRPr="00B3420A">
        <w:rPr>
          <w:rFonts w:ascii="Arial" w:hAnsi="Arial" w:cs="Arial"/>
          <w:i/>
          <w:noProof/>
          <w:sz w:val="24"/>
          <w:szCs w:val="24"/>
        </w:rPr>
        <w:t>et al.</w:t>
      </w:r>
      <w:r w:rsidR="00B3420A" w:rsidRPr="00B3420A">
        <w:rPr>
          <w:rFonts w:ascii="Arial" w:hAnsi="Arial" w:cs="Arial"/>
          <w:noProof/>
          <w:sz w:val="24"/>
          <w:szCs w:val="24"/>
        </w:rPr>
        <w:t>, 2019)</w:t>
      </w:r>
      <w:r w:rsidR="00B3420A">
        <w:rPr>
          <w:rFonts w:ascii="Arial" w:hAnsi="Arial" w:cs="Arial"/>
          <w:sz w:val="24"/>
          <w:szCs w:val="24"/>
        </w:rPr>
        <w:fldChar w:fldCharType="end"/>
      </w:r>
      <w:r w:rsidR="006158E0">
        <w:rPr>
          <w:rFonts w:ascii="Arial" w:hAnsi="Arial" w:cs="Arial"/>
          <w:sz w:val="24"/>
          <w:szCs w:val="24"/>
        </w:rPr>
        <w:t xml:space="preserve">. The exclusiveness of the platform </w:t>
      </w:r>
      <w:r w:rsidR="00BE57B7">
        <w:rPr>
          <w:rFonts w:ascii="Arial" w:hAnsi="Arial" w:cs="Arial"/>
          <w:sz w:val="24"/>
          <w:szCs w:val="24"/>
        </w:rPr>
        <w:t xml:space="preserve">mandates that any pharmaceutical company aiming to enter or expand in China to gain a licence on the platform. The political factors are imminent and can challenge foreign pharmaceutical companies </w:t>
      </w:r>
      <w:r w:rsidR="00A42BE0">
        <w:rPr>
          <w:rFonts w:ascii="Arial" w:hAnsi="Arial" w:cs="Arial"/>
          <w:sz w:val="24"/>
          <w:szCs w:val="24"/>
        </w:rPr>
        <w:t xml:space="preserve">even they have well-established market share in China. </w:t>
      </w:r>
    </w:p>
    <w:p w14:paraId="39DCA982" w14:textId="025ECCC7" w:rsidR="00A42BE0" w:rsidRPr="00A42BE0" w:rsidRDefault="00A42BE0" w:rsidP="00A42BE0">
      <w:pPr>
        <w:pStyle w:val="a7"/>
        <w:widowControl/>
        <w:numPr>
          <w:ilvl w:val="0"/>
          <w:numId w:val="4"/>
        </w:numPr>
        <w:spacing w:before="240" w:after="240" w:line="360" w:lineRule="auto"/>
        <w:ind w:left="357" w:hanging="357"/>
        <w:contextualSpacing w:val="0"/>
        <w:outlineLvl w:val="2"/>
        <w:rPr>
          <w:rFonts w:ascii="Arial" w:hAnsi="Arial" w:cs="Arial"/>
          <w:b/>
          <w:bCs/>
          <w:sz w:val="24"/>
          <w:szCs w:val="24"/>
        </w:rPr>
      </w:pPr>
      <w:bookmarkStart w:id="10" w:name="_Toc40423824"/>
      <w:bookmarkStart w:id="11" w:name="_Toc40423905"/>
      <w:r w:rsidRPr="00A42BE0">
        <w:rPr>
          <w:rFonts w:ascii="Arial" w:hAnsi="Arial" w:cs="Arial"/>
          <w:b/>
          <w:bCs/>
          <w:sz w:val="24"/>
          <w:szCs w:val="24"/>
        </w:rPr>
        <w:t>Economic factors</w:t>
      </w:r>
      <w:bookmarkEnd w:id="10"/>
      <w:bookmarkEnd w:id="11"/>
      <w:r w:rsidRPr="00A42BE0">
        <w:rPr>
          <w:rFonts w:ascii="Arial" w:hAnsi="Arial" w:cs="Arial"/>
          <w:b/>
          <w:bCs/>
          <w:sz w:val="24"/>
          <w:szCs w:val="24"/>
        </w:rPr>
        <w:t xml:space="preserve"> </w:t>
      </w:r>
    </w:p>
    <w:p w14:paraId="1C034344" w14:textId="520D2D3D" w:rsidR="00ED615C" w:rsidRDefault="000D258D" w:rsidP="00744782">
      <w:pPr>
        <w:widowControl/>
        <w:spacing w:before="240" w:after="240" w:line="360" w:lineRule="auto"/>
        <w:rPr>
          <w:rFonts w:ascii="Arial" w:hAnsi="Arial" w:cs="Arial"/>
          <w:sz w:val="24"/>
          <w:szCs w:val="24"/>
        </w:rPr>
      </w:pPr>
      <w:r>
        <w:rPr>
          <w:rFonts w:ascii="Arial" w:hAnsi="Arial" w:cs="Arial"/>
          <w:sz w:val="24"/>
          <w:szCs w:val="24"/>
        </w:rPr>
        <w:t xml:space="preserve">The primary economic factors include the growing spending on healthcare and </w:t>
      </w:r>
      <w:r w:rsidR="00ED615C">
        <w:rPr>
          <w:rFonts w:ascii="Arial" w:hAnsi="Arial" w:cs="Arial"/>
          <w:sz w:val="24"/>
          <w:szCs w:val="24"/>
        </w:rPr>
        <w:t xml:space="preserve">growing GDP per capita in China. The growing spending on healthcare as shown in figure 2 means that </w:t>
      </w:r>
      <w:r w:rsidR="00FE536C">
        <w:rPr>
          <w:rFonts w:ascii="Arial" w:hAnsi="Arial" w:cs="Arial"/>
          <w:sz w:val="24"/>
          <w:szCs w:val="24"/>
        </w:rPr>
        <w:t>pharmaceutical</w:t>
      </w:r>
      <w:r w:rsidR="00ED615C">
        <w:rPr>
          <w:rFonts w:ascii="Arial" w:hAnsi="Arial" w:cs="Arial"/>
          <w:sz w:val="24"/>
          <w:szCs w:val="24"/>
        </w:rPr>
        <w:t xml:space="preserve"> companies are faced with </w:t>
      </w:r>
      <w:r w:rsidR="00FE536C">
        <w:rPr>
          <w:rFonts w:ascii="Arial" w:hAnsi="Arial" w:cs="Arial"/>
          <w:sz w:val="24"/>
          <w:szCs w:val="24"/>
        </w:rPr>
        <w:t>great</w:t>
      </w:r>
      <w:r w:rsidR="00ED615C">
        <w:rPr>
          <w:rFonts w:ascii="Arial" w:hAnsi="Arial" w:cs="Arial"/>
          <w:sz w:val="24"/>
          <w:szCs w:val="24"/>
        </w:rPr>
        <w:t xml:space="preserve"> opportunities in entering or expanding in the Chinese market</w:t>
      </w:r>
      <w:r w:rsidR="003D7580">
        <w:rPr>
          <w:rFonts w:ascii="Arial" w:hAnsi="Arial" w:cs="Arial"/>
          <w:sz w:val="24"/>
          <w:szCs w:val="24"/>
        </w:rPr>
        <w:t xml:space="preserve"> </w:t>
      </w:r>
      <w:r w:rsidR="00417A60">
        <w:rPr>
          <w:rFonts w:ascii="Arial" w:hAnsi="Arial" w:cs="Arial"/>
          <w:sz w:val="24"/>
          <w:szCs w:val="24"/>
        </w:rPr>
        <w:fldChar w:fldCharType="begin" w:fldLock="1"/>
      </w:r>
      <w:r w:rsidR="0031600C">
        <w:rPr>
          <w:rFonts w:ascii="Arial" w:hAnsi="Arial" w:cs="Arial"/>
          <w:sz w:val="24"/>
          <w:szCs w:val="24"/>
        </w:rPr>
        <w:instrText>ADDIN CSL_CITATION {"citationItems":[{"id":"ITEM-1","itemData":{"DOI":"10.1007/978-3-319-97990-8_15","ISBN":"9783319979908","author":[{"dropping-particle":"","family":"Chen","given":"Xiongying","non-dropping-particle":"","parse-names":false,"suffix":""},{"dropping-particle":"","family":"Qian","given":"Xiang","non-dropping-particle":"","parse-names":false,"suffix":""}],"container-title":"Quality Spine Care: Healthcare Systems, Quality Reporting, and Risk Adjustment","id":"ITEM-1","issued":{"date-parts":[["2018"]]},"page":"237-254","publisher":"Springer","title":"Overview of healthcare system in China","type":"chapter"},"uris":["http://www.mendeley.com/documents/?uuid=0b773610-5bde-4a6a-a282-b0a3a5786151"]}],"mendeley":{"formattedCitation":"(Chen and Qian, 2018)","plainTextFormattedCitation":"(Chen and Qian, 2018)","previouslyFormattedCitation":"(Chen and Qian, 2018)"},"properties":{"noteIndex":0},"schema":"https://github.com/citation-style-language/schema/raw/master/csl-citation.json"}</w:instrText>
      </w:r>
      <w:r w:rsidR="00417A60">
        <w:rPr>
          <w:rFonts w:ascii="Arial" w:hAnsi="Arial" w:cs="Arial"/>
          <w:sz w:val="24"/>
          <w:szCs w:val="24"/>
        </w:rPr>
        <w:fldChar w:fldCharType="separate"/>
      </w:r>
      <w:r w:rsidR="00417A60" w:rsidRPr="00417A60">
        <w:rPr>
          <w:rFonts w:ascii="Arial" w:hAnsi="Arial" w:cs="Arial"/>
          <w:noProof/>
          <w:sz w:val="24"/>
          <w:szCs w:val="24"/>
        </w:rPr>
        <w:t>(Chen and Qian, 2018)</w:t>
      </w:r>
      <w:r w:rsidR="00417A60">
        <w:rPr>
          <w:rFonts w:ascii="Arial" w:hAnsi="Arial" w:cs="Arial"/>
          <w:sz w:val="24"/>
          <w:szCs w:val="24"/>
        </w:rPr>
        <w:fldChar w:fldCharType="end"/>
      </w:r>
      <w:r w:rsidR="00ED615C">
        <w:rPr>
          <w:rFonts w:ascii="Arial" w:hAnsi="Arial" w:cs="Arial"/>
          <w:sz w:val="24"/>
          <w:szCs w:val="24"/>
        </w:rPr>
        <w:t>. Due to the limited level of privatisation of the Chinese healthcare industry, the</w:t>
      </w:r>
      <w:r w:rsidR="00D72063">
        <w:rPr>
          <w:rFonts w:ascii="Arial" w:hAnsi="Arial" w:cs="Arial"/>
          <w:sz w:val="24"/>
          <w:szCs w:val="24"/>
        </w:rPr>
        <w:t xml:space="preserve"> increasing</w:t>
      </w:r>
      <w:r w:rsidR="00ED615C">
        <w:rPr>
          <w:rFonts w:ascii="Arial" w:hAnsi="Arial" w:cs="Arial"/>
          <w:sz w:val="24"/>
          <w:szCs w:val="24"/>
        </w:rPr>
        <w:t xml:space="preserve"> </w:t>
      </w:r>
      <w:r w:rsidR="0041603A">
        <w:rPr>
          <w:rFonts w:ascii="Arial" w:hAnsi="Arial" w:cs="Arial"/>
          <w:sz w:val="24"/>
          <w:szCs w:val="24"/>
        </w:rPr>
        <w:t xml:space="preserve">healthcare spending from the </w:t>
      </w:r>
      <w:r w:rsidR="0098096C">
        <w:rPr>
          <w:rFonts w:ascii="Arial" w:hAnsi="Arial" w:cs="Arial"/>
          <w:sz w:val="24"/>
          <w:szCs w:val="24"/>
        </w:rPr>
        <w:t>as shown in figure 2</w:t>
      </w:r>
      <w:r w:rsidR="00FE536C">
        <w:rPr>
          <w:rFonts w:ascii="Arial" w:hAnsi="Arial" w:cs="Arial"/>
          <w:sz w:val="24"/>
          <w:szCs w:val="24"/>
        </w:rPr>
        <w:t xml:space="preserve">, </w:t>
      </w:r>
      <w:r w:rsidR="0098096C">
        <w:rPr>
          <w:rFonts w:ascii="Arial" w:hAnsi="Arial" w:cs="Arial"/>
          <w:sz w:val="24"/>
          <w:szCs w:val="24"/>
        </w:rPr>
        <w:t xml:space="preserve">means the market size is to continue growing. </w:t>
      </w:r>
    </w:p>
    <w:p w14:paraId="31786D82" w14:textId="3312C63A" w:rsidR="0098096C" w:rsidRDefault="0098096C" w:rsidP="00744782">
      <w:pPr>
        <w:widowControl/>
        <w:spacing w:before="240" w:after="240" w:line="360" w:lineRule="auto"/>
        <w:rPr>
          <w:rFonts w:ascii="Arial" w:hAnsi="Arial" w:cs="Arial"/>
          <w:sz w:val="24"/>
          <w:szCs w:val="24"/>
        </w:rPr>
      </w:pPr>
      <w:r>
        <w:rPr>
          <w:rFonts w:ascii="Arial" w:hAnsi="Arial" w:cs="Arial"/>
          <w:sz w:val="24"/>
          <w:szCs w:val="24"/>
        </w:rPr>
        <w:t>The GDP per capi</w:t>
      </w:r>
      <w:r w:rsidR="004D48FC">
        <w:rPr>
          <w:rFonts w:ascii="Arial" w:hAnsi="Arial" w:cs="Arial"/>
          <w:sz w:val="24"/>
          <w:szCs w:val="24"/>
        </w:rPr>
        <w:t xml:space="preserve">ta growth of China remains the leading position in the world, surpassing two developed economies as UK and the US and several </w:t>
      </w:r>
      <w:r w:rsidR="00C00367">
        <w:rPr>
          <w:rFonts w:ascii="Arial" w:hAnsi="Arial" w:cs="Arial"/>
          <w:sz w:val="24"/>
          <w:szCs w:val="24"/>
        </w:rPr>
        <w:t xml:space="preserve">major emerging economies </w:t>
      </w:r>
      <w:r w:rsidR="003C72D4">
        <w:rPr>
          <w:rFonts w:ascii="Arial" w:hAnsi="Arial" w:cs="Arial"/>
          <w:sz w:val="24"/>
          <w:szCs w:val="24"/>
        </w:rPr>
        <w:t>as shown in figure 3</w:t>
      </w:r>
      <w:r w:rsidR="00C00367">
        <w:rPr>
          <w:rFonts w:ascii="Arial" w:hAnsi="Arial" w:cs="Arial"/>
          <w:sz w:val="24"/>
          <w:szCs w:val="24"/>
        </w:rPr>
        <w:t xml:space="preserve">. </w:t>
      </w:r>
      <w:r w:rsidR="003C72D4">
        <w:rPr>
          <w:rFonts w:ascii="Arial" w:hAnsi="Arial" w:cs="Arial"/>
          <w:sz w:val="24"/>
          <w:szCs w:val="24"/>
        </w:rPr>
        <w:t>The strong economy means strong consumption and strong expenditure in the healthcare market, which are beneficial for the pharmaceutical industry</w:t>
      </w:r>
      <w:r w:rsidR="00417A60">
        <w:rPr>
          <w:rFonts w:ascii="Arial" w:hAnsi="Arial" w:cs="Arial"/>
          <w:sz w:val="24"/>
          <w:szCs w:val="24"/>
        </w:rPr>
        <w:t xml:space="preserve"> </w:t>
      </w:r>
      <w:r w:rsidR="0031600C">
        <w:rPr>
          <w:rFonts w:ascii="Arial" w:hAnsi="Arial" w:cs="Arial"/>
          <w:sz w:val="24"/>
          <w:szCs w:val="24"/>
        </w:rPr>
        <w:fldChar w:fldCharType="begin" w:fldLock="1"/>
      </w:r>
      <w:r w:rsidR="00D27F3E">
        <w:rPr>
          <w:rFonts w:ascii="Arial" w:hAnsi="Arial" w:cs="Arial"/>
          <w:sz w:val="24"/>
          <w:szCs w:val="24"/>
        </w:rPr>
        <w:instrText>ADDIN CSL_CITATION {"citationItems":[{"id":"ITEM-1","itemData":{"DOI":"10.1002/hpm.2252","ISSN":"10991751","abstract":"The ongoing healthcare reform in China has a powerful spillover effect beyond the health sector and the borders of China. A successful completion of the Chinese reform will offer a new model for social justice development, shift the global economy toward sustainability and create a new hub for science and technology in medical and health science. However, reforming the healthcare system in the most populated country is a daunting task. China will not live up to its promise, and all the potentials may end with hype not hope if coherent national strategies are not constructed and state-of-the-art navigation is not achieved with staggering domestic and global challenges. The cost of failure will be immensely high, socioeconomic costs for Chinese and an opportunity cost for the world as a whole. A full appreciation of the global implications of China's healthcare reform is crucial in keeping China receptive toward good practices evidence-approved elsewhere and open minded to fulfill its international obligations. More critically, the appreciation yields constructive engagements from global community toward a joint development and global prosperity. The current report provides a multiple disciplinary assessment on the global implications of the healthcare reform in China.","author":[{"dropping-particle":"","family":"Yan","given":"Fei","non-dropping-particle":"","parse-names":false,"suffix":""},{"dropping-particle":"","family":"Tang","given":"Shenglan","non-dropping-particle":"","parse-names":false,"suffix":""},{"dropping-particle":"","family":"Zhang","given":"Jian","non-dropping-particle":"","parse-names":false,"suffix":""}],"container-title":"International Journal of Health Planning and Management","id":"ITEM-1","issue":"1","issued":{"date-parts":[["2016"]]},"page":"25-35","publisher":"Wiley Online Library","title":"Global implications of China's healthcare reform","type":"article-journal","volume":"31"},"uris":["http://www.mendeley.com/documents/?uuid=4d27557d-e499-463a-a021-d4aba9e2f2e7"]}],"mendeley":{"formattedCitation":"(Yan, Tang and Zhang, 2016)","plainTextFormattedCitation":"(Yan, Tang and Zhang, 2016)","previouslyFormattedCitation":"(Yan, Tang and Zhang, 2016)"},"properties":{"noteIndex":0},"schema":"https://github.com/citation-style-language/schema/raw/master/csl-citation.json"}</w:instrText>
      </w:r>
      <w:r w:rsidR="0031600C">
        <w:rPr>
          <w:rFonts w:ascii="Arial" w:hAnsi="Arial" w:cs="Arial"/>
          <w:sz w:val="24"/>
          <w:szCs w:val="24"/>
        </w:rPr>
        <w:fldChar w:fldCharType="separate"/>
      </w:r>
      <w:r w:rsidR="0031600C" w:rsidRPr="0031600C">
        <w:rPr>
          <w:rFonts w:ascii="Arial" w:hAnsi="Arial" w:cs="Arial"/>
          <w:noProof/>
          <w:sz w:val="24"/>
          <w:szCs w:val="24"/>
        </w:rPr>
        <w:t>(Yan, Tang and Zhang, 2016)</w:t>
      </w:r>
      <w:r w:rsidR="0031600C">
        <w:rPr>
          <w:rFonts w:ascii="Arial" w:hAnsi="Arial" w:cs="Arial"/>
          <w:sz w:val="24"/>
          <w:szCs w:val="24"/>
        </w:rPr>
        <w:fldChar w:fldCharType="end"/>
      </w:r>
      <w:r w:rsidR="003C72D4">
        <w:rPr>
          <w:rFonts w:ascii="Arial" w:hAnsi="Arial" w:cs="Arial"/>
          <w:sz w:val="24"/>
          <w:szCs w:val="24"/>
        </w:rPr>
        <w:t xml:space="preserve">. </w:t>
      </w:r>
    </w:p>
    <w:p w14:paraId="15ED49B4" w14:textId="77777777" w:rsidR="003C72D4" w:rsidRDefault="003C72D4" w:rsidP="003C72D4">
      <w:pPr>
        <w:keepNext/>
        <w:widowControl/>
        <w:spacing w:before="240" w:after="240" w:line="360" w:lineRule="auto"/>
      </w:pPr>
      <w:r>
        <w:rPr>
          <w:rFonts w:ascii="Arial" w:hAnsi="Arial" w:cs="Arial"/>
          <w:noProof/>
          <w:sz w:val="24"/>
          <w:szCs w:val="24"/>
        </w:rPr>
        <w:drawing>
          <wp:inline distT="0" distB="0" distL="0" distR="0" wp14:anchorId="1DD7CAE5" wp14:editId="570120FE">
            <wp:extent cx="4280861" cy="2758440"/>
            <wp:effectExtent l="0" t="0" r="0" b="0"/>
            <wp:docPr id="4" name="图片 4" descr="电脑萤幕画面&#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7.tif"/>
                    <pic:cNvPicPr/>
                  </pic:nvPicPr>
                  <pic:blipFill>
                    <a:blip r:embed="rId12">
                      <a:extLst>
                        <a:ext uri="{28A0092B-C50C-407E-A947-70E740481C1C}">
                          <a14:useLocalDpi xmlns:a14="http://schemas.microsoft.com/office/drawing/2010/main" val="0"/>
                        </a:ext>
                      </a:extLst>
                    </a:blip>
                    <a:stretch>
                      <a:fillRect/>
                    </a:stretch>
                  </pic:blipFill>
                  <pic:spPr>
                    <a:xfrm>
                      <a:off x="0" y="0"/>
                      <a:ext cx="4369423" cy="2815506"/>
                    </a:xfrm>
                    <a:prstGeom prst="rect">
                      <a:avLst/>
                    </a:prstGeom>
                  </pic:spPr>
                </pic:pic>
              </a:graphicData>
            </a:graphic>
          </wp:inline>
        </w:drawing>
      </w:r>
    </w:p>
    <w:p w14:paraId="29A5C9B5" w14:textId="3142E508" w:rsidR="003C72D4" w:rsidRDefault="003C72D4" w:rsidP="003C72D4">
      <w:pPr>
        <w:pStyle w:val="a8"/>
        <w:rPr>
          <w:rFonts w:ascii="Arial" w:hAnsi="Arial" w:cs="Arial"/>
          <w:b/>
          <w:bCs/>
          <w:i w:val="0"/>
          <w:iCs w:val="0"/>
        </w:rPr>
      </w:pPr>
      <w:r w:rsidRPr="0088590C">
        <w:rPr>
          <w:rFonts w:ascii="Arial" w:hAnsi="Arial" w:cs="Arial"/>
          <w:b/>
          <w:bCs/>
          <w:i w:val="0"/>
          <w:iCs w:val="0"/>
        </w:rPr>
        <w:t xml:space="preserve">Figure </w:t>
      </w:r>
      <w:r w:rsidRPr="0088590C">
        <w:rPr>
          <w:rFonts w:ascii="Arial" w:hAnsi="Arial" w:cs="Arial"/>
          <w:b/>
          <w:bCs/>
          <w:i w:val="0"/>
          <w:iCs w:val="0"/>
        </w:rPr>
        <w:fldChar w:fldCharType="begin"/>
      </w:r>
      <w:r w:rsidRPr="0088590C">
        <w:rPr>
          <w:rFonts w:ascii="Arial" w:hAnsi="Arial" w:cs="Arial"/>
          <w:b/>
          <w:bCs/>
          <w:i w:val="0"/>
          <w:iCs w:val="0"/>
        </w:rPr>
        <w:instrText xml:space="preserve"> SEQ Figure \* ARABIC </w:instrText>
      </w:r>
      <w:r w:rsidRPr="0088590C">
        <w:rPr>
          <w:rFonts w:ascii="Arial" w:hAnsi="Arial" w:cs="Arial"/>
          <w:b/>
          <w:bCs/>
          <w:i w:val="0"/>
          <w:iCs w:val="0"/>
        </w:rPr>
        <w:fldChar w:fldCharType="separate"/>
      </w:r>
      <w:r w:rsidR="008111A3">
        <w:rPr>
          <w:rFonts w:ascii="Arial" w:hAnsi="Arial" w:cs="Arial"/>
          <w:b/>
          <w:bCs/>
          <w:i w:val="0"/>
          <w:iCs w:val="0"/>
          <w:noProof/>
        </w:rPr>
        <w:t>3</w:t>
      </w:r>
      <w:r w:rsidRPr="0088590C">
        <w:rPr>
          <w:rFonts w:ascii="Arial" w:hAnsi="Arial" w:cs="Arial"/>
          <w:b/>
          <w:bCs/>
          <w:i w:val="0"/>
          <w:iCs w:val="0"/>
        </w:rPr>
        <w:fldChar w:fldCharType="end"/>
      </w:r>
      <w:r w:rsidRPr="0088590C">
        <w:rPr>
          <w:rFonts w:ascii="Arial" w:hAnsi="Arial" w:cs="Arial"/>
          <w:b/>
          <w:bCs/>
          <w:i w:val="0"/>
          <w:iCs w:val="0"/>
        </w:rPr>
        <w:t xml:space="preserve">. GDP per capital growth rate </w:t>
      </w:r>
      <w:r w:rsidR="00F83B84" w:rsidRPr="0088590C">
        <w:rPr>
          <w:rFonts w:ascii="Arial" w:hAnsi="Arial" w:cs="Arial"/>
          <w:b/>
          <w:bCs/>
          <w:i w:val="0"/>
          <w:iCs w:val="0"/>
        </w:rPr>
        <w:t xml:space="preserve">of the world, China, India, Russia, Brazil, UK and US. Source: </w:t>
      </w:r>
      <w:r w:rsidR="0088590C" w:rsidRPr="0088590C">
        <w:rPr>
          <w:rFonts w:ascii="Arial" w:hAnsi="Arial" w:cs="Arial"/>
          <w:b/>
          <w:bCs/>
          <w:i w:val="0"/>
          <w:iCs w:val="0"/>
        </w:rPr>
        <w:fldChar w:fldCharType="begin" w:fldLock="1"/>
      </w:r>
      <w:r w:rsidR="00120ED5">
        <w:rPr>
          <w:rFonts w:ascii="Arial" w:hAnsi="Arial" w:cs="Arial"/>
          <w:b/>
          <w:bCs/>
          <w:i w:val="0"/>
          <w:iCs w:val="0"/>
        </w:rPr>
        <w:instrText>ADDIN CSL_CITATION {"citationItems":[{"id":"ITEM-1","itemData":{"URL":"https://data.worldbank.org/indicator/NY.GDP.PCAP.KD.ZG?locations=1W-CN-IN-RU-BR-GB-US","accessed":{"date-parts":[["2020","5","15"]]},"author":[{"dropping-particle":"","family":"World Bank Data","given":"","non-dropping-particle":"","parse-names":false,"suffix":""}],"id":"ITEM-1","issued":{"date-parts":[["2019"]]},"title":"GDP per capita growth (annual %) ","type":"webpage"},"uris":["http://www.mendeley.com/documents/?uuid=8879eeb8-6e1c-390c-8db3-54135fd074dd"]}],"mendeley":{"formattedCitation":"(World Bank Data, 2019b)","plainTextFormattedCitation":"(World Bank Data, 2019b)","previouslyFormattedCitation":"(World Bank Data, 2019b)"},"properties":{"noteIndex":0},"schema":"https://github.com/citation-style-language/schema/raw/master/csl-citation.json"}</w:instrText>
      </w:r>
      <w:r w:rsidR="0088590C" w:rsidRPr="0088590C">
        <w:rPr>
          <w:rFonts w:ascii="Arial" w:hAnsi="Arial" w:cs="Arial"/>
          <w:b/>
          <w:bCs/>
          <w:i w:val="0"/>
          <w:iCs w:val="0"/>
        </w:rPr>
        <w:fldChar w:fldCharType="separate"/>
      </w:r>
      <w:r w:rsidR="0088590C" w:rsidRPr="0088590C">
        <w:rPr>
          <w:rFonts w:ascii="Arial" w:hAnsi="Arial" w:cs="Arial"/>
          <w:b/>
          <w:bCs/>
          <w:i w:val="0"/>
          <w:iCs w:val="0"/>
          <w:noProof/>
        </w:rPr>
        <w:t>(World Bank Data, 2019b)</w:t>
      </w:r>
      <w:r w:rsidR="0088590C" w:rsidRPr="0088590C">
        <w:rPr>
          <w:rFonts w:ascii="Arial" w:hAnsi="Arial" w:cs="Arial"/>
          <w:b/>
          <w:bCs/>
          <w:i w:val="0"/>
          <w:iCs w:val="0"/>
        </w:rPr>
        <w:fldChar w:fldCharType="end"/>
      </w:r>
      <w:r w:rsidR="0088590C" w:rsidRPr="0088590C">
        <w:rPr>
          <w:rFonts w:ascii="Arial" w:hAnsi="Arial" w:cs="Arial"/>
          <w:b/>
          <w:bCs/>
          <w:i w:val="0"/>
          <w:iCs w:val="0"/>
        </w:rPr>
        <w:t>.</w:t>
      </w:r>
    </w:p>
    <w:p w14:paraId="6E593C78" w14:textId="7071BC41" w:rsidR="003D7580" w:rsidRDefault="003D7580" w:rsidP="003D7580"/>
    <w:p w14:paraId="565002C5" w14:textId="77777777" w:rsidR="003D7580" w:rsidRPr="003D7580" w:rsidRDefault="003D7580" w:rsidP="003D7580"/>
    <w:p w14:paraId="18332DF5" w14:textId="68985369" w:rsidR="00E9053D" w:rsidRPr="0088590C" w:rsidRDefault="0088590C" w:rsidP="0088590C">
      <w:pPr>
        <w:pStyle w:val="a7"/>
        <w:widowControl/>
        <w:numPr>
          <w:ilvl w:val="0"/>
          <w:numId w:val="4"/>
        </w:numPr>
        <w:spacing w:before="240" w:after="240" w:line="360" w:lineRule="auto"/>
        <w:ind w:left="357" w:hanging="357"/>
        <w:contextualSpacing w:val="0"/>
        <w:outlineLvl w:val="2"/>
        <w:rPr>
          <w:rFonts w:ascii="Arial" w:hAnsi="Arial" w:cs="Arial"/>
          <w:b/>
          <w:bCs/>
          <w:sz w:val="24"/>
          <w:szCs w:val="24"/>
        </w:rPr>
      </w:pPr>
      <w:bookmarkStart w:id="12" w:name="_Toc40423825"/>
      <w:bookmarkStart w:id="13" w:name="_Toc40423906"/>
      <w:r w:rsidRPr="0088590C">
        <w:rPr>
          <w:rFonts w:ascii="Arial" w:hAnsi="Arial" w:cs="Arial"/>
          <w:b/>
          <w:bCs/>
          <w:sz w:val="24"/>
          <w:szCs w:val="24"/>
        </w:rPr>
        <w:lastRenderedPageBreak/>
        <w:t>Social factors</w:t>
      </w:r>
      <w:bookmarkEnd w:id="12"/>
      <w:bookmarkEnd w:id="13"/>
      <w:r w:rsidRPr="0088590C">
        <w:rPr>
          <w:rFonts w:ascii="Arial" w:hAnsi="Arial" w:cs="Arial"/>
          <w:b/>
          <w:bCs/>
          <w:sz w:val="24"/>
          <w:szCs w:val="24"/>
        </w:rPr>
        <w:t xml:space="preserve"> </w:t>
      </w:r>
    </w:p>
    <w:p w14:paraId="134DDFD8" w14:textId="6027E66E" w:rsidR="006D0CAC" w:rsidRDefault="008E1894" w:rsidP="00744782">
      <w:pPr>
        <w:widowControl/>
        <w:spacing w:before="240" w:after="240" w:line="360" w:lineRule="auto"/>
        <w:rPr>
          <w:rFonts w:ascii="Arial" w:hAnsi="Arial" w:cs="Arial"/>
          <w:sz w:val="24"/>
          <w:szCs w:val="24"/>
        </w:rPr>
      </w:pPr>
      <w:r>
        <w:rPr>
          <w:rFonts w:ascii="Arial" w:hAnsi="Arial" w:cs="Arial"/>
          <w:sz w:val="24"/>
          <w:szCs w:val="24"/>
        </w:rPr>
        <w:t xml:space="preserve">The </w:t>
      </w:r>
      <w:r w:rsidR="006D0CAC">
        <w:rPr>
          <w:rFonts w:ascii="Arial" w:hAnsi="Arial" w:cs="Arial"/>
          <w:sz w:val="24"/>
          <w:szCs w:val="24"/>
        </w:rPr>
        <w:t xml:space="preserve">primary social factors include the change of attitude towards healthcare products, the aging society  and the increasing population with chronic conditions in China. </w:t>
      </w:r>
      <w:r w:rsidR="00837F96">
        <w:rPr>
          <w:rFonts w:ascii="Arial" w:hAnsi="Arial" w:cs="Arial"/>
          <w:sz w:val="24"/>
          <w:szCs w:val="24"/>
        </w:rPr>
        <w:t xml:space="preserve">With the enhancement in healthcare infrastructure and the continuing marketisation of the Chinese pharmaceutical industry, customers now have more access to healthcare and medical products and services. </w:t>
      </w:r>
      <w:r w:rsidR="00C6245A">
        <w:rPr>
          <w:rFonts w:ascii="Arial" w:hAnsi="Arial" w:cs="Arial"/>
          <w:sz w:val="24"/>
          <w:szCs w:val="24"/>
        </w:rPr>
        <w:t>Chines customers are more willing to seek medical help with minor or chronical diseases</w:t>
      </w:r>
      <w:r w:rsidR="00D27F3E">
        <w:rPr>
          <w:rFonts w:ascii="Arial" w:hAnsi="Arial" w:cs="Arial"/>
          <w:sz w:val="24"/>
          <w:szCs w:val="24"/>
        </w:rPr>
        <w:t xml:space="preserve"> </w:t>
      </w:r>
      <w:r w:rsidR="00D27F3E">
        <w:rPr>
          <w:rFonts w:ascii="Arial" w:hAnsi="Arial" w:cs="Arial"/>
          <w:sz w:val="24"/>
          <w:szCs w:val="24"/>
        </w:rPr>
        <w:fldChar w:fldCharType="begin" w:fldLock="1"/>
      </w:r>
      <w:r w:rsidR="000768C5">
        <w:rPr>
          <w:rFonts w:ascii="Arial" w:hAnsi="Arial" w:cs="Arial"/>
          <w:sz w:val="24"/>
          <w:szCs w:val="24"/>
        </w:rPr>
        <w:instrText>ADDIN CSL_CITATION {"citationItems":[{"id":"ITEM-1","itemData":{"DOI":"10.1186/s12992-017-0244-6","ISSN":"17448603","abstract":"Background: Global healthcare innovation networks nowadays have expanded beyond developed countries with many developing countries joining the force and becoming important players. China, in particular, has seen a significant increase in the number of innovative firms and research organizations stepping up to the global network in recent years. Nevertheless, the intense Research and Development input has not brought about the expectable output. While China is ascending at a great speed to a leading position worldwide in terms of Research and Development investment, scientific publications and patents, the innovation capabilities in the pharmaceutical sector remain weak. Discussion: This study discusses the challenges and opportunities for pharmaceutical innovation in China. One hand, academic, industrial, institutional and financial constraints were found to be the major and inevitable barriers hindering the development of drug innovation. On the other hand, unique advantages had been observed which included growing pharmaceutical market, Research and Development funding, distinctive source, and international cooperation. Summary: The most important thing for China's pharmaceutical sector to leap forward is to break though innovation barriers and integrate own advantages into global value-chain of healthcare product development.","author":[{"dropping-particle":"","family":"Ni","given":"Jingyun","non-dropping-particle":"","parse-names":false,"suffix":""},{"dropping-particle":"","family":"Zhao","given":"Junrui","non-dropping-particle":"","parse-names":false,"suffix":""},{"dropping-particle":"","family":"Ung","given":"Carolina Oi Lam","non-dropping-particle":"","parse-names":false,"suffix":""},{"dropping-particle":"","family":"Hu","given":"Yuanjia","non-dropping-particle":"","parse-names":false,"suffix":""},{"dropping-particle":"","family":"Hu","given":"Hao","non-dropping-particle":"","parse-names":false,"suffix":""},{"dropping-particle":"","family":"Wang","given":"Yitao","non-dropping-particle":"","parse-names":false,"suffix":""}],"container-title":"Globalization and Health","id":"ITEM-1","issue":"1","issued":{"date-parts":[["2017"]]},"page":"21","publisher":"BioMed Central","title":"Obstacles and opportunities in Chinese pharmaceutical innovation","type":"article-journal","volume":"13"},"uris":["http://www.mendeley.com/documents/?uuid=0bbba326-4e62-4f4c-8253-860f12505ee7"]}],"mendeley":{"formattedCitation":"(Ni &lt;i&gt;et al.&lt;/i&gt;, 2017)","plainTextFormattedCitation":"(Ni et al., 2017)","previouslyFormattedCitation":"(Ni &lt;i&gt;et al.&lt;/i&gt;, 2017)"},"properties":{"noteIndex":0},"schema":"https://github.com/citation-style-language/schema/raw/master/csl-citation.json"}</w:instrText>
      </w:r>
      <w:r w:rsidR="00D27F3E">
        <w:rPr>
          <w:rFonts w:ascii="Arial" w:hAnsi="Arial" w:cs="Arial"/>
          <w:sz w:val="24"/>
          <w:szCs w:val="24"/>
        </w:rPr>
        <w:fldChar w:fldCharType="separate"/>
      </w:r>
      <w:r w:rsidR="00D27F3E" w:rsidRPr="00D27F3E">
        <w:rPr>
          <w:rFonts w:ascii="Arial" w:hAnsi="Arial" w:cs="Arial"/>
          <w:noProof/>
          <w:sz w:val="24"/>
          <w:szCs w:val="24"/>
        </w:rPr>
        <w:t xml:space="preserve">(Ni </w:t>
      </w:r>
      <w:r w:rsidR="00D27F3E" w:rsidRPr="00D27F3E">
        <w:rPr>
          <w:rFonts w:ascii="Arial" w:hAnsi="Arial" w:cs="Arial"/>
          <w:i/>
          <w:noProof/>
          <w:sz w:val="24"/>
          <w:szCs w:val="24"/>
        </w:rPr>
        <w:t>et al.</w:t>
      </w:r>
      <w:r w:rsidR="00D27F3E" w:rsidRPr="00D27F3E">
        <w:rPr>
          <w:rFonts w:ascii="Arial" w:hAnsi="Arial" w:cs="Arial"/>
          <w:noProof/>
          <w:sz w:val="24"/>
          <w:szCs w:val="24"/>
        </w:rPr>
        <w:t>, 2017)</w:t>
      </w:r>
      <w:r w:rsidR="00D27F3E">
        <w:rPr>
          <w:rFonts w:ascii="Arial" w:hAnsi="Arial" w:cs="Arial"/>
          <w:sz w:val="24"/>
          <w:szCs w:val="24"/>
        </w:rPr>
        <w:fldChar w:fldCharType="end"/>
      </w:r>
      <w:r w:rsidR="00C6245A">
        <w:rPr>
          <w:rFonts w:ascii="Arial" w:hAnsi="Arial" w:cs="Arial"/>
          <w:sz w:val="24"/>
          <w:szCs w:val="24"/>
        </w:rPr>
        <w:t xml:space="preserve">. </w:t>
      </w:r>
      <w:r w:rsidR="00837F96">
        <w:rPr>
          <w:rFonts w:ascii="Arial" w:hAnsi="Arial" w:cs="Arial"/>
          <w:sz w:val="24"/>
          <w:szCs w:val="24"/>
        </w:rPr>
        <w:t xml:space="preserve">This </w:t>
      </w:r>
      <w:r w:rsidR="00395124">
        <w:rPr>
          <w:rFonts w:ascii="Arial" w:hAnsi="Arial" w:cs="Arial"/>
          <w:sz w:val="24"/>
          <w:szCs w:val="24"/>
        </w:rPr>
        <w:t>creates</w:t>
      </w:r>
      <w:r w:rsidR="00837F96">
        <w:rPr>
          <w:rFonts w:ascii="Arial" w:hAnsi="Arial" w:cs="Arial"/>
          <w:sz w:val="24"/>
          <w:szCs w:val="24"/>
        </w:rPr>
        <w:t xml:space="preserve"> </w:t>
      </w:r>
      <w:r w:rsidR="00B7670E">
        <w:rPr>
          <w:rFonts w:ascii="Arial" w:hAnsi="Arial" w:cs="Arial"/>
          <w:sz w:val="24"/>
          <w:szCs w:val="24"/>
        </w:rPr>
        <w:t>opportunities</w:t>
      </w:r>
      <w:r w:rsidR="00837F96">
        <w:rPr>
          <w:rFonts w:ascii="Arial" w:hAnsi="Arial" w:cs="Arial"/>
          <w:sz w:val="24"/>
          <w:szCs w:val="24"/>
        </w:rPr>
        <w:t xml:space="preserve"> for companies providing basic healthcare services to </w:t>
      </w:r>
      <w:r w:rsidR="00B7670E">
        <w:rPr>
          <w:rFonts w:ascii="Arial" w:hAnsi="Arial" w:cs="Arial"/>
          <w:sz w:val="24"/>
          <w:szCs w:val="24"/>
        </w:rPr>
        <w:t>customers</w:t>
      </w:r>
      <w:r w:rsidR="00837F96">
        <w:rPr>
          <w:rFonts w:ascii="Arial" w:hAnsi="Arial" w:cs="Arial"/>
          <w:sz w:val="24"/>
          <w:szCs w:val="24"/>
        </w:rPr>
        <w:t xml:space="preserve"> with minor or chronic c</w:t>
      </w:r>
      <w:r w:rsidR="00B7670E">
        <w:rPr>
          <w:rFonts w:ascii="Arial" w:hAnsi="Arial" w:cs="Arial"/>
          <w:sz w:val="24"/>
          <w:szCs w:val="24"/>
        </w:rPr>
        <w:t xml:space="preserve">onditions. </w:t>
      </w:r>
    </w:p>
    <w:p w14:paraId="1A541B6F" w14:textId="2052B642" w:rsidR="002666B5" w:rsidRDefault="00B7670E" w:rsidP="00744782">
      <w:pPr>
        <w:widowControl/>
        <w:spacing w:before="240" w:after="240" w:line="360" w:lineRule="auto"/>
        <w:rPr>
          <w:rFonts w:ascii="Arial" w:hAnsi="Arial" w:cs="Arial"/>
          <w:sz w:val="24"/>
          <w:szCs w:val="24"/>
        </w:rPr>
      </w:pPr>
      <w:r>
        <w:rPr>
          <w:rFonts w:ascii="Arial" w:hAnsi="Arial" w:cs="Arial"/>
          <w:sz w:val="24"/>
          <w:szCs w:val="24"/>
        </w:rPr>
        <w:t>Chinese customer</w:t>
      </w:r>
      <w:r w:rsidR="00627E57">
        <w:rPr>
          <w:rFonts w:ascii="Arial" w:hAnsi="Arial" w:cs="Arial"/>
          <w:sz w:val="24"/>
          <w:szCs w:val="24"/>
        </w:rPr>
        <w:t>s</w:t>
      </w:r>
      <w:r>
        <w:rPr>
          <w:rFonts w:ascii="Arial" w:hAnsi="Arial" w:cs="Arial"/>
          <w:sz w:val="24"/>
          <w:szCs w:val="24"/>
        </w:rPr>
        <w:t xml:space="preserve"> are also suffering from increasing </w:t>
      </w:r>
      <w:r w:rsidR="00627E57">
        <w:rPr>
          <w:rFonts w:ascii="Arial" w:hAnsi="Arial" w:cs="Arial"/>
          <w:sz w:val="24"/>
          <w:szCs w:val="24"/>
        </w:rPr>
        <w:t xml:space="preserve">penetration of chronic diseases such as diabetes and cancer. In 2019, </w:t>
      </w:r>
      <w:r w:rsidR="0080216E">
        <w:rPr>
          <w:rFonts w:ascii="Arial" w:hAnsi="Arial" w:cs="Arial"/>
          <w:sz w:val="24"/>
          <w:szCs w:val="24"/>
        </w:rPr>
        <w:t xml:space="preserve">over 30% of Chinese population suffer from chronic diseases and the percentage </w:t>
      </w:r>
      <w:r w:rsidR="001168F0">
        <w:rPr>
          <w:rFonts w:ascii="Arial" w:hAnsi="Arial" w:cs="Arial"/>
          <w:sz w:val="24"/>
          <w:szCs w:val="24"/>
        </w:rPr>
        <w:t>is growing rapidly</w:t>
      </w:r>
      <w:r w:rsidR="00395124">
        <w:rPr>
          <w:rFonts w:ascii="Arial" w:hAnsi="Arial" w:cs="Arial"/>
          <w:sz w:val="24"/>
          <w:szCs w:val="24"/>
        </w:rPr>
        <w:t xml:space="preserve"> in recent years. The ageing society in China also means that increasing customers are needing healthcare and pharmaceutical products and services</w:t>
      </w:r>
      <w:r w:rsidR="00D0529F">
        <w:rPr>
          <w:rFonts w:ascii="Arial" w:hAnsi="Arial" w:cs="Arial"/>
          <w:sz w:val="24"/>
          <w:szCs w:val="24"/>
        </w:rPr>
        <w:t xml:space="preserve"> </w:t>
      </w:r>
      <w:r w:rsidR="000768C5">
        <w:rPr>
          <w:rFonts w:ascii="Arial" w:hAnsi="Arial" w:cs="Arial"/>
          <w:sz w:val="24"/>
          <w:szCs w:val="24"/>
        </w:rPr>
        <w:fldChar w:fldCharType="begin" w:fldLock="1"/>
      </w:r>
      <w:r w:rsidR="00610496">
        <w:rPr>
          <w:rFonts w:ascii="Arial" w:hAnsi="Arial" w:cs="Arial"/>
          <w:sz w:val="24"/>
          <w:szCs w:val="24"/>
        </w:rPr>
        <w:instrText>ADDIN CSL_CITATION {"citationItems":[{"id":"ITEM-1","itemData":{"DOI":"10.1016/S0140-6736(17)33109-4","ISSN":"1474547X","PMID":"29231837","abstract":"China has made remarkable progress in strengthening its primary health-care system. Nevertheless, the system still faces challenges in structural characteristics, incentives and policies, and quality of care, all of which diminish its preparedness to care for a fifth of the world's population, which is ageing and which has a growing prevalence of chronic non-communicable disease. These challenges include inadequate education and qualifications of its workforce, ageing and turnover of village doctors, fragmented health information technology systems, a paucity of digital data on everyday clinical practice, financial subsidies and incentives that do not encourage cost savings and good performance, insurance policies that hamper the efficiency of care delivery, an insufficient quality measurement and improvement system, and poor performance in the control of risk factors (such as hypertension and diabetes). As China deepens its health-care reform, it has the opportunity to build an integrated, cooperative primary health-care system, generating knowledge from practice that can support improvements, and bolstered by evidence-based performance indicators and incentives.","author":[{"dropping-particle":"","family":"Li","given":"Xi","non-dropping-particle":"","parse-names":false,"suffix":""},{"dropping-particle":"","family":"Lu","given":"Jiapeng","non-dropping-particle":"","parse-names":false,"suffix":""},{"dropping-particle":"","family":"Hu","given":"Shuang","non-dropping-particle":"","parse-names":false,"suffix":""},{"dropping-particle":"","family":"Cheng","given":"K. K.","non-dropping-particle":"","parse-names":false,"suffix":""},{"dropping-particle":"","family":"Maeseneer","given":"Jan","non-dropping-particle":"De","parse-names":false,"suffix":""},{"dropping-particle":"","family":"Meng","given":"Qingyue","non-dropping-particle":"","parse-names":false,"suffix":""},{"dropping-particle":"","family":"Mossialos","given":"Elias","non-dropping-particle":"","parse-names":false,"suffix":""},{"dropping-particle":"","family":"Xu","given":"Dong Roman","non-dropping-particle":"","parse-names":false,"suffix":""},{"dropping-particle":"","family":"Yip","given":"Winnie","non-dropping-particle":"","parse-names":false,"suffix":""},{"dropping-particle":"","family":"Zhang","given":"Hongzhao","non-dropping-particle":"","parse-names":false,"suffix":""},{"dropping-particle":"","family":"Krumholz","given":"Harlan M.","non-dropping-particle":"","parse-names":false,"suffix":""},{"dropping-particle":"","family":"Jiang","given":"Lixin","non-dropping-particle":"","parse-names":false,"suffix":""},{"dropping-particle":"","family":"Hu","given":"Shengshou","non-dropping-particle":"","parse-names":false,"suffix":""}],"container-title":"The Lancet","id":"ITEM-1","issue":"10112","issued":{"date-parts":[["2017"]]},"page":"2584-2594","publisher":"Elsevier","title":"The primary health-care system in China","type":"article-journal","volume":"390"},"uris":["http://www.mendeley.com/documents/?uuid=dda80178-92da-4f51-bd4c-2e240585c5a3"]}],"mendeley":{"formattedCitation":"(Li &lt;i&gt;et al.&lt;/i&gt;, 2017)","plainTextFormattedCitation":"(Li et al., 2017)","previouslyFormattedCitation":"(Li &lt;i&gt;et al.&lt;/i&gt;, 2017)"},"properties":{"noteIndex":0},"schema":"https://github.com/citation-style-language/schema/raw/master/csl-citation.json"}</w:instrText>
      </w:r>
      <w:r w:rsidR="000768C5">
        <w:rPr>
          <w:rFonts w:ascii="Arial" w:hAnsi="Arial" w:cs="Arial"/>
          <w:sz w:val="24"/>
          <w:szCs w:val="24"/>
        </w:rPr>
        <w:fldChar w:fldCharType="separate"/>
      </w:r>
      <w:r w:rsidR="000768C5" w:rsidRPr="000768C5">
        <w:rPr>
          <w:rFonts w:ascii="Arial" w:hAnsi="Arial" w:cs="Arial"/>
          <w:noProof/>
          <w:sz w:val="24"/>
          <w:szCs w:val="24"/>
        </w:rPr>
        <w:t xml:space="preserve">(Li </w:t>
      </w:r>
      <w:r w:rsidR="000768C5" w:rsidRPr="000768C5">
        <w:rPr>
          <w:rFonts w:ascii="Arial" w:hAnsi="Arial" w:cs="Arial"/>
          <w:i/>
          <w:noProof/>
          <w:sz w:val="24"/>
          <w:szCs w:val="24"/>
        </w:rPr>
        <w:t>et al.</w:t>
      </w:r>
      <w:r w:rsidR="000768C5" w:rsidRPr="000768C5">
        <w:rPr>
          <w:rFonts w:ascii="Arial" w:hAnsi="Arial" w:cs="Arial"/>
          <w:noProof/>
          <w:sz w:val="24"/>
          <w:szCs w:val="24"/>
        </w:rPr>
        <w:t>, 2017)</w:t>
      </w:r>
      <w:r w:rsidR="000768C5">
        <w:rPr>
          <w:rFonts w:ascii="Arial" w:hAnsi="Arial" w:cs="Arial"/>
          <w:sz w:val="24"/>
          <w:szCs w:val="24"/>
        </w:rPr>
        <w:fldChar w:fldCharType="end"/>
      </w:r>
      <w:r w:rsidR="00395124">
        <w:rPr>
          <w:rFonts w:ascii="Arial" w:hAnsi="Arial" w:cs="Arial"/>
          <w:sz w:val="24"/>
          <w:szCs w:val="24"/>
        </w:rPr>
        <w:t xml:space="preserve">. </w:t>
      </w:r>
      <w:r w:rsidR="00C96F70">
        <w:rPr>
          <w:rFonts w:ascii="Arial" w:hAnsi="Arial" w:cs="Arial"/>
          <w:sz w:val="24"/>
          <w:szCs w:val="24"/>
        </w:rPr>
        <w:t xml:space="preserve">Chinese population over 60 years old is 13% in 2019 and is expected to increase to over 30% in 2030. </w:t>
      </w:r>
      <w:r w:rsidR="00644476">
        <w:rPr>
          <w:rFonts w:ascii="Arial" w:hAnsi="Arial" w:cs="Arial"/>
          <w:sz w:val="24"/>
          <w:szCs w:val="24"/>
        </w:rPr>
        <w:t>The above two factors also mean opportunity for pharmaceutical companies</w:t>
      </w:r>
      <w:r w:rsidR="000768C5">
        <w:rPr>
          <w:rFonts w:ascii="Arial" w:hAnsi="Arial" w:cs="Arial"/>
          <w:sz w:val="24"/>
          <w:szCs w:val="24"/>
        </w:rPr>
        <w:t xml:space="preserve"> </w:t>
      </w:r>
      <w:r w:rsidR="00610496">
        <w:rPr>
          <w:rFonts w:ascii="Arial" w:hAnsi="Arial" w:cs="Arial"/>
          <w:sz w:val="24"/>
          <w:szCs w:val="24"/>
        </w:rPr>
        <w:fldChar w:fldCharType="begin" w:fldLock="1"/>
      </w:r>
      <w:r w:rsidR="00EE32BD">
        <w:rPr>
          <w:rFonts w:ascii="Arial" w:hAnsi="Arial" w:cs="Arial"/>
          <w:sz w:val="24"/>
          <w:szCs w:val="24"/>
        </w:rPr>
        <w:instrText>ADDIN CSL_CITATION {"citationItems":[{"id":"ITEM-1","itemData":{"DOI":"10.1080/10971475.2019.1617957","ISSN":"15580954","abstract":"Toward the end of the previous century, the focus on economic growth and development has shifted from overpopulation as a burden of growth toward the issue of aging population. This is a global issue, but it is especially acute for China. First, for China, the aging population is not a mere natural economic consequence of increased wealth leading to declined fertility, it is the result of a deliberate policy: the one-child policy. Second, unlike its neighbors, China is poised to become old before it becomes rich. Finally, the sheer size of China makes many policies unfeasible in other countries and regions. This study explores the nature and causes of China’s aging population, the lackluster effects of the universal two-child policy, and the uniqueness of China’s aging. To combat the potential astronomical healthcare costs of the aging population, we propose an unorthodox Self-Motivated Health Maintenance healthcare philosophy. More important, we propose the establishment of a novel Elderly Residential and Social Community to provide quality care for the elderly and children, with cost control and community orientation as the goal.","author":[{"dropping-particle":"","family":"Hou","given":"Jack W.","non-dropping-particle":"","parse-names":false,"suffix":""}],"container-title":"Chinese Economy","id":"ITEM-1","issue":"6","issued":{"date-parts":[["2019"]]},"page":"505-526","publisher":"Taylor &amp; Francis","title":"Unorthodox Proposals for China’s Extreme Aging Population","type":"article-journal","volume":"52"},"uris":["http://www.mendeley.com/documents/?uuid=c8b5f74d-4dfd-48fd-95b6-4dba2ab25245"]}],"mendeley":{"formattedCitation":"(Hou, 2019)","plainTextFormattedCitation":"(Hou, 2019)","previouslyFormattedCitation":"(Hou, 2019)"},"properties":{"noteIndex":0},"schema":"https://github.com/citation-style-language/schema/raw/master/csl-citation.json"}</w:instrText>
      </w:r>
      <w:r w:rsidR="00610496">
        <w:rPr>
          <w:rFonts w:ascii="Arial" w:hAnsi="Arial" w:cs="Arial"/>
          <w:sz w:val="24"/>
          <w:szCs w:val="24"/>
        </w:rPr>
        <w:fldChar w:fldCharType="separate"/>
      </w:r>
      <w:r w:rsidR="00610496" w:rsidRPr="00610496">
        <w:rPr>
          <w:rFonts w:ascii="Arial" w:hAnsi="Arial" w:cs="Arial"/>
          <w:noProof/>
          <w:sz w:val="24"/>
          <w:szCs w:val="24"/>
        </w:rPr>
        <w:t>(Hou, 2019)</w:t>
      </w:r>
      <w:r w:rsidR="00610496">
        <w:rPr>
          <w:rFonts w:ascii="Arial" w:hAnsi="Arial" w:cs="Arial"/>
          <w:sz w:val="24"/>
          <w:szCs w:val="24"/>
        </w:rPr>
        <w:fldChar w:fldCharType="end"/>
      </w:r>
      <w:r w:rsidR="00644476">
        <w:rPr>
          <w:rFonts w:ascii="Arial" w:hAnsi="Arial" w:cs="Arial"/>
          <w:sz w:val="24"/>
          <w:szCs w:val="24"/>
        </w:rPr>
        <w:t xml:space="preserve">. </w:t>
      </w:r>
    </w:p>
    <w:p w14:paraId="5AB88C17" w14:textId="287DB616" w:rsidR="00644476" w:rsidRPr="00644476" w:rsidRDefault="00644476" w:rsidP="00644476">
      <w:pPr>
        <w:pStyle w:val="a7"/>
        <w:widowControl/>
        <w:numPr>
          <w:ilvl w:val="0"/>
          <w:numId w:val="4"/>
        </w:numPr>
        <w:spacing w:before="240" w:after="240" w:line="360" w:lineRule="auto"/>
        <w:ind w:left="357" w:hanging="357"/>
        <w:contextualSpacing w:val="0"/>
        <w:outlineLvl w:val="2"/>
        <w:rPr>
          <w:rFonts w:ascii="Arial" w:hAnsi="Arial" w:cs="Arial"/>
          <w:b/>
          <w:bCs/>
          <w:sz w:val="24"/>
          <w:szCs w:val="24"/>
        </w:rPr>
      </w:pPr>
      <w:bookmarkStart w:id="14" w:name="_Toc40423826"/>
      <w:bookmarkStart w:id="15" w:name="_Toc40423907"/>
      <w:r w:rsidRPr="00644476">
        <w:rPr>
          <w:rFonts w:ascii="Arial" w:hAnsi="Arial" w:cs="Arial"/>
          <w:b/>
          <w:bCs/>
          <w:sz w:val="24"/>
          <w:szCs w:val="24"/>
        </w:rPr>
        <w:t>Technological factors</w:t>
      </w:r>
      <w:bookmarkEnd w:id="14"/>
      <w:bookmarkEnd w:id="15"/>
      <w:r w:rsidRPr="00644476">
        <w:rPr>
          <w:rFonts w:ascii="Arial" w:hAnsi="Arial" w:cs="Arial"/>
          <w:b/>
          <w:bCs/>
          <w:sz w:val="24"/>
          <w:szCs w:val="24"/>
        </w:rPr>
        <w:t xml:space="preserve"> </w:t>
      </w:r>
    </w:p>
    <w:p w14:paraId="71DCA41C" w14:textId="62BA3F64" w:rsidR="002F6946" w:rsidRDefault="00644476" w:rsidP="00744782">
      <w:pPr>
        <w:widowControl/>
        <w:spacing w:before="240" w:after="240" w:line="360" w:lineRule="auto"/>
        <w:rPr>
          <w:rFonts w:ascii="Arial" w:hAnsi="Arial" w:cs="Arial"/>
          <w:sz w:val="24"/>
          <w:szCs w:val="24"/>
        </w:rPr>
      </w:pPr>
      <w:r>
        <w:rPr>
          <w:rFonts w:ascii="Arial" w:hAnsi="Arial" w:cs="Arial"/>
          <w:sz w:val="24"/>
          <w:szCs w:val="24"/>
        </w:rPr>
        <w:t xml:space="preserve">Primary technological factors include the </w:t>
      </w:r>
      <w:r w:rsidR="002666B5">
        <w:rPr>
          <w:rFonts w:ascii="Arial" w:hAnsi="Arial" w:cs="Arial"/>
          <w:sz w:val="24"/>
          <w:szCs w:val="24"/>
        </w:rPr>
        <w:t xml:space="preserve">maturing of mobile technology-enable medical services and products, the maturing of data technologies such as Artificial Intelligence </w:t>
      </w:r>
      <w:r w:rsidR="00D74DA1">
        <w:rPr>
          <w:rFonts w:ascii="Arial" w:hAnsi="Arial" w:cs="Arial"/>
          <w:sz w:val="24"/>
          <w:szCs w:val="24"/>
        </w:rPr>
        <w:t xml:space="preserve">(AI) </w:t>
      </w:r>
      <w:r w:rsidR="002666B5">
        <w:rPr>
          <w:rFonts w:ascii="Arial" w:hAnsi="Arial" w:cs="Arial"/>
          <w:sz w:val="24"/>
          <w:szCs w:val="24"/>
        </w:rPr>
        <w:t xml:space="preserve">for drug designing and screening. </w:t>
      </w:r>
      <w:r w:rsidR="002F6946">
        <w:rPr>
          <w:rFonts w:ascii="Arial" w:hAnsi="Arial" w:cs="Arial"/>
          <w:sz w:val="24"/>
          <w:szCs w:val="24"/>
        </w:rPr>
        <w:t xml:space="preserve">The increasing </w:t>
      </w:r>
      <w:r w:rsidR="004B5D0A">
        <w:rPr>
          <w:rFonts w:ascii="Arial" w:hAnsi="Arial" w:cs="Arial"/>
          <w:sz w:val="24"/>
          <w:szCs w:val="24"/>
        </w:rPr>
        <w:t xml:space="preserve">penetration of the smartphone is impacting the pharmaceutical industry. </w:t>
      </w:r>
      <w:r w:rsidR="005C649E">
        <w:rPr>
          <w:rFonts w:ascii="Arial" w:hAnsi="Arial" w:cs="Arial"/>
          <w:sz w:val="24"/>
          <w:szCs w:val="24"/>
        </w:rPr>
        <w:t xml:space="preserve">With the </w:t>
      </w:r>
      <w:r w:rsidR="001328B1">
        <w:rPr>
          <w:rFonts w:ascii="Arial" w:hAnsi="Arial" w:cs="Arial"/>
          <w:sz w:val="24"/>
          <w:szCs w:val="24"/>
        </w:rPr>
        <w:t>smartphone, the MedTech is emerging</w:t>
      </w:r>
      <w:r w:rsidR="00610496">
        <w:rPr>
          <w:rFonts w:ascii="Arial" w:hAnsi="Arial" w:cs="Arial"/>
          <w:sz w:val="24"/>
          <w:szCs w:val="24"/>
        </w:rPr>
        <w:t xml:space="preserve"> </w:t>
      </w:r>
      <w:r w:rsidR="00EE32BD">
        <w:rPr>
          <w:rFonts w:ascii="Arial" w:hAnsi="Arial" w:cs="Arial"/>
          <w:sz w:val="24"/>
          <w:szCs w:val="24"/>
        </w:rPr>
        <w:fldChar w:fldCharType="begin" w:fldLock="1"/>
      </w:r>
      <w:r w:rsidR="00EE4026">
        <w:rPr>
          <w:rFonts w:ascii="Arial" w:hAnsi="Arial" w:cs="Arial"/>
          <w:sz w:val="24"/>
          <w:szCs w:val="24"/>
        </w:rPr>
        <w:instrText>ADDIN CSL_CITATION {"citationItems":[{"id":"ITEM-1","itemData":{"author":[{"dropping-particle":"","family":"Torsekar","given":"Mihir P","non-dropping-particle":"","parse-names":false,"suffix":""}],"container-title":"J. Int'l Com. &amp; Econ.","id":"ITEM-1","issue":"March","issued":{"date-parts":[["2018"]]},"page":"1-13","publisher":"HeinOnline","title":"China Climbs the Global Value Chain for Medical Devices","type":"article-journal"},"uris":["http://www.mendeley.com/documents/?uuid=8c25cdc9-b944-46eb-bfb6-5f7d48588be5"]}],"mendeley":{"formattedCitation":"(Torsekar, 2018)","plainTextFormattedCitation":"(Torsekar, 2018)","previouslyFormattedCitation":"(Torsekar, 2018)"},"properties":{"noteIndex":0},"schema":"https://github.com/citation-style-language/schema/raw/master/csl-citation.json"}</w:instrText>
      </w:r>
      <w:r w:rsidR="00EE32BD">
        <w:rPr>
          <w:rFonts w:ascii="Arial" w:hAnsi="Arial" w:cs="Arial"/>
          <w:sz w:val="24"/>
          <w:szCs w:val="24"/>
        </w:rPr>
        <w:fldChar w:fldCharType="separate"/>
      </w:r>
      <w:r w:rsidR="00EE32BD" w:rsidRPr="00EE32BD">
        <w:rPr>
          <w:rFonts w:ascii="Arial" w:hAnsi="Arial" w:cs="Arial"/>
          <w:noProof/>
          <w:sz w:val="24"/>
          <w:szCs w:val="24"/>
        </w:rPr>
        <w:t>(Torsekar, 2018)</w:t>
      </w:r>
      <w:r w:rsidR="00EE32BD">
        <w:rPr>
          <w:rFonts w:ascii="Arial" w:hAnsi="Arial" w:cs="Arial"/>
          <w:sz w:val="24"/>
          <w:szCs w:val="24"/>
        </w:rPr>
        <w:fldChar w:fldCharType="end"/>
      </w:r>
      <w:r w:rsidR="001328B1">
        <w:rPr>
          <w:rFonts w:ascii="Arial" w:hAnsi="Arial" w:cs="Arial"/>
          <w:sz w:val="24"/>
          <w:szCs w:val="24"/>
        </w:rPr>
        <w:t xml:space="preserve">. MedTech means the smart devices and </w:t>
      </w:r>
      <w:r w:rsidR="00416642">
        <w:rPr>
          <w:rFonts w:ascii="Arial" w:hAnsi="Arial" w:cs="Arial"/>
          <w:sz w:val="24"/>
          <w:szCs w:val="24"/>
        </w:rPr>
        <w:t>equipment</w:t>
      </w:r>
      <w:r w:rsidR="001328B1">
        <w:rPr>
          <w:rFonts w:ascii="Arial" w:hAnsi="Arial" w:cs="Arial"/>
          <w:sz w:val="24"/>
          <w:szCs w:val="24"/>
        </w:rPr>
        <w:t xml:space="preserve"> used in the healthcare industry such as the </w:t>
      </w:r>
      <w:r w:rsidR="00416642">
        <w:rPr>
          <w:rFonts w:ascii="Arial" w:hAnsi="Arial" w:cs="Arial"/>
          <w:sz w:val="24"/>
          <w:szCs w:val="24"/>
        </w:rPr>
        <w:t xml:space="preserve">mobile monitoring of blood pressure and blood sugar level. </w:t>
      </w:r>
      <w:r w:rsidR="00E63404">
        <w:rPr>
          <w:rFonts w:ascii="Arial" w:hAnsi="Arial" w:cs="Arial"/>
          <w:sz w:val="24"/>
          <w:szCs w:val="24"/>
        </w:rPr>
        <w:t>From 2001 to 2018</w:t>
      </w:r>
      <w:r w:rsidR="00046C68">
        <w:rPr>
          <w:rFonts w:ascii="Arial" w:hAnsi="Arial" w:cs="Arial"/>
          <w:sz w:val="24"/>
          <w:szCs w:val="24"/>
        </w:rPr>
        <w:t xml:space="preserve">, the Chinese MedTech market </w:t>
      </w:r>
      <w:r w:rsidR="00367032">
        <w:rPr>
          <w:rFonts w:ascii="Arial" w:hAnsi="Arial" w:cs="Arial"/>
          <w:sz w:val="24"/>
          <w:szCs w:val="24"/>
        </w:rPr>
        <w:t xml:space="preserve">size </w:t>
      </w:r>
      <w:r w:rsidR="00046C68">
        <w:rPr>
          <w:rFonts w:ascii="Arial" w:hAnsi="Arial" w:cs="Arial"/>
          <w:sz w:val="24"/>
          <w:szCs w:val="24"/>
        </w:rPr>
        <w:t>has grown by 25 times</w:t>
      </w:r>
      <w:r w:rsidR="00EE32BD">
        <w:rPr>
          <w:rFonts w:ascii="Arial" w:hAnsi="Arial" w:cs="Arial"/>
          <w:sz w:val="24"/>
          <w:szCs w:val="24"/>
        </w:rPr>
        <w:t xml:space="preserve"> </w:t>
      </w:r>
      <w:r w:rsidR="00EE4026">
        <w:rPr>
          <w:rFonts w:ascii="Arial" w:hAnsi="Arial" w:cs="Arial"/>
          <w:sz w:val="24"/>
          <w:szCs w:val="24"/>
        </w:rPr>
        <w:fldChar w:fldCharType="begin" w:fldLock="1"/>
      </w:r>
      <w:r w:rsidR="00DD32D2">
        <w:rPr>
          <w:rFonts w:ascii="Arial" w:hAnsi="Arial" w:cs="Arial"/>
          <w:sz w:val="24"/>
          <w:szCs w:val="24"/>
        </w:rPr>
        <w:instrText>ADDIN CSL_CITATION {"citationItems":[{"id":"ITEM-1","itemData":{"URL":"https://www.statista.com/statistics/725975/china-medical-device-market-size/","accessed":{"date-parts":[["2020","5","15"]]},"author":[{"dropping-particle":"","family":"Statista","given":"","non-dropping-particle":"","parse-names":false,"suffix":""}],"id":"ITEM-1","issued":{"date-parts":[["2020"]]},"title":"China: medical device market size 2019 ","type":"webpage"},"uris":["http://www.mendeley.com/documents/?uuid=37ce6d3a-a145-3f18-8ddc-e4cf3d35d3fb"]}],"mendeley":{"formattedCitation":"(Statista, 2020)","plainTextFormattedCitation":"(Statista, 2020)","previouslyFormattedCitation":"(Statista, 2020)"},"properties":{"noteIndex":0},"schema":"https://github.com/citation-style-language/schema/raw/master/csl-citation.json"}</w:instrText>
      </w:r>
      <w:r w:rsidR="00EE4026">
        <w:rPr>
          <w:rFonts w:ascii="Arial" w:hAnsi="Arial" w:cs="Arial"/>
          <w:sz w:val="24"/>
          <w:szCs w:val="24"/>
        </w:rPr>
        <w:fldChar w:fldCharType="separate"/>
      </w:r>
      <w:r w:rsidR="00EE4026" w:rsidRPr="00EE4026">
        <w:rPr>
          <w:rFonts w:ascii="Arial" w:hAnsi="Arial" w:cs="Arial"/>
          <w:noProof/>
          <w:sz w:val="24"/>
          <w:szCs w:val="24"/>
        </w:rPr>
        <w:t>(Statista, 2020)</w:t>
      </w:r>
      <w:r w:rsidR="00EE4026">
        <w:rPr>
          <w:rFonts w:ascii="Arial" w:hAnsi="Arial" w:cs="Arial"/>
          <w:sz w:val="24"/>
          <w:szCs w:val="24"/>
        </w:rPr>
        <w:fldChar w:fldCharType="end"/>
      </w:r>
      <w:r w:rsidR="00367032">
        <w:rPr>
          <w:rFonts w:ascii="Arial" w:hAnsi="Arial" w:cs="Arial"/>
          <w:sz w:val="24"/>
          <w:szCs w:val="24"/>
        </w:rPr>
        <w:t xml:space="preserve">. </w:t>
      </w:r>
    </w:p>
    <w:p w14:paraId="309298B7" w14:textId="2C2878FB" w:rsidR="00D74DA1" w:rsidRDefault="00D74DA1" w:rsidP="00744782">
      <w:pPr>
        <w:widowControl/>
        <w:spacing w:before="240" w:after="240" w:line="360" w:lineRule="auto"/>
        <w:rPr>
          <w:rFonts w:ascii="Arial" w:hAnsi="Arial" w:cs="Arial"/>
          <w:sz w:val="24"/>
          <w:szCs w:val="24"/>
        </w:rPr>
      </w:pPr>
      <w:r>
        <w:rPr>
          <w:rFonts w:ascii="Arial" w:hAnsi="Arial" w:cs="Arial"/>
          <w:sz w:val="24"/>
          <w:szCs w:val="24"/>
        </w:rPr>
        <w:t xml:space="preserve">The maturing of the AI and other </w:t>
      </w:r>
      <w:r w:rsidR="00120ED5">
        <w:rPr>
          <w:rFonts w:ascii="Arial" w:hAnsi="Arial" w:cs="Arial"/>
          <w:sz w:val="24"/>
          <w:szCs w:val="24"/>
        </w:rPr>
        <w:t>computing</w:t>
      </w:r>
      <w:r>
        <w:rPr>
          <w:rFonts w:ascii="Arial" w:hAnsi="Arial" w:cs="Arial"/>
          <w:sz w:val="24"/>
          <w:szCs w:val="24"/>
        </w:rPr>
        <w:t xml:space="preserve"> technologies such as cloud </w:t>
      </w:r>
      <w:r w:rsidR="00120ED5">
        <w:rPr>
          <w:rFonts w:ascii="Arial" w:hAnsi="Arial" w:cs="Arial"/>
          <w:sz w:val="24"/>
          <w:szCs w:val="24"/>
        </w:rPr>
        <w:t>computing</w:t>
      </w:r>
      <w:r>
        <w:rPr>
          <w:rFonts w:ascii="Arial" w:hAnsi="Arial" w:cs="Arial"/>
          <w:sz w:val="24"/>
          <w:szCs w:val="24"/>
        </w:rPr>
        <w:t xml:space="preserve">, quantum </w:t>
      </w:r>
      <w:r w:rsidR="00120ED5">
        <w:rPr>
          <w:rFonts w:ascii="Arial" w:hAnsi="Arial" w:cs="Arial"/>
          <w:sz w:val="24"/>
          <w:szCs w:val="24"/>
        </w:rPr>
        <w:t>computing</w:t>
      </w:r>
      <w:r>
        <w:rPr>
          <w:rFonts w:ascii="Arial" w:hAnsi="Arial" w:cs="Arial"/>
          <w:sz w:val="24"/>
          <w:szCs w:val="24"/>
        </w:rPr>
        <w:t xml:space="preserve"> </w:t>
      </w:r>
      <w:r w:rsidR="00764087">
        <w:rPr>
          <w:rFonts w:ascii="Arial" w:hAnsi="Arial" w:cs="Arial"/>
          <w:sz w:val="24"/>
          <w:szCs w:val="24"/>
        </w:rPr>
        <w:t>is</w:t>
      </w:r>
      <w:r>
        <w:rPr>
          <w:rFonts w:ascii="Arial" w:hAnsi="Arial" w:cs="Arial"/>
          <w:sz w:val="24"/>
          <w:szCs w:val="24"/>
        </w:rPr>
        <w:t xml:space="preserve"> </w:t>
      </w:r>
      <w:r w:rsidR="00120ED5">
        <w:rPr>
          <w:rFonts w:ascii="Arial" w:hAnsi="Arial" w:cs="Arial"/>
          <w:sz w:val="24"/>
          <w:szCs w:val="24"/>
        </w:rPr>
        <w:t>putting</w:t>
      </w:r>
      <w:r>
        <w:rPr>
          <w:rFonts w:ascii="Arial" w:hAnsi="Arial" w:cs="Arial"/>
          <w:sz w:val="24"/>
          <w:szCs w:val="24"/>
        </w:rPr>
        <w:t xml:space="preserve"> the drug design and screening, which used to be the most </w:t>
      </w:r>
      <w:r w:rsidR="00120ED5">
        <w:rPr>
          <w:rFonts w:ascii="Arial" w:hAnsi="Arial" w:cs="Arial"/>
          <w:sz w:val="24"/>
          <w:szCs w:val="24"/>
        </w:rPr>
        <w:t>expensive</w:t>
      </w:r>
      <w:r>
        <w:rPr>
          <w:rFonts w:ascii="Arial" w:hAnsi="Arial" w:cs="Arial"/>
          <w:sz w:val="24"/>
          <w:szCs w:val="24"/>
        </w:rPr>
        <w:t xml:space="preserve"> </w:t>
      </w:r>
      <w:r w:rsidR="00120ED5">
        <w:rPr>
          <w:rFonts w:ascii="Arial" w:hAnsi="Arial" w:cs="Arial"/>
          <w:sz w:val="24"/>
          <w:szCs w:val="24"/>
        </w:rPr>
        <w:t xml:space="preserve">and time-consuming </w:t>
      </w:r>
      <w:r>
        <w:rPr>
          <w:rFonts w:ascii="Arial" w:hAnsi="Arial" w:cs="Arial"/>
          <w:sz w:val="24"/>
          <w:szCs w:val="24"/>
        </w:rPr>
        <w:t xml:space="preserve">process in drug development, onto a fast lane of development. According to the analysis by </w:t>
      </w:r>
      <w:r w:rsidR="00120ED5" w:rsidRPr="00120ED5">
        <w:rPr>
          <w:rFonts w:ascii="Arial" w:hAnsi="Arial" w:cs="Arial"/>
          <w:noProof/>
          <w:sz w:val="24"/>
          <w:szCs w:val="24"/>
        </w:rPr>
        <w:t xml:space="preserve">Schneider </w:t>
      </w:r>
      <w:r w:rsidR="00120ED5" w:rsidRPr="00120ED5">
        <w:rPr>
          <w:rFonts w:ascii="Arial" w:hAnsi="Arial" w:cs="Arial"/>
          <w:i/>
          <w:noProof/>
          <w:sz w:val="24"/>
          <w:szCs w:val="24"/>
        </w:rPr>
        <w:t>et al.</w:t>
      </w:r>
      <w:r w:rsidR="00120ED5">
        <w:rPr>
          <w:rFonts w:ascii="Arial" w:hAnsi="Arial" w:cs="Arial"/>
          <w:sz w:val="24"/>
          <w:szCs w:val="24"/>
        </w:rPr>
        <w:fldChar w:fldCharType="begin" w:fldLock="1"/>
      </w:r>
      <w:r w:rsidR="000A69A8">
        <w:rPr>
          <w:rFonts w:ascii="Arial" w:hAnsi="Arial" w:cs="Arial"/>
          <w:sz w:val="24"/>
          <w:szCs w:val="24"/>
        </w:rPr>
        <w:instrText>ADDIN CSL_CITATION {"citationItems":[{"id":"ITEM-1","itemData":{"DOI":"10.1038/s41573-019-0050-3","ISSN":"14741784","abstract":"Artificial intelligence (AI) tools are increasingly being applied in drug discovery. While some protagonists point to vast opportunities potentially offered by such tools, others remain sceptical, waiting for a clear impact to be shown in drug discovery projects. The reality is probably somewhere in-between these extremes, yet it is clear that AI is providing new challenges not only for the scientists involved but also for the biopharma industry and its established processes for discovering and developing new medicines. This article presents the views of a diverse group of international experts on the ‘grand challenges’ in small-molecule drug discovery with AI and the approaches to address them.","author":[{"dropping-particle":"","family":"Schneider","given":"Petra","non-dropping-particle":"","parse-names":false,"suffix":""},{"dropping-particle":"","family":"Walters","given":"W. Patrick","non-dropping-particle":"","parse-names":false,"suffix":""},{"dropping-particle":"","family":"Plowright","given":"Alleyn T.","non-dropping-particle":"","parse-names":false,"suffix":""},{"dropping-particle":"","family":"Sieroka","given":"Norman","non-dropping-particle":"","parse-names":false,"suffix":""},{"dropping-particle":"","family":"Listgarten","given":"Jennifer","non-dropping-particle":"","parse-names":false,"suffix":""},{"dropping-particle":"","family":"Goodnow","given":"Robert A.","non-dropping-particle":"","parse-names":false,"suffix":""},{"dropping-particle":"","family":"Fisher","given":"Jasmin","non-dropping-particle":"","parse-names":false,"suffix":""},{"dropping-particle":"","family":"Jansen","given":"Johanna M.","non-dropping-particle":"","parse-names":false,"suffix":""},{"dropping-particle":"","family":"Duca","given":"José S.","non-dropping-particle":"","parse-names":false,"suffix":""},{"dropping-particle":"","family":"Rush","given":"Thomas S.","non-dropping-particle":"","parse-names":false,"suffix":""},{"dropping-particle":"","family":"Zentgraf","given":"Matthias","non-dropping-particle":"","parse-names":false,"suffix":""},{"dropping-particle":"","family":"Hill","given":"John Edward","non-dropping-particle":"","parse-names":false,"suffix":""},{"dropping-particle":"","family":"Krutoholow","given":"Elizabeth","non-dropping-particle":"","parse-names":false,"suffix":""},{"dropping-particle":"","family":"Kohler","given":"Matthias","non-dropping-particle":"","parse-names":false,"suffix":""},{"dropping-particle":"","family":"Blaney","given":"Jeff","non-dropping-particle":"","parse-names":false,"suffix":""},{"dropping-particle":"","family":"Funatsu","given":"Kimito","non-dropping-particle":"","parse-names":false,"suffix":""},{"dropping-particle":"","family":"Luebkemann","given":"Chris","non-dropping-particle":"","parse-names":false,"suffix":""},{"dropping-particle":"","family":"Schneider","given":"Gisbert","non-dropping-particle":"","parse-names":false,"suffix":""}],"container-title":"Nature Reviews Drug Discovery","id":"ITEM-1","issued":{"date-parts":[["2019"]]},"publisher":"Nature Research","title":"Rethinking drug design in the artificial intelligence era","type":"article-journal"},"uris":["http://www.mendeley.com/documents/?uuid=2bf7a24e-8f5a-4a47-863a-16ac01a73260"]}],"mendeley":{"formattedCitation":"(Schneider &lt;i&gt;et al.&lt;/i&gt;, 2019)","manualFormatting":"(2019)","plainTextFormattedCitation":"(Schneider et al., 2019)","previouslyFormattedCitation":"(Schneider &lt;i&gt;et al.&lt;/i&gt;, 2019)"},"properties":{"noteIndex":0},"schema":"https://github.com/citation-style-language/schema/raw/master/csl-citation.json"}</w:instrText>
      </w:r>
      <w:r w:rsidR="00120ED5">
        <w:rPr>
          <w:rFonts w:ascii="Arial" w:hAnsi="Arial" w:cs="Arial"/>
          <w:sz w:val="24"/>
          <w:szCs w:val="24"/>
        </w:rPr>
        <w:fldChar w:fldCharType="separate"/>
      </w:r>
      <w:r w:rsidR="00120ED5" w:rsidRPr="00120ED5">
        <w:rPr>
          <w:rFonts w:ascii="Arial" w:hAnsi="Arial" w:cs="Arial"/>
          <w:noProof/>
          <w:sz w:val="24"/>
          <w:szCs w:val="24"/>
        </w:rPr>
        <w:t>(2019)</w:t>
      </w:r>
      <w:r w:rsidR="00120ED5">
        <w:rPr>
          <w:rFonts w:ascii="Arial" w:hAnsi="Arial" w:cs="Arial"/>
          <w:sz w:val="24"/>
          <w:szCs w:val="24"/>
        </w:rPr>
        <w:fldChar w:fldCharType="end"/>
      </w:r>
      <w:r w:rsidR="00120ED5">
        <w:rPr>
          <w:rFonts w:ascii="Arial" w:hAnsi="Arial" w:cs="Arial"/>
          <w:sz w:val="24"/>
          <w:szCs w:val="24"/>
        </w:rPr>
        <w:t xml:space="preserve">, the </w:t>
      </w:r>
      <w:r w:rsidR="00764087">
        <w:rPr>
          <w:rFonts w:ascii="Arial" w:hAnsi="Arial" w:cs="Arial"/>
          <w:sz w:val="24"/>
          <w:szCs w:val="24"/>
        </w:rPr>
        <w:t>adoption</w:t>
      </w:r>
      <w:r w:rsidR="00120ED5">
        <w:rPr>
          <w:rFonts w:ascii="Arial" w:hAnsi="Arial" w:cs="Arial"/>
          <w:sz w:val="24"/>
          <w:szCs w:val="24"/>
        </w:rPr>
        <w:t xml:space="preserve"> of such technologies can </w:t>
      </w:r>
      <w:r w:rsidR="00764087">
        <w:rPr>
          <w:rFonts w:ascii="Arial" w:hAnsi="Arial" w:cs="Arial"/>
          <w:sz w:val="24"/>
          <w:szCs w:val="24"/>
        </w:rPr>
        <w:t>potentially</w:t>
      </w:r>
      <w:r w:rsidR="00120ED5">
        <w:rPr>
          <w:rFonts w:ascii="Arial" w:hAnsi="Arial" w:cs="Arial"/>
          <w:sz w:val="24"/>
          <w:szCs w:val="24"/>
        </w:rPr>
        <w:t xml:space="preserve"> reduce the cost of </w:t>
      </w:r>
      <w:r w:rsidR="00764087">
        <w:rPr>
          <w:rFonts w:ascii="Arial" w:hAnsi="Arial" w:cs="Arial"/>
          <w:sz w:val="24"/>
          <w:szCs w:val="24"/>
        </w:rPr>
        <w:t xml:space="preserve">drug development by 20%. The above </w:t>
      </w:r>
      <w:r w:rsidR="00764087">
        <w:rPr>
          <w:rFonts w:ascii="Arial" w:hAnsi="Arial" w:cs="Arial"/>
          <w:sz w:val="24"/>
          <w:szCs w:val="24"/>
        </w:rPr>
        <w:lastRenderedPageBreak/>
        <w:t xml:space="preserve">factors can foster opportunities for pharmaceutical companies with cutting edge technologies in these fields. </w:t>
      </w:r>
    </w:p>
    <w:p w14:paraId="6A596F51" w14:textId="47918228" w:rsidR="00BC046F" w:rsidRPr="000871F1" w:rsidRDefault="00BC046F" w:rsidP="00BC046F">
      <w:pPr>
        <w:pStyle w:val="a7"/>
        <w:widowControl/>
        <w:numPr>
          <w:ilvl w:val="1"/>
          <w:numId w:val="1"/>
        </w:numPr>
        <w:spacing w:before="240" w:after="240" w:line="360" w:lineRule="auto"/>
        <w:contextualSpacing w:val="0"/>
        <w:outlineLvl w:val="1"/>
        <w:rPr>
          <w:rFonts w:ascii="Arial" w:hAnsi="Arial" w:cs="Arial"/>
          <w:b/>
          <w:bCs/>
          <w:sz w:val="24"/>
          <w:szCs w:val="24"/>
        </w:rPr>
      </w:pPr>
      <w:bookmarkStart w:id="16" w:name="_Toc40423908"/>
      <w:r w:rsidRPr="000871F1">
        <w:rPr>
          <w:rFonts w:ascii="Arial" w:hAnsi="Arial" w:cs="Arial"/>
          <w:b/>
          <w:bCs/>
          <w:sz w:val="24"/>
          <w:szCs w:val="24"/>
        </w:rPr>
        <w:t>M</w:t>
      </w:r>
      <w:r>
        <w:rPr>
          <w:rFonts w:ascii="Arial" w:hAnsi="Arial" w:cs="Arial"/>
          <w:b/>
          <w:bCs/>
          <w:sz w:val="24"/>
          <w:szCs w:val="24"/>
        </w:rPr>
        <w:t>i</w:t>
      </w:r>
      <w:r w:rsidRPr="000871F1">
        <w:rPr>
          <w:rFonts w:ascii="Arial" w:hAnsi="Arial" w:cs="Arial"/>
          <w:b/>
          <w:bCs/>
          <w:sz w:val="24"/>
          <w:szCs w:val="24"/>
        </w:rPr>
        <w:t xml:space="preserve">cro business environmental analysis </w:t>
      </w:r>
      <w:r>
        <w:rPr>
          <w:rFonts w:ascii="Arial" w:hAnsi="Arial" w:cs="Arial"/>
          <w:b/>
          <w:bCs/>
          <w:sz w:val="24"/>
          <w:szCs w:val="24"/>
        </w:rPr>
        <w:t>–</w:t>
      </w:r>
      <w:r w:rsidRPr="000871F1">
        <w:rPr>
          <w:rFonts w:ascii="Arial" w:hAnsi="Arial" w:cs="Arial"/>
          <w:b/>
          <w:bCs/>
          <w:sz w:val="24"/>
          <w:szCs w:val="24"/>
        </w:rPr>
        <w:t xml:space="preserve"> P</w:t>
      </w:r>
      <w:r>
        <w:rPr>
          <w:rFonts w:ascii="Arial" w:hAnsi="Arial" w:cs="Arial"/>
          <w:b/>
          <w:bCs/>
          <w:sz w:val="24"/>
          <w:szCs w:val="24"/>
        </w:rPr>
        <w:t>orter’s Five Forces</w:t>
      </w:r>
      <w:bookmarkEnd w:id="16"/>
      <w:r>
        <w:rPr>
          <w:rFonts w:ascii="Arial" w:hAnsi="Arial" w:cs="Arial"/>
          <w:b/>
          <w:bCs/>
          <w:sz w:val="24"/>
          <w:szCs w:val="24"/>
        </w:rPr>
        <w:t xml:space="preserve"> </w:t>
      </w:r>
    </w:p>
    <w:p w14:paraId="162458B2" w14:textId="6A8FC930" w:rsidR="00BC046F" w:rsidRPr="0089381B" w:rsidRDefault="0089381B" w:rsidP="0089381B">
      <w:pPr>
        <w:pStyle w:val="a7"/>
        <w:widowControl/>
        <w:numPr>
          <w:ilvl w:val="0"/>
          <w:numId w:val="4"/>
        </w:numPr>
        <w:spacing w:before="240" w:after="240" w:line="360" w:lineRule="auto"/>
        <w:ind w:left="357" w:hanging="357"/>
        <w:contextualSpacing w:val="0"/>
        <w:outlineLvl w:val="2"/>
        <w:rPr>
          <w:rFonts w:ascii="Arial" w:hAnsi="Arial" w:cs="Arial"/>
          <w:b/>
          <w:bCs/>
          <w:sz w:val="24"/>
          <w:szCs w:val="24"/>
        </w:rPr>
      </w:pPr>
      <w:bookmarkStart w:id="17" w:name="_Toc40423828"/>
      <w:bookmarkStart w:id="18" w:name="_Toc40423909"/>
      <w:r w:rsidRPr="0089381B">
        <w:rPr>
          <w:rFonts w:ascii="Arial" w:hAnsi="Arial" w:cs="Arial"/>
          <w:b/>
          <w:bCs/>
          <w:sz w:val="24"/>
          <w:szCs w:val="24"/>
        </w:rPr>
        <w:t>Buyer’s power</w:t>
      </w:r>
      <w:bookmarkEnd w:id="17"/>
      <w:bookmarkEnd w:id="18"/>
      <w:r w:rsidRPr="0089381B">
        <w:rPr>
          <w:rFonts w:ascii="Arial" w:hAnsi="Arial" w:cs="Arial"/>
          <w:b/>
          <w:bCs/>
          <w:sz w:val="24"/>
          <w:szCs w:val="24"/>
        </w:rPr>
        <w:t xml:space="preserve"> </w:t>
      </w:r>
    </w:p>
    <w:p w14:paraId="2926185F" w14:textId="15FE64D4" w:rsidR="0089381B" w:rsidRDefault="00BD6D86" w:rsidP="00744782">
      <w:pPr>
        <w:widowControl/>
        <w:spacing w:before="240" w:after="240" w:line="360" w:lineRule="auto"/>
        <w:rPr>
          <w:rFonts w:ascii="Arial" w:hAnsi="Arial" w:cs="Arial"/>
          <w:sz w:val="24"/>
          <w:szCs w:val="24"/>
        </w:rPr>
      </w:pPr>
      <w:r>
        <w:rPr>
          <w:rFonts w:ascii="Arial" w:hAnsi="Arial" w:cs="Arial"/>
          <w:sz w:val="24"/>
          <w:szCs w:val="24"/>
        </w:rPr>
        <w:t xml:space="preserve">The buyer’s power </w:t>
      </w:r>
      <w:r w:rsidR="000915C7">
        <w:rPr>
          <w:rFonts w:ascii="Arial" w:hAnsi="Arial" w:cs="Arial"/>
          <w:sz w:val="24"/>
          <w:szCs w:val="24"/>
        </w:rPr>
        <w:t xml:space="preserve">is moderate but being strengthened </w:t>
      </w:r>
      <w:r w:rsidR="00CC0825">
        <w:rPr>
          <w:rFonts w:ascii="Arial" w:hAnsi="Arial" w:cs="Arial"/>
          <w:sz w:val="24"/>
          <w:szCs w:val="24"/>
        </w:rPr>
        <w:t>rapidly</w:t>
      </w:r>
      <w:r w:rsidR="000915C7">
        <w:rPr>
          <w:rFonts w:ascii="Arial" w:hAnsi="Arial" w:cs="Arial"/>
          <w:sz w:val="24"/>
          <w:szCs w:val="24"/>
        </w:rPr>
        <w:t xml:space="preserve">. The limited buyer’s power comes from the fact that </w:t>
      </w:r>
      <w:r w:rsidR="00CC74B1">
        <w:rPr>
          <w:rFonts w:ascii="Arial" w:hAnsi="Arial" w:cs="Arial"/>
          <w:sz w:val="24"/>
          <w:szCs w:val="24"/>
        </w:rPr>
        <w:t>Chinese companies have limited capacity in developing new drugs in terms of anti-diabetic treatments</w:t>
      </w:r>
      <w:r w:rsidR="00DD32D2">
        <w:rPr>
          <w:rFonts w:ascii="Arial" w:hAnsi="Arial" w:cs="Arial"/>
          <w:sz w:val="24"/>
          <w:szCs w:val="24"/>
        </w:rPr>
        <w:t xml:space="preserve"> </w:t>
      </w:r>
      <w:r w:rsidR="00DD32D2">
        <w:rPr>
          <w:rFonts w:ascii="Arial" w:hAnsi="Arial" w:cs="Arial"/>
          <w:sz w:val="24"/>
          <w:szCs w:val="24"/>
        </w:rPr>
        <w:fldChar w:fldCharType="begin" w:fldLock="1"/>
      </w:r>
      <w:r w:rsidR="00697FB5">
        <w:rPr>
          <w:rFonts w:ascii="Arial" w:hAnsi="Arial" w:cs="Arial"/>
          <w:sz w:val="24"/>
          <w:szCs w:val="24"/>
        </w:rPr>
        <w:instrText>ADDIN CSL_CITATION {"citationItems":[{"id":"ITEM-1","itemData":{"DOI":"10.1186/s12992-017-0244-6","ISSN":"17448603","abstract":"Background: Global healthcare innovation networks nowadays have expanded beyond developed countries with many developing countries joining the force and becoming important players. China, in particular, has seen a significant increase in the number of innovative firms and research organizations stepping up to the global network in recent years. Nevertheless, the intense Research and Development input has not brought about the expectable output. While China is ascending at a great speed to a leading position worldwide in terms of Research and Development investment, scientific publications and patents, the innovation capabilities in the pharmaceutical sector remain weak. Discussion: This study discusses the challenges and opportunities for pharmaceutical innovation in China. One hand, academic, industrial, institutional and financial constraints were found to be the major and inevitable barriers hindering the development of drug innovation. On the other hand, unique advantages had been observed which included growing pharmaceutical market, Research and Development funding, distinctive source, and international cooperation. Summary: The most important thing for China's pharmaceutical sector to leap forward is to break though innovation barriers and integrate own advantages into global value-chain of healthcare product development.","author":[{"dropping-particle":"","family":"Ni","given":"Jingyun","non-dropping-particle":"","parse-names":false,"suffix":""},{"dropping-particle":"","family":"Zhao","given":"Junrui","non-dropping-particle":"","parse-names":false,"suffix":""},{"dropping-particle":"","family":"Ung","given":"Carolina Oi Lam","non-dropping-particle":"","parse-names":false,"suffix":""},{"dropping-particle":"","family":"Hu","given":"Yuanjia","non-dropping-particle":"","parse-names":false,"suffix":""},{"dropping-particle":"","family":"Hu","given":"Hao","non-dropping-particle":"","parse-names":false,"suffix":""},{"dropping-particle":"","family":"Wang","given":"Yitao","non-dropping-particle":"","parse-names":false,"suffix":""}],"container-title":"Globalization and Health","id":"ITEM-1","issue":"1","issued":{"date-parts":[["2017"]]},"page":"21","publisher":"BioMed Central","title":"Obstacles and opportunities in Chinese pharmaceutical innovation","type":"article-journal","volume":"13"},"uris":["http://www.mendeley.com/documents/?uuid=0bbba326-4e62-4f4c-8253-860f12505ee7"]}],"mendeley":{"formattedCitation":"(Ni &lt;i&gt;et al.&lt;/i&gt;, 2017)","plainTextFormattedCitation":"(Ni et al., 2017)","previouslyFormattedCitation":"(Ni &lt;i&gt;et al.&lt;/i&gt;, 2017)"},"properties":{"noteIndex":0},"schema":"https://github.com/citation-style-language/schema/raw/master/csl-citation.json"}</w:instrText>
      </w:r>
      <w:r w:rsidR="00DD32D2">
        <w:rPr>
          <w:rFonts w:ascii="Arial" w:hAnsi="Arial" w:cs="Arial"/>
          <w:sz w:val="24"/>
          <w:szCs w:val="24"/>
        </w:rPr>
        <w:fldChar w:fldCharType="separate"/>
      </w:r>
      <w:r w:rsidR="00DD32D2" w:rsidRPr="00DD32D2">
        <w:rPr>
          <w:rFonts w:ascii="Arial" w:hAnsi="Arial" w:cs="Arial"/>
          <w:noProof/>
          <w:sz w:val="24"/>
          <w:szCs w:val="24"/>
        </w:rPr>
        <w:t xml:space="preserve">(Ni </w:t>
      </w:r>
      <w:r w:rsidR="00DD32D2" w:rsidRPr="00DD32D2">
        <w:rPr>
          <w:rFonts w:ascii="Arial" w:hAnsi="Arial" w:cs="Arial"/>
          <w:i/>
          <w:noProof/>
          <w:sz w:val="24"/>
          <w:szCs w:val="24"/>
        </w:rPr>
        <w:t>et al.</w:t>
      </w:r>
      <w:r w:rsidR="00DD32D2" w:rsidRPr="00DD32D2">
        <w:rPr>
          <w:rFonts w:ascii="Arial" w:hAnsi="Arial" w:cs="Arial"/>
          <w:noProof/>
          <w:sz w:val="24"/>
          <w:szCs w:val="24"/>
        </w:rPr>
        <w:t>, 2017)</w:t>
      </w:r>
      <w:r w:rsidR="00DD32D2">
        <w:rPr>
          <w:rFonts w:ascii="Arial" w:hAnsi="Arial" w:cs="Arial"/>
          <w:sz w:val="24"/>
          <w:szCs w:val="24"/>
        </w:rPr>
        <w:fldChar w:fldCharType="end"/>
      </w:r>
      <w:r w:rsidR="00CC74B1">
        <w:rPr>
          <w:rFonts w:ascii="Arial" w:hAnsi="Arial" w:cs="Arial"/>
          <w:sz w:val="24"/>
          <w:szCs w:val="24"/>
        </w:rPr>
        <w:t xml:space="preserve">. </w:t>
      </w:r>
      <w:r w:rsidR="00CC0825">
        <w:rPr>
          <w:rFonts w:ascii="Arial" w:hAnsi="Arial" w:cs="Arial"/>
          <w:sz w:val="24"/>
          <w:szCs w:val="24"/>
        </w:rPr>
        <w:t>The reform in the regulatory framework as mentioned in the PEST analysis, is now forcing the pharmaceutical companies to control the prices of their products</w:t>
      </w:r>
      <w:r w:rsidR="00A52F17">
        <w:rPr>
          <w:rFonts w:ascii="Arial" w:hAnsi="Arial" w:cs="Arial"/>
          <w:sz w:val="24"/>
          <w:szCs w:val="24"/>
        </w:rPr>
        <w:t xml:space="preserve">. As the public healthcare providers account the </w:t>
      </w:r>
      <w:r w:rsidR="00A416CF">
        <w:rPr>
          <w:rFonts w:ascii="Arial" w:hAnsi="Arial" w:cs="Arial"/>
          <w:sz w:val="24"/>
          <w:szCs w:val="24"/>
        </w:rPr>
        <w:t>majority</w:t>
      </w:r>
      <w:r w:rsidR="00A52F17">
        <w:rPr>
          <w:rFonts w:ascii="Arial" w:hAnsi="Arial" w:cs="Arial"/>
          <w:sz w:val="24"/>
          <w:szCs w:val="24"/>
        </w:rPr>
        <w:t xml:space="preserve"> of the drug </w:t>
      </w:r>
      <w:r w:rsidR="00A416CF">
        <w:rPr>
          <w:rFonts w:ascii="Arial" w:hAnsi="Arial" w:cs="Arial"/>
          <w:sz w:val="24"/>
          <w:szCs w:val="24"/>
        </w:rPr>
        <w:t>purchasing, the reform in the regulatory platform can gradually enhance the buyer’s power</w:t>
      </w:r>
      <w:r w:rsidR="003E1F4F">
        <w:rPr>
          <w:rFonts w:ascii="Arial" w:hAnsi="Arial" w:cs="Arial"/>
          <w:sz w:val="24"/>
          <w:szCs w:val="24"/>
        </w:rPr>
        <w:t xml:space="preserve"> </w:t>
      </w:r>
      <w:r w:rsidR="00697FB5">
        <w:rPr>
          <w:rFonts w:ascii="Arial" w:hAnsi="Arial" w:cs="Arial"/>
          <w:sz w:val="24"/>
          <w:szCs w:val="24"/>
        </w:rPr>
        <w:fldChar w:fldCharType="begin" w:fldLock="1"/>
      </w:r>
      <w:r w:rsidR="002B0067">
        <w:rPr>
          <w:rFonts w:ascii="Arial" w:hAnsi="Arial" w:cs="Arial"/>
          <w:sz w:val="24"/>
          <w:szCs w:val="24"/>
        </w:rPr>
        <w:instrText>ADDIN CSL_CITATION {"citationItems":[{"id":"ITEM-1","itemData":{"DOI":"10.1016/j.giq.2018.09.008","ISSN":"0740624X","abstract":"The nascent adoption of Artificial Intelligence (AI) in the public sector is being assessed in contradictory ways. But while there is increasing speculation about both its dangers and its benefits, there is very little empirical research to substantiate them. This study aims at mapping the challenges in the adoption of AI in the public sector as perceived by key stakeholders. Drawing on the theoretical lens of framing, we analyse a case of adoption of the AI system IBM Watson in public healthcare in China, to map how three groups of stakeholders (government policy-makers, hospital managers/doctors, and Information Technology (IT) firm managers) perceive the challenges of AI adoption in the public sector. Findings show that different stakeholders have diverse, and sometimes contradictory, framings of the challenges. We contribute to research by providing an empirical basis to claims of AI challenges in the public sector, and to practice by providing four sets of guidelines for the governance of AI adoption in the public sector.","author":[{"dropping-particle":"","family":"Sun","given":"Tara Qian","non-dropping-particle":"","parse-names":false,"suffix":""},{"dropping-particle":"","family":"Medaglia","given":"Rony","non-dropping-particle":"","parse-names":false,"suffix":""}],"container-title":"Government Information Quarterly","id":"ITEM-1","issue":"2","issued":{"date-parts":[["2019"]]},"page":"368-383","publisher":"Elsevier","title":"Mapping the challenges of Artificial Intelligence in the public sector: Evidence from public healthcare","type":"article-journal","volume":"36"},"uris":["http://www.mendeley.com/documents/?uuid=1a4da8ce-2ef2-40c4-99a2-94bd284829e0"]}],"mendeley":{"formattedCitation":"(Sun and Medaglia, 2019)","plainTextFormattedCitation":"(Sun and Medaglia, 2019)","previouslyFormattedCitation":"(Sun and Medaglia, 2019)"},"properties":{"noteIndex":0},"schema":"https://github.com/citation-style-language/schema/raw/master/csl-citation.json"}</w:instrText>
      </w:r>
      <w:r w:rsidR="00697FB5">
        <w:rPr>
          <w:rFonts w:ascii="Arial" w:hAnsi="Arial" w:cs="Arial"/>
          <w:sz w:val="24"/>
          <w:szCs w:val="24"/>
        </w:rPr>
        <w:fldChar w:fldCharType="separate"/>
      </w:r>
      <w:r w:rsidR="00697FB5" w:rsidRPr="00697FB5">
        <w:rPr>
          <w:rFonts w:ascii="Arial" w:hAnsi="Arial" w:cs="Arial"/>
          <w:noProof/>
          <w:sz w:val="24"/>
          <w:szCs w:val="24"/>
        </w:rPr>
        <w:t>(Sun and Medaglia, 2019)</w:t>
      </w:r>
      <w:r w:rsidR="00697FB5">
        <w:rPr>
          <w:rFonts w:ascii="Arial" w:hAnsi="Arial" w:cs="Arial"/>
          <w:sz w:val="24"/>
          <w:szCs w:val="24"/>
        </w:rPr>
        <w:fldChar w:fldCharType="end"/>
      </w:r>
      <w:r w:rsidR="00A416CF">
        <w:rPr>
          <w:rFonts w:ascii="Arial" w:hAnsi="Arial" w:cs="Arial"/>
          <w:sz w:val="24"/>
          <w:szCs w:val="24"/>
        </w:rPr>
        <w:t xml:space="preserve">. </w:t>
      </w:r>
    </w:p>
    <w:p w14:paraId="3F2AB3A5" w14:textId="546F7706" w:rsidR="00A416CF" w:rsidRPr="00A416CF" w:rsidRDefault="00A416CF" w:rsidP="00A416CF">
      <w:pPr>
        <w:pStyle w:val="a7"/>
        <w:widowControl/>
        <w:numPr>
          <w:ilvl w:val="0"/>
          <w:numId w:val="4"/>
        </w:numPr>
        <w:spacing w:before="240" w:after="240" w:line="360" w:lineRule="auto"/>
        <w:ind w:left="357" w:hanging="357"/>
        <w:contextualSpacing w:val="0"/>
        <w:outlineLvl w:val="2"/>
        <w:rPr>
          <w:rFonts w:ascii="Arial" w:hAnsi="Arial" w:cs="Arial"/>
          <w:b/>
          <w:bCs/>
          <w:sz w:val="24"/>
          <w:szCs w:val="24"/>
        </w:rPr>
      </w:pPr>
      <w:bookmarkStart w:id="19" w:name="_Toc40423829"/>
      <w:bookmarkStart w:id="20" w:name="_Toc40423910"/>
      <w:r w:rsidRPr="00A416CF">
        <w:rPr>
          <w:rFonts w:ascii="Arial" w:hAnsi="Arial" w:cs="Arial"/>
          <w:b/>
          <w:bCs/>
          <w:sz w:val="24"/>
          <w:szCs w:val="24"/>
        </w:rPr>
        <w:t>Supplier’s power</w:t>
      </w:r>
      <w:bookmarkEnd w:id="19"/>
      <w:bookmarkEnd w:id="20"/>
      <w:r w:rsidRPr="00A416CF">
        <w:rPr>
          <w:rFonts w:ascii="Arial" w:hAnsi="Arial" w:cs="Arial"/>
          <w:b/>
          <w:bCs/>
          <w:sz w:val="24"/>
          <w:szCs w:val="24"/>
        </w:rPr>
        <w:t xml:space="preserve"> </w:t>
      </w:r>
    </w:p>
    <w:p w14:paraId="5335FAA5" w14:textId="67E5A993" w:rsidR="00A416CF" w:rsidRDefault="00870F1C" w:rsidP="00744782">
      <w:pPr>
        <w:widowControl/>
        <w:spacing w:before="240" w:after="240" w:line="360" w:lineRule="auto"/>
        <w:rPr>
          <w:rFonts w:ascii="Arial" w:hAnsi="Arial" w:cs="Arial"/>
          <w:sz w:val="24"/>
          <w:szCs w:val="24"/>
        </w:rPr>
      </w:pPr>
      <w:r>
        <w:rPr>
          <w:rFonts w:ascii="Arial" w:hAnsi="Arial" w:cs="Arial"/>
          <w:sz w:val="24"/>
          <w:szCs w:val="24"/>
        </w:rPr>
        <w:t xml:space="preserve">The supplier’s power is strong. Despite </w:t>
      </w:r>
      <w:r w:rsidR="00F8032E">
        <w:rPr>
          <w:rFonts w:ascii="Arial" w:hAnsi="Arial" w:cs="Arial"/>
          <w:sz w:val="24"/>
          <w:szCs w:val="24"/>
        </w:rPr>
        <w:t xml:space="preserve">China is not a </w:t>
      </w:r>
      <w:r w:rsidR="000C1F61">
        <w:rPr>
          <w:rFonts w:ascii="Arial" w:hAnsi="Arial" w:cs="Arial"/>
          <w:sz w:val="24"/>
          <w:szCs w:val="24"/>
        </w:rPr>
        <w:t>major drug production market, it is the largest pharmaceutical intermediate chemical production market in the world</w:t>
      </w:r>
      <w:r w:rsidR="00697FB5">
        <w:rPr>
          <w:rFonts w:ascii="Arial" w:hAnsi="Arial" w:cs="Arial"/>
          <w:sz w:val="24"/>
          <w:szCs w:val="24"/>
        </w:rPr>
        <w:t xml:space="preserve"> </w:t>
      </w:r>
      <w:r w:rsidR="002B0067">
        <w:rPr>
          <w:rFonts w:ascii="Arial" w:hAnsi="Arial" w:cs="Arial"/>
          <w:sz w:val="24"/>
          <w:szCs w:val="24"/>
        </w:rPr>
        <w:fldChar w:fldCharType="begin" w:fldLock="1"/>
      </w:r>
      <w:r w:rsidR="00CC64FC">
        <w:rPr>
          <w:rFonts w:ascii="Arial" w:hAnsi="Arial" w:cs="Arial"/>
          <w:sz w:val="24"/>
          <w:szCs w:val="24"/>
        </w:rPr>
        <w:instrText>ADDIN CSL_CITATION {"citationItems":[{"id":"ITEM-1","itemData":{"DOI":"10.1016/j.psep.2018.06.031","ISSN":"09575820","abstract":"The exploitation of the emerging technologies of Pharma Industry 4.0 facilitates sustainable value creation, leads to more agile, smart and personalised pharma industry, and thereby, in the long-run, enables pharma companies to obtain competitive advantages. A more sustainable pharmaceutical supply chain (PSC) should be implemented to match future operations and management of the pharmaceutical products across the entire life cycle. The main purpose of this study is to identify the potential sustainability barriers of PSC and to investigate how Industry 4.0 can be applied in the sustainable PSC paradigms. This paper systematically reviews 33 relevant articles concerning sustainable PSC and Industry 4.0, taken from peer-reviewed academic journals over a decade (2008–2018). Based on content analysis, we find that the major challenges that inhibit inclusion of sustainability in the PSCs are: high costs and time consumption, little expertise and training, enforcement of regulations, the paucity of business incentives, ineffective collaborations and coordination across the PSC, lack of objective benchmarks, and poor end-customer awareness. The technologies and innovations based on Industry 4.0 can solve these barriers with regards to four aspects: enhancing the flexibility of the PSC for patient-centric drug supplies; improving the effectiveness of coordination and communication across different entities within the PSC; mitigating waste and pollution at different stages; and enabling a more autonomous decision-making process for supply chain managers. Our analysis reveals that future research interest should focus on: cross-linking coordination and cooperation, eco-friendly end-of-life products disposal, proactive product recall management, new benchmarks and measurement of sustainable performance, new regulation system design, and effects of incentives for sustainable activities.","author":[{"dropping-particle":"","family":"Ding","given":"Baoyang","non-dropping-particle":"","parse-names":false,"suffix":""}],"container-title":"Process Safety and Environmental Protection","id":"ITEM-1","issued":{"date-parts":[["2018"]]},"page":"115-130","publisher":"Elsevier","title":"Pharma Industry 4.0: Literature review and research opportunities in sustainable pharmaceutical supply chains","type":"article-journal","volume":"119"},"uris":["http://www.mendeley.com/documents/?uuid=2f95fe9e-b18c-4443-8e94-f26a72c24c0b"]}],"mendeley":{"formattedCitation":"(Ding, 2018)","plainTextFormattedCitation":"(Ding, 2018)","previouslyFormattedCitation":"(Ding, 2018)"},"properties":{"noteIndex":0},"schema":"https://github.com/citation-style-language/schema/raw/master/csl-citation.json"}</w:instrText>
      </w:r>
      <w:r w:rsidR="002B0067">
        <w:rPr>
          <w:rFonts w:ascii="Arial" w:hAnsi="Arial" w:cs="Arial"/>
          <w:sz w:val="24"/>
          <w:szCs w:val="24"/>
        </w:rPr>
        <w:fldChar w:fldCharType="separate"/>
      </w:r>
      <w:r w:rsidR="002B0067" w:rsidRPr="002B0067">
        <w:rPr>
          <w:rFonts w:ascii="Arial" w:hAnsi="Arial" w:cs="Arial"/>
          <w:noProof/>
          <w:sz w:val="24"/>
          <w:szCs w:val="24"/>
        </w:rPr>
        <w:t>(Ding, 2018)</w:t>
      </w:r>
      <w:r w:rsidR="002B0067">
        <w:rPr>
          <w:rFonts w:ascii="Arial" w:hAnsi="Arial" w:cs="Arial"/>
          <w:sz w:val="24"/>
          <w:szCs w:val="24"/>
        </w:rPr>
        <w:fldChar w:fldCharType="end"/>
      </w:r>
      <w:r w:rsidR="000C1F61">
        <w:rPr>
          <w:rFonts w:ascii="Arial" w:hAnsi="Arial" w:cs="Arial"/>
          <w:sz w:val="24"/>
          <w:szCs w:val="24"/>
        </w:rPr>
        <w:t xml:space="preserve">. </w:t>
      </w:r>
      <w:r w:rsidR="00F13440">
        <w:rPr>
          <w:rFonts w:ascii="Arial" w:hAnsi="Arial" w:cs="Arial"/>
          <w:sz w:val="24"/>
          <w:szCs w:val="24"/>
        </w:rPr>
        <w:t xml:space="preserve">Pharmaceutical companies such as Novo Nordisk critically relies on the supply from Chinese companies. </w:t>
      </w:r>
      <w:r w:rsidR="00624416">
        <w:rPr>
          <w:rFonts w:ascii="Arial" w:hAnsi="Arial" w:cs="Arial"/>
          <w:sz w:val="24"/>
          <w:szCs w:val="24"/>
        </w:rPr>
        <w:t xml:space="preserve">Within the Chinese supply market, </w:t>
      </w:r>
      <w:r w:rsidR="00821530">
        <w:rPr>
          <w:rFonts w:ascii="Arial" w:hAnsi="Arial" w:cs="Arial"/>
          <w:sz w:val="24"/>
          <w:szCs w:val="24"/>
        </w:rPr>
        <w:t xml:space="preserve">the </w:t>
      </w:r>
      <w:r w:rsidR="00E235C8">
        <w:rPr>
          <w:rFonts w:ascii="Arial" w:hAnsi="Arial" w:cs="Arial"/>
          <w:sz w:val="24"/>
          <w:szCs w:val="24"/>
        </w:rPr>
        <w:t>oligopsony further increases the bargaining power of them against pharmaceutical companies</w:t>
      </w:r>
      <w:r w:rsidR="002B0067">
        <w:rPr>
          <w:rFonts w:ascii="Arial" w:hAnsi="Arial" w:cs="Arial"/>
          <w:sz w:val="24"/>
          <w:szCs w:val="24"/>
        </w:rPr>
        <w:t xml:space="preserve"> </w:t>
      </w:r>
      <w:r w:rsidR="00CC64FC">
        <w:rPr>
          <w:rFonts w:ascii="Arial" w:hAnsi="Arial" w:cs="Arial"/>
          <w:sz w:val="24"/>
          <w:szCs w:val="24"/>
        </w:rPr>
        <w:fldChar w:fldCharType="begin" w:fldLock="1"/>
      </w:r>
      <w:r w:rsidR="00F81072">
        <w:rPr>
          <w:rFonts w:ascii="Arial" w:hAnsi="Arial" w:cs="Arial"/>
          <w:sz w:val="24"/>
          <w:szCs w:val="24"/>
        </w:rPr>
        <w:instrText>ADDIN CSL_CITATION {"citationItems":[{"id":"ITEM-1","itemData":{"DOI":"10.1109/ICSSSM.2018.8464964","ISBN":"9781538651780","abstract":"This paper takes the performance of pharmaceutical supply chain as the research object, and combines with the medical reform policy to investigates the existing problems of the reform policy. This paper constructs a function model for pharmaceutical companies, hospitals and patients from the perspective of supply chain, and analyzes the decision selection and equilibrium profit of them under different policies. We found that under certain conditions, increasing service prices can increase both patient utility and hospital profit. In the process of medical reform, proper service price can improve the performance of the pharmaceutical supply chain.","author":[{"dropping-particle":"","family":"Chen","given":"Xin","non-dropping-particle":"","parse-names":false,"suffix":""},{"dropping-particle":"","family":"Ai","given":"Xingzheng","non-dropping-particle":"","parse-names":false,"suffix":""},{"dropping-particle":"","family":"Zhong","given":"Li","non-dropping-particle":"","parse-names":false,"suffix":""}],"container-title":"2018 15th International Conference on Service Systems and Service Management, ICSSSM 2018","id":"ITEM-1","issued":{"date-parts":[["2018"]]},"page":"1-5","publisher":"IEEE","title":"The Impact of Medical Services and Medicine Separation Policy on Competitive Pharmaceutical Supply Chain Performance","type":"paper-conference"},"uris":["http://www.mendeley.com/documents/?uuid=80494151-4a18-4156-864d-1825260f37d5"]}],"mendeley":{"formattedCitation":"(Chen, Ai and Zhong, 2018)","plainTextFormattedCitation":"(Chen, Ai and Zhong, 2018)","previouslyFormattedCitation":"(Chen, Ai and Zhong, 2018)"},"properties":{"noteIndex":0},"schema":"https://github.com/citation-style-language/schema/raw/master/csl-citation.json"}</w:instrText>
      </w:r>
      <w:r w:rsidR="00CC64FC">
        <w:rPr>
          <w:rFonts w:ascii="Arial" w:hAnsi="Arial" w:cs="Arial"/>
          <w:sz w:val="24"/>
          <w:szCs w:val="24"/>
        </w:rPr>
        <w:fldChar w:fldCharType="separate"/>
      </w:r>
      <w:r w:rsidR="00CC64FC" w:rsidRPr="00CC64FC">
        <w:rPr>
          <w:rFonts w:ascii="Arial" w:hAnsi="Arial" w:cs="Arial"/>
          <w:noProof/>
          <w:sz w:val="24"/>
          <w:szCs w:val="24"/>
        </w:rPr>
        <w:t>(Chen, Ai and Zhong, 2018)</w:t>
      </w:r>
      <w:r w:rsidR="00CC64FC">
        <w:rPr>
          <w:rFonts w:ascii="Arial" w:hAnsi="Arial" w:cs="Arial"/>
          <w:sz w:val="24"/>
          <w:szCs w:val="24"/>
        </w:rPr>
        <w:fldChar w:fldCharType="end"/>
      </w:r>
      <w:r w:rsidR="00E235C8">
        <w:rPr>
          <w:rFonts w:ascii="Arial" w:hAnsi="Arial" w:cs="Arial"/>
          <w:sz w:val="24"/>
          <w:szCs w:val="24"/>
        </w:rPr>
        <w:t xml:space="preserve">. </w:t>
      </w:r>
      <w:r w:rsidR="00775C74">
        <w:rPr>
          <w:rFonts w:ascii="Arial" w:hAnsi="Arial" w:cs="Arial"/>
          <w:sz w:val="24"/>
          <w:szCs w:val="24"/>
        </w:rPr>
        <w:t xml:space="preserve">The supplier’s power is gradually lowering as the government is supporting domestic companies to enter the pharmaceutical industry, which can increase the choices of suppliers for companies such as Novo Nordisk. </w:t>
      </w:r>
    </w:p>
    <w:p w14:paraId="1639FC52" w14:textId="61516879" w:rsidR="00775C74" w:rsidRPr="000502A5" w:rsidRDefault="00B918CE" w:rsidP="000502A5">
      <w:pPr>
        <w:pStyle w:val="a7"/>
        <w:widowControl/>
        <w:numPr>
          <w:ilvl w:val="0"/>
          <w:numId w:val="4"/>
        </w:numPr>
        <w:spacing w:before="240" w:after="240" w:line="360" w:lineRule="auto"/>
        <w:ind w:left="357" w:hanging="357"/>
        <w:contextualSpacing w:val="0"/>
        <w:outlineLvl w:val="2"/>
        <w:rPr>
          <w:rFonts w:ascii="Arial" w:hAnsi="Arial" w:cs="Arial"/>
          <w:b/>
          <w:bCs/>
          <w:sz w:val="24"/>
          <w:szCs w:val="24"/>
        </w:rPr>
      </w:pPr>
      <w:bookmarkStart w:id="21" w:name="_Toc40423830"/>
      <w:bookmarkStart w:id="22" w:name="_Toc40423911"/>
      <w:r w:rsidRPr="000502A5">
        <w:rPr>
          <w:rFonts w:ascii="Arial" w:hAnsi="Arial" w:cs="Arial"/>
          <w:b/>
          <w:bCs/>
          <w:sz w:val="24"/>
          <w:szCs w:val="24"/>
        </w:rPr>
        <w:t>Threat of market entrants</w:t>
      </w:r>
      <w:bookmarkEnd w:id="21"/>
      <w:bookmarkEnd w:id="22"/>
      <w:r w:rsidRPr="000502A5">
        <w:rPr>
          <w:rFonts w:ascii="Arial" w:hAnsi="Arial" w:cs="Arial"/>
          <w:b/>
          <w:bCs/>
          <w:sz w:val="24"/>
          <w:szCs w:val="24"/>
        </w:rPr>
        <w:t xml:space="preserve"> </w:t>
      </w:r>
    </w:p>
    <w:p w14:paraId="0B21CCDE" w14:textId="5EC1C262" w:rsidR="00B918CE" w:rsidRDefault="000502A5" w:rsidP="00744782">
      <w:pPr>
        <w:widowControl/>
        <w:spacing w:before="240" w:after="240" w:line="360" w:lineRule="auto"/>
        <w:rPr>
          <w:rFonts w:ascii="Arial" w:hAnsi="Arial" w:cs="Arial"/>
          <w:sz w:val="24"/>
          <w:szCs w:val="24"/>
        </w:rPr>
      </w:pPr>
      <w:r>
        <w:rPr>
          <w:rFonts w:ascii="Arial" w:hAnsi="Arial" w:cs="Arial"/>
          <w:sz w:val="24"/>
          <w:szCs w:val="24"/>
        </w:rPr>
        <w:t>The threat of market entrant</w:t>
      </w:r>
      <w:r w:rsidR="00E54277">
        <w:rPr>
          <w:rFonts w:ascii="Arial" w:hAnsi="Arial" w:cs="Arial"/>
          <w:sz w:val="24"/>
          <w:szCs w:val="24"/>
        </w:rPr>
        <w:t xml:space="preserve"> is low. Entering the anti-diabetic industry requires </w:t>
      </w:r>
      <w:r w:rsidR="002D7F42">
        <w:rPr>
          <w:rFonts w:ascii="Arial" w:hAnsi="Arial" w:cs="Arial"/>
          <w:sz w:val="24"/>
          <w:szCs w:val="24"/>
        </w:rPr>
        <w:t xml:space="preserve">strong R&amp;D capacity and experiences in production. The entering into the Chinese market </w:t>
      </w:r>
      <w:r w:rsidR="002B3FE1">
        <w:rPr>
          <w:rFonts w:ascii="Arial" w:hAnsi="Arial" w:cs="Arial"/>
          <w:sz w:val="24"/>
          <w:szCs w:val="24"/>
        </w:rPr>
        <w:t>requires</w:t>
      </w:r>
      <w:r w:rsidR="002D7F42">
        <w:rPr>
          <w:rFonts w:ascii="Arial" w:hAnsi="Arial" w:cs="Arial"/>
          <w:sz w:val="24"/>
          <w:szCs w:val="24"/>
        </w:rPr>
        <w:t xml:space="preserve"> the </w:t>
      </w:r>
      <w:r w:rsidR="00256E89">
        <w:rPr>
          <w:rFonts w:ascii="Arial" w:hAnsi="Arial" w:cs="Arial"/>
          <w:sz w:val="24"/>
          <w:szCs w:val="24"/>
        </w:rPr>
        <w:t>satisfy the regulations in China, which is now under reform</w:t>
      </w:r>
      <w:r w:rsidR="000E5432">
        <w:rPr>
          <w:rFonts w:ascii="Arial" w:hAnsi="Arial" w:cs="Arial"/>
          <w:sz w:val="24"/>
          <w:szCs w:val="24"/>
        </w:rPr>
        <w:t xml:space="preserve"> </w:t>
      </w:r>
      <w:r w:rsidR="00F81072">
        <w:rPr>
          <w:rFonts w:ascii="Arial" w:hAnsi="Arial" w:cs="Arial"/>
          <w:sz w:val="24"/>
          <w:szCs w:val="24"/>
        </w:rPr>
        <w:fldChar w:fldCharType="begin" w:fldLock="1"/>
      </w:r>
      <w:r w:rsidR="00042183">
        <w:rPr>
          <w:rFonts w:ascii="Arial" w:hAnsi="Arial" w:cs="Arial"/>
          <w:sz w:val="24"/>
          <w:szCs w:val="24"/>
        </w:rPr>
        <w:instrText>ADDIN CSL_CITATION {"citationItems":[{"id":"ITEM-1","itemData":{"DOI":"10.1186/s12913-018-3835-x","ISSN":"14726963","abstract":"Background: China ranks first amongst the countries for the abuse of antibacterials. Essential antibacterials could help solve the problem. The aim of the work is to evaluate the availability, price and affordability of essential antibacterials in Hubei province, China. Method: The standardized methodology developed by the World Health Organization and Health Action International was used to collect data on the availability and prices of 16 antibacterials in 5 cities of Hubei province, China. Results: First, in total, the median availability of originator brands and lowest-priced generics for the essential antibacterials was low, 3.0% (0.0, 18.2%) and 33.3% (0.0, 87.9%) for each, respectively. Second, the median price ratio of originator brands for the antibacterials was 20.30 (4.71, 35.80), while for generics, it was 0.49 (0.07, 1.18). Third, the affordability of originator brands for the antibacterials was 28.14 (21.70, 41.90) times the daily wages of an unskilled government worker, while for generics, the affordability was 0.35 (0.04, 6.11). Finally, we found that in Hubei province, lowest-priced generics for essential antibacterials with (fairly) high availability and relatively low price included Amoxicillin/Clavulanic Acid, Ceftazidime, Metronidazole, Gentamicin Sulfate and Ceftriaxone. Conclusion: The prices of lowest-priced generics for essential antibacterials in Hubei province were reasonable, and in tertiary hospitals the availability was the highest, while in secondary and primary hospitals, it was relatively lower. Originator brands were not only extremely expensive but also difficult to obtain. Measures should be taken to improve the availability of essential antibacterials and the affordability of originator brands.","author":[{"dropping-particle":"","family":"Wu","given":"Guangjie","non-dropping-particle":"","parse-names":false,"suffix":""},{"dropping-particle":"","family":"Gong","given":"Shiwei","non-dropping-particle":"","parse-names":false,"suffix":""},{"dropping-particle":"","family":"Cai","given":"Hongbing","non-dropping-particle":"","parse-names":false,"suffix":""},{"dropping-particle":"","family":"Ding","given":"Yufeng","non-dropping-particle":"","parse-names":false,"suffix":""}],"container-title":"BMC Health Services Research","id":"ITEM-1","issue":"1","issued":{"date-parts":[["2018"]]},"page":"937-947","publisher":"Oxford University Press","title":"The availability, price and affordability of essential antibacterials in Hubei province, China","type":"article-journal","volume":"18"},"uris":["http://www.mendeley.com/documents/?uuid=21dd13e2-dfac-480a-b5c3-8d889cac07c5"]}],"mendeley":{"formattedCitation":"(Wu &lt;i&gt;et al.&lt;/i&gt;, 2018)","plainTextFormattedCitation":"(Wu et al., 2018)","previouslyFormattedCitation":"(Wu &lt;i&gt;et al.&lt;/i&gt;, 2018)"},"properties":{"noteIndex":0},"schema":"https://github.com/citation-style-language/schema/raw/master/csl-citation.json"}</w:instrText>
      </w:r>
      <w:r w:rsidR="00F81072">
        <w:rPr>
          <w:rFonts w:ascii="Arial" w:hAnsi="Arial" w:cs="Arial"/>
          <w:sz w:val="24"/>
          <w:szCs w:val="24"/>
        </w:rPr>
        <w:fldChar w:fldCharType="separate"/>
      </w:r>
      <w:r w:rsidR="00F81072" w:rsidRPr="00F81072">
        <w:rPr>
          <w:rFonts w:ascii="Arial" w:hAnsi="Arial" w:cs="Arial"/>
          <w:noProof/>
          <w:sz w:val="24"/>
          <w:szCs w:val="24"/>
        </w:rPr>
        <w:t xml:space="preserve">(Wu </w:t>
      </w:r>
      <w:r w:rsidR="00F81072" w:rsidRPr="00F81072">
        <w:rPr>
          <w:rFonts w:ascii="Arial" w:hAnsi="Arial" w:cs="Arial"/>
          <w:i/>
          <w:noProof/>
          <w:sz w:val="24"/>
          <w:szCs w:val="24"/>
        </w:rPr>
        <w:t>et al.</w:t>
      </w:r>
      <w:r w:rsidR="00F81072" w:rsidRPr="00F81072">
        <w:rPr>
          <w:rFonts w:ascii="Arial" w:hAnsi="Arial" w:cs="Arial"/>
          <w:noProof/>
          <w:sz w:val="24"/>
          <w:szCs w:val="24"/>
        </w:rPr>
        <w:t>, 2018)</w:t>
      </w:r>
      <w:r w:rsidR="00F81072">
        <w:rPr>
          <w:rFonts w:ascii="Arial" w:hAnsi="Arial" w:cs="Arial"/>
          <w:sz w:val="24"/>
          <w:szCs w:val="24"/>
        </w:rPr>
        <w:fldChar w:fldCharType="end"/>
      </w:r>
      <w:r w:rsidR="00256E89">
        <w:rPr>
          <w:rFonts w:ascii="Arial" w:hAnsi="Arial" w:cs="Arial"/>
          <w:sz w:val="24"/>
          <w:szCs w:val="24"/>
        </w:rPr>
        <w:t xml:space="preserve">. This mean the entering into the market is even more challenging. </w:t>
      </w:r>
      <w:r w:rsidR="002B3FE1">
        <w:rPr>
          <w:rFonts w:ascii="Arial" w:hAnsi="Arial" w:cs="Arial"/>
          <w:sz w:val="24"/>
          <w:szCs w:val="24"/>
        </w:rPr>
        <w:t xml:space="preserve">The threat is gradually growing with the increasing R&amp;D capacity of Chinese companies. </w:t>
      </w:r>
    </w:p>
    <w:p w14:paraId="61D36FBF" w14:textId="77777777" w:rsidR="00F81072" w:rsidRDefault="00F81072" w:rsidP="00744782">
      <w:pPr>
        <w:widowControl/>
        <w:spacing w:before="240" w:after="240" w:line="360" w:lineRule="auto"/>
        <w:rPr>
          <w:rFonts w:ascii="Arial" w:hAnsi="Arial" w:cs="Arial"/>
          <w:sz w:val="24"/>
          <w:szCs w:val="24"/>
        </w:rPr>
      </w:pPr>
    </w:p>
    <w:p w14:paraId="66CBFD3F" w14:textId="4DED0B24" w:rsidR="002B3FE1" w:rsidRPr="002B3FE1" w:rsidRDefault="002B3FE1" w:rsidP="002B3FE1">
      <w:pPr>
        <w:pStyle w:val="a7"/>
        <w:widowControl/>
        <w:numPr>
          <w:ilvl w:val="0"/>
          <w:numId w:val="4"/>
        </w:numPr>
        <w:spacing w:before="240" w:after="240" w:line="360" w:lineRule="auto"/>
        <w:ind w:left="357" w:hanging="357"/>
        <w:contextualSpacing w:val="0"/>
        <w:outlineLvl w:val="2"/>
        <w:rPr>
          <w:rFonts w:ascii="Arial" w:hAnsi="Arial" w:cs="Arial"/>
          <w:b/>
          <w:bCs/>
          <w:sz w:val="24"/>
          <w:szCs w:val="24"/>
        </w:rPr>
      </w:pPr>
      <w:bookmarkStart w:id="23" w:name="_Toc40423831"/>
      <w:bookmarkStart w:id="24" w:name="_Toc40423912"/>
      <w:r w:rsidRPr="002B3FE1">
        <w:rPr>
          <w:rFonts w:ascii="Arial" w:hAnsi="Arial" w:cs="Arial"/>
          <w:b/>
          <w:bCs/>
          <w:sz w:val="24"/>
          <w:szCs w:val="24"/>
        </w:rPr>
        <w:lastRenderedPageBreak/>
        <w:t>Threat of substitutes</w:t>
      </w:r>
      <w:bookmarkEnd w:id="23"/>
      <w:bookmarkEnd w:id="24"/>
      <w:r w:rsidRPr="002B3FE1">
        <w:rPr>
          <w:rFonts w:ascii="Arial" w:hAnsi="Arial" w:cs="Arial"/>
          <w:b/>
          <w:bCs/>
          <w:sz w:val="24"/>
          <w:szCs w:val="24"/>
        </w:rPr>
        <w:t xml:space="preserve"> </w:t>
      </w:r>
    </w:p>
    <w:p w14:paraId="34581499" w14:textId="2FE3EEBC" w:rsidR="002B3FE1" w:rsidRDefault="002B3FE1" w:rsidP="00744782">
      <w:pPr>
        <w:widowControl/>
        <w:spacing w:before="240" w:after="240" w:line="360" w:lineRule="auto"/>
        <w:rPr>
          <w:rFonts w:ascii="Arial" w:hAnsi="Arial" w:cs="Arial"/>
          <w:sz w:val="24"/>
          <w:szCs w:val="24"/>
        </w:rPr>
      </w:pPr>
      <w:r>
        <w:rPr>
          <w:rFonts w:ascii="Arial" w:hAnsi="Arial" w:cs="Arial"/>
          <w:sz w:val="24"/>
          <w:szCs w:val="24"/>
        </w:rPr>
        <w:t>The cure for diabetes is limited in insulin</w:t>
      </w:r>
      <w:r w:rsidR="00F81072">
        <w:rPr>
          <w:rFonts w:ascii="Arial" w:hAnsi="Arial" w:cs="Arial"/>
          <w:sz w:val="24"/>
          <w:szCs w:val="24"/>
        </w:rPr>
        <w:t xml:space="preserve"> </w:t>
      </w:r>
      <w:r w:rsidR="00042183">
        <w:rPr>
          <w:rFonts w:ascii="Arial" w:hAnsi="Arial" w:cs="Arial"/>
          <w:sz w:val="24"/>
          <w:szCs w:val="24"/>
        </w:rPr>
        <w:fldChar w:fldCharType="begin" w:fldLock="1"/>
      </w:r>
      <w:r w:rsidR="005E5F82">
        <w:rPr>
          <w:rFonts w:ascii="Arial" w:hAnsi="Arial" w:cs="Arial"/>
          <w:sz w:val="24"/>
          <w:szCs w:val="24"/>
        </w:rPr>
        <w:instrText>ADDIN CSL_CITATION {"citationItems":[{"id":"ITEM-1","itemData":{"DOI":"10.3389/fendo.2017.0006","ISSN":"16642392","abstract":"Type 2 diabetes mellitus (T2DM) is a global pandemic, as evident from the global cartographic picture of diabetes by the International Diabetes Federation (http://www.diabetesatlas.org/). Diabetes mellitus is a chronic, progressive, incompletely understood metabolic condition chiefly characterized by hyperglycemia. Impaired insulin secretion, resistance to tissue actions of insulin, or a combination of both are thought to be the commonest reasons contributing to the pathophysiology of T2DM, a spectrum of disease originally arising from tissue insulin resistance and gradually progressing to a state characterized by complete loss of secretory activity of the beta cells of the pancreas. T2DM is a major contributor to the very large rise in the rate of non-communicable diseases affecting developed as well as developing nations. In this mini review, we endeavor to outline the current management principles, including the spectrum of medications that are currently used for pharmacologic management, for lowering the elevated blood glucose in T2DM.","author":[{"dropping-particle":"","family":"Chaudhury","given":"Arun","non-dropping-particle":"","parse-names":false,"suffix":""},{"dropping-particle":"","family":"Duvoor","given":"Chitharanjan","non-dropping-particle":"","parse-names":false,"suffix":""},{"dropping-particle":"","family":"Reddy Dendi","given":"Vijaya Sena","non-dropping-particle":"","parse-names":false,"suffix":""},{"dropping-particle":"","family":"Kraleti","given":"Shashank","non-dropping-particle":"","parse-names":false,"suffix":""},{"dropping-particle":"","family":"Chada","given":"Aditya","non-dropping-particle":"","parse-names":false,"suffix":""},{"dropping-particle":"","family":"Ravilla","given":"Rahul","non-dropping-particle":"","parse-names":false,"suffix":""},{"dropping-particle":"","family":"Marco","given":"Asween","non-dropping-particle":"","parse-names":false,"suffix":""},{"dropping-particle":"","family":"Shekhawat","given":"Nawal Singh","non-dropping-particle":"","parse-names":false,"suffix":""},{"dropping-particle":"","family":"Montales","given":"Maria Theresa","non-dropping-particle":"","parse-names":false,"suffix":""},{"dropping-particle":"","family":"Kuriakose","given":"Kevin","non-dropping-particle":"","parse-names":false,"suffix":""},{"dropping-particle":"","family":"Sasapu","given":"Appalanaidu","non-dropping-particle":"","parse-names":false,"suffix":""},{"dropping-particle":"","family":"Beebe","given":"Alexandria","non-dropping-particle":"","parse-names":false,"suffix":""},{"dropping-particle":"","family":"Patil","given":"Naveen","non-dropping-particle":"","parse-names":false,"suffix":""},{"dropping-particle":"","family":"Musham","given":"Chaitanya K.","non-dropping-particle":"","parse-names":false,"suffix":""},{"dropping-particle":"","family":"Lohani","given":"Govinda Prasad","non-dropping-particle":"","parse-names":false,"suffix":""},{"dropping-particle":"","family":"Mirza","given":"Wasique","non-dropping-particle":"","parse-names":false,"suffix":""}],"container-title":"Frontiers in Endocrinology","id":"ITEM-1","issue":"JAN","issued":{"date-parts":[["2017"]]},"page":"6","publisher":"Frontiers","title":"Clinical review of antidiabetic drugs: Implications for type 2 diabetes mellitus management","type":"article-journal","volume":"8"},"uris":["http://www.mendeley.com/documents/?uuid=7856b8fa-e825-4983-86a2-fb1c27b7a41b"]}],"mendeley":{"formattedCitation":"(Chaudhury &lt;i&gt;et al.&lt;/i&gt;, 2017)","plainTextFormattedCitation":"(Chaudhury et al., 2017)","previouslyFormattedCitation":"(Chaudhury &lt;i&gt;et al.&lt;/i&gt;, 2017)"},"properties":{"noteIndex":0},"schema":"https://github.com/citation-style-language/schema/raw/master/csl-citation.json"}</w:instrText>
      </w:r>
      <w:r w:rsidR="00042183">
        <w:rPr>
          <w:rFonts w:ascii="Arial" w:hAnsi="Arial" w:cs="Arial"/>
          <w:sz w:val="24"/>
          <w:szCs w:val="24"/>
        </w:rPr>
        <w:fldChar w:fldCharType="separate"/>
      </w:r>
      <w:r w:rsidR="00042183" w:rsidRPr="00042183">
        <w:rPr>
          <w:rFonts w:ascii="Arial" w:hAnsi="Arial" w:cs="Arial"/>
          <w:noProof/>
          <w:sz w:val="24"/>
          <w:szCs w:val="24"/>
        </w:rPr>
        <w:t xml:space="preserve">(Chaudhury </w:t>
      </w:r>
      <w:r w:rsidR="00042183" w:rsidRPr="00042183">
        <w:rPr>
          <w:rFonts w:ascii="Arial" w:hAnsi="Arial" w:cs="Arial"/>
          <w:i/>
          <w:noProof/>
          <w:sz w:val="24"/>
          <w:szCs w:val="24"/>
        </w:rPr>
        <w:t>et al.</w:t>
      </w:r>
      <w:r w:rsidR="00042183" w:rsidRPr="00042183">
        <w:rPr>
          <w:rFonts w:ascii="Arial" w:hAnsi="Arial" w:cs="Arial"/>
          <w:noProof/>
          <w:sz w:val="24"/>
          <w:szCs w:val="24"/>
        </w:rPr>
        <w:t>, 2017)</w:t>
      </w:r>
      <w:r w:rsidR="00042183">
        <w:rPr>
          <w:rFonts w:ascii="Arial" w:hAnsi="Arial" w:cs="Arial"/>
          <w:sz w:val="24"/>
          <w:szCs w:val="24"/>
        </w:rPr>
        <w:fldChar w:fldCharType="end"/>
      </w:r>
      <w:r>
        <w:rPr>
          <w:rFonts w:ascii="Arial" w:hAnsi="Arial" w:cs="Arial"/>
          <w:sz w:val="24"/>
          <w:szCs w:val="24"/>
        </w:rPr>
        <w:t xml:space="preserve">. </w:t>
      </w:r>
      <w:r w:rsidR="00382FA1">
        <w:rPr>
          <w:rFonts w:ascii="Arial" w:hAnsi="Arial" w:cs="Arial"/>
          <w:sz w:val="24"/>
          <w:szCs w:val="24"/>
        </w:rPr>
        <w:t xml:space="preserve">The potential substitute is the oral insulin. As </w:t>
      </w:r>
      <w:r w:rsidR="007E4F06">
        <w:rPr>
          <w:rFonts w:ascii="Arial" w:hAnsi="Arial" w:cs="Arial"/>
          <w:sz w:val="24"/>
          <w:szCs w:val="24"/>
        </w:rPr>
        <w:t xml:space="preserve">the development of oral insulin is led by several major anti-diabetic companies including Novo Nordisk, the threat of substitute is low. </w:t>
      </w:r>
    </w:p>
    <w:p w14:paraId="3676CD38" w14:textId="464A24A8" w:rsidR="007E4F06" w:rsidRPr="007E4F06" w:rsidRDefault="007E4F06" w:rsidP="007E4F06">
      <w:pPr>
        <w:pStyle w:val="a7"/>
        <w:widowControl/>
        <w:numPr>
          <w:ilvl w:val="0"/>
          <w:numId w:val="4"/>
        </w:numPr>
        <w:spacing w:before="240" w:after="240" w:line="360" w:lineRule="auto"/>
        <w:ind w:left="357" w:hanging="357"/>
        <w:contextualSpacing w:val="0"/>
        <w:outlineLvl w:val="2"/>
        <w:rPr>
          <w:rFonts w:ascii="Arial" w:hAnsi="Arial" w:cs="Arial"/>
          <w:b/>
          <w:bCs/>
          <w:sz w:val="24"/>
          <w:szCs w:val="24"/>
        </w:rPr>
      </w:pPr>
      <w:bookmarkStart w:id="25" w:name="_Toc40423832"/>
      <w:bookmarkStart w:id="26" w:name="_Toc40423913"/>
      <w:r w:rsidRPr="007E4F06">
        <w:rPr>
          <w:rFonts w:ascii="Arial" w:hAnsi="Arial" w:cs="Arial"/>
          <w:b/>
          <w:bCs/>
          <w:sz w:val="24"/>
          <w:szCs w:val="24"/>
        </w:rPr>
        <w:t>Competition rivalry</w:t>
      </w:r>
      <w:bookmarkEnd w:id="25"/>
      <w:bookmarkEnd w:id="26"/>
      <w:r w:rsidRPr="007E4F06">
        <w:rPr>
          <w:rFonts w:ascii="Arial" w:hAnsi="Arial" w:cs="Arial"/>
          <w:b/>
          <w:bCs/>
          <w:sz w:val="24"/>
          <w:szCs w:val="24"/>
        </w:rPr>
        <w:t xml:space="preserve"> </w:t>
      </w:r>
    </w:p>
    <w:p w14:paraId="2616CB82" w14:textId="76B48925" w:rsidR="007E4F06" w:rsidRDefault="00D96842" w:rsidP="00744782">
      <w:pPr>
        <w:widowControl/>
        <w:spacing w:before="240" w:after="240" w:line="360" w:lineRule="auto"/>
        <w:rPr>
          <w:rFonts w:ascii="Arial" w:hAnsi="Arial" w:cs="Arial"/>
          <w:sz w:val="24"/>
          <w:szCs w:val="24"/>
        </w:rPr>
      </w:pPr>
      <w:r>
        <w:rPr>
          <w:rFonts w:ascii="Arial" w:hAnsi="Arial" w:cs="Arial"/>
          <w:sz w:val="24"/>
          <w:szCs w:val="24"/>
        </w:rPr>
        <w:t xml:space="preserve">Based on the above analysis, companies with leading position in the market can face challenges from the rising of domestic pharmaceutical companies. </w:t>
      </w:r>
      <w:r w:rsidR="003F30CF">
        <w:rPr>
          <w:rFonts w:ascii="Arial" w:hAnsi="Arial" w:cs="Arial"/>
          <w:sz w:val="24"/>
          <w:szCs w:val="24"/>
        </w:rPr>
        <w:t xml:space="preserve">The competition rivalry in the anti-diabetic market is strong. The </w:t>
      </w:r>
      <w:r w:rsidR="0074138B">
        <w:rPr>
          <w:rFonts w:ascii="Arial" w:hAnsi="Arial" w:cs="Arial"/>
          <w:sz w:val="24"/>
          <w:szCs w:val="24"/>
        </w:rPr>
        <w:t>competition</w:t>
      </w:r>
      <w:r w:rsidR="003F30CF">
        <w:rPr>
          <w:rFonts w:ascii="Arial" w:hAnsi="Arial" w:cs="Arial"/>
          <w:sz w:val="24"/>
          <w:szCs w:val="24"/>
        </w:rPr>
        <w:t xml:space="preserve"> rivalry, </w:t>
      </w:r>
      <w:r w:rsidR="0074138B">
        <w:rPr>
          <w:rFonts w:ascii="Arial" w:hAnsi="Arial" w:cs="Arial"/>
          <w:sz w:val="24"/>
          <w:szCs w:val="24"/>
        </w:rPr>
        <w:t>however</w:t>
      </w:r>
      <w:r w:rsidR="003F30CF">
        <w:rPr>
          <w:rFonts w:ascii="Arial" w:hAnsi="Arial" w:cs="Arial"/>
          <w:sz w:val="24"/>
          <w:szCs w:val="24"/>
        </w:rPr>
        <w:t xml:space="preserve">, can be </w:t>
      </w:r>
      <w:r w:rsidR="0074138B">
        <w:rPr>
          <w:rFonts w:ascii="Arial" w:hAnsi="Arial" w:cs="Arial"/>
          <w:sz w:val="24"/>
          <w:szCs w:val="24"/>
        </w:rPr>
        <w:t>alleviated</w:t>
      </w:r>
      <w:r w:rsidR="003F30CF">
        <w:rPr>
          <w:rFonts w:ascii="Arial" w:hAnsi="Arial" w:cs="Arial"/>
          <w:sz w:val="24"/>
          <w:szCs w:val="24"/>
        </w:rPr>
        <w:t xml:space="preserve"> by the strong growth of the market. </w:t>
      </w:r>
      <w:r>
        <w:rPr>
          <w:rFonts w:ascii="Arial" w:hAnsi="Arial" w:cs="Arial"/>
          <w:sz w:val="24"/>
          <w:szCs w:val="24"/>
        </w:rPr>
        <w:t xml:space="preserve">The reform of the regulatory market and strong intervention from the Chinese government, can elevate the uncertainty of the market. </w:t>
      </w:r>
    </w:p>
    <w:p w14:paraId="76B90AB9" w14:textId="387C7373" w:rsidR="00CC0EE2" w:rsidRPr="00CC0EE2" w:rsidRDefault="00CC0EE2" w:rsidP="00CC0EE2">
      <w:pPr>
        <w:pStyle w:val="a7"/>
        <w:widowControl/>
        <w:numPr>
          <w:ilvl w:val="1"/>
          <w:numId w:val="1"/>
        </w:numPr>
        <w:spacing w:before="240" w:after="240" w:line="360" w:lineRule="auto"/>
        <w:contextualSpacing w:val="0"/>
        <w:outlineLvl w:val="1"/>
        <w:rPr>
          <w:rFonts w:ascii="Arial" w:hAnsi="Arial" w:cs="Arial"/>
          <w:b/>
          <w:bCs/>
          <w:sz w:val="24"/>
          <w:szCs w:val="24"/>
        </w:rPr>
      </w:pPr>
      <w:bookmarkStart w:id="27" w:name="_Toc40423914"/>
      <w:r w:rsidRPr="00CC0EE2">
        <w:rPr>
          <w:rFonts w:ascii="Arial" w:hAnsi="Arial" w:cs="Arial"/>
          <w:b/>
          <w:bCs/>
          <w:sz w:val="24"/>
          <w:szCs w:val="24"/>
        </w:rPr>
        <w:t>Internal analysis - SWOT analysis</w:t>
      </w:r>
      <w:bookmarkEnd w:id="27"/>
      <w:r w:rsidRPr="00CC0EE2">
        <w:rPr>
          <w:rFonts w:ascii="Arial" w:hAnsi="Arial" w:cs="Arial"/>
          <w:b/>
          <w:bCs/>
          <w:sz w:val="24"/>
          <w:szCs w:val="24"/>
        </w:rPr>
        <w:t xml:space="preserve"> </w:t>
      </w:r>
    </w:p>
    <w:p w14:paraId="5454F654" w14:textId="671E193E" w:rsidR="004251B0" w:rsidRDefault="00CC0EE2" w:rsidP="00744782">
      <w:pPr>
        <w:widowControl/>
        <w:spacing w:before="240" w:after="240" w:line="360" w:lineRule="auto"/>
        <w:rPr>
          <w:rFonts w:ascii="Arial" w:hAnsi="Arial" w:cs="Arial"/>
          <w:sz w:val="24"/>
          <w:szCs w:val="24"/>
        </w:rPr>
      </w:pPr>
      <w:r>
        <w:rPr>
          <w:rFonts w:ascii="Arial" w:hAnsi="Arial" w:cs="Arial"/>
          <w:sz w:val="24"/>
          <w:szCs w:val="24"/>
        </w:rPr>
        <w:t xml:space="preserve">SWOT analysis is to asses the internal strengths and weaknesses, and external opportunities and threats of Novo Nordisk. </w:t>
      </w:r>
    </w:p>
    <w:p w14:paraId="0CD53514" w14:textId="27FF46CF" w:rsidR="00122B85" w:rsidRPr="00C638B7" w:rsidRDefault="00122B85" w:rsidP="00C638B7">
      <w:pPr>
        <w:pStyle w:val="a7"/>
        <w:widowControl/>
        <w:numPr>
          <w:ilvl w:val="0"/>
          <w:numId w:val="4"/>
        </w:numPr>
        <w:spacing w:before="240" w:after="240" w:line="360" w:lineRule="auto"/>
        <w:ind w:left="357" w:hanging="357"/>
        <w:contextualSpacing w:val="0"/>
        <w:outlineLvl w:val="2"/>
        <w:rPr>
          <w:rFonts w:ascii="Arial" w:hAnsi="Arial" w:cs="Arial"/>
          <w:b/>
          <w:bCs/>
          <w:sz w:val="24"/>
          <w:szCs w:val="24"/>
        </w:rPr>
      </w:pPr>
      <w:bookmarkStart w:id="28" w:name="_Toc40423834"/>
      <w:bookmarkStart w:id="29" w:name="_Toc40423915"/>
      <w:r w:rsidRPr="00C638B7">
        <w:rPr>
          <w:rFonts w:ascii="Arial" w:hAnsi="Arial" w:cs="Arial"/>
          <w:b/>
          <w:bCs/>
          <w:sz w:val="24"/>
          <w:szCs w:val="24"/>
        </w:rPr>
        <w:t>Strengths</w:t>
      </w:r>
      <w:bookmarkEnd w:id="28"/>
      <w:bookmarkEnd w:id="29"/>
      <w:r w:rsidRPr="00C638B7">
        <w:rPr>
          <w:rFonts w:ascii="Arial" w:hAnsi="Arial" w:cs="Arial"/>
          <w:b/>
          <w:bCs/>
          <w:sz w:val="24"/>
          <w:szCs w:val="24"/>
        </w:rPr>
        <w:t xml:space="preserve"> </w:t>
      </w:r>
    </w:p>
    <w:p w14:paraId="074C4B9E" w14:textId="58764A1C" w:rsidR="00122B85" w:rsidRDefault="00122B85" w:rsidP="00744782">
      <w:pPr>
        <w:widowControl/>
        <w:spacing w:before="240" w:after="240" w:line="360" w:lineRule="auto"/>
        <w:rPr>
          <w:rFonts w:ascii="Arial" w:hAnsi="Arial" w:cs="Arial"/>
          <w:sz w:val="24"/>
          <w:szCs w:val="24"/>
        </w:rPr>
      </w:pPr>
      <w:r>
        <w:rPr>
          <w:rFonts w:ascii="Arial" w:hAnsi="Arial" w:cs="Arial"/>
          <w:sz w:val="24"/>
          <w:szCs w:val="24"/>
        </w:rPr>
        <w:t xml:space="preserve">The strengths of the company arise from three aspects: strategy, operation and finance. The strategic strength of the company, which is also one of the primary strengths of the company, is the strong R&amp;D capacity. </w:t>
      </w:r>
      <w:r w:rsidR="00AA5F77">
        <w:rPr>
          <w:rFonts w:ascii="Arial" w:hAnsi="Arial" w:cs="Arial"/>
          <w:sz w:val="24"/>
          <w:szCs w:val="24"/>
        </w:rPr>
        <w:t xml:space="preserve">As shown in figure 6, Novo Nordisk is </w:t>
      </w:r>
      <w:r w:rsidR="00B47F7C">
        <w:rPr>
          <w:rFonts w:ascii="Arial" w:hAnsi="Arial" w:cs="Arial"/>
          <w:sz w:val="24"/>
          <w:szCs w:val="24"/>
        </w:rPr>
        <w:t>among the top ten pharmaceutical companies with highest R&amp;D expenditure. The</w:t>
      </w:r>
      <w:r w:rsidR="00C638B7">
        <w:rPr>
          <w:rFonts w:ascii="Arial" w:hAnsi="Arial" w:cs="Arial"/>
          <w:sz w:val="24"/>
          <w:szCs w:val="24"/>
        </w:rPr>
        <w:t xml:space="preserve"> </w:t>
      </w:r>
      <w:r w:rsidR="000367F0">
        <w:rPr>
          <w:rFonts w:ascii="Arial" w:hAnsi="Arial" w:cs="Arial"/>
          <w:sz w:val="24"/>
          <w:szCs w:val="24"/>
        </w:rPr>
        <w:t>headquarter</w:t>
      </w:r>
      <w:r w:rsidR="00C638B7">
        <w:rPr>
          <w:rFonts w:ascii="Arial" w:hAnsi="Arial" w:cs="Arial"/>
          <w:sz w:val="24"/>
          <w:szCs w:val="24"/>
        </w:rPr>
        <w:t xml:space="preserve"> of Novo Nordisk</w:t>
      </w:r>
      <w:r w:rsidR="00B47F7C">
        <w:rPr>
          <w:rFonts w:ascii="Arial" w:hAnsi="Arial" w:cs="Arial"/>
          <w:sz w:val="24"/>
          <w:szCs w:val="24"/>
        </w:rPr>
        <w:t xml:space="preserve"> is located in Denmark, which is also one of the leading countries in bio- and </w:t>
      </w:r>
      <w:r w:rsidR="000367F0">
        <w:rPr>
          <w:rFonts w:ascii="Arial" w:hAnsi="Arial" w:cs="Arial"/>
          <w:sz w:val="24"/>
          <w:szCs w:val="24"/>
        </w:rPr>
        <w:t>pharmaceutical technologies research</w:t>
      </w:r>
      <w:r w:rsidR="00B14A79">
        <w:rPr>
          <w:rFonts w:ascii="Arial" w:hAnsi="Arial" w:cs="Arial"/>
          <w:sz w:val="24"/>
          <w:szCs w:val="24"/>
        </w:rPr>
        <w:t xml:space="preserve"> </w:t>
      </w:r>
      <w:r w:rsidR="005E5F82">
        <w:rPr>
          <w:rFonts w:ascii="Arial" w:hAnsi="Arial" w:cs="Arial"/>
          <w:sz w:val="24"/>
          <w:szCs w:val="24"/>
        </w:rPr>
        <w:fldChar w:fldCharType="begin" w:fldLock="1"/>
      </w:r>
      <w:r w:rsidR="00881BC3">
        <w:rPr>
          <w:rFonts w:ascii="Arial" w:hAnsi="Arial" w:cs="Arial"/>
          <w:sz w:val="24"/>
          <w:szCs w:val="24"/>
        </w:rPr>
        <w:instrText>ADDIN CSL_CITATION {"citationItems":[{"id":"ITEM-1","itemData":{"DOI":"10.5639/gabij.2016.0503.030","ISSN":"20336772","abstract":"The development of biological medicinal products is in rapid growth and as patents for reference products expire, new biosimilar products become available. This has a marked impact on several stakeholders; from patients and physicians to decision-makers, and on activities; from treatment of patients to the conduct of pharmacovigilance. The Danish Medicines Agency (Laegemiddelstyrelsen, DKMA) has increased its focus on the pharmacovigilance of biologicals and is implementing an action plan jointly with a working group comprising representatives from the Danish Medical Association, the pharmaceutical industry and the five Danish regions.","author":[{"dropping-particle":"","family":"Lunddahl","given":"Benedicte","non-dropping-particle":"","parse-names":false,"suffix":""}],"container-title":"GaBI Journal","id":"ITEM-1","issue":"3","issued":{"date-parts":[["2016"]]},"page":"123-124","title":"Pharmacovigilance on biologicals and biosimilars: A Danish perspective","type":"article-journal","volume":"5"},"uris":["http://www.mendeley.com/documents/?uuid=0dff2840-7c09-4abe-97a4-e847ada62f64"]}],"mendeley":{"formattedCitation":"(Lunddahl, 2016)","plainTextFormattedCitation":"(Lunddahl, 2016)","previouslyFormattedCitation":"(Lunddahl, 2016)"},"properties":{"noteIndex":0},"schema":"https://github.com/citation-style-language/schema/raw/master/csl-citation.json"}</w:instrText>
      </w:r>
      <w:r w:rsidR="005E5F82">
        <w:rPr>
          <w:rFonts w:ascii="Arial" w:hAnsi="Arial" w:cs="Arial"/>
          <w:sz w:val="24"/>
          <w:szCs w:val="24"/>
        </w:rPr>
        <w:fldChar w:fldCharType="separate"/>
      </w:r>
      <w:r w:rsidR="005E5F82" w:rsidRPr="005E5F82">
        <w:rPr>
          <w:rFonts w:ascii="Arial" w:hAnsi="Arial" w:cs="Arial"/>
          <w:noProof/>
          <w:sz w:val="24"/>
          <w:szCs w:val="24"/>
        </w:rPr>
        <w:t>(Lunddahl, 2016)</w:t>
      </w:r>
      <w:r w:rsidR="005E5F82">
        <w:rPr>
          <w:rFonts w:ascii="Arial" w:hAnsi="Arial" w:cs="Arial"/>
          <w:sz w:val="24"/>
          <w:szCs w:val="24"/>
        </w:rPr>
        <w:fldChar w:fldCharType="end"/>
      </w:r>
      <w:r w:rsidR="000367F0">
        <w:rPr>
          <w:rFonts w:ascii="Arial" w:hAnsi="Arial" w:cs="Arial"/>
          <w:sz w:val="24"/>
          <w:szCs w:val="24"/>
        </w:rPr>
        <w:t>. The strong R</w:t>
      </w:r>
      <w:r w:rsidR="000367F0">
        <w:rPr>
          <w:rFonts w:ascii="Arial" w:hAnsi="Arial" w:cs="Arial" w:hint="eastAsia"/>
          <w:sz w:val="24"/>
          <w:szCs w:val="24"/>
        </w:rPr>
        <w:t>&amp;</w:t>
      </w:r>
      <w:r w:rsidR="000367F0">
        <w:rPr>
          <w:rFonts w:ascii="Arial" w:hAnsi="Arial" w:cs="Arial"/>
          <w:sz w:val="24"/>
          <w:szCs w:val="24"/>
        </w:rPr>
        <w:t xml:space="preserve">D </w:t>
      </w:r>
      <w:r w:rsidR="000367F0">
        <w:rPr>
          <w:rFonts w:ascii="Arial" w:hAnsi="Arial" w:cs="Arial" w:hint="eastAsia"/>
          <w:sz w:val="24"/>
          <w:szCs w:val="24"/>
        </w:rPr>
        <w:t>cap</w:t>
      </w:r>
      <w:r w:rsidR="000367F0">
        <w:rPr>
          <w:rFonts w:ascii="Arial" w:hAnsi="Arial" w:cs="Arial"/>
          <w:sz w:val="24"/>
          <w:szCs w:val="24"/>
        </w:rPr>
        <w:t xml:space="preserve">acity of the company also brings it to the leading position in </w:t>
      </w:r>
      <w:r w:rsidR="00D85762">
        <w:rPr>
          <w:rFonts w:ascii="Arial" w:hAnsi="Arial" w:cs="Arial"/>
          <w:sz w:val="24"/>
          <w:szCs w:val="24"/>
        </w:rPr>
        <w:t xml:space="preserve">novel anti-diabetic treatment development such as the oral insulin. </w:t>
      </w:r>
    </w:p>
    <w:p w14:paraId="407BD4A9" w14:textId="77777777" w:rsidR="00866DA2" w:rsidRDefault="00866DA2" w:rsidP="00866DA2">
      <w:pPr>
        <w:keepNext/>
        <w:widowControl/>
        <w:spacing w:before="240" w:after="240" w:line="360" w:lineRule="auto"/>
      </w:pPr>
      <w:r>
        <w:rPr>
          <w:rFonts w:ascii="Arial" w:hAnsi="Arial" w:cs="Arial"/>
          <w:noProof/>
          <w:sz w:val="24"/>
          <w:szCs w:val="24"/>
        </w:rPr>
        <w:lastRenderedPageBreak/>
        <w:drawing>
          <wp:inline distT="0" distB="0" distL="0" distR="0" wp14:anchorId="2AE992D4" wp14:editId="40B2299B">
            <wp:extent cx="4076700" cy="1784687"/>
            <wp:effectExtent l="0" t="0" r="0" b="0"/>
            <wp:docPr id="5" name="图片 5" descr="手机屏幕的截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9.tif"/>
                    <pic:cNvPicPr/>
                  </pic:nvPicPr>
                  <pic:blipFill rotWithShape="1">
                    <a:blip r:embed="rId13">
                      <a:extLst>
                        <a:ext uri="{28A0092B-C50C-407E-A947-70E740481C1C}">
                          <a14:useLocalDpi xmlns:a14="http://schemas.microsoft.com/office/drawing/2010/main" val="0"/>
                        </a:ext>
                      </a:extLst>
                    </a:blip>
                    <a:srcRect t="14200"/>
                    <a:stretch/>
                  </pic:blipFill>
                  <pic:spPr bwMode="auto">
                    <a:xfrm>
                      <a:off x="0" y="0"/>
                      <a:ext cx="4100541" cy="1795124"/>
                    </a:xfrm>
                    <a:prstGeom prst="rect">
                      <a:avLst/>
                    </a:prstGeom>
                    <a:ln>
                      <a:noFill/>
                    </a:ln>
                    <a:extLst>
                      <a:ext uri="{53640926-AAD7-44D8-BBD7-CCE9431645EC}">
                        <a14:shadowObscured xmlns:a14="http://schemas.microsoft.com/office/drawing/2010/main"/>
                      </a:ext>
                    </a:extLst>
                  </pic:spPr>
                </pic:pic>
              </a:graphicData>
            </a:graphic>
          </wp:inline>
        </w:drawing>
      </w:r>
    </w:p>
    <w:p w14:paraId="7181B08C" w14:textId="6AB4AE93" w:rsidR="00866DA2" w:rsidRPr="000A69A8" w:rsidRDefault="00866DA2" w:rsidP="00866DA2">
      <w:pPr>
        <w:pStyle w:val="a8"/>
        <w:rPr>
          <w:rFonts w:ascii="Arial" w:hAnsi="Arial" w:cs="Arial"/>
          <w:b/>
          <w:bCs/>
          <w:i w:val="0"/>
          <w:iCs w:val="0"/>
        </w:rPr>
      </w:pPr>
      <w:r w:rsidRPr="000A69A8">
        <w:rPr>
          <w:rFonts w:ascii="Arial" w:hAnsi="Arial" w:cs="Arial"/>
          <w:b/>
          <w:bCs/>
          <w:i w:val="0"/>
          <w:iCs w:val="0"/>
        </w:rPr>
        <w:t xml:space="preserve">Figure </w:t>
      </w:r>
      <w:r w:rsidRPr="000A69A8">
        <w:rPr>
          <w:rFonts w:ascii="Arial" w:hAnsi="Arial" w:cs="Arial"/>
          <w:b/>
          <w:bCs/>
          <w:i w:val="0"/>
          <w:iCs w:val="0"/>
        </w:rPr>
        <w:fldChar w:fldCharType="begin"/>
      </w:r>
      <w:r w:rsidRPr="000A69A8">
        <w:rPr>
          <w:rFonts w:ascii="Arial" w:hAnsi="Arial" w:cs="Arial"/>
          <w:b/>
          <w:bCs/>
          <w:i w:val="0"/>
          <w:iCs w:val="0"/>
        </w:rPr>
        <w:instrText xml:space="preserve"> SEQ Figure \* ARABIC </w:instrText>
      </w:r>
      <w:r w:rsidRPr="000A69A8">
        <w:rPr>
          <w:rFonts w:ascii="Arial" w:hAnsi="Arial" w:cs="Arial"/>
          <w:b/>
          <w:bCs/>
          <w:i w:val="0"/>
          <w:iCs w:val="0"/>
        </w:rPr>
        <w:fldChar w:fldCharType="separate"/>
      </w:r>
      <w:r w:rsidR="008111A3">
        <w:rPr>
          <w:rFonts w:ascii="Arial" w:hAnsi="Arial" w:cs="Arial"/>
          <w:b/>
          <w:bCs/>
          <w:i w:val="0"/>
          <w:iCs w:val="0"/>
          <w:noProof/>
        </w:rPr>
        <w:t>6</w:t>
      </w:r>
      <w:r w:rsidRPr="000A69A8">
        <w:rPr>
          <w:rFonts w:ascii="Arial" w:hAnsi="Arial" w:cs="Arial"/>
          <w:b/>
          <w:bCs/>
          <w:i w:val="0"/>
          <w:iCs w:val="0"/>
        </w:rPr>
        <w:fldChar w:fldCharType="end"/>
      </w:r>
      <w:r w:rsidRPr="000A69A8">
        <w:rPr>
          <w:rFonts w:ascii="Arial" w:hAnsi="Arial" w:cs="Arial"/>
          <w:b/>
          <w:bCs/>
          <w:i w:val="0"/>
          <w:iCs w:val="0"/>
        </w:rPr>
        <w:t xml:space="preserve">. R&amp;D expenditure in million US dollars of top ten pharmaceutical companies. Source: </w:t>
      </w:r>
      <w:r w:rsidR="000A69A8" w:rsidRPr="000A69A8">
        <w:rPr>
          <w:rFonts w:ascii="Arial" w:hAnsi="Arial" w:cs="Arial"/>
          <w:b/>
          <w:bCs/>
          <w:i w:val="0"/>
          <w:iCs w:val="0"/>
        </w:rPr>
        <w:fldChar w:fldCharType="begin" w:fldLock="1"/>
      </w:r>
      <w:r w:rsidR="00946102">
        <w:rPr>
          <w:rFonts w:ascii="Arial" w:hAnsi="Arial" w:cs="Arial"/>
          <w:b/>
          <w:bCs/>
          <w:i w:val="0"/>
          <w:iCs w:val="0"/>
        </w:rPr>
        <w:instrText>ADDIN CSL_CITATION {"citationItems":[{"id":"ITEM-1","itemData":{"URL":"https://www-statista-com/statistics/262701/top-biotech-companies-based-on-revenue/","accessed":{"date-parts":[["2020","5","15"]]},"author":[{"dropping-particle":"","family":"Statista","given":"","non-dropping-particle":"","parse-names":false,"suffix":""}],"id":"ITEM-1","issued":{"date-parts":[["2019"]]},"title":"•Top biotech companies R&amp;D expenditure 2018 ","type":"webpage"},"uris":["http://www.mendeley.com/documents/?uuid=d68fd039-c24e-3d28-a7ca-e11918def29b"]}],"mendeley":{"formattedCitation":"(Statista, 2019)","plainTextFormattedCitation":"(Statista, 2019)","previouslyFormattedCitation":"(Statista, 2019)"},"properties":{"noteIndex":0},"schema":"https://github.com/citation-style-language/schema/raw/master/csl-citation.json"}</w:instrText>
      </w:r>
      <w:r w:rsidR="000A69A8" w:rsidRPr="000A69A8">
        <w:rPr>
          <w:rFonts w:ascii="Arial" w:hAnsi="Arial" w:cs="Arial"/>
          <w:b/>
          <w:bCs/>
          <w:i w:val="0"/>
          <w:iCs w:val="0"/>
        </w:rPr>
        <w:fldChar w:fldCharType="separate"/>
      </w:r>
      <w:r w:rsidR="000A69A8" w:rsidRPr="000A69A8">
        <w:rPr>
          <w:rFonts w:ascii="Arial" w:hAnsi="Arial" w:cs="Arial"/>
          <w:b/>
          <w:bCs/>
          <w:i w:val="0"/>
          <w:iCs w:val="0"/>
          <w:noProof/>
        </w:rPr>
        <w:t>(Statista, 2019)</w:t>
      </w:r>
      <w:r w:rsidR="000A69A8" w:rsidRPr="000A69A8">
        <w:rPr>
          <w:rFonts w:ascii="Arial" w:hAnsi="Arial" w:cs="Arial"/>
          <w:b/>
          <w:bCs/>
          <w:i w:val="0"/>
          <w:iCs w:val="0"/>
        </w:rPr>
        <w:fldChar w:fldCharType="end"/>
      </w:r>
    </w:p>
    <w:p w14:paraId="09F7F702" w14:textId="23CCCBFB" w:rsidR="00D85762" w:rsidRDefault="00D85762" w:rsidP="00744782">
      <w:pPr>
        <w:widowControl/>
        <w:spacing w:before="240" w:after="240" w:line="360" w:lineRule="auto"/>
        <w:rPr>
          <w:rFonts w:ascii="Arial" w:hAnsi="Arial" w:cs="Arial"/>
          <w:sz w:val="24"/>
          <w:szCs w:val="24"/>
        </w:rPr>
      </w:pPr>
      <w:r>
        <w:rPr>
          <w:rFonts w:ascii="Arial" w:hAnsi="Arial" w:cs="Arial"/>
          <w:sz w:val="24"/>
          <w:szCs w:val="24"/>
        </w:rPr>
        <w:t xml:space="preserve">The operational strength of the company is its strong market share in the global market, which has </w:t>
      </w:r>
      <w:r w:rsidR="00AF50B8">
        <w:rPr>
          <w:rFonts w:ascii="Arial" w:hAnsi="Arial" w:cs="Arial"/>
          <w:sz w:val="24"/>
          <w:szCs w:val="24"/>
        </w:rPr>
        <w:t xml:space="preserve">brought the company a good reputation of its products. This can be extremely important when </w:t>
      </w:r>
      <w:r w:rsidR="00C638B7">
        <w:rPr>
          <w:rFonts w:ascii="Arial" w:hAnsi="Arial" w:cs="Arial"/>
          <w:sz w:val="24"/>
          <w:szCs w:val="24"/>
        </w:rPr>
        <w:t>expanding</w:t>
      </w:r>
      <w:r w:rsidR="00AF50B8">
        <w:rPr>
          <w:rFonts w:ascii="Arial" w:hAnsi="Arial" w:cs="Arial"/>
          <w:sz w:val="24"/>
          <w:szCs w:val="24"/>
        </w:rPr>
        <w:t xml:space="preserve"> in markets such as China as the government procurement </w:t>
      </w:r>
      <w:r w:rsidR="00C638B7">
        <w:rPr>
          <w:rFonts w:ascii="Arial" w:hAnsi="Arial" w:cs="Arial"/>
          <w:sz w:val="24"/>
          <w:szCs w:val="24"/>
        </w:rPr>
        <w:t>assessment critically relies on the global recognition of the medical product or service</w:t>
      </w:r>
      <w:r w:rsidR="0046035E">
        <w:rPr>
          <w:rFonts w:ascii="Arial" w:hAnsi="Arial" w:cs="Arial"/>
          <w:sz w:val="24"/>
          <w:szCs w:val="24"/>
        </w:rPr>
        <w:t xml:space="preserve"> </w:t>
      </w:r>
      <w:r w:rsidR="00881BC3">
        <w:rPr>
          <w:rFonts w:ascii="Arial" w:hAnsi="Arial" w:cs="Arial"/>
          <w:sz w:val="24"/>
          <w:szCs w:val="24"/>
        </w:rPr>
        <w:fldChar w:fldCharType="begin" w:fldLock="1"/>
      </w:r>
      <w:r w:rsidR="00881BC3">
        <w:rPr>
          <w:rFonts w:ascii="Arial" w:hAnsi="Arial" w:cs="Arial"/>
          <w:sz w:val="24"/>
          <w:szCs w:val="24"/>
        </w:rPr>
        <w:instrText>ADDIN CSL_CITATION {"citationItems":[{"id":"ITEM-1","itemData":{"DOI":"10.1186/s12889-020-08746-x","ISSN":"14712458","PMID":"32349722","abstract":"BACKGROUND: In China, some medicines had a supply problem. In 2015, to address this problem, the Chinese government issued a policy to raise the price cap for some shorted low-cost medicines (LCMs). The objective was to assess the effects on medicine prices and supply of medicines from a medicine pricing policy reform point of view. METHODS: This study was conducted in Shandong, an eastern province of China with a population of 99.4 million. We collected procurement data of all (n = 1494) LCM medicines available between April 2014 and February 2017 from the web-based Provincial Drug Centralized Bidding Procurement System. This study used the Drug Price index and the average price to reveal the price change of LCMs and used the interrupted time series to evaluate the effects of LCM policy on medicine supply by measuring the change of monthly procurement volume, the number of products, and the average delivery time of LCMs. RESULTS: After the policy implementation in October 2015, the quarterly average price of all LCM products, especially traditional Chinese medicines, showed a sudden growth trend. Then after two-quarter implementation of policy, the price recovered to the same trend before policy intervention, which is consistent with the trend of the Drug price index. There were 466 of LCM products available in October 2015. After the policy intervention, the number of products available increased by 109.87% (n = 978) in February 2017, at a growth rate of 6.44% per month (Value = 30.02, P &lt; 0.001). Besides after the intervention in October 2015, the monthly procurement volumes of LCMs increased rapidly, on average, at a rate of 28.93% per month (Value = 474,000, P &lt; 0.001) for all LCMs. The average delivery time of LCMs kept on decreasing from 33.37 days to 10.69 days at a reduced rate of 3.63% (Value = - 1.21, P &lt; 0.001) per month before the policy, while no significant changes were noted. Also, average monthly delivery time was stable at 9 days after the intervention. CONCLUSIONS: The policy promoted the supply of low-cost medicines, which is beneficial for the Universal Health Coverage. However, future policies should focus on monitoring price change and reducing the delivery time of generic medicines.","author":[{"dropping-particle":"","family":"Rong","given":"Xuejing","non-dropping-particle":"","parse-names":false,"suffix":""},{"dropping-particle":"","family":"Yin","given":"Jia","non-dropping-particle":"","parse-names":false,"suffix":""},{"dropping-particle":"","family":"Duan","given":"Shuoyun","non-dropping-particle":"","parse-names":false,"suffix":""},{"dropping-particle":"","family":"Sun","given":"Qiang","non-dropping-particle":"","parse-names":false,"suffix":""},{"dropping-particle":"","family":"Babar","given":"Zaheer Ud Din","non-dropping-particle":"","parse-names":false,"suffix":""}],"container-title":"BMC public health","id":"ITEM-1","issue":"1","issued":{"date-parts":[["2020"]]},"page":"588","publisher":"Frontiers","title":"The effects of pricing policy on the prices and supply of low-cost medicines in Shandong, China: evidence from an interrupted time series analysis","type":"article-journal","volume":"20"},"uris":["http://www.mendeley.com/documents/?uuid=0671dcd1-a9e1-4b9e-b930-df78af899a4e"]}],"mendeley":{"formattedCitation":"(Rong &lt;i&gt;et al.&lt;/i&gt;, 2020)","plainTextFormattedCitation":"(Rong et al., 2020)","previouslyFormattedCitation":"(Rong &lt;i&gt;et al.&lt;/i&gt;, 2020)"},"properties":{"noteIndex":0},"schema":"https://github.com/citation-style-language/schema/raw/master/csl-citation.json"}</w:instrText>
      </w:r>
      <w:r w:rsidR="00881BC3">
        <w:rPr>
          <w:rFonts w:ascii="Arial" w:hAnsi="Arial" w:cs="Arial"/>
          <w:sz w:val="24"/>
          <w:szCs w:val="24"/>
        </w:rPr>
        <w:fldChar w:fldCharType="separate"/>
      </w:r>
      <w:r w:rsidR="00881BC3" w:rsidRPr="00881BC3">
        <w:rPr>
          <w:rFonts w:ascii="Arial" w:hAnsi="Arial" w:cs="Arial"/>
          <w:noProof/>
          <w:sz w:val="24"/>
          <w:szCs w:val="24"/>
        </w:rPr>
        <w:t xml:space="preserve">(Rong </w:t>
      </w:r>
      <w:r w:rsidR="00881BC3" w:rsidRPr="00881BC3">
        <w:rPr>
          <w:rFonts w:ascii="Arial" w:hAnsi="Arial" w:cs="Arial"/>
          <w:i/>
          <w:noProof/>
          <w:sz w:val="24"/>
          <w:szCs w:val="24"/>
        </w:rPr>
        <w:t>et al.</w:t>
      </w:r>
      <w:r w:rsidR="00881BC3" w:rsidRPr="00881BC3">
        <w:rPr>
          <w:rFonts w:ascii="Arial" w:hAnsi="Arial" w:cs="Arial"/>
          <w:noProof/>
          <w:sz w:val="24"/>
          <w:szCs w:val="24"/>
        </w:rPr>
        <w:t>, 2020)</w:t>
      </w:r>
      <w:r w:rsidR="00881BC3">
        <w:rPr>
          <w:rFonts w:ascii="Arial" w:hAnsi="Arial" w:cs="Arial"/>
          <w:sz w:val="24"/>
          <w:szCs w:val="24"/>
        </w:rPr>
        <w:fldChar w:fldCharType="end"/>
      </w:r>
      <w:r w:rsidR="00C638B7">
        <w:rPr>
          <w:rFonts w:ascii="Arial" w:hAnsi="Arial" w:cs="Arial"/>
          <w:sz w:val="24"/>
          <w:szCs w:val="24"/>
        </w:rPr>
        <w:t xml:space="preserve">. </w:t>
      </w:r>
    </w:p>
    <w:p w14:paraId="7397048D" w14:textId="429204A7" w:rsidR="00C638B7" w:rsidRPr="00C638B7" w:rsidRDefault="00C638B7" w:rsidP="00C638B7">
      <w:pPr>
        <w:pStyle w:val="a7"/>
        <w:widowControl/>
        <w:numPr>
          <w:ilvl w:val="0"/>
          <w:numId w:val="4"/>
        </w:numPr>
        <w:spacing w:before="240" w:after="240" w:line="360" w:lineRule="auto"/>
        <w:ind w:left="357" w:hanging="357"/>
        <w:contextualSpacing w:val="0"/>
        <w:outlineLvl w:val="2"/>
        <w:rPr>
          <w:rFonts w:ascii="Arial" w:hAnsi="Arial" w:cs="Arial"/>
          <w:b/>
          <w:bCs/>
          <w:sz w:val="24"/>
          <w:szCs w:val="24"/>
        </w:rPr>
      </w:pPr>
      <w:bookmarkStart w:id="30" w:name="_Toc40423835"/>
      <w:bookmarkStart w:id="31" w:name="_Toc40423916"/>
      <w:r w:rsidRPr="00C638B7">
        <w:rPr>
          <w:rFonts w:ascii="Arial" w:hAnsi="Arial" w:cs="Arial"/>
          <w:b/>
          <w:bCs/>
          <w:sz w:val="24"/>
          <w:szCs w:val="24"/>
        </w:rPr>
        <w:t>Weakness</w:t>
      </w:r>
      <w:bookmarkEnd w:id="30"/>
      <w:bookmarkEnd w:id="31"/>
      <w:r w:rsidRPr="00C638B7">
        <w:rPr>
          <w:rFonts w:ascii="Arial" w:hAnsi="Arial" w:cs="Arial"/>
          <w:b/>
          <w:bCs/>
          <w:sz w:val="24"/>
          <w:szCs w:val="24"/>
        </w:rPr>
        <w:t xml:space="preserve"> </w:t>
      </w:r>
    </w:p>
    <w:p w14:paraId="46EF2896" w14:textId="2500F4D2" w:rsidR="00C638B7" w:rsidRDefault="001A187E" w:rsidP="00744782">
      <w:pPr>
        <w:widowControl/>
        <w:spacing w:before="240" w:after="240" w:line="360" w:lineRule="auto"/>
        <w:rPr>
          <w:rFonts w:ascii="Arial" w:hAnsi="Arial" w:cs="Arial"/>
          <w:sz w:val="24"/>
          <w:szCs w:val="24"/>
        </w:rPr>
      </w:pPr>
      <w:r>
        <w:rPr>
          <w:rFonts w:ascii="Arial" w:hAnsi="Arial" w:cs="Arial"/>
          <w:sz w:val="24"/>
          <w:szCs w:val="24"/>
        </w:rPr>
        <w:t xml:space="preserve">The primary weakness of the company is its </w:t>
      </w:r>
      <w:r w:rsidR="00866DA2">
        <w:rPr>
          <w:rFonts w:ascii="Arial" w:hAnsi="Arial" w:cs="Arial"/>
          <w:sz w:val="24"/>
          <w:szCs w:val="24"/>
        </w:rPr>
        <w:t>weak financial performance in recent years. The profit growth has decreased to almost zero. The stock price of the company</w:t>
      </w:r>
      <w:r w:rsidR="000A69A8">
        <w:rPr>
          <w:rFonts w:ascii="Arial" w:hAnsi="Arial" w:cs="Arial"/>
          <w:sz w:val="24"/>
          <w:szCs w:val="24"/>
        </w:rPr>
        <w:t xml:space="preserve">, as shown in figure </w:t>
      </w:r>
      <w:r w:rsidR="00946102">
        <w:rPr>
          <w:rFonts w:ascii="Arial" w:hAnsi="Arial" w:cs="Arial"/>
          <w:sz w:val="24"/>
          <w:szCs w:val="24"/>
        </w:rPr>
        <w:t>7</w:t>
      </w:r>
      <w:r w:rsidR="000A69A8">
        <w:rPr>
          <w:rFonts w:ascii="Arial" w:hAnsi="Arial" w:cs="Arial"/>
          <w:sz w:val="24"/>
          <w:szCs w:val="24"/>
        </w:rPr>
        <w:t xml:space="preserve">, </w:t>
      </w:r>
      <w:r w:rsidR="008D4866">
        <w:rPr>
          <w:rFonts w:ascii="Arial" w:hAnsi="Arial" w:cs="Arial"/>
          <w:sz w:val="24"/>
          <w:szCs w:val="24"/>
        </w:rPr>
        <w:t xml:space="preserve">has been fluctuating in recent years due to the </w:t>
      </w:r>
      <w:r w:rsidR="0091531A">
        <w:rPr>
          <w:rFonts w:ascii="Arial" w:hAnsi="Arial" w:cs="Arial"/>
          <w:sz w:val="24"/>
          <w:szCs w:val="24"/>
        </w:rPr>
        <w:t xml:space="preserve">uncertain faith from investors on the company’s oral insulin project. </w:t>
      </w:r>
    </w:p>
    <w:p w14:paraId="3DAAB2D1" w14:textId="77777777" w:rsidR="0091531A" w:rsidRDefault="0091531A" w:rsidP="0091531A">
      <w:pPr>
        <w:keepNext/>
        <w:widowControl/>
        <w:spacing w:before="240" w:after="240" w:line="360" w:lineRule="auto"/>
      </w:pPr>
      <w:r>
        <w:rPr>
          <w:rFonts w:ascii="Arial" w:hAnsi="Arial" w:cs="Arial"/>
          <w:noProof/>
          <w:sz w:val="24"/>
          <w:szCs w:val="24"/>
        </w:rPr>
        <w:drawing>
          <wp:inline distT="0" distB="0" distL="0" distR="0" wp14:anchorId="1F49AF06" wp14:editId="5655249C">
            <wp:extent cx="3232983" cy="1935480"/>
            <wp:effectExtent l="0" t="0" r="5715" b="0"/>
            <wp:docPr id="6" name="图片 6" descr="电脑屏幕的照片&#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10.tif"/>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244307" cy="1942259"/>
                    </a:xfrm>
                    <a:prstGeom prst="rect">
                      <a:avLst/>
                    </a:prstGeom>
                  </pic:spPr>
                </pic:pic>
              </a:graphicData>
            </a:graphic>
          </wp:inline>
        </w:drawing>
      </w:r>
    </w:p>
    <w:p w14:paraId="5B2674E0" w14:textId="7A05554C" w:rsidR="0091531A" w:rsidRDefault="0091531A" w:rsidP="0091531A">
      <w:pPr>
        <w:pStyle w:val="a8"/>
        <w:rPr>
          <w:rFonts w:ascii="Arial" w:hAnsi="Arial" w:cs="Arial"/>
          <w:b/>
          <w:bCs/>
          <w:i w:val="0"/>
          <w:iCs w:val="0"/>
        </w:rPr>
      </w:pPr>
      <w:r w:rsidRPr="00946102">
        <w:rPr>
          <w:rFonts w:ascii="Arial" w:hAnsi="Arial" w:cs="Arial"/>
          <w:b/>
          <w:bCs/>
          <w:i w:val="0"/>
          <w:iCs w:val="0"/>
        </w:rPr>
        <w:t xml:space="preserve">Figure </w:t>
      </w:r>
      <w:r w:rsidRPr="00946102">
        <w:rPr>
          <w:rFonts w:ascii="Arial" w:hAnsi="Arial" w:cs="Arial"/>
          <w:b/>
          <w:bCs/>
          <w:i w:val="0"/>
          <w:iCs w:val="0"/>
        </w:rPr>
        <w:fldChar w:fldCharType="begin"/>
      </w:r>
      <w:r w:rsidRPr="00946102">
        <w:rPr>
          <w:rFonts w:ascii="Arial" w:hAnsi="Arial" w:cs="Arial"/>
          <w:b/>
          <w:bCs/>
          <w:i w:val="0"/>
          <w:iCs w:val="0"/>
        </w:rPr>
        <w:instrText xml:space="preserve"> SEQ Figure \* ARABIC </w:instrText>
      </w:r>
      <w:r w:rsidRPr="00946102">
        <w:rPr>
          <w:rFonts w:ascii="Arial" w:hAnsi="Arial" w:cs="Arial"/>
          <w:b/>
          <w:bCs/>
          <w:i w:val="0"/>
          <w:iCs w:val="0"/>
        </w:rPr>
        <w:fldChar w:fldCharType="separate"/>
      </w:r>
      <w:r w:rsidR="008111A3">
        <w:rPr>
          <w:rFonts w:ascii="Arial" w:hAnsi="Arial" w:cs="Arial"/>
          <w:b/>
          <w:bCs/>
          <w:i w:val="0"/>
          <w:iCs w:val="0"/>
          <w:noProof/>
        </w:rPr>
        <w:t>7</w:t>
      </w:r>
      <w:r w:rsidRPr="00946102">
        <w:rPr>
          <w:rFonts w:ascii="Arial" w:hAnsi="Arial" w:cs="Arial"/>
          <w:b/>
          <w:bCs/>
          <w:i w:val="0"/>
          <w:iCs w:val="0"/>
        </w:rPr>
        <w:fldChar w:fldCharType="end"/>
      </w:r>
      <w:r w:rsidRPr="00946102">
        <w:rPr>
          <w:rFonts w:ascii="Arial" w:hAnsi="Arial" w:cs="Arial"/>
          <w:b/>
          <w:bCs/>
          <w:i w:val="0"/>
          <w:iCs w:val="0"/>
        </w:rPr>
        <w:t xml:space="preserve">. Stock price of Novo Nordisk. Source: </w:t>
      </w:r>
      <w:r w:rsidR="00946102" w:rsidRPr="00946102">
        <w:rPr>
          <w:rFonts w:ascii="Arial" w:hAnsi="Arial" w:cs="Arial"/>
          <w:b/>
          <w:bCs/>
          <w:i w:val="0"/>
          <w:iCs w:val="0"/>
        </w:rPr>
        <w:fldChar w:fldCharType="begin" w:fldLock="1"/>
      </w:r>
      <w:r w:rsidR="00A155EB">
        <w:rPr>
          <w:rFonts w:ascii="Arial" w:hAnsi="Arial" w:cs="Arial"/>
          <w:b/>
          <w:bCs/>
          <w:i w:val="0"/>
          <w:iCs w:val="0"/>
        </w:rPr>
        <w:instrText>ADDIN CSL_CITATION {"citationItems":[{"id":"ITEM-1","itemData":{"URL":"https://finance.yahoo.com/quote/NVO/history?period1=1431648000&amp;period2=1589500800&amp;interval=1mo&amp;filter=history&amp;frequency=1mo","accessed":{"date-parts":[["2020","5","15"]]},"author":[{"dropping-particle":"","family":"Yahoo Finance","given":"","non-dropping-particle":"","parse-names":false,"suffix":""}],"id":"ITEM-1","issued":{"date-parts":[["2020"]]},"title":"NVO : Novo Nordisk A/S ","type":"webpage"},"uris":["http://www.mendeley.com/documents/?uuid=68606f6f-e9e6-3d3b-8481-f9c468fe762f"]}],"mendeley":{"formattedCitation":"(Yahoo Finance, 2020)","plainTextFormattedCitation":"(Yahoo Finance, 2020)","previouslyFormattedCitation":"(Yahoo Finance, 2020)"},"properties":{"noteIndex":0},"schema":"https://github.com/citation-style-language/schema/raw/master/csl-citation.json"}</w:instrText>
      </w:r>
      <w:r w:rsidR="00946102" w:rsidRPr="00946102">
        <w:rPr>
          <w:rFonts w:ascii="Arial" w:hAnsi="Arial" w:cs="Arial"/>
          <w:b/>
          <w:bCs/>
          <w:i w:val="0"/>
          <w:iCs w:val="0"/>
        </w:rPr>
        <w:fldChar w:fldCharType="separate"/>
      </w:r>
      <w:r w:rsidR="00946102" w:rsidRPr="00946102">
        <w:rPr>
          <w:rFonts w:ascii="Arial" w:hAnsi="Arial" w:cs="Arial"/>
          <w:b/>
          <w:bCs/>
          <w:i w:val="0"/>
          <w:iCs w:val="0"/>
          <w:noProof/>
        </w:rPr>
        <w:t>(Yahoo Finance, 2020)</w:t>
      </w:r>
      <w:r w:rsidR="00946102" w:rsidRPr="00946102">
        <w:rPr>
          <w:rFonts w:ascii="Arial" w:hAnsi="Arial" w:cs="Arial"/>
          <w:b/>
          <w:bCs/>
          <w:i w:val="0"/>
          <w:iCs w:val="0"/>
        </w:rPr>
        <w:fldChar w:fldCharType="end"/>
      </w:r>
    </w:p>
    <w:p w14:paraId="39A6511A" w14:textId="3C821C1A" w:rsidR="006F7847" w:rsidRDefault="006F7847" w:rsidP="006F7847"/>
    <w:p w14:paraId="667CDA20" w14:textId="5EC8DECE" w:rsidR="006F7847" w:rsidRDefault="006F7847" w:rsidP="006F7847"/>
    <w:p w14:paraId="5B18753A" w14:textId="77777777" w:rsidR="006F7847" w:rsidRPr="006F7847" w:rsidRDefault="006F7847" w:rsidP="006F7847"/>
    <w:p w14:paraId="7140D7BC" w14:textId="3480F6B1" w:rsidR="00CC04E0" w:rsidRPr="00CC04E0" w:rsidRDefault="00CC0EE2" w:rsidP="00CC04E0">
      <w:pPr>
        <w:pStyle w:val="a7"/>
        <w:widowControl/>
        <w:numPr>
          <w:ilvl w:val="0"/>
          <w:numId w:val="4"/>
        </w:numPr>
        <w:spacing w:before="240" w:after="240" w:line="360" w:lineRule="auto"/>
        <w:ind w:left="357" w:hanging="357"/>
        <w:contextualSpacing w:val="0"/>
        <w:outlineLvl w:val="2"/>
        <w:rPr>
          <w:rFonts w:ascii="Arial" w:hAnsi="Arial" w:cs="Arial"/>
          <w:b/>
          <w:bCs/>
          <w:sz w:val="24"/>
          <w:szCs w:val="24"/>
        </w:rPr>
      </w:pPr>
      <w:r w:rsidRPr="00CC04E0">
        <w:rPr>
          <w:rFonts w:ascii="Arial" w:hAnsi="Arial" w:cs="Arial"/>
          <w:b/>
          <w:bCs/>
          <w:sz w:val="24"/>
          <w:szCs w:val="24"/>
        </w:rPr>
        <w:lastRenderedPageBreak/>
        <w:t xml:space="preserve"> </w:t>
      </w:r>
      <w:bookmarkStart w:id="32" w:name="_Toc40423836"/>
      <w:bookmarkStart w:id="33" w:name="_Toc40423917"/>
      <w:r w:rsidR="00CC04E0" w:rsidRPr="00CC04E0">
        <w:rPr>
          <w:rFonts w:ascii="Arial" w:hAnsi="Arial" w:cs="Arial"/>
          <w:b/>
          <w:bCs/>
          <w:sz w:val="24"/>
          <w:szCs w:val="24"/>
        </w:rPr>
        <w:t>Opportunity</w:t>
      </w:r>
      <w:bookmarkEnd w:id="32"/>
      <w:bookmarkEnd w:id="33"/>
      <w:r w:rsidR="00CC04E0" w:rsidRPr="00CC04E0">
        <w:rPr>
          <w:rFonts w:ascii="Arial" w:hAnsi="Arial" w:cs="Arial"/>
          <w:b/>
          <w:bCs/>
          <w:sz w:val="24"/>
          <w:szCs w:val="24"/>
        </w:rPr>
        <w:t xml:space="preserve"> </w:t>
      </w:r>
    </w:p>
    <w:p w14:paraId="3D68A49A" w14:textId="31B86A64" w:rsidR="00CC0EE2" w:rsidRDefault="004D32DE" w:rsidP="00744782">
      <w:pPr>
        <w:widowControl/>
        <w:spacing w:before="240" w:after="240" w:line="360" w:lineRule="auto"/>
        <w:rPr>
          <w:rFonts w:ascii="Arial" w:hAnsi="Arial" w:cs="Arial"/>
          <w:sz w:val="24"/>
          <w:szCs w:val="24"/>
        </w:rPr>
      </w:pPr>
      <w:r>
        <w:rPr>
          <w:rFonts w:ascii="Arial" w:hAnsi="Arial" w:cs="Arial"/>
          <w:sz w:val="24"/>
          <w:szCs w:val="24"/>
        </w:rPr>
        <w:t xml:space="preserve">The primary opportunity of the company is its potential capacity in translating its R&amp;D investment on oral insulin to market recognised </w:t>
      </w:r>
      <w:r w:rsidR="00B7102F">
        <w:rPr>
          <w:rFonts w:ascii="Arial" w:hAnsi="Arial" w:cs="Arial"/>
          <w:sz w:val="24"/>
          <w:szCs w:val="24"/>
        </w:rPr>
        <w:t xml:space="preserve">product. Another primary </w:t>
      </w:r>
      <w:r w:rsidR="00145D5F">
        <w:rPr>
          <w:rFonts w:ascii="Arial" w:hAnsi="Arial" w:cs="Arial"/>
          <w:sz w:val="24"/>
          <w:szCs w:val="24"/>
        </w:rPr>
        <w:t>opportunity</w:t>
      </w:r>
      <w:r w:rsidR="00B7102F">
        <w:rPr>
          <w:rFonts w:ascii="Arial" w:hAnsi="Arial" w:cs="Arial"/>
          <w:sz w:val="24"/>
          <w:szCs w:val="24"/>
        </w:rPr>
        <w:t xml:space="preserve"> lies in the strong demand in the Chinese market and the company’s </w:t>
      </w:r>
      <w:r w:rsidR="00145D5F">
        <w:rPr>
          <w:rFonts w:ascii="Arial" w:hAnsi="Arial" w:cs="Arial"/>
          <w:sz w:val="24"/>
          <w:szCs w:val="24"/>
        </w:rPr>
        <w:t>experience</w:t>
      </w:r>
      <w:r w:rsidR="00B7102F">
        <w:rPr>
          <w:rFonts w:ascii="Arial" w:hAnsi="Arial" w:cs="Arial"/>
          <w:sz w:val="24"/>
          <w:szCs w:val="24"/>
        </w:rPr>
        <w:t xml:space="preserve"> in </w:t>
      </w:r>
      <w:r w:rsidR="00145D5F">
        <w:rPr>
          <w:rFonts w:ascii="Arial" w:hAnsi="Arial" w:cs="Arial"/>
          <w:sz w:val="24"/>
          <w:szCs w:val="24"/>
        </w:rPr>
        <w:t>operation</w:t>
      </w:r>
      <w:r w:rsidR="00B7102F">
        <w:rPr>
          <w:rFonts w:ascii="Arial" w:hAnsi="Arial" w:cs="Arial"/>
          <w:sz w:val="24"/>
          <w:szCs w:val="24"/>
        </w:rPr>
        <w:t xml:space="preserve"> in China</w:t>
      </w:r>
      <w:r w:rsidR="00881BC3">
        <w:rPr>
          <w:rFonts w:ascii="Arial" w:hAnsi="Arial" w:cs="Arial"/>
          <w:sz w:val="24"/>
          <w:szCs w:val="24"/>
        </w:rPr>
        <w:t xml:space="preserve"> </w:t>
      </w:r>
      <w:r w:rsidR="00881BC3">
        <w:rPr>
          <w:rFonts w:ascii="Arial" w:hAnsi="Arial" w:cs="Arial"/>
          <w:sz w:val="24"/>
          <w:szCs w:val="24"/>
        </w:rPr>
        <w:fldChar w:fldCharType="begin" w:fldLock="1"/>
      </w:r>
      <w:r w:rsidR="003225CA">
        <w:rPr>
          <w:rFonts w:ascii="Arial" w:hAnsi="Arial" w:cs="Arial"/>
          <w:sz w:val="24"/>
          <w:szCs w:val="24"/>
        </w:rPr>
        <w:instrText>ADDIN CSL_CITATION {"citationItems":[{"id":"ITEM-1","itemData":{"author":[{"dropping-particle":"","family":"Novo Nordisk","given":"","non-dropping-particle":"","parse-names":false,"suffix":""}],"id":"ITEM-1","issued":{"date-parts":[["2019"]]},"title":"Novo Nordisk Annual Report 2019","type":"report"},"uris":["http://www.mendeley.com/documents/?uuid=5118f831-ee8c-3514-a37d-27352ed052de"]}],"mendeley":{"formattedCitation":"(Novo Nordisk, 2019)","plainTextFormattedCitation":"(Novo Nordisk, 2019)","previouslyFormattedCitation":"(Novo Nordisk, 2019)"},"properties":{"noteIndex":0},"schema":"https://github.com/citation-style-language/schema/raw/master/csl-citation.json"}</w:instrText>
      </w:r>
      <w:r w:rsidR="00881BC3">
        <w:rPr>
          <w:rFonts w:ascii="Arial" w:hAnsi="Arial" w:cs="Arial"/>
          <w:sz w:val="24"/>
          <w:szCs w:val="24"/>
        </w:rPr>
        <w:fldChar w:fldCharType="separate"/>
      </w:r>
      <w:r w:rsidR="00881BC3" w:rsidRPr="00881BC3">
        <w:rPr>
          <w:rFonts w:ascii="Arial" w:hAnsi="Arial" w:cs="Arial"/>
          <w:noProof/>
          <w:sz w:val="24"/>
          <w:szCs w:val="24"/>
        </w:rPr>
        <w:t>(Novo Nordisk, 2019)</w:t>
      </w:r>
      <w:r w:rsidR="00881BC3">
        <w:rPr>
          <w:rFonts w:ascii="Arial" w:hAnsi="Arial" w:cs="Arial"/>
          <w:sz w:val="24"/>
          <w:szCs w:val="24"/>
        </w:rPr>
        <w:fldChar w:fldCharType="end"/>
      </w:r>
      <w:r w:rsidR="00B7102F">
        <w:rPr>
          <w:rFonts w:ascii="Arial" w:hAnsi="Arial" w:cs="Arial"/>
          <w:sz w:val="24"/>
          <w:szCs w:val="24"/>
        </w:rPr>
        <w:t xml:space="preserve">. </w:t>
      </w:r>
      <w:r w:rsidR="006E7A7A">
        <w:rPr>
          <w:rFonts w:ascii="Arial" w:hAnsi="Arial" w:cs="Arial"/>
          <w:sz w:val="24"/>
          <w:szCs w:val="24"/>
        </w:rPr>
        <w:t xml:space="preserve">The company has recently </w:t>
      </w:r>
      <w:r w:rsidR="00A175EA">
        <w:rPr>
          <w:rFonts w:ascii="Arial" w:hAnsi="Arial" w:cs="Arial"/>
          <w:sz w:val="24"/>
          <w:szCs w:val="24"/>
        </w:rPr>
        <w:t>established</w:t>
      </w:r>
      <w:r w:rsidR="006E7A7A">
        <w:rPr>
          <w:rFonts w:ascii="Arial" w:hAnsi="Arial" w:cs="Arial"/>
          <w:sz w:val="24"/>
          <w:szCs w:val="24"/>
        </w:rPr>
        <w:t xml:space="preserve"> </w:t>
      </w:r>
      <w:r w:rsidR="00A175EA">
        <w:rPr>
          <w:rFonts w:ascii="Arial" w:hAnsi="Arial" w:cs="Arial"/>
          <w:sz w:val="24"/>
          <w:szCs w:val="24"/>
        </w:rPr>
        <w:t xml:space="preserve">partnership with several leading MedTech companies including Abbott in Denmark, which can be an opportunity for the company to enter the rapidly growing MedTech market. </w:t>
      </w:r>
    </w:p>
    <w:p w14:paraId="114D7B0F" w14:textId="04679878" w:rsidR="00A175EA" w:rsidRPr="00401B21" w:rsidRDefault="00401B21" w:rsidP="00401B21">
      <w:pPr>
        <w:pStyle w:val="a7"/>
        <w:widowControl/>
        <w:numPr>
          <w:ilvl w:val="0"/>
          <w:numId w:val="4"/>
        </w:numPr>
        <w:spacing w:before="240" w:after="240" w:line="360" w:lineRule="auto"/>
        <w:ind w:left="357" w:hanging="357"/>
        <w:contextualSpacing w:val="0"/>
        <w:outlineLvl w:val="2"/>
        <w:rPr>
          <w:rFonts w:ascii="Arial" w:hAnsi="Arial" w:cs="Arial"/>
          <w:b/>
          <w:bCs/>
          <w:sz w:val="24"/>
          <w:szCs w:val="24"/>
        </w:rPr>
      </w:pPr>
      <w:bookmarkStart w:id="34" w:name="_Toc40423837"/>
      <w:bookmarkStart w:id="35" w:name="_Toc40423918"/>
      <w:r w:rsidRPr="00401B21">
        <w:rPr>
          <w:rFonts w:ascii="Arial" w:hAnsi="Arial" w:cs="Arial"/>
          <w:b/>
          <w:bCs/>
          <w:sz w:val="24"/>
          <w:szCs w:val="24"/>
        </w:rPr>
        <w:t>Threats</w:t>
      </w:r>
      <w:bookmarkEnd w:id="34"/>
      <w:bookmarkEnd w:id="35"/>
      <w:r w:rsidRPr="00401B21">
        <w:rPr>
          <w:rFonts w:ascii="Arial" w:hAnsi="Arial" w:cs="Arial"/>
          <w:b/>
          <w:bCs/>
          <w:sz w:val="24"/>
          <w:szCs w:val="24"/>
        </w:rPr>
        <w:t xml:space="preserve"> </w:t>
      </w:r>
    </w:p>
    <w:p w14:paraId="1550D41E" w14:textId="78CD6D0E" w:rsidR="00401B21" w:rsidRDefault="009662AD" w:rsidP="00744782">
      <w:pPr>
        <w:widowControl/>
        <w:spacing w:before="240" w:after="240" w:line="360" w:lineRule="auto"/>
        <w:rPr>
          <w:rFonts w:ascii="Arial" w:hAnsi="Arial" w:cs="Arial"/>
          <w:sz w:val="24"/>
          <w:szCs w:val="24"/>
        </w:rPr>
      </w:pPr>
      <w:r>
        <w:rPr>
          <w:rFonts w:ascii="Arial" w:hAnsi="Arial" w:cs="Arial"/>
          <w:sz w:val="24"/>
          <w:szCs w:val="24"/>
        </w:rPr>
        <w:t xml:space="preserve">The primary threat to the company lies in the rising Chinese pharmaceutical companies. Chinese researches </w:t>
      </w:r>
      <w:r w:rsidR="00885909">
        <w:rPr>
          <w:rFonts w:ascii="Arial" w:hAnsi="Arial" w:cs="Arial"/>
          <w:sz w:val="24"/>
          <w:szCs w:val="24"/>
        </w:rPr>
        <w:t>institutes</w:t>
      </w:r>
      <w:r>
        <w:rPr>
          <w:rFonts w:ascii="Arial" w:hAnsi="Arial" w:cs="Arial"/>
          <w:sz w:val="24"/>
          <w:szCs w:val="24"/>
        </w:rPr>
        <w:t xml:space="preserve"> have been highly productive in pharmaceutical design and synthesis in the past decade. The Chinese government is also strongly promoting the transferring of </w:t>
      </w:r>
      <w:r w:rsidR="00885909">
        <w:rPr>
          <w:rFonts w:ascii="Arial" w:hAnsi="Arial" w:cs="Arial"/>
          <w:sz w:val="24"/>
          <w:szCs w:val="24"/>
        </w:rPr>
        <w:t xml:space="preserve">R&amp;D </w:t>
      </w:r>
      <w:r w:rsidR="00885909">
        <w:rPr>
          <w:rFonts w:ascii="Arial" w:hAnsi="Arial" w:cs="Arial" w:hint="eastAsia"/>
          <w:sz w:val="24"/>
          <w:szCs w:val="24"/>
        </w:rPr>
        <w:t>outcome</w:t>
      </w:r>
      <w:r w:rsidR="00885909">
        <w:rPr>
          <w:rFonts w:ascii="Arial" w:hAnsi="Arial" w:cs="Arial"/>
          <w:sz w:val="24"/>
          <w:szCs w:val="24"/>
        </w:rPr>
        <w:t>s in the research institutes into domestic pharmaceutical companies</w:t>
      </w:r>
      <w:r w:rsidR="00881BC3">
        <w:rPr>
          <w:rFonts w:ascii="Arial" w:hAnsi="Arial" w:cs="Arial"/>
          <w:sz w:val="24"/>
          <w:szCs w:val="24"/>
        </w:rPr>
        <w:t xml:space="preserve"> </w:t>
      </w:r>
      <w:r w:rsidR="003225CA">
        <w:rPr>
          <w:rFonts w:ascii="Arial" w:hAnsi="Arial" w:cs="Arial"/>
          <w:sz w:val="24"/>
          <w:szCs w:val="24"/>
        </w:rPr>
        <w:fldChar w:fldCharType="begin" w:fldLock="1"/>
      </w:r>
      <w:r w:rsidR="00A36CFC">
        <w:rPr>
          <w:rFonts w:ascii="Arial" w:hAnsi="Arial" w:cs="Arial"/>
          <w:sz w:val="24"/>
          <w:szCs w:val="24"/>
        </w:rPr>
        <w:instrText>ADDIN CSL_CITATION {"citationItems":[{"id":"ITEM-1","itemData":{"DOI":"10.1109/TEM.2018.2793215","ISSN":"00189391","abstract":"Drawing on new institutional economics and the innovation literature, this paper examines how subnational institutions can impact corporate research and development (R&amp;D) investment in emerging economies. The study further investigates a key contingency of this institutional effect: a firm's country/ownership identity. Using China's pharmaceutical sector as the empirical context, we find that the quality of subnational institutions, such as the degree of government deregulation and the effectiveness of local contracting institutions, has a significantly positive impact on corporate R&amp;D intensity. Moreover, this institutional effect is more salient in indigenous firms and international joint ventures than in wholly owned foreign subsidiaries. This study serves to shed light on future research on how multifaceted subnational institutions shape innovation activities across different types of business organizations in emerging economies.","author":[{"dropping-particle":"","family":"Sun","given":"Pei","non-dropping-particle":"","parse-names":false,"suffix":""},{"dropping-particle":"","family":"Qu","given":"Zhe","non-dropping-particle":"","parse-names":false,"suffix":""},{"dropping-particle":"","family":"Liao","given":"Zhixiang","non-dropping-particle":"","parse-names":false,"suffix":""}],"container-title":"IEEE Transactions on Engineering Management","id":"ITEM-1","issue":"3","issued":{"date-parts":[["2018"]]},"page":"379-391","publisher":"IEEE","title":"How and when do subnational institutions matter for R&amp;D investment? Evidence from the Chinese pharmaceutical sector","type":"article-journal","volume":"65"},"uris":["http://www.mendeley.com/documents/?uuid=7ee1759d-38f4-4ea5-bb41-436b319ad9eb"]}],"mendeley":{"formattedCitation":"(Sun, Qu and Liao, 2018)","plainTextFormattedCitation":"(Sun, Qu and Liao, 2018)","previouslyFormattedCitation":"(Sun, Qu and Liao, 2018)"},"properties":{"noteIndex":0},"schema":"https://github.com/citation-style-language/schema/raw/master/csl-citation.json"}</w:instrText>
      </w:r>
      <w:r w:rsidR="003225CA">
        <w:rPr>
          <w:rFonts w:ascii="Arial" w:hAnsi="Arial" w:cs="Arial"/>
          <w:sz w:val="24"/>
          <w:szCs w:val="24"/>
        </w:rPr>
        <w:fldChar w:fldCharType="separate"/>
      </w:r>
      <w:r w:rsidR="003225CA" w:rsidRPr="003225CA">
        <w:rPr>
          <w:rFonts w:ascii="Arial" w:hAnsi="Arial" w:cs="Arial"/>
          <w:noProof/>
          <w:sz w:val="24"/>
          <w:szCs w:val="24"/>
        </w:rPr>
        <w:t>(Sun, Qu and Liao, 2018)</w:t>
      </w:r>
      <w:r w:rsidR="003225CA">
        <w:rPr>
          <w:rFonts w:ascii="Arial" w:hAnsi="Arial" w:cs="Arial"/>
          <w:sz w:val="24"/>
          <w:szCs w:val="24"/>
        </w:rPr>
        <w:fldChar w:fldCharType="end"/>
      </w:r>
      <w:r w:rsidR="00885909">
        <w:rPr>
          <w:rFonts w:ascii="Arial" w:hAnsi="Arial" w:cs="Arial"/>
          <w:sz w:val="24"/>
          <w:szCs w:val="24"/>
        </w:rPr>
        <w:t xml:space="preserve">. This can challenge the company’s position not only in China but also in the global market. </w:t>
      </w:r>
    </w:p>
    <w:p w14:paraId="53398AE6" w14:textId="6595A64C" w:rsidR="00B87D75" w:rsidRPr="000B4324" w:rsidRDefault="000B4324" w:rsidP="000B4324">
      <w:pPr>
        <w:pStyle w:val="a7"/>
        <w:widowControl/>
        <w:numPr>
          <w:ilvl w:val="0"/>
          <w:numId w:val="1"/>
        </w:numPr>
        <w:pBdr>
          <w:bottom w:val="single" w:sz="24" w:space="1" w:color="FF1654" w:themeColor="accent5"/>
        </w:pBdr>
        <w:spacing w:before="240" w:after="240" w:line="360" w:lineRule="auto"/>
        <w:contextualSpacing w:val="0"/>
        <w:outlineLvl w:val="0"/>
        <w:rPr>
          <w:rFonts w:ascii="D-DIN" w:hAnsi="D-DIN" w:cs="Arial"/>
          <w:b/>
          <w:bCs/>
          <w:color w:val="323232" w:themeColor="text2"/>
          <w:sz w:val="32"/>
          <w:szCs w:val="32"/>
        </w:rPr>
      </w:pPr>
      <w:bookmarkStart w:id="36" w:name="_Toc40423919"/>
      <w:r w:rsidRPr="000B4324">
        <w:rPr>
          <w:rFonts w:ascii="D-DIN" w:hAnsi="D-DIN" w:cs="Arial"/>
          <w:b/>
          <w:bCs/>
          <w:color w:val="323232" w:themeColor="text2"/>
          <w:sz w:val="32"/>
          <w:szCs w:val="32"/>
        </w:rPr>
        <w:t>Marketing planning of Novo Nordisk</w:t>
      </w:r>
      <w:bookmarkEnd w:id="36"/>
      <w:r w:rsidRPr="000B4324">
        <w:rPr>
          <w:rFonts w:ascii="D-DIN" w:hAnsi="D-DIN" w:cs="Arial"/>
          <w:b/>
          <w:bCs/>
          <w:color w:val="323232" w:themeColor="text2"/>
          <w:sz w:val="32"/>
          <w:szCs w:val="32"/>
        </w:rPr>
        <w:t xml:space="preserve"> </w:t>
      </w:r>
    </w:p>
    <w:p w14:paraId="4AA6B842" w14:textId="0AA320AB" w:rsidR="00B87D75" w:rsidRPr="000B4324" w:rsidRDefault="000B4324" w:rsidP="000B4324">
      <w:pPr>
        <w:pStyle w:val="a7"/>
        <w:widowControl/>
        <w:numPr>
          <w:ilvl w:val="1"/>
          <w:numId w:val="1"/>
        </w:numPr>
        <w:spacing w:before="240" w:after="240" w:line="360" w:lineRule="auto"/>
        <w:contextualSpacing w:val="0"/>
        <w:outlineLvl w:val="1"/>
        <w:rPr>
          <w:rFonts w:ascii="Arial" w:hAnsi="Arial" w:cs="Arial"/>
          <w:b/>
          <w:bCs/>
          <w:sz w:val="24"/>
          <w:szCs w:val="24"/>
        </w:rPr>
      </w:pPr>
      <w:bookmarkStart w:id="37" w:name="_Toc40423920"/>
      <w:r w:rsidRPr="000B4324">
        <w:rPr>
          <w:rFonts w:ascii="Arial" w:hAnsi="Arial" w:cs="Arial"/>
          <w:b/>
          <w:bCs/>
          <w:sz w:val="24"/>
          <w:szCs w:val="24"/>
        </w:rPr>
        <w:t>Marketing objective establishment</w:t>
      </w:r>
      <w:bookmarkEnd w:id="37"/>
      <w:r w:rsidRPr="000B4324">
        <w:rPr>
          <w:rFonts w:ascii="Arial" w:hAnsi="Arial" w:cs="Arial"/>
          <w:b/>
          <w:bCs/>
          <w:sz w:val="24"/>
          <w:szCs w:val="24"/>
        </w:rPr>
        <w:t xml:space="preserve"> </w:t>
      </w:r>
    </w:p>
    <w:p w14:paraId="728539AC" w14:textId="54561D97" w:rsidR="00312AE9" w:rsidRDefault="00DD0B51" w:rsidP="00744782">
      <w:pPr>
        <w:widowControl/>
        <w:spacing w:before="240" w:after="240" w:line="360" w:lineRule="auto"/>
        <w:rPr>
          <w:rFonts w:ascii="Arial" w:hAnsi="Arial" w:cs="Arial"/>
          <w:sz w:val="24"/>
          <w:szCs w:val="24"/>
        </w:rPr>
      </w:pPr>
      <w:r>
        <w:rPr>
          <w:rFonts w:ascii="Arial" w:hAnsi="Arial" w:cs="Arial"/>
          <w:sz w:val="24"/>
          <w:szCs w:val="24"/>
        </w:rPr>
        <w:t xml:space="preserve">The primary market objective of Novo Nordisk in China is to consolidate the current market </w:t>
      </w:r>
      <w:r w:rsidR="009C2A74">
        <w:rPr>
          <w:rFonts w:ascii="Arial" w:hAnsi="Arial" w:cs="Arial"/>
          <w:sz w:val="24"/>
          <w:szCs w:val="24"/>
        </w:rPr>
        <w:t xml:space="preserve">position to counter the challenges from Chinese pharmaceutical companies. By consolidating the market </w:t>
      </w:r>
      <w:r w:rsidR="008F62E5">
        <w:rPr>
          <w:rFonts w:ascii="Arial" w:hAnsi="Arial" w:cs="Arial"/>
          <w:sz w:val="24"/>
          <w:szCs w:val="24"/>
        </w:rPr>
        <w:t>position</w:t>
      </w:r>
      <w:r w:rsidR="009C2A74">
        <w:rPr>
          <w:rFonts w:ascii="Arial" w:hAnsi="Arial" w:cs="Arial"/>
          <w:sz w:val="24"/>
          <w:szCs w:val="24"/>
        </w:rPr>
        <w:t xml:space="preserve"> in China, the company’s </w:t>
      </w:r>
      <w:r w:rsidR="00EB6CBC">
        <w:rPr>
          <w:rFonts w:ascii="Arial" w:hAnsi="Arial" w:cs="Arial"/>
          <w:sz w:val="24"/>
          <w:szCs w:val="24"/>
        </w:rPr>
        <w:t xml:space="preserve">secondary objective is to enhance the profitability in China to compensate its </w:t>
      </w:r>
      <w:r w:rsidR="002066A6">
        <w:rPr>
          <w:rFonts w:ascii="Arial" w:hAnsi="Arial" w:cs="Arial"/>
          <w:sz w:val="24"/>
          <w:szCs w:val="24"/>
        </w:rPr>
        <w:t xml:space="preserve">low profit growth in the global market. An </w:t>
      </w:r>
      <w:r w:rsidR="008F62E5">
        <w:rPr>
          <w:rFonts w:ascii="Arial" w:hAnsi="Arial" w:cs="Arial"/>
          <w:sz w:val="24"/>
          <w:szCs w:val="24"/>
        </w:rPr>
        <w:t xml:space="preserve">ultimate marketing objective is to, with the </w:t>
      </w:r>
      <w:r w:rsidR="00300593">
        <w:rPr>
          <w:rFonts w:ascii="Arial" w:hAnsi="Arial" w:cs="Arial"/>
          <w:sz w:val="24"/>
          <w:szCs w:val="24"/>
        </w:rPr>
        <w:t>establishment</w:t>
      </w:r>
      <w:r w:rsidR="008F62E5">
        <w:rPr>
          <w:rFonts w:ascii="Arial" w:hAnsi="Arial" w:cs="Arial"/>
          <w:sz w:val="24"/>
          <w:szCs w:val="24"/>
        </w:rPr>
        <w:t xml:space="preserve"> of </w:t>
      </w:r>
      <w:r w:rsidR="00D85F5D">
        <w:rPr>
          <w:rFonts w:ascii="Arial" w:hAnsi="Arial" w:cs="Arial"/>
          <w:sz w:val="24"/>
          <w:szCs w:val="24"/>
        </w:rPr>
        <w:t xml:space="preserve">sustainable </w:t>
      </w:r>
      <w:r w:rsidR="00300593">
        <w:rPr>
          <w:rFonts w:ascii="Arial" w:hAnsi="Arial" w:cs="Arial"/>
          <w:sz w:val="24"/>
          <w:szCs w:val="24"/>
        </w:rPr>
        <w:t>partnership</w:t>
      </w:r>
      <w:r w:rsidR="00D85F5D">
        <w:rPr>
          <w:rFonts w:ascii="Arial" w:hAnsi="Arial" w:cs="Arial"/>
          <w:sz w:val="24"/>
          <w:szCs w:val="24"/>
        </w:rPr>
        <w:t xml:space="preserve"> with the healthcare service providers in China, establish the Chinese market as its primary revenue </w:t>
      </w:r>
      <w:r w:rsidR="00300593">
        <w:rPr>
          <w:rFonts w:ascii="Arial" w:hAnsi="Arial" w:cs="Arial"/>
          <w:sz w:val="24"/>
          <w:szCs w:val="24"/>
        </w:rPr>
        <w:t>source</w:t>
      </w:r>
      <w:r w:rsidR="00D85F5D">
        <w:rPr>
          <w:rFonts w:ascii="Arial" w:hAnsi="Arial" w:cs="Arial"/>
          <w:sz w:val="24"/>
          <w:szCs w:val="24"/>
        </w:rPr>
        <w:t xml:space="preserve"> to gain from the raid growth of the </w:t>
      </w:r>
      <w:r w:rsidR="00300593">
        <w:rPr>
          <w:rFonts w:ascii="Arial" w:hAnsi="Arial" w:cs="Arial"/>
          <w:sz w:val="24"/>
          <w:szCs w:val="24"/>
        </w:rPr>
        <w:t xml:space="preserve">pharmaceutical market in China. </w:t>
      </w:r>
      <w:r w:rsidR="008D6791">
        <w:rPr>
          <w:rFonts w:ascii="Arial" w:hAnsi="Arial" w:cs="Arial"/>
          <w:sz w:val="24"/>
          <w:szCs w:val="24"/>
        </w:rPr>
        <w:t xml:space="preserve">Based on the established objective regarding the market </w:t>
      </w:r>
      <w:r w:rsidR="00312AE9">
        <w:rPr>
          <w:rFonts w:ascii="Arial" w:hAnsi="Arial" w:cs="Arial"/>
          <w:sz w:val="24"/>
          <w:szCs w:val="24"/>
        </w:rPr>
        <w:t>auditing</w:t>
      </w:r>
      <w:r w:rsidR="008D6791">
        <w:rPr>
          <w:rFonts w:ascii="Arial" w:hAnsi="Arial" w:cs="Arial"/>
          <w:sz w:val="24"/>
          <w:szCs w:val="24"/>
        </w:rPr>
        <w:t xml:space="preserve"> in the previous section, this section provides the marketing plan for Novo Nordisk in China with a STP strategy and 7P marketing mix</w:t>
      </w:r>
      <w:r w:rsidR="00312AE9">
        <w:rPr>
          <w:rFonts w:ascii="Arial" w:hAnsi="Arial" w:cs="Arial"/>
          <w:sz w:val="24"/>
          <w:szCs w:val="24"/>
        </w:rPr>
        <w:t xml:space="preserve"> with implementation plans. </w:t>
      </w:r>
    </w:p>
    <w:p w14:paraId="06BA1CCD" w14:textId="77777777" w:rsidR="006F7847" w:rsidRDefault="006F7847" w:rsidP="00744782">
      <w:pPr>
        <w:widowControl/>
        <w:spacing w:before="240" w:after="240" w:line="360" w:lineRule="auto"/>
        <w:rPr>
          <w:rFonts w:ascii="Arial" w:hAnsi="Arial" w:cs="Arial"/>
          <w:sz w:val="24"/>
          <w:szCs w:val="24"/>
        </w:rPr>
      </w:pPr>
    </w:p>
    <w:p w14:paraId="36E47AA8" w14:textId="64B85631" w:rsidR="00312AE9" w:rsidRPr="00312AE9" w:rsidRDefault="00312AE9" w:rsidP="00312AE9">
      <w:pPr>
        <w:pStyle w:val="a7"/>
        <w:widowControl/>
        <w:numPr>
          <w:ilvl w:val="1"/>
          <w:numId w:val="1"/>
        </w:numPr>
        <w:spacing w:before="240" w:after="240" w:line="360" w:lineRule="auto"/>
        <w:contextualSpacing w:val="0"/>
        <w:outlineLvl w:val="1"/>
        <w:rPr>
          <w:rFonts w:ascii="Arial" w:hAnsi="Arial" w:cs="Arial"/>
          <w:b/>
          <w:bCs/>
          <w:sz w:val="24"/>
          <w:szCs w:val="24"/>
        </w:rPr>
      </w:pPr>
      <w:bookmarkStart w:id="38" w:name="_Toc40423921"/>
      <w:r w:rsidRPr="00312AE9">
        <w:rPr>
          <w:rFonts w:ascii="Arial" w:hAnsi="Arial" w:cs="Arial"/>
          <w:b/>
          <w:bCs/>
          <w:sz w:val="24"/>
          <w:szCs w:val="24"/>
        </w:rPr>
        <w:lastRenderedPageBreak/>
        <w:t>STP strategy</w:t>
      </w:r>
      <w:bookmarkEnd w:id="38"/>
      <w:r w:rsidRPr="00312AE9">
        <w:rPr>
          <w:rFonts w:ascii="Arial" w:hAnsi="Arial" w:cs="Arial"/>
          <w:b/>
          <w:bCs/>
          <w:sz w:val="24"/>
          <w:szCs w:val="24"/>
        </w:rPr>
        <w:t xml:space="preserve"> </w:t>
      </w:r>
    </w:p>
    <w:p w14:paraId="7442C4BB" w14:textId="36C6BBFB" w:rsidR="00300593" w:rsidRDefault="003F416A" w:rsidP="00744782">
      <w:pPr>
        <w:widowControl/>
        <w:spacing w:before="240" w:after="240" w:line="360" w:lineRule="auto"/>
        <w:rPr>
          <w:rFonts w:ascii="Arial" w:hAnsi="Arial" w:cs="Arial"/>
          <w:sz w:val="24"/>
          <w:szCs w:val="24"/>
        </w:rPr>
      </w:pPr>
      <w:r>
        <w:rPr>
          <w:rFonts w:ascii="Arial" w:hAnsi="Arial" w:cs="Arial"/>
          <w:sz w:val="24"/>
          <w:szCs w:val="24"/>
        </w:rPr>
        <w:t xml:space="preserve">STP is the </w:t>
      </w:r>
      <w:r w:rsidR="00804D55">
        <w:rPr>
          <w:rFonts w:ascii="Arial" w:hAnsi="Arial" w:cs="Arial"/>
          <w:sz w:val="24"/>
          <w:szCs w:val="24"/>
        </w:rPr>
        <w:t>segmentation, targeting and positioning strategy in the market. Th</w:t>
      </w:r>
      <w:r w:rsidR="00FC6813">
        <w:rPr>
          <w:rFonts w:ascii="Arial" w:hAnsi="Arial" w:cs="Arial"/>
          <w:sz w:val="24"/>
          <w:szCs w:val="24"/>
        </w:rPr>
        <w:t xml:space="preserve">e STP strategy of Novo Nordisk </w:t>
      </w:r>
      <w:r w:rsidR="00CA0EAD">
        <w:rPr>
          <w:rFonts w:ascii="Arial" w:hAnsi="Arial" w:cs="Arial"/>
          <w:sz w:val="24"/>
          <w:szCs w:val="24"/>
        </w:rPr>
        <w:t xml:space="preserve">is based on the market audit and the internal analyses of Novo Nordisk. </w:t>
      </w:r>
    </w:p>
    <w:p w14:paraId="012655D8" w14:textId="0F04037F" w:rsidR="00CA0EAD" w:rsidRPr="00CA0EAD" w:rsidRDefault="00CA0EAD" w:rsidP="00CA0EAD">
      <w:pPr>
        <w:pStyle w:val="a7"/>
        <w:widowControl/>
        <w:numPr>
          <w:ilvl w:val="0"/>
          <w:numId w:val="4"/>
        </w:numPr>
        <w:spacing w:before="240" w:after="240" w:line="360" w:lineRule="auto"/>
        <w:ind w:left="357" w:hanging="357"/>
        <w:contextualSpacing w:val="0"/>
        <w:outlineLvl w:val="2"/>
        <w:rPr>
          <w:rFonts w:ascii="Arial" w:hAnsi="Arial" w:cs="Arial"/>
          <w:b/>
          <w:bCs/>
          <w:sz w:val="24"/>
          <w:szCs w:val="24"/>
        </w:rPr>
      </w:pPr>
      <w:bookmarkStart w:id="39" w:name="_Toc40423841"/>
      <w:bookmarkStart w:id="40" w:name="_Toc40423922"/>
      <w:r w:rsidRPr="00CA0EAD">
        <w:rPr>
          <w:rFonts w:ascii="Arial" w:hAnsi="Arial" w:cs="Arial"/>
          <w:b/>
          <w:bCs/>
          <w:sz w:val="24"/>
          <w:szCs w:val="24"/>
        </w:rPr>
        <w:t>Segmentation</w:t>
      </w:r>
      <w:bookmarkEnd w:id="39"/>
      <w:bookmarkEnd w:id="40"/>
      <w:r w:rsidRPr="00CA0EAD">
        <w:rPr>
          <w:rFonts w:ascii="Arial" w:hAnsi="Arial" w:cs="Arial"/>
          <w:b/>
          <w:bCs/>
          <w:sz w:val="24"/>
          <w:szCs w:val="24"/>
        </w:rPr>
        <w:t xml:space="preserve"> </w:t>
      </w:r>
    </w:p>
    <w:p w14:paraId="2806DC48" w14:textId="201B1801" w:rsidR="00CA0EAD" w:rsidRDefault="00A27ACE" w:rsidP="00744782">
      <w:pPr>
        <w:widowControl/>
        <w:spacing w:before="240" w:after="240" w:line="360" w:lineRule="auto"/>
        <w:rPr>
          <w:rFonts w:ascii="Arial" w:hAnsi="Arial" w:cs="Arial"/>
          <w:sz w:val="24"/>
          <w:szCs w:val="24"/>
        </w:rPr>
      </w:pPr>
      <w:r>
        <w:rPr>
          <w:rFonts w:ascii="Arial" w:hAnsi="Arial" w:cs="Arial"/>
          <w:sz w:val="24"/>
          <w:szCs w:val="24"/>
        </w:rPr>
        <w:t>The prescription pharmaceutical market in China is highly regulated</w:t>
      </w:r>
      <w:r w:rsidR="001C2ACB">
        <w:rPr>
          <w:rFonts w:ascii="Arial" w:hAnsi="Arial" w:cs="Arial"/>
          <w:sz w:val="24"/>
          <w:szCs w:val="24"/>
        </w:rPr>
        <w:t xml:space="preserve"> </w:t>
      </w:r>
      <w:r w:rsidR="00A36CFC">
        <w:rPr>
          <w:rFonts w:ascii="Arial" w:hAnsi="Arial" w:cs="Arial"/>
          <w:sz w:val="24"/>
          <w:szCs w:val="24"/>
        </w:rPr>
        <w:fldChar w:fldCharType="begin" w:fldLock="1"/>
      </w:r>
      <w:r w:rsidR="00DC613D">
        <w:rPr>
          <w:rFonts w:ascii="Arial" w:hAnsi="Arial" w:cs="Arial"/>
          <w:sz w:val="24"/>
          <w:szCs w:val="24"/>
        </w:rPr>
        <w:instrText>ADDIN CSL_CITATION {"citationItems":[{"id":"ITEM-1","itemData":{"DOI":"10.1007/s11192-019-03313-7","ISSN":"15882861","abstract":"The publication number in pharmaceutics from Chinese academia globally ranked second in 2014. However, the R&amp;D capability of Chinese pharmaceutical industry significantly lags behind its globally 2nd market with 373 billion USD. The study aims to analyze the gaps between Chinese academia and industry in pharmaceutics. Publication, national funding programs and postgraduate training were analyzed to identify the academic output. R&amp;D expenses input, research scientists and marketed products were investigated to evaluate the industrial demand. The Chinese publication number in pharmaceutics grows sharply, ranking first globally in 2017. The hot fields from Chinese scholars focused on nanomedicine and gene delivery, while the majority of products in Chinese pharmaceutical companies were still conventional dosage forms (e.g. tablet, capsule and injection). On the other hand, the number of Ph.D. graduates in pharmaceutics maintained a quite low-level output from 2000 to 2018, which seriously unmet the growing demand of high-level formulation scientists from Chinese pharmaceutical industry. Furthermore, the development of Chinese drug administration system from 1978 to 2018 was detailed summarized, analyzed and discussed because the government policies strongly influence the academia and pharmaceutical industry. Two suggestions are provided to bridge the gaps between Chinese academia and pharmaceutical industry. On the one hand, Chinese universities should shift the academic evaluation system from publication-orientation to more diverse science and demand-driven researches. On the other hand, more industry-oriented Ph.D. graduates should be trained to meet the increasing demand from the pharmaceutical industry. As the second largest market in the world, Chinese pharmaceutical industry will face the enormous progress in next 5–10 years.","author":[{"dropping-particle":"","family":"Zhong","given":"Hao","non-dropping-particle":"","parse-names":false,"suffix":""},{"dropping-particle":"","family":"Ouyang","given":"Defang","non-dropping-particle":"","parse-names":false,"suffix":""}],"container-title":"Scientometrics","id":"ITEM-1","issue":"2","issued":{"date-parts":[["2020"]]},"page":"1113-1128","publisher":"Springer","title":"The gap analysis between Chinese pharmaceutical academia and industry from 2000 to 2018","type":"article-journal","volume":"122"},"uris":["http://www.mendeley.com/documents/?uuid=342a55bb-abda-47b7-a912-ac60cb54661b"]}],"mendeley":{"formattedCitation":"(Zhong and Ouyang, 2020)","plainTextFormattedCitation":"(Zhong and Ouyang, 2020)","previouslyFormattedCitation":"(Zhong and Ouyang, 2020)"},"properties":{"noteIndex":0},"schema":"https://github.com/citation-style-language/schema/raw/master/csl-citation.json"}</w:instrText>
      </w:r>
      <w:r w:rsidR="00A36CFC">
        <w:rPr>
          <w:rFonts w:ascii="Arial" w:hAnsi="Arial" w:cs="Arial"/>
          <w:sz w:val="24"/>
          <w:szCs w:val="24"/>
        </w:rPr>
        <w:fldChar w:fldCharType="separate"/>
      </w:r>
      <w:r w:rsidR="00A36CFC" w:rsidRPr="00A36CFC">
        <w:rPr>
          <w:rFonts w:ascii="Arial" w:hAnsi="Arial" w:cs="Arial"/>
          <w:noProof/>
          <w:sz w:val="24"/>
          <w:szCs w:val="24"/>
        </w:rPr>
        <w:t>(Zhong and Ouyang, 2020)</w:t>
      </w:r>
      <w:r w:rsidR="00A36CFC">
        <w:rPr>
          <w:rFonts w:ascii="Arial" w:hAnsi="Arial" w:cs="Arial"/>
          <w:sz w:val="24"/>
          <w:szCs w:val="24"/>
        </w:rPr>
        <w:fldChar w:fldCharType="end"/>
      </w:r>
      <w:r>
        <w:rPr>
          <w:rFonts w:ascii="Arial" w:hAnsi="Arial" w:cs="Arial"/>
          <w:sz w:val="24"/>
          <w:szCs w:val="24"/>
        </w:rPr>
        <w:t xml:space="preserve">. The company should segment its market </w:t>
      </w:r>
      <w:r w:rsidR="00DB617D">
        <w:rPr>
          <w:rFonts w:ascii="Arial" w:hAnsi="Arial" w:cs="Arial"/>
          <w:sz w:val="24"/>
          <w:szCs w:val="24"/>
        </w:rPr>
        <w:t xml:space="preserve">as the </w:t>
      </w:r>
      <w:r w:rsidR="006268E9">
        <w:rPr>
          <w:rFonts w:ascii="Arial" w:hAnsi="Arial" w:cs="Arial"/>
          <w:sz w:val="24"/>
          <w:szCs w:val="24"/>
        </w:rPr>
        <w:t xml:space="preserve">prescription market and a non-prescription market. In the prescription market segment, the company’s primary business line is its conventional insulin products and its novel oral insulin products if developed. </w:t>
      </w:r>
      <w:r w:rsidR="00FA306E">
        <w:rPr>
          <w:rFonts w:ascii="Arial" w:hAnsi="Arial" w:cs="Arial"/>
          <w:sz w:val="24"/>
          <w:szCs w:val="24"/>
        </w:rPr>
        <w:t xml:space="preserve">In this market segment, the company should </w:t>
      </w:r>
      <w:r w:rsidR="00002C36">
        <w:rPr>
          <w:rFonts w:ascii="Arial" w:hAnsi="Arial" w:cs="Arial"/>
          <w:sz w:val="24"/>
          <w:szCs w:val="24"/>
        </w:rPr>
        <w:t>utilise</w:t>
      </w:r>
      <w:r w:rsidR="00FA306E">
        <w:rPr>
          <w:rFonts w:ascii="Arial" w:hAnsi="Arial" w:cs="Arial"/>
          <w:sz w:val="24"/>
          <w:szCs w:val="24"/>
        </w:rPr>
        <w:t xml:space="preserve"> its strong R&amp;D </w:t>
      </w:r>
      <w:r w:rsidR="00002C36">
        <w:rPr>
          <w:rFonts w:ascii="Arial" w:hAnsi="Arial" w:cs="Arial" w:hint="eastAsia"/>
          <w:sz w:val="24"/>
          <w:szCs w:val="24"/>
        </w:rPr>
        <w:t>capacity</w:t>
      </w:r>
      <w:r w:rsidR="00002C36">
        <w:rPr>
          <w:rFonts w:ascii="Arial" w:hAnsi="Arial" w:cs="Arial"/>
          <w:sz w:val="24"/>
          <w:szCs w:val="24"/>
        </w:rPr>
        <w:t xml:space="preserve"> to roll out innovative products such as oral insulin and to establish close relationship with research institutes in China to consolidate its R&amp;D advantage. </w:t>
      </w:r>
      <w:r w:rsidR="006C1E3C">
        <w:rPr>
          <w:rFonts w:ascii="Arial" w:hAnsi="Arial" w:cs="Arial"/>
          <w:sz w:val="24"/>
          <w:szCs w:val="24"/>
        </w:rPr>
        <w:t>In the non-</w:t>
      </w:r>
      <w:r w:rsidR="003E0E13">
        <w:rPr>
          <w:rFonts w:ascii="Arial" w:hAnsi="Arial" w:cs="Arial"/>
          <w:sz w:val="24"/>
          <w:szCs w:val="24"/>
        </w:rPr>
        <w:t>prescription</w:t>
      </w:r>
      <w:r w:rsidR="006C1E3C">
        <w:rPr>
          <w:rFonts w:ascii="Arial" w:hAnsi="Arial" w:cs="Arial"/>
          <w:sz w:val="24"/>
          <w:szCs w:val="24"/>
        </w:rPr>
        <w:t xml:space="preserve"> market segment, the company should leverage its collaboration with MedTech companies to </w:t>
      </w:r>
      <w:r w:rsidR="003E0E13">
        <w:rPr>
          <w:rFonts w:ascii="Arial" w:hAnsi="Arial" w:cs="Arial"/>
          <w:sz w:val="24"/>
          <w:szCs w:val="24"/>
        </w:rPr>
        <w:t>roll</w:t>
      </w:r>
      <w:r w:rsidR="006C1E3C">
        <w:rPr>
          <w:rFonts w:ascii="Arial" w:hAnsi="Arial" w:cs="Arial"/>
          <w:sz w:val="24"/>
          <w:szCs w:val="24"/>
        </w:rPr>
        <w:t xml:space="preserve"> out </w:t>
      </w:r>
      <w:r w:rsidR="003E0E13">
        <w:rPr>
          <w:rFonts w:ascii="Arial" w:hAnsi="Arial" w:cs="Arial"/>
          <w:sz w:val="24"/>
          <w:szCs w:val="24"/>
        </w:rPr>
        <w:t xml:space="preserve">basic healthcare products such as blood sugar monitor devices which can be connected to smartphones to </w:t>
      </w:r>
      <w:r w:rsidR="006446A3">
        <w:rPr>
          <w:rFonts w:ascii="Arial" w:hAnsi="Arial" w:cs="Arial"/>
          <w:sz w:val="24"/>
          <w:szCs w:val="24"/>
        </w:rPr>
        <w:t xml:space="preserve">further consolidate its market share in the anti-diabetic market in China. </w:t>
      </w:r>
    </w:p>
    <w:p w14:paraId="53AC896A" w14:textId="2138F790" w:rsidR="006446A3" w:rsidRPr="006446A3" w:rsidRDefault="006446A3" w:rsidP="006446A3">
      <w:pPr>
        <w:pStyle w:val="a7"/>
        <w:widowControl/>
        <w:numPr>
          <w:ilvl w:val="0"/>
          <w:numId w:val="4"/>
        </w:numPr>
        <w:spacing w:before="240" w:after="240" w:line="360" w:lineRule="auto"/>
        <w:ind w:left="357" w:hanging="357"/>
        <w:contextualSpacing w:val="0"/>
        <w:outlineLvl w:val="2"/>
        <w:rPr>
          <w:rFonts w:ascii="Arial" w:hAnsi="Arial" w:cs="Arial"/>
          <w:b/>
          <w:bCs/>
          <w:sz w:val="24"/>
          <w:szCs w:val="24"/>
        </w:rPr>
      </w:pPr>
      <w:bookmarkStart w:id="41" w:name="_Toc40423842"/>
      <w:bookmarkStart w:id="42" w:name="_Toc40423923"/>
      <w:r w:rsidRPr="006446A3">
        <w:rPr>
          <w:rFonts w:ascii="Arial" w:hAnsi="Arial" w:cs="Arial"/>
          <w:b/>
          <w:bCs/>
          <w:sz w:val="24"/>
          <w:szCs w:val="24"/>
        </w:rPr>
        <w:t>Targeting</w:t>
      </w:r>
      <w:bookmarkEnd w:id="41"/>
      <w:bookmarkEnd w:id="42"/>
      <w:r w:rsidRPr="006446A3">
        <w:rPr>
          <w:rFonts w:ascii="Arial" w:hAnsi="Arial" w:cs="Arial"/>
          <w:b/>
          <w:bCs/>
          <w:sz w:val="24"/>
          <w:szCs w:val="24"/>
        </w:rPr>
        <w:t xml:space="preserve"> </w:t>
      </w:r>
    </w:p>
    <w:p w14:paraId="217E01E4" w14:textId="747B131D" w:rsidR="006446A3" w:rsidRDefault="006446A3" w:rsidP="00744782">
      <w:pPr>
        <w:widowControl/>
        <w:spacing w:before="240" w:after="240" w:line="360" w:lineRule="auto"/>
        <w:rPr>
          <w:rFonts w:ascii="Arial" w:hAnsi="Arial" w:cs="Arial"/>
          <w:sz w:val="24"/>
          <w:szCs w:val="24"/>
        </w:rPr>
      </w:pPr>
      <w:r>
        <w:rPr>
          <w:rFonts w:ascii="Arial" w:hAnsi="Arial" w:cs="Arial"/>
          <w:sz w:val="24"/>
          <w:szCs w:val="24"/>
        </w:rPr>
        <w:t>In the prescription market segment, the target customers are the</w:t>
      </w:r>
      <w:r w:rsidR="0041001E">
        <w:rPr>
          <w:rFonts w:ascii="Arial" w:hAnsi="Arial" w:cs="Arial"/>
          <w:sz w:val="24"/>
          <w:szCs w:val="24"/>
        </w:rPr>
        <w:t xml:space="preserve"> public hospitals and other public healthcare service providers. The target customers in this regard are primarily the </w:t>
      </w:r>
      <w:r w:rsidR="00D161CA">
        <w:rPr>
          <w:rFonts w:ascii="Arial" w:hAnsi="Arial" w:cs="Arial"/>
          <w:sz w:val="24"/>
          <w:szCs w:val="24"/>
        </w:rPr>
        <w:t>procurement</w:t>
      </w:r>
      <w:r w:rsidR="0041001E">
        <w:rPr>
          <w:rFonts w:ascii="Arial" w:hAnsi="Arial" w:cs="Arial"/>
          <w:sz w:val="24"/>
          <w:szCs w:val="24"/>
        </w:rPr>
        <w:t xml:space="preserve"> departments in the </w:t>
      </w:r>
      <w:r w:rsidR="00D161CA">
        <w:rPr>
          <w:rFonts w:ascii="Arial" w:hAnsi="Arial" w:cs="Arial"/>
          <w:sz w:val="24"/>
          <w:szCs w:val="24"/>
        </w:rPr>
        <w:t>hospitals</w:t>
      </w:r>
      <w:r w:rsidR="0041001E">
        <w:rPr>
          <w:rFonts w:ascii="Arial" w:hAnsi="Arial" w:cs="Arial"/>
          <w:sz w:val="24"/>
          <w:szCs w:val="24"/>
        </w:rPr>
        <w:t xml:space="preserve">. </w:t>
      </w:r>
      <w:r w:rsidR="00D161CA">
        <w:rPr>
          <w:rFonts w:ascii="Arial" w:hAnsi="Arial" w:cs="Arial"/>
          <w:sz w:val="24"/>
          <w:szCs w:val="24"/>
        </w:rPr>
        <w:t xml:space="preserve">The company should leverage its experience in satisfying the regulatory framework in China and its leading product quality to appeal to customers. </w:t>
      </w:r>
      <w:r w:rsidR="00CA027B">
        <w:rPr>
          <w:rFonts w:ascii="Arial" w:hAnsi="Arial" w:cs="Arial"/>
          <w:sz w:val="24"/>
          <w:szCs w:val="24"/>
        </w:rPr>
        <w:t xml:space="preserve">In the non-prescription market, the target </w:t>
      </w:r>
      <w:r w:rsidR="005637D5">
        <w:rPr>
          <w:rFonts w:ascii="Arial" w:hAnsi="Arial" w:cs="Arial"/>
          <w:sz w:val="24"/>
          <w:szCs w:val="24"/>
        </w:rPr>
        <w:t>customers</w:t>
      </w:r>
      <w:r w:rsidR="00CA027B">
        <w:rPr>
          <w:rFonts w:ascii="Arial" w:hAnsi="Arial" w:cs="Arial"/>
          <w:sz w:val="24"/>
          <w:szCs w:val="24"/>
        </w:rPr>
        <w:t xml:space="preserve"> are those with chronic conditions and high-profile </w:t>
      </w:r>
      <w:r w:rsidR="005637D5">
        <w:rPr>
          <w:rFonts w:ascii="Arial" w:hAnsi="Arial" w:cs="Arial"/>
          <w:sz w:val="24"/>
          <w:szCs w:val="24"/>
        </w:rPr>
        <w:t>customers</w:t>
      </w:r>
      <w:r w:rsidR="00CA027B">
        <w:rPr>
          <w:rFonts w:ascii="Arial" w:hAnsi="Arial" w:cs="Arial"/>
          <w:sz w:val="24"/>
          <w:szCs w:val="24"/>
        </w:rPr>
        <w:t xml:space="preserve"> who </w:t>
      </w:r>
      <w:r w:rsidR="005637D5">
        <w:rPr>
          <w:rFonts w:ascii="Arial" w:hAnsi="Arial" w:cs="Arial"/>
          <w:sz w:val="24"/>
          <w:szCs w:val="24"/>
        </w:rPr>
        <w:t xml:space="preserve">highly recognize the significance of routine healthcare service. These customers are potentially users of the medical devices developed by the company. </w:t>
      </w:r>
    </w:p>
    <w:p w14:paraId="3099309A" w14:textId="049DD002" w:rsidR="000720E8" w:rsidRPr="000720E8" w:rsidRDefault="000720E8" w:rsidP="000720E8">
      <w:pPr>
        <w:pStyle w:val="a7"/>
        <w:widowControl/>
        <w:numPr>
          <w:ilvl w:val="0"/>
          <w:numId w:val="4"/>
        </w:numPr>
        <w:spacing w:before="240" w:after="240" w:line="360" w:lineRule="auto"/>
        <w:ind w:left="357" w:hanging="357"/>
        <w:contextualSpacing w:val="0"/>
        <w:outlineLvl w:val="2"/>
        <w:rPr>
          <w:rFonts w:ascii="Arial" w:hAnsi="Arial" w:cs="Arial"/>
          <w:b/>
          <w:bCs/>
          <w:sz w:val="24"/>
          <w:szCs w:val="24"/>
        </w:rPr>
      </w:pPr>
      <w:bookmarkStart w:id="43" w:name="_Toc40423843"/>
      <w:bookmarkStart w:id="44" w:name="_Toc40423924"/>
      <w:r w:rsidRPr="000720E8">
        <w:rPr>
          <w:rFonts w:ascii="Arial" w:hAnsi="Arial" w:cs="Arial"/>
          <w:b/>
          <w:bCs/>
          <w:sz w:val="24"/>
          <w:szCs w:val="24"/>
        </w:rPr>
        <w:t>Positioning</w:t>
      </w:r>
      <w:bookmarkEnd w:id="43"/>
      <w:bookmarkEnd w:id="44"/>
      <w:r w:rsidRPr="000720E8">
        <w:rPr>
          <w:rFonts w:ascii="Arial" w:hAnsi="Arial" w:cs="Arial"/>
          <w:b/>
          <w:bCs/>
          <w:sz w:val="24"/>
          <w:szCs w:val="24"/>
        </w:rPr>
        <w:t xml:space="preserve"> </w:t>
      </w:r>
    </w:p>
    <w:p w14:paraId="2B987CED" w14:textId="546C6C57" w:rsidR="00C16E9A" w:rsidRDefault="000720E8" w:rsidP="00744782">
      <w:pPr>
        <w:widowControl/>
        <w:spacing w:before="240" w:after="240" w:line="360" w:lineRule="auto"/>
        <w:rPr>
          <w:rFonts w:ascii="Arial" w:hAnsi="Arial" w:cs="Arial"/>
          <w:sz w:val="24"/>
          <w:szCs w:val="24"/>
        </w:rPr>
      </w:pPr>
      <w:r>
        <w:rPr>
          <w:rFonts w:ascii="Arial" w:hAnsi="Arial" w:cs="Arial"/>
          <w:sz w:val="24"/>
          <w:szCs w:val="24"/>
        </w:rPr>
        <w:t xml:space="preserve">As a company being strong in R&amp;D, the company should position itself as an innovative company with leading medical technologies. </w:t>
      </w:r>
      <w:r w:rsidR="001637C0">
        <w:rPr>
          <w:rFonts w:ascii="Arial" w:hAnsi="Arial" w:cs="Arial"/>
          <w:sz w:val="24"/>
          <w:szCs w:val="24"/>
        </w:rPr>
        <w:t xml:space="preserve">The company should position itself as a </w:t>
      </w:r>
      <w:r w:rsidR="00FA31E7">
        <w:rPr>
          <w:rFonts w:ascii="Arial" w:hAnsi="Arial" w:cs="Arial"/>
          <w:sz w:val="24"/>
          <w:szCs w:val="24"/>
        </w:rPr>
        <w:t xml:space="preserve">caretaker for the those suffering from diabetes with its products available for </w:t>
      </w:r>
      <w:r w:rsidR="00FA31E7">
        <w:rPr>
          <w:rFonts w:ascii="Arial" w:hAnsi="Arial" w:cs="Arial"/>
          <w:sz w:val="24"/>
          <w:szCs w:val="24"/>
        </w:rPr>
        <w:lastRenderedPageBreak/>
        <w:t xml:space="preserve">both patients and </w:t>
      </w:r>
      <w:r w:rsidR="009313F7">
        <w:rPr>
          <w:rFonts w:ascii="Arial" w:hAnsi="Arial" w:cs="Arial"/>
          <w:sz w:val="24"/>
          <w:szCs w:val="24"/>
        </w:rPr>
        <w:t>healthy people who wish to have a better monitoring of their health conditions.</w:t>
      </w:r>
    </w:p>
    <w:p w14:paraId="3304B5A9" w14:textId="77092EFA" w:rsidR="009313F7" w:rsidRPr="009313F7" w:rsidRDefault="009313F7" w:rsidP="009313F7">
      <w:pPr>
        <w:pStyle w:val="a7"/>
        <w:widowControl/>
        <w:numPr>
          <w:ilvl w:val="1"/>
          <w:numId w:val="1"/>
        </w:numPr>
        <w:spacing w:before="240" w:after="240" w:line="360" w:lineRule="auto"/>
        <w:contextualSpacing w:val="0"/>
        <w:outlineLvl w:val="1"/>
        <w:rPr>
          <w:rFonts w:ascii="Arial" w:hAnsi="Arial" w:cs="Arial"/>
          <w:b/>
          <w:bCs/>
          <w:sz w:val="24"/>
          <w:szCs w:val="24"/>
        </w:rPr>
      </w:pPr>
      <w:bookmarkStart w:id="45" w:name="_Toc40423925"/>
      <w:r w:rsidRPr="009313F7">
        <w:rPr>
          <w:rFonts w:ascii="Arial" w:hAnsi="Arial" w:cs="Arial"/>
          <w:b/>
          <w:bCs/>
          <w:sz w:val="24"/>
          <w:szCs w:val="24"/>
        </w:rPr>
        <w:t>Marketing mix – 7P</w:t>
      </w:r>
      <w:bookmarkEnd w:id="45"/>
    </w:p>
    <w:p w14:paraId="365C16B2" w14:textId="1E0F05AF" w:rsidR="009313F7" w:rsidRDefault="00DC22E8" w:rsidP="00744782">
      <w:pPr>
        <w:widowControl/>
        <w:spacing w:before="240" w:after="240" w:line="360" w:lineRule="auto"/>
        <w:rPr>
          <w:rFonts w:ascii="Arial" w:hAnsi="Arial" w:cs="Arial"/>
          <w:sz w:val="24"/>
          <w:szCs w:val="24"/>
        </w:rPr>
      </w:pPr>
      <w:r>
        <w:rPr>
          <w:rFonts w:ascii="Arial" w:hAnsi="Arial" w:cs="Arial"/>
          <w:sz w:val="24"/>
          <w:szCs w:val="24"/>
        </w:rPr>
        <w:t xml:space="preserve">Based on the STP strategy formulated, the marketing mix with 7P model is proposed. The 7P model consists the </w:t>
      </w:r>
      <w:r w:rsidR="009C5D0E">
        <w:rPr>
          <w:rFonts w:ascii="Arial" w:hAnsi="Arial" w:cs="Arial"/>
          <w:sz w:val="24"/>
          <w:szCs w:val="24"/>
        </w:rPr>
        <w:t xml:space="preserve">product, promotion, price, place, people, process and physical evidence. </w:t>
      </w:r>
    </w:p>
    <w:p w14:paraId="4159CE3C" w14:textId="7FAB37FA" w:rsidR="009C5D0E" w:rsidRPr="00E0549B" w:rsidRDefault="00E0549B" w:rsidP="00E0549B">
      <w:pPr>
        <w:pStyle w:val="a7"/>
        <w:widowControl/>
        <w:numPr>
          <w:ilvl w:val="0"/>
          <w:numId w:val="4"/>
        </w:numPr>
        <w:spacing w:before="240" w:after="240" w:line="360" w:lineRule="auto"/>
        <w:ind w:left="357" w:hanging="357"/>
        <w:contextualSpacing w:val="0"/>
        <w:outlineLvl w:val="2"/>
        <w:rPr>
          <w:rFonts w:ascii="Arial" w:hAnsi="Arial" w:cs="Arial"/>
          <w:b/>
          <w:bCs/>
          <w:sz w:val="24"/>
          <w:szCs w:val="24"/>
        </w:rPr>
      </w:pPr>
      <w:bookmarkStart w:id="46" w:name="_Toc40423845"/>
      <w:bookmarkStart w:id="47" w:name="_Toc40423926"/>
      <w:r w:rsidRPr="00E0549B">
        <w:rPr>
          <w:rFonts w:ascii="Arial" w:hAnsi="Arial" w:cs="Arial"/>
          <w:b/>
          <w:bCs/>
          <w:sz w:val="24"/>
          <w:szCs w:val="24"/>
        </w:rPr>
        <w:t>Product</w:t>
      </w:r>
      <w:bookmarkEnd w:id="46"/>
      <w:bookmarkEnd w:id="47"/>
      <w:r w:rsidRPr="00E0549B">
        <w:rPr>
          <w:rFonts w:ascii="Arial" w:hAnsi="Arial" w:cs="Arial"/>
          <w:b/>
          <w:bCs/>
          <w:sz w:val="24"/>
          <w:szCs w:val="24"/>
        </w:rPr>
        <w:t xml:space="preserve"> </w:t>
      </w:r>
    </w:p>
    <w:p w14:paraId="668F6608" w14:textId="71920AFF" w:rsidR="00E0549B" w:rsidRDefault="00344722" w:rsidP="00744782">
      <w:pPr>
        <w:widowControl/>
        <w:spacing w:before="240" w:after="240" w:line="360" w:lineRule="auto"/>
        <w:rPr>
          <w:rFonts w:ascii="Arial" w:hAnsi="Arial" w:cs="Arial"/>
          <w:sz w:val="24"/>
          <w:szCs w:val="24"/>
        </w:rPr>
      </w:pPr>
      <w:r>
        <w:rPr>
          <w:rFonts w:ascii="Arial" w:hAnsi="Arial" w:cs="Arial"/>
          <w:sz w:val="24"/>
          <w:szCs w:val="24"/>
        </w:rPr>
        <w:t>Primary product</w:t>
      </w:r>
      <w:r w:rsidR="00260F49">
        <w:rPr>
          <w:rFonts w:ascii="Arial" w:hAnsi="Arial" w:cs="Arial"/>
          <w:sz w:val="24"/>
          <w:szCs w:val="24"/>
        </w:rPr>
        <w:t>s</w:t>
      </w:r>
      <w:r>
        <w:rPr>
          <w:rFonts w:ascii="Arial" w:hAnsi="Arial" w:cs="Arial"/>
          <w:sz w:val="24"/>
          <w:szCs w:val="24"/>
        </w:rPr>
        <w:t xml:space="preserve"> of Novo Nordisk in China </w:t>
      </w:r>
      <w:r w:rsidR="00260F49">
        <w:rPr>
          <w:rFonts w:ascii="Arial" w:hAnsi="Arial" w:cs="Arial"/>
          <w:sz w:val="24"/>
          <w:szCs w:val="24"/>
        </w:rPr>
        <w:t xml:space="preserve">are conventional insulin products, oral insulin products and smart medical devices. The </w:t>
      </w:r>
      <w:r w:rsidR="00AE67C3">
        <w:rPr>
          <w:rFonts w:ascii="Arial" w:hAnsi="Arial" w:cs="Arial"/>
          <w:sz w:val="24"/>
          <w:szCs w:val="24"/>
        </w:rPr>
        <w:t xml:space="preserve">combination the three types of products can potentially help the company to establish an eco-system </w:t>
      </w:r>
      <w:r w:rsidR="00541141">
        <w:rPr>
          <w:rFonts w:ascii="Arial" w:hAnsi="Arial" w:cs="Arial"/>
          <w:sz w:val="24"/>
          <w:szCs w:val="24"/>
        </w:rPr>
        <w:t xml:space="preserve">for </w:t>
      </w:r>
      <w:r w:rsidR="00192A9D">
        <w:rPr>
          <w:rFonts w:ascii="Arial" w:hAnsi="Arial" w:cs="Arial"/>
          <w:sz w:val="24"/>
          <w:szCs w:val="24"/>
        </w:rPr>
        <w:t>customers</w:t>
      </w:r>
      <w:r w:rsidR="00541141">
        <w:rPr>
          <w:rFonts w:ascii="Arial" w:hAnsi="Arial" w:cs="Arial"/>
          <w:sz w:val="24"/>
          <w:szCs w:val="24"/>
        </w:rPr>
        <w:t xml:space="preserve">. Customers with </w:t>
      </w:r>
      <w:r w:rsidR="00192A9D">
        <w:rPr>
          <w:rFonts w:ascii="Arial" w:hAnsi="Arial" w:cs="Arial"/>
          <w:sz w:val="24"/>
          <w:szCs w:val="24"/>
        </w:rPr>
        <w:t xml:space="preserve">or without chronic conditions can use the medical devices provided by the company to monitor and asses their health conditions. </w:t>
      </w:r>
      <w:r w:rsidR="00E703FF">
        <w:rPr>
          <w:rFonts w:ascii="Arial" w:hAnsi="Arial" w:cs="Arial"/>
          <w:sz w:val="24"/>
          <w:szCs w:val="24"/>
        </w:rPr>
        <w:t xml:space="preserve">The oral insulin products can cater the demand of customers who have trouble in using injected insulin products. </w:t>
      </w:r>
      <w:r w:rsidR="00881A3D">
        <w:rPr>
          <w:rFonts w:ascii="Arial" w:hAnsi="Arial" w:cs="Arial"/>
          <w:sz w:val="24"/>
          <w:szCs w:val="24"/>
        </w:rPr>
        <w:t xml:space="preserve">The eco-system formed can cover a wide range of customers. More importantly, </w:t>
      </w:r>
      <w:r w:rsidR="00FA4856">
        <w:rPr>
          <w:rFonts w:ascii="Arial" w:hAnsi="Arial" w:cs="Arial"/>
          <w:sz w:val="24"/>
          <w:szCs w:val="24"/>
        </w:rPr>
        <w:t>such</w:t>
      </w:r>
      <w:r w:rsidR="00881A3D">
        <w:rPr>
          <w:rFonts w:ascii="Arial" w:hAnsi="Arial" w:cs="Arial"/>
          <w:sz w:val="24"/>
          <w:szCs w:val="24"/>
        </w:rPr>
        <w:t xml:space="preserve"> three types of products can also help the company to differentiate its products regarding the market segmentation strategy devised above. </w:t>
      </w:r>
    </w:p>
    <w:p w14:paraId="0ABCD6AB" w14:textId="253782F2" w:rsidR="0014460C" w:rsidRPr="0014460C" w:rsidRDefault="0014460C" w:rsidP="0014460C">
      <w:pPr>
        <w:pStyle w:val="a7"/>
        <w:widowControl/>
        <w:numPr>
          <w:ilvl w:val="0"/>
          <w:numId w:val="4"/>
        </w:numPr>
        <w:spacing w:before="240" w:after="240" w:line="360" w:lineRule="auto"/>
        <w:ind w:left="357" w:hanging="357"/>
        <w:contextualSpacing w:val="0"/>
        <w:outlineLvl w:val="2"/>
        <w:rPr>
          <w:rFonts w:ascii="Arial" w:hAnsi="Arial" w:cs="Arial"/>
          <w:b/>
          <w:bCs/>
          <w:sz w:val="24"/>
          <w:szCs w:val="24"/>
        </w:rPr>
      </w:pPr>
      <w:bookmarkStart w:id="48" w:name="_Toc40423846"/>
      <w:bookmarkStart w:id="49" w:name="_Toc40423927"/>
      <w:r w:rsidRPr="0014460C">
        <w:rPr>
          <w:rFonts w:ascii="Arial" w:hAnsi="Arial" w:cs="Arial"/>
          <w:b/>
          <w:bCs/>
          <w:sz w:val="24"/>
          <w:szCs w:val="24"/>
        </w:rPr>
        <w:t>Promotion</w:t>
      </w:r>
      <w:bookmarkEnd w:id="48"/>
      <w:bookmarkEnd w:id="49"/>
      <w:r w:rsidRPr="0014460C">
        <w:rPr>
          <w:rFonts w:ascii="Arial" w:hAnsi="Arial" w:cs="Arial"/>
          <w:b/>
          <w:bCs/>
          <w:sz w:val="24"/>
          <w:szCs w:val="24"/>
        </w:rPr>
        <w:t xml:space="preserve"> </w:t>
      </w:r>
    </w:p>
    <w:p w14:paraId="72EF6E8B" w14:textId="5BB9CFAD" w:rsidR="0014460C" w:rsidRDefault="00477AF6" w:rsidP="00744782">
      <w:pPr>
        <w:widowControl/>
        <w:spacing w:before="240" w:after="240" w:line="360" w:lineRule="auto"/>
        <w:rPr>
          <w:rFonts w:ascii="Arial" w:hAnsi="Arial" w:cs="Arial"/>
          <w:sz w:val="24"/>
          <w:szCs w:val="24"/>
        </w:rPr>
      </w:pPr>
      <w:r>
        <w:rPr>
          <w:rFonts w:ascii="Arial" w:hAnsi="Arial" w:cs="Arial"/>
          <w:sz w:val="24"/>
          <w:szCs w:val="24"/>
        </w:rPr>
        <w:t>Th</w:t>
      </w:r>
      <w:r w:rsidR="0019276C">
        <w:rPr>
          <w:rFonts w:ascii="Arial" w:hAnsi="Arial" w:cs="Arial"/>
          <w:sz w:val="24"/>
          <w:szCs w:val="24"/>
        </w:rPr>
        <w:t xml:space="preserve">e </w:t>
      </w:r>
      <w:r w:rsidR="00003F1B">
        <w:rPr>
          <w:rFonts w:ascii="Arial" w:hAnsi="Arial" w:cs="Arial"/>
          <w:sz w:val="24"/>
          <w:szCs w:val="24"/>
        </w:rPr>
        <w:t xml:space="preserve">promotion of the pharmaceutical products in China is also highly regulated. The </w:t>
      </w:r>
      <w:r w:rsidR="005600CE">
        <w:rPr>
          <w:rFonts w:ascii="Arial" w:hAnsi="Arial" w:cs="Arial"/>
          <w:sz w:val="24"/>
          <w:szCs w:val="24"/>
        </w:rPr>
        <w:t xml:space="preserve">promotion in the prescription market segment is primarily via the customer relationship management on the procurement delegates in public hospitals. </w:t>
      </w:r>
      <w:r w:rsidR="00356047">
        <w:rPr>
          <w:rFonts w:ascii="Arial" w:hAnsi="Arial" w:cs="Arial"/>
          <w:sz w:val="24"/>
          <w:szCs w:val="24"/>
        </w:rPr>
        <w:t xml:space="preserve">The company should leverage its </w:t>
      </w:r>
      <w:r w:rsidR="00E17C24">
        <w:rPr>
          <w:rFonts w:ascii="Arial" w:hAnsi="Arial" w:cs="Arial"/>
          <w:sz w:val="24"/>
          <w:szCs w:val="24"/>
        </w:rPr>
        <w:t>established</w:t>
      </w:r>
      <w:r w:rsidR="00356047">
        <w:rPr>
          <w:rFonts w:ascii="Arial" w:hAnsi="Arial" w:cs="Arial"/>
          <w:sz w:val="24"/>
          <w:szCs w:val="24"/>
        </w:rPr>
        <w:t xml:space="preserve"> </w:t>
      </w:r>
      <w:r w:rsidR="00E17C24">
        <w:rPr>
          <w:rFonts w:ascii="Arial" w:hAnsi="Arial" w:cs="Arial"/>
          <w:sz w:val="24"/>
          <w:szCs w:val="24"/>
        </w:rPr>
        <w:t>customer</w:t>
      </w:r>
      <w:r w:rsidR="00356047">
        <w:rPr>
          <w:rFonts w:ascii="Arial" w:hAnsi="Arial" w:cs="Arial"/>
          <w:sz w:val="24"/>
          <w:szCs w:val="24"/>
        </w:rPr>
        <w:t xml:space="preserve"> relationship management to conduct promotional activities on the prescription </w:t>
      </w:r>
      <w:r w:rsidR="00E17C24">
        <w:rPr>
          <w:rFonts w:ascii="Arial" w:hAnsi="Arial" w:cs="Arial"/>
          <w:sz w:val="24"/>
          <w:szCs w:val="24"/>
        </w:rPr>
        <w:t xml:space="preserve">products. In the non-prescription market segment, the company can leverage a variety of promotional channels including social media platforms, online advertisement to reach out to a wide range of customers. </w:t>
      </w:r>
    </w:p>
    <w:p w14:paraId="1A8BAF79" w14:textId="6EBBF826" w:rsidR="00881A3D" w:rsidRPr="00FA4856" w:rsidRDefault="00FA4856" w:rsidP="00FA4856">
      <w:pPr>
        <w:pStyle w:val="a7"/>
        <w:widowControl/>
        <w:numPr>
          <w:ilvl w:val="0"/>
          <w:numId w:val="4"/>
        </w:numPr>
        <w:spacing w:before="240" w:after="240" w:line="360" w:lineRule="auto"/>
        <w:ind w:left="357" w:hanging="357"/>
        <w:contextualSpacing w:val="0"/>
        <w:outlineLvl w:val="2"/>
        <w:rPr>
          <w:rFonts w:ascii="Arial" w:hAnsi="Arial" w:cs="Arial"/>
          <w:b/>
          <w:bCs/>
          <w:sz w:val="24"/>
          <w:szCs w:val="24"/>
        </w:rPr>
      </w:pPr>
      <w:bookmarkStart w:id="50" w:name="_Toc40423847"/>
      <w:bookmarkStart w:id="51" w:name="_Toc40423928"/>
      <w:r w:rsidRPr="00FA4856">
        <w:rPr>
          <w:rFonts w:ascii="Arial" w:hAnsi="Arial" w:cs="Arial"/>
          <w:b/>
          <w:bCs/>
          <w:sz w:val="24"/>
          <w:szCs w:val="24"/>
        </w:rPr>
        <w:t>Price</w:t>
      </w:r>
      <w:bookmarkEnd w:id="50"/>
      <w:bookmarkEnd w:id="51"/>
      <w:r w:rsidRPr="00FA4856">
        <w:rPr>
          <w:rFonts w:ascii="Arial" w:hAnsi="Arial" w:cs="Arial"/>
          <w:b/>
          <w:bCs/>
          <w:sz w:val="24"/>
          <w:szCs w:val="24"/>
        </w:rPr>
        <w:t xml:space="preserve"> </w:t>
      </w:r>
    </w:p>
    <w:p w14:paraId="3C2BADD6" w14:textId="1B3B0257" w:rsidR="00FA4856" w:rsidRDefault="00FA4856" w:rsidP="00744782">
      <w:pPr>
        <w:widowControl/>
        <w:spacing w:before="240" w:after="240" w:line="360" w:lineRule="auto"/>
        <w:rPr>
          <w:rFonts w:ascii="Arial" w:hAnsi="Arial" w:cs="Arial"/>
          <w:sz w:val="24"/>
          <w:szCs w:val="24"/>
        </w:rPr>
      </w:pPr>
      <w:r>
        <w:rPr>
          <w:rFonts w:ascii="Arial" w:hAnsi="Arial" w:cs="Arial"/>
          <w:sz w:val="24"/>
          <w:szCs w:val="24"/>
        </w:rPr>
        <w:t xml:space="preserve">The pricing strategy in the prescription market segment is strictly controlled by the government, which can diminish the company’s profitability. The company should </w:t>
      </w:r>
      <w:r w:rsidR="00B16C07">
        <w:rPr>
          <w:rFonts w:ascii="Arial" w:hAnsi="Arial" w:cs="Arial"/>
          <w:sz w:val="24"/>
          <w:szCs w:val="24"/>
        </w:rPr>
        <w:t>thus devise differentiated pricing strategy in different market segments. In the non-</w:t>
      </w:r>
      <w:r w:rsidR="008A3BA4">
        <w:rPr>
          <w:rFonts w:ascii="Arial" w:hAnsi="Arial" w:cs="Arial"/>
          <w:sz w:val="24"/>
          <w:szCs w:val="24"/>
        </w:rPr>
        <w:t xml:space="preserve">prescription market segment, the company can target both price-sensitive customers </w:t>
      </w:r>
      <w:r w:rsidR="008A3BA4">
        <w:rPr>
          <w:rFonts w:ascii="Arial" w:hAnsi="Arial" w:cs="Arial"/>
          <w:sz w:val="24"/>
          <w:szCs w:val="24"/>
        </w:rPr>
        <w:lastRenderedPageBreak/>
        <w:t xml:space="preserve">with basic medical devices of middle and low prices and high-profile customer with advanced medical devices of high prices. </w:t>
      </w:r>
    </w:p>
    <w:p w14:paraId="41D57C40" w14:textId="5A3F5EEF" w:rsidR="008A3BA4" w:rsidRPr="008A3BA4" w:rsidRDefault="008A3BA4" w:rsidP="008A3BA4">
      <w:pPr>
        <w:pStyle w:val="a7"/>
        <w:widowControl/>
        <w:numPr>
          <w:ilvl w:val="0"/>
          <w:numId w:val="4"/>
        </w:numPr>
        <w:spacing w:before="240" w:after="240" w:line="360" w:lineRule="auto"/>
        <w:ind w:left="357" w:hanging="357"/>
        <w:contextualSpacing w:val="0"/>
        <w:outlineLvl w:val="2"/>
        <w:rPr>
          <w:rFonts w:ascii="Arial" w:hAnsi="Arial" w:cs="Arial"/>
          <w:b/>
          <w:bCs/>
          <w:sz w:val="24"/>
          <w:szCs w:val="24"/>
        </w:rPr>
      </w:pPr>
      <w:bookmarkStart w:id="52" w:name="_Toc40423848"/>
      <w:bookmarkStart w:id="53" w:name="_Toc40423929"/>
      <w:r w:rsidRPr="008A3BA4">
        <w:rPr>
          <w:rFonts w:ascii="Arial" w:hAnsi="Arial" w:cs="Arial"/>
          <w:b/>
          <w:bCs/>
          <w:sz w:val="24"/>
          <w:szCs w:val="24"/>
        </w:rPr>
        <w:t>Place</w:t>
      </w:r>
      <w:bookmarkEnd w:id="52"/>
      <w:bookmarkEnd w:id="53"/>
      <w:r w:rsidRPr="008A3BA4">
        <w:rPr>
          <w:rFonts w:ascii="Arial" w:hAnsi="Arial" w:cs="Arial"/>
          <w:b/>
          <w:bCs/>
          <w:sz w:val="24"/>
          <w:szCs w:val="24"/>
        </w:rPr>
        <w:t xml:space="preserve"> </w:t>
      </w:r>
    </w:p>
    <w:p w14:paraId="4C29E63E" w14:textId="4C4E0A45" w:rsidR="008A3BA4" w:rsidRDefault="00947CD7" w:rsidP="00744782">
      <w:pPr>
        <w:widowControl/>
        <w:spacing w:before="240" w:after="240" w:line="360" w:lineRule="auto"/>
        <w:rPr>
          <w:rFonts w:ascii="Arial" w:hAnsi="Arial" w:cs="Arial"/>
          <w:sz w:val="24"/>
          <w:szCs w:val="24"/>
        </w:rPr>
      </w:pPr>
      <w:r>
        <w:rPr>
          <w:rFonts w:ascii="Arial" w:hAnsi="Arial" w:cs="Arial"/>
          <w:sz w:val="24"/>
          <w:szCs w:val="24"/>
        </w:rPr>
        <w:t xml:space="preserve">The place in the prescription market segment, due to the highly regulated state of the market segment, should be the </w:t>
      </w:r>
      <w:r w:rsidR="00242D8D">
        <w:rPr>
          <w:rFonts w:ascii="Arial" w:hAnsi="Arial" w:cs="Arial"/>
          <w:sz w:val="24"/>
          <w:szCs w:val="24"/>
        </w:rPr>
        <w:t>establishment</w:t>
      </w:r>
      <w:r>
        <w:rPr>
          <w:rFonts w:ascii="Arial" w:hAnsi="Arial" w:cs="Arial"/>
          <w:sz w:val="24"/>
          <w:szCs w:val="24"/>
        </w:rPr>
        <w:t xml:space="preserve"> of sustainable </w:t>
      </w:r>
      <w:r w:rsidR="00242D8D">
        <w:rPr>
          <w:rFonts w:ascii="Arial" w:hAnsi="Arial" w:cs="Arial"/>
          <w:sz w:val="24"/>
          <w:szCs w:val="24"/>
        </w:rPr>
        <w:t>relationship</w:t>
      </w:r>
      <w:r>
        <w:rPr>
          <w:rFonts w:ascii="Arial" w:hAnsi="Arial" w:cs="Arial"/>
          <w:sz w:val="24"/>
          <w:szCs w:val="24"/>
        </w:rPr>
        <w:t xml:space="preserve"> with </w:t>
      </w:r>
      <w:r w:rsidR="00242D8D">
        <w:rPr>
          <w:rFonts w:ascii="Arial" w:hAnsi="Arial" w:cs="Arial"/>
          <w:sz w:val="24"/>
          <w:szCs w:val="24"/>
        </w:rPr>
        <w:t xml:space="preserve">public hospitals and research </w:t>
      </w:r>
      <w:r w:rsidR="00CC3CAA">
        <w:rPr>
          <w:rFonts w:ascii="Arial" w:hAnsi="Arial" w:cs="Arial"/>
          <w:sz w:val="24"/>
          <w:szCs w:val="24"/>
        </w:rPr>
        <w:t>institutes</w:t>
      </w:r>
      <w:r w:rsidR="00242D8D">
        <w:rPr>
          <w:rFonts w:ascii="Arial" w:hAnsi="Arial" w:cs="Arial"/>
          <w:sz w:val="24"/>
          <w:szCs w:val="24"/>
        </w:rPr>
        <w:t xml:space="preserve">. The company should use the academic conferences as place channel for the marketing of its prescription market. For its medical device products, the company can </w:t>
      </w:r>
      <w:r w:rsidR="00CC3CAA">
        <w:rPr>
          <w:rFonts w:ascii="Arial" w:hAnsi="Arial" w:cs="Arial"/>
          <w:sz w:val="24"/>
          <w:szCs w:val="24"/>
        </w:rPr>
        <w:t xml:space="preserve">leverage </w:t>
      </w:r>
      <w:r w:rsidR="000307B9">
        <w:rPr>
          <w:rFonts w:ascii="Arial" w:hAnsi="Arial" w:cs="Arial"/>
          <w:sz w:val="24"/>
          <w:szCs w:val="24"/>
        </w:rPr>
        <w:t>its</w:t>
      </w:r>
      <w:r w:rsidR="00CC3CAA">
        <w:rPr>
          <w:rFonts w:ascii="Arial" w:hAnsi="Arial" w:cs="Arial"/>
          <w:sz w:val="24"/>
          <w:szCs w:val="24"/>
        </w:rPr>
        <w:t xml:space="preserve"> establish</w:t>
      </w:r>
      <w:r w:rsidR="000307B9">
        <w:rPr>
          <w:rFonts w:ascii="Arial" w:hAnsi="Arial" w:cs="Arial"/>
          <w:sz w:val="24"/>
          <w:szCs w:val="24"/>
        </w:rPr>
        <w:t>ed</w:t>
      </w:r>
      <w:r w:rsidR="00CC3CAA">
        <w:rPr>
          <w:rFonts w:ascii="Arial" w:hAnsi="Arial" w:cs="Arial"/>
          <w:sz w:val="24"/>
          <w:szCs w:val="24"/>
        </w:rPr>
        <w:t xml:space="preserve"> placement channels in China for the marketing of these products. </w:t>
      </w:r>
      <w:r w:rsidR="000307B9">
        <w:rPr>
          <w:rFonts w:ascii="Arial" w:hAnsi="Arial" w:cs="Arial"/>
          <w:sz w:val="24"/>
          <w:szCs w:val="24"/>
        </w:rPr>
        <w:t xml:space="preserve">Regarding the smart medical devices, the company should also seek to collaborate with e-commerce channels for the marketing of </w:t>
      </w:r>
      <w:r w:rsidR="003C2869">
        <w:rPr>
          <w:rFonts w:ascii="Arial" w:hAnsi="Arial" w:cs="Arial"/>
          <w:sz w:val="24"/>
          <w:szCs w:val="24"/>
        </w:rPr>
        <w:t>the product as the e-commerce is increasingly penetrative in China</w:t>
      </w:r>
      <w:r w:rsidR="0072480C">
        <w:rPr>
          <w:rFonts w:ascii="Arial" w:hAnsi="Arial" w:cs="Arial"/>
          <w:sz w:val="24"/>
          <w:szCs w:val="24"/>
        </w:rPr>
        <w:t xml:space="preserve"> </w:t>
      </w:r>
      <w:r w:rsidR="00DC613D">
        <w:rPr>
          <w:rFonts w:ascii="Arial" w:hAnsi="Arial" w:cs="Arial"/>
          <w:sz w:val="24"/>
          <w:szCs w:val="24"/>
        </w:rPr>
        <w:fldChar w:fldCharType="begin" w:fldLock="1"/>
      </w:r>
      <w:r w:rsidR="006F7847">
        <w:rPr>
          <w:rFonts w:ascii="Arial" w:hAnsi="Arial" w:cs="Arial"/>
          <w:sz w:val="24"/>
          <w:szCs w:val="24"/>
        </w:rPr>
        <w:instrText>ADDIN CSL_CITATION {"citationItems":[{"id":"ITEM-1","itemData":{"DOI":"10.1109/liss.2016.7854373","ISBN":"1509011021","abstract":"Recent years, with a great development of Chinese pharmaceutical\nE-commerce, many problems appeared. This article analyzed the\nopportunity and threaten factors of Chinese Pharmaceutical E-commerce.\nChinese pharmaceutical E-commerce has huge domestic market, mature\nenterprises, advanced technology for its advantages; but limited\nhospital prescription, distribution channel problem, separated with\nmedical insurance and competition with pharmaceutical retailing were\nstill existed as disadvantages. Therefore, this article offered some\nsuggestion, which may provide theoretical support for the government's\npharmaceutical policy.","author":[{"dropping-particle":"","family":"Wang","given":"Yifei","non-dropping-particle":"","parse-names":false,"suffix":""}],"container-title":"2016 International Conference on Logistics, Informatics and Service Sciences (LISS)","id":"ITEM-1","issued":{"date-parts":[["2017"]]},"page":"1-5","publisher":"IEEE","title":"A brief analysis of favorable and unfavorable conditions for future development of pharmaceutical E-commerce in China","type":"paper-conference"},"uris":["http://www.mendeley.com/documents/?uuid=b6a33331-c085-42b8-aba1-e223b44827dc"]}],"mendeley":{"formattedCitation":"(Wang, 2017)","plainTextFormattedCitation":"(Wang, 2017)","previouslyFormattedCitation":"(Wang, 2017)"},"properties":{"noteIndex":0},"schema":"https://github.com/citation-style-language/schema/raw/master/csl-citation.json"}</w:instrText>
      </w:r>
      <w:r w:rsidR="00DC613D">
        <w:rPr>
          <w:rFonts w:ascii="Arial" w:hAnsi="Arial" w:cs="Arial"/>
          <w:sz w:val="24"/>
          <w:szCs w:val="24"/>
        </w:rPr>
        <w:fldChar w:fldCharType="separate"/>
      </w:r>
      <w:r w:rsidR="00DC613D" w:rsidRPr="00DC613D">
        <w:rPr>
          <w:rFonts w:ascii="Arial" w:hAnsi="Arial" w:cs="Arial"/>
          <w:noProof/>
          <w:sz w:val="24"/>
          <w:szCs w:val="24"/>
        </w:rPr>
        <w:t>(Wang, 2017)</w:t>
      </w:r>
      <w:r w:rsidR="00DC613D">
        <w:rPr>
          <w:rFonts w:ascii="Arial" w:hAnsi="Arial" w:cs="Arial"/>
          <w:sz w:val="24"/>
          <w:szCs w:val="24"/>
        </w:rPr>
        <w:fldChar w:fldCharType="end"/>
      </w:r>
      <w:r w:rsidR="003C2869">
        <w:rPr>
          <w:rFonts w:ascii="Arial" w:hAnsi="Arial" w:cs="Arial"/>
          <w:sz w:val="24"/>
          <w:szCs w:val="24"/>
        </w:rPr>
        <w:t xml:space="preserve">. </w:t>
      </w:r>
    </w:p>
    <w:p w14:paraId="5FB62B52" w14:textId="37E085D6" w:rsidR="00E17C24" w:rsidRPr="00E17C24" w:rsidRDefault="00E17C24" w:rsidP="00E17C24">
      <w:pPr>
        <w:pStyle w:val="a7"/>
        <w:widowControl/>
        <w:numPr>
          <w:ilvl w:val="0"/>
          <w:numId w:val="4"/>
        </w:numPr>
        <w:spacing w:before="240" w:after="240" w:line="360" w:lineRule="auto"/>
        <w:ind w:left="357" w:hanging="357"/>
        <w:contextualSpacing w:val="0"/>
        <w:outlineLvl w:val="2"/>
        <w:rPr>
          <w:rFonts w:ascii="Arial" w:hAnsi="Arial" w:cs="Arial"/>
          <w:b/>
          <w:bCs/>
          <w:sz w:val="24"/>
          <w:szCs w:val="24"/>
        </w:rPr>
      </w:pPr>
      <w:bookmarkStart w:id="54" w:name="_Toc40423849"/>
      <w:bookmarkStart w:id="55" w:name="_Toc40423930"/>
      <w:r w:rsidRPr="00E17C24">
        <w:rPr>
          <w:rFonts w:ascii="Arial" w:hAnsi="Arial" w:cs="Arial"/>
          <w:b/>
          <w:bCs/>
          <w:sz w:val="24"/>
          <w:szCs w:val="24"/>
        </w:rPr>
        <w:t>People</w:t>
      </w:r>
      <w:bookmarkEnd w:id="54"/>
      <w:bookmarkEnd w:id="55"/>
      <w:r w:rsidRPr="00E17C24">
        <w:rPr>
          <w:rFonts w:ascii="Arial" w:hAnsi="Arial" w:cs="Arial"/>
          <w:b/>
          <w:bCs/>
          <w:sz w:val="24"/>
          <w:szCs w:val="24"/>
        </w:rPr>
        <w:t xml:space="preserve"> </w:t>
      </w:r>
    </w:p>
    <w:p w14:paraId="3B7B3DEE" w14:textId="32A52B57" w:rsidR="00E17C24" w:rsidRDefault="00906251" w:rsidP="00744782">
      <w:pPr>
        <w:widowControl/>
        <w:spacing w:before="240" w:after="240" w:line="360" w:lineRule="auto"/>
        <w:rPr>
          <w:rFonts w:ascii="Arial" w:hAnsi="Arial" w:cs="Arial"/>
          <w:sz w:val="24"/>
          <w:szCs w:val="24"/>
        </w:rPr>
      </w:pPr>
      <w:r>
        <w:rPr>
          <w:rFonts w:ascii="Arial" w:hAnsi="Arial" w:cs="Arial"/>
          <w:sz w:val="24"/>
          <w:szCs w:val="24"/>
        </w:rPr>
        <w:t xml:space="preserve">People involved in the marketing process are </w:t>
      </w:r>
      <w:r w:rsidR="00E0274F">
        <w:rPr>
          <w:rFonts w:ascii="Arial" w:hAnsi="Arial" w:cs="Arial"/>
          <w:sz w:val="24"/>
          <w:szCs w:val="24"/>
        </w:rPr>
        <w:t xml:space="preserve">customer </w:t>
      </w:r>
      <w:r w:rsidR="00374F1C">
        <w:rPr>
          <w:rFonts w:ascii="Arial" w:hAnsi="Arial" w:cs="Arial"/>
          <w:sz w:val="24"/>
          <w:szCs w:val="24"/>
        </w:rPr>
        <w:t>relationship</w:t>
      </w:r>
      <w:r w:rsidR="00E0274F">
        <w:rPr>
          <w:rFonts w:ascii="Arial" w:hAnsi="Arial" w:cs="Arial"/>
          <w:sz w:val="24"/>
          <w:szCs w:val="24"/>
        </w:rPr>
        <w:t xml:space="preserve"> managers, researchers and </w:t>
      </w:r>
      <w:r w:rsidR="00374F1C">
        <w:rPr>
          <w:rFonts w:ascii="Arial" w:hAnsi="Arial" w:cs="Arial"/>
          <w:sz w:val="24"/>
          <w:szCs w:val="24"/>
        </w:rPr>
        <w:t>scientists</w:t>
      </w:r>
      <w:r w:rsidR="00E0274F">
        <w:rPr>
          <w:rFonts w:ascii="Arial" w:hAnsi="Arial" w:cs="Arial"/>
          <w:sz w:val="24"/>
          <w:szCs w:val="24"/>
        </w:rPr>
        <w:t xml:space="preserve"> in the </w:t>
      </w:r>
      <w:r w:rsidR="00374F1C">
        <w:rPr>
          <w:rFonts w:ascii="Arial" w:hAnsi="Arial" w:cs="Arial"/>
          <w:sz w:val="24"/>
          <w:szCs w:val="24"/>
        </w:rPr>
        <w:t>company</w:t>
      </w:r>
      <w:r w:rsidR="00E0274F">
        <w:rPr>
          <w:rFonts w:ascii="Arial" w:hAnsi="Arial" w:cs="Arial"/>
          <w:sz w:val="24"/>
          <w:szCs w:val="24"/>
        </w:rPr>
        <w:t xml:space="preserve"> and high-level managerial leadership in the company. The </w:t>
      </w:r>
      <w:r w:rsidR="00374F1C">
        <w:rPr>
          <w:rFonts w:ascii="Arial" w:hAnsi="Arial" w:cs="Arial"/>
          <w:sz w:val="24"/>
          <w:szCs w:val="24"/>
        </w:rPr>
        <w:t>customer</w:t>
      </w:r>
      <w:r w:rsidR="00E0274F">
        <w:rPr>
          <w:rFonts w:ascii="Arial" w:hAnsi="Arial" w:cs="Arial"/>
          <w:sz w:val="24"/>
          <w:szCs w:val="24"/>
        </w:rPr>
        <w:t xml:space="preserve"> relationship managers are responsible for the communication with </w:t>
      </w:r>
      <w:r w:rsidR="00374F1C">
        <w:rPr>
          <w:rFonts w:ascii="Arial" w:hAnsi="Arial" w:cs="Arial"/>
          <w:sz w:val="24"/>
          <w:szCs w:val="24"/>
        </w:rPr>
        <w:t>customers</w:t>
      </w:r>
      <w:r w:rsidR="00E0274F">
        <w:rPr>
          <w:rFonts w:ascii="Arial" w:hAnsi="Arial" w:cs="Arial"/>
          <w:sz w:val="24"/>
          <w:szCs w:val="24"/>
        </w:rPr>
        <w:t xml:space="preserve"> in the prescription market segment. The researchers and </w:t>
      </w:r>
      <w:r w:rsidR="0078000D">
        <w:rPr>
          <w:rFonts w:ascii="Arial" w:hAnsi="Arial" w:cs="Arial"/>
          <w:sz w:val="24"/>
          <w:szCs w:val="24"/>
        </w:rPr>
        <w:t>scientists</w:t>
      </w:r>
      <w:r w:rsidR="00E0274F">
        <w:rPr>
          <w:rFonts w:ascii="Arial" w:hAnsi="Arial" w:cs="Arial"/>
          <w:sz w:val="24"/>
          <w:szCs w:val="24"/>
        </w:rPr>
        <w:t xml:space="preserve"> are responsible for the </w:t>
      </w:r>
      <w:r w:rsidR="00374F1C">
        <w:rPr>
          <w:rFonts w:ascii="Arial" w:hAnsi="Arial" w:cs="Arial"/>
          <w:sz w:val="24"/>
          <w:szCs w:val="24"/>
        </w:rPr>
        <w:t>commination</w:t>
      </w:r>
      <w:r w:rsidR="00E0274F">
        <w:rPr>
          <w:rFonts w:ascii="Arial" w:hAnsi="Arial" w:cs="Arial"/>
          <w:sz w:val="24"/>
          <w:szCs w:val="24"/>
        </w:rPr>
        <w:t xml:space="preserve"> and marketing in the </w:t>
      </w:r>
      <w:r w:rsidR="0078000D">
        <w:rPr>
          <w:rFonts w:ascii="Arial" w:hAnsi="Arial" w:cs="Arial"/>
          <w:sz w:val="24"/>
          <w:szCs w:val="24"/>
        </w:rPr>
        <w:t>prescription</w:t>
      </w:r>
      <w:r w:rsidR="00E0274F">
        <w:rPr>
          <w:rFonts w:ascii="Arial" w:hAnsi="Arial" w:cs="Arial"/>
          <w:sz w:val="24"/>
          <w:szCs w:val="24"/>
        </w:rPr>
        <w:t xml:space="preserve"> </w:t>
      </w:r>
      <w:r w:rsidR="0078000D">
        <w:rPr>
          <w:rFonts w:ascii="Arial" w:hAnsi="Arial" w:cs="Arial"/>
          <w:sz w:val="24"/>
          <w:szCs w:val="24"/>
        </w:rPr>
        <w:t>markets</w:t>
      </w:r>
      <w:r w:rsidR="00E0274F">
        <w:rPr>
          <w:rFonts w:ascii="Arial" w:hAnsi="Arial" w:cs="Arial"/>
          <w:sz w:val="24"/>
          <w:szCs w:val="24"/>
        </w:rPr>
        <w:t xml:space="preserve"> in events such as academic conferences. The </w:t>
      </w:r>
      <w:r w:rsidR="0078000D">
        <w:rPr>
          <w:rFonts w:ascii="Arial" w:hAnsi="Arial" w:cs="Arial"/>
          <w:sz w:val="24"/>
          <w:szCs w:val="24"/>
        </w:rPr>
        <w:t>leadership</w:t>
      </w:r>
      <w:r w:rsidR="00374F1C">
        <w:rPr>
          <w:rFonts w:ascii="Arial" w:hAnsi="Arial" w:cs="Arial"/>
          <w:sz w:val="24"/>
          <w:szCs w:val="24"/>
        </w:rPr>
        <w:t xml:space="preserve"> in the company is to </w:t>
      </w:r>
      <w:r w:rsidR="0078000D">
        <w:rPr>
          <w:rFonts w:ascii="Arial" w:hAnsi="Arial" w:cs="Arial"/>
          <w:sz w:val="24"/>
          <w:szCs w:val="24"/>
        </w:rPr>
        <w:t>guarantee</w:t>
      </w:r>
      <w:r w:rsidR="00374F1C">
        <w:rPr>
          <w:rFonts w:ascii="Arial" w:hAnsi="Arial" w:cs="Arial"/>
          <w:sz w:val="24"/>
          <w:szCs w:val="24"/>
        </w:rPr>
        <w:t xml:space="preserve"> that the expansion and marketing in China should be </w:t>
      </w:r>
      <w:r w:rsidR="0078000D">
        <w:rPr>
          <w:rFonts w:ascii="Arial" w:hAnsi="Arial" w:cs="Arial"/>
          <w:sz w:val="24"/>
          <w:szCs w:val="24"/>
        </w:rPr>
        <w:t>emphasized</w:t>
      </w:r>
      <w:r w:rsidR="00374F1C">
        <w:rPr>
          <w:rFonts w:ascii="Arial" w:hAnsi="Arial" w:cs="Arial"/>
          <w:sz w:val="24"/>
          <w:szCs w:val="24"/>
        </w:rPr>
        <w:t xml:space="preserve"> from a strategic level for the coordination of organisational </w:t>
      </w:r>
      <w:r w:rsidR="0078000D">
        <w:rPr>
          <w:rFonts w:ascii="Arial" w:hAnsi="Arial" w:cs="Arial"/>
          <w:sz w:val="24"/>
          <w:szCs w:val="24"/>
        </w:rPr>
        <w:t>activities</w:t>
      </w:r>
      <w:r w:rsidR="00374F1C">
        <w:rPr>
          <w:rFonts w:ascii="Arial" w:hAnsi="Arial" w:cs="Arial"/>
          <w:sz w:val="24"/>
          <w:szCs w:val="24"/>
        </w:rPr>
        <w:t xml:space="preserve">. </w:t>
      </w:r>
    </w:p>
    <w:p w14:paraId="057C81B3" w14:textId="63B04F68" w:rsidR="0078000D" w:rsidRPr="00782B75" w:rsidRDefault="00782B75" w:rsidP="00782B75">
      <w:pPr>
        <w:pStyle w:val="a7"/>
        <w:widowControl/>
        <w:numPr>
          <w:ilvl w:val="0"/>
          <w:numId w:val="4"/>
        </w:numPr>
        <w:spacing w:before="240" w:after="240" w:line="360" w:lineRule="auto"/>
        <w:ind w:left="357" w:hanging="357"/>
        <w:contextualSpacing w:val="0"/>
        <w:outlineLvl w:val="2"/>
        <w:rPr>
          <w:rFonts w:ascii="Arial" w:hAnsi="Arial" w:cs="Arial"/>
          <w:b/>
          <w:bCs/>
          <w:sz w:val="24"/>
          <w:szCs w:val="24"/>
        </w:rPr>
      </w:pPr>
      <w:bookmarkStart w:id="56" w:name="_Toc40423850"/>
      <w:bookmarkStart w:id="57" w:name="_Toc40423931"/>
      <w:r w:rsidRPr="00782B75">
        <w:rPr>
          <w:rFonts w:ascii="Arial" w:hAnsi="Arial" w:cs="Arial"/>
          <w:b/>
          <w:bCs/>
          <w:sz w:val="24"/>
          <w:szCs w:val="24"/>
        </w:rPr>
        <w:t>Process</w:t>
      </w:r>
      <w:bookmarkEnd w:id="56"/>
      <w:bookmarkEnd w:id="57"/>
      <w:r w:rsidRPr="00782B75">
        <w:rPr>
          <w:rFonts w:ascii="Arial" w:hAnsi="Arial" w:cs="Arial"/>
          <w:b/>
          <w:bCs/>
          <w:sz w:val="24"/>
          <w:szCs w:val="24"/>
        </w:rPr>
        <w:t xml:space="preserve"> </w:t>
      </w:r>
    </w:p>
    <w:p w14:paraId="7DE33ECA" w14:textId="5E852536" w:rsidR="00782B75" w:rsidRDefault="00782B75" w:rsidP="00744782">
      <w:pPr>
        <w:widowControl/>
        <w:spacing w:before="240" w:after="240" w:line="360" w:lineRule="auto"/>
        <w:rPr>
          <w:rFonts w:ascii="Arial" w:hAnsi="Arial" w:cs="Arial"/>
          <w:sz w:val="24"/>
          <w:szCs w:val="24"/>
        </w:rPr>
      </w:pPr>
      <w:r>
        <w:rPr>
          <w:rFonts w:ascii="Arial" w:hAnsi="Arial" w:cs="Arial"/>
          <w:sz w:val="24"/>
          <w:szCs w:val="24"/>
        </w:rPr>
        <w:t xml:space="preserve">The primary process in the prescription market is the </w:t>
      </w:r>
      <w:r w:rsidR="004E4354">
        <w:rPr>
          <w:rFonts w:ascii="Arial" w:hAnsi="Arial" w:cs="Arial"/>
          <w:sz w:val="24"/>
          <w:szCs w:val="24"/>
        </w:rPr>
        <w:t>communication with public hospitalities, regulatory bodies and research institutes in China. The process in this market segment is to ensure that</w:t>
      </w:r>
      <w:r w:rsidR="00753B5D">
        <w:rPr>
          <w:rFonts w:ascii="Arial" w:hAnsi="Arial" w:cs="Arial"/>
          <w:sz w:val="24"/>
          <w:szCs w:val="24"/>
        </w:rPr>
        <w:t xml:space="preserve"> company’s products have a high exposure to customers especially the oral insulin products. </w:t>
      </w:r>
      <w:r w:rsidR="00A762F7">
        <w:rPr>
          <w:rFonts w:ascii="Arial" w:hAnsi="Arial" w:cs="Arial"/>
          <w:sz w:val="24"/>
          <w:szCs w:val="24"/>
        </w:rPr>
        <w:t xml:space="preserve">The primary process in the non-prescription market segment is the engagement with target </w:t>
      </w:r>
      <w:r w:rsidR="00314377">
        <w:rPr>
          <w:rFonts w:ascii="Arial" w:hAnsi="Arial" w:cs="Arial"/>
          <w:sz w:val="24"/>
          <w:szCs w:val="24"/>
        </w:rPr>
        <w:t>customers</w:t>
      </w:r>
      <w:r w:rsidR="00A762F7">
        <w:rPr>
          <w:rFonts w:ascii="Arial" w:hAnsi="Arial" w:cs="Arial"/>
          <w:sz w:val="24"/>
          <w:szCs w:val="24"/>
        </w:rPr>
        <w:t xml:space="preserve"> via</w:t>
      </w:r>
      <w:r w:rsidR="00314377">
        <w:rPr>
          <w:rFonts w:ascii="Arial" w:hAnsi="Arial" w:cs="Arial"/>
          <w:sz w:val="24"/>
          <w:szCs w:val="24"/>
        </w:rPr>
        <w:t xml:space="preserve"> </w:t>
      </w:r>
      <w:r w:rsidR="00A762F7">
        <w:rPr>
          <w:rFonts w:ascii="Arial" w:hAnsi="Arial" w:cs="Arial"/>
          <w:sz w:val="24"/>
          <w:szCs w:val="24"/>
        </w:rPr>
        <w:t xml:space="preserve">various channels including social media, email and </w:t>
      </w:r>
      <w:r w:rsidR="00314377">
        <w:rPr>
          <w:rFonts w:ascii="Arial" w:hAnsi="Arial" w:cs="Arial"/>
          <w:sz w:val="24"/>
          <w:szCs w:val="24"/>
        </w:rPr>
        <w:t xml:space="preserve">offline activities. </w:t>
      </w:r>
    </w:p>
    <w:p w14:paraId="34F18021" w14:textId="2FCD40F7" w:rsidR="006F7847" w:rsidRDefault="006F7847" w:rsidP="00744782">
      <w:pPr>
        <w:widowControl/>
        <w:spacing w:before="240" w:after="240" w:line="360" w:lineRule="auto"/>
        <w:rPr>
          <w:rFonts w:ascii="Arial" w:hAnsi="Arial" w:cs="Arial"/>
          <w:sz w:val="24"/>
          <w:szCs w:val="24"/>
        </w:rPr>
      </w:pPr>
    </w:p>
    <w:p w14:paraId="70420870" w14:textId="77777777" w:rsidR="006F7847" w:rsidRDefault="006F7847" w:rsidP="00744782">
      <w:pPr>
        <w:widowControl/>
        <w:spacing w:before="240" w:after="240" w:line="360" w:lineRule="auto"/>
        <w:rPr>
          <w:rFonts w:ascii="Arial" w:hAnsi="Arial" w:cs="Arial"/>
          <w:sz w:val="24"/>
          <w:szCs w:val="24"/>
        </w:rPr>
      </w:pPr>
    </w:p>
    <w:p w14:paraId="5F2E9587" w14:textId="4DF80F61" w:rsidR="00314377" w:rsidRPr="00314377" w:rsidRDefault="00314377" w:rsidP="00314377">
      <w:pPr>
        <w:pStyle w:val="a7"/>
        <w:widowControl/>
        <w:numPr>
          <w:ilvl w:val="0"/>
          <w:numId w:val="4"/>
        </w:numPr>
        <w:spacing w:before="240" w:after="240" w:line="360" w:lineRule="auto"/>
        <w:ind w:left="357" w:hanging="357"/>
        <w:contextualSpacing w:val="0"/>
        <w:outlineLvl w:val="2"/>
        <w:rPr>
          <w:rFonts w:ascii="Arial" w:hAnsi="Arial" w:cs="Arial"/>
          <w:b/>
          <w:bCs/>
          <w:sz w:val="24"/>
          <w:szCs w:val="24"/>
        </w:rPr>
      </w:pPr>
      <w:bookmarkStart w:id="58" w:name="_Toc40423851"/>
      <w:bookmarkStart w:id="59" w:name="_Toc40423932"/>
      <w:r w:rsidRPr="00314377">
        <w:rPr>
          <w:rFonts w:ascii="Arial" w:hAnsi="Arial" w:cs="Arial"/>
          <w:b/>
          <w:bCs/>
          <w:sz w:val="24"/>
          <w:szCs w:val="24"/>
        </w:rPr>
        <w:lastRenderedPageBreak/>
        <w:t>Physical evidence</w:t>
      </w:r>
      <w:bookmarkEnd w:id="58"/>
      <w:bookmarkEnd w:id="59"/>
      <w:r w:rsidRPr="00314377">
        <w:rPr>
          <w:rFonts w:ascii="Arial" w:hAnsi="Arial" w:cs="Arial"/>
          <w:b/>
          <w:bCs/>
          <w:sz w:val="24"/>
          <w:szCs w:val="24"/>
        </w:rPr>
        <w:t xml:space="preserve"> </w:t>
      </w:r>
    </w:p>
    <w:p w14:paraId="4072DA46" w14:textId="6F3E1AC9" w:rsidR="00314377" w:rsidRDefault="00314377" w:rsidP="00744782">
      <w:pPr>
        <w:widowControl/>
        <w:spacing w:before="240" w:after="240" w:line="360" w:lineRule="auto"/>
        <w:rPr>
          <w:rFonts w:ascii="Arial" w:hAnsi="Arial" w:cs="Arial"/>
          <w:sz w:val="24"/>
          <w:szCs w:val="24"/>
        </w:rPr>
      </w:pPr>
      <w:r>
        <w:rPr>
          <w:rFonts w:ascii="Arial" w:hAnsi="Arial" w:cs="Arial"/>
          <w:sz w:val="24"/>
          <w:szCs w:val="24"/>
        </w:rPr>
        <w:t xml:space="preserve">The physical evidence of the company </w:t>
      </w:r>
      <w:r w:rsidR="0069420D">
        <w:rPr>
          <w:rFonts w:ascii="Arial" w:hAnsi="Arial" w:cs="Arial"/>
          <w:sz w:val="24"/>
          <w:szCs w:val="24"/>
        </w:rPr>
        <w:t xml:space="preserve">is primarily posters in academic conferences. The company can also design a series of brochures on the treatment of diabetes and how to prevent the disease to hand out to customers. The </w:t>
      </w:r>
      <w:r w:rsidR="00F4449C">
        <w:rPr>
          <w:rFonts w:ascii="Arial" w:hAnsi="Arial" w:cs="Arial"/>
          <w:sz w:val="24"/>
          <w:szCs w:val="24"/>
        </w:rPr>
        <w:t>physical</w:t>
      </w:r>
      <w:r w:rsidR="0069420D">
        <w:rPr>
          <w:rFonts w:ascii="Arial" w:hAnsi="Arial" w:cs="Arial"/>
          <w:sz w:val="24"/>
          <w:szCs w:val="24"/>
        </w:rPr>
        <w:t xml:space="preserve"> evidence of the medical device </w:t>
      </w:r>
      <w:r w:rsidR="00F4449C">
        <w:rPr>
          <w:rFonts w:ascii="Arial" w:hAnsi="Arial" w:cs="Arial"/>
          <w:sz w:val="24"/>
          <w:szCs w:val="24"/>
        </w:rPr>
        <w:t xml:space="preserve">products can be via pharma shops in China with posters and brochures aforementioned. </w:t>
      </w:r>
    </w:p>
    <w:p w14:paraId="3C968A7B" w14:textId="2F4415AA" w:rsidR="00F4449C" w:rsidRPr="00F4449C" w:rsidRDefault="00F4449C" w:rsidP="00F4449C">
      <w:pPr>
        <w:pStyle w:val="a7"/>
        <w:widowControl/>
        <w:numPr>
          <w:ilvl w:val="1"/>
          <w:numId w:val="1"/>
        </w:numPr>
        <w:spacing w:before="240" w:after="240" w:line="360" w:lineRule="auto"/>
        <w:contextualSpacing w:val="0"/>
        <w:outlineLvl w:val="1"/>
        <w:rPr>
          <w:rFonts w:ascii="Arial" w:hAnsi="Arial" w:cs="Arial"/>
          <w:b/>
          <w:bCs/>
          <w:sz w:val="24"/>
          <w:szCs w:val="24"/>
        </w:rPr>
      </w:pPr>
      <w:bookmarkStart w:id="60" w:name="_Toc40423933"/>
      <w:r w:rsidRPr="00F4449C">
        <w:rPr>
          <w:rFonts w:ascii="Arial" w:hAnsi="Arial" w:cs="Arial"/>
          <w:b/>
          <w:bCs/>
          <w:sz w:val="24"/>
          <w:szCs w:val="24"/>
        </w:rPr>
        <w:t>Implementation strategy</w:t>
      </w:r>
      <w:bookmarkEnd w:id="60"/>
      <w:r w:rsidRPr="00F4449C">
        <w:rPr>
          <w:rFonts w:ascii="Arial" w:hAnsi="Arial" w:cs="Arial"/>
          <w:b/>
          <w:bCs/>
          <w:sz w:val="24"/>
          <w:szCs w:val="24"/>
        </w:rPr>
        <w:t xml:space="preserve"> </w:t>
      </w:r>
    </w:p>
    <w:p w14:paraId="3DB621BD" w14:textId="7BE2D47C" w:rsidR="00F4449C" w:rsidRDefault="00066B8D" w:rsidP="00744782">
      <w:pPr>
        <w:widowControl/>
        <w:spacing w:before="240" w:after="240" w:line="360" w:lineRule="auto"/>
        <w:rPr>
          <w:rFonts w:ascii="Arial" w:hAnsi="Arial" w:cs="Arial"/>
          <w:sz w:val="24"/>
          <w:szCs w:val="24"/>
        </w:rPr>
      </w:pPr>
      <w:r>
        <w:rPr>
          <w:rFonts w:ascii="Arial" w:hAnsi="Arial" w:cs="Arial"/>
          <w:sz w:val="24"/>
          <w:szCs w:val="24"/>
        </w:rPr>
        <w:t xml:space="preserve">The first step in the implementation is the </w:t>
      </w:r>
      <w:r w:rsidR="00D175FC">
        <w:rPr>
          <w:rFonts w:ascii="Arial" w:hAnsi="Arial" w:cs="Arial"/>
          <w:sz w:val="24"/>
          <w:szCs w:val="24"/>
        </w:rPr>
        <w:t>assessment</w:t>
      </w:r>
      <w:r>
        <w:rPr>
          <w:rFonts w:ascii="Arial" w:hAnsi="Arial" w:cs="Arial"/>
          <w:sz w:val="24"/>
          <w:szCs w:val="24"/>
        </w:rPr>
        <w:t xml:space="preserve"> of the </w:t>
      </w:r>
      <w:r w:rsidR="00D175FC">
        <w:rPr>
          <w:rFonts w:ascii="Arial" w:hAnsi="Arial" w:cs="Arial"/>
          <w:sz w:val="24"/>
          <w:szCs w:val="24"/>
        </w:rPr>
        <w:t>resources</w:t>
      </w:r>
      <w:r>
        <w:rPr>
          <w:rFonts w:ascii="Arial" w:hAnsi="Arial" w:cs="Arial"/>
          <w:sz w:val="24"/>
          <w:szCs w:val="24"/>
        </w:rPr>
        <w:t xml:space="preserve"> in terms of financial and human </w:t>
      </w:r>
      <w:r w:rsidR="00D175FC">
        <w:rPr>
          <w:rFonts w:ascii="Arial" w:hAnsi="Arial" w:cs="Arial"/>
          <w:sz w:val="24"/>
          <w:szCs w:val="24"/>
        </w:rPr>
        <w:t>resources</w:t>
      </w:r>
      <w:r>
        <w:rPr>
          <w:rFonts w:ascii="Arial" w:hAnsi="Arial" w:cs="Arial"/>
          <w:sz w:val="24"/>
          <w:szCs w:val="24"/>
        </w:rPr>
        <w:t xml:space="preserve"> available in the company. The company should use </w:t>
      </w:r>
      <w:r w:rsidR="00D175FC">
        <w:rPr>
          <w:rFonts w:ascii="Arial" w:hAnsi="Arial" w:cs="Arial"/>
          <w:sz w:val="24"/>
          <w:szCs w:val="24"/>
        </w:rPr>
        <w:t xml:space="preserve">seminars and keynote speeches in the company to convey the importance of expanding in the Chinese market. </w:t>
      </w:r>
      <w:r w:rsidR="008D7848">
        <w:rPr>
          <w:rFonts w:ascii="Arial" w:hAnsi="Arial" w:cs="Arial"/>
          <w:sz w:val="24"/>
          <w:szCs w:val="24"/>
        </w:rPr>
        <w:t xml:space="preserve">The company should also re-allocate its marketing teams in China to fit into the two different market segments. </w:t>
      </w:r>
    </w:p>
    <w:p w14:paraId="47FE902F" w14:textId="27CC122C" w:rsidR="00EE5E18" w:rsidRDefault="00EE5E18" w:rsidP="00744782">
      <w:pPr>
        <w:widowControl/>
        <w:spacing w:before="240" w:after="240" w:line="360" w:lineRule="auto"/>
        <w:rPr>
          <w:rFonts w:ascii="Arial" w:hAnsi="Arial" w:cs="Arial"/>
          <w:sz w:val="24"/>
          <w:szCs w:val="24"/>
        </w:rPr>
      </w:pPr>
      <w:r>
        <w:rPr>
          <w:rFonts w:ascii="Arial" w:hAnsi="Arial" w:cs="Arial"/>
          <w:sz w:val="24"/>
          <w:szCs w:val="24"/>
        </w:rPr>
        <w:t xml:space="preserve">The second step is to asses the potential obstacles in the implementation. A major </w:t>
      </w:r>
      <w:r w:rsidR="007F2B7B">
        <w:rPr>
          <w:rFonts w:ascii="Arial" w:hAnsi="Arial" w:cs="Arial"/>
          <w:sz w:val="24"/>
          <w:szCs w:val="24"/>
        </w:rPr>
        <w:t>obstacle</w:t>
      </w:r>
      <w:r>
        <w:rPr>
          <w:rFonts w:ascii="Arial" w:hAnsi="Arial" w:cs="Arial"/>
          <w:sz w:val="24"/>
          <w:szCs w:val="24"/>
        </w:rPr>
        <w:t xml:space="preserve"> could be that the medical devices or the oral insulin products </w:t>
      </w:r>
      <w:r w:rsidR="004872D4">
        <w:rPr>
          <w:rFonts w:ascii="Arial" w:hAnsi="Arial" w:cs="Arial"/>
          <w:sz w:val="24"/>
          <w:szCs w:val="24"/>
        </w:rPr>
        <w:t xml:space="preserve">cannot pass the audit from Chinese regulatory bodies. The company should devise plans to solve such issues. </w:t>
      </w:r>
      <w:r w:rsidR="007F2B7B">
        <w:rPr>
          <w:rFonts w:ascii="Arial" w:hAnsi="Arial" w:cs="Arial"/>
          <w:sz w:val="24"/>
          <w:szCs w:val="24"/>
        </w:rPr>
        <w:t xml:space="preserve">Novo Nordisk can, for example, work on the application of multiple products to increase of chances of passing the audition. </w:t>
      </w:r>
    </w:p>
    <w:p w14:paraId="5AE1EDF6" w14:textId="517C2445" w:rsidR="007F2B7B" w:rsidRDefault="007F2B7B" w:rsidP="00744782">
      <w:pPr>
        <w:widowControl/>
        <w:spacing w:before="240" w:after="240" w:line="360" w:lineRule="auto"/>
        <w:rPr>
          <w:rFonts w:ascii="Arial" w:hAnsi="Arial" w:cs="Arial"/>
          <w:sz w:val="24"/>
          <w:szCs w:val="24"/>
        </w:rPr>
      </w:pPr>
      <w:r>
        <w:rPr>
          <w:rFonts w:ascii="Arial" w:hAnsi="Arial" w:cs="Arial"/>
          <w:sz w:val="24"/>
          <w:szCs w:val="24"/>
        </w:rPr>
        <w:t xml:space="preserve">The third step is </w:t>
      </w:r>
      <w:r w:rsidR="00C37ABB">
        <w:rPr>
          <w:rFonts w:ascii="Arial" w:hAnsi="Arial" w:cs="Arial"/>
          <w:sz w:val="24"/>
          <w:szCs w:val="24"/>
        </w:rPr>
        <w:t xml:space="preserve">establishment of the marketing department regarding two market segments in China. The two marketing teams should be coordinated by a high-ranking leadership in the company to ensure that the implementation process is equipped with the resources required. </w:t>
      </w:r>
    </w:p>
    <w:p w14:paraId="22885A7D" w14:textId="06291C2C" w:rsidR="00C37ABB" w:rsidRDefault="00C37ABB" w:rsidP="00744782">
      <w:pPr>
        <w:widowControl/>
        <w:spacing w:before="240" w:after="240" w:line="360" w:lineRule="auto"/>
        <w:rPr>
          <w:rFonts w:ascii="Arial" w:hAnsi="Arial" w:cs="Arial"/>
          <w:sz w:val="24"/>
          <w:szCs w:val="24"/>
        </w:rPr>
      </w:pPr>
      <w:r>
        <w:rPr>
          <w:rFonts w:ascii="Arial" w:hAnsi="Arial" w:cs="Arial"/>
          <w:sz w:val="24"/>
          <w:szCs w:val="24"/>
        </w:rPr>
        <w:t xml:space="preserve">The </w:t>
      </w:r>
      <w:r w:rsidR="00530DCF">
        <w:rPr>
          <w:rFonts w:ascii="Arial" w:hAnsi="Arial" w:cs="Arial"/>
          <w:sz w:val="24"/>
          <w:szCs w:val="24"/>
        </w:rPr>
        <w:t>fourth</w:t>
      </w:r>
      <w:r>
        <w:rPr>
          <w:rFonts w:ascii="Arial" w:hAnsi="Arial" w:cs="Arial"/>
          <w:sz w:val="24"/>
          <w:szCs w:val="24"/>
        </w:rPr>
        <w:t xml:space="preserve"> step is the im</w:t>
      </w:r>
      <w:r w:rsidR="00201909">
        <w:rPr>
          <w:rFonts w:ascii="Arial" w:hAnsi="Arial" w:cs="Arial"/>
          <w:sz w:val="24"/>
          <w:szCs w:val="24"/>
        </w:rPr>
        <w:t xml:space="preserve">plementation of the marketing mix plans as proposed in this study. During this process, the company should constantly revisit the </w:t>
      </w:r>
      <w:r w:rsidR="00530DCF">
        <w:rPr>
          <w:rFonts w:ascii="Arial" w:hAnsi="Arial" w:cs="Arial"/>
          <w:sz w:val="24"/>
          <w:szCs w:val="24"/>
        </w:rPr>
        <w:t>marketing</w:t>
      </w:r>
      <w:r w:rsidR="00201909">
        <w:rPr>
          <w:rFonts w:ascii="Arial" w:hAnsi="Arial" w:cs="Arial"/>
          <w:sz w:val="24"/>
          <w:szCs w:val="24"/>
        </w:rPr>
        <w:t xml:space="preserve"> practices in terms of whether they have </w:t>
      </w:r>
      <w:r w:rsidR="00530DCF">
        <w:rPr>
          <w:rFonts w:ascii="Arial" w:hAnsi="Arial" w:cs="Arial"/>
          <w:sz w:val="24"/>
          <w:szCs w:val="24"/>
        </w:rPr>
        <w:t>achieved</w:t>
      </w:r>
      <w:r w:rsidR="00201909">
        <w:rPr>
          <w:rFonts w:ascii="Arial" w:hAnsi="Arial" w:cs="Arial"/>
          <w:sz w:val="24"/>
          <w:szCs w:val="24"/>
        </w:rPr>
        <w:t xml:space="preserve"> the </w:t>
      </w:r>
      <w:r w:rsidR="00530DCF">
        <w:rPr>
          <w:rFonts w:ascii="Arial" w:hAnsi="Arial" w:cs="Arial"/>
          <w:sz w:val="24"/>
          <w:szCs w:val="24"/>
        </w:rPr>
        <w:t xml:space="preserve">marketing objectives. </w:t>
      </w:r>
    </w:p>
    <w:p w14:paraId="722A858B" w14:textId="6B0A9125" w:rsidR="00103ACA" w:rsidRPr="00103ACA" w:rsidRDefault="00103ACA" w:rsidP="00103ACA">
      <w:pPr>
        <w:pStyle w:val="a7"/>
        <w:widowControl/>
        <w:numPr>
          <w:ilvl w:val="1"/>
          <w:numId w:val="1"/>
        </w:numPr>
        <w:spacing w:before="240" w:after="240" w:line="360" w:lineRule="auto"/>
        <w:contextualSpacing w:val="0"/>
        <w:outlineLvl w:val="1"/>
        <w:rPr>
          <w:rFonts w:ascii="Arial" w:hAnsi="Arial" w:cs="Arial"/>
          <w:b/>
          <w:bCs/>
          <w:sz w:val="24"/>
          <w:szCs w:val="24"/>
        </w:rPr>
      </w:pPr>
      <w:bookmarkStart w:id="61" w:name="_Toc40423934"/>
      <w:r w:rsidRPr="00103ACA">
        <w:rPr>
          <w:rFonts w:ascii="Arial" w:hAnsi="Arial" w:cs="Arial"/>
          <w:b/>
          <w:bCs/>
          <w:sz w:val="24"/>
          <w:szCs w:val="24"/>
        </w:rPr>
        <w:t>Marketing control</w:t>
      </w:r>
      <w:bookmarkEnd w:id="61"/>
      <w:r w:rsidRPr="00103ACA">
        <w:rPr>
          <w:rFonts w:ascii="Arial" w:hAnsi="Arial" w:cs="Arial"/>
          <w:b/>
          <w:bCs/>
          <w:sz w:val="24"/>
          <w:szCs w:val="24"/>
        </w:rPr>
        <w:t xml:space="preserve"> </w:t>
      </w:r>
    </w:p>
    <w:p w14:paraId="069A6558" w14:textId="647D1B8D" w:rsidR="00EF0676" w:rsidRPr="00EF0676" w:rsidRDefault="00EF0676" w:rsidP="00EF0676">
      <w:pPr>
        <w:widowControl/>
        <w:spacing w:before="240" w:after="240" w:line="360" w:lineRule="auto"/>
        <w:rPr>
          <w:rFonts w:ascii="Arial" w:hAnsi="Arial" w:cs="Arial"/>
          <w:sz w:val="24"/>
          <w:szCs w:val="24"/>
        </w:rPr>
      </w:pPr>
      <w:r w:rsidRPr="00EF0676">
        <w:rPr>
          <w:rFonts w:ascii="Arial" w:hAnsi="Arial" w:cs="Arial"/>
          <w:sz w:val="24"/>
          <w:szCs w:val="24"/>
        </w:rPr>
        <w:t>Novo No</w:t>
      </w:r>
      <w:r w:rsidR="00D356D6">
        <w:rPr>
          <w:rFonts w:ascii="Arial" w:hAnsi="Arial" w:cs="Arial"/>
          <w:sz w:val="24"/>
          <w:szCs w:val="24"/>
        </w:rPr>
        <w:t>r</w:t>
      </w:r>
      <w:r w:rsidRPr="00EF0676">
        <w:rPr>
          <w:rFonts w:ascii="Arial" w:hAnsi="Arial" w:cs="Arial"/>
          <w:sz w:val="24"/>
          <w:szCs w:val="24"/>
        </w:rPr>
        <w:t xml:space="preserve">disk's control of marketing activities mainly starts from four aspects: annual plan control, profit control, efficiency control and strategic control. During the execution of marketing activities, it continuously feedbacks, regulates, and evaluates the implementation of marketing plans, corrects possible errors or deviations, implements </w:t>
      </w:r>
      <w:r w:rsidRPr="00EF0676">
        <w:rPr>
          <w:rFonts w:ascii="Arial" w:hAnsi="Arial" w:cs="Arial"/>
          <w:sz w:val="24"/>
          <w:szCs w:val="24"/>
        </w:rPr>
        <w:lastRenderedPageBreak/>
        <w:t>marketing plans, and ensures the successful completion of Novo Nordisk's marketing objectives.</w:t>
      </w:r>
    </w:p>
    <w:p w14:paraId="6C2E9ABC" w14:textId="5479C048" w:rsidR="00EF0676" w:rsidRPr="00EF0676" w:rsidRDefault="00EF0676" w:rsidP="00EF0676">
      <w:pPr>
        <w:widowControl/>
        <w:spacing w:before="240" w:after="240" w:line="360" w:lineRule="auto"/>
        <w:rPr>
          <w:rFonts w:ascii="Arial" w:hAnsi="Arial" w:cs="Arial"/>
          <w:sz w:val="24"/>
          <w:szCs w:val="24"/>
        </w:rPr>
      </w:pPr>
      <w:r w:rsidRPr="00EF0676">
        <w:rPr>
          <w:rFonts w:ascii="Arial" w:hAnsi="Arial" w:cs="Arial"/>
          <w:sz w:val="24"/>
          <w:szCs w:val="24"/>
        </w:rPr>
        <w:t xml:space="preserve">Annual plan control refers to checking whether the results of marketing activities meet the requirements of the annual plan within the current year according to the annual goals and relevant standards and taking corresponding adjustments and corrective measures to control the implementation to achieve the marketing plan. The annual plan control is to promote the continuous drive of the annual plan, and the final marketing control results are used as the basis for the year-end performance assessment and evaluation. Through the implementation of annual plan control, Novo Nordisk can discover potential and existing problems of the company and promptly resolve them properly, prompting the sales manager to use the annual plan control to effectively monitor and manage the work of the sales department. The year plan of Novo Nordisk will be decomposed into the quarterly plan and monthly plan with clearly defined key performance indicators, such as the sales volume of competitors’ similar products, the sales volume of previous years, the sales volume of other regions. Novo Nordisk should instruct the sales and marketing department to compare actual sales with predetermined goals. If it is not completed, the department manager should find out the cause and correct it in time. If the actual performance is fully completed, the department manager must also measure whether the goal is set too low or other </w:t>
      </w:r>
      <w:r w:rsidR="00AC794D" w:rsidRPr="00EF0676">
        <w:rPr>
          <w:rFonts w:ascii="Arial" w:hAnsi="Arial" w:cs="Arial"/>
          <w:sz w:val="24"/>
          <w:szCs w:val="24"/>
        </w:rPr>
        <w:t>favourable</w:t>
      </w:r>
      <w:r w:rsidRPr="00EF0676">
        <w:rPr>
          <w:rFonts w:ascii="Arial" w:hAnsi="Arial" w:cs="Arial"/>
          <w:sz w:val="24"/>
          <w:szCs w:val="24"/>
        </w:rPr>
        <w:t xml:space="preserve"> factors, so that they can adjust the predetermined goal timely.</w:t>
      </w:r>
    </w:p>
    <w:p w14:paraId="0F6F3726" w14:textId="5DD2777A" w:rsidR="00103ACA" w:rsidRDefault="00EF0676" w:rsidP="00EF0676">
      <w:pPr>
        <w:widowControl/>
        <w:spacing w:before="240" w:after="240" w:line="360" w:lineRule="auto"/>
        <w:rPr>
          <w:rFonts w:ascii="Arial" w:hAnsi="Arial" w:cs="Arial"/>
          <w:sz w:val="24"/>
          <w:szCs w:val="24"/>
        </w:rPr>
      </w:pPr>
      <w:r w:rsidRPr="00EF0676">
        <w:rPr>
          <w:rFonts w:ascii="Arial" w:hAnsi="Arial" w:cs="Arial"/>
          <w:sz w:val="24"/>
          <w:szCs w:val="24"/>
        </w:rPr>
        <w:t xml:space="preserve">Besides control through annual plans, quarterly plans and monthly plans through key performance indicators, it should also monitor the efficiency of marketing schemes. Advertising efficiency control is when the company takes several steps to improve the efficiency of advertising, including more accurate product positioning, setting advertising goals, and using computers for guidance. At present, Novo Nordisk is preparing to publish hard advertisements and soft text advertisements in some professional magazines and publish advertisements through the website. The company should pay attention to the operation of the company's portal website in a timely </w:t>
      </w:r>
      <w:r w:rsidR="00AC794D" w:rsidRPr="00EF0676">
        <w:rPr>
          <w:rFonts w:ascii="Arial" w:hAnsi="Arial" w:cs="Arial"/>
          <w:sz w:val="24"/>
          <w:szCs w:val="24"/>
        </w:rPr>
        <w:t>manner and</w:t>
      </w:r>
      <w:r w:rsidRPr="00EF0676">
        <w:rPr>
          <w:rFonts w:ascii="Arial" w:hAnsi="Arial" w:cs="Arial"/>
          <w:sz w:val="24"/>
          <w:szCs w:val="24"/>
        </w:rPr>
        <w:t xml:space="preserve"> monitor indicators such as visiting rate in a timely manner. In addition, the company needs to closely monitor the effectiveness of some promotions on other platforms, such as the like rate, follow rate, and repost rate on contents posed on social media.</w:t>
      </w:r>
    </w:p>
    <w:p w14:paraId="1F9A1179" w14:textId="6E3D2D60" w:rsidR="00AC794D" w:rsidRPr="00FD60B0" w:rsidRDefault="00AC794D" w:rsidP="00EF0676">
      <w:pPr>
        <w:pStyle w:val="a7"/>
        <w:widowControl/>
        <w:numPr>
          <w:ilvl w:val="0"/>
          <w:numId w:val="1"/>
        </w:numPr>
        <w:pBdr>
          <w:bottom w:val="single" w:sz="24" w:space="1" w:color="FF1654" w:themeColor="accent5"/>
        </w:pBdr>
        <w:spacing w:before="240" w:after="240" w:line="360" w:lineRule="auto"/>
        <w:contextualSpacing w:val="0"/>
        <w:outlineLvl w:val="0"/>
        <w:rPr>
          <w:rFonts w:ascii="D-DIN" w:hAnsi="D-DIN" w:cs="Arial"/>
          <w:b/>
          <w:bCs/>
          <w:color w:val="323232" w:themeColor="text2"/>
          <w:sz w:val="32"/>
          <w:szCs w:val="32"/>
        </w:rPr>
      </w:pPr>
      <w:bookmarkStart w:id="62" w:name="_Toc40423935"/>
      <w:r w:rsidRPr="00AC794D">
        <w:rPr>
          <w:rFonts w:ascii="D-DIN" w:hAnsi="D-DIN" w:cs="Arial"/>
          <w:b/>
          <w:bCs/>
          <w:color w:val="323232" w:themeColor="text2"/>
          <w:sz w:val="32"/>
          <w:szCs w:val="32"/>
        </w:rPr>
        <w:lastRenderedPageBreak/>
        <w:t>Conclusion</w:t>
      </w:r>
      <w:bookmarkEnd w:id="62"/>
      <w:r w:rsidRPr="00AC794D">
        <w:rPr>
          <w:rFonts w:ascii="D-DIN" w:hAnsi="D-DIN" w:cs="Arial"/>
          <w:b/>
          <w:bCs/>
          <w:color w:val="323232" w:themeColor="text2"/>
          <w:sz w:val="32"/>
          <w:szCs w:val="32"/>
        </w:rPr>
        <w:t xml:space="preserve"> </w:t>
      </w:r>
    </w:p>
    <w:p w14:paraId="59E2CB9D" w14:textId="344FAD34" w:rsidR="006F7847" w:rsidRDefault="00DA0F2F" w:rsidP="00744782">
      <w:pPr>
        <w:widowControl/>
        <w:spacing w:before="240" w:after="240" w:line="360" w:lineRule="auto"/>
        <w:rPr>
          <w:rFonts w:ascii="Arial" w:hAnsi="Arial" w:cs="Arial"/>
          <w:sz w:val="24"/>
          <w:szCs w:val="24"/>
        </w:rPr>
      </w:pPr>
      <w:r>
        <w:rPr>
          <w:rFonts w:ascii="Arial" w:hAnsi="Arial" w:cs="Arial"/>
          <w:sz w:val="24"/>
          <w:szCs w:val="24"/>
        </w:rPr>
        <w:t xml:space="preserve">This report concludes that the Chinese anti-diabetic market is one viable solution for Novo Nordisk to maintain growth. </w:t>
      </w:r>
      <w:r w:rsidR="00FD60B0">
        <w:rPr>
          <w:rFonts w:ascii="Arial" w:hAnsi="Arial" w:cs="Arial"/>
          <w:sz w:val="24"/>
          <w:szCs w:val="24"/>
        </w:rPr>
        <w:t xml:space="preserve">With the adoption of the </w:t>
      </w:r>
      <w:r w:rsidR="0045719E" w:rsidRPr="0045719E">
        <w:rPr>
          <w:rFonts w:ascii="Arial" w:hAnsi="Arial" w:cs="Arial"/>
          <w:sz w:val="24"/>
          <w:szCs w:val="24"/>
        </w:rPr>
        <w:t>SOSTAC</w:t>
      </w:r>
      <w:r w:rsidR="0045719E">
        <w:rPr>
          <w:rFonts w:ascii="Arial" w:hAnsi="Arial" w:cs="Arial"/>
          <w:sz w:val="24"/>
          <w:szCs w:val="24"/>
        </w:rPr>
        <w:t xml:space="preserve"> model, this report concludes that the company is </w:t>
      </w:r>
      <w:r w:rsidR="00FF5E2B">
        <w:rPr>
          <w:rFonts w:ascii="Arial" w:hAnsi="Arial" w:cs="Arial"/>
          <w:sz w:val="24"/>
          <w:szCs w:val="24"/>
        </w:rPr>
        <w:t xml:space="preserve">should expand in the Chinese anti-diabetic market. The situation analysis shows that the company is faced with challenges from the </w:t>
      </w:r>
      <w:r w:rsidR="006C7DBF">
        <w:rPr>
          <w:rFonts w:ascii="Arial" w:hAnsi="Arial" w:cs="Arial"/>
          <w:sz w:val="24"/>
          <w:szCs w:val="24"/>
        </w:rPr>
        <w:t xml:space="preserve">changing regulatory frameworks in China and the rising of Chinese competitors. The company is also faced with </w:t>
      </w:r>
      <w:r>
        <w:rPr>
          <w:rFonts w:ascii="Arial" w:hAnsi="Arial" w:cs="Arial"/>
          <w:sz w:val="24"/>
          <w:szCs w:val="24"/>
        </w:rPr>
        <w:t>opportunities</w:t>
      </w:r>
      <w:r w:rsidR="006C7DBF">
        <w:rPr>
          <w:rFonts w:ascii="Arial" w:hAnsi="Arial" w:cs="Arial"/>
          <w:sz w:val="24"/>
          <w:szCs w:val="24"/>
        </w:rPr>
        <w:t xml:space="preserve"> brought by the </w:t>
      </w:r>
      <w:r>
        <w:rPr>
          <w:rFonts w:ascii="Arial" w:hAnsi="Arial" w:cs="Arial"/>
          <w:sz w:val="24"/>
          <w:szCs w:val="24"/>
        </w:rPr>
        <w:t xml:space="preserve">strong market growth and shift of social attitudes in China. The internal analysis using SWOT suggests that the company can potentially seize the opportunity. </w:t>
      </w:r>
      <w:r w:rsidR="00EC27F9">
        <w:rPr>
          <w:rFonts w:ascii="Arial" w:hAnsi="Arial" w:cs="Arial"/>
          <w:sz w:val="24"/>
          <w:szCs w:val="24"/>
        </w:rPr>
        <w:t xml:space="preserve">Based on the STP analysis, this report concludes that Novo Nordisk should segment the market as prescription market with its conventional and innovative insulin products, and non-prescription market with its MedTech products. The company should target public </w:t>
      </w:r>
      <w:r w:rsidR="00ED4A84">
        <w:rPr>
          <w:rFonts w:ascii="Arial" w:hAnsi="Arial" w:cs="Arial"/>
          <w:sz w:val="24"/>
          <w:szCs w:val="24"/>
        </w:rPr>
        <w:t>hospitals</w:t>
      </w:r>
      <w:r w:rsidR="00EC27F9">
        <w:rPr>
          <w:rFonts w:ascii="Arial" w:hAnsi="Arial" w:cs="Arial"/>
          <w:sz w:val="24"/>
          <w:szCs w:val="24"/>
        </w:rPr>
        <w:t xml:space="preserve"> in the prescription market segment and the </w:t>
      </w:r>
      <w:r w:rsidR="00ED4A84">
        <w:rPr>
          <w:rFonts w:ascii="Arial" w:hAnsi="Arial" w:cs="Arial"/>
          <w:sz w:val="24"/>
          <w:szCs w:val="24"/>
        </w:rPr>
        <w:t xml:space="preserve">customers potentially with chronic conditions in the non-prescription market segment. The company should position itself as an innovation </w:t>
      </w:r>
      <w:r w:rsidR="009A1064">
        <w:rPr>
          <w:rFonts w:ascii="Arial" w:hAnsi="Arial" w:cs="Arial"/>
          <w:sz w:val="24"/>
          <w:szCs w:val="24"/>
        </w:rPr>
        <w:t>caretaker</w:t>
      </w:r>
      <w:r w:rsidR="00ED4A84">
        <w:rPr>
          <w:rFonts w:ascii="Arial" w:hAnsi="Arial" w:cs="Arial"/>
          <w:sz w:val="24"/>
          <w:szCs w:val="24"/>
        </w:rPr>
        <w:t xml:space="preserve"> for people with chronic conditions in China. </w:t>
      </w:r>
      <w:r w:rsidR="009A1064">
        <w:rPr>
          <w:rFonts w:ascii="Arial" w:hAnsi="Arial" w:cs="Arial"/>
          <w:sz w:val="24"/>
          <w:szCs w:val="24"/>
        </w:rPr>
        <w:t xml:space="preserve">The 7P model analysis and the implementation strategy offer a step-by-step guidance on what the marketing plan should consists and how to implement. This report also proposes a control strategy to ensure the smooth implementation. </w:t>
      </w:r>
    </w:p>
    <w:p w14:paraId="6FB4758F" w14:textId="77777777" w:rsidR="006F7847" w:rsidRDefault="006F7847">
      <w:pPr>
        <w:widowControl/>
        <w:jc w:val="left"/>
        <w:rPr>
          <w:rFonts w:ascii="Arial" w:hAnsi="Arial" w:cs="Arial"/>
          <w:sz w:val="24"/>
          <w:szCs w:val="24"/>
        </w:rPr>
      </w:pPr>
      <w:r>
        <w:rPr>
          <w:rFonts w:ascii="Arial" w:hAnsi="Arial" w:cs="Arial"/>
          <w:sz w:val="24"/>
          <w:szCs w:val="24"/>
        </w:rPr>
        <w:br w:type="page"/>
      </w:r>
    </w:p>
    <w:p w14:paraId="49289101" w14:textId="44E9A1D2" w:rsidR="00F4449C" w:rsidRPr="006F7847" w:rsidRDefault="006F7847" w:rsidP="006F7847">
      <w:pPr>
        <w:widowControl/>
        <w:pBdr>
          <w:bottom w:val="single" w:sz="24" w:space="1" w:color="FF1654" w:themeColor="accent5"/>
        </w:pBdr>
        <w:spacing w:before="240" w:after="240" w:line="360" w:lineRule="auto"/>
        <w:outlineLvl w:val="0"/>
        <w:rPr>
          <w:rFonts w:ascii="D-DIN" w:hAnsi="D-DIN" w:cs="Arial"/>
          <w:b/>
          <w:bCs/>
          <w:color w:val="323232" w:themeColor="text2"/>
          <w:sz w:val="32"/>
          <w:szCs w:val="32"/>
        </w:rPr>
      </w:pPr>
      <w:bookmarkStart w:id="63" w:name="_Toc40423936"/>
      <w:r w:rsidRPr="006F7847">
        <w:rPr>
          <w:rFonts w:ascii="D-DIN" w:hAnsi="D-DIN" w:cs="Arial"/>
          <w:b/>
          <w:bCs/>
          <w:color w:val="323232" w:themeColor="text2"/>
          <w:sz w:val="32"/>
          <w:szCs w:val="32"/>
        </w:rPr>
        <w:lastRenderedPageBreak/>
        <w:t>References</w:t>
      </w:r>
      <w:bookmarkEnd w:id="63"/>
      <w:r w:rsidRPr="006F7847">
        <w:rPr>
          <w:rFonts w:ascii="D-DIN" w:hAnsi="D-DIN" w:cs="Arial"/>
          <w:b/>
          <w:bCs/>
          <w:color w:val="323232" w:themeColor="text2"/>
          <w:sz w:val="32"/>
          <w:szCs w:val="32"/>
        </w:rPr>
        <w:t xml:space="preserve"> </w:t>
      </w:r>
    </w:p>
    <w:p w14:paraId="6D2EB8F2" w14:textId="7AB93BB2" w:rsidR="006F7847" w:rsidRPr="006F7847" w:rsidRDefault="006F7847" w:rsidP="006F7847">
      <w:pPr>
        <w:autoSpaceDE w:val="0"/>
        <w:autoSpaceDN w:val="0"/>
        <w:adjustRightInd w:val="0"/>
        <w:spacing w:before="240" w:after="240" w:line="360" w:lineRule="auto"/>
        <w:rPr>
          <w:rFonts w:ascii="Arial" w:hAnsi="Arial" w:cs="Arial"/>
          <w:noProof/>
          <w:sz w:val="24"/>
          <w:szCs w:val="24"/>
        </w:rPr>
      </w:pPr>
      <w:r>
        <w:rPr>
          <w:rFonts w:ascii="Arial" w:hAnsi="Arial" w:cs="Arial"/>
          <w:sz w:val="24"/>
          <w:szCs w:val="24"/>
        </w:rPr>
        <w:fldChar w:fldCharType="begin" w:fldLock="1"/>
      </w:r>
      <w:r>
        <w:rPr>
          <w:rFonts w:ascii="Arial" w:hAnsi="Arial" w:cs="Arial"/>
          <w:sz w:val="24"/>
          <w:szCs w:val="24"/>
        </w:rPr>
        <w:instrText xml:space="preserve">ADDIN Mendeley Bibliography CSL_BIBLIOGRAPHY </w:instrText>
      </w:r>
      <w:r>
        <w:rPr>
          <w:rFonts w:ascii="Arial" w:hAnsi="Arial" w:cs="Arial"/>
          <w:sz w:val="24"/>
          <w:szCs w:val="24"/>
        </w:rPr>
        <w:fldChar w:fldCharType="separate"/>
      </w:r>
      <w:r w:rsidRPr="006F7847">
        <w:rPr>
          <w:rFonts w:ascii="Arial" w:hAnsi="Arial" w:cs="Arial"/>
          <w:noProof/>
          <w:sz w:val="24"/>
          <w:szCs w:val="24"/>
        </w:rPr>
        <w:t xml:space="preserve">Beran, D. </w:t>
      </w:r>
      <w:r w:rsidRPr="006F7847">
        <w:rPr>
          <w:rFonts w:ascii="Arial" w:hAnsi="Arial" w:cs="Arial"/>
          <w:i/>
          <w:iCs/>
          <w:noProof/>
          <w:sz w:val="24"/>
          <w:szCs w:val="24"/>
        </w:rPr>
        <w:t>et al.</w:t>
      </w:r>
      <w:r w:rsidRPr="006F7847">
        <w:rPr>
          <w:rFonts w:ascii="Arial" w:hAnsi="Arial" w:cs="Arial"/>
          <w:noProof/>
          <w:sz w:val="24"/>
          <w:szCs w:val="24"/>
        </w:rPr>
        <w:t xml:space="preserve"> (2019) ‘A perspective on global access to insulin: a descriptive study of the market, trade flows and prices’, </w:t>
      </w:r>
      <w:r w:rsidRPr="006F7847">
        <w:rPr>
          <w:rFonts w:ascii="Arial" w:hAnsi="Arial" w:cs="Arial"/>
          <w:i/>
          <w:iCs/>
          <w:noProof/>
          <w:sz w:val="24"/>
          <w:szCs w:val="24"/>
        </w:rPr>
        <w:t>Diabetic Medicine</w:t>
      </w:r>
      <w:r w:rsidRPr="006F7847">
        <w:rPr>
          <w:rFonts w:ascii="Arial" w:hAnsi="Arial" w:cs="Arial"/>
          <w:noProof/>
          <w:sz w:val="24"/>
          <w:szCs w:val="24"/>
        </w:rPr>
        <w:t>. John Wiley &amp; Sons, Ltd, 36(6), pp. 726–733. doi: 10.1111/dme.13947.</w:t>
      </w:r>
    </w:p>
    <w:p w14:paraId="347A04D1" w14:textId="77777777" w:rsidR="006F7847" w:rsidRPr="006F7847" w:rsidRDefault="006F7847" w:rsidP="006F7847">
      <w:pPr>
        <w:autoSpaceDE w:val="0"/>
        <w:autoSpaceDN w:val="0"/>
        <w:adjustRightInd w:val="0"/>
        <w:spacing w:before="240" w:after="240" w:line="360" w:lineRule="auto"/>
        <w:rPr>
          <w:rFonts w:ascii="Arial" w:hAnsi="Arial" w:cs="Arial"/>
          <w:noProof/>
          <w:sz w:val="24"/>
          <w:szCs w:val="24"/>
        </w:rPr>
      </w:pPr>
      <w:r w:rsidRPr="006F7847">
        <w:rPr>
          <w:rFonts w:ascii="Arial" w:hAnsi="Arial" w:cs="Arial"/>
          <w:noProof/>
          <w:sz w:val="24"/>
          <w:szCs w:val="24"/>
        </w:rPr>
        <w:t xml:space="preserve">Chaudhury, A. </w:t>
      </w:r>
      <w:r w:rsidRPr="006F7847">
        <w:rPr>
          <w:rFonts w:ascii="Arial" w:hAnsi="Arial" w:cs="Arial"/>
          <w:i/>
          <w:iCs/>
          <w:noProof/>
          <w:sz w:val="24"/>
          <w:szCs w:val="24"/>
        </w:rPr>
        <w:t>et al.</w:t>
      </w:r>
      <w:r w:rsidRPr="006F7847">
        <w:rPr>
          <w:rFonts w:ascii="Arial" w:hAnsi="Arial" w:cs="Arial"/>
          <w:noProof/>
          <w:sz w:val="24"/>
          <w:szCs w:val="24"/>
        </w:rPr>
        <w:t xml:space="preserve"> (2017) ‘Clinical review of antidiabetic drugs: Implications for type 2 diabetes mellitus management’, </w:t>
      </w:r>
      <w:r w:rsidRPr="006F7847">
        <w:rPr>
          <w:rFonts w:ascii="Arial" w:hAnsi="Arial" w:cs="Arial"/>
          <w:i/>
          <w:iCs/>
          <w:noProof/>
          <w:sz w:val="24"/>
          <w:szCs w:val="24"/>
        </w:rPr>
        <w:t>Frontiers in Endocrinology</w:t>
      </w:r>
      <w:r w:rsidRPr="006F7847">
        <w:rPr>
          <w:rFonts w:ascii="Arial" w:hAnsi="Arial" w:cs="Arial"/>
          <w:noProof/>
          <w:sz w:val="24"/>
          <w:szCs w:val="24"/>
        </w:rPr>
        <w:t>. Frontiers, 8(JAN), p. 6. doi: 10.3389/fendo.2017.0006.</w:t>
      </w:r>
    </w:p>
    <w:p w14:paraId="481784CA" w14:textId="77777777" w:rsidR="006F7847" w:rsidRPr="006F7847" w:rsidRDefault="006F7847" w:rsidP="006F7847">
      <w:pPr>
        <w:autoSpaceDE w:val="0"/>
        <w:autoSpaceDN w:val="0"/>
        <w:adjustRightInd w:val="0"/>
        <w:spacing w:before="240" w:after="240" w:line="360" w:lineRule="auto"/>
        <w:rPr>
          <w:rFonts w:ascii="Arial" w:hAnsi="Arial" w:cs="Arial"/>
          <w:noProof/>
          <w:sz w:val="24"/>
          <w:szCs w:val="24"/>
        </w:rPr>
      </w:pPr>
      <w:r w:rsidRPr="006F7847">
        <w:rPr>
          <w:rFonts w:ascii="Arial" w:hAnsi="Arial" w:cs="Arial"/>
          <w:noProof/>
          <w:sz w:val="24"/>
          <w:szCs w:val="24"/>
        </w:rPr>
        <w:t xml:space="preserve">Chen, X. </w:t>
      </w:r>
      <w:r w:rsidRPr="006F7847">
        <w:rPr>
          <w:rFonts w:ascii="Arial" w:hAnsi="Arial" w:cs="Arial"/>
          <w:i/>
          <w:iCs/>
          <w:noProof/>
          <w:sz w:val="24"/>
          <w:szCs w:val="24"/>
        </w:rPr>
        <w:t>et al.</w:t>
      </w:r>
      <w:r w:rsidRPr="006F7847">
        <w:rPr>
          <w:rFonts w:ascii="Arial" w:hAnsi="Arial" w:cs="Arial"/>
          <w:noProof/>
          <w:sz w:val="24"/>
          <w:szCs w:val="24"/>
        </w:rPr>
        <w:t xml:space="preserve"> (2019) ‘Pharmaceutical Industry in China: Policy, Market and IP’, in </w:t>
      </w:r>
      <w:r w:rsidRPr="006F7847">
        <w:rPr>
          <w:rFonts w:ascii="Arial" w:hAnsi="Arial" w:cs="Arial"/>
          <w:i/>
          <w:iCs/>
          <w:noProof/>
          <w:sz w:val="24"/>
          <w:szCs w:val="24"/>
        </w:rPr>
        <w:t>Innovation, Economic Development, and Intellectual Property in India and China</w:t>
      </w:r>
      <w:r w:rsidRPr="006F7847">
        <w:rPr>
          <w:rFonts w:ascii="Arial" w:hAnsi="Arial" w:cs="Arial"/>
          <w:noProof/>
          <w:sz w:val="24"/>
          <w:szCs w:val="24"/>
        </w:rPr>
        <w:t>. Springer, pp. 215–250. doi: 10.1007/978-981-13-8102-7_10.</w:t>
      </w:r>
    </w:p>
    <w:p w14:paraId="494E226F" w14:textId="77777777" w:rsidR="006F7847" w:rsidRPr="006F7847" w:rsidRDefault="006F7847" w:rsidP="006F7847">
      <w:pPr>
        <w:autoSpaceDE w:val="0"/>
        <w:autoSpaceDN w:val="0"/>
        <w:adjustRightInd w:val="0"/>
        <w:spacing w:before="240" w:after="240" w:line="360" w:lineRule="auto"/>
        <w:rPr>
          <w:rFonts w:ascii="Arial" w:hAnsi="Arial" w:cs="Arial"/>
          <w:noProof/>
          <w:sz w:val="24"/>
          <w:szCs w:val="24"/>
        </w:rPr>
      </w:pPr>
      <w:r w:rsidRPr="006F7847">
        <w:rPr>
          <w:rFonts w:ascii="Arial" w:hAnsi="Arial" w:cs="Arial"/>
          <w:noProof/>
          <w:sz w:val="24"/>
          <w:szCs w:val="24"/>
        </w:rPr>
        <w:t xml:space="preserve">Chen, X., Ai, X. and Zhong, L. (2018) ‘The Impact of Medical Services and Medicine Separation Policy on Competitive Pharmaceutical Supply Chain Performance’, in </w:t>
      </w:r>
      <w:r w:rsidRPr="006F7847">
        <w:rPr>
          <w:rFonts w:ascii="Arial" w:hAnsi="Arial" w:cs="Arial"/>
          <w:i/>
          <w:iCs/>
          <w:noProof/>
          <w:sz w:val="24"/>
          <w:szCs w:val="24"/>
        </w:rPr>
        <w:t>2018 15th International Conference on Service Systems and Service Management, ICSSSM 2018</w:t>
      </w:r>
      <w:r w:rsidRPr="006F7847">
        <w:rPr>
          <w:rFonts w:ascii="Arial" w:hAnsi="Arial" w:cs="Arial"/>
          <w:noProof/>
          <w:sz w:val="24"/>
          <w:szCs w:val="24"/>
        </w:rPr>
        <w:t>. IEEE, pp. 1–5. doi: 10.1109/ICSSSM.2018.8464964.</w:t>
      </w:r>
    </w:p>
    <w:p w14:paraId="558BC920" w14:textId="77777777" w:rsidR="006F7847" w:rsidRPr="006F7847" w:rsidRDefault="006F7847" w:rsidP="006F7847">
      <w:pPr>
        <w:autoSpaceDE w:val="0"/>
        <w:autoSpaceDN w:val="0"/>
        <w:adjustRightInd w:val="0"/>
        <w:spacing w:before="240" w:after="240" w:line="360" w:lineRule="auto"/>
        <w:rPr>
          <w:rFonts w:ascii="Arial" w:hAnsi="Arial" w:cs="Arial"/>
          <w:noProof/>
          <w:sz w:val="24"/>
          <w:szCs w:val="24"/>
        </w:rPr>
      </w:pPr>
      <w:r w:rsidRPr="006F7847">
        <w:rPr>
          <w:rFonts w:ascii="Arial" w:hAnsi="Arial" w:cs="Arial"/>
          <w:noProof/>
          <w:sz w:val="24"/>
          <w:szCs w:val="24"/>
        </w:rPr>
        <w:t xml:space="preserve">Chen, X. and Qian, X. (2018) ‘Overview of healthcare system in China’, in </w:t>
      </w:r>
      <w:r w:rsidRPr="006F7847">
        <w:rPr>
          <w:rFonts w:ascii="Arial" w:hAnsi="Arial" w:cs="Arial"/>
          <w:i/>
          <w:iCs/>
          <w:noProof/>
          <w:sz w:val="24"/>
          <w:szCs w:val="24"/>
        </w:rPr>
        <w:t>Quality Spine Care: Healthcare Systems, Quality Reporting, and Risk Adjustment</w:t>
      </w:r>
      <w:r w:rsidRPr="006F7847">
        <w:rPr>
          <w:rFonts w:ascii="Arial" w:hAnsi="Arial" w:cs="Arial"/>
          <w:noProof/>
          <w:sz w:val="24"/>
          <w:szCs w:val="24"/>
        </w:rPr>
        <w:t>. Springer, pp. 237–254. doi: 10.1007/978-3-319-97990-8_15.</w:t>
      </w:r>
    </w:p>
    <w:p w14:paraId="6EAFB16E" w14:textId="77777777" w:rsidR="006F7847" w:rsidRPr="006F7847" w:rsidRDefault="006F7847" w:rsidP="006F7847">
      <w:pPr>
        <w:autoSpaceDE w:val="0"/>
        <w:autoSpaceDN w:val="0"/>
        <w:adjustRightInd w:val="0"/>
        <w:spacing w:before="240" w:after="240" w:line="360" w:lineRule="auto"/>
        <w:rPr>
          <w:rFonts w:ascii="Arial" w:hAnsi="Arial" w:cs="Arial"/>
          <w:noProof/>
          <w:sz w:val="24"/>
          <w:szCs w:val="24"/>
        </w:rPr>
      </w:pPr>
      <w:r w:rsidRPr="006F7847">
        <w:rPr>
          <w:rFonts w:ascii="Arial" w:hAnsi="Arial" w:cs="Arial"/>
          <w:noProof/>
          <w:sz w:val="24"/>
          <w:szCs w:val="24"/>
        </w:rPr>
        <w:t xml:space="preserve">Cowley, M. B. (2016) ‘“Jellies &amp; Jaffas”: Applying PR Smith’s SOSTAC Marketing Model to an Online Confectionary Start-Up’, </w:t>
      </w:r>
      <w:r w:rsidRPr="006F7847">
        <w:rPr>
          <w:rFonts w:ascii="Arial" w:hAnsi="Arial" w:cs="Arial"/>
          <w:i/>
          <w:iCs/>
          <w:noProof/>
          <w:sz w:val="24"/>
          <w:szCs w:val="24"/>
        </w:rPr>
        <w:t>SSRN Electronic Journal</w:t>
      </w:r>
      <w:r w:rsidRPr="006F7847">
        <w:rPr>
          <w:rFonts w:ascii="Arial" w:hAnsi="Arial" w:cs="Arial"/>
          <w:noProof/>
          <w:sz w:val="24"/>
          <w:szCs w:val="24"/>
        </w:rPr>
        <w:t>. doi: 10.2139/ssrn.2834279.</w:t>
      </w:r>
    </w:p>
    <w:p w14:paraId="6536BCE0" w14:textId="77777777" w:rsidR="006F7847" w:rsidRPr="006F7847" w:rsidRDefault="006F7847" w:rsidP="006F7847">
      <w:pPr>
        <w:autoSpaceDE w:val="0"/>
        <w:autoSpaceDN w:val="0"/>
        <w:adjustRightInd w:val="0"/>
        <w:spacing w:before="240" w:after="240" w:line="360" w:lineRule="auto"/>
        <w:rPr>
          <w:rFonts w:ascii="Arial" w:hAnsi="Arial" w:cs="Arial"/>
          <w:noProof/>
          <w:sz w:val="24"/>
          <w:szCs w:val="24"/>
        </w:rPr>
      </w:pPr>
      <w:r w:rsidRPr="006F7847">
        <w:rPr>
          <w:rFonts w:ascii="Arial" w:hAnsi="Arial" w:cs="Arial"/>
          <w:noProof/>
          <w:sz w:val="24"/>
          <w:szCs w:val="24"/>
        </w:rPr>
        <w:t xml:space="preserve">Ding, B. (2018) ‘Pharma Industry 4.0: Literature review and research opportunities in sustainable pharmaceutical supply chains’, </w:t>
      </w:r>
      <w:r w:rsidRPr="006F7847">
        <w:rPr>
          <w:rFonts w:ascii="Arial" w:hAnsi="Arial" w:cs="Arial"/>
          <w:i/>
          <w:iCs/>
          <w:noProof/>
          <w:sz w:val="24"/>
          <w:szCs w:val="24"/>
        </w:rPr>
        <w:t>Process Safety and Environmental Protection</w:t>
      </w:r>
      <w:r w:rsidRPr="006F7847">
        <w:rPr>
          <w:rFonts w:ascii="Arial" w:hAnsi="Arial" w:cs="Arial"/>
          <w:noProof/>
          <w:sz w:val="24"/>
          <w:szCs w:val="24"/>
        </w:rPr>
        <w:t>. Elsevier, 119, pp. 115–130. doi: 10.1016/j.psep.2018.06.031.</w:t>
      </w:r>
    </w:p>
    <w:p w14:paraId="7FF8B736" w14:textId="77777777" w:rsidR="006F7847" w:rsidRPr="006F7847" w:rsidRDefault="006F7847" w:rsidP="006F7847">
      <w:pPr>
        <w:autoSpaceDE w:val="0"/>
        <w:autoSpaceDN w:val="0"/>
        <w:adjustRightInd w:val="0"/>
        <w:spacing w:before="240" w:after="240" w:line="360" w:lineRule="auto"/>
        <w:rPr>
          <w:rFonts w:ascii="Arial" w:hAnsi="Arial" w:cs="Arial"/>
          <w:noProof/>
          <w:sz w:val="24"/>
          <w:szCs w:val="24"/>
        </w:rPr>
      </w:pPr>
      <w:r w:rsidRPr="006F7847">
        <w:rPr>
          <w:rFonts w:ascii="Arial" w:hAnsi="Arial" w:cs="Arial"/>
          <w:noProof/>
          <w:sz w:val="24"/>
          <w:szCs w:val="24"/>
        </w:rPr>
        <w:t xml:space="preserve">Evaluate Inc. (2019) </w:t>
      </w:r>
      <w:r w:rsidRPr="006F7847">
        <w:rPr>
          <w:rFonts w:ascii="Arial" w:hAnsi="Arial" w:cs="Arial"/>
          <w:i/>
          <w:iCs/>
          <w:noProof/>
          <w:sz w:val="24"/>
          <w:szCs w:val="24"/>
        </w:rPr>
        <w:t xml:space="preserve">EvaluatePharma World Preview 2018, Outlook to 2024 </w:t>
      </w:r>
      <w:r w:rsidRPr="006F7847">
        <w:rPr>
          <w:rFonts w:ascii="Arial" w:hAnsi="Arial" w:cs="Arial"/>
          <w:noProof/>
          <w:sz w:val="24"/>
          <w:szCs w:val="24"/>
        </w:rPr>
        <w:t>. Available at: https://www.evaluate.com/thought-leadership/pharma/evaluatepharma-world-preview-2018-outlook-2024 (Accessed: 15 May 2020).</w:t>
      </w:r>
    </w:p>
    <w:p w14:paraId="03998AA8" w14:textId="77777777" w:rsidR="006F7847" w:rsidRPr="006F7847" w:rsidRDefault="006F7847" w:rsidP="006F7847">
      <w:pPr>
        <w:autoSpaceDE w:val="0"/>
        <w:autoSpaceDN w:val="0"/>
        <w:adjustRightInd w:val="0"/>
        <w:spacing w:before="240" w:after="240" w:line="360" w:lineRule="auto"/>
        <w:rPr>
          <w:rFonts w:ascii="Arial" w:hAnsi="Arial" w:cs="Arial"/>
          <w:noProof/>
          <w:sz w:val="24"/>
          <w:szCs w:val="24"/>
        </w:rPr>
      </w:pPr>
      <w:r w:rsidRPr="006F7847">
        <w:rPr>
          <w:rFonts w:ascii="Arial" w:hAnsi="Arial" w:cs="Arial"/>
          <w:noProof/>
          <w:sz w:val="24"/>
          <w:szCs w:val="24"/>
        </w:rPr>
        <w:t xml:space="preserve">Financial Times (2019) </w:t>
      </w:r>
      <w:r w:rsidRPr="006F7847">
        <w:rPr>
          <w:rFonts w:ascii="Arial" w:hAnsi="Arial" w:cs="Arial"/>
          <w:i/>
          <w:iCs/>
          <w:noProof/>
          <w:sz w:val="24"/>
          <w:szCs w:val="24"/>
        </w:rPr>
        <w:t xml:space="preserve">Novo Nordisk A/S, NOVO B:CPH summary </w:t>
      </w:r>
      <w:r w:rsidRPr="006F7847">
        <w:rPr>
          <w:rFonts w:ascii="Arial" w:hAnsi="Arial" w:cs="Arial"/>
          <w:noProof/>
          <w:sz w:val="24"/>
          <w:szCs w:val="24"/>
        </w:rPr>
        <w:t xml:space="preserve">. Available at: </w:t>
      </w:r>
      <w:r w:rsidRPr="006F7847">
        <w:rPr>
          <w:rFonts w:ascii="Arial" w:hAnsi="Arial" w:cs="Arial"/>
          <w:noProof/>
          <w:sz w:val="24"/>
          <w:szCs w:val="24"/>
        </w:rPr>
        <w:lastRenderedPageBreak/>
        <w:t>https://markets.ft.com/data/equities/tearsheet/summary?s=NOVO B:CPH (Accessed: 15 May 2020).</w:t>
      </w:r>
    </w:p>
    <w:p w14:paraId="34690235" w14:textId="77777777" w:rsidR="006F7847" w:rsidRPr="006F7847" w:rsidRDefault="006F7847" w:rsidP="006F7847">
      <w:pPr>
        <w:autoSpaceDE w:val="0"/>
        <w:autoSpaceDN w:val="0"/>
        <w:adjustRightInd w:val="0"/>
        <w:spacing w:before="240" w:after="240" w:line="360" w:lineRule="auto"/>
        <w:rPr>
          <w:rFonts w:ascii="Arial" w:hAnsi="Arial" w:cs="Arial"/>
          <w:noProof/>
          <w:sz w:val="24"/>
          <w:szCs w:val="24"/>
        </w:rPr>
      </w:pPr>
      <w:r w:rsidRPr="006F7847">
        <w:rPr>
          <w:rFonts w:ascii="Arial" w:hAnsi="Arial" w:cs="Arial"/>
          <w:noProof/>
          <w:sz w:val="24"/>
          <w:szCs w:val="24"/>
        </w:rPr>
        <w:t xml:space="preserve">Hou, J. W. (2019) ‘Unorthodox Proposals for China’s Extreme Aging Population’, </w:t>
      </w:r>
      <w:r w:rsidRPr="006F7847">
        <w:rPr>
          <w:rFonts w:ascii="Arial" w:hAnsi="Arial" w:cs="Arial"/>
          <w:i/>
          <w:iCs/>
          <w:noProof/>
          <w:sz w:val="24"/>
          <w:szCs w:val="24"/>
        </w:rPr>
        <w:t>Chinese Economy</w:t>
      </w:r>
      <w:r w:rsidRPr="006F7847">
        <w:rPr>
          <w:rFonts w:ascii="Arial" w:hAnsi="Arial" w:cs="Arial"/>
          <w:noProof/>
          <w:sz w:val="24"/>
          <w:szCs w:val="24"/>
        </w:rPr>
        <w:t>. Taylor &amp; Francis, 52(6), pp. 505–526. doi: 10.1080/10971475.2019.1617957.</w:t>
      </w:r>
    </w:p>
    <w:p w14:paraId="3B86876B" w14:textId="77777777" w:rsidR="006F7847" w:rsidRPr="006F7847" w:rsidRDefault="006F7847" w:rsidP="006F7847">
      <w:pPr>
        <w:autoSpaceDE w:val="0"/>
        <w:autoSpaceDN w:val="0"/>
        <w:adjustRightInd w:val="0"/>
        <w:spacing w:before="240" w:after="240" w:line="360" w:lineRule="auto"/>
        <w:rPr>
          <w:rFonts w:ascii="Arial" w:hAnsi="Arial" w:cs="Arial"/>
          <w:noProof/>
          <w:sz w:val="24"/>
          <w:szCs w:val="24"/>
        </w:rPr>
      </w:pPr>
      <w:r w:rsidRPr="006F7847">
        <w:rPr>
          <w:rFonts w:ascii="Arial" w:hAnsi="Arial" w:cs="Arial"/>
          <w:noProof/>
          <w:sz w:val="24"/>
          <w:szCs w:val="24"/>
        </w:rPr>
        <w:t xml:space="preserve">International Diabetes Federation (2019) </w:t>
      </w:r>
      <w:r w:rsidRPr="006F7847">
        <w:rPr>
          <w:rFonts w:ascii="Arial" w:hAnsi="Arial" w:cs="Arial"/>
          <w:i/>
          <w:iCs/>
          <w:noProof/>
          <w:sz w:val="24"/>
          <w:szCs w:val="24"/>
        </w:rPr>
        <w:t>IDF Diabetes Atlas</w:t>
      </w:r>
      <w:r w:rsidRPr="006F7847">
        <w:rPr>
          <w:rFonts w:ascii="Arial" w:hAnsi="Arial" w:cs="Arial"/>
          <w:noProof/>
          <w:sz w:val="24"/>
          <w:szCs w:val="24"/>
        </w:rPr>
        <w:t>.</w:t>
      </w:r>
    </w:p>
    <w:p w14:paraId="3305D762" w14:textId="77777777" w:rsidR="006F7847" w:rsidRPr="006F7847" w:rsidRDefault="006F7847" w:rsidP="006F7847">
      <w:pPr>
        <w:autoSpaceDE w:val="0"/>
        <w:autoSpaceDN w:val="0"/>
        <w:adjustRightInd w:val="0"/>
        <w:spacing w:before="240" w:after="240" w:line="360" w:lineRule="auto"/>
        <w:rPr>
          <w:rFonts w:ascii="Arial" w:hAnsi="Arial" w:cs="Arial"/>
          <w:noProof/>
          <w:sz w:val="24"/>
          <w:szCs w:val="24"/>
        </w:rPr>
      </w:pPr>
      <w:r w:rsidRPr="006F7847">
        <w:rPr>
          <w:rFonts w:ascii="Arial" w:hAnsi="Arial" w:cs="Arial"/>
          <w:noProof/>
          <w:sz w:val="24"/>
          <w:szCs w:val="24"/>
        </w:rPr>
        <w:t xml:space="preserve">Li, X. </w:t>
      </w:r>
      <w:r w:rsidRPr="006F7847">
        <w:rPr>
          <w:rFonts w:ascii="Arial" w:hAnsi="Arial" w:cs="Arial"/>
          <w:i/>
          <w:iCs/>
          <w:noProof/>
          <w:sz w:val="24"/>
          <w:szCs w:val="24"/>
        </w:rPr>
        <w:t>et al.</w:t>
      </w:r>
      <w:r w:rsidRPr="006F7847">
        <w:rPr>
          <w:rFonts w:ascii="Arial" w:hAnsi="Arial" w:cs="Arial"/>
          <w:noProof/>
          <w:sz w:val="24"/>
          <w:szCs w:val="24"/>
        </w:rPr>
        <w:t xml:space="preserve"> (2017) ‘The primary health-care system in China’, </w:t>
      </w:r>
      <w:r w:rsidRPr="006F7847">
        <w:rPr>
          <w:rFonts w:ascii="Arial" w:hAnsi="Arial" w:cs="Arial"/>
          <w:i/>
          <w:iCs/>
          <w:noProof/>
          <w:sz w:val="24"/>
          <w:szCs w:val="24"/>
        </w:rPr>
        <w:t>The Lancet</w:t>
      </w:r>
      <w:r w:rsidRPr="006F7847">
        <w:rPr>
          <w:rFonts w:ascii="Arial" w:hAnsi="Arial" w:cs="Arial"/>
          <w:noProof/>
          <w:sz w:val="24"/>
          <w:szCs w:val="24"/>
        </w:rPr>
        <w:t>. Elsevier, 390(10112), pp. 2584–2594. doi: 10.1016/S0140-6736(17)33109-4.</w:t>
      </w:r>
    </w:p>
    <w:p w14:paraId="02249755" w14:textId="77777777" w:rsidR="006F7847" w:rsidRPr="006F7847" w:rsidRDefault="006F7847" w:rsidP="006F7847">
      <w:pPr>
        <w:autoSpaceDE w:val="0"/>
        <w:autoSpaceDN w:val="0"/>
        <w:adjustRightInd w:val="0"/>
        <w:spacing w:before="240" w:after="240" w:line="360" w:lineRule="auto"/>
        <w:rPr>
          <w:rFonts w:ascii="Arial" w:hAnsi="Arial" w:cs="Arial"/>
          <w:noProof/>
          <w:sz w:val="24"/>
          <w:szCs w:val="24"/>
        </w:rPr>
      </w:pPr>
      <w:r w:rsidRPr="006F7847">
        <w:rPr>
          <w:rFonts w:ascii="Arial" w:hAnsi="Arial" w:cs="Arial"/>
          <w:noProof/>
          <w:sz w:val="24"/>
          <w:szCs w:val="24"/>
        </w:rPr>
        <w:t xml:space="preserve">Lunddahl, B. (2016) ‘Pharmacovigilance on biologicals and biosimilars: A Danish perspective’, </w:t>
      </w:r>
      <w:r w:rsidRPr="006F7847">
        <w:rPr>
          <w:rFonts w:ascii="Arial" w:hAnsi="Arial" w:cs="Arial"/>
          <w:i/>
          <w:iCs/>
          <w:noProof/>
          <w:sz w:val="24"/>
          <w:szCs w:val="24"/>
        </w:rPr>
        <w:t>GaBI Journal</w:t>
      </w:r>
      <w:r w:rsidRPr="006F7847">
        <w:rPr>
          <w:rFonts w:ascii="Arial" w:hAnsi="Arial" w:cs="Arial"/>
          <w:noProof/>
          <w:sz w:val="24"/>
          <w:szCs w:val="24"/>
        </w:rPr>
        <w:t>, 5(3), pp. 123–124. doi: 10.5639/gabij.2016.0503.030.</w:t>
      </w:r>
    </w:p>
    <w:p w14:paraId="50CE4B5B" w14:textId="77777777" w:rsidR="006F7847" w:rsidRPr="006F7847" w:rsidRDefault="006F7847" w:rsidP="006F7847">
      <w:pPr>
        <w:autoSpaceDE w:val="0"/>
        <w:autoSpaceDN w:val="0"/>
        <w:adjustRightInd w:val="0"/>
        <w:spacing w:before="240" w:after="240" w:line="360" w:lineRule="auto"/>
        <w:rPr>
          <w:rFonts w:ascii="Arial" w:hAnsi="Arial" w:cs="Arial"/>
          <w:noProof/>
          <w:sz w:val="24"/>
          <w:szCs w:val="24"/>
        </w:rPr>
      </w:pPr>
      <w:r w:rsidRPr="006F7847">
        <w:rPr>
          <w:rFonts w:ascii="Arial" w:hAnsi="Arial" w:cs="Arial"/>
          <w:noProof/>
          <w:sz w:val="24"/>
          <w:szCs w:val="24"/>
        </w:rPr>
        <w:t xml:space="preserve">Ni, J. </w:t>
      </w:r>
      <w:r w:rsidRPr="006F7847">
        <w:rPr>
          <w:rFonts w:ascii="Arial" w:hAnsi="Arial" w:cs="Arial"/>
          <w:i/>
          <w:iCs/>
          <w:noProof/>
          <w:sz w:val="24"/>
          <w:szCs w:val="24"/>
        </w:rPr>
        <w:t>et al.</w:t>
      </w:r>
      <w:r w:rsidRPr="006F7847">
        <w:rPr>
          <w:rFonts w:ascii="Arial" w:hAnsi="Arial" w:cs="Arial"/>
          <w:noProof/>
          <w:sz w:val="24"/>
          <w:szCs w:val="24"/>
        </w:rPr>
        <w:t xml:space="preserve"> (2017) ‘Obstacles and opportunities in Chinese pharmaceutical innovation’, </w:t>
      </w:r>
      <w:r w:rsidRPr="006F7847">
        <w:rPr>
          <w:rFonts w:ascii="Arial" w:hAnsi="Arial" w:cs="Arial"/>
          <w:i/>
          <w:iCs/>
          <w:noProof/>
          <w:sz w:val="24"/>
          <w:szCs w:val="24"/>
        </w:rPr>
        <w:t>Globalization and Health</w:t>
      </w:r>
      <w:r w:rsidRPr="006F7847">
        <w:rPr>
          <w:rFonts w:ascii="Arial" w:hAnsi="Arial" w:cs="Arial"/>
          <w:noProof/>
          <w:sz w:val="24"/>
          <w:szCs w:val="24"/>
        </w:rPr>
        <w:t>. BioMed Central, 13(1), p. 21. doi: 10.1186/s12992-017-0244-6.</w:t>
      </w:r>
    </w:p>
    <w:p w14:paraId="152DB3BC" w14:textId="77777777" w:rsidR="006F7847" w:rsidRPr="006F7847" w:rsidRDefault="006F7847" w:rsidP="006F7847">
      <w:pPr>
        <w:autoSpaceDE w:val="0"/>
        <w:autoSpaceDN w:val="0"/>
        <w:adjustRightInd w:val="0"/>
        <w:spacing w:before="240" w:after="240" w:line="360" w:lineRule="auto"/>
        <w:rPr>
          <w:rFonts w:ascii="Arial" w:hAnsi="Arial" w:cs="Arial"/>
          <w:noProof/>
          <w:sz w:val="24"/>
          <w:szCs w:val="24"/>
        </w:rPr>
      </w:pPr>
      <w:r w:rsidRPr="006F7847">
        <w:rPr>
          <w:rFonts w:ascii="Arial" w:hAnsi="Arial" w:cs="Arial"/>
          <w:noProof/>
          <w:sz w:val="24"/>
          <w:szCs w:val="24"/>
        </w:rPr>
        <w:t xml:space="preserve">Novo Nordisk (2019) </w:t>
      </w:r>
      <w:r w:rsidRPr="006F7847">
        <w:rPr>
          <w:rFonts w:ascii="Arial" w:hAnsi="Arial" w:cs="Arial"/>
          <w:i/>
          <w:iCs/>
          <w:noProof/>
          <w:sz w:val="24"/>
          <w:szCs w:val="24"/>
        </w:rPr>
        <w:t>Novo Nordisk Annual Report 2019</w:t>
      </w:r>
      <w:r w:rsidRPr="006F7847">
        <w:rPr>
          <w:rFonts w:ascii="Arial" w:hAnsi="Arial" w:cs="Arial"/>
          <w:noProof/>
          <w:sz w:val="24"/>
          <w:szCs w:val="24"/>
        </w:rPr>
        <w:t>.</w:t>
      </w:r>
    </w:p>
    <w:p w14:paraId="1554FD54" w14:textId="77777777" w:rsidR="006F7847" w:rsidRPr="006F7847" w:rsidRDefault="006F7847" w:rsidP="006F7847">
      <w:pPr>
        <w:autoSpaceDE w:val="0"/>
        <w:autoSpaceDN w:val="0"/>
        <w:adjustRightInd w:val="0"/>
        <w:spacing w:before="240" w:after="240" w:line="360" w:lineRule="auto"/>
        <w:rPr>
          <w:rFonts w:ascii="Arial" w:hAnsi="Arial" w:cs="Arial"/>
          <w:noProof/>
          <w:sz w:val="24"/>
          <w:szCs w:val="24"/>
        </w:rPr>
      </w:pPr>
      <w:r w:rsidRPr="006F7847">
        <w:rPr>
          <w:rFonts w:ascii="Arial" w:hAnsi="Arial" w:cs="Arial"/>
          <w:noProof/>
          <w:sz w:val="24"/>
          <w:szCs w:val="24"/>
        </w:rPr>
        <w:t xml:space="preserve">Pacheco, R. (2016) </w:t>
      </w:r>
      <w:r w:rsidRPr="006F7847">
        <w:rPr>
          <w:rFonts w:ascii="Arial" w:hAnsi="Arial" w:cs="Arial"/>
          <w:i/>
          <w:iCs/>
          <w:noProof/>
          <w:sz w:val="24"/>
          <w:szCs w:val="24"/>
        </w:rPr>
        <w:t>From the Economics of Value Creation to the Process of Measuring Value</w:t>
      </w:r>
      <w:r w:rsidRPr="006F7847">
        <w:rPr>
          <w:rFonts w:ascii="Arial" w:hAnsi="Arial" w:cs="Arial"/>
          <w:noProof/>
          <w:sz w:val="24"/>
          <w:szCs w:val="24"/>
        </w:rPr>
        <w:t>. Copenhagen Business School.</w:t>
      </w:r>
    </w:p>
    <w:p w14:paraId="788744AC" w14:textId="77777777" w:rsidR="006F7847" w:rsidRPr="006F7847" w:rsidRDefault="006F7847" w:rsidP="006F7847">
      <w:pPr>
        <w:autoSpaceDE w:val="0"/>
        <w:autoSpaceDN w:val="0"/>
        <w:adjustRightInd w:val="0"/>
        <w:spacing w:before="240" w:after="240" w:line="360" w:lineRule="auto"/>
        <w:rPr>
          <w:rFonts w:ascii="Arial" w:hAnsi="Arial" w:cs="Arial"/>
          <w:noProof/>
          <w:sz w:val="24"/>
          <w:szCs w:val="24"/>
        </w:rPr>
      </w:pPr>
      <w:r w:rsidRPr="006F7847">
        <w:rPr>
          <w:rFonts w:ascii="Arial" w:hAnsi="Arial" w:cs="Arial"/>
          <w:noProof/>
          <w:sz w:val="24"/>
          <w:szCs w:val="24"/>
        </w:rPr>
        <w:t xml:space="preserve">Pham, M. N. </w:t>
      </w:r>
      <w:r w:rsidRPr="006F7847">
        <w:rPr>
          <w:rFonts w:ascii="Arial" w:hAnsi="Arial" w:cs="Arial"/>
          <w:i/>
          <w:iCs/>
          <w:noProof/>
          <w:sz w:val="24"/>
          <w:szCs w:val="24"/>
        </w:rPr>
        <w:t>et al.</w:t>
      </w:r>
      <w:r w:rsidRPr="006F7847">
        <w:rPr>
          <w:rFonts w:ascii="Arial" w:hAnsi="Arial" w:cs="Arial"/>
          <w:noProof/>
          <w:sz w:val="24"/>
          <w:szCs w:val="24"/>
        </w:rPr>
        <w:t xml:space="preserve"> (2016) ‘Oral insulin (human, murine, or porcine) does not prevent diabetes in the non-obese diabetic mouse’, </w:t>
      </w:r>
      <w:r w:rsidRPr="006F7847">
        <w:rPr>
          <w:rFonts w:ascii="Arial" w:hAnsi="Arial" w:cs="Arial"/>
          <w:i/>
          <w:iCs/>
          <w:noProof/>
          <w:sz w:val="24"/>
          <w:szCs w:val="24"/>
        </w:rPr>
        <w:t>Clinical Immunology</w:t>
      </w:r>
      <w:r w:rsidRPr="006F7847">
        <w:rPr>
          <w:rFonts w:ascii="Arial" w:hAnsi="Arial" w:cs="Arial"/>
          <w:noProof/>
          <w:sz w:val="24"/>
          <w:szCs w:val="24"/>
        </w:rPr>
        <w:t>. Elsevier, 164, pp. 28–33. doi: 10.1016/j.clim.2016.01.013.</w:t>
      </w:r>
    </w:p>
    <w:p w14:paraId="78626D6C" w14:textId="77777777" w:rsidR="006F7847" w:rsidRPr="006F7847" w:rsidRDefault="006F7847" w:rsidP="006F7847">
      <w:pPr>
        <w:autoSpaceDE w:val="0"/>
        <w:autoSpaceDN w:val="0"/>
        <w:adjustRightInd w:val="0"/>
        <w:spacing w:before="240" w:after="240" w:line="360" w:lineRule="auto"/>
        <w:rPr>
          <w:rFonts w:ascii="Arial" w:hAnsi="Arial" w:cs="Arial"/>
          <w:noProof/>
          <w:sz w:val="24"/>
          <w:szCs w:val="24"/>
        </w:rPr>
      </w:pPr>
      <w:r w:rsidRPr="006F7847">
        <w:rPr>
          <w:rFonts w:ascii="Arial" w:hAnsi="Arial" w:cs="Arial"/>
          <w:noProof/>
          <w:sz w:val="24"/>
          <w:szCs w:val="24"/>
        </w:rPr>
        <w:t xml:space="preserve">Rong, X. </w:t>
      </w:r>
      <w:r w:rsidRPr="006F7847">
        <w:rPr>
          <w:rFonts w:ascii="Arial" w:hAnsi="Arial" w:cs="Arial"/>
          <w:i/>
          <w:iCs/>
          <w:noProof/>
          <w:sz w:val="24"/>
          <w:szCs w:val="24"/>
        </w:rPr>
        <w:t>et al.</w:t>
      </w:r>
      <w:r w:rsidRPr="006F7847">
        <w:rPr>
          <w:rFonts w:ascii="Arial" w:hAnsi="Arial" w:cs="Arial"/>
          <w:noProof/>
          <w:sz w:val="24"/>
          <w:szCs w:val="24"/>
        </w:rPr>
        <w:t xml:space="preserve"> (2020) ‘The effects of pricing policy on the prices and supply of low-cost medicines in Shandong, China: evidence from an interrupted time series analysis’, </w:t>
      </w:r>
      <w:r w:rsidRPr="006F7847">
        <w:rPr>
          <w:rFonts w:ascii="Arial" w:hAnsi="Arial" w:cs="Arial"/>
          <w:i/>
          <w:iCs/>
          <w:noProof/>
          <w:sz w:val="24"/>
          <w:szCs w:val="24"/>
        </w:rPr>
        <w:t>BMC public health</w:t>
      </w:r>
      <w:r w:rsidRPr="006F7847">
        <w:rPr>
          <w:rFonts w:ascii="Arial" w:hAnsi="Arial" w:cs="Arial"/>
          <w:noProof/>
          <w:sz w:val="24"/>
          <w:szCs w:val="24"/>
        </w:rPr>
        <w:t>. Frontiers, 20(1), p. 588. doi: 10.1186/s12889-020-08746-x.</w:t>
      </w:r>
    </w:p>
    <w:p w14:paraId="730CBAA6" w14:textId="77777777" w:rsidR="006F7847" w:rsidRPr="006F7847" w:rsidRDefault="006F7847" w:rsidP="006F7847">
      <w:pPr>
        <w:autoSpaceDE w:val="0"/>
        <w:autoSpaceDN w:val="0"/>
        <w:adjustRightInd w:val="0"/>
        <w:spacing w:before="240" w:after="240" w:line="360" w:lineRule="auto"/>
        <w:rPr>
          <w:rFonts w:ascii="Arial" w:hAnsi="Arial" w:cs="Arial"/>
          <w:noProof/>
          <w:sz w:val="24"/>
          <w:szCs w:val="24"/>
        </w:rPr>
      </w:pPr>
      <w:r w:rsidRPr="006F7847">
        <w:rPr>
          <w:rFonts w:ascii="Arial" w:hAnsi="Arial" w:cs="Arial"/>
          <w:noProof/>
          <w:sz w:val="24"/>
          <w:szCs w:val="24"/>
        </w:rPr>
        <w:t xml:space="preserve">Schneider, P. </w:t>
      </w:r>
      <w:r w:rsidRPr="006F7847">
        <w:rPr>
          <w:rFonts w:ascii="Arial" w:hAnsi="Arial" w:cs="Arial"/>
          <w:i/>
          <w:iCs/>
          <w:noProof/>
          <w:sz w:val="24"/>
          <w:szCs w:val="24"/>
        </w:rPr>
        <w:t>et al.</w:t>
      </w:r>
      <w:r w:rsidRPr="006F7847">
        <w:rPr>
          <w:rFonts w:ascii="Arial" w:hAnsi="Arial" w:cs="Arial"/>
          <w:noProof/>
          <w:sz w:val="24"/>
          <w:szCs w:val="24"/>
        </w:rPr>
        <w:t xml:space="preserve"> (2019) ‘Rethinking drug design in the artificial intelligence era’, </w:t>
      </w:r>
      <w:r w:rsidRPr="006F7847">
        <w:rPr>
          <w:rFonts w:ascii="Arial" w:hAnsi="Arial" w:cs="Arial"/>
          <w:i/>
          <w:iCs/>
          <w:noProof/>
          <w:sz w:val="24"/>
          <w:szCs w:val="24"/>
        </w:rPr>
        <w:t>Nature Reviews Drug Discovery</w:t>
      </w:r>
      <w:r w:rsidRPr="006F7847">
        <w:rPr>
          <w:rFonts w:ascii="Arial" w:hAnsi="Arial" w:cs="Arial"/>
          <w:noProof/>
          <w:sz w:val="24"/>
          <w:szCs w:val="24"/>
        </w:rPr>
        <w:t>. Nature Research. doi: 10.1038/s41573-019-0050-3.</w:t>
      </w:r>
    </w:p>
    <w:p w14:paraId="4A615A3B" w14:textId="77777777" w:rsidR="006F7847" w:rsidRPr="006F7847" w:rsidRDefault="006F7847" w:rsidP="006F7847">
      <w:pPr>
        <w:autoSpaceDE w:val="0"/>
        <w:autoSpaceDN w:val="0"/>
        <w:adjustRightInd w:val="0"/>
        <w:spacing w:before="240" w:after="240" w:line="360" w:lineRule="auto"/>
        <w:rPr>
          <w:rFonts w:ascii="Arial" w:hAnsi="Arial" w:cs="Arial"/>
          <w:noProof/>
          <w:sz w:val="24"/>
          <w:szCs w:val="24"/>
        </w:rPr>
      </w:pPr>
      <w:r w:rsidRPr="006F7847">
        <w:rPr>
          <w:rFonts w:ascii="Arial" w:hAnsi="Arial" w:cs="Arial"/>
          <w:noProof/>
          <w:sz w:val="24"/>
          <w:szCs w:val="24"/>
        </w:rPr>
        <w:t xml:space="preserve">Scott, R. (2017) ‘The opportunity in china’s healthcare market’, </w:t>
      </w:r>
      <w:r w:rsidRPr="006F7847">
        <w:rPr>
          <w:rFonts w:ascii="Arial" w:hAnsi="Arial" w:cs="Arial"/>
          <w:i/>
          <w:iCs/>
          <w:noProof/>
          <w:sz w:val="24"/>
          <w:szCs w:val="24"/>
        </w:rPr>
        <w:t>Australasian Biotechnology</w:t>
      </w:r>
      <w:r w:rsidRPr="006F7847">
        <w:rPr>
          <w:rFonts w:ascii="Arial" w:hAnsi="Arial" w:cs="Arial"/>
          <w:noProof/>
          <w:sz w:val="24"/>
          <w:szCs w:val="24"/>
        </w:rPr>
        <w:t>. Australian Biotechnology Association, 27(2), pp. 28–29.</w:t>
      </w:r>
    </w:p>
    <w:p w14:paraId="13CF60E1" w14:textId="77777777" w:rsidR="006F7847" w:rsidRPr="006F7847" w:rsidRDefault="006F7847" w:rsidP="006F7847">
      <w:pPr>
        <w:autoSpaceDE w:val="0"/>
        <w:autoSpaceDN w:val="0"/>
        <w:adjustRightInd w:val="0"/>
        <w:spacing w:before="240" w:after="240" w:line="360" w:lineRule="auto"/>
        <w:rPr>
          <w:rFonts w:ascii="Arial" w:hAnsi="Arial" w:cs="Arial"/>
          <w:noProof/>
          <w:sz w:val="24"/>
          <w:szCs w:val="24"/>
        </w:rPr>
      </w:pPr>
      <w:r w:rsidRPr="006F7847">
        <w:rPr>
          <w:rFonts w:ascii="Arial" w:hAnsi="Arial" w:cs="Arial"/>
          <w:noProof/>
          <w:sz w:val="24"/>
          <w:szCs w:val="24"/>
        </w:rPr>
        <w:lastRenderedPageBreak/>
        <w:t xml:space="preserve">Statista (2019) </w:t>
      </w:r>
      <w:r w:rsidRPr="006F7847">
        <w:rPr>
          <w:rFonts w:ascii="Arial" w:hAnsi="Arial" w:cs="Arial"/>
          <w:i/>
          <w:iCs/>
          <w:noProof/>
          <w:sz w:val="24"/>
          <w:szCs w:val="24"/>
        </w:rPr>
        <w:t xml:space="preserve">•Top biotech companies R&amp;D expenditure 2018 </w:t>
      </w:r>
      <w:r w:rsidRPr="006F7847">
        <w:rPr>
          <w:rFonts w:ascii="Arial" w:hAnsi="Arial" w:cs="Arial"/>
          <w:noProof/>
          <w:sz w:val="24"/>
          <w:szCs w:val="24"/>
        </w:rPr>
        <w:t>. Available at: https://www-statista-com/statistics/262701/top-biotech-companies-based-on-revenue/ (Accessed: 15 May 2020).</w:t>
      </w:r>
    </w:p>
    <w:p w14:paraId="15C44A3E" w14:textId="77777777" w:rsidR="006F7847" w:rsidRPr="006F7847" w:rsidRDefault="006F7847" w:rsidP="006F7847">
      <w:pPr>
        <w:autoSpaceDE w:val="0"/>
        <w:autoSpaceDN w:val="0"/>
        <w:adjustRightInd w:val="0"/>
        <w:spacing w:before="240" w:after="240" w:line="360" w:lineRule="auto"/>
        <w:rPr>
          <w:rFonts w:ascii="Arial" w:hAnsi="Arial" w:cs="Arial"/>
          <w:noProof/>
          <w:sz w:val="24"/>
          <w:szCs w:val="24"/>
        </w:rPr>
      </w:pPr>
      <w:r w:rsidRPr="006F7847">
        <w:rPr>
          <w:rFonts w:ascii="Arial" w:hAnsi="Arial" w:cs="Arial"/>
          <w:noProof/>
          <w:sz w:val="24"/>
          <w:szCs w:val="24"/>
        </w:rPr>
        <w:t xml:space="preserve">Statista (2020) </w:t>
      </w:r>
      <w:r w:rsidRPr="006F7847">
        <w:rPr>
          <w:rFonts w:ascii="Arial" w:hAnsi="Arial" w:cs="Arial"/>
          <w:i/>
          <w:iCs/>
          <w:noProof/>
          <w:sz w:val="24"/>
          <w:szCs w:val="24"/>
        </w:rPr>
        <w:t xml:space="preserve">China: medical device market size 2019 </w:t>
      </w:r>
      <w:r w:rsidRPr="006F7847">
        <w:rPr>
          <w:rFonts w:ascii="Arial" w:hAnsi="Arial" w:cs="Arial"/>
          <w:noProof/>
          <w:sz w:val="24"/>
          <w:szCs w:val="24"/>
        </w:rPr>
        <w:t>. Available at: https://www.statista.com/statistics/725975/china-medical-device-market-size/ (Accessed: 15 May 2020).</w:t>
      </w:r>
    </w:p>
    <w:p w14:paraId="2660F056" w14:textId="77777777" w:rsidR="006F7847" w:rsidRPr="006F7847" w:rsidRDefault="006F7847" w:rsidP="006F7847">
      <w:pPr>
        <w:autoSpaceDE w:val="0"/>
        <w:autoSpaceDN w:val="0"/>
        <w:adjustRightInd w:val="0"/>
        <w:spacing w:before="240" w:after="240" w:line="360" w:lineRule="auto"/>
        <w:rPr>
          <w:rFonts w:ascii="Arial" w:hAnsi="Arial" w:cs="Arial"/>
          <w:noProof/>
          <w:sz w:val="24"/>
          <w:szCs w:val="24"/>
        </w:rPr>
      </w:pPr>
      <w:r w:rsidRPr="006F7847">
        <w:rPr>
          <w:rFonts w:ascii="Arial" w:hAnsi="Arial" w:cs="Arial"/>
          <w:noProof/>
          <w:sz w:val="24"/>
          <w:szCs w:val="24"/>
        </w:rPr>
        <w:t xml:space="preserve">Sun, P., Qu, Z. and Liao, Z. (2018) ‘How and when do subnational institutions matter for R&amp;D investment? Evidence from the Chinese pharmaceutical sector’, </w:t>
      </w:r>
      <w:r w:rsidRPr="006F7847">
        <w:rPr>
          <w:rFonts w:ascii="Arial" w:hAnsi="Arial" w:cs="Arial"/>
          <w:i/>
          <w:iCs/>
          <w:noProof/>
          <w:sz w:val="24"/>
          <w:szCs w:val="24"/>
        </w:rPr>
        <w:t>IEEE Transactions on Engineering Management</w:t>
      </w:r>
      <w:r w:rsidRPr="006F7847">
        <w:rPr>
          <w:rFonts w:ascii="Arial" w:hAnsi="Arial" w:cs="Arial"/>
          <w:noProof/>
          <w:sz w:val="24"/>
          <w:szCs w:val="24"/>
        </w:rPr>
        <w:t>. IEEE, 65(3), pp. 379–391. doi: 10.1109/TEM.2018.2793215.</w:t>
      </w:r>
    </w:p>
    <w:p w14:paraId="6FF0D57A" w14:textId="77777777" w:rsidR="006F7847" w:rsidRPr="006F7847" w:rsidRDefault="006F7847" w:rsidP="006F7847">
      <w:pPr>
        <w:autoSpaceDE w:val="0"/>
        <w:autoSpaceDN w:val="0"/>
        <w:adjustRightInd w:val="0"/>
        <w:spacing w:before="240" w:after="240" w:line="360" w:lineRule="auto"/>
        <w:rPr>
          <w:rFonts w:ascii="Arial" w:hAnsi="Arial" w:cs="Arial"/>
          <w:noProof/>
          <w:sz w:val="24"/>
          <w:szCs w:val="24"/>
        </w:rPr>
      </w:pPr>
      <w:r w:rsidRPr="006F7847">
        <w:rPr>
          <w:rFonts w:ascii="Arial" w:hAnsi="Arial" w:cs="Arial"/>
          <w:noProof/>
          <w:sz w:val="24"/>
          <w:szCs w:val="24"/>
        </w:rPr>
        <w:t xml:space="preserve">Sun, T. Q. and Medaglia, R. (2019) ‘Mapping the challenges of Artificial Intelligence in the public sector: Evidence from public healthcare’, </w:t>
      </w:r>
      <w:r w:rsidRPr="006F7847">
        <w:rPr>
          <w:rFonts w:ascii="Arial" w:hAnsi="Arial" w:cs="Arial"/>
          <w:i/>
          <w:iCs/>
          <w:noProof/>
          <w:sz w:val="24"/>
          <w:szCs w:val="24"/>
        </w:rPr>
        <w:t>Government Information Quarterly</w:t>
      </w:r>
      <w:r w:rsidRPr="006F7847">
        <w:rPr>
          <w:rFonts w:ascii="Arial" w:hAnsi="Arial" w:cs="Arial"/>
          <w:noProof/>
          <w:sz w:val="24"/>
          <w:szCs w:val="24"/>
        </w:rPr>
        <w:t>. Elsevier, 36(2), pp. 368–383. doi: 10.1016/j.giq.2018.09.008.</w:t>
      </w:r>
    </w:p>
    <w:p w14:paraId="053A990B" w14:textId="77777777" w:rsidR="006F7847" w:rsidRPr="006F7847" w:rsidRDefault="006F7847" w:rsidP="006F7847">
      <w:pPr>
        <w:autoSpaceDE w:val="0"/>
        <w:autoSpaceDN w:val="0"/>
        <w:adjustRightInd w:val="0"/>
        <w:spacing w:before="240" w:after="240" w:line="360" w:lineRule="auto"/>
        <w:rPr>
          <w:rFonts w:ascii="Arial" w:hAnsi="Arial" w:cs="Arial"/>
          <w:noProof/>
          <w:sz w:val="24"/>
          <w:szCs w:val="24"/>
        </w:rPr>
      </w:pPr>
      <w:r w:rsidRPr="006F7847">
        <w:rPr>
          <w:rFonts w:ascii="Arial" w:hAnsi="Arial" w:cs="Arial"/>
          <w:noProof/>
          <w:sz w:val="24"/>
          <w:szCs w:val="24"/>
        </w:rPr>
        <w:t xml:space="preserve">Torsekar, M. P. (2018) ‘China Climbs the Global Value Chain for Medical Devices’, </w:t>
      </w:r>
      <w:r w:rsidRPr="006F7847">
        <w:rPr>
          <w:rFonts w:ascii="Arial" w:hAnsi="Arial" w:cs="Arial"/>
          <w:i/>
          <w:iCs/>
          <w:noProof/>
          <w:sz w:val="24"/>
          <w:szCs w:val="24"/>
        </w:rPr>
        <w:t>J. Int’l Com. &amp; Econ.</w:t>
      </w:r>
      <w:r w:rsidRPr="006F7847">
        <w:rPr>
          <w:rFonts w:ascii="Arial" w:hAnsi="Arial" w:cs="Arial"/>
          <w:noProof/>
          <w:sz w:val="24"/>
          <w:szCs w:val="24"/>
        </w:rPr>
        <w:t xml:space="preserve"> HeinOnline, (March), pp. 1–13.</w:t>
      </w:r>
    </w:p>
    <w:p w14:paraId="340DE7E1" w14:textId="77777777" w:rsidR="006F7847" w:rsidRPr="006F7847" w:rsidRDefault="006F7847" w:rsidP="006F7847">
      <w:pPr>
        <w:autoSpaceDE w:val="0"/>
        <w:autoSpaceDN w:val="0"/>
        <w:adjustRightInd w:val="0"/>
        <w:spacing w:before="240" w:after="240" w:line="360" w:lineRule="auto"/>
        <w:rPr>
          <w:rFonts w:ascii="Arial" w:hAnsi="Arial" w:cs="Arial"/>
          <w:noProof/>
          <w:sz w:val="24"/>
          <w:szCs w:val="24"/>
        </w:rPr>
      </w:pPr>
      <w:r w:rsidRPr="006F7847">
        <w:rPr>
          <w:rFonts w:ascii="Arial" w:hAnsi="Arial" w:cs="Arial"/>
          <w:noProof/>
          <w:sz w:val="24"/>
          <w:szCs w:val="24"/>
        </w:rPr>
        <w:t xml:space="preserve">Wang, Y. (2017) ‘A brief analysis of favorable and unfavorable conditions for future development of pharmaceutical E-commerce in China’, in </w:t>
      </w:r>
      <w:r w:rsidRPr="006F7847">
        <w:rPr>
          <w:rFonts w:ascii="Arial" w:hAnsi="Arial" w:cs="Arial"/>
          <w:i/>
          <w:iCs/>
          <w:noProof/>
          <w:sz w:val="24"/>
          <w:szCs w:val="24"/>
        </w:rPr>
        <w:t>2016 International Conference on Logistics, Informatics and Service Sciences (LISS)</w:t>
      </w:r>
      <w:r w:rsidRPr="006F7847">
        <w:rPr>
          <w:rFonts w:ascii="Arial" w:hAnsi="Arial" w:cs="Arial"/>
          <w:noProof/>
          <w:sz w:val="24"/>
          <w:szCs w:val="24"/>
        </w:rPr>
        <w:t>. IEEE, pp. 1–5. doi: 10.1109/liss.2016.7854373.</w:t>
      </w:r>
    </w:p>
    <w:p w14:paraId="14857503" w14:textId="77777777" w:rsidR="006F7847" w:rsidRPr="006F7847" w:rsidRDefault="006F7847" w:rsidP="006F7847">
      <w:pPr>
        <w:autoSpaceDE w:val="0"/>
        <w:autoSpaceDN w:val="0"/>
        <w:adjustRightInd w:val="0"/>
        <w:spacing w:before="240" w:after="240" w:line="360" w:lineRule="auto"/>
        <w:rPr>
          <w:rFonts w:ascii="Arial" w:hAnsi="Arial" w:cs="Arial"/>
          <w:noProof/>
          <w:sz w:val="24"/>
          <w:szCs w:val="24"/>
        </w:rPr>
      </w:pPr>
      <w:r w:rsidRPr="006F7847">
        <w:rPr>
          <w:rFonts w:ascii="Arial" w:hAnsi="Arial" w:cs="Arial"/>
          <w:noProof/>
          <w:sz w:val="24"/>
          <w:szCs w:val="24"/>
        </w:rPr>
        <w:t xml:space="preserve">Wang, Y. and Zhang, J. (2020) ‘Study on the Competitiveness of Traditional Chinese Medicine Enterprises Based on the Factor Analysis’, in </w:t>
      </w:r>
      <w:r w:rsidRPr="006F7847">
        <w:rPr>
          <w:rFonts w:ascii="Arial" w:hAnsi="Arial" w:cs="Arial"/>
          <w:i/>
          <w:iCs/>
          <w:noProof/>
          <w:sz w:val="24"/>
          <w:szCs w:val="24"/>
        </w:rPr>
        <w:t>2019 3rd International Conference on Education, Economics and Management Research (ICEEMR 2019)</w:t>
      </w:r>
      <w:r w:rsidRPr="006F7847">
        <w:rPr>
          <w:rFonts w:ascii="Arial" w:hAnsi="Arial" w:cs="Arial"/>
          <w:noProof/>
          <w:sz w:val="24"/>
          <w:szCs w:val="24"/>
        </w:rPr>
        <w:t>. Atlantis Press, pp. 140–143. doi: 10.2991/assehr.k.191221.033.</w:t>
      </w:r>
    </w:p>
    <w:p w14:paraId="5EE6B87F" w14:textId="77777777" w:rsidR="006F7847" w:rsidRPr="006F7847" w:rsidRDefault="006F7847" w:rsidP="006F7847">
      <w:pPr>
        <w:autoSpaceDE w:val="0"/>
        <w:autoSpaceDN w:val="0"/>
        <w:adjustRightInd w:val="0"/>
        <w:spacing w:before="240" w:after="240" w:line="360" w:lineRule="auto"/>
        <w:rPr>
          <w:rFonts w:ascii="Arial" w:hAnsi="Arial" w:cs="Arial"/>
          <w:noProof/>
          <w:sz w:val="24"/>
          <w:szCs w:val="24"/>
        </w:rPr>
      </w:pPr>
      <w:r w:rsidRPr="006F7847">
        <w:rPr>
          <w:rFonts w:ascii="Arial" w:hAnsi="Arial" w:cs="Arial"/>
          <w:noProof/>
          <w:sz w:val="24"/>
          <w:szCs w:val="24"/>
        </w:rPr>
        <w:t xml:space="preserve">World Bank Data (2019a) </w:t>
      </w:r>
      <w:r w:rsidRPr="006F7847">
        <w:rPr>
          <w:rFonts w:ascii="Arial" w:hAnsi="Arial" w:cs="Arial"/>
          <w:i/>
          <w:iCs/>
          <w:noProof/>
          <w:sz w:val="24"/>
          <w:szCs w:val="24"/>
        </w:rPr>
        <w:t>Current health expenditure (% of GDP) - China</w:t>
      </w:r>
      <w:r w:rsidRPr="006F7847">
        <w:rPr>
          <w:rFonts w:ascii="Arial" w:hAnsi="Arial" w:cs="Arial"/>
          <w:noProof/>
          <w:sz w:val="24"/>
          <w:szCs w:val="24"/>
        </w:rPr>
        <w:t>. Available at: https://data.worldbank.org/indicator/SH.XPD.CHEX.GD.ZS?locations=CN-1W (Accessed: 15 May 2020).</w:t>
      </w:r>
    </w:p>
    <w:p w14:paraId="5440DA1E" w14:textId="77777777" w:rsidR="006F7847" w:rsidRPr="006F7847" w:rsidRDefault="006F7847" w:rsidP="006F7847">
      <w:pPr>
        <w:autoSpaceDE w:val="0"/>
        <w:autoSpaceDN w:val="0"/>
        <w:adjustRightInd w:val="0"/>
        <w:spacing w:before="240" w:after="240" w:line="360" w:lineRule="auto"/>
        <w:rPr>
          <w:rFonts w:ascii="Arial" w:hAnsi="Arial" w:cs="Arial"/>
          <w:noProof/>
          <w:sz w:val="24"/>
          <w:szCs w:val="24"/>
        </w:rPr>
      </w:pPr>
      <w:r w:rsidRPr="006F7847">
        <w:rPr>
          <w:rFonts w:ascii="Arial" w:hAnsi="Arial" w:cs="Arial"/>
          <w:noProof/>
          <w:sz w:val="24"/>
          <w:szCs w:val="24"/>
        </w:rPr>
        <w:t xml:space="preserve">World Bank Data (2019b) </w:t>
      </w:r>
      <w:r w:rsidRPr="006F7847">
        <w:rPr>
          <w:rFonts w:ascii="Arial" w:hAnsi="Arial" w:cs="Arial"/>
          <w:i/>
          <w:iCs/>
          <w:noProof/>
          <w:sz w:val="24"/>
          <w:szCs w:val="24"/>
        </w:rPr>
        <w:t xml:space="preserve">GDP per capita growth (annual %) </w:t>
      </w:r>
      <w:r w:rsidRPr="006F7847">
        <w:rPr>
          <w:rFonts w:ascii="Arial" w:hAnsi="Arial" w:cs="Arial"/>
          <w:noProof/>
          <w:sz w:val="24"/>
          <w:szCs w:val="24"/>
        </w:rPr>
        <w:t>. Available at: https://data.worldbank.org/indicator/NY.GDP.PCAP.KD.ZG?locations=1W-CN-IN-RU-BR-GB-US (Accessed: 15 May 2020).</w:t>
      </w:r>
    </w:p>
    <w:p w14:paraId="56FCA603" w14:textId="77777777" w:rsidR="006F7847" w:rsidRPr="006F7847" w:rsidRDefault="006F7847" w:rsidP="006F7847">
      <w:pPr>
        <w:autoSpaceDE w:val="0"/>
        <w:autoSpaceDN w:val="0"/>
        <w:adjustRightInd w:val="0"/>
        <w:spacing w:before="240" w:after="240" w:line="360" w:lineRule="auto"/>
        <w:rPr>
          <w:rFonts w:ascii="Arial" w:hAnsi="Arial" w:cs="Arial"/>
          <w:noProof/>
          <w:sz w:val="24"/>
          <w:szCs w:val="24"/>
        </w:rPr>
      </w:pPr>
      <w:r w:rsidRPr="006F7847">
        <w:rPr>
          <w:rFonts w:ascii="Arial" w:hAnsi="Arial" w:cs="Arial"/>
          <w:noProof/>
          <w:sz w:val="24"/>
          <w:szCs w:val="24"/>
        </w:rPr>
        <w:lastRenderedPageBreak/>
        <w:t xml:space="preserve">Wu, G. </w:t>
      </w:r>
      <w:r w:rsidRPr="006F7847">
        <w:rPr>
          <w:rFonts w:ascii="Arial" w:hAnsi="Arial" w:cs="Arial"/>
          <w:i/>
          <w:iCs/>
          <w:noProof/>
          <w:sz w:val="24"/>
          <w:szCs w:val="24"/>
        </w:rPr>
        <w:t>et al.</w:t>
      </w:r>
      <w:r w:rsidRPr="006F7847">
        <w:rPr>
          <w:rFonts w:ascii="Arial" w:hAnsi="Arial" w:cs="Arial"/>
          <w:noProof/>
          <w:sz w:val="24"/>
          <w:szCs w:val="24"/>
        </w:rPr>
        <w:t xml:space="preserve"> (2018) ‘The availability, price and affordability of essential antibacterials in Hubei province, China’, </w:t>
      </w:r>
      <w:r w:rsidRPr="006F7847">
        <w:rPr>
          <w:rFonts w:ascii="Arial" w:hAnsi="Arial" w:cs="Arial"/>
          <w:i/>
          <w:iCs/>
          <w:noProof/>
          <w:sz w:val="24"/>
          <w:szCs w:val="24"/>
        </w:rPr>
        <w:t>BMC Health Services Research</w:t>
      </w:r>
      <w:r w:rsidRPr="006F7847">
        <w:rPr>
          <w:rFonts w:ascii="Arial" w:hAnsi="Arial" w:cs="Arial"/>
          <w:noProof/>
          <w:sz w:val="24"/>
          <w:szCs w:val="24"/>
        </w:rPr>
        <w:t>. Oxford University Press, 18(1), pp. 937–947. doi: 10.1186/s12913-018-3835-x.</w:t>
      </w:r>
    </w:p>
    <w:p w14:paraId="35799742" w14:textId="77777777" w:rsidR="006F7847" w:rsidRPr="006F7847" w:rsidRDefault="006F7847" w:rsidP="006F7847">
      <w:pPr>
        <w:autoSpaceDE w:val="0"/>
        <w:autoSpaceDN w:val="0"/>
        <w:adjustRightInd w:val="0"/>
        <w:spacing w:before="240" w:after="240" w:line="360" w:lineRule="auto"/>
        <w:rPr>
          <w:rFonts w:ascii="Arial" w:hAnsi="Arial" w:cs="Arial"/>
          <w:noProof/>
          <w:sz w:val="24"/>
          <w:szCs w:val="24"/>
        </w:rPr>
      </w:pPr>
      <w:r w:rsidRPr="006F7847">
        <w:rPr>
          <w:rFonts w:ascii="Arial" w:hAnsi="Arial" w:cs="Arial"/>
          <w:noProof/>
          <w:sz w:val="24"/>
          <w:szCs w:val="24"/>
        </w:rPr>
        <w:t xml:space="preserve">Yahoo Finance (2020) </w:t>
      </w:r>
      <w:r w:rsidRPr="006F7847">
        <w:rPr>
          <w:rFonts w:ascii="Arial" w:hAnsi="Arial" w:cs="Arial"/>
          <w:i/>
          <w:iCs/>
          <w:noProof/>
          <w:sz w:val="24"/>
          <w:szCs w:val="24"/>
        </w:rPr>
        <w:t xml:space="preserve">NVO : Novo Nordisk A/S </w:t>
      </w:r>
      <w:r w:rsidRPr="006F7847">
        <w:rPr>
          <w:rFonts w:ascii="Arial" w:hAnsi="Arial" w:cs="Arial"/>
          <w:noProof/>
          <w:sz w:val="24"/>
          <w:szCs w:val="24"/>
        </w:rPr>
        <w:t>. Available at: https://finance.yahoo.com/quote/NVO/history?period1=1431648000&amp;period2=1589500800&amp;interval=1mo&amp;filter=history&amp;frequency=1mo (Accessed: 15 May 2020).</w:t>
      </w:r>
    </w:p>
    <w:p w14:paraId="14AC9479" w14:textId="77777777" w:rsidR="006F7847" w:rsidRPr="006F7847" w:rsidRDefault="006F7847" w:rsidP="006F7847">
      <w:pPr>
        <w:autoSpaceDE w:val="0"/>
        <w:autoSpaceDN w:val="0"/>
        <w:adjustRightInd w:val="0"/>
        <w:spacing w:before="240" w:after="240" w:line="360" w:lineRule="auto"/>
        <w:rPr>
          <w:rFonts w:ascii="Arial" w:hAnsi="Arial" w:cs="Arial"/>
          <w:noProof/>
          <w:sz w:val="24"/>
          <w:szCs w:val="24"/>
        </w:rPr>
      </w:pPr>
      <w:r w:rsidRPr="006F7847">
        <w:rPr>
          <w:rFonts w:ascii="Arial" w:hAnsi="Arial" w:cs="Arial"/>
          <w:noProof/>
          <w:sz w:val="24"/>
          <w:szCs w:val="24"/>
        </w:rPr>
        <w:t xml:space="preserve">Yan, F., Tang, S. and Zhang, J. (2016) ‘Global implications of China’s healthcare reform’, </w:t>
      </w:r>
      <w:r w:rsidRPr="006F7847">
        <w:rPr>
          <w:rFonts w:ascii="Arial" w:hAnsi="Arial" w:cs="Arial"/>
          <w:i/>
          <w:iCs/>
          <w:noProof/>
          <w:sz w:val="24"/>
          <w:szCs w:val="24"/>
        </w:rPr>
        <w:t>International Journal of Health Planning and Management</w:t>
      </w:r>
      <w:r w:rsidRPr="006F7847">
        <w:rPr>
          <w:rFonts w:ascii="Arial" w:hAnsi="Arial" w:cs="Arial"/>
          <w:noProof/>
          <w:sz w:val="24"/>
          <w:szCs w:val="24"/>
        </w:rPr>
        <w:t>. Wiley Online Library, 31(1), pp. 25–35. doi: 10.1002/hpm.2252.</w:t>
      </w:r>
    </w:p>
    <w:p w14:paraId="3BC8A319" w14:textId="77777777" w:rsidR="006F7847" w:rsidRPr="006F7847" w:rsidRDefault="006F7847" w:rsidP="006F7847">
      <w:pPr>
        <w:autoSpaceDE w:val="0"/>
        <w:autoSpaceDN w:val="0"/>
        <w:adjustRightInd w:val="0"/>
        <w:spacing w:before="240" w:after="240" w:line="360" w:lineRule="auto"/>
        <w:rPr>
          <w:rFonts w:ascii="Arial" w:hAnsi="Arial" w:cs="Arial"/>
          <w:noProof/>
          <w:sz w:val="24"/>
        </w:rPr>
      </w:pPr>
      <w:r w:rsidRPr="006F7847">
        <w:rPr>
          <w:rFonts w:ascii="Arial" w:hAnsi="Arial" w:cs="Arial"/>
          <w:noProof/>
          <w:sz w:val="24"/>
          <w:szCs w:val="24"/>
        </w:rPr>
        <w:t xml:space="preserve">Zhong, H. and Ouyang, D. (2020) ‘The gap analysis between Chinese pharmaceutical academia and industry from 2000 to 2018’, </w:t>
      </w:r>
      <w:r w:rsidRPr="006F7847">
        <w:rPr>
          <w:rFonts w:ascii="Arial" w:hAnsi="Arial" w:cs="Arial"/>
          <w:i/>
          <w:iCs/>
          <w:noProof/>
          <w:sz w:val="24"/>
          <w:szCs w:val="24"/>
        </w:rPr>
        <w:t>Scientometrics</w:t>
      </w:r>
      <w:r w:rsidRPr="006F7847">
        <w:rPr>
          <w:rFonts w:ascii="Arial" w:hAnsi="Arial" w:cs="Arial"/>
          <w:noProof/>
          <w:sz w:val="24"/>
          <w:szCs w:val="24"/>
        </w:rPr>
        <w:t>. Springer, 122(2), pp. 1113–1128. doi: 10.1007/s11192-019-03313-7.</w:t>
      </w:r>
    </w:p>
    <w:p w14:paraId="3150B285" w14:textId="6B8EDA5F" w:rsidR="002666B5" w:rsidRDefault="006F7847" w:rsidP="00744782">
      <w:pPr>
        <w:widowControl/>
        <w:spacing w:before="240" w:after="240" w:line="360" w:lineRule="auto"/>
        <w:rPr>
          <w:rFonts w:ascii="Arial" w:hAnsi="Arial" w:cs="Arial"/>
          <w:sz w:val="24"/>
          <w:szCs w:val="24"/>
        </w:rPr>
      </w:pPr>
      <w:r>
        <w:rPr>
          <w:rFonts w:ascii="Arial" w:hAnsi="Arial" w:cs="Arial"/>
          <w:sz w:val="24"/>
          <w:szCs w:val="24"/>
        </w:rPr>
        <w:fldChar w:fldCharType="end"/>
      </w:r>
    </w:p>
    <w:p w14:paraId="2A0B61ED" w14:textId="77777777" w:rsidR="006D0CAC" w:rsidRPr="00E9053D" w:rsidRDefault="006D0CAC" w:rsidP="00744782">
      <w:pPr>
        <w:widowControl/>
        <w:spacing w:before="240" w:after="240" w:line="360" w:lineRule="auto"/>
        <w:rPr>
          <w:rFonts w:ascii="Arial" w:hAnsi="Arial" w:cs="Arial"/>
          <w:sz w:val="24"/>
          <w:szCs w:val="24"/>
        </w:rPr>
      </w:pPr>
    </w:p>
    <w:p w14:paraId="2E136D66" w14:textId="77777777" w:rsidR="00E9053D" w:rsidRPr="00E9053D" w:rsidRDefault="00E9053D" w:rsidP="000871F1">
      <w:pPr>
        <w:widowControl/>
        <w:spacing w:before="240" w:after="240" w:line="360" w:lineRule="auto"/>
        <w:rPr>
          <w:rFonts w:ascii="Arial" w:hAnsi="Arial" w:cs="Arial"/>
          <w:sz w:val="24"/>
          <w:szCs w:val="24"/>
        </w:rPr>
      </w:pPr>
    </w:p>
    <w:p w14:paraId="778F247C" w14:textId="77777777" w:rsidR="00E9053D" w:rsidRPr="00E9053D" w:rsidRDefault="00E9053D" w:rsidP="000871F1">
      <w:pPr>
        <w:widowControl/>
        <w:spacing w:before="240" w:after="240" w:line="360" w:lineRule="auto"/>
        <w:rPr>
          <w:rFonts w:ascii="Arial" w:hAnsi="Arial" w:cs="Arial"/>
          <w:sz w:val="24"/>
          <w:szCs w:val="24"/>
        </w:rPr>
      </w:pPr>
    </w:p>
    <w:p w14:paraId="0B85B1F4" w14:textId="77777777" w:rsidR="00E9053D" w:rsidRPr="00E9053D" w:rsidRDefault="00E9053D" w:rsidP="00E9053D">
      <w:pPr>
        <w:widowControl/>
        <w:spacing w:before="240" w:after="240" w:line="360" w:lineRule="auto"/>
        <w:rPr>
          <w:rFonts w:ascii="Arial" w:hAnsi="Arial" w:cs="Arial"/>
          <w:sz w:val="24"/>
          <w:szCs w:val="24"/>
        </w:rPr>
      </w:pPr>
    </w:p>
    <w:p w14:paraId="177922D6" w14:textId="12A59B6E" w:rsidR="002C1595" w:rsidRPr="00CA5F1E" w:rsidRDefault="00EC5B53" w:rsidP="00CA5F1E">
      <w:pPr>
        <w:widowControl/>
        <w:spacing w:before="240" w:after="240" w:line="360" w:lineRule="auto"/>
        <w:rPr>
          <w:rFonts w:ascii="Arial" w:hAnsi="Arial" w:cs="Arial"/>
          <w:sz w:val="24"/>
          <w:szCs w:val="24"/>
        </w:rPr>
      </w:pPr>
    </w:p>
    <w:sectPr w:rsidR="002C1595" w:rsidRPr="00CA5F1E" w:rsidSect="00A91DBF">
      <w:footerReference w:type="default" r:id="rId15"/>
      <w:pgSz w:w="11906" w:h="16838"/>
      <w:pgMar w:top="1440" w:right="1440" w:bottom="1440" w:left="1440" w:header="851" w:footer="992" w:gutter="0"/>
      <w:pgNumType w:start="1"/>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BDCD22" w14:textId="77777777" w:rsidR="00EC5B53" w:rsidRDefault="00EC5B53" w:rsidP="00E9053D">
      <w:pPr>
        <w:spacing w:after="0" w:line="240" w:lineRule="auto"/>
      </w:pPr>
      <w:r>
        <w:separator/>
      </w:r>
    </w:p>
  </w:endnote>
  <w:endnote w:type="continuationSeparator" w:id="0">
    <w:p w14:paraId="6F82A3E3" w14:textId="77777777" w:rsidR="00EC5B53" w:rsidRDefault="00EC5B53" w:rsidP="00E905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D-DIN">
    <w:altName w:val="Calibri"/>
    <w:panose1 w:val="00000000000000000000"/>
    <w:charset w:val="00"/>
    <w:family w:val="swiss"/>
    <w:notTrueType/>
    <w:pitch w:val="variable"/>
    <w:sig w:usb0="8000006F" w:usb1="4000000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9F9F0C" w14:textId="7F087D51" w:rsidR="00A91DBF" w:rsidRDefault="00A91DBF">
    <w:pPr>
      <w:pStyle w:val="a5"/>
      <w:jc w:val="center"/>
    </w:pPr>
  </w:p>
  <w:p w14:paraId="654C28C0" w14:textId="77777777" w:rsidR="00A91DBF" w:rsidRDefault="00A91DBF">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40711794"/>
      <w:docPartObj>
        <w:docPartGallery w:val="Page Numbers (Bottom of Page)"/>
        <w:docPartUnique/>
      </w:docPartObj>
    </w:sdtPr>
    <w:sdtEndPr/>
    <w:sdtContent>
      <w:p w14:paraId="2BC01779" w14:textId="77777777" w:rsidR="00A91DBF" w:rsidRDefault="00A91DBF">
        <w:pPr>
          <w:pStyle w:val="a5"/>
          <w:jc w:val="center"/>
        </w:pPr>
        <w:r w:rsidRPr="00A91DBF">
          <w:rPr>
            <w:rFonts w:ascii="Arial" w:hAnsi="Arial" w:cs="Arial"/>
            <w:b/>
            <w:bCs/>
          </w:rPr>
          <w:fldChar w:fldCharType="begin"/>
        </w:r>
        <w:r w:rsidRPr="00A91DBF">
          <w:rPr>
            <w:rFonts w:ascii="Arial" w:hAnsi="Arial" w:cs="Arial"/>
            <w:b/>
            <w:bCs/>
          </w:rPr>
          <w:instrText>PAGE   \* MERGEFORMAT</w:instrText>
        </w:r>
        <w:r w:rsidRPr="00A91DBF">
          <w:rPr>
            <w:rFonts w:ascii="Arial" w:hAnsi="Arial" w:cs="Arial"/>
            <w:b/>
            <w:bCs/>
          </w:rPr>
          <w:fldChar w:fldCharType="separate"/>
        </w:r>
        <w:r w:rsidRPr="00A91DBF">
          <w:rPr>
            <w:rFonts w:ascii="Arial" w:hAnsi="Arial" w:cs="Arial"/>
            <w:b/>
            <w:bCs/>
            <w:lang w:val="zh-CN"/>
          </w:rPr>
          <w:t>2</w:t>
        </w:r>
        <w:r w:rsidRPr="00A91DBF">
          <w:rPr>
            <w:rFonts w:ascii="Arial" w:hAnsi="Arial" w:cs="Arial"/>
            <w:b/>
            <w:bCs/>
          </w:rPr>
          <w:fldChar w:fldCharType="end"/>
        </w:r>
      </w:p>
    </w:sdtContent>
  </w:sdt>
  <w:p w14:paraId="03515724" w14:textId="77777777" w:rsidR="00A91DBF" w:rsidRDefault="00A91DBF">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F1A576" w14:textId="77777777" w:rsidR="00EC5B53" w:rsidRDefault="00EC5B53" w:rsidP="00E9053D">
      <w:pPr>
        <w:spacing w:after="0" w:line="240" w:lineRule="auto"/>
      </w:pPr>
      <w:r>
        <w:separator/>
      </w:r>
    </w:p>
  </w:footnote>
  <w:footnote w:type="continuationSeparator" w:id="0">
    <w:p w14:paraId="3505B7DF" w14:textId="77777777" w:rsidR="00EC5B53" w:rsidRDefault="00EC5B53" w:rsidP="00E9053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F75A18"/>
    <w:multiLevelType w:val="hybridMultilevel"/>
    <w:tmpl w:val="0F8252D8"/>
    <w:lvl w:ilvl="0" w:tplc="82BCE064">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1F2C77"/>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2" w15:restartNumberingAfterBreak="0">
    <w:nsid w:val="51377CED"/>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3" w15:restartNumberingAfterBreak="0">
    <w:nsid w:val="69AB230E"/>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rY0M7A0tDA1MDQ2MDVV0lEKTi0uzszPAykwrgUAvHohGCwAAAA="/>
  </w:docVars>
  <w:rsids>
    <w:rsidRoot w:val="003F6CDD"/>
    <w:rsid w:val="00002C36"/>
    <w:rsid w:val="00003F1B"/>
    <w:rsid w:val="00020412"/>
    <w:rsid w:val="0002683E"/>
    <w:rsid w:val="000307B9"/>
    <w:rsid w:val="000367F0"/>
    <w:rsid w:val="00041D48"/>
    <w:rsid w:val="00042183"/>
    <w:rsid w:val="00046C68"/>
    <w:rsid w:val="000502A5"/>
    <w:rsid w:val="00051CD1"/>
    <w:rsid w:val="00066B8D"/>
    <w:rsid w:val="000720E8"/>
    <w:rsid w:val="000768C5"/>
    <w:rsid w:val="00087106"/>
    <w:rsid w:val="000871F1"/>
    <w:rsid w:val="000915C7"/>
    <w:rsid w:val="000A69A8"/>
    <w:rsid w:val="000B4324"/>
    <w:rsid w:val="000C1F61"/>
    <w:rsid w:val="000D258D"/>
    <w:rsid w:val="000E4569"/>
    <w:rsid w:val="000E5432"/>
    <w:rsid w:val="000F68FF"/>
    <w:rsid w:val="000F6B3E"/>
    <w:rsid w:val="00103ACA"/>
    <w:rsid w:val="001155FD"/>
    <w:rsid w:val="001168F0"/>
    <w:rsid w:val="00116B85"/>
    <w:rsid w:val="00120ED5"/>
    <w:rsid w:val="00122B85"/>
    <w:rsid w:val="001328B1"/>
    <w:rsid w:val="001445A5"/>
    <w:rsid w:val="0014460C"/>
    <w:rsid w:val="00145167"/>
    <w:rsid w:val="00145D5F"/>
    <w:rsid w:val="001637C0"/>
    <w:rsid w:val="00164A11"/>
    <w:rsid w:val="00173598"/>
    <w:rsid w:val="0018331C"/>
    <w:rsid w:val="0019276C"/>
    <w:rsid w:val="00192A9D"/>
    <w:rsid w:val="001974A3"/>
    <w:rsid w:val="001A187E"/>
    <w:rsid w:val="001C2ACB"/>
    <w:rsid w:val="001C5D7A"/>
    <w:rsid w:val="00201909"/>
    <w:rsid w:val="002066A6"/>
    <w:rsid w:val="00222F25"/>
    <w:rsid w:val="00242C74"/>
    <w:rsid w:val="00242D8D"/>
    <w:rsid w:val="002558D5"/>
    <w:rsid w:val="00256E89"/>
    <w:rsid w:val="00260F49"/>
    <w:rsid w:val="002666B5"/>
    <w:rsid w:val="00280F05"/>
    <w:rsid w:val="00281E37"/>
    <w:rsid w:val="00283ACA"/>
    <w:rsid w:val="002846FA"/>
    <w:rsid w:val="002B0067"/>
    <w:rsid w:val="002B3FE1"/>
    <w:rsid w:val="002D7F42"/>
    <w:rsid w:val="002F2F0A"/>
    <w:rsid w:val="002F6946"/>
    <w:rsid w:val="00300593"/>
    <w:rsid w:val="00312662"/>
    <w:rsid w:val="00312AE9"/>
    <w:rsid w:val="00314377"/>
    <w:rsid w:val="0031600C"/>
    <w:rsid w:val="003225CA"/>
    <w:rsid w:val="00323967"/>
    <w:rsid w:val="0032623F"/>
    <w:rsid w:val="00337225"/>
    <w:rsid w:val="00344722"/>
    <w:rsid w:val="003503C9"/>
    <w:rsid w:val="003542AC"/>
    <w:rsid w:val="00356047"/>
    <w:rsid w:val="003560AB"/>
    <w:rsid w:val="003575AB"/>
    <w:rsid w:val="00367032"/>
    <w:rsid w:val="00374F1C"/>
    <w:rsid w:val="00382FA1"/>
    <w:rsid w:val="00395124"/>
    <w:rsid w:val="003B220B"/>
    <w:rsid w:val="003C20B0"/>
    <w:rsid w:val="003C2869"/>
    <w:rsid w:val="003C72D4"/>
    <w:rsid w:val="003D184D"/>
    <w:rsid w:val="003D4A27"/>
    <w:rsid w:val="003D7580"/>
    <w:rsid w:val="003E0E13"/>
    <w:rsid w:val="003E1F4F"/>
    <w:rsid w:val="003F2907"/>
    <w:rsid w:val="003F30CF"/>
    <w:rsid w:val="003F416A"/>
    <w:rsid w:val="003F4B6E"/>
    <w:rsid w:val="003F6CDD"/>
    <w:rsid w:val="003F7E15"/>
    <w:rsid w:val="00401B21"/>
    <w:rsid w:val="0041001E"/>
    <w:rsid w:val="0041376E"/>
    <w:rsid w:val="0041603A"/>
    <w:rsid w:val="00416642"/>
    <w:rsid w:val="00417A60"/>
    <w:rsid w:val="004251B0"/>
    <w:rsid w:val="00432CD5"/>
    <w:rsid w:val="00455128"/>
    <w:rsid w:val="0045719E"/>
    <w:rsid w:val="0046035E"/>
    <w:rsid w:val="00473E66"/>
    <w:rsid w:val="00477AF6"/>
    <w:rsid w:val="004872D4"/>
    <w:rsid w:val="00490BF2"/>
    <w:rsid w:val="004B5D0A"/>
    <w:rsid w:val="004B73BA"/>
    <w:rsid w:val="004D32DE"/>
    <w:rsid w:val="004D48FC"/>
    <w:rsid w:val="004E4354"/>
    <w:rsid w:val="004E5838"/>
    <w:rsid w:val="00502AE0"/>
    <w:rsid w:val="00530DCF"/>
    <w:rsid w:val="00541141"/>
    <w:rsid w:val="005419E4"/>
    <w:rsid w:val="005600CE"/>
    <w:rsid w:val="005637D5"/>
    <w:rsid w:val="0058259C"/>
    <w:rsid w:val="00584084"/>
    <w:rsid w:val="005854FC"/>
    <w:rsid w:val="00594381"/>
    <w:rsid w:val="005A35BF"/>
    <w:rsid w:val="005A60F3"/>
    <w:rsid w:val="005C4710"/>
    <w:rsid w:val="005C649E"/>
    <w:rsid w:val="005E5F82"/>
    <w:rsid w:val="005F71F5"/>
    <w:rsid w:val="006000D6"/>
    <w:rsid w:val="00610496"/>
    <w:rsid w:val="006158E0"/>
    <w:rsid w:val="006210A4"/>
    <w:rsid w:val="00624416"/>
    <w:rsid w:val="006268E9"/>
    <w:rsid w:val="00627E57"/>
    <w:rsid w:val="006355F9"/>
    <w:rsid w:val="00644476"/>
    <w:rsid w:val="006446A3"/>
    <w:rsid w:val="00644D3F"/>
    <w:rsid w:val="006764C5"/>
    <w:rsid w:val="00693948"/>
    <w:rsid w:val="0069420D"/>
    <w:rsid w:val="00697FB5"/>
    <w:rsid w:val="006C1E3C"/>
    <w:rsid w:val="006C7DBF"/>
    <w:rsid w:val="006D0CAC"/>
    <w:rsid w:val="006E5597"/>
    <w:rsid w:val="006E7A7A"/>
    <w:rsid w:val="006F7847"/>
    <w:rsid w:val="0072480C"/>
    <w:rsid w:val="0074138B"/>
    <w:rsid w:val="00744782"/>
    <w:rsid w:val="00745874"/>
    <w:rsid w:val="00753B5D"/>
    <w:rsid w:val="007609FC"/>
    <w:rsid w:val="00764087"/>
    <w:rsid w:val="00766904"/>
    <w:rsid w:val="0076741F"/>
    <w:rsid w:val="00775C74"/>
    <w:rsid w:val="0078000D"/>
    <w:rsid w:val="00782B75"/>
    <w:rsid w:val="007846F5"/>
    <w:rsid w:val="0078647A"/>
    <w:rsid w:val="0079235C"/>
    <w:rsid w:val="00795386"/>
    <w:rsid w:val="007C055B"/>
    <w:rsid w:val="007C0CAC"/>
    <w:rsid w:val="007E4F06"/>
    <w:rsid w:val="007F2B7B"/>
    <w:rsid w:val="007F6D02"/>
    <w:rsid w:val="0080216E"/>
    <w:rsid w:val="00804D55"/>
    <w:rsid w:val="008111A3"/>
    <w:rsid w:val="00821530"/>
    <w:rsid w:val="00830BFE"/>
    <w:rsid w:val="00836B58"/>
    <w:rsid w:val="00837F96"/>
    <w:rsid w:val="00851AAA"/>
    <w:rsid w:val="00856A25"/>
    <w:rsid w:val="00861BA8"/>
    <w:rsid w:val="00866DA2"/>
    <w:rsid w:val="00867FB4"/>
    <w:rsid w:val="00870F1C"/>
    <w:rsid w:val="00881A3D"/>
    <w:rsid w:val="00881BC3"/>
    <w:rsid w:val="00883984"/>
    <w:rsid w:val="00885909"/>
    <w:rsid w:val="0088590C"/>
    <w:rsid w:val="00890E43"/>
    <w:rsid w:val="0089381B"/>
    <w:rsid w:val="00895ECB"/>
    <w:rsid w:val="008969F0"/>
    <w:rsid w:val="008A3BA4"/>
    <w:rsid w:val="008B126F"/>
    <w:rsid w:val="008B6733"/>
    <w:rsid w:val="008D4866"/>
    <w:rsid w:val="008D6791"/>
    <w:rsid w:val="008D7848"/>
    <w:rsid w:val="008E1894"/>
    <w:rsid w:val="008F62E5"/>
    <w:rsid w:val="008F7566"/>
    <w:rsid w:val="009000D0"/>
    <w:rsid w:val="00900916"/>
    <w:rsid w:val="00906251"/>
    <w:rsid w:val="00907A8E"/>
    <w:rsid w:val="0091531A"/>
    <w:rsid w:val="009313F7"/>
    <w:rsid w:val="00946102"/>
    <w:rsid w:val="00947CD7"/>
    <w:rsid w:val="00955095"/>
    <w:rsid w:val="00962D0C"/>
    <w:rsid w:val="009662AD"/>
    <w:rsid w:val="0097404E"/>
    <w:rsid w:val="0098096C"/>
    <w:rsid w:val="00986434"/>
    <w:rsid w:val="0099332D"/>
    <w:rsid w:val="009A1064"/>
    <w:rsid w:val="009B0D4A"/>
    <w:rsid w:val="009C2A74"/>
    <w:rsid w:val="009C5D0E"/>
    <w:rsid w:val="009E3C29"/>
    <w:rsid w:val="00A10317"/>
    <w:rsid w:val="00A155EB"/>
    <w:rsid w:val="00A175EA"/>
    <w:rsid w:val="00A27ACE"/>
    <w:rsid w:val="00A30EF7"/>
    <w:rsid w:val="00A36CFC"/>
    <w:rsid w:val="00A416CF"/>
    <w:rsid w:val="00A42BE0"/>
    <w:rsid w:val="00A507CB"/>
    <w:rsid w:val="00A52F17"/>
    <w:rsid w:val="00A673C2"/>
    <w:rsid w:val="00A737AC"/>
    <w:rsid w:val="00A762F7"/>
    <w:rsid w:val="00A8149D"/>
    <w:rsid w:val="00A91DBF"/>
    <w:rsid w:val="00AA5F77"/>
    <w:rsid w:val="00AC794D"/>
    <w:rsid w:val="00AD0B1F"/>
    <w:rsid w:val="00AD5D6C"/>
    <w:rsid w:val="00AE67C3"/>
    <w:rsid w:val="00AE7C34"/>
    <w:rsid w:val="00AF50B8"/>
    <w:rsid w:val="00B14A79"/>
    <w:rsid w:val="00B16C07"/>
    <w:rsid w:val="00B3420A"/>
    <w:rsid w:val="00B353D5"/>
    <w:rsid w:val="00B47F7C"/>
    <w:rsid w:val="00B50A5F"/>
    <w:rsid w:val="00B665BA"/>
    <w:rsid w:val="00B7102F"/>
    <w:rsid w:val="00B7670E"/>
    <w:rsid w:val="00B76865"/>
    <w:rsid w:val="00B87D75"/>
    <w:rsid w:val="00B918CE"/>
    <w:rsid w:val="00BA147A"/>
    <w:rsid w:val="00BB1034"/>
    <w:rsid w:val="00BB1FB3"/>
    <w:rsid w:val="00BB45BB"/>
    <w:rsid w:val="00BC046F"/>
    <w:rsid w:val="00BD6D86"/>
    <w:rsid w:val="00BE54EE"/>
    <w:rsid w:val="00BE57B7"/>
    <w:rsid w:val="00BE6096"/>
    <w:rsid w:val="00BF38E9"/>
    <w:rsid w:val="00C00367"/>
    <w:rsid w:val="00C07334"/>
    <w:rsid w:val="00C16E9A"/>
    <w:rsid w:val="00C37ABB"/>
    <w:rsid w:val="00C41848"/>
    <w:rsid w:val="00C6245A"/>
    <w:rsid w:val="00C638B7"/>
    <w:rsid w:val="00C82310"/>
    <w:rsid w:val="00C94BFD"/>
    <w:rsid w:val="00C96F70"/>
    <w:rsid w:val="00CA027B"/>
    <w:rsid w:val="00CA0EAD"/>
    <w:rsid w:val="00CA5F1E"/>
    <w:rsid w:val="00CC04E0"/>
    <w:rsid w:val="00CC0825"/>
    <w:rsid w:val="00CC0EE2"/>
    <w:rsid w:val="00CC3CAA"/>
    <w:rsid w:val="00CC64FC"/>
    <w:rsid w:val="00CC74B1"/>
    <w:rsid w:val="00CD20D9"/>
    <w:rsid w:val="00CE0B11"/>
    <w:rsid w:val="00CE0CE5"/>
    <w:rsid w:val="00D0529F"/>
    <w:rsid w:val="00D161CA"/>
    <w:rsid w:val="00D175FC"/>
    <w:rsid w:val="00D27F3E"/>
    <w:rsid w:val="00D30179"/>
    <w:rsid w:val="00D356D6"/>
    <w:rsid w:val="00D506B6"/>
    <w:rsid w:val="00D67616"/>
    <w:rsid w:val="00D72063"/>
    <w:rsid w:val="00D74DA1"/>
    <w:rsid w:val="00D85762"/>
    <w:rsid w:val="00D85F5D"/>
    <w:rsid w:val="00D96842"/>
    <w:rsid w:val="00D96921"/>
    <w:rsid w:val="00DA0F2F"/>
    <w:rsid w:val="00DB617D"/>
    <w:rsid w:val="00DC22E8"/>
    <w:rsid w:val="00DC613D"/>
    <w:rsid w:val="00DD0B51"/>
    <w:rsid w:val="00DD32D2"/>
    <w:rsid w:val="00DE3E48"/>
    <w:rsid w:val="00E0274F"/>
    <w:rsid w:val="00E0549B"/>
    <w:rsid w:val="00E17C24"/>
    <w:rsid w:val="00E235C8"/>
    <w:rsid w:val="00E478BB"/>
    <w:rsid w:val="00E54277"/>
    <w:rsid w:val="00E63404"/>
    <w:rsid w:val="00E64123"/>
    <w:rsid w:val="00E67165"/>
    <w:rsid w:val="00E703FF"/>
    <w:rsid w:val="00E727C6"/>
    <w:rsid w:val="00E9053D"/>
    <w:rsid w:val="00EB6CBC"/>
    <w:rsid w:val="00EC27F9"/>
    <w:rsid w:val="00EC5B53"/>
    <w:rsid w:val="00ED4A84"/>
    <w:rsid w:val="00ED615C"/>
    <w:rsid w:val="00EE32BD"/>
    <w:rsid w:val="00EE4026"/>
    <w:rsid w:val="00EE5E18"/>
    <w:rsid w:val="00EF0676"/>
    <w:rsid w:val="00F02149"/>
    <w:rsid w:val="00F02E7C"/>
    <w:rsid w:val="00F13440"/>
    <w:rsid w:val="00F15276"/>
    <w:rsid w:val="00F4449C"/>
    <w:rsid w:val="00F650F7"/>
    <w:rsid w:val="00F7176B"/>
    <w:rsid w:val="00F8032E"/>
    <w:rsid w:val="00F81072"/>
    <w:rsid w:val="00F83B84"/>
    <w:rsid w:val="00F87956"/>
    <w:rsid w:val="00FA306E"/>
    <w:rsid w:val="00FA31E7"/>
    <w:rsid w:val="00FA4856"/>
    <w:rsid w:val="00FA7D0E"/>
    <w:rsid w:val="00FC65C8"/>
    <w:rsid w:val="00FC6813"/>
    <w:rsid w:val="00FD60B0"/>
    <w:rsid w:val="00FE3FD9"/>
    <w:rsid w:val="00FE536C"/>
    <w:rsid w:val="00FE5F5B"/>
    <w:rsid w:val="00FF5E2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707DE0"/>
  <w15:chartTrackingRefBased/>
  <w15:docId w15:val="{D6B34876-9CD3-4064-89EC-0CE711766E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6F7847"/>
    <w:pPr>
      <w:keepNext/>
      <w:keepLines/>
      <w:spacing w:before="240" w:after="0"/>
      <w:outlineLvl w:val="0"/>
    </w:pPr>
    <w:rPr>
      <w:rFonts w:asciiTheme="majorHAnsi" w:eastAsiaTheme="majorEastAsia" w:hAnsiTheme="majorHAnsi" w:cstheme="majorBidi"/>
      <w:color w:val="1B5B77"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9053D"/>
    <w:pPr>
      <w:tabs>
        <w:tab w:val="center" w:pos="4513"/>
        <w:tab w:val="right" w:pos="9026"/>
      </w:tabs>
      <w:spacing w:after="0" w:line="240" w:lineRule="auto"/>
    </w:pPr>
  </w:style>
  <w:style w:type="character" w:customStyle="1" w:styleId="a4">
    <w:name w:val="页眉 字符"/>
    <w:basedOn w:val="a0"/>
    <w:link w:val="a3"/>
    <w:uiPriority w:val="99"/>
    <w:rsid w:val="00E9053D"/>
  </w:style>
  <w:style w:type="paragraph" w:styleId="a5">
    <w:name w:val="footer"/>
    <w:basedOn w:val="a"/>
    <w:link w:val="a6"/>
    <w:uiPriority w:val="99"/>
    <w:unhideWhenUsed/>
    <w:rsid w:val="00E9053D"/>
    <w:pPr>
      <w:tabs>
        <w:tab w:val="center" w:pos="4513"/>
        <w:tab w:val="right" w:pos="9026"/>
      </w:tabs>
      <w:spacing w:after="0" w:line="240" w:lineRule="auto"/>
    </w:pPr>
  </w:style>
  <w:style w:type="character" w:customStyle="1" w:styleId="a6">
    <w:name w:val="页脚 字符"/>
    <w:basedOn w:val="a0"/>
    <w:link w:val="a5"/>
    <w:uiPriority w:val="99"/>
    <w:rsid w:val="00E9053D"/>
  </w:style>
  <w:style w:type="paragraph" w:styleId="a7">
    <w:name w:val="List Paragraph"/>
    <w:basedOn w:val="a"/>
    <w:uiPriority w:val="34"/>
    <w:qFormat/>
    <w:rsid w:val="00A507CB"/>
    <w:pPr>
      <w:ind w:left="720"/>
      <w:contextualSpacing/>
    </w:pPr>
  </w:style>
  <w:style w:type="paragraph" w:styleId="a8">
    <w:name w:val="caption"/>
    <w:basedOn w:val="a"/>
    <w:next w:val="a"/>
    <w:uiPriority w:val="35"/>
    <w:unhideWhenUsed/>
    <w:qFormat/>
    <w:rsid w:val="004E5838"/>
    <w:pPr>
      <w:spacing w:after="200" w:line="240" w:lineRule="auto"/>
    </w:pPr>
    <w:rPr>
      <w:i/>
      <w:iCs/>
      <w:color w:val="323232" w:themeColor="text2"/>
      <w:sz w:val="18"/>
      <w:szCs w:val="18"/>
    </w:rPr>
  </w:style>
  <w:style w:type="character" w:customStyle="1" w:styleId="10">
    <w:name w:val="标题 1 字符"/>
    <w:basedOn w:val="a0"/>
    <w:link w:val="1"/>
    <w:uiPriority w:val="9"/>
    <w:rsid w:val="006F7847"/>
    <w:rPr>
      <w:rFonts w:asciiTheme="majorHAnsi" w:eastAsiaTheme="majorEastAsia" w:hAnsiTheme="majorHAnsi" w:cstheme="majorBidi"/>
      <w:color w:val="1B5B77" w:themeColor="accent1" w:themeShade="BF"/>
      <w:sz w:val="32"/>
      <w:szCs w:val="32"/>
    </w:rPr>
  </w:style>
  <w:style w:type="paragraph" w:styleId="TOC">
    <w:name w:val="TOC Heading"/>
    <w:basedOn w:val="1"/>
    <w:next w:val="a"/>
    <w:uiPriority w:val="39"/>
    <w:unhideWhenUsed/>
    <w:qFormat/>
    <w:rsid w:val="006F7847"/>
    <w:pPr>
      <w:widowControl/>
      <w:jc w:val="left"/>
      <w:outlineLvl w:val="9"/>
    </w:pPr>
  </w:style>
  <w:style w:type="paragraph" w:styleId="TOC1">
    <w:name w:val="toc 1"/>
    <w:basedOn w:val="a"/>
    <w:next w:val="a"/>
    <w:autoRedefine/>
    <w:uiPriority w:val="39"/>
    <w:unhideWhenUsed/>
    <w:rsid w:val="006F7847"/>
    <w:pPr>
      <w:spacing w:after="100"/>
    </w:pPr>
  </w:style>
  <w:style w:type="paragraph" w:styleId="TOC2">
    <w:name w:val="toc 2"/>
    <w:basedOn w:val="a"/>
    <w:next w:val="a"/>
    <w:autoRedefine/>
    <w:uiPriority w:val="39"/>
    <w:unhideWhenUsed/>
    <w:rsid w:val="006F7847"/>
    <w:pPr>
      <w:spacing w:after="100"/>
      <w:ind w:left="220"/>
    </w:pPr>
  </w:style>
  <w:style w:type="paragraph" w:styleId="TOC3">
    <w:name w:val="toc 3"/>
    <w:basedOn w:val="a"/>
    <w:next w:val="a"/>
    <w:autoRedefine/>
    <w:uiPriority w:val="39"/>
    <w:unhideWhenUsed/>
    <w:rsid w:val="006F7847"/>
    <w:pPr>
      <w:spacing w:after="100"/>
      <w:ind w:left="440"/>
    </w:pPr>
  </w:style>
  <w:style w:type="character" w:styleId="a9">
    <w:name w:val="Hyperlink"/>
    <w:basedOn w:val="a0"/>
    <w:uiPriority w:val="99"/>
    <w:unhideWhenUsed/>
    <w:rsid w:val="006F7847"/>
    <w:rPr>
      <w:color w:val="247BA0"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ti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ti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tiff"/><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tiff"/><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tif"/></Relationships>
</file>

<file path=word/theme/theme1.xml><?xml version="1.0" encoding="utf-8"?>
<a:theme xmlns:a="http://schemas.openxmlformats.org/drawingml/2006/main" name="Office 主题​​">
  <a:themeElements>
    <a:clrScheme name="Slidehelper - 001">
      <a:dk1>
        <a:sysClr val="windowText" lastClr="000000"/>
      </a:dk1>
      <a:lt1>
        <a:sysClr val="window" lastClr="FFFFFF"/>
      </a:lt1>
      <a:dk2>
        <a:srgbClr val="323232"/>
      </a:dk2>
      <a:lt2>
        <a:srgbClr val="E3DED1"/>
      </a:lt2>
      <a:accent1>
        <a:srgbClr val="247BA0"/>
      </a:accent1>
      <a:accent2>
        <a:srgbClr val="70C1B3"/>
      </a:accent2>
      <a:accent3>
        <a:srgbClr val="B2DBBF"/>
      </a:accent3>
      <a:accent4>
        <a:srgbClr val="F3FFBD"/>
      </a:accent4>
      <a:accent5>
        <a:srgbClr val="FF1654"/>
      </a:accent5>
      <a:accent6>
        <a:srgbClr val="BFBFBF"/>
      </a:accent6>
      <a:hlink>
        <a:srgbClr val="247BA0"/>
      </a:hlink>
      <a:folHlink>
        <a:srgbClr val="70C1B3"/>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5A9F6C-5228-44D5-B956-3728B30B23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22</Pages>
  <Words>15208</Words>
  <Characters>86687</Characters>
  <Application>Microsoft Office Word</Application>
  <DocSecurity>0</DocSecurity>
  <Lines>722</Lines>
  <Paragraphs>203</Paragraphs>
  <ScaleCrop>false</ScaleCrop>
  <Company/>
  <LinksUpToDate>false</LinksUpToDate>
  <CharactersWithSpaces>101692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JPY JPY</dc:creator>
  <cp:keywords/>
  <dc:description/>
  <cp:lastModifiedBy>大谦 黎</cp:lastModifiedBy>
  <cp:revision>5</cp:revision>
  <dcterms:created xsi:type="dcterms:W3CDTF">2020-05-15T06:36:00Z</dcterms:created>
  <dcterms:modified xsi:type="dcterms:W3CDTF">2020-05-15T12:52:00Z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072aee80-d7c5-3866-b96b-d829895a52cf</vt:lpwstr>
  </property>
  <property fmtid="{D5CDD505-2E9C-101B-9397-08002B2CF9AE}" pid="4" name="Mendeley Citation Style_1">
    <vt:lpwstr>http://www.zotero.org/styles/harvard-cite-them-right</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http://www.zotero.org/styles/apa-6th-edition</vt:lpwstr>
  </property>
  <property fmtid="{D5CDD505-2E9C-101B-9397-08002B2CF9AE}" pid="8" name="Mendeley Recent Style Name 1_1">
    <vt:lpwstr>American Psychological Association 6th edition</vt:lpwstr>
  </property>
  <property fmtid="{D5CDD505-2E9C-101B-9397-08002B2CF9AE}" pid="9" name="Mendeley Recent Style Id 2_1">
    <vt:lpwstr>http://www.zotero.org/styles/american-sociological-association</vt:lpwstr>
  </property>
  <property fmtid="{D5CDD505-2E9C-101B-9397-08002B2CF9AE}" pid="10" name="Mendeley Recent Style Name 2_1">
    <vt:lpwstr>American Sociological Association</vt:lpwstr>
  </property>
  <property fmtid="{D5CDD505-2E9C-101B-9397-08002B2CF9AE}" pid="11" name="Mendeley Recent Style Id 3_1">
    <vt:lpwstr>http://www.zotero.org/styles/chicago-author-date</vt:lpwstr>
  </property>
  <property fmtid="{D5CDD505-2E9C-101B-9397-08002B2CF9AE}" pid="12" name="Mendeley Recent Style Name 3_1">
    <vt:lpwstr>Chicago Manual of Style 17th edition (author-date)</vt:lpwstr>
  </property>
  <property fmtid="{D5CDD505-2E9C-101B-9397-08002B2CF9AE}" pid="13" name="Mendeley Recent Style Id 4_1">
    <vt:lpwstr>http://www.zotero.org/styles/chinese-gb7714-2005-author-date</vt:lpwstr>
  </property>
  <property fmtid="{D5CDD505-2E9C-101B-9397-08002B2CF9AE}" pid="14" name="Mendeley Recent Style Name 4_1">
    <vt:lpwstr>China National Standard GB/T 7714-2005 (author-date, Chinese)</vt:lpwstr>
  </property>
  <property fmtid="{D5CDD505-2E9C-101B-9397-08002B2CF9AE}" pid="15" name="Mendeley Recent Style Id 5_1">
    <vt:lpwstr>http://www.zotero.org/styles/chinese-gb7714-2005-numeric</vt:lpwstr>
  </property>
  <property fmtid="{D5CDD505-2E9C-101B-9397-08002B2CF9AE}" pid="16" name="Mendeley Recent Style Name 5_1">
    <vt:lpwstr>China National Standard GB/T 7714-2005 (numeric, Chinese)</vt:lpwstr>
  </property>
  <property fmtid="{D5CDD505-2E9C-101B-9397-08002B2CF9AE}" pid="17" name="Mendeley Recent Style Id 6_1">
    <vt:lpwstr>http://www.zotero.org/styles/china-national-standard-gb-t-7714-2015-numeric</vt:lpwstr>
  </property>
  <property fmtid="{D5CDD505-2E9C-101B-9397-08002B2CF9AE}" pid="18" name="Mendeley Recent Style Name 6_1">
    <vt:lpwstr>China National Standard GB/T 7714-2015 (numeric, Chinese)</vt:lpwstr>
  </property>
  <property fmtid="{D5CDD505-2E9C-101B-9397-08002B2CF9AE}" pid="19" name="Mendeley Recent Style Id 7_1">
    <vt:lpwstr>http://www.zotero.org/styles/harvard-cite-them-right</vt:lpwstr>
  </property>
  <property fmtid="{D5CDD505-2E9C-101B-9397-08002B2CF9AE}" pid="20" name="Mendeley Recent Style Name 7_1">
    <vt:lpwstr>Cite Them Right 10th edition - Harvard</vt:lpwstr>
  </property>
  <property fmtid="{D5CDD505-2E9C-101B-9397-08002B2CF9AE}" pid="21" name="Mendeley Recent Style Id 8_1">
    <vt:lpwstr>http://www.zotero.org/styles/harvard-cite-them-right-no-et-al</vt:lpwstr>
  </property>
  <property fmtid="{D5CDD505-2E9C-101B-9397-08002B2CF9AE}" pid="22" name="Mendeley Recent Style Name 8_1">
    <vt:lpwstr>Cite Them Right 10th edition - Harvard (no "et al.")</vt:lpwstr>
  </property>
  <property fmtid="{D5CDD505-2E9C-101B-9397-08002B2CF9AE}" pid="23" name="Mendeley Recent Style Id 9_1">
    <vt:lpwstr>http://www.zotero.org/styles/harvard1</vt:lpwstr>
  </property>
  <property fmtid="{D5CDD505-2E9C-101B-9397-08002B2CF9AE}" pid="24" name="Mendeley Recent Style Name 9_1">
    <vt:lpwstr>Harvard reference format 1 (deprecated)</vt:lpwstr>
  </property>
</Properties>
</file>