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2CB35B8"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F65169">
        <w:rPr>
          <w:rFonts w:asciiTheme="minorBidi" w:hAnsiTheme="minorBidi"/>
          <w:sz w:val="28"/>
          <w:szCs w:val="28"/>
        </w:rPr>
        <w:t>Rabeya Payel</w:t>
      </w:r>
    </w:p>
    <w:p w14:paraId="485B6F49" w14:textId="104733BC"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65169">
        <w:rPr>
          <w:rFonts w:asciiTheme="minorBidi" w:hAnsiTheme="minorBidi"/>
          <w:sz w:val="28"/>
          <w:szCs w:val="28"/>
        </w:rPr>
        <w:t>2513891</w:t>
      </w:r>
    </w:p>
    <w:p w14:paraId="3C1E7A20" w14:textId="498C6C0F" w:rsidR="00ED5964" w:rsidRPr="006A37F7" w:rsidRDefault="00ED5964" w:rsidP="006A37F7">
      <w:pPr>
        <w:rPr>
          <w:rFonts w:ascii="Arial" w:hAnsi="Arial" w:cs="Arial"/>
          <w:sz w:val="28"/>
          <w:szCs w:val="28"/>
        </w:rPr>
      </w:pPr>
      <w:r>
        <w:rPr>
          <w:rFonts w:asciiTheme="minorBidi" w:hAnsiTheme="minorBidi"/>
          <w:sz w:val="28"/>
          <w:szCs w:val="28"/>
        </w:rPr>
        <w:t>Module Code:</w:t>
      </w:r>
      <w:r w:rsidR="006A37F7" w:rsidRPr="006A37F7">
        <w:rPr>
          <w:rFonts w:ascii="Arial" w:hAnsi="Arial" w:cs="Arial"/>
          <w:sz w:val="28"/>
          <w:szCs w:val="28"/>
        </w:rPr>
        <w:t>(LCHS4001_LON)</w:t>
      </w:r>
    </w:p>
    <w:p w14:paraId="4EEB2DA3" w14:textId="2DA8DF8A" w:rsidR="00ED5964" w:rsidRPr="006A37F7" w:rsidRDefault="00ED5964" w:rsidP="006A37F7">
      <w:pPr>
        <w:rPr>
          <w:rFonts w:ascii="Arial" w:hAnsi="Arial" w:cs="Arial"/>
          <w:sz w:val="28"/>
          <w:szCs w:val="28"/>
        </w:rPr>
      </w:pPr>
      <w:r>
        <w:rPr>
          <w:rFonts w:asciiTheme="minorBidi" w:hAnsiTheme="minorBidi"/>
          <w:sz w:val="28"/>
          <w:szCs w:val="28"/>
        </w:rPr>
        <w:t xml:space="preserve">Module: </w:t>
      </w:r>
      <w:r w:rsidR="006A37F7" w:rsidRPr="006A37F7">
        <w:rPr>
          <w:rFonts w:ascii="Arial" w:hAnsi="Arial" w:cs="Arial"/>
          <w:sz w:val="28"/>
          <w:szCs w:val="28"/>
        </w:rPr>
        <w:t xml:space="preserve">Academic and Employability Skills </w:t>
      </w:r>
    </w:p>
    <w:p w14:paraId="112342CB" w14:textId="7EB7664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6A37F7">
        <w:rPr>
          <w:rFonts w:asciiTheme="minorBidi" w:hAnsiTheme="minorBidi"/>
          <w:sz w:val="28"/>
          <w:szCs w:val="28"/>
        </w:rPr>
        <w:t>ARIF AHMED</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6FB09D24"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6A37F7">
        <w:rPr>
          <w:rFonts w:asciiTheme="minorBidi" w:hAnsiTheme="minorBidi"/>
          <w:sz w:val="28"/>
          <w:szCs w:val="28"/>
        </w:rPr>
        <w:t>19</w:t>
      </w:r>
      <w:r w:rsidR="006A37F7" w:rsidRPr="006A37F7">
        <w:rPr>
          <w:rFonts w:asciiTheme="minorBidi" w:hAnsiTheme="minorBidi"/>
          <w:sz w:val="28"/>
          <w:szCs w:val="28"/>
          <w:vertAlign w:val="superscript"/>
        </w:rPr>
        <w:t>th</w:t>
      </w:r>
      <w:r w:rsidR="006A37F7">
        <w:rPr>
          <w:rFonts w:asciiTheme="minorBidi" w:hAnsiTheme="minorBidi"/>
          <w:sz w:val="28"/>
          <w:szCs w:val="28"/>
        </w:rPr>
        <w:t xml:space="preserve"> December 2025</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6E1881C8" w14:textId="55EAB7F1" w:rsidR="00EB64AB" w:rsidRDefault="0156E134">
          <w:pPr>
            <w:pStyle w:val="TOC2"/>
            <w:tabs>
              <w:tab w:val="left" w:pos="880"/>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16996646" w:history="1">
            <w:r w:rsidR="00EB64AB" w:rsidRPr="00935F43">
              <w:rPr>
                <w:rStyle w:val="Hyperlink"/>
                <w:noProof/>
              </w:rPr>
              <w:t>1.1</w:t>
            </w:r>
            <w:r w:rsidR="00EB64AB">
              <w:rPr>
                <w:rFonts w:asciiTheme="minorHAnsi" w:hAnsiTheme="minorHAnsi" w:cstheme="minorBidi"/>
                <w:b w:val="0"/>
                <w:bCs w:val="0"/>
                <w:noProof/>
                <w:sz w:val="24"/>
                <w:szCs w:val="24"/>
                <w:lang w:eastAsia="en-GB"/>
              </w:rPr>
              <w:tab/>
            </w:r>
            <w:r w:rsidR="00EB64AB" w:rsidRPr="00935F43">
              <w:rPr>
                <w:rStyle w:val="Hyperlink"/>
                <w:noProof/>
              </w:rPr>
              <w:t>Introd</w:t>
            </w:r>
            <w:r w:rsidR="00EB64AB" w:rsidRPr="00935F43">
              <w:rPr>
                <w:rStyle w:val="Hyperlink"/>
                <w:noProof/>
              </w:rPr>
              <w:t>u</w:t>
            </w:r>
            <w:r w:rsidR="00EB64AB" w:rsidRPr="00935F43">
              <w:rPr>
                <w:rStyle w:val="Hyperlink"/>
                <w:noProof/>
              </w:rPr>
              <w:t>ction</w:t>
            </w:r>
            <w:r w:rsidR="00EB64AB">
              <w:rPr>
                <w:noProof/>
                <w:webHidden/>
              </w:rPr>
              <w:tab/>
            </w:r>
            <w:r w:rsidR="00EB64AB">
              <w:rPr>
                <w:noProof/>
                <w:webHidden/>
              </w:rPr>
              <w:fldChar w:fldCharType="begin"/>
            </w:r>
            <w:r w:rsidR="00EB64AB">
              <w:rPr>
                <w:noProof/>
                <w:webHidden/>
              </w:rPr>
              <w:instrText xml:space="preserve"> PAGEREF _Toc216996646 \h </w:instrText>
            </w:r>
            <w:r w:rsidR="00EB64AB">
              <w:rPr>
                <w:noProof/>
                <w:webHidden/>
              </w:rPr>
            </w:r>
            <w:r w:rsidR="00EB64AB">
              <w:rPr>
                <w:noProof/>
                <w:webHidden/>
              </w:rPr>
              <w:fldChar w:fldCharType="separate"/>
            </w:r>
            <w:r w:rsidR="00EB64AB">
              <w:rPr>
                <w:noProof/>
                <w:webHidden/>
              </w:rPr>
              <w:t>3</w:t>
            </w:r>
            <w:r w:rsidR="00EB64AB">
              <w:rPr>
                <w:noProof/>
                <w:webHidden/>
              </w:rPr>
              <w:fldChar w:fldCharType="end"/>
            </w:r>
          </w:hyperlink>
        </w:p>
        <w:p w14:paraId="3D37C959" w14:textId="097B266A" w:rsidR="00EB64AB" w:rsidRDefault="00EB64AB">
          <w:pPr>
            <w:pStyle w:val="TOC2"/>
            <w:tabs>
              <w:tab w:val="left" w:pos="660"/>
              <w:tab w:val="right" w:leader="dot" w:pos="9016"/>
            </w:tabs>
            <w:rPr>
              <w:rFonts w:asciiTheme="minorHAnsi" w:hAnsiTheme="minorHAnsi" w:cstheme="minorBidi"/>
              <w:b w:val="0"/>
              <w:bCs w:val="0"/>
              <w:noProof/>
              <w:sz w:val="24"/>
              <w:szCs w:val="24"/>
              <w:lang w:eastAsia="en-GB"/>
            </w:rPr>
          </w:pPr>
          <w:hyperlink w:anchor="_Toc216996647" w:history="1">
            <w:r w:rsidRPr="00935F43">
              <w:rPr>
                <w:rStyle w:val="Hyperlink"/>
                <w:noProof/>
              </w:rPr>
              <w:t>2</w:t>
            </w:r>
            <w:r>
              <w:rPr>
                <w:rFonts w:asciiTheme="minorHAnsi" w:hAnsiTheme="minorHAnsi" w:cstheme="minorBidi"/>
                <w:b w:val="0"/>
                <w:bCs w:val="0"/>
                <w:noProof/>
                <w:sz w:val="24"/>
                <w:szCs w:val="24"/>
                <w:lang w:eastAsia="en-GB"/>
              </w:rPr>
              <w:tab/>
            </w:r>
            <w:r w:rsidRPr="00935F43">
              <w:rPr>
                <w:rStyle w:val="Hyperlink"/>
                <w:noProof/>
              </w:rPr>
              <w:t>Adult Welfare Social Worker in the H</w:t>
            </w:r>
            <w:r w:rsidRPr="00935F43">
              <w:rPr>
                <w:rStyle w:val="Hyperlink"/>
                <w:noProof/>
              </w:rPr>
              <w:t>e</w:t>
            </w:r>
            <w:r w:rsidRPr="00935F43">
              <w:rPr>
                <w:rStyle w:val="Hyperlink"/>
                <w:noProof/>
              </w:rPr>
              <w:t>alth and S</w:t>
            </w:r>
            <w:r w:rsidRPr="00935F43">
              <w:rPr>
                <w:rStyle w:val="Hyperlink"/>
                <w:noProof/>
              </w:rPr>
              <w:t>o</w:t>
            </w:r>
            <w:r w:rsidRPr="00935F43">
              <w:rPr>
                <w:rStyle w:val="Hyperlink"/>
                <w:noProof/>
              </w:rPr>
              <w:t>cial Care Field</w:t>
            </w:r>
            <w:r>
              <w:rPr>
                <w:noProof/>
                <w:webHidden/>
              </w:rPr>
              <w:tab/>
            </w:r>
            <w:r>
              <w:rPr>
                <w:noProof/>
                <w:webHidden/>
              </w:rPr>
              <w:fldChar w:fldCharType="begin"/>
            </w:r>
            <w:r>
              <w:rPr>
                <w:noProof/>
                <w:webHidden/>
              </w:rPr>
              <w:instrText xml:space="preserve"> PAGEREF _Toc216996647 \h </w:instrText>
            </w:r>
            <w:r>
              <w:rPr>
                <w:noProof/>
                <w:webHidden/>
              </w:rPr>
            </w:r>
            <w:r>
              <w:rPr>
                <w:noProof/>
                <w:webHidden/>
              </w:rPr>
              <w:fldChar w:fldCharType="separate"/>
            </w:r>
            <w:r>
              <w:rPr>
                <w:noProof/>
                <w:webHidden/>
              </w:rPr>
              <w:t>3</w:t>
            </w:r>
            <w:r>
              <w:rPr>
                <w:noProof/>
                <w:webHidden/>
              </w:rPr>
              <w:fldChar w:fldCharType="end"/>
            </w:r>
          </w:hyperlink>
        </w:p>
        <w:p w14:paraId="20342032" w14:textId="6B9F3321" w:rsidR="00EB64AB" w:rsidRDefault="00EB64AB">
          <w:pPr>
            <w:pStyle w:val="TOC2"/>
            <w:tabs>
              <w:tab w:val="right" w:leader="dot" w:pos="9016"/>
            </w:tabs>
            <w:rPr>
              <w:rFonts w:asciiTheme="minorHAnsi" w:hAnsiTheme="minorHAnsi" w:cstheme="minorBidi"/>
              <w:b w:val="0"/>
              <w:bCs w:val="0"/>
              <w:noProof/>
              <w:sz w:val="24"/>
              <w:szCs w:val="24"/>
              <w:lang w:eastAsia="en-GB"/>
            </w:rPr>
          </w:pPr>
          <w:hyperlink w:anchor="_Toc216996648" w:history="1">
            <w:r w:rsidRPr="00935F43">
              <w:rPr>
                <w:rStyle w:val="Hyperlink"/>
                <w:noProof/>
              </w:rPr>
              <w:t>2.1 Description of Adult Welfare Social Worker in Health and Social Care</w:t>
            </w:r>
            <w:r>
              <w:rPr>
                <w:noProof/>
                <w:webHidden/>
              </w:rPr>
              <w:tab/>
            </w:r>
            <w:r>
              <w:rPr>
                <w:noProof/>
                <w:webHidden/>
              </w:rPr>
              <w:fldChar w:fldCharType="begin"/>
            </w:r>
            <w:r>
              <w:rPr>
                <w:noProof/>
                <w:webHidden/>
              </w:rPr>
              <w:instrText xml:space="preserve"> PAGEREF _Toc216996648 \h </w:instrText>
            </w:r>
            <w:r>
              <w:rPr>
                <w:noProof/>
                <w:webHidden/>
              </w:rPr>
            </w:r>
            <w:r>
              <w:rPr>
                <w:noProof/>
                <w:webHidden/>
              </w:rPr>
              <w:fldChar w:fldCharType="separate"/>
            </w:r>
            <w:r>
              <w:rPr>
                <w:noProof/>
                <w:webHidden/>
              </w:rPr>
              <w:t>4</w:t>
            </w:r>
            <w:r>
              <w:rPr>
                <w:noProof/>
                <w:webHidden/>
              </w:rPr>
              <w:fldChar w:fldCharType="end"/>
            </w:r>
          </w:hyperlink>
        </w:p>
        <w:p w14:paraId="0AC3CEDF" w14:textId="2B45D6EF" w:rsidR="00EB64AB" w:rsidRDefault="00EB64AB">
          <w:pPr>
            <w:pStyle w:val="TOC2"/>
            <w:tabs>
              <w:tab w:val="right" w:leader="dot" w:pos="9016"/>
            </w:tabs>
            <w:rPr>
              <w:rFonts w:asciiTheme="minorHAnsi" w:hAnsiTheme="minorHAnsi" w:cstheme="minorBidi"/>
              <w:b w:val="0"/>
              <w:bCs w:val="0"/>
              <w:noProof/>
              <w:sz w:val="24"/>
              <w:szCs w:val="24"/>
              <w:lang w:eastAsia="en-GB"/>
            </w:rPr>
          </w:pPr>
          <w:hyperlink w:anchor="_Toc216996649" w:history="1">
            <w:r w:rsidRPr="00935F43">
              <w:rPr>
                <w:rStyle w:val="Hyperlink"/>
                <w:noProof/>
              </w:rPr>
              <w:t>2.2 Explanation of Most Signific</w:t>
            </w:r>
            <w:r w:rsidRPr="00935F43">
              <w:rPr>
                <w:rStyle w:val="Hyperlink"/>
                <w:noProof/>
              </w:rPr>
              <w:t>a</w:t>
            </w:r>
            <w:r w:rsidRPr="00935F43">
              <w:rPr>
                <w:rStyle w:val="Hyperlink"/>
                <w:noProof/>
              </w:rPr>
              <w:t>nt Skills Needed for Adult Welfare Social Worker in Health and Social Care</w:t>
            </w:r>
            <w:r>
              <w:rPr>
                <w:noProof/>
                <w:webHidden/>
              </w:rPr>
              <w:tab/>
            </w:r>
            <w:r>
              <w:rPr>
                <w:noProof/>
                <w:webHidden/>
              </w:rPr>
              <w:fldChar w:fldCharType="begin"/>
            </w:r>
            <w:r>
              <w:rPr>
                <w:noProof/>
                <w:webHidden/>
              </w:rPr>
              <w:instrText xml:space="preserve"> PAGEREF _Toc216996649 \h </w:instrText>
            </w:r>
            <w:r>
              <w:rPr>
                <w:noProof/>
                <w:webHidden/>
              </w:rPr>
            </w:r>
            <w:r>
              <w:rPr>
                <w:noProof/>
                <w:webHidden/>
              </w:rPr>
              <w:fldChar w:fldCharType="separate"/>
            </w:r>
            <w:r>
              <w:rPr>
                <w:noProof/>
                <w:webHidden/>
              </w:rPr>
              <w:t>5</w:t>
            </w:r>
            <w:r>
              <w:rPr>
                <w:noProof/>
                <w:webHidden/>
              </w:rPr>
              <w:fldChar w:fldCharType="end"/>
            </w:r>
          </w:hyperlink>
        </w:p>
        <w:p w14:paraId="14E3F70A" w14:textId="67EBB30A" w:rsidR="00EB64AB" w:rsidRDefault="00EB64AB">
          <w:pPr>
            <w:pStyle w:val="TOC2"/>
            <w:tabs>
              <w:tab w:val="right" w:leader="dot" w:pos="9016"/>
            </w:tabs>
            <w:rPr>
              <w:rFonts w:asciiTheme="minorHAnsi" w:hAnsiTheme="minorHAnsi" w:cstheme="minorBidi"/>
              <w:b w:val="0"/>
              <w:bCs w:val="0"/>
              <w:noProof/>
              <w:sz w:val="24"/>
              <w:szCs w:val="24"/>
              <w:lang w:eastAsia="en-GB"/>
            </w:rPr>
          </w:pPr>
          <w:hyperlink w:anchor="_Toc216996650" w:history="1">
            <w:r w:rsidRPr="00935F43">
              <w:rPr>
                <w:rStyle w:val="Hyperlink"/>
                <w:noProof/>
              </w:rPr>
              <w:t>3 Strategies for S</w:t>
            </w:r>
            <w:r w:rsidRPr="00935F43">
              <w:rPr>
                <w:rStyle w:val="Hyperlink"/>
                <w:noProof/>
              </w:rPr>
              <w:t>k</w:t>
            </w:r>
            <w:r w:rsidRPr="00935F43">
              <w:rPr>
                <w:rStyle w:val="Hyperlink"/>
                <w:noProof/>
              </w:rPr>
              <w:t>ill Improvement for [INSERT YOUR ROLE HERE]</w:t>
            </w:r>
            <w:r>
              <w:rPr>
                <w:noProof/>
                <w:webHidden/>
              </w:rPr>
              <w:tab/>
            </w:r>
            <w:r>
              <w:rPr>
                <w:noProof/>
                <w:webHidden/>
              </w:rPr>
              <w:fldChar w:fldCharType="begin"/>
            </w:r>
            <w:r>
              <w:rPr>
                <w:noProof/>
                <w:webHidden/>
              </w:rPr>
              <w:instrText xml:space="preserve"> PAGEREF _Toc216996650 \h </w:instrText>
            </w:r>
            <w:r>
              <w:rPr>
                <w:noProof/>
                <w:webHidden/>
              </w:rPr>
            </w:r>
            <w:r>
              <w:rPr>
                <w:noProof/>
                <w:webHidden/>
              </w:rPr>
              <w:fldChar w:fldCharType="separate"/>
            </w:r>
            <w:r>
              <w:rPr>
                <w:noProof/>
                <w:webHidden/>
              </w:rPr>
              <w:t>8</w:t>
            </w:r>
            <w:r>
              <w:rPr>
                <w:noProof/>
                <w:webHidden/>
              </w:rPr>
              <w:fldChar w:fldCharType="end"/>
            </w:r>
          </w:hyperlink>
        </w:p>
        <w:p w14:paraId="0888ECB0" w14:textId="3C960787" w:rsidR="00EB64AB" w:rsidRDefault="00EB64AB">
          <w:pPr>
            <w:pStyle w:val="TOC2"/>
            <w:tabs>
              <w:tab w:val="right" w:leader="dot" w:pos="9016"/>
            </w:tabs>
            <w:rPr>
              <w:rFonts w:asciiTheme="minorHAnsi" w:hAnsiTheme="minorHAnsi" w:cstheme="minorBidi"/>
              <w:b w:val="0"/>
              <w:bCs w:val="0"/>
              <w:noProof/>
              <w:sz w:val="24"/>
              <w:szCs w:val="24"/>
              <w:lang w:eastAsia="en-GB"/>
            </w:rPr>
          </w:pPr>
          <w:hyperlink w:anchor="_Toc216996651" w:history="1">
            <w:r w:rsidRPr="00935F43">
              <w:rPr>
                <w:rStyle w:val="Hyperlink"/>
                <w:noProof/>
              </w:rPr>
              <w:t>3.1 Three Strategies to Improve the Skills for [INSERT YOUR ROLE HERE]</w:t>
            </w:r>
            <w:r>
              <w:rPr>
                <w:noProof/>
                <w:webHidden/>
              </w:rPr>
              <w:tab/>
            </w:r>
            <w:r>
              <w:rPr>
                <w:noProof/>
                <w:webHidden/>
              </w:rPr>
              <w:fldChar w:fldCharType="begin"/>
            </w:r>
            <w:r>
              <w:rPr>
                <w:noProof/>
                <w:webHidden/>
              </w:rPr>
              <w:instrText xml:space="preserve"> PAGEREF _Toc216996651 \h </w:instrText>
            </w:r>
            <w:r>
              <w:rPr>
                <w:noProof/>
                <w:webHidden/>
              </w:rPr>
            </w:r>
            <w:r>
              <w:rPr>
                <w:noProof/>
                <w:webHidden/>
              </w:rPr>
              <w:fldChar w:fldCharType="separate"/>
            </w:r>
            <w:r>
              <w:rPr>
                <w:noProof/>
                <w:webHidden/>
              </w:rPr>
              <w:t>8</w:t>
            </w:r>
            <w:r>
              <w:rPr>
                <w:noProof/>
                <w:webHidden/>
              </w:rPr>
              <w:fldChar w:fldCharType="end"/>
            </w:r>
          </w:hyperlink>
        </w:p>
        <w:p w14:paraId="07ECDC4E" w14:textId="6F2F7B1B" w:rsidR="00EB64AB" w:rsidRDefault="00EB64AB">
          <w:pPr>
            <w:pStyle w:val="TOC2"/>
            <w:tabs>
              <w:tab w:val="right" w:leader="dot" w:pos="9016"/>
            </w:tabs>
            <w:rPr>
              <w:rFonts w:asciiTheme="minorHAnsi" w:hAnsiTheme="minorHAnsi" w:cstheme="minorBidi"/>
              <w:b w:val="0"/>
              <w:bCs w:val="0"/>
              <w:noProof/>
              <w:sz w:val="24"/>
              <w:szCs w:val="24"/>
              <w:lang w:eastAsia="en-GB"/>
            </w:rPr>
          </w:pPr>
          <w:hyperlink w:anchor="_Toc216996652" w:history="1">
            <w:r w:rsidRPr="00935F43">
              <w:rPr>
                <w:rStyle w:val="Hyperlink"/>
                <w:noProof/>
              </w:rPr>
              <w:t>4 Conclus</w:t>
            </w:r>
            <w:r w:rsidRPr="00935F43">
              <w:rPr>
                <w:rStyle w:val="Hyperlink"/>
                <w:noProof/>
              </w:rPr>
              <w:t>i</w:t>
            </w:r>
            <w:r w:rsidRPr="00935F43">
              <w:rPr>
                <w:rStyle w:val="Hyperlink"/>
                <w:noProof/>
              </w:rPr>
              <w:t>on</w:t>
            </w:r>
            <w:r>
              <w:rPr>
                <w:noProof/>
                <w:webHidden/>
              </w:rPr>
              <w:tab/>
            </w:r>
            <w:r>
              <w:rPr>
                <w:noProof/>
                <w:webHidden/>
              </w:rPr>
              <w:fldChar w:fldCharType="begin"/>
            </w:r>
            <w:r>
              <w:rPr>
                <w:noProof/>
                <w:webHidden/>
              </w:rPr>
              <w:instrText xml:space="preserve"> PAGEREF _Toc216996652 \h </w:instrText>
            </w:r>
            <w:r>
              <w:rPr>
                <w:noProof/>
                <w:webHidden/>
              </w:rPr>
            </w:r>
            <w:r>
              <w:rPr>
                <w:noProof/>
                <w:webHidden/>
              </w:rPr>
              <w:fldChar w:fldCharType="separate"/>
            </w:r>
            <w:r>
              <w:rPr>
                <w:noProof/>
                <w:webHidden/>
              </w:rPr>
              <w:t>9</w:t>
            </w:r>
            <w:r>
              <w:rPr>
                <w:noProof/>
                <w:webHidden/>
              </w:rPr>
              <w:fldChar w:fldCharType="end"/>
            </w:r>
          </w:hyperlink>
        </w:p>
        <w:p w14:paraId="24CC50F0" w14:textId="13434020" w:rsidR="00EB64AB" w:rsidRDefault="00EB64AB">
          <w:pPr>
            <w:pStyle w:val="TOC2"/>
            <w:tabs>
              <w:tab w:val="right" w:leader="dot" w:pos="9016"/>
            </w:tabs>
            <w:rPr>
              <w:rFonts w:asciiTheme="minorHAnsi" w:hAnsiTheme="minorHAnsi" w:cstheme="minorBidi"/>
              <w:b w:val="0"/>
              <w:bCs w:val="0"/>
              <w:noProof/>
              <w:sz w:val="24"/>
              <w:szCs w:val="24"/>
              <w:lang w:eastAsia="en-GB"/>
            </w:rPr>
          </w:pPr>
          <w:hyperlink w:anchor="_Toc216996653" w:history="1">
            <w:r w:rsidRPr="00935F43">
              <w:rPr>
                <w:rStyle w:val="Hyperlink"/>
                <w:noProof/>
              </w:rPr>
              <w:t>5 Reference List</w:t>
            </w:r>
            <w:r>
              <w:rPr>
                <w:noProof/>
                <w:webHidden/>
              </w:rPr>
              <w:tab/>
            </w:r>
            <w:r>
              <w:rPr>
                <w:noProof/>
                <w:webHidden/>
              </w:rPr>
              <w:fldChar w:fldCharType="begin"/>
            </w:r>
            <w:r>
              <w:rPr>
                <w:noProof/>
                <w:webHidden/>
              </w:rPr>
              <w:instrText xml:space="preserve"> PAGEREF _Toc216996653 \h </w:instrText>
            </w:r>
            <w:r>
              <w:rPr>
                <w:noProof/>
                <w:webHidden/>
              </w:rPr>
            </w:r>
            <w:r>
              <w:rPr>
                <w:noProof/>
                <w:webHidden/>
              </w:rPr>
              <w:fldChar w:fldCharType="separate"/>
            </w:r>
            <w:r>
              <w:rPr>
                <w:noProof/>
                <w:webHidden/>
              </w:rPr>
              <w:t>10</w:t>
            </w:r>
            <w:r>
              <w:rPr>
                <w:noProof/>
                <w:webHidden/>
              </w:rPr>
              <w:fldChar w:fldCharType="end"/>
            </w:r>
          </w:hyperlink>
        </w:p>
        <w:p w14:paraId="2F2A1EA8" w14:textId="4D49CE4B"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7341A76B" w:rsidR="00A035CD" w:rsidRDefault="00A035CD" w:rsidP="005D7226">
      <w:pPr>
        <w:pStyle w:val="Heading2"/>
        <w:numPr>
          <w:ilvl w:val="1"/>
          <w:numId w:val="33"/>
        </w:numPr>
        <w:rPr>
          <w:color w:val="4471C4"/>
        </w:rPr>
      </w:pPr>
      <w:bookmarkStart w:id="0" w:name="_Toc216996646"/>
      <w:r w:rsidRPr="0CF501EC">
        <w:rPr>
          <w:color w:val="4471C4"/>
        </w:rPr>
        <w:lastRenderedPageBreak/>
        <w:t>Introduction</w:t>
      </w:r>
      <w:bookmarkEnd w:id="0"/>
    </w:p>
    <w:p w14:paraId="523CAB38" w14:textId="77777777" w:rsidR="005D7226" w:rsidRDefault="005D7226" w:rsidP="005D7226">
      <w:pPr>
        <w:pStyle w:val="ListParagraph"/>
        <w:spacing w:line="360" w:lineRule="auto"/>
        <w:ind w:left="440"/>
        <w:rPr>
          <w:sz w:val="32"/>
          <w:szCs w:val="32"/>
        </w:rPr>
      </w:pPr>
    </w:p>
    <w:p w14:paraId="6829EFC9" w14:textId="5B1DB9F8" w:rsidR="005D7226" w:rsidRPr="00EB64AB" w:rsidRDefault="005D7226" w:rsidP="00EB64AB">
      <w:pPr>
        <w:pStyle w:val="ListParagraph"/>
        <w:spacing w:line="360" w:lineRule="auto"/>
        <w:ind w:left="440"/>
        <w:rPr>
          <w:rFonts w:ascii="Arial" w:hAnsi="Arial" w:cs="Arial"/>
          <w:sz w:val="28"/>
          <w:szCs w:val="28"/>
        </w:rPr>
      </w:pPr>
      <w:r w:rsidRPr="00EB64AB">
        <w:rPr>
          <w:rFonts w:ascii="Arial" w:hAnsi="Arial" w:cs="Arial"/>
          <w:sz w:val="28"/>
          <w:szCs w:val="28"/>
        </w:rPr>
        <w:t>Health and social care settings play a vital role to support individuals and communities by providing necessary care, improving well-being, and enabling independent living. Among the roles in Health and social care, the role of adult welfare social worker provides essential contribution to protecting adults from harm, offering support to adults with mental health issues, advocating for their rights and improve their quality of life. The purpose of this report is to identify the responsibilities of adult welfare social worker, explain the necessary skills to practice and provide strategies to improve these skills. The report will begin by explaining the responsibilities and importances of the role, providing essential three skills and describing the impact of these skills to the role. The final section will explain the strategies to improve these skills and conclusion to understand the importance of the necessary skills to provide high quality care to adults.</w:t>
      </w:r>
    </w:p>
    <w:p w14:paraId="38E98FE2" w14:textId="77777777" w:rsidR="005D7226" w:rsidRPr="00EB64AB" w:rsidRDefault="005D7226" w:rsidP="00EB64AB">
      <w:pPr>
        <w:spacing w:line="360" w:lineRule="auto"/>
        <w:rPr>
          <w:rFonts w:ascii="Arial" w:hAnsi="Arial" w:cs="Arial"/>
          <w:sz w:val="28"/>
          <w:szCs w:val="28"/>
        </w:rPr>
      </w:pPr>
    </w:p>
    <w:p w14:paraId="4CC61BC1" w14:textId="55FEF9DD" w:rsidR="00F36ADC" w:rsidRPr="00EB64AB" w:rsidRDefault="00F36ADC" w:rsidP="00EB64AB">
      <w:pPr>
        <w:spacing w:after="0" w:line="360" w:lineRule="auto"/>
        <w:rPr>
          <w:rFonts w:ascii="Arial" w:hAnsi="Arial" w:cs="Arial"/>
          <w:sz w:val="28"/>
          <w:szCs w:val="28"/>
        </w:rPr>
      </w:pPr>
    </w:p>
    <w:p w14:paraId="3C079BEF" w14:textId="45B85AB5" w:rsidR="0156E134" w:rsidRPr="00012BCC" w:rsidRDefault="005D7226" w:rsidP="00012BCC">
      <w:pPr>
        <w:pStyle w:val="Heading2"/>
        <w:numPr>
          <w:ilvl w:val="0"/>
          <w:numId w:val="33"/>
        </w:numPr>
        <w:spacing w:line="360" w:lineRule="auto"/>
        <w:rPr>
          <w:rFonts w:ascii="Arial" w:hAnsi="Arial" w:cs="Arial"/>
          <w:color w:val="4471C4"/>
          <w:szCs w:val="28"/>
        </w:rPr>
      </w:pPr>
      <w:bookmarkStart w:id="1" w:name="_Toc216996647"/>
      <w:r w:rsidRPr="00EB64AB">
        <w:rPr>
          <w:rFonts w:ascii="Arial" w:hAnsi="Arial" w:cs="Arial"/>
          <w:color w:val="4471C4"/>
          <w:szCs w:val="28"/>
        </w:rPr>
        <w:t xml:space="preserve">Adult Welfare Social Worker </w:t>
      </w:r>
      <w:r w:rsidR="3C659699" w:rsidRPr="00EB64AB">
        <w:rPr>
          <w:rFonts w:ascii="Arial" w:hAnsi="Arial" w:cs="Arial"/>
          <w:color w:val="4471C4"/>
          <w:szCs w:val="28"/>
        </w:rPr>
        <w:t>in the Health and Social Care Field</w:t>
      </w:r>
      <w:bookmarkEnd w:id="1"/>
    </w:p>
    <w:p w14:paraId="50A9FBC6" w14:textId="62B4F9AD" w:rsidR="008B0B22" w:rsidRPr="00EB64AB" w:rsidRDefault="5CF7C3DB" w:rsidP="00EB64AB">
      <w:pPr>
        <w:pStyle w:val="Heading2"/>
        <w:spacing w:line="360" w:lineRule="auto"/>
        <w:rPr>
          <w:rFonts w:ascii="Arial" w:hAnsi="Arial" w:cs="Arial"/>
          <w:color w:val="4472C4" w:themeColor="accent1"/>
          <w:szCs w:val="28"/>
        </w:rPr>
      </w:pPr>
      <w:bookmarkStart w:id="2" w:name="_Toc216996648"/>
      <w:r w:rsidRPr="00EB64AB">
        <w:rPr>
          <w:rFonts w:ascii="Arial" w:hAnsi="Arial" w:cs="Arial"/>
          <w:color w:val="4471C4"/>
          <w:szCs w:val="28"/>
        </w:rPr>
        <w:t>2.1</w:t>
      </w:r>
      <w:r w:rsidR="002370CE" w:rsidRPr="00EB64AB">
        <w:rPr>
          <w:rFonts w:ascii="Arial" w:hAnsi="Arial" w:cs="Arial"/>
          <w:color w:val="4471C4"/>
          <w:szCs w:val="28"/>
        </w:rPr>
        <w:t xml:space="preserve"> </w:t>
      </w:r>
      <w:r w:rsidR="071F48DC" w:rsidRPr="00EB64AB">
        <w:rPr>
          <w:rFonts w:ascii="Arial" w:hAnsi="Arial" w:cs="Arial"/>
          <w:color w:val="4471C4"/>
          <w:szCs w:val="28"/>
        </w:rPr>
        <w:t>Description</w:t>
      </w:r>
      <w:r w:rsidR="00070818" w:rsidRPr="00EB64AB">
        <w:rPr>
          <w:rFonts w:ascii="Arial" w:hAnsi="Arial" w:cs="Arial"/>
          <w:color w:val="4471C4"/>
          <w:szCs w:val="28"/>
        </w:rPr>
        <w:t xml:space="preserve"> </w:t>
      </w:r>
      <w:r w:rsidR="13BD3D5D" w:rsidRPr="00EB64AB">
        <w:rPr>
          <w:rFonts w:ascii="Arial" w:hAnsi="Arial" w:cs="Arial"/>
          <w:color w:val="4471C4"/>
          <w:szCs w:val="28"/>
        </w:rPr>
        <w:t xml:space="preserve">of </w:t>
      </w:r>
      <w:r w:rsidR="005D7226" w:rsidRPr="00EB64AB">
        <w:rPr>
          <w:rFonts w:ascii="Arial" w:hAnsi="Arial" w:cs="Arial"/>
          <w:color w:val="4471C4"/>
          <w:szCs w:val="28"/>
        </w:rPr>
        <w:t xml:space="preserve">Adult Welfare Social Worker </w:t>
      </w:r>
      <w:r w:rsidR="008B0B22" w:rsidRPr="00EB64AB">
        <w:rPr>
          <w:rFonts w:ascii="Arial" w:hAnsi="Arial" w:cs="Arial"/>
          <w:color w:val="4471C4"/>
          <w:szCs w:val="28"/>
        </w:rPr>
        <w:t>in Health</w:t>
      </w:r>
      <w:r w:rsidR="3464B4D3" w:rsidRPr="00EB64AB">
        <w:rPr>
          <w:rFonts w:ascii="Arial" w:hAnsi="Arial" w:cs="Arial"/>
          <w:color w:val="4471C4"/>
          <w:szCs w:val="28"/>
        </w:rPr>
        <w:t xml:space="preserve"> and Social </w:t>
      </w:r>
      <w:r w:rsidR="3D6135D7" w:rsidRPr="00EB64AB">
        <w:rPr>
          <w:rFonts w:ascii="Arial" w:hAnsi="Arial" w:cs="Arial"/>
          <w:color w:val="4471C4"/>
          <w:szCs w:val="28"/>
        </w:rPr>
        <w:t>C</w:t>
      </w:r>
      <w:r w:rsidR="008B0B22" w:rsidRPr="00EB64AB">
        <w:rPr>
          <w:rFonts w:ascii="Arial" w:hAnsi="Arial" w:cs="Arial"/>
          <w:color w:val="4471C4"/>
          <w:szCs w:val="28"/>
        </w:rPr>
        <w:t>are</w:t>
      </w:r>
      <w:bookmarkEnd w:id="2"/>
      <w:r w:rsidR="008B0B22" w:rsidRPr="00EB64AB">
        <w:rPr>
          <w:rFonts w:ascii="Arial" w:hAnsi="Arial" w:cs="Arial"/>
          <w:color w:val="4471C4"/>
          <w:szCs w:val="28"/>
        </w:rPr>
        <w:t xml:space="preserve"> </w:t>
      </w:r>
    </w:p>
    <w:p w14:paraId="26E0D1A5" w14:textId="06C7C686" w:rsidR="0156E134" w:rsidRPr="00EB64AB" w:rsidRDefault="0156E134" w:rsidP="00EB64AB">
      <w:pPr>
        <w:spacing w:after="0" w:line="360" w:lineRule="auto"/>
        <w:jc w:val="both"/>
        <w:rPr>
          <w:rFonts w:ascii="Arial" w:hAnsi="Arial" w:cs="Arial"/>
          <w:sz w:val="28"/>
          <w:szCs w:val="28"/>
        </w:rPr>
      </w:pPr>
    </w:p>
    <w:p w14:paraId="08EFD7A7" w14:textId="77777777" w:rsidR="005D7226" w:rsidRPr="00EB64AB" w:rsidRDefault="005D7226" w:rsidP="00EB64AB">
      <w:pPr>
        <w:spacing w:line="360" w:lineRule="auto"/>
        <w:rPr>
          <w:rFonts w:ascii="Arial" w:hAnsi="Arial" w:cs="Arial"/>
          <w:sz w:val="28"/>
          <w:szCs w:val="28"/>
        </w:rPr>
      </w:pPr>
      <w:r w:rsidRPr="00EB64AB">
        <w:rPr>
          <w:rFonts w:ascii="Arial" w:hAnsi="Arial" w:cs="Arial"/>
          <w:sz w:val="28"/>
          <w:szCs w:val="28"/>
        </w:rPr>
        <w:t xml:space="preserve">Adult welfare social workers support people from all walks of life. The role is responsible for helping adults with disability, mental health issues, safeguarding concerns, and empowering them to live independently. The aim of this role is to assessing individual’s needs, creating care plans, making recommendations and referrals to other services and safeguarding arrangements in place to protect adults from abuse. According to National Careers Service social workers support individuals </w:t>
      </w:r>
      <w:r w:rsidRPr="00EB64AB">
        <w:rPr>
          <w:rFonts w:ascii="Arial" w:hAnsi="Arial" w:cs="Arial"/>
          <w:sz w:val="28"/>
          <w:szCs w:val="28"/>
        </w:rPr>
        <w:lastRenderedPageBreak/>
        <w:t>by assessing their needs, providing emotional and practical support, ensuring their safety, supporting them to maintain independence living, and working with other professionals. (National career service, 2024). These duties are important as they ensure to provide adults with high quality care and improve their overall wellbeing. The role of social work requires a vast range of professional skills, particularly empathy, communication, critical thinking and advocacy. These skills help social workers to connect with their clients, build trust and creates a safe environment for individuals to express their concerns.</w:t>
      </w:r>
    </w:p>
    <w:p w14:paraId="68B488A0" w14:textId="557E9964" w:rsidR="005D7226" w:rsidRPr="00EB64AB" w:rsidRDefault="005D7226" w:rsidP="00EB64AB">
      <w:pPr>
        <w:spacing w:line="360" w:lineRule="auto"/>
        <w:rPr>
          <w:rFonts w:ascii="Arial" w:hAnsi="Arial" w:cs="Arial"/>
          <w:sz w:val="28"/>
          <w:szCs w:val="28"/>
        </w:rPr>
      </w:pPr>
      <w:r w:rsidRPr="00EB64AB">
        <w:rPr>
          <w:rFonts w:ascii="Arial" w:hAnsi="Arial" w:cs="Arial"/>
          <w:sz w:val="28"/>
          <w:szCs w:val="28"/>
        </w:rPr>
        <w:t>Empathy enables the understanding and compassion of social workers toward their clients therefore their clients the can have the sense of security and express their thoughts and problems in more efficient way (Moudatsou et al., 2020).For Example when working with a vulnerable adult experiencing mental health issues, the social worker must communicate while understanding their feelings, their wishes and provide essential care with empathy. These skills are essential in adult welfare social worker role as it helps promoting dignity, safeguarding and independence among vulnerable adults.</w:t>
      </w:r>
    </w:p>
    <w:p w14:paraId="3BE9CE70" w14:textId="4145F99C" w:rsidR="48942F29" w:rsidRPr="00EB64AB" w:rsidRDefault="48942F29" w:rsidP="00EB64AB">
      <w:pPr>
        <w:spacing w:after="0" w:line="360" w:lineRule="auto"/>
        <w:jc w:val="both"/>
        <w:rPr>
          <w:rFonts w:ascii="Arial" w:hAnsi="Arial" w:cs="Arial"/>
          <w:sz w:val="28"/>
          <w:szCs w:val="28"/>
        </w:rPr>
      </w:pPr>
    </w:p>
    <w:p w14:paraId="1CB8B0F1" w14:textId="34C40497" w:rsidR="0156E134" w:rsidRPr="00EB64AB" w:rsidRDefault="0156E134" w:rsidP="00EB64AB">
      <w:pPr>
        <w:spacing w:after="0" w:line="360" w:lineRule="auto"/>
        <w:jc w:val="both"/>
        <w:rPr>
          <w:rFonts w:ascii="Arial" w:hAnsi="Arial" w:cs="Arial"/>
          <w:sz w:val="28"/>
          <w:szCs w:val="28"/>
        </w:rPr>
      </w:pPr>
    </w:p>
    <w:p w14:paraId="4010C35E" w14:textId="7B4502BC" w:rsidR="00EC7EBE" w:rsidRPr="00EB64AB" w:rsidRDefault="04019B15" w:rsidP="00EB64AB">
      <w:pPr>
        <w:pStyle w:val="Heading2"/>
        <w:spacing w:line="360" w:lineRule="auto"/>
        <w:rPr>
          <w:rFonts w:ascii="Arial" w:hAnsi="Arial" w:cs="Arial"/>
          <w:color w:val="4472C4" w:themeColor="accent1"/>
          <w:szCs w:val="28"/>
        </w:rPr>
      </w:pPr>
      <w:bookmarkStart w:id="3" w:name="_Toc216996649"/>
      <w:r w:rsidRPr="00EB64AB">
        <w:rPr>
          <w:rFonts w:ascii="Arial" w:hAnsi="Arial" w:cs="Arial"/>
          <w:color w:val="4471C4"/>
          <w:szCs w:val="28"/>
        </w:rPr>
        <w:t>2.2</w:t>
      </w:r>
      <w:r w:rsidR="00676FEB" w:rsidRPr="00EB64AB">
        <w:rPr>
          <w:rFonts w:ascii="Arial" w:hAnsi="Arial" w:cs="Arial"/>
          <w:color w:val="4471C4"/>
          <w:szCs w:val="28"/>
        </w:rPr>
        <w:t xml:space="preserve"> </w:t>
      </w:r>
      <w:r w:rsidR="00DD5135" w:rsidRPr="00EB64AB">
        <w:rPr>
          <w:rFonts w:ascii="Arial" w:hAnsi="Arial" w:cs="Arial"/>
          <w:color w:val="4471C4"/>
          <w:szCs w:val="28"/>
        </w:rPr>
        <w:t>Explanation</w:t>
      </w:r>
      <w:r w:rsidR="00805726" w:rsidRPr="00EB64AB">
        <w:rPr>
          <w:rFonts w:ascii="Arial" w:hAnsi="Arial" w:cs="Arial"/>
          <w:color w:val="4471C4"/>
          <w:szCs w:val="28"/>
        </w:rPr>
        <w:t xml:space="preserve"> of </w:t>
      </w:r>
      <w:r w:rsidR="549B9698" w:rsidRPr="00EB64AB">
        <w:rPr>
          <w:rFonts w:ascii="Arial" w:hAnsi="Arial" w:cs="Arial"/>
          <w:color w:val="4471C4"/>
          <w:szCs w:val="28"/>
        </w:rPr>
        <w:t>M</w:t>
      </w:r>
      <w:r w:rsidR="00824CB1" w:rsidRPr="00EB64AB">
        <w:rPr>
          <w:rFonts w:ascii="Arial" w:hAnsi="Arial" w:cs="Arial"/>
          <w:color w:val="4471C4"/>
          <w:szCs w:val="28"/>
        </w:rPr>
        <w:t xml:space="preserve">ost </w:t>
      </w:r>
      <w:r w:rsidR="7AC44C89" w:rsidRPr="00EB64AB">
        <w:rPr>
          <w:rFonts w:ascii="Arial" w:hAnsi="Arial" w:cs="Arial"/>
          <w:color w:val="4471C4"/>
          <w:szCs w:val="28"/>
        </w:rPr>
        <w:t>S</w:t>
      </w:r>
      <w:r w:rsidR="00824CB1" w:rsidRPr="00EB64AB">
        <w:rPr>
          <w:rFonts w:ascii="Arial" w:hAnsi="Arial" w:cs="Arial"/>
          <w:color w:val="4471C4"/>
          <w:szCs w:val="28"/>
        </w:rPr>
        <w:t xml:space="preserve">ignificant </w:t>
      </w:r>
      <w:r w:rsidR="556E2D6A" w:rsidRPr="00EB64AB">
        <w:rPr>
          <w:rFonts w:ascii="Arial" w:hAnsi="Arial" w:cs="Arial"/>
          <w:color w:val="4471C4"/>
          <w:szCs w:val="28"/>
        </w:rPr>
        <w:t>S</w:t>
      </w:r>
      <w:r w:rsidR="00D4006B" w:rsidRPr="00EB64AB">
        <w:rPr>
          <w:rFonts w:ascii="Arial" w:hAnsi="Arial" w:cs="Arial"/>
          <w:color w:val="4471C4"/>
          <w:szCs w:val="28"/>
        </w:rPr>
        <w:t xml:space="preserve">kills </w:t>
      </w:r>
      <w:r w:rsidR="653BE314" w:rsidRPr="00EB64AB">
        <w:rPr>
          <w:rFonts w:ascii="Arial" w:hAnsi="Arial" w:cs="Arial"/>
          <w:color w:val="4471C4"/>
          <w:szCs w:val="28"/>
        </w:rPr>
        <w:t>N</w:t>
      </w:r>
      <w:r w:rsidR="00D4006B" w:rsidRPr="00EB64AB">
        <w:rPr>
          <w:rFonts w:ascii="Arial" w:hAnsi="Arial" w:cs="Arial"/>
          <w:color w:val="4471C4"/>
          <w:szCs w:val="28"/>
        </w:rPr>
        <w:t>eeded for</w:t>
      </w:r>
      <w:r w:rsidR="005D7226" w:rsidRPr="00EB64AB">
        <w:rPr>
          <w:rFonts w:ascii="Arial" w:hAnsi="Arial" w:cs="Arial"/>
          <w:color w:val="4471C4"/>
          <w:szCs w:val="28"/>
        </w:rPr>
        <w:t xml:space="preserve"> </w:t>
      </w:r>
      <w:r w:rsidR="005D7226" w:rsidRPr="00EB64AB">
        <w:rPr>
          <w:rFonts w:ascii="Arial" w:hAnsi="Arial" w:cs="Arial"/>
          <w:color w:val="4471C4"/>
          <w:szCs w:val="28"/>
        </w:rPr>
        <w:t>Adult Welfare Social Worker</w:t>
      </w:r>
      <w:r w:rsidR="005D7226" w:rsidRPr="00EB64AB">
        <w:rPr>
          <w:rFonts w:ascii="Arial" w:hAnsi="Arial" w:cs="Arial"/>
          <w:color w:val="4471C4"/>
          <w:szCs w:val="28"/>
        </w:rPr>
        <w:t xml:space="preserve"> </w:t>
      </w:r>
      <w:r w:rsidR="007138EF" w:rsidRPr="00EB64AB">
        <w:rPr>
          <w:rFonts w:ascii="Arial" w:hAnsi="Arial" w:cs="Arial"/>
          <w:color w:val="4471C4"/>
          <w:szCs w:val="28"/>
        </w:rPr>
        <w:t>in Health</w:t>
      </w:r>
      <w:r w:rsidR="655ACEAB" w:rsidRPr="00EB64AB">
        <w:rPr>
          <w:rFonts w:ascii="Arial" w:hAnsi="Arial" w:cs="Arial"/>
          <w:color w:val="4471C4"/>
          <w:szCs w:val="28"/>
        </w:rPr>
        <w:t xml:space="preserve"> and Social C</w:t>
      </w:r>
      <w:r w:rsidR="007138EF" w:rsidRPr="00EB64AB">
        <w:rPr>
          <w:rFonts w:ascii="Arial" w:hAnsi="Arial" w:cs="Arial"/>
          <w:color w:val="4471C4"/>
          <w:szCs w:val="28"/>
        </w:rPr>
        <w:t>are</w:t>
      </w:r>
      <w:bookmarkEnd w:id="3"/>
    </w:p>
    <w:p w14:paraId="75146A19" w14:textId="53F60744" w:rsidR="0156E134" w:rsidRPr="00EB64AB" w:rsidRDefault="0156E134" w:rsidP="00EB64AB">
      <w:pPr>
        <w:spacing w:after="0" w:line="360" w:lineRule="auto"/>
        <w:jc w:val="both"/>
        <w:rPr>
          <w:rFonts w:ascii="Arial" w:hAnsi="Arial" w:cs="Arial"/>
          <w:sz w:val="28"/>
          <w:szCs w:val="28"/>
        </w:rPr>
      </w:pPr>
    </w:p>
    <w:p w14:paraId="11739661" w14:textId="77777777" w:rsidR="005D7226" w:rsidRPr="00EB64AB" w:rsidRDefault="005D7226" w:rsidP="00EB64AB">
      <w:pPr>
        <w:spacing w:line="360" w:lineRule="auto"/>
        <w:rPr>
          <w:rFonts w:ascii="Arial" w:hAnsi="Arial" w:cs="Arial"/>
          <w:sz w:val="28"/>
          <w:szCs w:val="28"/>
        </w:rPr>
      </w:pPr>
      <w:r w:rsidRPr="00EB64AB">
        <w:rPr>
          <w:rFonts w:ascii="Arial" w:hAnsi="Arial" w:cs="Arial"/>
          <w:sz w:val="28"/>
          <w:szCs w:val="28"/>
        </w:rPr>
        <w:t xml:space="preserve">Good communication is one of the essential skills for adult welfare social workers because it supports every aspect of understanding, ensuring person-centred care, building trust and safeguarding vulnerable adults. Effective communication is fundamental in social work for improving the experiences and outcomes of the people receiving support. (Reith-Hall </w:t>
      </w:r>
      <w:r w:rsidRPr="00EB64AB">
        <w:rPr>
          <w:rFonts w:ascii="Arial" w:hAnsi="Arial" w:cs="Arial"/>
          <w:sz w:val="28"/>
          <w:szCs w:val="28"/>
        </w:rPr>
        <w:lastRenderedPageBreak/>
        <w:t>and Montgomery, 2022). For example, a social worker speaking calmly to a client who experienced domestic abuse while using open body language and giving the person time to talk about the sensitive information and by being a good listener. Therefore, communication helps the person feel understood and supported.</w:t>
      </w:r>
    </w:p>
    <w:p w14:paraId="1A5CAFC7" w14:textId="77777777" w:rsidR="005D7226" w:rsidRPr="00EB64AB" w:rsidRDefault="005D7226" w:rsidP="00EB64AB">
      <w:pPr>
        <w:spacing w:line="360" w:lineRule="auto"/>
        <w:rPr>
          <w:rFonts w:ascii="Arial" w:hAnsi="Arial" w:cs="Arial"/>
          <w:sz w:val="28"/>
          <w:szCs w:val="28"/>
        </w:rPr>
      </w:pPr>
      <w:r w:rsidRPr="00EB64AB">
        <w:rPr>
          <w:rFonts w:ascii="Arial" w:hAnsi="Arial" w:cs="Arial"/>
          <w:sz w:val="28"/>
          <w:szCs w:val="28"/>
        </w:rPr>
        <w:t>Empathy is a core skill because it is the ability to recognise, understand and respond appropriately to another person’s emotional state. Research highlights that clients feel healthier and happier when care providers are more empathic and the workers themselves feel less stressed and burnt out when they show empathy (Moudatsou et al., 2020). A typical example is when an older adult with disability shows embarrassment for needing help with daily tasks, the social worker understands their emotion and respond with empathy. which helps them feel valued rather than judged.</w:t>
      </w:r>
    </w:p>
    <w:p w14:paraId="70D02308" w14:textId="438DE554" w:rsidR="005D7226" w:rsidRPr="00EB64AB" w:rsidRDefault="005D7226" w:rsidP="00EB64AB">
      <w:pPr>
        <w:spacing w:line="360" w:lineRule="auto"/>
        <w:rPr>
          <w:rFonts w:ascii="Arial" w:hAnsi="Arial" w:cs="Arial"/>
          <w:sz w:val="28"/>
          <w:szCs w:val="28"/>
        </w:rPr>
      </w:pPr>
      <w:r w:rsidRPr="00EB64AB">
        <w:rPr>
          <w:rFonts w:ascii="Arial" w:hAnsi="Arial" w:cs="Arial"/>
          <w:sz w:val="28"/>
          <w:szCs w:val="28"/>
        </w:rPr>
        <w:t xml:space="preserve">Critical thinking is an important skill for adult welfare social workers because it is the skill which allows them to analyse information and make decisions with great reasoning when assessing risk and safeguarding vulnerable adults. A social workers must always be mindful of situations that present risk and try to gather as much information as possible about the clients’ circumstances to avoid any risks. (SCIE, 2023). For example, when a social worker receive concern about self-neglection they must gather more information first, analyse the risk level and then decide if rapid action is required or not. </w:t>
      </w:r>
    </w:p>
    <w:p w14:paraId="3B1247CB" w14:textId="0EA0161B" w:rsidR="005D7226" w:rsidRPr="00EB64AB" w:rsidRDefault="005D7226" w:rsidP="00EB64AB">
      <w:pPr>
        <w:spacing w:line="360" w:lineRule="auto"/>
        <w:rPr>
          <w:rFonts w:ascii="Arial" w:hAnsi="Arial" w:cs="Arial"/>
          <w:sz w:val="28"/>
          <w:szCs w:val="28"/>
        </w:rPr>
      </w:pPr>
      <w:r w:rsidRPr="00EB64AB">
        <w:rPr>
          <w:rFonts w:ascii="Arial" w:hAnsi="Arial" w:cs="Arial"/>
          <w:sz w:val="28"/>
          <w:szCs w:val="28"/>
        </w:rPr>
        <w:t xml:space="preserve">The safety of vulnerable adults can be seriously hampered if adult welfare social workers lack important skills such as communication, empathy and critical thinking. Poor communication happens when valuable information is not precise or meaningful enough and the people involved do not fully understand each other (Howick et al., 2024). When </w:t>
      </w:r>
      <w:r w:rsidRPr="00EB64AB">
        <w:rPr>
          <w:rFonts w:ascii="Arial" w:hAnsi="Arial" w:cs="Arial"/>
          <w:sz w:val="28"/>
          <w:szCs w:val="28"/>
        </w:rPr>
        <w:lastRenderedPageBreak/>
        <w:t xml:space="preserve">this happens in practice the adult in need may not fully understand their situation and can begin feeling anxiety or mistrust. A lack of empathy can lead a user blaming themselves for what has happened and become less able to talk openly with the social worker. It can make them hide valuable information. Bad or weak critical thinking can also have a bad impact in adult welfare social work as it affects the quality of decision made for people’s lives. Without critical thinking social workers might only depend on first impressions or stereotypes which can harm the patient. For instance, when a woman tells a social worker about safeguarding concerns and the social worker does not use critical thinking and investigate the risk of </w:t>
      </w:r>
      <w:proofErr w:type="gramStart"/>
      <w:r w:rsidRPr="00EB64AB">
        <w:rPr>
          <w:rFonts w:ascii="Arial" w:hAnsi="Arial" w:cs="Arial"/>
          <w:sz w:val="28"/>
          <w:szCs w:val="28"/>
        </w:rPr>
        <w:t>abuse</w:t>
      </w:r>
      <w:proofErr w:type="gramEnd"/>
      <w:r w:rsidRPr="00EB64AB">
        <w:rPr>
          <w:rFonts w:ascii="Arial" w:hAnsi="Arial" w:cs="Arial"/>
          <w:sz w:val="28"/>
          <w:szCs w:val="28"/>
        </w:rPr>
        <w:t xml:space="preserve"> so the woman stays in unsafe situation with no protection.</w:t>
      </w:r>
    </w:p>
    <w:p w14:paraId="7338813D" w14:textId="77777777" w:rsidR="00C85A7C" w:rsidRPr="00EB64AB" w:rsidRDefault="00C85A7C" w:rsidP="00EB64AB">
      <w:pPr>
        <w:spacing w:after="0" w:line="360" w:lineRule="auto"/>
        <w:jc w:val="both"/>
        <w:rPr>
          <w:rFonts w:ascii="Arial" w:hAnsi="Arial" w:cs="Arial"/>
          <w:sz w:val="28"/>
          <w:szCs w:val="28"/>
        </w:rPr>
      </w:pPr>
    </w:p>
    <w:p w14:paraId="2CAEA1EC" w14:textId="7A99F5B9" w:rsidR="002370CE" w:rsidRPr="00EB64AB" w:rsidRDefault="1F09BC6E" w:rsidP="00EB64AB">
      <w:pPr>
        <w:pStyle w:val="Heading2"/>
        <w:spacing w:line="360" w:lineRule="auto"/>
        <w:rPr>
          <w:rFonts w:ascii="Arial" w:hAnsi="Arial" w:cs="Arial"/>
          <w:color w:val="4472C4" w:themeColor="accent1"/>
          <w:szCs w:val="28"/>
        </w:rPr>
      </w:pPr>
      <w:bookmarkStart w:id="4" w:name="_Toc216996650"/>
      <w:r w:rsidRPr="00EB64AB">
        <w:rPr>
          <w:rFonts w:ascii="Arial" w:hAnsi="Arial" w:cs="Arial"/>
          <w:color w:val="4471C4"/>
          <w:szCs w:val="28"/>
        </w:rPr>
        <w:t>3</w:t>
      </w:r>
      <w:r w:rsidR="005D5457" w:rsidRPr="00EB64AB">
        <w:rPr>
          <w:rFonts w:ascii="Arial" w:hAnsi="Arial" w:cs="Arial"/>
          <w:color w:val="4471C4"/>
          <w:szCs w:val="28"/>
        </w:rPr>
        <w:t xml:space="preserve"> </w:t>
      </w:r>
      <w:r w:rsidR="003003FD" w:rsidRPr="00EB64AB">
        <w:rPr>
          <w:rFonts w:ascii="Arial" w:hAnsi="Arial" w:cs="Arial"/>
          <w:color w:val="4471C4"/>
          <w:szCs w:val="28"/>
        </w:rPr>
        <w:t>Strategies</w:t>
      </w:r>
      <w:r w:rsidR="00183CB9" w:rsidRPr="00EB64AB">
        <w:rPr>
          <w:rFonts w:ascii="Arial" w:hAnsi="Arial" w:cs="Arial"/>
          <w:color w:val="4471C4"/>
          <w:szCs w:val="28"/>
        </w:rPr>
        <w:t xml:space="preserve"> </w:t>
      </w:r>
      <w:r w:rsidR="59AB5A3E" w:rsidRPr="00EB64AB">
        <w:rPr>
          <w:rFonts w:ascii="Arial" w:hAnsi="Arial" w:cs="Arial"/>
          <w:color w:val="4471C4"/>
          <w:szCs w:val="28"/>
        </w:rPr>
        <w:t>for Skill Improvement for [INSERT YOUR ROLE HERE]</w:t>
      </w:r>
      <w:bookmarkEnd w:id="4"/>
    </w:p>
    <w:p w14:paraId="01C49510" w14:textId="12680EE0" w:rsidR="002370CE" w:rsidRPr="00EB64AB" w:rsidRDefault="0C5D0C5C" w:rsidP="00EB64AB">
      <w:pPr>
        <w:pStyle w:val="Heading2"/>
        <w:spacing w:line="360" w:lineRule="auto"/>
        <w:rPr>
          <w:rFonts w:ascii="Arial" w:hAnsi="Arial" w:cs="Arial"/>
          <w:color w:val="4472C4" w:themeColor="accent1"/>
          <w:szCs w:val="28"/>
        </w:rPr>
      </w:pPr>
      <w:bookmarkStart w:id="5" w:name="_Toc216996651"/>
      <w:r w:rsidRPr="00EB64AB">
        <w:rPr>
          <w:rFonts w:ascii="Arial" w:hAnsi="Arial" w:cs="Arial"/>
          <w:color w:val="4471C4"/>
          <w:szCs w:val="28"/>
        </w:rPr>
        <w:t xml:space="preserve">3.1 Three Strategies </w:t>
      </w:r>
      <w:r w:rsidR="00183CB9" w:rsidRPr="00EB64AB">
        <w:rPr>
          <w:rFonts w:ascii="Arial" w:hAnsi="Arial" w:cs="Arial"/>
          <w:color w:val="4471C4"/>
          <w:szCs w:val="28"/>
        </w:rPr>
        <w:t xml:space="preserve">to </w:t>
      </w:r>
      <w:r w:rsidR="5CE671C3" w:rsidRPr="00EB64AB">
        <w:rPr>
          <w:rFonts w:ascii="Arial" w:hAnsi="Arial" w:cs="Arial"/>
          <w:color w:val="4471C4"/>
          <w:szCs w:val="28"/>
        </w:rPr>
        <w:t>I</w:t>
      </w:r>
      <w:r w:rsidR="00183CB9" w:rsidRPr="00EB64AB">
        <w:rPr>
          <w:rFonts w:ascii="Arial" w:hAnsi="Arial" w:cs="Arial"/>
          <w:color w:val="4471C4"/>
          <w:szCs w:val="28"/>
        </w:rPr>
        <w:t xml:space="preserve">mprove the </w:t>
      </w:r>
      <w:r w:rsidR="40F0AB75" w:rsidRPr="00EB64AB">
        <w:rPr>
          <w:rFonts w:ascii="Arial" w:hAnsi="Arial" w:cs="Arial"/>
          <w:color w:val="4471C4"/>
          <w:szCs w:val="28"/>
        </w:rPr>
        <w:t>S</w:t>
      </w:r>
      <w:r w:rsidR="00183CB9" w:rsidRPr="00EB64AB">
        <w:rPr>
          <w:rFonts w:ascii="Arial" w:hAnsi="Arial" w:cs="Arial"/>
          <w:color w:val="4471C4"/>
          <w:szCs w:val="28"/>
        </w:rPr>
        <w:t>kills</w:t>
      </w:r>
      <w:r w:rsidR="005D5457" w:rsidRPr="00EB64AB">
        <w:rPr>
          <w:rFonts w:ascii="Arial" w:hAnsi="Arial" w:cs="Arial"/>
          <w:color w:val="4471C4"/>
          <w:szCs w:val="28"/>
        </w:rPr>
        <w:t xml:space="preserve"> </w:t>
      </w:r>
      <w:r w:rsidR="00070818" w:rsidRPr="00EB64AB">
        <w:rPr>
          <w:rFonts w:ascii="Arial" w:hAnsi="Arial" w:cs="Arial"/>
          <w:color w:val="4471C4"/>
          <w:szCs w:val="28"/>
        </w:rPr>
        <w:t>for [</w:t>
      </w:r>
      <w:r w:rsidR="00D676C3" w:rsidRPr="00EB64AB">
        <w:rPr>
          <w:rFonts w:ascii="Arial" w:hAnsi="Arial" w:cs="Arial"/>
          <w:color w:val="4471C4"/>
          <w:szCs w:val="28"/>
        </w:rPr>
        <w:t>INSERT YOUR ROLE HERE</w:t>
      </w:r>
      <w:r w:rsidR="00070818" w:rsidRPr="00EB64AB">
        <w:rPr>
          <w:rFonts w:ascii="Arial" w:hAnsi="Arial" w:cs="Arial"/>
          <w:color w:val="4471C4"/>
          <w:szCs w:val="28"/>
        </w:rPr>
        <w:t>]</w:t>
      </w:r>
      <w:bookmarkEnd w:id="5"/>
    </w:p>
    <w:p w14:paraId="790ADE75" w14:textId="0E58BA01" w:rsidR="0156E134" w:rsidRPr="00EB64AB" w:rsidRDefault="0156E134" w:rsidP="00EB64AB">
      <w:pPr>
        <w:spacing w:after="0" w:line="360" w:lineRule="auto"/>
        <w:rPr>
          <w:rFonts w:ascii="Arial" w:hAnsi="Arial" w:cs="Arial"/>
          <w:sz w:val="28"/>
          <w:szCs w:val="28"/>
        </w:rPr>
      </w:pPr>
    </w:p>
    <w:p w14:paraId="76A0BB51" w14:textId="77777777" w:rsidR="005D7226" w:rsidRPr="00EB64AB" w:rsidRDefault="005D7226" w:rsidP="00EB64AB">
      <w:pPr>
        <w:spacing w:line="360" w:lineRule="auto"/>
        <w:rPr>
          <w:rFonts w:ascii="Arial" w:hAnsi="Arial" w:cs="Arial"/>
          <w:b/>
          <w:bCs/>
          <w:color w:val="60657B"/>
          <w:sz w:val="28"/>
          <w:szCs w:val="28"/>
          <w:shd w:val="clear" w:color="auto" w:fill="FFFFFF"/>
        </w:rPr>
      </w:pPr>
      <w:r w:rsidRPr="00EB64AB">
        <w:rPr>
          <w:rFonts w:ascii="Arial" w:hAnsi="Arial" w:cs="Arial"/>
          <w:sz w:val="28"/>
          <w:szCs w:val="28"/>
        </w:rPr>
        <w:t xml:space="preserve">Strategy 1: </w:t>
      </w:r>
      <w:r w:rsidRPr="00EB64AB">
        <w:rPr>
          <w:rFonts w:ascii="Arial" w:hAnsi="Arial" w:cs="Arial"/>
          <w:b/>
          <w:bCs/>
          <w:sz w:val="28"/>
          <w:szCs w:val="28"/>
        </w:rPr>
        <w:t>Improving Communication using Reflective learning</w:t>
      </w:r>
      <w:r w:rsidRPr="00EB64AB">
        <w:rPr>
          <w:rFonts w:ascii="Arial" w:hAnsi="Arial" w:cs="Arial"/>
          <w:b/>
          <w:bCs/>
          <w:color w:val="60657B"/>
          <w:sz w:val="28"/>
          <w:szCs w:val="28"/>
          <w:shd w:val="clear" w:color="auto" w:fill="FFFFFF"/>
        </w:rPr>
        <w:t xml:space="preserve"> </w:t>
      </w:r>
    </w:p>
    <w:p w14:paraId="0F3EFA81" w14:textId="1B5592AB" w:rsidR="005D7226" w:rsidRPr="00EB64AB" w:rsidRDefault="005D7226" w:rsidP="00EB64AB">
      <w:pPr>
        <w:spacing w:line="360" w:lineRule="auto"/>
        <w:rPr>
          <w:rStyle w:val="apple-converted-space"/>
          <w:rFonts w:ascii="Arial" w:hAnsi="Arial" w:cs="Arial"/>
          <w:color w:val="000000" w:themeColor="text1"/>
          <w:sz w:val="28"/>
          <w:szCs w:val="28"/>
          <w:shd w:val="clear" w:color="auto" w:fill="FFFFFF"/>
        </w:rPr>
      </w:pPr>
      <w:r w:rsidRPr="00EB64AB">
        <w:rPr>
          <w:rFonts w:ascii="Arial" w:hAnsi="Arial" w:cs="Arial"/>
          <w:color w:val="000000" w:themeColor="text1"/>
          <w:sz w:val="28"/>
          <w:szCs w:val="28"/>
          <w:shd w:val="clear" w:color="auto" w:fill="FFFFFF"/>
        </w:rPr>
        <w:t xml:space="preserve">This strategy can enhance communication skills for social workers working with adult welfare individuals by using structured reflection on communication training. Communication is an important part of assessment and </w:t>
      </w:r>
      <w:proofErr w:type="gramStart"/>
      <w:r w:rsidRPr="00EB64AB">
        <w:rPr>
          <w:rFonts w:ascii="Arial" w:hAnsi="Arial" w:cs="Arial"/>
          <w:color w:val="000000" w:themeColor="text1"/>
          <w:sz w:val="28"/>
          <w:szCs w:val="28"/>
          <w:shd w:val="clear" w:color="auto" w:fill="FFFFFF"/>
        </w:rPr>
        <w:t>collaboration,</w:t>
      </w:r>
      <w:proofErr w:type="gramEnd"/>
      <w:r w:rsidRPr="00EB64AB">
        <w:rPr>
          <w:rFonts w:ascii="Arial" w:hAnsi="Arial" w:cs="Arial"/>
          <w:color w:val="000000" w:themeColor="text1"/>
          <w:sz w:val="28"/>
          <w:szCs w:val="28"/>
          <w:shd w:val="clear" w:color="auto" w:fill="FFFFFF"/>
        </w:rPr>
        <w:t xml:space="preserve"> issues related to poor communication might lead to misunderstandings or risks for users. </w:t>
      </w:r>
      <w:r w:rsidRPr="00EB64AB">
        <w:rPr>
          <w:rFonts w:ascii="Arial" w:hAnsi="Arial" w:cs="Arial"/>
          <w:color w:val="000000"/>
          <w:sz w:val="28"/>
          <w:szCs w:val="28"/>
        </w:rPr>
        <w:t>communication skills in social work are best developed using structured learning methods that includes reflection, skills practice and feedback rather than relying on theory (Reith-Hall and Montgomery, 2022).</w:t>
      </w:r>
      <w:r w:rsidR="00EB64AB" w:rsidRPr="00EB64AB">
        <w:rPr>
          <w:rFonts w:ascii="Arial" w:hAnsi="Arial" w:cs="Arial"/>
          <w:color w:val="000000"/>
          <w:sz w:val="28"/>
          <w:szCs w:val="28"/>
        </w:rPr>
        <w:t xml:space="preserve"> </w:t>
      </w:r>
      <w:r w:rsidRPr="00EB64AB">
        <w:rPr>
          <w:rFonts w:ascii="Arial" w:hAnsi="Arial" w:cs="Arial"/>
          <w:color w:val="000000" w:themeColor="text1"/>
          <w:sz w:val="28"/>
          <w:szCs w:val="28"/>
          <w:shd w:val="clear" w:color="auto" w:fill="FFFFFF"/>
        </w:rPr>
        <w:t xml:space="preserve">Using structured communication practice such as active listening, open-ended questioning, and understanding social workers could improve their </w:t>
      </w:r>
      <w:r w:rsidRPr="00EB64AB">
        <w:rPr>
          <w:rFonts w:ascii="Arial" w:hAnsi="Arial" w:cs="Arial"/>
          <w:color w:val="000000" w:themeColor="text1"/>
          <w:sz w:val="28"/>
          <w:szCs w:val="28"/>
          <w:shd w:val="clear" w:color="auto" w:fill="FFFFFF"/>
        </w:rPr>
        <w:lastRenderedPageBreak/>
        <w:t xml:space="preserve">communication practice. This reflection on communication interactions can help social workers identify areas for the development of communication skills. </w:t>
      </w:r>
      <w:r w:rsidRPr="00EB64AB">
        <w:rPr>
          <w:rFonts w:ascii="Arial" w:hAnsi="Arial" w:cs="Arial"/>
          <w:color w:val="000000" w:themeColor="text1"/>
          <w:sz w:val="28"/>
          <w:szCs w:val="28"/>
        </w:rPr>
        <w:t>The main strength of this technique is in its ability to improve mutual understanding.</w:t>
      </w:r>
    </w:p>
    <w:p w14:paraId="7E1CE5E0" w14:textId="77777777" w:rsidR="005D7226" w:rsidRPr="00EB64AB" w:rsidRDefault="005D7226" w:rsidP="00EB64AB">
      <w:pPr>
        <w:spacing w:line="360" w:lineRule="auto"/>
        <w:rPr>
          <w:rFonts w:ascii="Arial" w:hAnsi="Arial" w:cs="Arial"/>
          <w:sz w:val="28"/>
          <w:szCs w:val="28"/>
        </w:rPr>
      </w:pPr>
    </w:p>
    <w:p w14:paraId="35ABB95D" w14:textId="77777777" w:rsidR="005D7226" w:rsidRPr="00EB64AB" w:rsidRDefault="005D7226" w:rsidP="00EB64AB">
      <w:pPr>
        <w:spacing w:line="360" w:lineRule="auto"/>
        <w:rPr>
          <w:rFonts w:ascii="Arial" w:hAnsi="Arial" w:cs="Arial"/>
          <w:color w:val="000000"/>
          <w:sz w:val="28"/>
          <w:szCs w:val="28"/>
        </w:rPr>
      </w:pPr>
      <w:r w:rsidRPr="00EB64AB">
        <w:rPr>
          <w:rFonts w:ascii="Arial" w:hAnsi="Arial" w:cs="Arial"/>
          <w:sz w:val="28"/>
          <w:szCs w:val="28"/>
        </w:rPr>
        <w:t xml:space="preserve">Strategy 2:  </w:t>
      </w:r>
      <w:r w:rsidRPr="00EB64AB">
        <w:rPr>
          <w:rFonts w:ascii="Arial" w:hAnsi="Arial" w:cs="Arial"/>
          <w:b/>
          <w:bCs/>
          <w:color w:val="000000"/>
          <w:sz w:val="28"/>
          <w:szCs w:val="28"/>
        </w:rPr>
        <w:t>Developing Empathy Through Service User Involvement</w:t>
      </w:r>
      <w:r w:rsidRPr="00EB64AB">
        <w:rPr>
          <w:rFonts w:ascii="Arial" w:hAnsi="Arial" w:cs="Arial"/>
          <w:color w:val="000000"/>
          <w:sz w:val="28"/>
          <w:szCs w:val="28"/>
        </w:rPr>
        <w:t xml:space="preserve"> </w:t>
      </w:r>
    </w:p>
    <w:p w14:paraId="17F2E959" w14:textId="77777777" w:rsidR="005D7226" w:rsidRPr="00EB64AB" w:rsidRDefault="005D7226" w:rsidP="00EB64AB">
      <w:pPr>
        <w:pStyle w:val="NormalWeb"/>
        <w:spacing w:line="360" w:lineRule="auto"/>
        <w:rPr>
          <w:rFonts w:ascii="Arial" w:hAnsi="Arial" w:cs="Arial"/>
          <w:color w:val="454545"/>
          <w:sz w:val="28"/>
          <w:szCs w:val="28"/>
        </w:rPr>
      </w:pPr>
      <w:r w:rsidRPr="00EB64AB">
        <w:rPr>
          <w:rFonts w:ascii="Arial" w:hAnsi="Arial" w:cs="Arial"/>
          <w:color w:val="000000"/>
          <w:sz w:val="28"/>
          <w:szCs w:val="28"/>
        </w:rPr>
        <w:t xml:space="preserve">One effective strategy to develop empathy is through empathy centric design and service users’ involvement. Empathy can be strengthened when care systems are designed around the perspectives of people who use them rather than being based only on the health care professionals’ assumptions (James, </w:t>
      </w:r>
      <w:proofErr w:type="gramStart"/>
      <w:r w:rsidRPr="00EB64AB">
        <w:rPr>
          <w:rFonts w:ascii="Arial" w:hAnsi="Arial" w:cs="Arial"/>
          <w:color w:val="000000"/>
          <w:sz w:val="28"/>
          <w:szCs w:val="28"/>
        </w:rPr>
        <w:t>T.A. ,</w:t>
      </w:r>
      <w:proofErr w:type="gramEnd"/>
      <w:r w:rsidRPr="00EB64AB">
        <w:rPr>
          <w:rFonts w:ascii="Arial" w:hAnsi="Arial" w:cs="Arial"/>
          <w:color w:val="000000"/>
          <w:sz w:val="28"/>
          <w:szCs w:val="28"/>
        </w:rPr>
        <w:t xml:space="preserve"> 2023) This approach is essential to understand service users’ challenges and barriers which might hold them from giving right information needed. For example, some organisations work with patience to identify quality improvement priorities based on their experience with the system. it helps to deliver better service.  </w:t>
      </w:r>
    </w:p>
    <w:p w14:paraId="5CEEB686" w14:textId="77777777" w:rsidR="005D7226" w:rsidRPr="00EB64AB" w:rsidRDefault="005D7226" w:rsidP="00EB64AB">
      <w:pPr>
        <w:spacing w:line="360" w:lineRule="auto"/>
        <w:rPr>
          <w:rFonts w:ascii="Arial" w:hAnsi="Arial" w:cs="Arial"/>
          <w:sz w:val="28"/>
          <w:szCs w:val="28"/>
        </w:rPr>
      </w:pPr>
    </w:p>
    <w:p w14:paraId="4CDD1F8D" w14:textId="77777777" w:rsidR="005D7226" w:rsidRPr="00EB64AB" w:rsidRDefault="005D7226" w:rsidP="00EB64AB">
      <w:pPr>
        <w:spacing w:line="360" w:lineRule="auto"/>
        <w:rPr>
          <w:rFonts w:ascii="Arial" w:hAnsi="Arial" w:cs="Arial"/>
          <w:b/>
          <w:bCs/>
          <w:color w:val="000000"/>
          <w:sz w:val="28"/>
          <w:szCs w:val="28"/>
        </w:rPr>
      </w:pPr>
      <w:r w:rsidRPr="00EB64AB">
        <w:rPr>
          <w:rFonts w:ascii="Arial" w:hAnsi="Arial" w:cs="Arial"/>
          <w:sz w:val="28"/>
          <w:szCs w:val="28"/>
        </w:rPr>
        <w:t xml:space="preserve">Strategy 3: </w:t>
      </w:r>
      <w:r w:rsidRPr="00EB64AB">
        <w:rPr>
          <w:rFonts w:ascii="Arial" w:hAnsi="Arial" w:cs="Arial"/>
          <w:b/>
          <w:bCs/>
          <w:color w:val="000000"/>
          <w:sz w:val="28"/>
          <w:szCs w:val="28"/>
        </w:rPr>
        <w:t>Using Structured Risk Assessment</w:t>
      </w:r>
    </w:p>
    <w:p w14:paraId="58A1B501" w14:textId="5A103B23" w:rsidR="0156E134" w:rsidRPr="00EB64AB" w:rsidRDefault="005D7226" w:rsidP="00EB64AB">
      <w:pPr>
        <w:spacing w:after="0" w:line="360" w:lineRule="auto"/>
        <w:rPr>
          <w:rFonts w:ascii="Arial" w:hAnsi="Arial" w:cs="Arial"/>
          <w:color w:val="000000"/>
          <w:sz w:val="28"/>
          <w:szCs w:val="28"/>
        </w:rPr>
      </w:pPr>
      <w:r w:rsidRPr="00EB64AB">
        <w:rPr>
          <w:rFonts w:ascii="Arial" w:hAnsi="Arial" w:cs="Arial"/>
          <w:color w:val="000000"/>
          <w:sz w:val="28"/>
          <w:szCs w:val="28"/>
        </w:rPr>
        <w:t xml:space="preserve">One of the core strategies for developing critical thinking for stuffs in adult welfare is the use of risk assessment processes. It is essential for making decisions involving safeguarding. The risk assessment involves gathering information than identifying risks and analyse the level of risk before deciding suitable interventions (SCIE, 2023). This structured approach encourages social workers think carefully about each situation rather than relying on assumptions. This strategy is effective as it supports evidence-based decision making and it helps socials workers </w:t>
      </w:r>
      <w:r w:rsidRPr="00EB64AB">
        <w:rPr>
          <w:rFonts w:ascii="Arial" w:hAnsi="Arial" w:cs="Arial"/>
          <w:color w:val="000000"/>
          <w:sz w:val="28"/>
          <w:szCs w:val="28"/>
        </w:rPr>
        <w:lastRenderedPageBreak/>
        <w:t>improve their ability to analyse information and make informed decisions that protect adults while also respecting their rights.</w:t>
      </w:r>
    </w:p>
    <w:p w14:paraId="34C68E1B" w14:textId="77777777" w:rsidR="005D7226" w:rsidRPr="00EB64AB" w:rsidRDefault="005D7226" w:rsidP="00EB64AB">
      <w:pPr>
        <w:spacing w:after="0" w:line="360" w:lineRule="auto"/>
        <w:rPr>
          <w:rFonts w:ascii="Arial" w:hAnsi="Arial" w:cs="Arial"/>
          <w:sz w:val="28"/>
          <w:szCs w:val="28"/>
        </w:rPr>
      </w:pPr>
    </w:p>
    <w:p w14:paraId="1497148C" w14:textId="5D9ACA22" w:rsidR="00A946CB" w:rsidRPr="00EB64AB" w:rsidRDefault="5617AA6E" w:rsidP="00EB64AB">
      <w:pPr>
        <w:pStyle w:val="Heading2"/>
        <w:spacing w:line="360" w:lineRule="auto"/>
        <w:rPr>
          <w:rFonts w:ascii="Arial" w:hAnsi="Arial" w:cs="Arial"/>
          <w:color w:val="4472C4" w:themeColor="accent1"/>
          <w:szCs w:val="28"/>
        </w:rPr>
      </w:pPr>
      <w:bookmarkStart w:id="6" w:name="_Toc216996652"/>
      <w:r w:rsidRPr="00EB64AB">
        <w:rPr>
          <w:rFonts w:ascii="Arial" w:hAnsi="Arial" w:cs="Arial"/>
          <w:color w:val="4471C4"/>
          <w:szCs w:val="28"/>
        </w:rPr>
        <w:t>4</w:t>
      </w:r>
      <w:r w:rsidR="00A946CB" w:rsidRPr="00EB64AB">
        <w:rPr>
          <w:rFonts w:ascii="Arial" w:hAnsi="Arial" w:cs="Arial"/>
          <w:color w:val="4471C4"/>
          <w:szCs w:val="28"/>
        </w:rPr>
        <w:t xml:space="preserve"> Conclusion</w:t>
      </w:r>
      <w:bookmarkEnd w:id="6"/>
    </w:p>
    <w:p w14:paraId="485F9D08" w14:textId="3B8D2A6D" w:rsidR="005D7226" w:rsidRPr="00EB64AB" w:rsidRDefault="005D7226" w:rsidP="00EB64AB">
      <w:pPr>
        <w:spacing w:line="360" w:lineRule="auto"/>
        <w:rPr>
          <w:rFonts w:ascii="Arial" w:hAnsi="Arial" w:cs="Arial"/>
          <w:sz w:val="28"/>
          <w:szCs w:val="28"/>
        </w:rPr>
      </w:pPr>
      <w:r w:rsidRPr="00EB64AB">
        <w:rPr>
          <w:rFonts w:ascii="Arial" w:hAnsi="Arial" w:cs="Arial"/>
          <w:sz w:val="28"/>
          <w:szCs w:val="28"/>
        </w:rPr>
        <w:t xml:space="preserve">this research proves the importance of adult welfare workers in the health and social care environment in protecting vulnerable adults and promoting their independence. it has examined the key duties of adult welfare social workers to include the assessment of needs, development of a care plan and implementing measures to safeguard vulnerable adults. The research also highlights the significance of communication skills, empathy, and critical thinking in adult welfare social work for clients. The significance of the skills lies in their ability to build trust between the social workers and the clients and develop informed judgments to safeguard adults at risk. The possible impacts of a lack of these skills have also been discussed to demonstrate how communication issues, a lack of empathy and having no critical thinking might have negative impacts on </w:t>
      </w:r>
      <w:r w:rsidR="00EB64AB" w:rsidRPr="00EB64AB">
        <w:rPr>
          <w:rFonts w:ascii="Arial" w:hAnsi="Arial" w:cs="Arial"/>
          <w:sz w:val="28"/>
          <w:szCs w:val="28"/>
        </w:rPr>
        <w:t>client’s</w:t>
      </w:r>
      <w:r w:rsidRPr="00EB64AB">
        <w:rPr>
          <w:rFonts w:ascii="Arial" w:hAnsi="Arial" w:cs="Arial"/>
          <w:sz w:val="28"/>
          <w:szCs w:val="28"/>
        </w:rPr>
        <w:t xml:space="preserve"> safety and well-being. This review also discusses strategies for developing or enhancing these skills using reflective learning, involvement of service users to facilitate empathy and risk assessment to promote critical thinking. All these strategies enhance the high-quality care delivery by the adult welfare social workers. </w:t>
      </w:r>
    </w:p>
    <w:p w14:paraId="5155B0ED" w14:textId="77777777" w:rsidR="00D676C3" w:rsidRPr="00EB64AB" w:rsidRDefault="00D676C3" w:rsidP="00EB64AB">
      <w:pPr>
        <w:pStyle w:val="ListParagraph"/>
        <w:spacing w:after="0" w:line="360" w:lineRule="auto"/>
        <w:rPr>
          <w:rFonts w:ascii="Arial" w:hAnsi="Arial" w:cs="Arial"/>
          <w:sz w:val="28"/>
          <w:szCs w:val="28"/>
        </w:rPr>
      </w:pPr>
    </w:p>
    <w:p w14:paraId="6C4B494D" w14:textId="3FD9A722" w:rsidR="00226D31" w:rsidRPr="00EB64AB" w:rsidRDefault="00226D31" w:rsidP="00EB64AB">
      <w:pPr>
        <w:pStyle w:val="Heading2"/>
        <w:spacing w:line="360" w:lineRule="auto"/>
        <w:rPr>
          <w:rFonts w:ascii="Arial" w:hAnsi="Arial" w:cs="Arial"/>
          <w:color w:val="4472C4" w:themeColor="accent1"/>
          <w:szCs w:val="28"/>
        </w:rPr>
      </w:pPr>
      <w:bookmarkStart w:id="7" w:name="_Toc216996653"/>
      <w:r w:rsidRPr="00EB64AB">
        <w:rPr>
          <w:rFonts w:ascii="Arial" w:hAnsi="Arial" w:cs="Arial"/>
          <w:color w:val="4471C4"/>
          <w:szCs w:val="28"/>
        </w:rPr>
        <w:t>5 Reference List</w:t>
      </w:r>
      <w:bookmarkEnd w:id="7"/>
    </w:p>
    <w:p w14:paraId="6498774F" w14:textId="77777777" w:rsidR="005D7226" w:rsidRPr="00EB64AB" w:rsidRDefault="005D7226" w:rsidP="00EB64AB">
      <w:pPr>
        <w:pStyle w:val="NormalWeb"/>
        <w:spacing w:line="360" w:lineRule="auto"/>
        <w:rPr>
          <w:rFonts w:ascii="Arial" w:hAnsi="Arial" w:cs="Arial"/>
          <w:color w:val="000000"/>
          <w:sz w:val="28"/>
          <w:szCs w:val="28"/>
        </w:rPr>
      </w:pPr>
      <w:r w:rsidRPr="00EB64AB">
        <w:rPr>
          <w:rStyle w:val="Strong"/>
          <w:rFonts w:ascii="Arial" w:eastAsiaTheme="majorEastAsia" w:hAnsi="Arial" w:cs="Arial"/>
          <w:color w:val="000000"/>
          <w:sz w:val="28"/>
          <w:szCs w:val="28"/>
        </w:rPr>
        <w:t>National Careers Service. (2024).</w:t>
      </w:r>
      <w:r w:rsidRPr="00EB64AB">
        <w:rPr>
          <w:rStyle w:val="apple-converted-space"/>
          <w:rFonts w:ascii="Arial" w:eastAsiaTheme="majorEastAsia" w:hAnsi="Arial" w:cs="Arial"/>
          <w:color w:val="000000"/>
          <w:sz w:val="28"/>
          <w:szCs w:val="28"/>
        </w:rPr>
        <w:t> </w:t>
      </w:r>
      <w:r w:rsidRPr="00EB64AB">
        <w:rPr>
          <w:rStyle w:val="Emphasis"/>
          <w:rFonts w:ascii="Arial" w:eastAsiaTheme="majorEastAsia" w:hAnsi="Arial" w:cs="Arial"/>
          <w:color w:val="000000"/>
          <w:sz w:val="28"/>
          <w:szCs w:val="28"/>
        </w:rPr>
        <w:t>Social worker job profile</w:t>
      </w:r>
      <w:r w:rsidRPr="00EB64AB">
        <w:rPr>
          <w:rFonts w:ascii="Arial" w:hAnsi="Arial" w:cs="Arial"/>
          <w:color w:val="000000"/>
          <w:sz w:val="28"/>
          <w:szCs w:val="28"/>
        </w:rPr>
        <w:t>.</w:t>
      </w:r>
      <w:r w:rsidRPr="00EB64AB">
        <w:rPr>
          <w:rFonts w:ascii="Arial" w:hAnsi="Arial" w:cs="Arial"/>
          <w:color w:val="000000"/>
          <w:sz w:val="28"/>
          <w:szCs w:val="28"/>
        </w:rPr>
        <w:br/>
      </w:r>
      <w:hyperlink r:id="rId9" w:tgtFrame="_new" w:history="1">
        <w:r w:rsidRPr="00EB64AB">
          <w:rPr>
            <w:rStyle w:val="Hyperlink"/>
            <w:rFonts w:ascii="Arial" w:eastAsiaTheme="majorEastAsia" w:hAnsi="Arial" w:cs="Arial"/>
            <w:sz w:val="28"/>
            <w:szCs w:val="28"/>
          </w:rPr>
          <w:t>https://nationalcareers.service.gov.uk/job-profiles/social-worker</w:t>
        </w:r>
      </w:hyperlink>
      <w:r w:rsidRPr="00EB64AB">
        <w:rPr>
          <w:rStyle w:val="apple-converted-space"/>
          <w:rFonts w:ascii="Arial" w:eastAsiaTheme="majorEastAsia" w:hAnsi="Arial" w:cs="Arial"/>
          <w:color w:val="000000"/>
          <w:sz w:val="28"/>
          <w:szCs w:val="28"/>
        </w:rPr>
        <w:t> </w:t>
      </w:r>
      <w:hyperlink r:id="rId10" w:tgtFrame="_blank" w:history="1">
        <w:r w:rsidRPr="00EB64AB">
          <w:rPr>
            <w:rStyle w:val="max-w-15ch"/>
            <w:rFonts w:ascii="Arial" w:hAnsi="Arial" w:cs="Arial"/>
            <w:color w:val="0000FF"/>
            <w:sz w:val="28"/>
            <w:szCs w:val="28"/>
            <w:u w:val="single"/>
          </w:rPr>
          <w:t>National Careers Service</w:t>
        </w:r>
      </w:hyperlink>
      <w:r w:rsidRPr="00EB64AB">
        <w:rPr>
          <w:rFonts w:ascii="Arial" w:hAnsi="Arial" w:cs="Arial"/>
          <w:sz w:val="28"/>
          <w:szCs w:val="28"/>
        </w:rPr>
        <w:t xml:space="preserve"> (Accessed : 16 December 2025).</w:t>
      </w:r>
    </w:p>
    <w:p w14:paraId="48260371" w14:textId="77777777" w:rsidR="005D7226" w:rsidRPr="00EB64AB" w:rsidRDefault="005D7226" w:rsidP="00EB64AB">
      <w:pPr>
        <w:pStyle w:val="NormalWeb"/>
        <w:spacing w:line="360" w:lineRule="auto"/>
        <w:rPr>
          <w:rFonts w:ascii="Arial" w:hAnsi="Arial" w:cs="Arial"/>
          <w:color w:val="000000"/>
          <w:sz w:val="28"/>
          <w:szCs w:val="28"/>
        </w:rPr>
      </w:pPr>
      <w:r w:rsidRPr="00EB64AB">
        <w:rPr>
          <w:rStyle w:val="Strong"/>
          <w:rFonts w:ascii="Arial" w:eastAsiaTheme="majorEastAsia" w:hAnsi="Arial" w:cs="Arial"/>
          <w:color w:val="000000"/>
          <w:sz w:val="28"/>
          <w:szCs w:val="28"/>
        </w:rPr>
        <w:lastRenderedPageBreak/>
        <w:t>Moudatsou, M., Stavropoulou, A., Philalithis, A., &amp; Koukouli, S. (2020).</w:t>
      </w:r>
      <w:r w:rsidRPr="00EB64AB">
        <w:rPr>
          <w:rStyle w:val="apple-converted-space"/>
          <w:rFonts w:ascii="Arial" w:eastAsiaTheme="majorEastAsia" w:hAnsi="Arial" w:cs="Arial"/>
          <w:color w:val="000000"/>
          <w:sz w:val="28"/>
          <w:szCs w:val="28"/>
        </w:rPr>
        <w:t> </w:t>
      </w:r>
      <w:r w:rsidRPr="00EB64AB">
        <w:rPr>
          <w:rStyle w:val="Emphasis"/>
          <w:rFonts w:ascii="Arial" w:eastAsiaTheme="majorEastAsia" w:hAnsi="Arial" w:cs="Arial"/>
          <w:color w:val="000000"/>
          <w:sz w:val="28"/>
          <w:szCs w:val="28"/>
        </w:rPr>
        <w:t>The role of empathy in health and social care professionals</w:t>
      </w:r>
      <w:r w:rsidRPr="00EB64AB">
        <w:rPr>
          <w:rFonts w:ascii="Arial" w:hAnsi="Arial" w:cs="Arial"/>
          <w:color w:val="000000"/>
          <w:sz w:val="28"/>
          <w:szCs w:val="28"/>
        </w:rPr>
        <w:t>.</w:t>
      </w:r>
      <w:r w:rsidRPr="00EB64AB">
        <w:rPr>
          <w:rStyle w:val="apple-converted-space"/>
          <w:rFonts w:ascii="Arial" w:eastAsiaTheme="majorEastAsia" w:hAnsi="Arial" w:cs="Arial"/>
          <w:color w:val="000000"/>
          <w:sz w:val="28"/>
          <w:szCs w:val="28"/>
        </w:rPr>
        <w:t> </w:t>
      </w:r>
      <w:r w:rsidRPr="00EB64AB">
        <w:rPr>
          <w:rStyle w:val="Emphasis"/>
          <w:rFonts w:ascii="Arial" w:eastAsiaTheme="majorEastAsia" w:hAnsi="Arial" w:cs="Arial"/>
          <w:color w:val="000000"/>
          <w:sz w:val="28"/>
          <w:szCs w:val="28"/>
        </w:rPr>
        <w:t>Healthcare</w:t>
      </w:r>
      <w:r w:rsidRPr="00EB64AB">
        <w:rPr>
          <w:rFonts w:ascii="Arial" w:hAnsi="Arial" w:cs="Arial"/>
          <w:color w:val="000000"/>
          <w:sz w:val="28"/>
          <w:szCs w:val="28"/>
        </w:rPr>
        <w:t>, 8(1), Article 26.</w:t>
      </w:r>
      <w:r w:rsidRPr="00EB64AB">
        <w:rPr>
          <w:rStyle w:val="apple-converted-space"/>
          <w:rFonts w:ascii="Arial" w:eastAsiaTheme="majorEastAsia" w:hAnsi="Arial" w:cs="Arial"/>
          <w:color w:val="000000"/>
          <w:sz w:val="28"/>
          <w:szCs w:val="28"/>
        </w:rPr>
        <w:t> </w:t>
      </w:r>
      <w:hyperlink r:id="rId11" w:tgtFrame="_new" w:history="1">
        <w:r w:rsidRPr="00EB64AB">
          <w:rPr>
            <w:rStyle w:val="Hyperlink"/>
            <w:rFonts w:ascii="Arial" w:eastAsiaTheme="majorEastAsia" w:hAnsi="Arial" w:cs="Arial"/>
            <w:sz w:val="28"/>
            <w:szCs w:val="28"/>
          </w:rPr>
          <w:t>https://doi.org/10.3390/healthcare8010026</w:t>
        </w:r>
      </w:hyperlink>
      <w:r w:rsidRPr="00EB64AB">
        <w:rPr>
          <w:rStyle w:val="apple-converted-space"/>
          <w:rFonts w:ascii="Arial" w:eastAsiaTheme="majorEastAsia" w:hAnsi="Arial" w:cs="Arial"/>
          <w:color w:val="000000"/>
          <w:sz w:val="28"/>
          <w:szCs w:val="28"/>
        </w:rPr>
        <w:t> </w:t>
      </w:r>
      <w:hyperlink r:id="rId12" w:tgtFrame="_blank" w:history="1">
        <w:r w:rsidRPr="00EB64AB">
          <w:rPr>
            <w:rStyle w:val="max-w-15ch"/>
            <w:rFonts w:ascii="Arial" w:hAnsi="Arial" w:cs="Arial"/>
            <w:color w:val="0000FF"/>
            <w:sz w:val="28"/>
            <w:szCs w:val="28"/>
            <w:u w:val="single"/>
          </w:rPr>
          <w:t>DOI</w:t>
        </w:r>
      </w:hyperlink>
      <w:r w:rsidRPr="00EB64AB">
        <w:rPr>
          <w:rFonts w:ascii="Arial" w:hAnsi="Arial" w:cs="Arial"/>
          <w:sz w:val="28"/>
          <w:szCs w:val="28"/>
        </w:rPr>
        <w:t xml:space="preserve"> </w:t>
      </w:r>
    </w:p>
    <w:p w14:paraId="755EEC8D" w14:textId="77777777" w:rsidR="005D7226" w:rsidRPr="00EB64AB" w:rsidRDefault="005D7226" w:rsidP="00EB64AB">
      <w:pPr>
        <w:pStyle w:val="NormalWeb"/>
        <w:spacing w:line="360" w:lineRule="auto"/>
        <w:rPr>
          <w:rFonts w:ascii="Arial" w:hAnsi="Arial" w:cs="Arial"/>
          <w:color w:val="000000"/>
          <w:sz w:val="28"/>
          <w:szCs w:val="28"/>
        </w:rPr>
      </w:pPr>
      <w:r w:rsidRPr="00EB64AB">
        <w:rPr>
          <w:rStyle w:val="Strong"/>
          <w:rFonts w:ascii="Arial" w:eastAsiaTheme="majorEastAsia" w:hAnsi="Arial" w:cs="Arial"/>
          <w:color w:val="000000"/>
          <w:sz w:val="28"/>
          <w:szCs w:val="28"/>
        </w:rPr>
        <w:t>Reith-Hall, E., &amp; Montgomery, P. (2022).</w:t>
      </w:r>
      <w:r w:rsidRPr="00EB64AB">
        <w:rPr>
          <w:rStyle w:val="apple-converted-space"/>
          <w:rFonts w:ascii="Arial" w:eastAsiaTheme="majorEastAsia" w:hAnsi="Arial" w:cs="Arial"/>
          <w:color w:val="000000"/>
          <w:sz w:val="28"/>
          <w:szCs w:val="28"/>
        </w:rPr>
        <w:t> </w:t>
      </w:r>
      <w:r w:rsidRPr="00EB64AB">
        <w:rPr>
          <w:rStyle w:val="Emphasis"/>
          <w:rFonts w:ascii="Arial" w:eastAsiaTheme="majorEastAsia" w:hAnsi="Arial" w:cs="Arial"/>
          <w:color w:val="000000"/>
          <w:sz w:val="28"/>
          <w:szCs w:val="28"/>
        </w:rPr>
        <w:t>The teaching and learning of communication skills in social work education: A systematic review</w:t>
      </w:r>
      <w:r w:rsidRPr="00EB64AB">
        <w:rPr>
          <w:rFonts w:ascii="Arial" w:hAnsi="Arial" w:cs="Arial"/>
          <w:color w:val="000000"/>
          <w:sz w:val="28"/>
          <w:szCs w:val="28"/>
        </w:rPr>
        <w:t>.</w:t>
      </w:r>
      <w:r w:rsidRPr="00EB64AB">
        <w:rPr>
          <w:rStyle w:val="apple-converted-space"/>
          <w:rFonts w:ascii="Arial" w:eastAsiaTheme="majorEastAsia" w:hAnsi="Arial" w:cs="Arial"/>
          <w:color w:val="000000"/>
          <w:sz w:val="28"/>
          <w:szCs w:val="28"/>
        </w:rPr>
        <w:t> </w:t>
      </w:r>
      <w:r w:rsidRPr="00EB64AB">
        <w:rPr>
          <w:rStyle w:val="Emphasis"/>
          <w:rFonts w:ascii="Arial" w:eastAsiaTheme="majorEastAsia" w:hAnsi="Arial" w:cs="Arial"/>
          <w:color w:val="000000"/>
          <w:sz w:val="28"/>
          <w:szCs w:val="28"/>
        </w:rPr>
        <w:t>Research on Social Work Practice</w:t>
      </w:r>
      <w:r w:rsidRPr="00EB64AB">
        <w:rPr>
          <w:rFonts w:ascii="Arial" w:hAnsi="Arial" w:cs="Arial"/>
          <w:color w:val="000000"/>
          <w:sz w:val="28"/>
          <w:szCs w:val="28"/>
        </w:rPr>
        <w:t>.</w:t>
      </w:r>
      <w:r w:rsidRPr="00EB64AB">
        <w:rPr>
          <w:rStyle w:val="apple-converted-space"/>
          <w:rFonts w:ascii="Arial" w:eastAsiaTheme="majorEastAsia" w:hAnsi="Arial" w:cs="Arial"/>
          <w:color w:val="000000"/>
          <w:sz w:val="28"/>
          <w:szCs w:val="28"/>
        </w:rPr>
        <w:t> </w:t>
      </w:r>
      <w:hyperlink r:id="rId13" w:tgtFrame="_new" w:history="1">
        <w:r w:rsidRPr="00EB64AB">
          <w:rPr>
            <w:rStyle w:val="Hyperlink"/>
            <w:rFonts w:ascii="Arial" w:eastAsiaTheme="majorEastAsia" w:hAnsi="Arial" w:cs="Arial"/>
            <w:sz w:val="28"/>
            <w:szCs w:val="28"/>
          </w:rPr>
          <w:t>https://journals.sagepub.com/doi/10.1177/10497315221088285</w:t>
        </w:r>
      </w:hyperlink>
      <w:r w:rsidRPr="00EB64AB">
        <w:rPr>
          <w:rStyle w:val="apple-converted-space"/>
          <w:rFonts w:ascii="Arial" w:eastAsiaTheme="majorEastAsia" w:hAnsi="Arial" w:cs="Arial"/>
          <w:color w:val="000000"/>
          <w:sz w:val="28"/>
          <w:szCs w:val="28"/>
        </w:rPr>
        <w:t> </w:t>
      </w:r>
      <w:hyperlink r:id="rId14" w:tgtFrame="_blank" w:history="1">
        <w:r w:rsidRPr="00EB64AB">
          <w:rPr>
            <w:rStyle w:val="max-w-15ch"/>
            <w:rFonts w:ascii="Arial" w:hAnsi="Arial" w:cs="Arial"/>
            <w:color w:val="0000FF"/>
            <w:sz w:val="28"/>
            <w:szCs w:val="28"/>
            <w:u w:val="single"/>
          </w:rPr>
          <w:t>SAGE Journals</w:t>
        </w:r>
      </w:hyperlink>
      <w:r w:rsidRPr="00EB64AB">
        <w:rPr>
          <w:rFonts w:ascii="Arial" w:hAnsi="Arial" w:cs="Arial"/>
          <w:sz w:val="28"/>
          <w:szCs w:val="28"/>
        </w:rPr>
        <w:t xml:space="preserve"> </w:t>
      </w:r>
    </w:p>
    <w:p w14:paraId="55A5C9A5" w14:textId="77777777" w:rsidR="005D7226" w:rsidRPr="00EB64AB" w:rsidRDefault="005D7226" w:rsidP="00EB64AB">
      <w:pPr>
        <w:pStyle w:val="NormalWeb"/>
        <w:spacing w:line="360" w:lineRule="auto"/>
        <w:rPr>
          <w:rFonts w:ascii="Arial" w:hAnsi="Arial" w:cs="Arial"/>
          <w:color w:val="000000"/>
          <w:sz w:val="28"/>
          <w:szCs w:val="28"/>
        </w:rPr>
      </w:pPr>
      <w:r w:rsidRPr="00EB64AB">
        <w:rPr>
          <w:rFonts w:ascii="Arial" w:hAnsi="Arial" w:cs="Arial"/>
          <w:b/>
          <w:bCs/>
          <w:color w:val="000000"/>
          <w:sz w:val="28"/>
          <w:szCs w:val="28"/>
        </w:rPr>
        <w:t>Howick, J., Moscrop, A., &amp; Mebius, A. (2024)</w:t>
      </w:r>
      <w:r w:rsidRPr="00EB64AB">
        <w:rPr>
          <w:rStyle w:val="apple-converted-space"/>
          <w:rFonts w:ascii="Arial" w:eastAsiaTheme="majorEastAsia" w:hAnsi="Arial" w:cs="Arial"/>
          <w:color w:val="000000"/>
          <w:sz w:val="28"/>
          <w:szCs w:val="28"/>
        </w:rPr>
        <w:t> </w:t>
      </w:r>
      <w:r w:rsidRPr="00EB64AB">
        <w:rPr>
          <w:rStyle w:val="Emphasis"/>
          <w:rFonts w:ascii="Arial" w:eastAsiaTheme="majorEastAsia" w:hAnsi="Arial" w:cs="Arial"/>
          <w:color w:val="000000"/>
          <w:sz w:val="28"/>
          <w:szCs w:val="28"/>
        </w:rPr>
        <w:t>How does communication affect patient safety? Protocol for a systematic review and logic model</w:t>
      </w:r>
      <w:r w:rsidRPr="00EB64AB">
        <w:rPr>
          <w:rFonts w:ascii="Arial" w:hAnsi="Arial" w:cs="Arial"/>
          <w:color w:val="000000"/>
          <w:sz w:val="28"/>
          <w:szCs w:val="28"/>
        </w:rPr>
        <w:t>.</w:t>
      </w:r>
      <w:r w:rsidRPr="00EB64AB">
        <w:rPr>
          <w:rStyle w:val="apple-converted-space"/>
          <w:rFonts w:ascii="Arial" w:eastAsiaTheme="majorEastAsia" w:hAnsi="Arial" w:cs="Arial"/>
          <w:color w:val="000000"/>
          <w:sz w:val="28"/>
          <w:szCs w:val="28"/>
        </w:rPr>
        <w:t> </w:t>
      </w:r>
      <w:r w:rsidRPr="00EB64AB">
        <w:rPr>
          <w:rStyle w:val="Strong"/>
          <w:rFonts w:ascii="Arial" w:eastAsiaTheme="majorEastAsia" w:hAnsi="Arial" w:cs="Arial"/>
          <w:color w:val="000000"/>
          <w:sz w:val="28"/>
          <w:szCs w:val="28"/>
        </w:rPr>
        <w:t>BMJ Open</w:t>
      </w:r>
      <w:r w:rsidRPr="00EB64AB">
        <w:rPr>
          <w:rFonts w:ascii="Arial" w:hAnsi="Arial" w:cs="Arial"/>
          <w:color w:val="000000"/>
          <w:sz w:val="28"/>
          <w:szCs w:val="28"/>
        </w:rPr>
        <w:t xml:space="preserve">, 14(5), e085312. Available at: </w:t>
      </w:r>
      <w:hyperlink r:id="rId15" w:history="1">
        <w:r w:rsidRPr="00EB64AB">
          <w:rPr>
            <w:rStyle w:val="Hyperlink"/>
            <w:rFonts w:ascii="Arial" w:hAnsi="Arial" w:cs="Arial"/>
            <w:sz w:val="28"/>
            <w:szCs w:val="28"/>
          </w:rPr>
          <w:t>https://bmjopen.bmj.com/content/14/5/e085312</w:t>
        </w:r>
      </w:hyperlink>
      <w:r w:rsidRPr="00EB64AB">
        <w:rPr>
          <w:rFonts w:ascii="Arial" w:hAnsi="Arial" w:cs="Arial"/>
          <w:color w:val="000000"/>
          <w:sz w:val="28"/>
          <w:szCs w:val="28"/>
        </w:rPr>
        <w:t xml:space="preserve"> </w:t>
      </w:r>
    </w:p>
    <w:p w14:paraId="5435927C" w14:textId="77777777" w:rsidR="005D7226" w:rsidRPr="00EB64AB" w:rsidRDefault="005D7226" w:rsidP="00EB64AB">
      <w:pPr>
        <w:pStyle w:val="NormalWeb"/>
        <w:spacing w:line="360" w:lineRule="auto"/>
        <w:rPr>
          <w:rFonts w:ascii="Arial" w:hAnsi="Arial" w:cs="Arial"/>
          <w:color w:val="000000"/>
          <w:sz w:val="28"/>
          <w:szCs w:val="28"/>
        </w:rPr>
      </w:pPr>
      <w:r w:rsidRPr="00EB64AB">
        <w:rPr>
          <w:rStyle w:val="Strong"/>
          <w:rFonts w:ascii="Arial" w:eastAsiaTheme="majorEastAsia" w:hAnsi="Arial" w:cs="Arial"/>
          <w:color w:val="000000"/>
          <w:sz w:val="28"/>
          <w:szCs w:val="28"/>
        </w:rPr>
        <w:t>Social Care Institute for Excellence. (2023).</w:t>
      </w:r>
      <w:r w:rsidRPr="00EB64AB">
        <w:rPr>
          <w:rStyle w:val="apple-converted-space"/>
          <w:rFonts w:ascii="Arial" w:eastAsiaTheme="majorEastAsia" w:hAnsi="Arial" w:cs="Arial"/>
          <w:color w:val="000000"/>
          <w:sz w:val="28"/>
          <w:szCs w:val="28"/>
        </w:rPr>
        <w:t> </w:t>
      </w:r>
      <w:r w:rsidRPr="00EB64AB">
        <w:rPr>
          <w:rStyle w:val="Emphasis"/>
          <w:rFonts w:ascii="Arial" w:eastAsiaTheme="majorEastAsia" w:hAnsi="Arial" w:cs="Arial"/>
          <w:color w:val="000000"/>
          <w:sz w:val="28"/>
          <w:szCs w:val="28"/>
        </w:rPr>
        <w:t>Risk assessment process and key points to risk identification</w:t>
      </w:r>
      <w:r w:rsidRPr="00EB64AB">
        <w:rPr>
          <w:rFonts w:ascii="Arial" w:hAnsi="Arial" w:cs="Arial"/>
          <w:color w:val="000000"/>
          <w:sz w:val="28"/>
          <w:szCs w:val="28"/>
        </w:rPr>
        <w:t>.</w:t>
      </w:r>
      <w:r w:rsidRPr="00EB64AB">
        <w:rPr>
          <w:rStyle w:val="apple-converted-space"/>
          <w:rFonts w:ascii="Arial" w:eastAsiaTheme="majorEastAsia" w:hAnsi="Arial" w:cs="Arial"/>
          <w:color w:val="000000"/>
          <w:sz w:val="28"/>
          <w:szCs w:val="28"/>
        </w:rPr>
        <w:t> </w:t>
      </w:r>
      <w:hyperlink r:id="rId16" w:tgtFrame="_new" w:history="1">
        <w:r w:rsidRPr="00EB64AB">
          <w:rPr>
            <w:rStyle w:val="Hyperlink"/>
            <w:rFonts w:ascii="Arial" w:eastAsiaTheme="majorEastAsia" w:hAnsi="Arial" w:cs="Arial"/>
            <w:sz w:val="28"/>
            <w:szCs w:val="28"/>
          </w:rPr>
          <w:t>https://www.scie.org.uk/social-work/advice-best-practice/risk-assessment-process/</w:t>
        </w:r>
      </w:hyperlink>
      <w:r w:rsidRPr="00EB64AB">
        <w:rPr>
          <w:rFonts w:ascii="Arial" w:hAnsi="Arial" w:cs="Arial"/>
          <w:sz w:val="28"/>
          <w:szCs w:val="28"/>
        </w:rPr>
        <w:t xml:space="preserve"> </w:t>
      </w:r>
      <w:r w:rsidRPr="00EB64AB">
        <w:rPr>
          <w:rFonts w:ascii="Arial" w:hAnsi="Arial" w:cs="Arial"/>
          <w:color w:val="000000"/>
          <w:sz w:val="28"/>
          <w:szCs w:val="28"/>
        </w:rPr>
        <w:t>(Accessed: 16 December 2025)</w:t>
      </w:r>
    </w:p>
    <w:p w14:paraId="26418D31" w14:textId="77777777" w:rsidR="005D7226" w:rsidRPr="00EB64AB" w:rsidRDefault="005D7226" w:rsidP="00EB64AB">
      <w:pPr>
        <w:spacing w:line="360" w:lineRule="auto"/>
        <w:rPr>
          <w:rFonts w:ascii="Arial" w:hAnsi="Arial" w:cs="Arial"/>
          <w:sz w:val="28"/>
          <w:szCs w:val="28"/>
        </w:rPr>
      </w:pPr>
      <w:r w:rsidRPr="00EB64AB">
        <w:rPr>
          <w:rFonts w:ascii="Arial" w:hAnsi="Arial" w:cs="Arial"/>
          <w:b/>
          <w:bCs/>
          <w:color w:val="000000"/>
          <w:sz w:val="28"/>
          <w:szCs w:val="28"/>
        </w:rPr>
        <w:t>James, T.A. (2023)</w:t>
      </w:r>
      <w:r w:rsidRPr="00EB64AB">
        <w:rPr>
          <w:rStyle w:val="apple-converted-space"/>
          <w:rFonts w:ascii="Arial" w:hAnsi="Arial" w:cs="Arial"/>
          <w:color w:val="000000"/>
          <w:sz w:val="28"/>
          <w:szCs w:val="28"/>
        </w:rPr>
        <w:t> </w:t>
      </w:r>
      <w:r w:rsidRPr="00EB64AB">
        <w:rPr>
          <w:rStyle w:val="Emphasis"/>
          <w:rFonts w:ascii="Arial" w:hAnsi="Arial" w:cs="Arial"/>
          <w:color w:val="000000"/>
          <w:sz w:val="28"/>
          <w:szCs w:val="28"/>
        </w:rPr>
        <w:t>Building empathy into the structure of health care</w:t>
      </w:r>
      <w:r w:rsidRPr="00EB64AB">
        <w:rPr>
          <w:rFonts w:ascii="Arial" w:hAnsi="Arial" w:cs="Arial"/>
          <w:color w:val="000000"/>
          <w:sz w:val="28"/>
          <w:szCs w:val="28"/>
        </w:rPr>
        <w:t>. Harvard Medical School Insights. Available at:</w:t>
      </w:r>
      <w:r w:rsidRPr="00EB64AB">
        <w:rPr>
          <w:rStyle w:val="apple-converted-space"/>
          <w:rFonts w:ascii="Arial" w:hAnsi="Arial" w:cs="Arial"/>
          <w:color w:val="000000"/>
          <w:sz w:val="28"/>
          <w:szCs w:val="28"/>
        </w:rPr>
        <w:t> </w:t>
      </w:r>
      <w:hyperlink r:id="rId17" w:tgtFrame="_new" w:history="1">
        <w:r w:rsidRPr="00EB64AB">
          <w:rPr>
            <w:rStyle w:val="Hyperlink"/>
            <w:rFonts w:ascii="Arial" w:hAnsi="Arial" w:cs="Arial"/>
            <w:sz w:val="28"/>
            <w:szCs w:val="28"/>
          </w:rPr>
          <w:t>https://learn.hms.harvard.edu/insights/all-insights/building-empathy-structure-health-care</w:t>
        </w:r>
      </w:hyperlink>
      <w:r w:rsidRPr="00EB64AB">
        <w:rPr>
          <w:rStyle w:val="apple-converted-space"/>
          <w:rFonts w:ascii="Arial" w:hAnsi="Arial" w:cs="Arial"/>
          <w:color w:val="000000"/>
          <w:sz w:val="28"/>
          <w:szCs w:val="28"/>
        </w:rPr>
        <w:t> </w:t>
      </w:r>
      <w:r w:rsidRPr="00EB64AB">
        <w:rPr>
          <w:rFonts w:ascii="Arial" w:hAnsi="Arial" w:cs="Arial"/>
          <w:color w:val="000000"/>
          <w:sz w:val="28"/>
          <w:szCs w:val="28"/>
        </w:rPr>
        <w:t>.</w:t>
      </w:r>
    </w:p>
    <w:p w14:paraId="1D0F2D59" w14:textId="04FD5966" w:rsidR="004552CE" w:rsidRPr="005E44B5" w:rsidRDefault="004552CE" w:rsidP="005E44B5">
      <w:pPr>
        <w:rPr>
          <w:color w:val="FF0000"/>
        </w:rPr>
      </w:pPr>
    </w:p>
    <w:sectPr w:rsidR="004552CE" w:rsidRPr="005E44B5" w:rsidSect="00D676C3">
      <w:headerReference w:type="even" r:id="rId18"/>
      <w:head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54973" w14:textId="77777777" w:rsidR="001B4077" w:rsidRDefault="001B4077" w:rsidP="003C7C97">
      <w:pPr>
        <w:spacing w:after="0" w:line="240" w:lineRule="auto"/>
      </w:pPr>
      <w:r>
        <w:separator/>
      </w:r>
    </w:p>
  </w:endnote>
  <w:endnote w:type="continuationSeparator" w:id="0">
    <w:p w14:paraId="467D2686" w14:textId="77777777" w:rsidR="001B4077" w:rsidRDefault="001B4077"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B1342" w14:textId="77777777" w:rsidR="001B4077" w:rsidRDefault="001B4077" w:rsidP="003C7C97">
      <w:pPr>
        <w:spacing w:after="0" w:line="240" w:lineRule="auto"/>
      </w:pPr>
      <w:r>
        <w:separator/>
      </w:r>
    </w:p>
  </w:footnote>
  <w:footnote w:type="continuationSeparator" w:id="0">
    <w:p w14:paraId="46961905" w14:textId="77777777" w:rsidR="001B4077" w:rsidRDefault="001B4077"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140E8BC"/>
    <w:lvl w:ilvl="0" w:tplc="F2426C26">
      <w:start w:val="1"/>
      <w:numFmt w:val="bullet"/>
      <w:lvlText w:val=""/>
      <w:lvlJc w:val="left"/>
      <w:pPr>
        <w:ind w:left="720" w:hanging="360"/>
      </w:pPr>
      <w:rPr>
        <w:rFonts w:ascii="Symbol" w:hAnsi="Symbol" w:hint="default"/>
      </w:rPr>
    </w:lvl>
    <w:lvl w:ilvl="1" w:tplc="88F2108C">
      <w:start w:val="1"/>
      <w:numFmt w:val="bullet"/>
      <w:lvlText w:val="o"/>
      <w:lvlJc w:val="left"/>
      <w:pPr>
        <w:ind w:left="1440" w:hanging="360"/>
      </w:pPr>
      <w:rPr>
        <w:rFonts w:ascii="Courier New" w:hAnsi="Courier New" w:hint="default"/>
      </w:rPr>
    </w:lvl>
    <w:lvl w:ilvl="2" w:tplc="4F1A2AC0">
      <w:start w:val="1"/>
      <w:numFmt w:val="bullet"/>
      <w:lvlText w:val=""/>
      <w:lvlJc w:val="left"/>
      <w:pPr>
        <w:ind w:left="2160" w:hanging="360"/>
      </w:pPr>
      <w:rPr>
        <w:rFonts w:ascii="Wingdings" w:hAnsi="Wingdings" w:hint="default"/>
      </w:rPr>
    </w:lvl>
    <w:lvl w:ilvl="3" w:tplc="6E74B096">
      <w:start w:val="1"/>
      <w:numFmt w:val="bullet"/>
      <w:lvlText w:val=""/>
      <w:lvlJc w:val="left"/>
      <w:pPr>
        <w:ind w:left="2880" w:hanging="360"/>
      </w:pPr>
      <w:rPr>
        <w:rFonts w:ascii="Symbol" w:hAnsi="Symbol" w:hint="default"/>
      </w:rPr>
    </w:lvl>
    <w:lvl w:ilvl="4" w:tplc="20F609C0">
      <w:start w:val="1"/>
      <w:numFmt w:val="bullet"/>
      <w:lvlText w:val="o"/>
      <w:lvlJc w:val="left"/>
      <w:pPr>
        <w:ind w:left="3600" w:hanging="360"/>
      </w:pPr>
      <w:rPr>
        <w:rFonts w:ascii="Courier New" w:hAnsi="Courier New" w:hint="default"/>
      </w:rPr>
    </w:lvl>
    <w:lvl w:ilvl="5" w:tplc="8182D2AE">
      <w:start w:val="1"/>
      <w:numFmt w:val="bullet"/>
      <w:lvlText w:val=""/>
      <w:lvlJc w:val="left"/>
      <w:pPr>
        <w:ind w:left="4320" w:hanging="360"/>
      </w:pPr>
      <w:rPr>
        <w:rFonts w:ascii="Wingdings" w:hAnsi="Wingdings" w:hint="default"/>
      </w:rPr>
    </w:lvl>
    <w:lvl w:ilvl="6" w:tplc="0576EAAA">
      <w:start w:val="1"/>
      <w:numFmt w:val="bullet"/>
      <w:lvlText w:val=""/>
      <w:lvlJc w:val="left"/>
      <w:pPr>
        <w:ind w:left="5040" w:hanging="360"/>
      </w:pPr>
      <w:rPr>
        <w:rFonts w:ascii="Symbol" w:hAnsi="Symbol" w:hint="default"/>
      </w:rPr>
    </w:lvl>
    <w:lvl w:ilvl="7" w:tplc="1E04D954">
      <w:start w:val="1"/>
      <w:numFmt w:val="bullet"/>
      <w:lvlText w:val="o"/>
      <w:lvlJc w:val="left"/>
      <w:pPr>
        <w:ind w:left="5760" w:hanging="360"/>
      </w:pPr>
      <w:rPr>
        <w:rFonts w:ascii="Courier New" w:hAnsi="Courier New" w:hint="default"/>
      </w:rPr>
    </w:lvl>
    <w:lvl w:ilvl="8" w:tplc="124C368C">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653C3214"/>
    <w:lvl w:ilvl="0" w:tplc="7A209902">
      <w:start w:val="1"/>
      <w:numFmt w:val="bullet"/>
      <w:lvlText w:val=""/>
      <w:lvlJc w:val="left"/>
      <w:pPr>
        <w:ind w:left="720" w:hanging="360"/>
      </w:pPr>
      <w:rPr>
        <w:rFonts w:ascii="Symbol" w:hAnsi="Symbol" w:hint="default"/>
      </w:rPr>
    </w:lvl>
    <w:lvl w:ilvl="1" w:tplc="6FB049B0">
      <w:start w:val="1"/>
      <w:numFmt w:val="bullet"/>
      <w:lvlText w:val="o"/>
      <w:lvlJc w:val="left"/>
      <w:pPr>
        <w:ind w:left="1440" w:hanging="360"/>
      </w:pPr>
      <w:rPr>
        <w:rFonts w:ascii="Courier New" w:hAnsi="Courier New" w:hint="default"/>
      </w:rPr>
    </w:lvl>
    <w:lvl w:ilvl="2" w:tplc="7C7E5466">
      <w:start w:val="1"/>
      <w:numFmt w:val="bullet"/>
      <w:lvlText w:val=""/>
      <w:lvlJc w:val="left"/>
      <w:pPr>
        <w:ind w:left="2160" w:hanging="360"/>
      </w:pPr>
      <w:rPr>
        <w:rFonts w:ascii="Wingdings" w:hAnsi="Wingdings" w:hint="default"/>
      </w:rPr>
    </w:lvl>
    <w:lvl w:ilvl="3" w:tplc="2FB4787C">
      <w:start w:val="1"/>
      <w:numFmt w:val="bullet"/>
      <w:lvlText w:val=""/>
      <w:lvlJc w:val="left"/>
      <w:pPr>
        <w:ind w:left="2880" w:hanging="360"/>
      </w:pPr>
      <w:rPr>
        <w:rFonts w:ascii="Symbol" w:hAnsi="Symbol" w:hint="default"/>
      </w:rPr>
    </w:lvl>
    <w:lvl w:ilvl="4" w:tplc="94DAFCD4">
      <w:start w:val="1"/>
      <w:numFmt w:val="bullet"/>
      <w:lvlText w:val="o"/>
      <w:lvlJc w:val="left"/>
      <w:pPr>
        <w:ind w:left="3600" w:hanging="360"/>
      </w:pPr>
      <w:rPr>
        <w:rFonts w:ascii="Courier New" w:hAnsi="Courier New" w:hint="default"/>
      </w:rPr>
    </w:lvl>
    <w:lvl w:ilvl="5" w:tplc="F926E2DA">
      <w:start w:val="1"/>
      <w:numFmt w:val="bullet"/>
      <w:lvlText w:val=""/>
      <w:lvlJc w:val="left"/>
      <w:pPr>
        <w:ind w:left="4320" w:hanging="360"/>
      </w:pPr>
      <w:rPr>
        <w:rFonts w:ascii="Wingdings" w:hAnsi="Wingdings" w:hint="default"/>
      </w:rPr>
    </w:lvl>
    <w:lvl w:ilvl="6" w:tplc="62A244E4">
      <w:start w:val="1"/>
      <w:numFmt w:val="bullet"/>
      <w:lvlText w:val=""/>
      <w:lvlJc w:val="left"/>
      <w:pPr>
        <w:ind w:left="5040" w:hanging="360"/>
      </w:pPr>
      <w:rPr>
        <w:rFonts w:ascii="Symbol" w:hAnsi="Symbol" w:hint="default"/>
      </w:rPr>
    </w:lvl>
    <w:lvl w:ilvl="7" w:tplc="5558854E">
      <w:start w:val="1"/>
      <w:numFmt w:val="bullet"/>
      <w:lvlText w:val="o"/>
      <w:lvlJc w:val="left"/>
      <w:pPr>
        <w:ind w:left="5760" w:hanging="360"/>
      </w:pPr>
      <w:rPr>
        <w:rFonts w:ascii="Courier New" w:hAnsi="Courier New" w:hint="default"/>
      </w:rPr>
    </w:lvl>
    <w:lvl w:ilvl="8" w:tplc="AB00A0A0">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5E242942"/>
    <w:lvl w:ilvl="0" w:tplc="2FF06134">
      <w:start w:val="1"/>
      <w:numFmt w:val="bullet"/>
      <w:lvlText w:val=""/>
      <w:lvlJc w:val="left"/>
      <w:pPr>
        <w:ind w:left="720" w:hanging="360"/>
      </w:pPr>
      <w:rPr>
        <w:rFonts w:ascii="Symbol" w:hAnsi="Symbol" w:hint="default"/>
      </w:rPr>
    </w:lvl>
    <w:lvl w:ilvl="1" w:tplc="9DB495D0">
      <w:start w:val="1"/>
      <w:numFmt w:val="bullet"/>
      <w:lvlText w:val="o"/>
      <w:lvlJc w:val="left"/>
      <w:pPr>
        <w:ind w:left="1440" w:hanging="360"/>
      </w:pPr>
      <w:rPr>
        <w:rFonts w:ascii="Courier New" w:hAnsi="Courier New" w:hint="default"/>
      </w:rPr>
    </w:lvl>
    <w:lvl w:ilvl="2" w:tplc="C37AB686">
      <w:start w:val="1"/>
      <w:numFmt w:val="bullet"/>
      <w:lvlText w:val=""/>
      <w:lvlJc w:val="left"/>
      <w:pPr>
        <w:ind w:left="2160" w:hanging="360"/>
      </w:pPr>
      <w:rPr>
        <w:rFonts w:ascii="Wingdings" w:hAnsi="Wingdings" w:hint="default"/>
      </w:rPr>
    </w:lvl>
    <w:lvl w:ilvl="3" w:tplc="A7CA5A3C">
      <w:start w:val="1"/>
      <w:numFmt w:val="bullet"/>
      <w:lvlText w:val=""/>
      <w:lvlJc w:val="left"/>
      <w:pPr>
        <w:ind w:left="2880" w:hanging="360"/>
      </w:pPr>
      <w:rPr>
        <w:rFonts w:ascii="Symbol" w:hAnsi="Symbol" w:hint="default"/>
      </w:rPr>
    </w:lvl>
    <w:lvl w:ilvl="4" w:tplc="495A8518">
      <w:start w:val="1"/>
      <w:numFmt w:val="bullet"/>
      <w:lvlText w:val="o"/>
      <w:lvlJc w:val="left"/>
      <w:pPr>
        <w:ind w:left="3600" w:hanging="360"/>
      </w:pPr>
      <w:rPr>
        <w:rFonts w:ascii="Courier New" w:hAnsi="Courier New" w:hint="default"/>
      </w:rPr>
    </w:lvl>
    <w:lvl w:ilvl="5" w:tplc="55CCE4BA">
      <w:start w:val="1"/>
      <w:numFmt w:val="bullet"/>
      <w:lvlText w:val=""/>
      <w:lvlJc w:val="left"/>
      <w:pPr>
        <w:ind w:left="4320" w:hanging="360"/>
      </w:pPr>
      <w:rPr>
        <w:rFonts w:ascii="Wingdings" w:hAnsi="Wingdings" w:hint="default"/>
      </w:rPr>
    </w:lvl>
    <w:lvl w:ilvl="6" w:tplc="794E1E84">
      <w:start w:val="1"/>
      <w:numFmt w:val="bullet"/>
      <w:lvlText w:val=""/>
      <w:lvlJc w:val="left"/>
      <w:pPr>
        <w:ind w:left="5040" w:hanging="360"/>
      </w:pPr>
      <w:rPr>
        <w:rFonts w:ascii="Symbol" w:hAnsi="Symbol" w:hint="default"/>
      </w:rPr>
    </w:lvl>
    <w:lvl w:ilvl="7" w:tplc="2B6C2014">
      <w:start w:val="1"/>
      <w:numFmt w:val="bullet"/>
      <w:lvlText w:val="o"/>
      <w:lvlJc w:val="left"/>
      <w:pPr>
        <w:ind w:left="5760" w:hanging="360"/>
      </w:pPr>
      <w:rPr>
        <w:rFonts w:ascii="Courier New" w:hAnsi="Courier New" w:hint="default"/>
      </w:rPr>
    </w:lvl>
    <w:lvl w:ilvl="8" w:tplc="F3C8E2A2">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2AF0B94A"/>
    <w:lvl w:ilvl="0" w:tplc="BB50744A">
      <w:start w:val="1"/>
      <w:numFmt w:val="bullet"/>
      <w:lvlText w:val=""/>
      <w:lvlJc w:val="left"/>
      <w:pPr>
        <w:ind w:left="720" w:hanging="360"/>
      </w:pPr>
      <w:rPr>
        <w:rFonts w:ascii="Symbol" w:hAnsi="Symbol" w:hint="default"/>
      </w:rPr>
    </w:lvl>
    <w:lvl w:ilvl="1" w:tplc="B6EC250C">
      <w:start w:val="1"/>
      <w:numFmt w:val="bullet"/>
      <w:lvlText w:val="o"/>
      <w:lvlJc w:val="left"/>
      <w:pPr>
        <w:ind w:left="1440" w:hanging="360"/>
      </w:pPr>
      <w:rPr>
        <w:rFonts w:ascii="Courier New" w:hAnsi="Courier New" w:hint="default"/>
      </w:rPr>
    </w:lvl>
    <w:lvl w:ilvl="2" w:tplc="7FD0CE14">
      <w:start w:val="1"/>
      <w:numFmt w:val="bullet"/>
      <w:lvlText w:val=""/>
      <w:lvlJc w:val="left"/>
      <w:pPr>
        <w:ind w:left="2160" w:hanging="360"/>
      </w:pPr>
      <w:rPr>
        <w:rFonts w:ascii="Wingdings" w:hAnsi="Wingdings" w:hint="default"/>
      </w:rPr>
    </w:lvl>
    <w:lvl w:ilvl="3" w:tplc="64906F38">
      <w:start w:val="1"/>
      <w:numFmt w:val="bullet"/>
      <w:lvlText w:val=""/>
      <w:lvlJc w:val="left"/>
      <w:pPr>
        <w:ind w:left="2880" w:hanging="360"/>
      </w:pPr>
      <w:rPr>
        <w:rFonts w:ascii="Symbol" w:hAnsi="Symbol" w:hint="default"/>
      </w:rPr>
    </w:lvl>
    <w:lvl w:ilvl="4" w:tplc="2F287110">
      <w:start w:val="1"/>
      <w:numFmt w:val="bullet"/>
      <w:lvlText w:val="o"/>
      <w:lvlJc w:val="left"/>
      <w:pPr>
        <w:ind w:left="3600" w:hanging="360"/>
      </w:pPr>
      <w:rPr>
        <w:rFonts w:ascii="Courier New" w:hAnsi="Courier New" w:hint="default"/>
      </w:rPr>
    </w:lvl>
    <w:lvl w:ilvl="5" w:tplc="E8E8A992">
      <w:start w:val="1"/>
      <w:numFmt w:val="bullet"/>
      <w:lvlText w:val=""/>
      <w:lvlJc w:val="left"/>
      <w:pPr>
        <w:ind w:left="4320" w:hanging="360"/>
      </w:pPr>
      <w:rPr>
        <w:rFonts w:ascii="Wingdings" w:hAnsi="Wingdings" w:hint="default"/>
      </w:rPr>
    </w:lvl>
    <w:lvl w:ilvl="6" w:tplc="C2409158">
      <w:start w:val="1"/>
      <w:numFmt w:val="bullet"/>
      <w:lvlText w:val=""/>
      <w:lvlJc w:val="left"/>
      <w:pPr>
        <w:ind w:left="5040" w:hanging="360"/>
      </w:pPr>
      <w:rPr>
        <w:rFonts w:ascii="Symbol" w:hAnsi="Symbol" w:hint="default"/>
      </w:rPr>
    </w:lvl>
    <w:lvl w:ilvl="7" w:tplc="5588B908">
      <w:start w:val="1"/>
      <w:numFmt w:val="bullet"/>
      <w:lvlText w:val="o"/>
      <w:lvlJc w:val="left"/>
      <w:pPr>
        <w:ind w:left="5760" w:hanging="360"/>
      </w:pPr>
      <w:rPr>
        <w:rFonts w:ascii="Courier New" w:hAnsi="Courier New" w:hint="default"/>
      </w:rPr>
    </w:lvl>
    <w:lvl w:ilvl="8" w:tplc="E0AE1BD2">
      <w:start w:val="1"/>
      <w:numFmt w:val="bullet"/>
      <w:lvlText w:val=""/>
      <w:lvlJc w:val="left"/>
      <w:pPr>
        <w:ind w:left="6480" w:hanging="360"/>
      </w:pPr>
      <w:rPr>
        <w:rFonts w:ascii="Wingdings" w:hAnsi="Wingdings" w:hint="default"/>
      </w:rPr>
    </w:lvl>
  </w:abstractNum>
  <w:abstractNum w:abstractNumId="13" w15:restartNumberingAfterBreak="0">
    <w:nsid w:val="3E185DBE"/>
    <w:multiLevelType w:val="multilevel"/>
    <w:tmpl w:val="1E9EFC44"/>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B0F08D24"/>
    <w:lvl w:ilvl="0" w:tplc="21B0A99C">
      <w:start w:val="1"/>
      <w:numFmt w:val="bullet"/>
      <w:lvlText w:val=""/>
      <w:lvlJc w:val="left"/>
      <w:pPr>
        <w:ind w:left="720" w:hanging="360"/>
      </w:pPr>
      <w:rPr>
        <w:rFonts w:ascii="Symbol" w:hAnsi="Symbol" w:hint="default"/>
      </w:rPr>
    </w:lvl>
    <w:lvl w:ilvl="1" w:tplc="78DCF7C4">
      <w:start w:val="1"/>
      <w:numFmt w:val="bullet"/>
      <w:lvlText w:val="o"/>
      <w:lvlJc w:val="left"/>
      <w:pPr>
        <w:ind w:left="1440" w:hanging="360"/>
      </w:pPr>
      <w:rPr>
        <w:rFonts w:ascii="Courier New" w:hAnsi="Courier New" w:hint="default"/>
      </w:rPr>
    </w:lvl>
    <w:lvl w:ilvl="2" w:tplc="C0228FB6">
      <w:start w:val="1"/>
      <w:numFmt w:val="bullet"/>
      <w:lvlText w:val=""/>
      <w:lvlJc w:val="left"/>
      <w:pPr>
        <w:ind w:left="2160" w:hanging="360"/>
      </w:pPr>
      <w:rPr>
        <w:rFonts w:ascii="Wingdings" w:hAnsi="Wingdings" w:hint="default"/>
      </w:rPr>
    </w:lvl>
    <w:lvl w:ilvl="3" w:tplc="DD28E124">
      <w:start w:val="1"/>
      <w:numFmt w:val="bullet"/>
      <w:lvlText w:val=""/>
      <w:lvlJc w:val="left"/>
      <w:pPr>
        <w:ind w:left="2880" w:hanging="360"/>
      </w:pPr>
      <w:rPr>
        <w:rFonts w:ascii="Symbol" w:hAnsi="Symbol" w:hint="default"/>
      </w:rPr>
    </w:lvl>
    <w:lvl w:ilvl="4" w:tplc="CE900F7A">
      <w:start w:val="1"/>
      <w:numFmt w:val="bullet"/>
      <w:lvlText w:val="o"/>
      <w:lvlJc w:val="left"/>
      <w:pPr>
        <w:ind w:left="3600" w:hanging="360"/>
      </w:pPr>
      <w:rPr>
        <w:rFonts w:ascii="Courier New" w:hAnsi="Courier New" w:hint="default"/>
      </w:rPr>
    </w:lvl>
    <w:lvl w:ilvl="5" w:tplc="F9AE18A8">
      <w:start w:val="1"/>
      <w:numFmt w:val="bullet"/>
      <w:lvlText w:val=""/>
      <w:lvlJc w:val="left"/>
      <w:pPr>
        <w:ind w:left="4320" w:hanging="360"/>
      </w:pPr>
      <w:rPr>
        <w:rFonts w:ascii="Wingdings" w:hAnsi="Wingdings" w:hint="default"/>
      </w:rPr>
    </w:lvl>
    <w:lvl w:ilvl="6" w:tplc="3454F49E">
      <w:start w:val="1"/>
      <w:numFmt w:val="bullet"/>
      <w:lvlText w:val=""/>
      <w:lvlJc w:val="left"/>
      <w:pPr>
        <w:ind w:left="5040" w:hanging="360"/>
      </w:pPr>
      <w:rPr>
        <w:rFonts w:ascii="Symbol" w:hAnsi="Symbol" w:hint="default"/>
      </w:rPr>
    </w:lvl>
    <w:lvl w:ilvl="7" w:tplc="FA6EEACA">
      <w:start w:val="1"/>
      <w:numFmt w:val="bullet"/>
      <w:lvlText w:val="o"/>
      <w:lvlJc w:val="left"/>
      <w:pPr>
        <w:ind w:left="5760" w:hanging="360"/>
      </w:pPr>
      <w:rPr>
        <w:rFonts w:ascii="Courier New" w:hAnsi="Courier New" w:hint="default"/>
      </w:rPr>
    </w:lvl>
    <w:lvl w:ilvl="8" w:tplc="FEC0BC0A">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FAAAD8AC"/>
    <w:lvl w:ilvl="0" w:tplc="E9A29C4C">
      <w:start w:val="1"/>
      <w:numFmt w:val="bullet"/>
      <w:lvlText w:val=""/>
      <w:lvlJc w:val="left"/>
      <w:pPr>
        <w:ind w:left="720" w:hanging="360"/>
      </w:pPr>
      <w:rPr>
        <w:rFonts w:ascii="Symbol" w:hAnsi="Symbol" w:hint="default"/>
      </w:rPr>
    </w:lvl>
    <w:lvl w:ilvl="1" w:tplc="925A20B6">
      <w:start w:val="1"/>
      <w:numFmt w:val="bullet"/>
      <w:lvlText w:val="o"/>
      <w:lvlJc w:val="left"/>
      <w:pPr>
        <w:ind w:left="1440" w:hanging="360"/>
      </w:pPr>
      <w:rPr>
        <w:rFonts w:ascii="Courier New" w:hAnsi="Courier New" w:hint="default"/>
      </w:rPr>
    </w:lvl>
    <w:lvl w:ilvl="2" w:tplc="372872F8">
      <w:start w:val="1"/>
      <w:numFmt w:val="bullet"/>
      <w:lvlText w:val=""/>
      <w:lvlJc w:val="left"/>
      <w:pPr>
        <w:ind w:left="2160" w:hanging="360"/>
      </w:pPr>
      <w:rPr>
        <w:rFonts w:ascii="Wingdings" w:hAnsi="Wingdings" w:hint="default"/>
      </w:rPr>
    </w:lvl>
    <w:lvl w:ilvl="3" w:tplc="F976D27A">
      <w:start w:val="1"/>
      <w:numFmt w:val="bullet"/>
      <w:lvlText w:val=""/>
      <w:lvlJc w:val="left"/>
      <w:pPr>
        <w:ind w:left="2880" w:hanging="360"/>
      </w:pPr>
      <w:rPr>
        <w:rFonts w:ascii="Symbol" w:hAnsi="Symbol" w:hint="default"/>
      </w:rPr>
    </w:lvl>
    <w:lvl w:ilvl="4" w:tplc="1F22A930">
      <w:start w:val="1"/>
      <w:numFmt w:val="bullet"/>
      <w:lvlText w:val="o"/>
      <w:lvlJc w:val="left"/>
      <w:pPr>
        <w:ind w:left="3600" w:hanging="360"/>
      </w:pPr>
      <w:rPr>
        <w:rFonts w:ascii="Courier New" w:hAnsi="Courier New" w:hint="default"/>
      </w:rPr>
    </w:lvl>
    <w:lvl w:ilvl="5" w:tplc="4024F33A">
      <w:start w:val="1"/>
      <w:numFmt w:val="bullet"/>
      <w:lvlText w:val=""/>
      <w:lvlJc w:val="left"/>
      <w:pPr>
        <w:ind w:left="4320" w:hanging="360"/>
      </w:pPr>
      <w:rPr>
        <w:rFonts w:ascii="Wingdings" w:hAnsi="Wingdings" w:hint="default"/>
      </w:rPr>
    </w:lvl>
    <w:lvl w:ilvl="6" w:tplc="A2B6A322">
      <w:start w:val="1"/>
      <w:numFmt w:val="bullet"/>
      <w:lvlText w:val=""/>
      <w:lvlJc w:val="left"/>
      <w:pPr>
        <w:ind w:left="5040" w:hanging="360"/>
      </w:pPr>
      <w:rPr>
        <w:rFonts w:ascii="Symbol" w:hAnsi="Symbol" w:hint="default"/>
      </w:rPr>
    </w:lvl>
    <w:lvl w:ilvl="7" w:tplc="CF26A38A">
      <w:start w:val="1"/>
      <w:numFmt w:val="bullet"/>
      <w:lvlText w:val="o"/>
      <w:lvlJc w:val="left"/>
      <w:pPr>
        <w:ind w:left="5760" w:hanging="360"/>
      </w:pPr>
      <w:rPr>
        <w:rFonts w:ascii="Courier New" w:hAnsi="Courier New" w:hint="default"/>
      </w:rPr>
    </w:lvl>
    <w:lvl w:ilvl="8" w:tplc="6FA6A560">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7041694">
    <w:abstractNumId w:val="11"/>
  </w:num>
  <w:num w:numId="2" w16cid:durableId="525296617">
    <w:abstractNumId w:val="12"/>
  </w:num>
  <w:num w:numId="3" w16cid:durableId="2075200057">
    <w:abstractNumId w:val="1"/>
  </w:num>
  <w:num w:numId="4" w16cid:durableId="1289120669">
    <w:abstractNumId w:val="3"/>
  </w:num>
  <w:num w:numId="5" w16cid:durableId="2102095515">
    <w:abstractNumId w:val="16"/>
  </w:num>
  <w:num w:numId="6" w16cid:durableId="834881133">
    <w:abstractNumId w:val="24"/>
  </w:num>
  <w:num w:numId="7" w16cid:durableId="52895227">
    <w:abstractNumId w:val="8"/>
  </w:num>
  <w:num w:numId="8" w16cid:durableId="351032333">
    <w:abstractNumId w:val="2"/>
  </w:num>
  <w:num w:numId="9" w16cid:durableId="1067413603">
    <w:abstractNumId w:val="14"/>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5"/>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0"/>
  </w:num>
  <w:num w:numId="21" w16cid:durableId="1132019979">
    <w:abstractNumId w:val="4"/>
  </w:num>
  <w:num w:numId="22" w16cid:durableId="1457524365">
    <w:abstractNumId w:val="7"/>
  </w:num>
  <w:num w:numId="23" w16cid:durableId="1386294306">
    <w:abstractNumId w:val="30"/>
  </w:num>
  <w:num w:numId="24" w16cid:durableId="1838374920">
    <w:abstractNumId w:val="25"/>
  </w:num>
  <w:num w:numId="25" w16cid:durableId="1827044992">
    <w:abstractNumId w:val="9"/>
  </w:num>
  <w:num w:numId="26" w16cid:durableId="895820667">
    <w:abstractNumId w:val="20"/>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6"/>
  </w:num>
  <w:num w:numId="33" w16cid:durableId="10451340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0B03"/>
    <w:rsid w:val="00012BCC"/>
    <w:rsid w:val="0001715D"/>
    <w:rsid w:val="00022C42"/>
    <w:rsid w:val="00027B15"/>
    <w:rsid w:val="00030A05"/>
    <w:rsid w:val="00070818"/>
    <w:rsid w:val="0008238F"/>
    <w:rsid w:val="00082EC6"/>
    <w:rsid w:val="00085388"/>
    <w:rsid w:val="000D41DC"/>
    <w:rsid w:val="00125D37"/>
    <w:rsid w:val="00127C1A"/>
    <w:rsid w:val="00150D81"/>
    <w:rsid w:val="00166CEB"/>
    <w:rsid w:val="00183CB9"/>
    <w:rsid w:val="00184A9A"/>
    <w:rsid w:val="001947DF"/>
    <w:rsid w:val="001B22BB"/>
    <w:rsid w:val="001B4077"/>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679BD"/>
    <w:rsid w:val="005709B1"/>
    <w:rsid w:val="00572B3B"/>
    <w:rsid w:val="005836D2"/>
    <w:rsid w:val="00587C58"/>
    <w:rsid w:val="005A7FD4"/>
    <w:rsid w:val="005B1A84"/>
    <w:rsid w:val="005D1AF9"/>
    <w:rsid w:val="005D5457"/>
    <w:rsid w:val="005D7226"/>
    <w:rsid w:val="005E2699"/>
    <w:rsid w:val="005E44B5"/>
    <w:rsid w:val="00612DEA"/>
    <w:rsid w:val="00614572"/>
    <w:rsid w:val="006232DF"/>
    <w:rsid w:val="00631F2E"/>
    <w:rsid w:val="006457C0"/>
    <w:rsid w:val="00652BB7"/>
    <w:rsid w:val="00661758"/>
    <w:rsid w:val="0067612C"/>
    <w:rsid w:val="00676FEB"/>
    <w:rsid w:val="006912C4"/>
    <w:rsid w:val="006A37F7"/>
    <w:rsid w:val="006A5CFC"/>
    <w:rsid w:val="006C5138"/>
    <w:rsid w:val="006C689B"/>
    <w:rsid w:val="006E005C"/>
    <w:rsid w:val="006E6EE5"/>
    <w:rsid w:val="006F0029"/>
    <w:rsid w:val="007138EF"/>
    <w:rsid w:val="007632A9"/>
    <w:rsid w:val="00763F6B"/>
    <w:rsid w:val="00774092"/>
    <w:rsid w:val="00782830"/>
    <w:rsid w:val="0078664A"/>
    <w:rsid w:val="007B0F6D"/>
    <w:rsid w:val="007C62C3"/>
    <w:rsid w:val="007D25AA"/>
    <w:rsid w:val="007F0873"/>
    <w:rsid w:val="00805726"/>
    <w:rsid w:val="00815117"/>
    <w:rsid w:val="00824CB1"/>
    <w:rsid w:val="008520F8"/>
    <w:rsid w:val="00855F34"/>
    <w:rsid w:val="008826B6"/>
    <w:rsid w:val="008B0B22"/>
    <w:rsid w:val="008C58B0"/>
    <w:rsid w:val="008C591B"/>
    <w:rsid w:val="008C6182"/>
    <w:rsid w:val="009006CC"/>
    <w:rsid w:val="0090779E"/>
    <w:rsid w:val="00926458"/>
    <w:rsid w:val="00933720"/>
    <w:rsid w:val="009B5D3F"/>
    <w:rsid w:val="009C7287"/>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C3215E"/>
    <w:rsid w:val="00C45272"/>
    <w:rsid w:val="00C47770"/>
    <w:rsid w:val="00C75856"/>
    <w:rsid w:val="00C85A7C"/>
    <w:rsid w:val="00C95214"/>
    <w:rsid w:val="00CC3F59"/>
    <w:rsid w:val="00CD4774"/>
    <w:rsid w:val="00CE1732"/>
    <w:rsid w:val="00D10AAF"/>
    <w:rsid w:val="00D14EE0"/>
    <w:rsid w:val="00D218C1"/>
    <w:rsid w:val="00D27540"/>
    <w:rsid w:val="00D4006B"/>
    <w:rsid w:val="00D40D7A"/>
    <w:rsid w:val="00D64A0D"/>
    <w:rsid w:val="00D676C3"/>
    <w:rsid w:val="00D750B4"/>
    <w:rsid w:val="00D81C18"/>
    <w:rsid w:val="00D8461A"/>
    <w:rsid w:val="00D95CAF"/>
    <w:rsid w:val="00DB60B6"/>
    <w:rsid w:val="00DC1CC6"/>
    <w:rsid w:val="00DD5135"/>
    <w:rsid w:val="00E067A8"/>
    <w:rsid w:val="00E13924"/>
    <w:rsid w:val="00E15FD5"/>
    <w:rsid w:val="00E1725A"/>
    <w:rsid w:val="00E33758"/>
    <w:rsid w:val="00E53E5E"/>
    <w:rsid w:val="00E64325"/>
    <w:rsid w:val="00E673C5"/>
    <w:rsid w:val="00E67967"/>
    <w:rsid w:val="00E82723"/>
    <w:rsid w:val="00EA29A5"/>
    <w:rsid w:val="00EB64AB"/>
    <w:rsid w:val="00EC107C"/>
    <w:rsid w:val="00EC7EBE"/>
    <w:rsid w:val="00EC7FD2"/>
    <w:rsid w:val="00ED5964"/>
    <w:rsid w:val="00F1720B"/>
    <w:rsid w:val="00F36ADC"/>
    <w:rsid w:val="00F605C6"/>
    <w:rsid w:val="00F65169"/>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customStyle="1" w:styleId="apple-converted-space">
    <w:name w:val="apple-converted-space"/>
    <w:basedOn w:val="DefaultParagraphFont"/>
    <w:rsid w:val="005D7226"/>
  </w:style>
  <w:style w:type="character" w:customStyle="1" w:styleId="max-w-15ch">
    <w:name w:val="max-w-[15ch]"/>
    <w:basedOn w:val="DefaultParagraphFont"/>
    <w:rsid w:val="005D72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sagepub.com/doi/10.1177/10497315221088285?utm_source=chatgpt.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3390/healthcare8010026" TargetMode="External"/><Relationship Id="rId17" Type="http://schemas.openxmlformats.org/officeDocument/2006/relationships/hyperlink" Target="https://learn.hms.harvard.edu/insights/all-insights/building-empathy-structure-health-care?utm_source=chatgpt.com" TargetMode="External"/><Relationship Id="rId2" Type="http://schemas.openxmlformats.org/officeDocument/2006/relationships/numbering" Target="numbering.xml"/><Relationship Id="rId16" Type="http://schemas.openxmlformats.org/officeDocument/2006/relationships/hyperlink" Target="https://www.scie.org.uk/social-work/advice-best-practice/risk-assessment-process/?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healthcare8010026?utm_source=chatgpt.com" TargetMode="External"/><Relationship Id="rId5" Type="http://schemas.openxmlformats.org/officeDocument/2006/relationships/webSettings" Target="webSettings.xml"/><Relationship Id="rId15" Type="http://schemas.openxmlformats.org/officeDocument/2006/relationships/hyperlink" Target="https://bmjopen.bmj.com/content/14/5/e085312" TargetMode="External"/><Relationship Id="rId10" Type="http://schemas.openxmlformats.org/officeDocument/2006/relationships/hyperlink" Target="https://nationalcareers.service.gov.uk/job-profiles/social-worke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nationalcareers.service.gov.uk/job-profiles/social-worker?utm_source=chatgpt.com" TargetMode="External"/><Relationship Id="rId14" Type="http://schemas.openxmlformats.org/officeDocument/2006/relationships/hyperlink" Target="https://journals.sagepub.com/doi/10.1177/10497315221088285?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9</Pages>
  <Words>2146</Words>
  <Characters>10993</Characters>
  <Application>Microsoft Office Word</Application>
  <DocSecurity>0</DocSecurity>
  <Lines>578</Lines>
  <Paragraphs>291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Rabeya Payel (2513891)</cp:lastModifiedBy>
  <cp:revision>12</cp:revision>
  <dcterms:created xsi:type="dcterms:W3CDTF">2025-11-19T18:30:00Z</dcterms:created>
  <dcterms:modified xsi:type="dcterms:W3CDTF">2025-12-19T00:36:00Z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