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15283" w14:textId="77777777" w:rsidR="00D87B77" w:rsidRDefault="00D87B77" w:rsidP="00D87B77">
      <w:pPr>
        <w:jc w:val="center"/>
        <w:rPr>
          <w:sz w:val="32"/>
          <w:szCs w:val="32"/>
        </w:rPr>
      </w:pPr>
      <w:r>
        <w:rPr>
          <w:sz w:val="32"/>
          <w:szCs w:val="32"/>
        </w:rPr>
        <w:t>Student NO: 2321416</w:t>
      </w:r>
    </w:p>
    <w:p w14:paraId="4F2744D5" w14:textId="61C07385" w:rsidR="00D87B77" w:rsidRDefault="00D87B77" w:rsidP="00D87B77">
      <w:pPr>
        <w:jc w:val="center"/>
        <w:rPr>
          <w:sz w:val="32"/>
          <w:szCs w:val="32"/>
        </w:rPr>
      </w:pPr>
      <w:r w:rsidRPr="00D7658F">
        <w:rPr>
          <w:sz w:val="32"/>
          <w:szCs w:val="32"/>
        </w:rPr>
        <w:t xml:space="preserve">Module code: </w:t>
      </w:r>
      <w:r w:rsidR="007C3D85">
        <w:rPr>
          <w:sz w:val="32"/>
          <w:szCs w:val="32"/>
        </w:rPr>
        <w:t>3</w:t>
      </w:r>
      <w:r w:rsidRPr="00D7658F">
        <w:rPr>
          <w:sz w:val="32"/>
          <w:szCs w:val="32"/>
        </w:rPr>
        <w:t>0</w:t>
      </w:r>
      <w:r w:rsidR="007C3D85">
        <w:rPr>
          <w:sz w:val="32"/>
          <w:szCs w:val="32"/>
        </w:rPr>
        <w:t>03</w:t>
      </w:r>
    </w:p>
    <w:p w14:paraId="308876AC" w14:textId="59218526" w:rsidR="00D87B77" w:rsidRDefault="00D87B77" w:rsidP="00D87B77">
      <w:pPr>
        <w:jc w:val="center"/>
        <w:rPr>
          <w:sz w:val="32"/>
          <w:szCs w:val="32"/>
        </w:rPr>
      </w:pPr>
      <w:r>
        <w:rPr>
          <w:sz w:val="32"/>
          <w:szCs w:val="32"/>
        </w:rPr>
        <w:t>Module title: Care in Communication</w:t>
      </w:r>
    </w:p>
    <w:p w14:paraId="7E3D6F69" w14:textId="6A4C5137" w:rsidR="00D87B77" w:rsidRDefault="00D87B77" w:rsidP="00D87B77">
      <w:pPr>
        <w:jc w:val="center"/>
        <w:rPr>
          <w:sz w:val="32"/>
          <w:szCs w:val="32"/>
        </w:rPr>
      </w:pPr>
      <w:r>
        <w:rPr>
          <w:sz w:val="32"/>
          <w:szCs w:val="32"/>
        </w:rPr>
        <w:t>Lecturer: Sharon Langford</w:t>
      </w:r>
    </w:p>
    <w:p w14:paraId="15E80190" w14:textId="2BD3ECD6" w:rsidR="00D87B77" w:rsidRDefault="002B0A62" w:rsidP="00D87B77">
      <w:pPr>
        <w:jc w:val="center"/>
        <w:rPr>
          <w:sz w:val="32"/>
          <w:szCs w:val="32"/>
        </w:rPr>
      </w:pPr>
      <w:r>
        <w:rPr>
          <w:sz w:val="32"/>
          <w:szCs w:val="32"/>
        </w:rPr>
        <w:t xml:space="preserve">  </w:t>
      </w:r>
      <w:r w:rsidR="00D87B77">
        <w:rPr>
          <w:sz w:val="32"/>
          <w:szCs w:val="32"/>
        </w:rPr>
        <w:t>Submission date: 24</w:t>
      </w:r>
      <w:r w:rsidR="00D87B77" w:rsidRPr="00800854">
        <w:rPr>
          <w:sz w:val="32"/>
          <w:szCs w:val="32"/>
          <w:vertAlign w:val="superscript"/>
        </w:rPr>
        <w:t>th</w:t>
      </w:r>
      <w:r w:rsidR="00D87B77">
        <w:rPr>
          <w:sz w:val="32"/>
          <w:szCs w:val="32"/>
        </w:rPr>
        <w:t xml:space="preserve"> April 2026</w:t>
      </w:r>
    </w:p>
    <w:p w14:paraId="0090B2E1" w14:textId="22CBD4EF" w:rsidR="00D87B77" w:rsidRDefault="00D87B77" w:rsidP="00D87B77">
      <w:pPr>
        <w:rPr>
          <w:sz w:val="32"/>
          <w:szCs w:val="32"/>
        </w:rPr>
      </w:pPr>
    </w:p>
    <w:p w14:paraId="2C908F2D" w14:textId="1116AF96" w:rsidR="0005574B" w:rsidRDefault="00412068" w:rsidP="009921B0">
      <w:pPr>
        <w:jc w:val="center"/>
        <w:rPr>
          <w:b/>
          <w:bCs/>
          <w:sz w:val="32"/>
          <w:szCs w:val="32"/>
        </w:rPr>
      </w:pPr>
      <w:r>
        <w:rPr>
          <w:b/>
          <w:bCs/>
          <w:sz w:val="32"/>
          <w:szCs w:val="32"/>
        </w:rPr>
        <w:t xml:space="preserve"> </w:t>
      </w:r>
    </w:p>
    <w:p w14:paraId="095ABAC6" w14:textId="61BC5CAA" w:rsidR="00591AB4" w:rsidRDefault="00591AB4" w:rsidP="009921B0">
      <w:pPr>
        <w:jc w:val="center"/>
        <w:rPr>
          <w:b/>
          <w:bCs/>
          <w:sz w:val="32"/>
          <w:szCs w:val="32"/>
        </w:rPr>
      </w:pPr>
    </w:p>
    <w:p w14:paraId="7AA797BD" w14:textId="77777777" w:rsidR="00D00720" w:rsidRPr="002029DF" w:rsidRDefault="00D00720" w:rsidP="00156D34">
      <w:pPr>
        <w:jc w:val="both"/>
        <w:rPr>
          <w:b/>
          <w:bCs/>
          <w:sz w:val="32"/>
          <w:szCs w:val="32"/>
        </w:rPr>
      </w:pPr>
    </w:p>
    <w:p w14:paraId="0AF0F114" w14:textId="77777777" w:rsidR="0005574B" w:rsidRDefault="0005574B" w:rsidP="00156D34">
      <w:pPr>
        <w:jc w:val="both"/>
      </w:pPr>
    </w:p>
    <w:p w14:paraId="5066FD1D" w14:textId="4E941B34" w:rsidR="00E20921" w:rsidRPr="00353768" w:rsidRDefault="00E20921" w:rsidP="00941F2E">
      <w:pPr>
        <w:spacing w:line="360" w:lineRule="auto"/>
        <w:jc w:val="both"/>
        <w:rPr>
          <w:b/>
          <w:bCs/>
          <w:sz w:val="32"/>
          <w:szCs w:val="32"/>
        </w:rPr>
      </w:pPr>
      <w:r w:rsidRPr="00353768">
        <w:rPr>
          <w:b/>
          <w:bCs/>
          <w:sz w:val="32"/>
          <w:szCs w:val="32"/>
        </w:rPr>
        <w:t xml:space="preserve">Introduction </w:t>
      </w:r>
    </w:p>
    <w:p w14:paraId="1A092711" w14:textId="1539705C" w:rsidR="00E20921" w:rsidRPr="000D66A8" w:rsidRDefault="00E20921" w:rsidP="00941F2E">
      <w:pPr>
        <w:spacing w:line="360" w:lineRule="auto"/>
        <w:jc w:val="both"/>
      </w:pPr>
      <w:r w:rsidRPr="000D66A8">
        <w:t xml:space="preserve">This reflective essay applies Gibbs’ (1988) reflective cycle to analyse my use of person-centred counselling skills during a simulated role-play, detailing my feelings, evaluation, </w:t>
      </w:r>
      <w:r>
        <w:t xml:space="preserve">analysis </w:t>
      </w:r>
      <w:r w:rsidRPr="000D66A8">
        <w:t>and future</w:t>
      </w:r>
      <w:r>
        <w:t xml:space="preserve"> plan.</w:t>
      </w:r>
      <w:r w:rsidRPr="000D66A8">
        <w:t xml:space="preserve"> </w:t>
      </w:r>
      <w:r w:rsidRPr="00F86F1C">
        <w:t>Reflection is an important part of learning in health and social care, as it helps practitioners think carefully about their experiences to improve skills and personal growth</w:t>
      </w:r>
      <w:r w:rsidR="00A0257A">
        <w:t xml:space="preserve"> </w:t>
      </w:r>
      <w:r>
        <w:t>(</w:t>
      </w:r>
      <w:r w:rsidRPr="00F86F1C">
        <w:t>Greene</w:t>
      </w:r>
      <w:r>
        <w:t>,</w:t>
      </w:r>
      <w:r w:rsidR="002B0A62">
        <w:t xml:space="preserve"> </w:t>
      </w:r>
      <w:r>
        <w:t>2014)</w:t>
      </w:r>
      <w:r w:rsidRPr="00F86F1C">
        <w:t>.</w:t>
      </w:r>
      <w:r w:rsidR="00A0257A">
        <w:t xml:space="preserve"> </w:t>
      </w:r>
      <w:r w:rsidRPr="00F86F1C">
        <w:t>Self-reflection builds self-awareness, better communication, and stronger use of counselling skills within a healthcare setting</w:t>
      </w:r>
      <w:r>
        <w:t xml:space="preserve"> (Matlhaba, 2025)</w:t>
      </w:r>
      <w:r w:rsidRPr="006B7668">
        <w:t>.</w:t>
      </w:r>
      <w:r>
        <w:t xml:space="preserve"> </w:t>
      </w:r>
      <w:r w:rsidRPr="00F86F1C">
        <w:t>By reflecting on practice, professionals can recognise what they do well and what needs improvement, helping them build better relationships and offer more effective support to service users</w:t>
      </w:r>
      <w:r w:rsidR="00C667E3">
        <w:t xml:space="preserve"> </w:t>
      </w:r>
      <w:r>
        <w:t>(</w:t>
      </w:r>
      <w:r w:rsidRPr="00C76244">
        <w:rPr>
          <w:rFonts w:cs="Arial"/>
          <w:color w:val="222222"/>
          <w:shd w:val="clear" w:color="auto" w:fill="FFFFFF"/>
        </w:rPr>
        <w:t>Kitson,</w:t>
      </w:r>
      <w:r>
        <w:rPr>
          <w:rFonts w:cs="Arial"/>
          <w:color w:val="222222"/>
          <w:shd w:val="clear" w:color="auto" w:fill="FFFFFF"/>
        </w:rPr>
        <w:t xml:space="preserve"> 2002).</w:t>
      </w:r>
      <w:r w:rsidR="00C667E3">
        <w:rPr>
          <w:rFonts w:cs="Arial"/>
          <w:color w:val="222222"/>
          <w:shd w:val="clear" w:color="auto" w:fill="FFFFFF"/>
        </w:rPr>
        <w:t xml:space="preserve"> </w:t>
      </w:r>
      <w:r w:rsidRPr="00F86F1C">
        <w:t>Gibbs’ reflective model gives a clear and structured way to explore experiences, starting with a description of what happened</w:t>
      </w:r>
      <w:r>
        <w:t xml:space="preserve"> </w:t>
      </w:r>
      <w:r w:rsidRPr="00F86F1C">
        <w:t>and ending with an action plan for future learning. This essay aims to show how reflection supports ongoing learning and professional development in health and social care practice.</w:t>
      </w:r>
    </w:p>
    <w:p w14:paraId="6C2C6F5F" w14:textId="77777777" w:rsidR="00E20921" w:rsidRPr="000D66A8" w:rsidRDefault="00E20921" w:rsidP="00941F2E">
      <w:pPr>
        <w:spacing w:line="360" w:lineRule="auto"/>
        <w:jc w:val="both"/>
        <w:rPr>
          <w:color w:val="002060"/>
        </w:rPr>
      </w:pPr>
    </w:p>
    <w:p w14:paraId="09670AB3" w14:textId="77777777" w:rsidR="00415274" w:rsidRDefault="00415274" w:rsidP="00941F2E">
      <w:pPr>
        <w:spacing w:line="360" w:lineRule="auto"/>
        <w:jc w:val="both"/>
        <w:rPr>
          <w:i/>
          <w:iCs/>
          <w:color w:val="002060"/>
        </w:rPr>
      </w:pPr>
    </w:p>
    <w:p w14:paraId="2FBEDC0C" w14:textId="591157ED" w:rsidR="00E20921" w:rsidRPr="00353768" w:rsidRDefault="00E20921" w:rsidP="00941F2E">
      <w:pPr>
        <w:spacing w:line="360" w:lineRule="auto"/>
        <w:jc w:val="both"/>
        <w:rPr>
          <w:b/>
          <w:bCs/>
          <w:sz w:val="32"/>
          <w:szCs w:val="32"/>
        </w:rPr>
      </w:pPr>
      <w:r w:rsidRPr="00353768">
        <w:rPr>
          <w:b/>
          <w:bCs/>
          <w:sz w:val="32"/>
          <w:szCs w:val="32"/>
        </w:rPr>
        <w:lastRenderedPageBreak/>
        <w:t>Description</w:t>
      </w:r>
    </w:p>
    <w:p w14:paraId="480C86CF" w14:textId="77777777" w:rsidR="00E20921" w:rsidRPr="001656F9" w:rsidRDefault="00E20921" w:rsidP="00941F2E">
      <w:pPr>
        <w:spacing w:line="360" w:lineRule="auto"/>
        <w:jc w:val="both"/>
      </w:pPr>
      <w:r w:rsidRPr="001656F9">
        <w:t>During the classroom role-play sessions, I worked in pairs with my colleagues to practise person</w:t>
      </w:r>
      <w:r w:rsidRPr="001656F9">
        <w:rPr>
          <w:rFonts w:ascii="Cambria Math" w:hAnsi="Cambria Math" w:cs="Cambria Math"/>
        </w:rPr>
        <w:t>‑</w:t>
      </w:r>
      <w:r w:rsidRPr="001656F9">
        <w:t>centred counselling skills. We took turns acting as the counsellor and the client, focusing mainly on</w:t>
      </w:r>
      <w:r>
        <w:t xml:space="preserve"> the</w:t>
      </w:r>
      <w:r w:rsidRPr="001656F9">
        <w:t xml:space="preserve"> performance as the counsellor. The aim was to use active listening, empathy, questioning, paraphrasing, and summarising skills to support each client through their situation. The role</w:t>
      </w:r>
      <w:r w:rsidRPr="001656F9">
        <w:rPr>
          <w:rFonts w:ascii="Cambria Math" w:hAnsi="Cambria Math" w:cs="Cambria Math"/>
        </w:rPr>
        <w:t>‑</w:t>
      </w:r>
      <w:r w:rsidRPr="001656F9">
        <w:t>play scenarios reflected realistic healthcare issues, such as clients coping with chronic conditions and lifestyle changes. These included supporting Mrs Jones, aged 54, recently diagnosed with hypertension and struggling with stress; Mr Jones, aged 72, learning to manage type 2 diabetes and feeling overwhelmed; and Mrs Lewis, aged 62, recovering from a mild stroke and expressing frustration with her slow progress. Another scenario involved Sam, a 42</w:t>
      </w:r>
      <w:r w:rsidRPr="001656F9">
        <w:rPr>
          <w:rFonts w:ascii="Cambria Math" w:hAnsi="Cambria Math" w:cs="Cambria Math"/>
        </w:rPr>
        <w:t>‑</w:t>
      </w:r>
      <w:r w:rsidRPr="001656F9">
        <w:t>year</w:t>
      </w:r>
      <w:r w:rsidRPr="001656F9">
        <w:rPr>
          <w:rFonts w:ascii="Cambria Math" w:hAnsi="Cambria Math" w:cs="Cambria Math"/>
        </w:rPr>
        <w:t>‑</w:t>
      </w:r>
      <w:r w:rsidRPr="001656F9">
        <w:t>old bus driver, coming to terms with his diabetes diagnosis and concerns about his eyesight and future work. Each activity provided a realistic opportunity to practise communication in a safe and supportive learning environment.</w:t>
      </w:r>
    </w:p>
    <w:p w14:paraId="239C93DC" w14:textId="77777777" w:rsidR="00E20921" w:rsidRPr="00353768" w:rsidRDefault="00E20921" w:rsidP="00941F2E">
      <w:pPr>
        <w:spacing w:line="360" w:lineRule="auto"/>
        <w:jc w:val="both"/>
        <w:rPr>
          <w:i/>
          <w:iCs/>
          <w:color w:val="002060"/>
        </w:rPr>
      </w:pPr>
      <w:r w:rsidRPr="00353768">
        <w:rPr>
          <w:b/>
          <w:bCs/>
          <w:sz w:val="32"/>
          <w:szCs w:val="32"/>
        </w:rPr>
        <w:t>Feelings</w:t>
      </w:r>
    </w:p>
    <w:p w14:paraId="48E11E89" w14:textId="54377A2C" w:rsidR="00E20921" w:rsidRPr="00E84BF3" w:rsidRDefault="00E20921" w:rsidP="00941F2E">
      <w:pPr>
        <w:spacing w:line="360" w:lineRule="auto"/>
        <w:jc w:val="both"/>
        <w:rPr>
          <w:color w:val="000000" w:themeColor="text1"/>
        </w:rPr>
      </w:pPr>
      <w:r w:rsidRPr="00E84BF3">
        <w:rPr>
          <w:color w:val="000000" w:themeColor="text1"/>
        </w:rPr>
        <w:t>At the beginning of the role</w:t>
      </w:r>
      <w:r w:rsidRPr="00E84BF3">
        <w:rPr>
          <w:rFonts w:ascii="Cambria Math" w:hAnsi="Cambria Math" w:cs="Cambria Math"/>
          <w:color w:val="000000" w:themeColor="text1"/>
        </w:rPr>
        <w:t>‑</w:t>
      </w:r>
      <w:r w:rsidRPr="00E84BF3">
        <w:rPr>
          <w:color w:val="000000" w:themeColor="text1"/>
        </w:rPr>
        <w:t>play sessions, I felt very nervous and uncertain about what to expect. I was worried that I might not perform well or struggle to manage the conversation effectively. These initial emotions are common in new and unfamiliar learning situations, as Edelman and Ficorelli (2005) emphasise that anxiety reactions often occur when individuals face unknown experiences. I was particularly concerned about becoming speechless or forgetting to apply the counselling techniques we had been learning in class. When the role</w:t>
      </w:r>
      <w:r w:rsidRPr="00E84BF3">
        <w:rPr>
          <w:rFonts w:ascii="Cambria Math" w:hAnsi="Cambria Math" w:cs="Cambria Math"/>
          <w:color w:val="000000" w:themeColor="text1"/>
        </w:rPr>
        <w:t>‑</w:t>
      </w:r>
      <w:r w:rsidRPr="00E84BF3">
        <w:rPr>
          <w:color w:val="000000" w:themeColor="text1"/>
        </w:rPr>
        <w:t>plays began, I found it hard to relax and fully engage with my partner</w:t>
      </w:r>
      <w:r>
        <w:rPr>
          <w:color w:val="000000" w:themeColor="text1"/>
        </w:rPr>
        <w:t>s</w:t>
      </w:r>
      <w:r w:rsidRPr="00E84BF3">
        <w:rPr>
          <w:color w:val="000000" w:themeColor="text1"/>
        </w:rPr>
        <w:t xml:space="preserve">, but with each practice scenario, my confidence gradually improved. I started to feel more comfortable listening actively and responding </w:t>
      </w:r>
      <w:r>
        <w:rPr>
          <w:color w:val="000000" w:themeColor="text1"/>
        </w:rPr>
        <w:t>more</w:t>
      </w:r>
      <w:r w:rsidRPr="00E84BF3">
        <w:rPr>
          <w:color w:val="000000" w:themeColor="text1"/>
        </w:rPr>
        <w:t xml:space="preserve"> naturally.</w:t>
      </w:r>
      <w:r w:rsidRPr="00E84BF3">
        <w:t xml:space="preserve"> </w:t>
      </w:r>
      <w:r w:rsidRPr="00E84BF3">
        <w:rPr>
          <w:color w:val="000000" w:themeColor="text1"/>
        </w:rPr>
        <w:t xml:space="preserve">The supportive attitude of my lecturer played a key role in this progress, as her encouragement created a positive and safe learning environment. </w:t>
      </w:r>
      <w:r>
        <w:rPr>
          <w:color w:val="000000" w:themeColor="text1"/>
        </w:rPr>
        <w:t xml:space="preserve">The </w:t>
      </w:r>
      <w:r w:rsidRPr="00E84BF3">
        <w:rPr>
          <w:color w:val="000000" w:themeColor="text1"/>
        </w:rPr>
        <w:t>evidence suggests that supervised clinical role</w:t>
      </w:r>
      <w:r w:rsidRPr="00E84BF3">
        <w:rPr>
          <w:rFonts w:ascii="Cambria Math" w:hAnsi="Cambria Math" w:cs="Cambria Math"/>
          <w:color w:val="000000" w:themeColor="text1"/>
        </w:rPr>
        <w:t>‑</w:t>
      </w:r>
      <w:r w:rsidRPr="00E84BF3">
        <w:rPr>
          <w:color w:val="000000" w:themeColor="text1"/>
        </w:rPr>
        <w:t>play and reflection can help reduce students</w:t>
      </w:r>
      <w:r w:rsidRPr="00E84BF3">
        <w:rPr>
          <w:rFonts w:ascii="Aptos" w:hAnsi="Aptos" w:cs="Aptos"/>
          <w:color w:val="000000" w:themeColor="text1"/>
        </w:rPr>
        <w:t>’</w:t>
      </w:r>
      <w:r w:rsidRPr="00E84BF3">
        <w:rPr>
          <w:color w:val="000000" w:themeColor="text1"/>
        </w:rPr>
        <w:t xml:space="preserve"> anxiety and build self</w:t>
      </w:r>
      <w:r w:rsidRPr="00E84BF3">
        <w:rPr>
          <w:rFonts w:ascii="Cambria Math" w:hAnsi="Cambria Math" w:cs="Cambria Math"/>
          <w:color w:val="000000" w:themeColor="text1"/>
        </w:rPr>
        <w:t>‑</w:t>
      </w:r>
      <w:r>
        <w:rPr>
          <w:color w:val="000000" w:themeColor="text1"/>
        </w:rPr>
        <w:t>belief</w:t>
      </w:r>
      <w:r w:rsidRPr="00E84BF3">
        <w:rPr>
          <w:color w:val="000000" w:themeColor="text1"/>
        </w:rPr>
        <w:t xml:space="preserve"> and empathic communication skills over time, which reflects my experience in these sessions </w:t>
      </w:r>
      <w:r>
        <w:rPr>
          <w:color w:val="000000" w:themeColor="text1"/>
        </w:rPr>
        <w:t>(</w:t>
      </w:r>
      <w:r w:rsidRPr="00E84BF3">
        <w:rPr>
          <w:color w:val="000000" w:themeColor="text1"/>
        </w:rPr>
        <w:t>Rønning</w:t>
      </w:r>
      <w:r>
        <w:rPr>
          <w:color w:val="000000" w:themeColor="text1"/>
        </w:rPr>
        <w:t xml:space="preserve"> </w:t>
      </w:r>
      <w:r w:rsidRPr="00E84BF3">
        <w:rPr>
          <w:color w:val="000000" w:themeColor="text1"/>
        </w:rPr>
        <w:t xml:space="preserve">and </w:t>
      </w:r>
      <w:r w:rsidR="00CC5783" w:rsidRPr="00E84BF3">
        <w:rPr>
          <w:color w:val="000000" w:themeColor="text1"/>
        </w:rPr>
        <w:t>Bjørkly</w:t>
      </w:r>
      <w:r w:rsidR="00CC5783">
        <w:rPr>
          <w:color w:val="000000" w:themeColor="text1"/>
        </w:rPr>
        <w:t>,</w:t>
      </w:r>
      <w:r w:rsidR="00CC5783" w:rsidRPr="00E84BF3">
        <w:rPr>
          <w:color w:val="000000" w:themeColor="text1"/>
        </w:rPr>
        <w:t xml:space="preserve"> </w:t>
      </w:r>
      <w:r w:rsidR="00CC5783">
        <w:rPr>
          <w:color w:val="000000" w:themeColor="text1"/>
        </w:rPr>
        <w:t>2019</w:t>
      </w:r>
      <w:r w:rsidRPr="00E84BF3">
        <w:rPr>
          <w:color w:val="000000" w:themeColor="text1"/>
        </w:rPr>
        <w:t>).</w:t>
      </w:r>
      <w:r>
        <w:rPr>
          <w:color w:val="000000" w:themeColor="text1"/>
        </w:rPr>
        <w:t xml:space="preserve"> </w:t>
      </w:r>
      <w:r w:rsidRPr="00E84BF3">
        <w:rPr>
          <w:color w:val="000000" w:themeColor="text1"/>
        </w:rPr>
        <w:t xml:space="preserve">By the end of the sessions, I felt much more at ease </w:t>
      </w:r>
      <w:r w:rsidRPr="00E84BF3">
        <w:rPr>
          <w:color w:val="000000" w:themeColor="text1"/>
        </w:rPr>
        <w:lastRenderedPageBreak/>
        <w:t>and motivated, recognising that consistent practice, feedback, and reflection were enabling me to grow both personally and professionally.</w:t>
      </w:r>
    </w:p>
    <w:p w14:paraId="7F5D4FC6" w14:textId="77777777" w:rsidR="00E20921" w:rsidRPr="002029DF" w:rsidRDefault="00E20921" w:rsidP="00941F2E">
      <w:pPr>
        <w:pStyle w:val="ListParagraph"/>
        <w:spacing w:line="360" w:lineRule="auto"/>
        <w:jc w:val="both"/>
      </w:pPr>
    </w:p>
    <w:p w14:paraId="04CBEE41" w14:textId="77777777" w:rsidR="00053AB1" w:rsidRDefault="00E20921" w:rsidP="00941F2E">
      <w:pPr>
        <w:spacing w:line="360" w:lineRule="auto"/>
        <w:jc w:val="both"/>
        <w:rPr>
          <w:b/>
          <w:bCs/>
          <w:sz w:val="32"/>
          <w:szCs w:val="32"/>
        </w:rPr>
      </w:pPr>
      <w:r w:rsidRPr="00353768">
        <w:rPr>
          <w:b/>
          <w:bCs/>
          <w:sz w:val="32"/>
          <w:szCs w:val="32"/>
        </w:rPr>
        <w:t>Evaluation</w:t>
      </w:r>
    </w:p>
    <w:p w14:paraId="522B27BA" w14:textId="77777777" w:rsidR="00C667E3" w:rsidRDefault="00E20921" w:rsidP="00941F2E">
      <w:pPr>
        <w:spacing w:line="360" w:lineRule="auto"/>
        <w:jc w:val="both"/>
      </w:pPr>
      <w:r w:rsidRPr="007C3D85">
        <w:t>In evaluating my performance, I recognise that some counselling skills developed well, while others need further improvement. My active listening was a relative strength, and through repeated role</w:t>
      </w:r>
      <w:r w:rsidRPr="007C3D85">
        <w:rPr>
          <w:rFonts w:ascii="Cambria Math" w:hAnsi="Cambria Math" w:cs="Cambria Math"/>
        </w:rPr>
        <w:t>‑</w:t>
      </w:r>
      <w:r w:rsidRPr="007C3D85">
        <w:t>play practice I became more able to focus on the client</w:t>
      </w:r>
      <w:r w:rsidRPr="007C3D85">
        <w:rPr>
          <w:rFonts w:ascii="Aptos" w:hAnsi="Aptos" w:cs="Aptos"/>
        </w:rPr>
        <w:t>’</w:t>
      </w:r>
      <w:r w:rsidRPr="007C3D85">
        <w:t xml:space="preserve">s words and emotions rather than on my own anxiety. Active listening is central to building trust and empathy in counselling, as it helps clients feel heard and valued </w:t>
      </w:r>
      <w:r>
        <w:t>(</w:t>
      </w:r>
      <w:r w:rsidRPr="00B10197">
        <w:rPr>
          <w:rFonts w:cs="Arial"/>
          <w:color w:val="222222"/>
          <w:shd w:val="clear" w:color="auto" w:fill="FFFFFF"/>
        </w:rPr>
        <w:t>Tustonja et al,</w:t>
      </w:r>
      <w:r w:rsidR="00B42494">
        <w:rPr>
          <w:rFonts w:cs="Arial"/>
          <w:color w:val="222222"/>
          <w:shd w:val="clear" w:color="auto" w:fill="FFFFFF"/>
        </w:rPr>
        <w:t xml:space="preserve"> </w:t>
      </w:r>
      <w:r w:rsidRPr="00B10197">
        <w:rPr>
          <w:rFonts w:cs="Arial"/>
          <w:color w:val="222222"/>
          <w:shd w:val="clear" w:color="auto" w:fill="FFFFFF"/>
        </w:rPr>
        <w:t>2024)</w:t>
      </w:r>
      <w:r>
        <w:t>.</w:t>
      </w:r>
      <w:r w:rsidRPr="007C3D85">
        <w:t xml:space="preserve"> At first, I struggled to use reflection consistently, but over time I improved at </w:t>
      </w:r>
      <w:r>
        <w:t>gaining insight that enhance the quality of patients care</w:t>
      </w:r>
      <w:r w:rsidRPr="007C3D85">
        <w:t xml:space="preserve">. Reflection involves mirroring the client’s feelings and content so they can see their thoughts more clearly and feel understood </w:t>
      </w:r>
      <w:r>
        <w:t>(Lee</w:t>
      </w:r>
      <w:r w:rsidRPr="00BD6740">
        <w:rPr>
          <w:rFonts w:cs="Arial"/>
          <w:color w:val="222222"/>
          <w:shd w:val="clear" w:color="auto" w:fill="FFFFFF"/>
        </w:rPr>
        <w:t xml:space="preserve"> and Yoo,</w:t>
      </w:r>
      <w:r w:rsidR="00B42494">
        <w:rPr>
          <w:rFonts w:cs="Arial"/>
          <w:color w:val="222222"/>
          <w:shd w:val="clear" w:color="auto" w:fill="FFFFFF"/>
        </w:rPr>
        <w:t xml:space="preserve"> </w:t>
      </w:r>
      <w:r w:rsidRPr="00BD6740">
        <w:rPr>
          <w:rFonts w:cs="Arial"/>
          <w:color w:val="222222"/>
          <w:shd w:val="clear" w:color="auto" w:fill="FFFFFF"/>
        </w:rPr>
        <w:t>2024</w:t>
      </w:r>
      <w:r>
        <w:rPr>
          <w:rFonts w:ascii="Arial" w:hAnsi="Arial" w:cs="Arial"/>
          <w:color w:val="222222"/>
          <w:sz w:val="20"/>
          <w:szCs w:val="20"/>
          <w:shd w:val="clear" w:color="auto" w:fill="FFFFFF"/>
        </w:rPr>
        <w:t>)</w:t>
      </w:r>
      <w:r>
        <w:t>.</w:t>
      </w:r>
      <w:r w:rsidRPr="007C3D85">
        <w:t xml:space="preserve"> </w:t>
      </w:r>
    </w:p>
    <w:p w14:paraId="214F0885" w14:textId="47AD3803" w:rsidR="00E20921" w:rsidRPr="00053AB1" w:rsidRDefault="00E20921" w:rsidP="00941F2E">
      <w:pPr>
        <w:spacing w:line="360" w:lineRule="auto"/>
        <w:jc w:val="both"/>
        <w:rPr>
          <w:b/>
          <w:bCs/>
          <w:sz w:val="32"/>
          <w:szCs w:val="32"/>
        </w:rPr>
      </w:pPr>
      <w:r w:rsidRPr="007C3D85">
        <w:t xml:space="preserve">I felt more confident with paraphrasing, as repeating information in my own words linked naturally to active listening. For example, I restated to one client, “What I am hearing is that you feel motivated to start exercising,” and the client replied that they could begin by walking most days, which showed the paraphrase had been accurate and encouraging. </w:t>
      </w:r>
      <w:r w:rsidR="00C667E3">
        <w:t xml:space="preserve"> I found that the s</w:t>
      </w:r>
      <w:r w:rsidRPr="007C3D85">
        <w:t>ummarising</w:t>
      </w:r>
      <w:r w:rsidR="00C667E3">
        <w:t xml:space="preserve"> skill for me</w:t>
      </w:r>
      <w:r w:rsidRPr="007C3D85">
        <w:t xml:space="preserve"> was more challenging, as </w:t>
      </w:r>
      <w:r>
        <w:t>shortening</w:t>
      </w:r>
      <w:r w:rsidRPr="007C3D85">
        <w:t xml:space="preserve"> complex emotions into a brief overview without losing key meaning felt difficult. Questioning was also a </w:t>
      </w:r>
      <w:r w:rsidR="00156D34" w:rsidRPr="007C3D85">
        <w:t>limitation</w:t>
      </w:r>
      <w:r w:rsidR="00156D34">
        <w:t xml:space="preserve"> at the beginning of playing role play scenarios. The</w:t>
      </w:r>
      <w:r>
        <w:t xml:space="preserve"> </w:t>
      </w:r>
      <w:r w:rsidRPr="007C3D85">
        <w:t xml:space="preserve">counsellor must balance open and focused questions to encourage exploration while gathering key </w:t>
      </w:r>
      <w:r w:rsidR="00B42494" w:rsidRPr="007C3D85">
        <w:t xml:space="preserve">information </w:t>
      </w:r>
      <w:r w:rsidR="00B42494">
        <w:t>(</w:t>
      </w:r>
      <w:r w:rsidRPr="00BF47D2">
        <w:rPr>
          <w:rFonts w:cs="Arial"/>
          <w:color w:val="222222"/>
          <w:shd w:val="clear" w:color="auto" w:fill="FFFFFF"/>
        </w:rPr>
        <w:t>Vallance,</w:t>
      </w:r>
      <w:r w:rsidR="00B42494">
        <w:rPr>
          <w:rFonts w:cs="Arial"/>
          <w:color w:val="222222"/>
          <w:shd w:val="clear" w:color="auto" w:fill="FFFFFF"/>
        </w:rPr>
        <w:t xml:space="preserve"> </w:t>
      </w:r>
      <w:r w:rsidRPr="00BF47D2">
        <w:rPr>
          <w:rFonts w:cs="Arial"/>
          <w:color w:val="222222"/>
          <w:shd w:val="clear" w:color="auto" w:fill="FFFFFF"/>
        </w:rPr>
        <w:t>2004)</w:t>
      </w:r>
      <w:r w:rsidRPr="007C3D85">
        <w:t>, but I sometimes concentrated too much on “getting the right question” and lost eye contact and presence.</w:t>
      </w:r>
    </w:p>
    <w:p w14:paraId="458DA62B" w14:textId="77777777" w:rsidR="00E20921" w:rsidRPr="00353768" w:rsidRDefault="00E20921" w:rsidP="00941F2E">
      <w:pPr>
        <w:spacing w:line="360" w:lineRule="auto"/>
        <w:jc w:val="both"/>
        <w:rPr>
          <w:b/>
          <w:bCs/>
        </w:rPr>
      </w:pPr>
    </w:p>
    <w:p w14:paraId="6438A8DA" w14:textId="77777777" w:rsidR="003126B1" w:rsidRDefault="003126B1" w:rsidP="00941F2E">
      <w:pPr>
        <w:spacing w:line="360" w:lineRule="auto"/>
        <w:jc w:val="both"/>
        <w:rPr>
          <w:b/>
          <w:bCs/>
          <w:sz w:val="32"/>
          <w:szCs w:val="32"/>
        </w:rPr>
      </w:pPr>
    </w:p>
    <w:p w14:paraId="57CCA421" w14:textId="77777777" w:rsidR="00D24572" w:rsidRDefault="00D24572" w:rsidP="00941F2E">
      <w:pPr>
        <w:spacing w:line="360" w:lineRule="auto"/>
        <w:jc w:val="both"/>
        <w:rPr>
          <w:b/>
          <w:bCs/>
          <w:sz w:val="32"/>
          <w:szCs w:val="32"/>
        </w:rPr>
      </w:pPr>
    </w:p>
    <w:p w14:paraId="758619AF" w14:textId="77777777" w:rsidR="00D24572" w:rsidRDefault="00D24572" w:rsidP="00941F2E">
      <w:pPr>
        <w:spacing w:line="360" w:lineRule="auto"/>
        <w:jc w:val="both"/>
        <w:rPr>
          <w:b/>
          <w:bCs/>
          <w:sz w:val="32"/>
          <w:szCs w:val="32"/>
        </w:rPr>
      </w:pPr>
    </w:p>
    <w:p w14:paraId="662C9D81" w14:textId="60C15FD3" w:rsidR="00E20921" w:rsidRPr="00353768" w:rsidRDefault="00E20921" w:rsidP="00941F2E">
      <w:pPr>
        <w:spacing w:line="360" w:lineRule="auto"/>
        <w:jc w:val="both"/>
        <w:rPr>
          <w:color w:val="002060"/>
          <w:sz w:val="32"/>
          <w:szCs w:val="32"/>
        </w:rPr>
      </w:pPr>
      <w:r w:rsidRPr="00353768">
        <w:rPr>
          <w:b/>
          <w:bCs/>
          <w:sz w:val="32"/>
          <w:szCs w:val="32"/>
        </w:rPr>
        <w:lastRenderedPageBreak/>
        <w:t>Analysis</w:t>
      </w:r>
    </w:p>
    <w:p w14:paraId="58A34E8E" w14:textId="7D4B6AE6" w:rsidR="00E20921" w:rsidRPr="00E20921" w:rsidRDefault="00E20921" w:rsidP="00941F2E">
      <w:pPr>
        <w:spacing w:line="360" w:lineRule="auto"/>
        <w:jc w:val="both"/>
        <w:rPr>
          <w:color w:val="000000" w:themeColor="text1"/>
        </w:rPr>
      </w:pPr>
      <w:r w:rsidRPr="00E20921">
        <w:rPr>
          <w:color w:val="000000" w:themeColor="text1"/>
        </w:rPr>
        <w:t>Reflecting on how the role</w:t>
      </w:r>
      <w:r w:rsidRPr="00E20921">
        <w:rPr>
          <w:rFonts w:ascii="Cambria Math" w:hAnsi="Cambria Math" w:cs="Cambria Math"/>
          <w:color w:val="000000" w:themeColor="text1"/>
        </w:rPr>
        <w:t>‑</w:t>
      </w:r>
      <w:r w:rsidRPr="00E20921">
        <w:rPr>
          <w:color w:val="000000" w:themeColor="text1"/>
        </w:rPr>
        <w:t xml:space="preserve">play unfolded, I can see that the interaction was strongly </w:t>
      </w:r>
      <w:r>
        <w:rPr>
          <w:color w:val="000000" w:themeColor="text1"/>
        </w:rPr>
        <w:t xml:space="preserve">       </w:t>
      </w:r>
      <w:r w:rsidRPr="00E20921">
        <w:rPr>
          <w:color w:val="000000" w:themeColor="text1"/>
        </w:rPr>
        <w:t xml:space="preserve">shaped by the way I used questioning, reflection, paraphrasing, summarising and active listening. When I used a reflective question such as, </w:t>
      </w:r>
      <w:r w:rsidRPr="00E20921">
        <w:rPr>
          <w:rFonts w:ascii="Aptos" w:hAnsi="Aptos" w:cs="Aptos"/>
          <w:color w:val="000000" w:themeColor="text1"/>
        </w:rPr>
        <w:t>“</w:t>
      </w:r>
      <w:r w:rsidRPr="00E20921">
        <w:rPr>
          <w:color w:val="000000" w:themeColor="text1"/>
        </w:rPr>
        <w:t>How does that make you feel when that happens?</w:t>
      </w:r>
      <w:r w:rsidRPr="00E20921">
        <w:rPr>
          <w:rFonts w:ascii="Aptos" w:hAnsi="Aptos" w:cs="Aptos"/>
          <w:color w:val="000000" w:themeColor="text1"/>
        </w:rPr>
        <w:t>”</w:t>
      </w:r>
      <w:r w:rsidRPr="00E20921">
        <w:rPr>
          <w:color w:val="000000" w:themeColor="text1"/>
        </w:rPr>
        <w:t xml:space="preserve">, the patient responded, </w:t>
      </w:r>
      <w:r w:rsidRPr="00E20921">
        <w:rPr>
          <w:rFonts w:ascii="Aptos" w:hAnsi="Aptos" w:cs="Aptos"/>
          <w:color w:val="000000" w:themeColor="text1"/>
        </w:rPr>
        <w:t>“</w:t>
      </w:r>
      <w:r w:rsidRPr="00E20921">
        <w:rPr>
          <w:color w:val="000000" w:themeColor="text1"/>
        </w:rPr>
        <w:t>I feel down and lazy, I haven</w:t>
      </w:r>
      <w:r w:rsidRPr="00E20921">
        <w:rPr>
          <w:rFonts w:ascii="Aptos" w:hAnsi="Aptos" w:cs="Aptos"/>
          <w:color w:val="000000" w:themeColor="text1"/>
        </w:rPr>
        <w:t>’</w:t>
      </w:r>
      <w:r w:rsidRPr="00E20921">
        <w:rPr>
          <w:color w:val="000000" w:themeColor="text1"/>
        </w:rPr>
        <w:t>t got much energy to cope with daily life.</w:t>
      </w:r>
      <w:r w:rsidRPr="00E20921">
        <w:rPr>
          <w:rFonts w:ascii="Aptos" w:hAnsi="Aptos" w:cs="Aptos"/>
          <w:color w:val="000000" w:themeColor="text1"/>
        </w:rPr>
        <w:t>”</w:t>
      </w:r>
      <w:r w:rsidRPr="00E20921">
        <w:rPr>
          <w:color w:val="000000" w:themeColor="text1"/>
        </w:rPr>
        <w:t xml:space="preserve"> This style of questioning helped me move beyond surface information and gain a clearer understanding of the patient</w:t>
      </w:r>
      <w:r w:rsidRPr="00E20921">
        <w:rPr>
          <w:rFonts w:ascii="Aptos" w:hAnsi="Aptos" w:cs="Aptos"/>
          <w:color w:val="000000" w:themeColor="text1"/>
        </w:rPr>
        <w:t>’</w:t>
      </w:r>
      <w:r w:rsidRPr="00E20921">
        <w:rPr>
          <w:color w:val="000000" w:themeColor="text1"/>
        </w:rPr>
        <w:t>s emotional state. Matlhaba (2025) supports the use of reflective questioning to develop deeper awareness and understanding of a person’s internal experience, which aligns with what I observed in my role</w:t>
      </w:r>
      <w:r w:rsidRPr="00E20921">
        <w:rPr>
          <w:rFonts w:ascii="Cambria Math" w:hAnsi="Cambria Math" w:cs="Cambria Math"/>
          <w:color w:val="000000" w:themeColor="text1"/>
        </w:rPr>
        <w:t>‑</w:t>
      </w:r>
      <w:r w:rsidRPr="00E20921">
        <w:rPr>
          <w:color w:val="000000" w:themeColor="text1"/>
        </w:rPr>
        <w:t>play. By focusing on feelings, I was able to respond in a more person</w:t>
      </w:r>
      <w:r w:rsidRPr="00E20921">
        <w:rPr>
          <w:rFonts w:ascii="Cambria Math" w:hAnsi="Cambria Math" w:cs="Cambria Math"/>
          <w:color w:val="000000" w:themeColor="text1"/>
        </w:rPr>
        <w:t>‑</w:t>
      </w:r>
      <w:r w:rsidRPr="00E20921">
        <w:rPr>
          <w:color w:val="000000" w:themeColor="text1"/>
        </w:rPr>
        <w:t>centred way.</w:t>
      </w:r>
    </w:p>
    <w:p w14:paraId="0C097E9F" w14:textId="77777777" w:rsidR="00E20921" w:rsidRPr="00BA1FFD" w:rsidRDefault="00E20921" w:rsidP="00941F2E">
      <w:pPr>
        <w:pStyle w:val="ListParagraph"/>
        <w:spacing w:line="360" w:lineRule="auto"/>
        <w:ind w:left="501"/>
        <w:jc w:val="both"/>
        <w:rPr>
          <w:color w:val="000000" w:themeColor="text1"/>
        </w:rPr>
      </w:pPr>
    </w:p>
    <w:p w14:paraId="634B55DA" w14:textId="64B2C27C" w:rsidR="00E20921" w:rsidRPr="00E20921" w:rsidRDefault="00E20921" w:rsidP="00941F2E">
      <w:pPr>
        <w:spacing w:line="360" w:lineRule="auto"/>
        <w:jc w:val="both"/>
        <w:rPr>
          <w:color w:val="000000" w:themeColor="text1"/>
        </w:rPr>
      </w:pPr>
      <w:r w:rsidRPr="00E20921">
        <w:rPr>
          <w:color w:val="000000" w:themeColor="text1"/>
        </w:rPr>
        <w:t>The use of summarising also played an important part in the process of the interaction. For example, I said, “It feels like we have identified that the main concern is that you have been feeling very tired at the moment and you are looking for a solution for sleeping.” The patient replied, “Yes, that is correct, I am thinking of taking some vitamins and trying to go to bed earlier.” This suggested that my summarising helped the patient to clarify their main concern and begin to think about possible actions. This reflects the idea that effective summaries can help clients organise their thoughts and move towards decision</w:t>
      </w:r>
      <w:r w:rsidRPr="00E20921">
        <w:rPr>
          <w:rFonts w:ascii="Cambria Math" w:hAnsi="Cambria Math" w:cs="Cambria Math"/>
          <w:color w:val="000000" w:themeColor="text1"/>
        </w:rPr>
        <w:t>‑</w:t>
      </w:r>
      <w:r w:rsidRPr="00E20921">
        <w:rPr>
          <w:color w:val="000000" w:themeColor="text1"/>
        </w:rPr>
        <w:t>making and planning (</w:t>
      </w:r>
      <w:r w:rsidR="002C5C43">
        <w:t>Hough, 2014).</w:t>
      </w:r>
    </w:p>
    <w:p w14:paraId="3F1ECC32" w14:textId="352B4C0D" w:rsidR="00E20921" w:rsidRPr="00E20921" w:rsidRDefault="00941F2E" w:rsidP="00941F2E">
      <w:pPr>
        <w:spacing w:line="360" w:lineRule="auto"/>
        <w:jc w:val="both"/>
        <w:rPr>
          <w:color w:val="000000" w:themeColor="text1"/>
        </w:rPr>
      </w:pPr>
      <w:r>
        <w:rPr>
          <w:color w:val="000000" w:themeColor="text1"/>
        </w:rPr>
        <w:t xml:space="preserve">I </w:t>
      </w:r>
      <w:r w:rsidR="00415274">
        <w:rPr>
          <w:color w:val="000000" w:themeColor="text1"/>
        </w:rPr>
        <w:t>recognised</w:t>
      </w:r>
      <w:r w:rsidR="003126B1">
        <w:rPr>
          <w:color w:val="000000" w:themeColor="text1"/>
        </w:rPr>
        <w:t xml:space="preserve"> that using</w:t>
      </w:r>
      <w:r w:rsidR="00415274">
        <w:rPr>
          <w:color w:val="000000" w:themeColor="text1"/>
        </w:rPr>
        <w:t xml:space="preserve"> </w:t>
      </w:r>
      <w:r w:rsidR="003126B1">
        <w:rPr>
          <w:color w:val="000000" w:themeColor="text1"/>
        </w:rPr>
        <w:t xml:space="preserve">the </w:t>
      </w:r>
      <w:r w:rsidR="00415274">
        <w:rPr>
          <w:color w:val="000000" w:themeColor="text1"/>
        </w:rPr>
        <w:t>person-centred</w:t>
      </w:r>
      <w:r w:rsidR="003126B1">
        <w:rPr>
          <w:color w:val="000000" w:themeColor="text1"/>
        </w:rPr>
        <w:t xml:space="preserve"> skill of active </w:t>
      </w:r>
      <w:r w:rsidR="00415274">
        <w:rPr>
          <w:color w:val="000000" w:themeColor="text1"/>
        </w:rPr>
        <w:t xml:space="preserve">listening </w:t>
      </w:r>
      <w:r w:rsidR="00E20921" w:rsidRPr="00E20921">
        <w:rPr>
          <w:color w:val="000000" w:themeColor="text1"/>
        </w:rPr>
        <w:t xml:space="preserve">was also central to how the conversation developed. Throughout the </w:t>
      </w:r>
      <w:r w:rsidR="00E20921">
        <w:rPr>
          <w:color w:val="000000" w:themeColor="text1"/>
        </w:rPr>
        <w:t xml:space="preserve">   </w:t>
      </w:r>
      <w:r w:rsidR="00E20921" w:rsidRPr="00E20921">
        <w:rPr>
          <w:color w:val="000000" w:themeColor="text1"/>
        </w:rPr>
        <w:t>role</w:t>
      </w:r>
      <w:r w:rsidR="00E20921" w:rsidRPr="00E20921">
        <w:rPr>
          <w:rFonts w:ascii="Cambria Math" w:hAnsi="Cambria Math" w:cs="Cambria Math"/>
          <w:color w:val="000000" w:themeColor="text1"/>
        </w:rPr>
        <w:t>‑</w:t>
      </w:r>
      <w:r w:rsidR="00E20921" w:rsidRPr="00E20921">
        <w:rPr>
          <w:color w:val="000000" w:themeColor="text1"/>
        </w:rPr>
        <w:t xml:space="preserve">plays, I tried to keep appropriate eye contact, use open body language, lean in </w:t>
      </w:r>
      <w:r w:rsidR="00E20921">
        <w:rPr>
          <w:color w:val="000000" w:themeColor="text1"/>
        </w:rPr>
        <w:t>slightly</w:t>
      </w:r>
      <w:r w:rsidR="00E20921" w:rsidRPr="00E20921">
        <w:rPr>
          <w:color w:val="000000" w:themeColor="text1"/>
        </w:rPr>
        <w:t xml:space="preserve">, smile when suitable and use short verbal encouragers such as </w:t>
      </w:r>
      <w:r w:rsidR="00E20921" w:rsidRPr="00E20921">
        <w:rPr>
          <w:rFonts w:ascii="Aptos" w:hAnsi="Aptos" w:cs="Aptos"/>
          <w:color w:val="000000" w:themeColor="text1"/>
        </w:rPr>
        <w:t>“</w:t>
      </w:r>
      <w:r w:rsidR="00E20921" w:rsidRPr="00E20921">
        <w:rPr>
          <w:color w:val="000000" w:themeColor="text1"/>
        </w:rPr>
        <w:t>mm</w:t>
      </w:r>
      <w:r w:rsidR="00E20921" w:rsidRPr="00E20921">
        <w:rPr>
          <w:rFonts w:ascii="Cambria Math" w:hAnsi="Cambria Math" w:cs="Cambria Math"/>
          <w:color w:val="000000" w:themeColor="text1"/>
        </w:rPr>
        <w:t>‑</w:t>
      </w:r>
      <w:r w:rsidR="00E20921" w:rsidRPr="00E20921">
        <w:rPr>
          <w:color w:val="000000" w:themeColor="text1"/>
        </w:rPr>
        <w:t>hmm</w:t>
      </w:r>
      <w:r w:rsidR="00E20921" w:rsidRPr="00E20921">
        <w:rPr>
          <w:rFonts w:ascii="Aptos" w:hAnsi="Aptos" w:cs="Aptos"/>
          <w:color w:val="000000" w:themeColor="text1"/>
        </w:rPr>
        <w:t>”</w:t>
      </w:r>
      <w:r w:rsidR="00E20921" w:rsidRPr="00E20921">
        <w:rPr>
          <w:color w:val="000000" w:themeColor="text1"/>
        </w:rPr>
        <w:t xml:space="preserve">, </w:t>
      </w:r>
      <w:r w:rsidR="00E20921" w:rsidRPr="00E20921">
        <w:rPr>
          <w:rFonts w:ascii="Aptos" w:hAnsi="Aptos" w:cs="Aptos"/>
          <w:color w:val="000000" w:themeColor="text1"/>
        </w:rPr>
        <w:t>“</w:t>
      </w:r>
      <w:r w:rsidR="00E20921" w:rsidRPr="00E20921">
        <w:rPr>
          <w:color w:val="000000" w:themeColor="text1"/>
        </w:rPr>
        <w:t>okay</w:t>
      </w:r>
      <w:r w:rsidR="00E20921" w:rsidRPr="00E20921">
        <w:rPr>
          <w:rFonts w:ascii="Aptos" w:hAnsi="Aptos" w:cs="Aptos"/>
          <w:color w:val="000000" w:themeColor="text1"/>
        </w:rPr>
        <w:t>”</w:t>
      </w:r>
      <w:r w:rsidR="00E20921" w:rsidRPr="00E20921">
        <w:rPr>
          <w:color w:val="000000" w:themeColor="text1"/>
        </w:rPr>
        <w:t xml:space="preserve"> and </w:t>
      </w:r>
      <w:r w:rsidR="00E20921" w:rsidRPr="00E20921">
        <w:rPr>
          <w:rFonts w:ascii="Aptos" w:hAnsi="Aptos" w:cs="Aptos"/>
          <w:color w:val="000000" w:themeColor="text1"/>
        </w:rPr>
        <w:t>“</w:t>
      </w:r>
      <w:r w:rsidR="00E20921" w:rsidRPr="00E20921">
        <w:rPr>
          <w:color w:val="000000" w:themeColor="text1"/>
        </w:rPr>
        <w:t>tell me more</w:t>
      </w:r>
      <w:r w:rsidR="00E20921" w:rsidRPr="00E20921">
        <w:rPr>
          <w:rFonts w:ascii="Aptos" w:hAnsi="Aptos" w:cs="Aptos"/>
          <w:color w:val="000000" w:themeColor="text1"/>
        </w:rPr>
        <w:t>”</w:t>
      </w:r>
      <w:r w:rsidR="00E20921" w:rsidRPr="00E20921">
        <w:rPr>
          <w:color w:val="000000" w:themeColor="text1"/>
        </w:rPr>
        <w:t xml:space="preserve">. These behaviours are consistent with descriptions of active listening as a </w:t>
      </w:r>
      <w:r w:rsidR="007F455D" w:rsidRPr="00E20921">
        <w:rPr>
          <w:color w:val="000000" w:themeColor="text1"/>
        </w:rPr>
        <w:t>keyway</w:t>
      </w:r>
      <w:r w:rsidR="00E20921" w:rsidRPr="00E20921">
        <w:rPr>
          <w:color w:val="000000" w:themeColor="text1"/>
        </w:rPr>
        <w:t xml:space="preserve"> of building trust and empathy in helping relationships (Tustonja et al, 2024). When I listened in this way, the patient appeared more willing to share their concerns.</w:t>
      </w:r>
    </w:p>
    <w:p w14:paraId="05E477F0" w14:textId="77777777" w:rsidR="00941F2E" w:rsidRDefault="007F455D" w:rsidP="00941F2E">
      <w:pPr>
        <w:spacing w:line="360" w:lineRule="auto"/>
        <w:jc w:val="both"/>
        <w:rPr>
          <w:color w:val="000000" w:themeColor="text1"/>
        </w:rPr>
      </w:pPr>
      <w:r>
        <w:rPr>
          <w:color w:val="000000" w:themeColor="text1"/>
        </w:rPr>
        <w:t xml:space="preserve">I found that using the </w:t>
      </w:r>
      <w:r w:rsidRPr="00E20921">
        <w:rPr>
          <w:color w:val="000000" w:themeColor="text1"/>
        </w:rPr>
        <w:t>reflection</w:t>
      </w:r>
      <w:r w:rsidR="00E20921" w:rsidRPr="00E20921">
        <w:rPr>
          <w:color w:val="000000" w:themeColor="text1"/>
        </w:rPr>
        <w:t xml:space="preserve"> skills also influenced the interaction</w:t>
      </w:r>
      <w:r>
        <w:rPr>
          <w:color w:val="000000" w:themeColor="text1"/>
        </w:rPr>
        <w:t xml:space="preserve"> between myself and the patient</w:t>
      </w:r>
      <w:r w:rsidR="00E20921" w:rsidRPr="00E20921">
        <w:rPr>
          <w:color w:val="000000" w:themeColor="text1"/>
        </w:rPr>
        <w:t xml:space="preserve">. For </w:t>
      </w:r>
      <w:r>
        <w:rPr>
          <w:color w:val="000000" w:themeColor="text1"/>
        </w:rPr>
        <w:t>example, when</w:t>
      </w:r>
      <w:r w:rsidR="00E20921" w:rsidRPr="00E20921">
        <w:rPr>
          <w:color w:val="000000" w:themeColor="text1"/>
        </w:rPr>
        <w:t xml:space="preserve"> I said, “I can hear in your voice you’re feeling overwhelmed because you need to stop smoking</w:t>
      </w:r>
      <w:r>
        <w:rPr>
          <w:color w:val="000000" w:themeColor="text1"/>
        </w:rPr>
        <w:t xml:space="preserve"> and</w:t>
      </w:r>
      <w:r w:rsidR="00E20921" w:rsidRPr="00E20921">
        <w:rPr>
          <w:color w:val="000000" w:themeColor="text1"/>
        </w:rPr>
        <w:t xml:space="preserve"> I hear a lot of sadness in what you are saying.” </w:t>
      </w:r>
      <w:r>
        <w:rPr>
          <w:color w:val="000000" w:themeColor="text1"/>
        </w:rPr>
        <w:t xml:space="preserve">The </w:t>
      </w:r>
      <w:r>
        <w:rPr>
          <w:color w:val="000000" w:themeColor="text1"/>
        </w:rPr>
        <w:lastRenderedPageBreak/>
        <w:t xml:space="preserve">patient responded that she was feeling overwhelmed and was sad. </w:t>
      </w:r>
      <w:r w:rsidR="00E20921" w:rsidRPr="00E20921">
        <w:rPr>
          <w:color w:val="000000" w:themeColor="text1"/>
        </w:rPr>
        <w:t>This type of reflective statement mirrors the client’s feelings and communicates empathy</w:t>
      </w:r>
      <w:r>
        <w:rPr>
          <w:color w:val="000000" w:themeColor="text1"/>
        </w:rPr>
        <w:t xml:space="preserve"> and unconditional positive regard</w:t>
      </w:r>
      <w:r w:rsidR="00E20921" w:rsidRPr="00E20921">
        <w:rPr>
          <w:color w:val="000000" w:themeColor="text1"/>
        </w:rPr>
        <w:t xml:space="preserve"> (Lee and Yoo, 2024). It seemed to encourage the patient to talk more about their emotions, which supports the view that reflective responses can deepen understanding and strengthen therapeutic connection (Rønning and Bjørkly, 2019). </w:t>
      </w:r>
    </w:p>
    <w:p w14:paraId="07253DE4" w14:textId="6C1F3FEE" w:rsidR="000E611D" w:rsidRDefault="00E20921" w:rsidP="00941F2E">
      <w:pPr>
        <w:spacing w:line="360" w:lineRule="auto"/>
        <w:jc w:val="both"/>
        <w:rPr>
          <w:color w:val="000000" w:themeColor="text1"/>
        </w:rPr>
      </w:pPr>
      <w:r w:rsidRPr="00E20921">
        <w:rPr>
          <w:color w:val="000000" w:themeColor="text1"/>
        </w:rPr>
        <w:t>However, I also noticed that when I became too focused on “doing the skills correctly”, I sometimes risked sounding slightly mechanical. This suggests that I still need to develop a better balance between applying specific techniques and maintaining a natural, person-centred</w:t>
      </w:r>
      <w:r w:rsidR="00BA1FFD" w:rsidRPr="00E20921">
        <w:rPr>
          <w:color w:val="000000" w:themeColor="text1"/>
        </w:rPr>
        <w:t xml:space="preserve"> presence.</w:t>
      </w:r>
    </w:p>
    <w:p w14:paraId="2C24F138" w14:textId="77777777" w:rsidR="00053AB1" w:rsidRPr="00E20921" w:rsidRDefault="00053AB1" w:rsidP="00941F2E">
      <w:pPr>
        <w:spacing w:line="360" w:lineRule="auto"/>
        <w:jc w:val="both"/>
        <w:rPr>
          <w:color w:val="000000" w:themeColor="text1"/>
        </w:rPr>
      </w:pPr>
    </w:p>
    <w:p w14:paraId="293A76AA" w14:textId="6C6BD0A4" w:rsidR="00331545" w:rsidRDefault="00BA0184" w:rsidP="00941F2E">
      <w:pPr>
        <w:spacing w:line="360" w:lineRule="auto"/>
        <w:jc w:val="both"/>
        <w:rPr>
          <w:b/>
          <w:bCs/>
          <w:sz w:val="32"/>
          <w:szCs w:val="32"/>
        </w:rPr>
      </w:pPr>
      <w:r w:rsidRPr="00AB317A">
        <w:rPr>
          <w:b/>
          <w:bCs/>
          <w:sz w:val="32"/>
          <w:szCs w:val="32"/>
        </w:rPr>
        <w:t>Conclusion</w:t>
      </w:r>
      <w:r w:rsidR="00B0424A">
        <w:rPr>
          <w:b/>
          <w:bCs/>
          <w:sz w:val="32"/>
          <w:szCs w:val="32"/>
        </w:rPr>
        <w:t xml:space="preserve">/Action </w:t>
      </w:r>
      <w:r w:rsidR="00D83278">
        <w:rPr>
          <w:b/>
          <w:bCs/>
          <w:sz w:val="32"/>
          <w:szCs w:val="32"/>
        </w:rPr>
        <w:t>plan</w:t>
      </w:r>
    </w:p>
    <w:p w14:paraId="32FECE8D" w14:textId="39FC4420" w:rsidR="009C0DCD" w:rsidRDefault="009C0DCD" w:rsidP="00941F2E">
      <w:pPr>
        <w:spacing w:line="360" w:lineRule="auto"/>
        <w:jc w:val="both"/>
      </w:pPr>
      <w:r>
        <w:t>After reflecting on the role-play, I recognise that using person-centred counselling skills helped me communicate more effectively with simulated patients. My active listening, such as maintaining eye contact and using verbal encouragers like "tell me more" and "mm-hmm," encouraged patients to share their concerns more openly. Paraphrasing and reflective questions allowed me to explore emotions more deeply and respond in an empathic, non-judgemental way. Summarising, as when I identified a patient's main concern about tiredness and sleep, helped them organise their thoughts and consider practical steps forward. This experience has deepened my appreciation of how the person-centred core conditions of empathy, unconditional positive regard and being non-judgemental, alongside a variety of effective questioning techniques, enabled me to build a stronger connection with each patient and support them to feel heard and understood.</w:t>
      </w:r>
    </w:p>
    <w:p w14:paraId="7446B8B5" w14:textId="77777777" w:rsidR="009C0DCD" w:rsidRDefault="009C0DCD" w:rsidP="00941F2E">
      <w:pPr>
        <w:spacing w:line="360" w:lineRule="auto"/>
        <w:jc w:val="both"/>
      </w:pPr>
    </w:p>
    <w:p w14:paraId="5828EE84" w14:textId="63188E25" w:rsidR="009C0DCD" w:rsidRDefault="009C0DCD" w:rsidP="00941F2E">
      <w:pPr>
        <w:spacing w:line="360" w:lineRule="auto"/>
        <w:jc w:val="both"/>
      </w:pPr>
      <w:r>
        <w:t xml:space="preserve">However, I also recognise several areas requiring further development. At times I became too focused on applying techniques correctly, which affected the naturalness of my presence and reduced the quality of the interaction. If I had to do a similar role-play again, I would pause before responding to give myself more time to think and stay present with the patient. I would also read more about counselling skills, particularly around </w:t>
      </w:r>
      <w:r>
        <w:lastRenderedPageBreak/>
        <w:t>summarising and questioning techniques, to deepen my theoretical understanding. Additionally, I would practise these skills more regularly, both in role-play settings and in everyday conversations, to build greater confidence and naturalness.</w:t>
      </w:r>
    </w:p>
    <w:p w14:paraId="02E04A55" w14:textId="77777777" w:rsidR="00353768" w:rsidRDefault="00353768" w:rsidP="00941F2E">
      <w:pPr>
        <w:spacing w:line="360" w:lineRule="auto"/>
        <w:jc w:val="both"/>
      </w:pPr>
    </w:p>
    <w:p w14:paraId="77592ED0" w14:textId="719506F6" w:rsidR="00B46915" w:rsidRPr="00AB317A" w:rsidRDefault="00B46915" w:rsidP="00941F2E">
      <w:pPr>
        <w:spacing w:line="360" w:lineRule="auto"/>
        <w:jc w:val="both"/>
        <w:rPr>
          <w:b/>
          <w:bCs/>
          <w:sz w:val="36"/>
          <w:szCs w:val="36"/>
        </w:rPr>
      </w:pPr>
      <w:r w:rsidRPr="00AB317A">
        <w:rPr>
          <w:b/>
          <w:bCs/>
          <w:sz w:val="36"/>
          <w:szCs w:val="36"/>
        </w:rPr>
        <w:t>Conclusion</w:t>
      </w:r>
    </w:p>
    <w:p w14:paraId="7BE4DD17" w14:textId="490F82FB" w:rsidR="00353768" w:rsidRDefault="00353768" w:rsidP="00941F2E">
      <w:pPr>
        <w:spacing w:line="360" w:lineRule="auto"/>
        <w:jc w:val="both"/>
      </w:pPr>
      <w:r>
        <w:t>In conclusion, the use of person-centred counselling skills within healthcare plays a vital role in building meaningful and supportive relationships between practitioners and patients</w:t>
      </w:r>
      <w:r w:rsidR="00805804">
        <w:t xml:space="preserve"> (</w:t>
      </w:r>
      <w:r w:rsidR="00805804" w:rsidRPr="00805804">
        <w:rPr>
          <w:rFonts w:cs="Arial"/>
          <w:color w:val="222222"/>
          <w:shd w:val="clear" w:color="auto" w:fill="FFFFFF"/>
        </w:rPr>
        <w:t>Doherty</w:t>
      </w:r>
      <w:r w:rsidR="00805804">
        <w:rPr>
          <w:rFonts w:cs="Arial"/>
          <w:color w:val="222222"/>
          <w:shd w:val="clear" w:color="auto" w:fill="FFFFFF"/>
        </w:rPr>
        <w:t xml:space="preserve"> and </w:t>
      </w:r>
      <w:r w:rsidR="00805804" w:rsidRPr="00805804">
        <w:rPr>
          <w:rFonts w:cs="Arial"/>
          <w:color w:val="222222"/>
          <w:shd w:val="clear" w:color="auto" w:fill="FFFFFF"/>
        </w:rPr>
        <w:t>Thompson, 2014</w:t>
      </w:r>
      <w:r w:rsidR="00941F2E">
        <w:t>)</w:t>
      </w:r>
      <w:r w:rsidR="00805804">
        <w:t>.</w:t>
      </w:r>
      <w:r>
        <w:t xml:space="preserve"> Throughout this essay, reflecting on the role-play experience has shown that skills such as active listening, paraphrasing, summarising, questioning skills and empathy are essential tools that enable patients to feel heard, understood and valued. When these skills are applied effectively, they create a safe and supportive environment where patients feel comfortable sharing their concerns and working towards positive changes in their health and wellbeing</w:t>
      </w:r>
      <w:r w:rsidR="00D24572">
        <w:t xml:space="preserve"> (</w:t>
      </w:r>
      <w:r w:rsidR="00D24572" w:rsidRPr="00D24572">
        <w:t>Hashim</w:t>
      </w:r>
      <w:r w:rsidR="00D24572" w:rsidRPr="00D24572">
        <w:t xml:space="preserve">, </w:t>
      </w:r>
      <w:r w:rsidR="00D24572">
        <w:t>2017).</w:t>
      </w:r>
    </w:p>
    <w:p w14:paraId="1602B438" w14:textId="77777777" w:rsidR="00353768" w:rsidRDefault="00353768" w:rsidP="00941F2E">
      <w:pPr>
        <w:spacing w:line="360" w:lineRule="auto"/>
        <w:jc w:val="both"/>
      </w:pPr>
    </w:p>
    <w:p w14:paraId="2C5FAAD1" w14:textId="00C87B60" w:rsidR="00452E85" w:rsidRDefault="00353768" w:rsidP="00941F2E">
      <w:pPr>
        <w:spacing w:line="360" w:lineRule="auto"/>
        <w:jc w:val="both"/>
      </w:pPr>
      <w:r>
        <w:t>Overall, this work has highlighted the importance of person-centred counselling in supporting a high quality of care. By using empathy, unconditional positive regard and non-judgemental communication, practitioners can strengthen the therapeutic relationship and empower patients to take an active role in their own care. Continuing to reflect, read and practise these skills will be central to my development as a healthcare professional.</w:t>
      </w:r>
    </w:p>
    <w:p w14:paraId="48DA6C5F" w14:textId="77777777" w:rsidR="00353768" w:rsidRDefault="00353768" w:rsidP="00941F2E">
      <w:pPr>
        <w:spacing w:line="360" w:lineRule="auto"/>
        <w:jc w:val="both"/>
      </w:pPr>
    </w:p>
    <w:p w14:paraId="7E3031F8" w14:textId="77777777" w:rsidR="00A0257A" w:rsidRDefault="00A0257A" w:rsidP="00941F2E">
      <w:pPr>
        <w:spacing w:line="360" w:lineRule="auto"/>
        <w:jc w:val="both"/>
        <w:rPr>
          <w:b/>
          <w:bCs/>
          <w:sz w:val="32"/>
          <w:szCs w:val="32"/>
        </w:rPr>
      </w:pPr>
    </w:p>
    <w:p w14:paraId="26D2E1E0" w14:textId="77777777" w:rsidR="00A0257A" w:rsidRDefault="00A0257A" w:rsidP="00941F2E">
      <w:pPr>
        <w:spacing w:line="360" w:lineRule="auto"/>
        <w:jc w:val="both"/>
        <w:rPr>
          <w:b/>
          <w:bCs/>
          <w:sz w:val="32"/>
          <w:szCs w:val="32"/>
        </w:rPr>
      </w:pPr>
    </w:p>
    <w:p w14:paraId="648FF0AF" w14:textId="77777777" w:rsidR="00A0257A" w:rsidRDefault="00A0257A" w:rsidP="00941F2E">
      <w:pPr>
        <w:spacing w:line="360" w:lineRule="auto"/>
        <w:jc w:val="both"/>
        <w:rPr>
          <w:b/>
          <w:bCs/>
          <w:sz w:val="32"/>
          <w:szCs w:val="32"/>
        </w:rPr>
      </w:pPr>
    </w:p>
    <w:p w14:paraId="052A37C8" w14:textId="77777777" w:rsidR="002B0A62" w:rsidRDefault="002B0A62" w:rsidP="00214C45">
      <w:pPr>
        <w:rPr>
          <w:b/>
          <w:bCs/>
          <w:sz w:val="32"/>
          <w:szCs w:val="32"/>
        </w:rPr>
      </w:pPr>
    </w:p>
    <w:p w14:paraId="0ED1C43E" w14:textId="579834B0" w:rsidR="00A0257A" w:rsidRPr="00A0257A" w:rsidRDefault="00452E85" w:rsidP="00214C45">
      <w:pPr>
        <w:rPr>
          <w:b/>
          <w:bCs/>
          <w:sz w:val="32"/>
          <w:szCs w:val="32"/>
        </w:rPr>
      </w:pPr>
      <w:r w:rsidRPr="00214C45">
        <w:rPr>
          <w:b/>
          <w:bCs/>
          <w:sz w:val="32"/>
          <w:szCs w:val="32"/>
        </w:rPr>
        <w:lastRenderedPageBreak/>
        <w:t xml:space="preserve">References </w:t>
      </w:r>
    </w:p>
    <w:p w14:paraId="534A303B" w14:textId="77777777" w:rsidR="00A0257A" w:rsidRPr="00A0257A" w:rsidRDefault="00A0257A" w:rsidP="00A0257A">
      <w:pPr>
        <w:rPr>
          <w:rFonts w:ascii="Arial" w:hAnsi="Arial" w:cs="Arial"/>
          <w:color w:val="222222"/>
          <w:shd w:val="clear" w:color="auto" w:fill="FFFFFF"/>
        </w:rPr>
      </w:pPr>
    </w:p>
    <w:p w14:paraId="350C4491" w14:textId="77777777" w:rsidR="002B0A62" w:rsidRPr="002B0A62" w:rsidRDefault="002B0A62" w:rsidP="00DE5D38">
      <w:pPr>
        <w:rPr>
          <w:rFonts w:cs="Arial"/>
          <w:color w:val="156082" w:themeColor="accent1"/>
          <w:u w:val="single"/>
          <w:shd w:val="clear" w:color="auto" w:fill="FFFFFF"/>
        </w:rPr>
      </w:pPr>
      <w:r w:rsidRPr="002B0A62">
        <w:rPr>
          <w:rFonts w:cs="Arial"/>
          <w:color w:val="222222"/>
          <w:shd w:val="clear" w:color="auto" w:fill="FFFFFF"/>
        </w:rPr>
        <w:t>Doherty, M., &amp; Thompson, H. (2014). Enhancing person-centred care through the development of a therapeutic relationship. British Journal of Community Nursing, 19(10), 502-507.</w:t>
      </w:r>
      <w:r w:rsidRPr="002B0A62">
        <w:rPr>
          <w:rFonts w:cs="Arial"/>
          <w:color w:val="222222"/>
          <w:shd w:val="clear" w:color="auto" w:fill="FFFFFF"/>
        </w:rPr>
        <w:t xml:space="preserve"> Available at: </w:t>
      </w:r>
      <w:hyperlink r:id="rId7" w:history="1">
        <w:r w:rsidRPr="002B0A62">
          <w:rPr>
            <w:rStyle w:val="Hyperlink"/>
            <w:rFonts w:cs="Arial"/>
            <w:shd w:val="clear" w:color="auto" w:fill="FFFFFF"/>
          </w:rPr>
          <w:t>https://doi.org/10.12968/bjcn.2014.19.10.502</w:t>
        </w:r>
      </w:hyperlink>
    </w:p>
    <w:p w14:paraId="32AF4811"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Edelman, M., &amp; Ficorelli, C. (2005). A measure of success: nursing students and test anxiety. </w:t>
      </w:r>
      <w:r w:rsidRPr="002B0A62">
        <w:rPr>
          <w:rFonts w:cs="Arial"/>
          <w:i/>
          <w:iCs/>
          <w:color w:val="222222"/>
          <w:shd w:val="clear" w:color="auto" w:fill="FFFFFF"/>
        </w:rPr>
        <w:t>Journal for Nurses in Professional Development</w:t>
      </w:r>
      <w:r w:rsidRPr="002B0A62">
        <w:rPr>
          <w:rFonts w:cs="Arial"/>
          <w:color w:val="222222"/>
          <w:shd w:val="clear" w:color="auto" w:fill="FFFFFF"/>
        </w:rPr>
        <w:t>, </w:t>
      </w:r>
      <w:r w:rsidRPr="002B0A62">
        <w:rPr>
          <w:rFonts w:cs="Arial"/>
          <w:i/>
          <w:iCs/>
          <w:color w:val="222222"/>
          <w:shd w:val="clear" w:color="auto" w:fill="FFFFFF"/>
        </w:rPr>
        <w:t>21</w:t>
      </w:r>
      <w:r w:rsidRPr="002B0A62">
        <w:rPr>
          <w:rFonts w:cs="Arial"/>
          <w:color w:val="222222"/>
          <w:shd w:val="clear" w:color="auto" w:fill="FFFFFF"/>
        </w:rPr>
        <w:t>(2), 55-59.</w:t>
      </w:r>
    </w:p>
    <w:p w14:paraId="096C8268" w14:textId="77777777" w:rsidR="002B0A62" w:rsidRPr="002B0A62" w:rsidRDefault="002B0A62" w:rsidP="00DE5D38">
      <w:r w:rsidRPr="002B0A62">
        <w:t xml:space="preserve">Gibbs, G. (1988). </w:t>
      </w:r>
      <w:r w:rsidRPr="002B0A62">
        <w:rPr>
          <w:i/>
          <w:iCs/>
        </w:rPr>
        <w:t>Learning by Doing: A guide to Teaching and Learning Methods.</w:t>
      </w:r>
      <w:r w:rsidRPr="002B0A62">
        <w:t xml:space="preserve"> Oxford: Further Education Unit, Oxford polytechnic.</w:t>
      </w:r>
    </w:p>
    <w:p w14:paraId="22D3752C"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 xml:space="preserve">Greene, A. (2014). The role of self-awareness and reflection in social care practice. Available at: </w:t>
      </w:r>
      <w:hyperlink r:id="rId8" w:history="1">
        <w:r w:rsidRPr="002B0A62">
          <w:rPr>
            <w:rStyle w:val="Hyperlink"/>
            <w:rFonts w:cs="Arial"/>
            <w:shd w:val="clear" w:color="auto" w:fill="FFFFFF"/>
          </w:rPr>
          <w:t>https://research.thea.ie/bitstream/handle/20.500.12065/2577/Aoifegreene.pdf?sequence=1&amp;isAllowed=y</w:t>
        </w:r>
      </w:hyperlink>
      <w:r w:rsidRPr="002B0A62">
        <w:rPr>
          <w:rFonts w:cs="Arial"/>
          <w:color w:val="222222"/>
          <w:shd w:val="clear" w:color="auto" w:fill="FFFFFF"/>
        </w:rPr>
        <w:t xml:space="preserve"> (Accessed:28 March 2026).</w:t>
      </w:r>
    </w:p>
    <w:p w14:paraId="2542E4F7"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Hashim, M. J. (2017). Patient-</w:t>
      </w:r>
      <w:proofErr w:type="spellStart"/>
      <w:r w:rsidRPr="002B0A62">
        <w:rPr>
          <w:rFonts w:cs="Arial"/>
          <w:color w:val="222222"/>
          <w:shd w:val="clear" w:color="auto" w:fill="FFFFFF"/>
        </w:rPr>
        <w:t>centered</w:t>
      </w:r>
      <w:proofErr w:type="spellEnd"/>
      <w:r w:rsidRPr="002B0A62">
        <w:rPr>
          <w:rFonts w:cs="Arial"/>
          <w:color w:val="222222"/>
          <w:shd w:val="clear" w:color="auto" w:fill="FFFFFF"/>
        </w:rPr>
        <w:t xml:space="preserve"> communication: basic skills. </w:t>
      </w:r>
      <w:r w:rsidRPr="002B0A62">
        <w:rPr>
          <w:rFonts w:cs="Arial"/>
          <w:i/>
          <w:iCs/>
          <w:color w:val="222222"/>
          <w:shd w:val="clear" w:color="auto" w:fill="FFFFFF"/>
        </w:rPr>
        <w:t>American family physician</w:t>
      </w:r>
      <w:r w:rsidRPr="002B0A62">
        <w:rPr>
          <w:rFonts w:cs="Arial"/>
          <w:color w:val="222222"/>
          <w:shd w:val="clear" w:color="auto" w:fill="FFFFFF"/>
        </w:rPr>
        <w:t>, 95(1), 29-34.</w:t>
      </w:r>
    </w:p>
    <w:p w14:paraId="12569241" w14:textId="77777777" w:rsidR="002B0A62" w:rsidRPr="002B0A62" w:rsidRDefault="002B0A62" w:rsidP="00DE5D38">
      <w:pPr>
        <w:rPr>
          <w:rFonts w:cs="Arial"/>
          <w:color w:val="222222"/>
          <w:shd w:val="clear" w:color="auto" w:fill="FFFFFF"/>
        </w:rPr>
      </w:pPr>
      <w:r w:rsidRPr="002B0A62">
        <w:t xml:space="preserve">Hough, M. (2014) </w:t>
      </w:r>
      <w:r w:rsidRPr="002B0A62">
        <w:rPr>
          <w:rStyle w:val="Emphasis"/>
        </w:rPr>
        <w:t>Counselling Skills and Theory</w:t>
      </w:r>
      <w:r w:rsidRPr="002B0A62">
        <w:t xml:space="preserve">. 4th </w:t>
      </w:r>
      <w:proofErr w:type="spellStart"/>
      <w:r w:rsidRPr="002B0A62">
        <w:t>edn</w:t>
      </w:r>
      <w:proofErr w:type="spellEnd"/>
      <w:r w:rsidRPr="002B0A62">
        <w:t>. London: Hodder Education.</w:t>
      </w:r>
      <w:r w:rsidRPr="002B0A62">
        <w:rPr>
          <w:rFonts w:cs="Arial"/>
          <w:color w:val="222222"/>
          <w:shd w:val="clear" w:color="auto" w:fill="FFFFFF"/>
        </w:rPr>
        <w:t xml:space="preserve"> Available at:</w:t>
      </w:r>
      <w:r w:rsidRPr="002B0A62">
        <w:t xml:space="preserve"> </w:t>
      </w:r>
      <w:hyperlink r:id="rId9" w:history="1">
        <w:r w:rsidRPr="002B0A62">
          <w:rPr>
            <w:rStyle w:val="Hyperlink"/>
            <w:rFonts w:cs="Arial"/>
            <w:shd w:val="clear" w:color="auto" w:fill="FFFFFF"/>
          </w:rPr>
          <w:t>https://www.psicopolis.com/SKILLS/counselingsk.pdf</w:t>
        </w:r>
      </w:hyperlink>
      <w:r w:rsidRPr="002B0A62">
        <w:rPr>
          <w:rFonts w:cs="Arial"/>
          <w:color w:val="222222"/>
          <w:shd w:val="clear" w:color="auto" w:fill="FFFFFF"/>
        </w:rPr>
        <w:t xml:space="preserve"> (Accessed:5 April 2026).</w:t>
      </w:r>
    </w:p>
    <w:p w14:paraId="1E3575C6" w14:textId="77777777" w:rsidR="002B0A62" w:rsidRPr="002B0A62" w:rsidRDefault="002B0A62" w:rsidP="00DE5D38">
      <w:pPr>
        <w:rPr>
          <w:rFonts w:cs="Arial"/>
          <w:color w:val="156082" w:themeColor="accent1"/>
          <w:u w:val="single"/>
          <w:shd w:val="clear" w:color="auto" w:fill="FFFFFF"/>
        </w:rPr>
      </w:pPr>
      <w:r w:rsidRPr="002B0A62">
        <w:rPr>
          <w:rFonts w:cs="Arial"/>
          <w:color w:val="222222"/>
          <w:shd w:val="clear" w:color="auto" w:fill="FFFFFF"/>
        </w:rPr>
        <w:t>Kitson, A. (2002). Recognising relationships: reflections on evidence</w:t>
      </w:r>
      <w:r w:rsidRPr="002B0A62">
        <w:rPr>
          <w:rFonts w:ascii="Cambria Math" w:hAnsi="Cambria Math" w:cs="Cambria Math"/>
          <w:color w:val="222222"/>
          <w:shd w:val="clear" w:color="auto" w:fill="FFFFFF"/>
        </w:rPr>
        <w:t>‐</w:t>
      </w:r>
      <w:r w:rsidRPr="002B0A62">
        <w:rPr>
          <w:rFonts w:cs="Arial"/>
          <w:color w:val="222222"/>
          <w:shd w:val="clear" w:color="auto" w:fill="FFFFFF"/>
        </w:rPr>
        <w:t>based practice. </w:t>
      </w:r>
      <w:r w:rsidRPr="002B0A62">
        <w:rPr>
          <w:rFonts w:cs="Arial"/>
          <w:i/>
          <w:iCs/>
          <w:color w:val="222222"/>
          <w:shd w:val="clear" w:color="auto" w:fill="FFFFFF"/>
        </w:rPr>
        <w:t>Nursing inquiry</w:t>
      </w:r>
      <w:r w:rsidRPr="002B0A62">
        <w:rPr>
          <w:rFonts w:cs="Arial"/>
          <w:color w:val="222222"/>
          <w:shd w:val="clear" w:color="auto" w:fill="FFFFFF"/>
        </w:rPr>
        <w:t>, </w:t>
      </w:r>
      <w:r w:rsidRPr="002B0A62">
        <w:rPr>
          <w:rFonts w:cs="Arial"/>
          <w:i/>
          <w:iCs/>
          <w:color w:val="222222"/>
          <w:shd w:val="clear" w:color="auto" w:fill="FFFFFF"/>
        </w:rPr>
        <w:t>9</w:t>
      </w:r>
      <w:r w:rsidRPr="002B0A62">
        <w:rPr>
          <w:rFonts w:cs="Arial"/>
          <w:color w:val="222222"/>
          <w:shd w:val="clear" w:color="auto" w:fill="FFFFFF"/>
        </w:rPr>
        <w:t>(3), 179-186. Available at</w:t>
      </w:r>
      <w:r w:rsidRPr="002B0A62">
        <w:rPr>
          <w:rFonts w:cs="Arial"/>
          <w:color w:val="000000" w:themeColor="text1"/>
          <w:shd w:val="clear" w:color="auto" w:fill="FFFFFF"/>
        </w:rPr>
        <w:t>:</w:t>
      </w:r>
      <w:r w:rsidRPr="002B0A62">
        <w:rPr>
          <w:rFonts w:cs="Arial"/>
          <w:color w:val="156082" w:themeColor="accent1"/>
          <w:shd w:val="clear" w:color="auto" w:fill="FFFFFF"/>
        </w:rPr>
        <w:t xml:space="preserve"> </w:t>
      </w:r>
      <w:r w:rsidRPr="002B0A62">
        <w:rPr>
          <w:rFonts w:cs="Arial"/>
          <w:color w:val="156082" w:themeColor="accent1"/>
          <w:u w:val="single"/>
          <w:shd w:val="clear" w:color="auto" w:fill="FFFFFF"/>
        </w:rPr>
        <w:t>https://doi.org/10.1046/j.1440-1800.2002.00151.x</w:t>
      </w:r>
    </w:p>
    <w:p w14:paraId="03F3DC37"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Lee, S. H., &amp; Yoo, H. J. (2024). Therapeutic communication using mirroring interventions in nursing education: A mixed methods study. </w:t>
      </w:r>
      <w:r w:rsidRPr="002B0A62">
        <w:rPr>
          <w:rFonts w:cs="Arial"/>
          <w:i/>
          <w:iCs/>
          <w:color w:val="222222"/>
          <w:shd w:val="clear" w:color="auto" w:fill="FFFFFF"/>
        </w:rPr>
        <w:t>Asian Nursing Research</w:t>
      </w:r>
      <w:r w:rsidRPr="002B0A62">
        <w:rPr>
          <w:rFonts w:cs="Arial"/>
          <w:color w:val="222222"/>
          <w:shd w:val="clear" w:color="auto" w:fill="FFFFFF"/>
        </w:rPr>
        <w:t>, </w:t>
      </w:r>
      <w:r w:rsidRPr="002B0A62">
        <w:rPr>
          <w:rFonts w:cs="Arial"/>
          <w:i/>
          <w:iCs/>
          <w:color w:val="222222"/>
          <w:shd w:val="clear" w:color="auto" w:fill="FFFFFF"/>
        </w:rPr>
        <w:t>18</w:t>
      </w:r>
      <w:r w:rsidRPr="002B0A62">
        <w:rPr>
          <w:rFonts w:cs="Arial"/>
          <w:color w:val="222222"/>
          <w:shd w:val="clear" w:color="auto" w:fill="FFFFFF"/>
        </w:rPr>
        <w:t xml:space="preserve">(5), 435-442. Available at: </w:t>
      </w:r>
      <w:r w:rsidRPr="002B0A62">
        <w:rPr>
          <w:rFonts w:cs="Arial"/>
          <w:color w:val="156082" w:themeColor="accent1"/>
          <w:u w:val="single"/>
          <w:shd w:val="clear" w:color="auto" w:fill="FFFFFF"/>
        </w:rPr>
        <w:t>https://doi.org/10.1016/j.anr.2024.09.012</w:t>
      </w:r>
    </w:p>
    <w:p w14:paraId="3D53CEB2"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Matlhaba, K. (2025). Communication and interpersonal skills. In </w:t>
      </w:r>
      <w:r w:rsidRPr="002B0A62">
        <w:rPr>
          <w:rFonts w:cs="Arial"/>
          <w:i/>
          <w:iCs/>
          <w:color w:val="222222"/>
          <w:shd w:val="clear" w:color="auto" w:fill="FFFFFF"/>
        </w:rPr>
        <w:t>Enhancing Clinical Competence of Graduate Nurses</w:t>
      </w:r>
      <w:r w:rsidRPr="002B0A62">
        <w:rPr>
          <w:rFonts w:cs="Arial"/>
          <w:color w:val="222222"/>
          <w:shd w:val="clear" w:color="auto" w:fill="FFFFFF"/>
        </w:rPr>
        <w:t> (pp. 135-148). Cham: Springer Nature Switzerland.</w:t>
      </w:r>
    </w:p>
    <w:p w14:paraId="532D5CA7" w14:textId="77777777" w:rsidR="002B0A62" w:rsidRPr="002B0A62" w:rsidRDefault="002B0A62" w:rsidP="00DE5D38">
      <w:pPr>
        <w:rPr>
          <w:i/>
          <w:iCs/>
        </w:rPr>
      </w:pPr>
      <w:r w:rsidRPr="002B0A62">
        <w:t>Matlhaba, K. (2025). Self-reflection and personal development</w:t>
      </w:r>
      <w:r w:rsidRPr="002B0A62">
        <w:rPr>
          <w:i/>
          <w:iCs/>
        </w:rPr>
        <w:t xml:space="preserve">. In Enhancing clinical competence of graduate nurses (pp. 53-110). </w:t>
      </w:r>
      <w:r w:rsidRPr="002B0A62">
        <w:t>Cham: Springer Nature Switzerland.</w:t>
      </w:r>
    </w:p>
    <w:p w14:paraId="0E485248"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Rønning, S. B., &amp; Bjørkly, S. (2019). The use of clinical role-play and reflection in learning therapeutic communication skills in mental health education: an integrative review. </w:t>
      </w:r>
      <w:r w:rsidRPr="002B0A62">
        <w:rPr>
          <w:rFonts w:cs="Arial"/>
          <w:i/>
          <w:iCs/>
          <w:color w:val="222222"/>
          <w:shd w:val="clear" w:color="auto" w:fill="FFFFFF"/>
        </w:rPr>
        <w:t>Advances in medical education and practice</w:t>
      </w:r>
      <w:r w:rsidRPr="002B0A62">
        <w:rPr>
          <w:rFonts w:cs="Arial"/>
          <w:color w:val="222222"/>
          <w:shd w:val="clear" w:color="auto" w:fill="FFFFFF"/>
        </w:rPr>
        <w:t xml:space="preserve">, 415-425.Available at: </w:t>
      </w:r>
      <w:r w:rsidRPr="002B0A62">
        <w:rPr>
          <w:rFonts w:cs="Arial"/>
          <w:color w:val="156082" w:themeColor="accent1"/>
          <w:u w:val="single"/>
          <w:shd w:val="clear" w:color="auto" w:fill="FFFFFF"/>
        </w:rPr>
        <w:t>https://doi.org/10.2147/AMEP.S202115</w:t>
      </w:r>
    </w:p>
    <w:p w14:paraId="07893EF2"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Tustonja, M., Stipić, D. T., Skoko, I., Čuljak, A., &amp; Vegar, A. (2024). Active listening–a model of empathetic communication in the helping professions. </w:t>
      </w:r>
      <w:r w:rsidRPr="002B0A62">
        <w:rPr>
          <w:rFonts w:cs="Arial"/>
          <w:i/>
          <w:iCs/>
          <w:color w:val="222222"/>
          <w:shd w:val="clear" w:color="auto" w:fill="FFFFFF"/>
        </w:rPr>
        <w:t xml:space="preserve">Medicina Academica </w:t>
      </w:r>
      <w:proofErr w:type="spellStart"/>
      <w:r w:rsidRPr="002B0A62">
        <w:rPr>
          <w:rFonts w:cs="Arial"/>
          <w:i/>
          <w:iCs/>
          <w:color w:val="222222"/>
          <w:shd w:val="clear" w:color="auto" w:fill="FFFFFF"/>
        </w:rPr>
        <w:lastRenderedPageBreak/>
        <w:t>Integrativa</w:t>
      </w:r>
      <w:proofErr w:type="spellEnd"/>
      <w:r w:rsidRPr="002B0A62">
        <w:rPr>
          <w:rFonts w:cs="Arial"/>
          <w:color w:val="222222"/>
          <w:shd w:val="clear" w:color="auto" w:fill="FFFFFF"/>
        </w:rPr>
        <w:t>, </w:t>
      </w:r>
      <w:r w:rsidRPr="002B0A62">
        <w:rPr>
          <w:rFonts w:cs="Arial"/>
          <w:i/>
          <w:iCs/>
          <w:color w:val="222222"/>
          <w:shd w:val="clear" w:color="auto" w:fill="FFFFFF"/>
        </w:rPr>
        <w:t>1</w:t>
      </w:r>
      <w:r w:rsidRPr="002B0A62">
        <w:rPr>
          <w:rFonts w:cs="Arial"/>
          <w:color w:val="222222"/>
          <w:shd w:val="clear" w:color="auto" w:fill="FFFFFF"/>
        </w:rPr>
        <w:t>(1), 42-47. Available at:</w:t>
      </w:r>
      <w:r w:rsidRPr="002B0A62">
        <w:t xml:space="preserve"> </w:t>
      </w:r>
      <w:hyperlink r:id="rId10" w:history="1">
        <w:r w:rsidRPr="002B0A62">
          <w:rPr>
            <w:rStyle w:val="Hyperlink"/>
            <w:rFonts w:cs="Arial"/>
            <w:shd w:val="clear" w:color="auto" w:fill="FFFFFF"/>
          </w:rPr>
          <w:t>https://pauk.sum.ba/ojs/mai/article/view/7/6</w:t>
        </w:r>
      </w:hyperlink>
      <w:r w:rsidRPr="002B0A62">
        <w:rPr>
          <w:rFonts w:cs="Arial"/>
          <w:color w:val="222222"/>
          <w:shd w:val="clear" w:color="auto" w:fill="FFFFFF"/>
        </w:rPr>
        <w:t xml:space="preserve"> (Accessed:1 April 2026).</w:t>
      </w:r>
    </w:p>
    <w:p w14:paraId="37407287" w14:textId="77777777" w:rsidR="002B0A62" w:rsidRPr="002B0A62" w:rsidRDefault="002B0A62" w:rsidP="00DE5D38">
      <w:pPr>
        <w:rPr>
          <w:rFonts w:cs="Arial"/>
          <w:color w:val="222222"/>
          <w:shd w:val="clear" w:color="auto" w:fill="FFFFFF"/>
        </w:rPr>
      </w:pPr>
      <w:r w:rsidRPr="002B0A62">
        <w:rPr>
          <w:rFonts w:cs="Arial"/>
          <w:color w:val="222222"/>
          <w:shd w:val="clear" w:color="auto" w:fill="FFFFFF"/>
        </w:rPr>
        <w:t>Vallance, K. (2004). Exploring counsellor perceptions of the impact of counselling supervision on clients. </w:t>
      </w:r>
      <w:r w:rsidRPr="002B0A62">
        <w:rPr>
          <w:rFonts w:cs="Arial"/>
          <w:i/>
          <w:iCs/>
          <w:color w:val="222222"/>
          <w:shd w:val="clear" w:color="auto" w:fill="FFFFFF"/>
        </w:rPr>
        <w:t>British Journal of Guidance &amp; Counselling</w:t>
      </w:r>
      <w:r w:rsidRPr="002B0A62">
        <w:rPr>
          <w:rFonts w:cs="Arial"/>
          <w:color w:val="222222"/>
          <w:shd w:val="clear" w:color="auto" w:fill="FFFFFF"/>
        </w:rPr>
        <w:t>, </w:t>
      </w:r>
      <w:r w:rsidRPr="002B0A62">
        <w:rPr>
          <w:rFonts w:cs="Arial"/>
          <w:i/>
          <w:iCs/>
          <w:color w:val="222222"/>
          <w:shd w:val="clear" w:color="auto" w:fill="FFFFFF"/>
        </w:rPr>
        <w:t>32</w:t>
      </w:r>
      <w:r w:rsidRPr="002B0A62">
        <w:rPr>
          <w:rFonts w:cs="Arial"/>
          <w:color w:val="222222"/>
          <w:shd w:val="clear" w:color="auto" w:fill="FFFFFF"/>
        </w:rPr>
        <w:t xml:space="preserve">(4), 559-574. Available at: </w:t>
      </w:r>
      <w:r w:rsidRPr="002B0A62">
        <w:rPr>
          <w:rFonts w:cs="Arial"/>
          <w:color w:val="156082" w:themeColor="accent1"/>
          <w:u w:val="single"/>
          <w:shd w:val="clear" w:color="auto" w:fill="FFFFFF"/>
        </w:rPr>
        <w:t>https://doi.org/10.1080/03069880412331303330</w:t>
      </w:r>
    </w:p>
    <w:p w14:paraId="19B00333" w14:textId="77777777" w:rsidR="002C5C43" w:rsidRPr="002B0A62" w:rsidRDefault="002C5C43" w:rsidP="002C5C43">
      <w:pPr>
        <w:pStyle w:val="ListParagraph"/>
        <w:ind w:left="360"/>
        <w:rPr>
          <w:rFonts w:cs="Arial"/>
          <w:color w:val="222222"/>
          <w:shd w:val="clear" w:color="auto" w:fill="FFFFFF"/>
        </w:rPr>
      </w:pPr>
    </w:p>
    <w:p w14:paraId="7DF8E9B4" w14:textId="1077852F" w:rsidR="002C5C43" w:rsidRPr="002679A0" w:rsidRDefault="002C5C43" w:rsidP="008F137D">
      <w:pPr>
        <w:pStyle w:val="ListParagraph"/>
        <w:ind w:left="360"/>
      </w:pPr>
    </w:p>
    <w:p w14:paraId="747C6419" w14:textId="77777777" w:rsidR="00452E85" w:rsidRPr="00C76244" w:rsidRDefault="00452E85" w:rsidP="00452E85">
      <w:pPr>
        <w:pStyle w:val="ListParagraph"/>
        <w:ind w:left="1080"/>
      </w:pPr>
    </w:p>
    <w:p w14:paraId="54882AD8" w14:textId="77777777" w:rsidR="00BA0184" w:rsidRPr="00BA0184" w:rsidRDefault="00BA0184"/>
    <w:p w14:paraId="244A7F54" w14:textId="77777777" w:rsidR="00BA0184" w:rsidRPr="00331545" w:rsidRDefault="00BA0184">
      <w:pPr>
        <w:rPr>
          <w:b/>
          <w:bCs/>
        </w:rPr>
      </w:pPr>
    </w:p>
    <w:sectPr w:rsidR="00BA0184" w:rsidRPr="0033154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F5F93" w14:textId="77777777" w:rsidR="00233D09" w:rsidRDefault="00233D09" w:rsidP="00D83278">
      <w:pPr>
        <w:spacing w:after="0" w:line="240" w:lineRule="auto"/>
      </w:pPr>
      <w:r>
        <w:separator/>
      </w:r>
    </w:p>
  </w:endnote>
  <w:endnote w:type="continuationSeparator" w:id="0">
    <w:p w14:paraId="093DAF6C" w14:textId="77777777" w:rsidR="00233D09" w:rsidRDefault="00233D09" w:rsidP="00D83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4201551"/>
      <w:docPartObj>
        <w:docPartGallery w:val="Page Numbers (Bottom of Page)"/>
        <w:docPartUnique/>
      </w:docPartObj>
    </w:sdtPr>
    <w:sdtContent>
      <w:p w14:paraId="00515AA2" w14:textId="5494DB6E" w:rsidR="00D83278" w:rsidRDefault="00D83278">
        <w:pPr>
          <w:pStyle w:val="Footer"/>
          <w:jc w:val="center"/>
        </w:pPr>
        <w:r>
          <w:fldChar w:fldCharType="begin"/>
        </w:r>
        <w:r>
          <w:instrText>PAGE   \* MERGEFORMAT</w:instrText>
        </w:r>
        <w:r>
          <w:fldChar w:fldCharType="separate"/>
        </w:r>
        <w:r>
          <w:t>2</w:t>
        </w:r>
        <w:r>
          <w:fldChar w:fldCharType="end"/>
        </w:r>
      </w:p>
    </w:sdtContent>
  </w:sdt>
  <w:p w14:paraId="6AB899C5" w14:textId="77777777" w:rsidR="00D83278" w:rsidRDefault="00D83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5D7AA" w14:textId="77777777" w:rsidR="00233D09" w:rsidRDefault="00233D09" w:rsidP="00D83278">
      <w:pPr>
        <w:spacing w:after="0" w:line="240" w:lineRule="auto"/>
      </w:pPr>
      <w:r>
        <w:separator/>
      </w:r>
    </w:p>
  </w:footnote>
  <w:footnote w:type="continuationSeparator" w:id="0">
    <w:p w14:paraId="47A491F7" w14:textId="77777777" w:rsidR="00233D09" w:rsidRDefault="00233D09" w:rsidP="00D832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54E0"/>
    <w:multiLevelType w:val="hybridMultilevel"/>
    <w:tmpl w:val="46B2935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05AF479A"/>
    <w:multiLevelType w:val="hybridMultilevel"/>
    <w:tmpl w:val="72161A7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 w15:restartNumberingAfterBreak="0">
    <w:nsid w:val="098D0E57"/>
    <w:multiLevelType w:val="hybridMultilevel"/>
    <w:tmpl w:val="FB5A3F50"/>
    <w:lvl w:ilvl="0" w:tplc="2E1C50F2">
      <w:start w:val="1"/>
      <w:numFmt w:val="decimal"/>
      <w:lvlText w:val="%1."/>
      <w:lvlJc w:val="left"/>
      <w:pPr>
        <w:ind w:left="501" w:hanging="360"/>
      </w:pPr>
      <w:rPr>
        <w:b/>
        <w:bCs/>
        <w:i w:val="0"/>
        <w:iCs w:val="0"/>
        <w:color w:val="auto"/>
        <w:sz w:val="28"/>
        <w:szCs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4BA48B0"/>
    <w:multiLevelType w:val="hybridMultilevel"/>
    <w:tmpl w:val="B87C217E"/>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4" w15:restartNumberingAfterBreak="0">
    <w:nsid w:val="15004EC1"/>
    <w:multiLevelType w:val="hybridMultilevel"/>
    <w:tmpl w:val="9A2C2B4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5" w15:restartNumberingAfterBreak="0">
    <w:nsid w:val="154A739E"/>
    <w:multiLevelType w:val="hybridMultilevel"/>
    <w:tmpl w:val="F2BCCB52"/>
    <w:lvl w:ilvl="0" w:tplc="C5E2E312">
      <w:start w:val="8"/>
      <w:numFmt w:val="decimal"/>
      <w:lvlText w:val="%1."/>
      <w:lvlJc w:val="left"/>
      <w:pPr>
        <w:ind w:left="643" w:hanging="360"/>
      </w:pPr>
      <w:rPr>
        <w:rFonts w:hint="default"/>
        <w:b/>
        <w:bCs/>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6" w15:restartNumberingAfterBreak="0">
    <w:nsid w:val="184F3B82"/>
    <w:multiLevelType w:val="hybridMultilevel"/>
    <w:tmpl w:val="8318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792851"/>
    <w:multiLevelType w:val="hybridMultilevel"/>
    <w:tmpl w:val="2826A3F4"/>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8" w15:restartNumberingAfterBreak="0">
    <w:nsid w:val="289A4DC2"/>
    <w:multiLevelType w:val="hybridMultilevel"/>
    <w:tmpl w:val="67B2801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D22BF0"/>
    <w:multiLevelType w:val="hybridMultilevel"/>
    <w:tmpl w:val="7A0CC0C4"/>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0" w15:restartNumberingAfterBreak="0">
    <w:nsid w:val="38C75D69"/>
    <w:multiLevelType w:val="hybridMultilevel"/>
    <w:tmpl w:val="AD10C0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8821D71"/>
    <w:multiLevelType w:val="hybridMultilevel"/>
    <w:tmpl w:val="4F18C61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2" w15:restartNumberingAfterBreak="0">
    <w:nsid w:val="6A9E772C"/>
    <w:multiLevelType w:val="hybridMultilevel"/>
    <w:tmpl w:val="8B965E5A"/>
    <w:lvl w:ilvl="0" w:tplc="2482F1A4">
      <w:start w:val="4"/>
      <w:numFmt w:val="decimal"/>
      <w:lvlText w:val="%1."/>
      <w:lvlJc w:val="left"/>
      <w:pPr>
        <w:ind w:left="360" w:hanging="360"/>
      </w:pPr>
      <w:rPr>
        <w:rFonts w:hint="default"/>
        <w:b/>
        <w:bCs/>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3" w15:restartNumberingAfterBreak="0">
    <w:nsid w:val="74B232B3"/>
    <w:multiLevelType w:val="hybridMultilevel"/>
    <w:tmpl w:val="660C6F8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4" w15:restartNumberingAfterBreak="0">
    <w:nsid w:val="7AFD0D5B"/>
    <w:multiLevelType w:val="hybridMultilevel"/>
    <w:tmpl w:val="642A0F3A"/>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5" w15:restartNumberingAfterBreak="0">
    <w:nsid w:val="7CD41459"/>
    <w:multiLevelType w:val="hybridMultilevel"/>
    <w:tmpl w:val="117C07F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079" w:hanging="360"/>
      </w:pPr>
      <w:rPr>
        <w:rFonts w:ascii="Courier New" w:hAnsi="Courier New" w:cs="Courier New" w:hint="default"/>
      </w:rPr>
    </w:lvl>
    <w:lvl w:ilvl="2" w:tplc="08090005" w:tentative="1">
      <w:start w:val="1"/>
      <w:numFmt w:val="bullet"/>
      <w:lvlText w:val=""/>
      <w:lvlJc w:val="left"/>
      <w:pPr>
        <w:ind w:left="1799" w:hanging="360"/>
      </w:pPr>
      <w:rPr>
        <w:rFonts w:ascii="Wingdings" w:hAnsi="Wingdings" w:hint="default"/>
      </w:rPr>
    </w:lvl>
    <w:lvl w:ilvl="3" w:tplc="08090001" w:tentative="1">
      <w:start w:val="1"/>
      <w:numFmt w:val="bullet"/>
      <w:lvlText w:val=""/>
      <w:lvlJc w:val="left"/>
      <w:pPr>
        <w:ind w:left="2519" w:hanging="360"/>
      </w:pPr>
      <w:rPr>
        <w:rFonts w:ascii="Symbol" w:hAnsi="Symbol" w:hint="default"/>
      </w:rPr>
    </w:lvl>
    <w:lvl w:ilvl="4" w:tplc="08090003" w:tentative="1">
      <w:start w:val="1"/>
      <w:numFmt w:val="bullet"/>
      <w:lvlText w:val="o"/>
      <w:lvlJc w:val="left"/>
      <w:pPr>
        <w:ind w:left="3239" w:hanging="360"/>
      </w:pPr>
      <w:rPr>
        <w:rFonts w:ascii="Courier New" w:hAnsi="Courier New" w:cs="Courier New" w:hint="default"/>
      </w:rPr>
    </w:lvl>
    <w:lvl w:ilvl="5" w:tplc="08090005" w:tentative="1">
      <w:start w:val="1"/>
      <w:numFmt w:val="bullet"/>
      <w:lvlText w:val=""/>
      <w:lvlJc w:val="left"/>
      <w:pPr>
        <w:ind w:left="3959" w:hanging="360"/>
      </w:pPr>
      <w:rPr>
        <w:rFonts w:ascii="Wingdings" w:hAnsi="Wingdings" w:hint="default"/>
      </w:rPr>
    </w:lvl>
    <w:lvl w:ilvl="6" w:tplc="08090001" w:tentative="1">
      <w:start w:val="1"/>
      <w:numFmt w:val="bullet"/>
      <w:lvlText w:val=""/>
      <w:lvlJc w:val="left"/>
      <w:pPr>
        <w:ind w:left="4679" w:hanging="360"/>
      </w:pPr>
      <w:rPr>
        <w:rFonts w:ascii="Symbol" w:hAnsi="Symbol" w:hint="default"/>
      </w:rPr>
    </w:lvl>
    <w:lvl w:ilvl="7" w:tplc="08090003" w:tentative="1">
      <w:start w:val="1"/>
      <w:numFmt w:val="bullet"/>
      <w:lvlText w:val="o"/>
      <w:lvlJc w:val="left"/>
      <w:pPr>
        <w:ind w:left="5399" w:hanging="360"/>
      </w:pPr>
      <w:rPr>
        <w:rFonts w:ascii="Courier New" w:hAnsi="Courier New" w:cs="Courier New" w:hint="default"/>
      </w:rPr>
    </w:lvl>
    <w:lvl w:ilvl="8" w:tplc="08090005" w:tentative="1">
      <w:start w:val="1"/>
      <w:numFmt w:val="bullet"/>
      <w:lvlText w:val=""/>
      <w:lvlJc w:val="left"/>
      <w:pPr>
        <w:ind w:left="6119" w:hanging="360"/>
      </w:pPr>
      <w:rPr>
        <w:rFonts w:ascii="Wingdings" w:hAnsi="Wingdings" w:hint="default"/>
      </w:rPr>
    </w:lvl>
  </w:abstractNum>
  <w:abstractNum w:abstractNumId="16" w15:restartNumberingAfterBreak="0">
    <w:nsid w:val="7FB65071"/>
    <w:multiLevelType w:val="hybridMultilevel"/>
    <w:tmpl w:val="2ECA62CE"/>
    <w:lvl w:ilvl="0" w:tplc="C9DA490E">
      <w:start w:val="5"/>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917219">
    <w:abstractNumId w:val="10"/>
  </w:num>
  <w:num w:numId="2" w16cid:durableId="1903252569">
    <w:abstractNumId w:val="9"/>
  </w:num>
  <w:num w:numId="3" w16cid:durableId="1504930842">
    <w:abstractNumId w:val="0"/>
  </w:num>
  <w:num w:numId="4" w16cid:durableId="1159686351">
    <w:abstractNumId w:val="4"/>
  </w:num>
  <w:num w:numId="5" w16cid:durableId="1452436560">
    <w:abstractNumId w:val="1"/>
  </w:num>
  <w:num w:numId="6" w16cid:durableId="1061515674">
    <w:abstractNumId w:val="12"/>
  </w:num>
  <w:num w:numId="7" w16cid:durableId="815299768">
    <w:abstractNumId w:val="14"/>
  </w:num>
  <w:num w:numId="8" w16cid:durableId="936207045">
    <w:abstractNumId w:val="15"/>
  </w:num>
  <w:num w:numId="9" w16cid:durableId="1900626737">
    <w:abstractNumId w:val="13"/>
  </w:num>
  <w:num w:numId="10" w16cid:durableId="1469664882">
    <w:abstractNumId w:val="7"/>
  </w:num>
  <w:num w:numId="11" w16cid:durableId="1478255252">
    <w:abstractNumId w:val="3"/>
  </w:num>
  <w:num w:numId="12" w16cid:durableId="592323440">
    <w:abstractNumId w:val="5"/>
  </w:num>
  <w:num w:numId="13" w16cid:durableId="1522939454">
    <w:abstractNumId w:val="8"/>
  </w:num>
  <w:num w:numId="14" w16cid:durableId="1983389763">
    <w:abstractNumId w:val="16"/>
  </w:num>
  <w:num w:numId="15" w16cid:durableId="1275863852">
    <w:abstractNumId w:val="6"/>
  </w:num>
  <w:num w:numId="16" w16cid:durableId="1859348336">
    <w:abstractNumId w:val="2"/>
  </w:num>
  <w:num w:numId="17" w16cid:durableId="20115620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74B"/>
    <w:rsid w:val="00017913"/>
    <w:rsid w:val="00053AB1"/>
    <w:rsid w:val="0005574B"/>
    <w:rsid w:val="00060C4D"/>
    <w:rsid w:val="00095476"/>
    <w:rsid w:val="000B1909"/>
    <w:rsid w:val="000D66A8"/>
    <w:rsid w:val="000E2CD2"/>
    <w:rsid w:val="000E611D"/>
    <w:rsid w:val="00137718"/>
    <w:rsid w:val="00156D34"/>
    <w:rsid w:val="001656F9"/>
    <w:rsid w:val="001705BA"/>
    <w:rsid w:val="00173498"/>
    <w:rsid w:val="00176B48"/>
    <w:rsid w:val="001961F7"/>
    <w:rsid w:val="001B423E"/>
    <w:rsid w:val="001C0831"/>
    <w:rsid w:val="001C3141"/>
    <w:rsid w:val="001F028E"/>
    <w:rsid w:val="001F2454"/>
    <w:rsid w:val="002029DF"/>
    <w:rsid w:val="00205EEF"/>
    <w:rsid w:val="002070B0"/>
    <w:rsid w:val="00214C45"/>
    <w:rsid w:val="00232600"/>
    <w:rsid w:val="00233D09"/>
    <w:rsid w:val="00254A58"/>
    <w:rsid w:val="002679A0"/>
    <w:rsid w:val="002842E5"/>
    <w:rsid w:val="00292EBE"/>
    <w:rsid w:val="00297892"/>
    <w:rsid w:val="002A2FD4"/>
    <w:rsid w:val="002B0A62"/>
    <w:rsid w:val="002C5C43"/>
    <w:rsid w:val="0030591A"/>
    <w:rsid w:val="003126B1"/>
    <w:rsid w:val="00314A18"/>
    <w:rsid w:val="00331545"/>
    <w:rsid w:val="00353768"/>
    <w:rsid w:val="00383DE4"/>
    <w:rsid w:val="00391343"/>
    <w:rsid w:val="003B18E1"/>
    <w:rsid w:val="003C4D2B"/>
    <w:rsid w:val="00412068"/>
    <w:rsid w:val="00415274"/>
    <w:rsid w:val="00432EE3"/>
    <w:rsid w:val="0043734C"/>
    <w:rsid w:val="004455CA"/>
    <w:rsid w:val="00452E85"/>
    <w:rsid w:val="004A603C"/>
    <w:rsid w:val="004D0EB9"/>
    <w:rsid w:val="004F4602"/>
    <w:rsid w:val="00500550"/>
    <w:rsid w:val="00517A75"/>
    <w:rsid w:val="00554337"/>
    <w:rsid w:val="00591AB4"/>
    <w:rsid w:val="00602A3F"/>
    <w:rsid w:val="0065401E"/>
    <w:rsid w:val="0066427A"/>
    <w:rsid w:val="00676A85"/>
    <w:rsid w:val="006B7668"/>
    <w:rsid w:val="006C3837"/>
    <w:rsid w:val="006F0E52"/>
    <w:rsid w:val="006F47F5"/>
    <w:rsid w:val="00731BD4"/>
    <w:rsid w:val="007404FB"/>
    <w:rsid w:val="00747A05"/>
    <w:rsid w:val="007648C7"/>
    <w:rsid w:val="00766CB4"/>
    <w:rsid w:val="007C3D85"/>
    <w:rsid w:val="007F455D"/>
    <w:rsid w:val="00805804"/>
    <w:rsid w:val="00836A16"/>
    <w:rsid w:val="00870375"/>
    <w:rsid w:val="008916B7"/>
    <w:rsid w:val="008939DA"/>
    <w:rsid w:val="008A318E"/>
    <w:rsid w:val="008B0D72"/>
    <w:rsid w:val="008D34CC"/>
    <w:rsid w:val="008F137D"/>
    <w:rsid w:val="00941275"/>
    <w:rsid w:val="00941F2E"/>
    <w:rsid w:val="00974CD6"/>
    <w:rsid w:val="00985BA5"/>
    <w:rsid w:val="009921B0"/>
    <w:rsid w:val="009C0DCD"/>
    <w:rsid w:val="009F4DD0"/>
    <w:rsid w:val="00A00001"/>
    <w:rsid w:val="00A0225A"/>
    <w:rsid w:val="00A0257A"/>
    <w:rsid w:val="00A563CF"/>
    <w:rsid w:val="00A65981"/>
    <w:rsid w:val="00AA0221"/>
    <w:rsid w:val="00AB317A"/>
    <w:rsid w:val="00AB4840"/>
    <w:rsid w:val="00AC3761"/>
    <w:rsid w:val="00AC3D1C"/>
    <w:rsid w:val="00B0424A"/>
    <w:rsid w:val="00B070B6"/>
    <w:rsid w:val="00B10197"/>
    <w:rsid w:val="00B42494"/>
    <w:rsid w:val="00B46915"/>
    <w:rsid w:val="00B6443D"/>
    <w:rsid w:val="00B868DF"/>
    <w:rsid w:val="00B919E7"/>
    <w:rsid w:val="00B93286"/>
    <w:rsid w:val="00BA0184"/>
    <w:rsid w:val="00BA1FFD"/>
    <w:rsid w:val="00BD6740"/>
    <w:rsid w:val="00BF47D2"/>
    <w:rsid w:val="00C043A3"/>
    <w:rsid w:val="00C10287"/>
    <w:rsid w:val="00C40E7C"/>
    <w:rsid w:val="00C667E3"/>
    <w:rsid w:val="00C76244"/>
    <w:rsid w:val="00CB4E2F"/>
    <w:rsid w:val="00CC5783"/>
    <w:rsid w:val="00CC6382"/>
    <w:rsid w:val="00D00720"/>
    <w:rsid w:val="00D1697B"/>
    <w:rsid w:val="00D2337D"/>
    <w:rsid w:val="00D24572"/>
    <w:rsid w:val="00D34FE9"/>
    <w:rsid w:val="00D83278"/>
    <w:rsid w:val="00D87B77"/>
    <w:rsid w:val="00DD694A"/>
    <w:rsid w:val="00DE288D"/>
    <w:rsid w:val="00DE5D38"/>
    <w:rsid w:val="00DE5EBF"/>
    <w:rsid w:val="00E1052A"/>
    <w:rsid w:val="00E17C11"/>
    <w:rsid w:val="00E20921"/>
    <w:rsid w:val="00E40503"/>
    <w:rsid w:val="00E41E00"/>
    <w:rsid w:val="00E63E72"/>
    <w:rsid w:val="00E84BF3"/>
    <w:rsid w:val="00EB1926"/>
    <w:rsid w:val="00EB54CC"/>
    <w:rsid w:val="00F2655F"/>
    <w:rsid w:val="00F439C3"/>
    <w:rsid w:val="00F828A6"/>
    <w:rsid w:val="00F86F1C"/>
    <w:rsid w:val="00F90DC4"/>
    <w:rsid w:val="00FA502A"/>
    <w:rsid w:val="00FB381A"/>
    <w:rsid w:val="00FC3E61"/>
    <w:rsid w:val="00FF0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3EC41"/>
  <w15:chartTrackingRefBased/>
  <w15:docId w15:val="{38373C73-003A-43D7-883B-3309248E8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7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57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57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7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7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7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7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7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7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5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57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7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7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74B"/>
    <w:rPr>
      <w:rFonts w:eastAsiaTheme="majorEastAsia" w:cstheme="majorBidi"/>
      <w:color w:val="272727" w:themeColor="text1" w:themeTint="D8"/>
    </w:rPr>
  </w:style>
  <w:style w:type="paragraph" w:styleId="Title">
    <w:name w:val="Title"/>
    <w:basedOn w:val="Normal"/>
    <w:next w:val="Normal"/>
    <w:link w:val="TitleChar"/>
    <w:uiPriority w:val="10"/>
    <w:qFormat/>
    <w:rsid w:val="000557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7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74B"/>
    <w:pPr>
      <w:spacing w:before="160"/>
      <w:jc w:val="center"/>
    </w:pPr>
    <w:rPr>
      <w:i/>
      <w:iCs/>
      <w:color w:val="404040" w:themeColor="text1" w:themeTint="BF"/>
    </w:rPr>
  </w:style>
  <w:style w:type="character" w:customStyle="1" w:styleId="QuoteChar">
    <w:name w:val="Quote Char"/>
    <w:basedOn w:val="DefaultParagraphFont"/>
    <w:link w:val="Quote"/>
    <w:uiPriority w:val="29"/>
    <w:rsid w:val="0005574B"/>
    <w:rPr>
      <w:i/>
      <w:iCs/>
      <w:color w:val="404040" w:themeColor="text1" w:themeTint="BF"/>
    </w:rPr>
  </w:style>
  <w:style w:type="paragraph" w:styleId="ListParagraph">
    <w:name w:val="List Paragraph"/>
    <w:basedOn w:val="Normal"/>
    <w:uiPriority w:val="34"/>
    <w:qFormat/>
    <w:rsid w:val="0005574B"/>
    <w:pPr>
      <w:ind w:left="720"/>
      <w:contextualSpacing/>
    </w:pPr>
  </w:style>
  <w:style w:type="character" w:styleId="IntenseEmphasis">
    <w:name w:val="Intense Emphasis"/>
    <w:basedOn w:val="DefaultParagraphFont"/>
    <w:uiPriority w:val="21"/>
    <w:qFormat/>
    <w:rsid w:val="0005574B"/>
    <w:rPr>
      <w:i/>
      <w:iCs/>
      <w:color w:val="0F4761" w:themeColor="accent1" w:themeShade="BF"/>
    </w:rPr>
  </w:style>
  <w:style w:type="paragraph" w:styleId="IntenseQuote">
    <w:name w:val="Intense Quote"/>
    <w:basedOn w:val="Normal"/>
    <w:next w:val="Normal"/>
    <w:link w:val="IntenseQuoteChar"/>
    <w:uiPriority w:val="30"/>
    <w:qFormat/>
    <w:rsid w:val="000557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74B"/>
    <w:rPr>
      <w:i/>
      <w:iCs/>
      <w:color w:val="0F4761" w:themeColor="accent1" w:themeShade="BF"/>
    </w:rPr>
  </w:style>
  <w:style w:type="character" w:styleId="IntenseReference">
    <w:name w:val="Intense Reference"/>
    <w:basedOn w:val="DefaultParagraphFont"/>
    <w:uiPriority w:val="32"/>
    <w:qFormat/>
    <w:rsid w:val="0005574B"/>
    <w:rPr>
      <w:b/>
      <w:bCs/>
      <w:smallCaps/>
      <w:color w:val="0F4761" w:themeColor="accent1" w:themeShade="BF"/>
      <w:spacing w:val="5"/>
    </w:rPr>
  </w:style>
  <w:style w:type="paragraph" w:styleId="Header">
    <w:name w:val="header"/>
    <w:basedOn w:val="Normal"/>
    <w:link w:val="HeaderChar"/>
    <w:uiPriority w:val="99"/>
    <w:unhideWhenUsed/>
    <w:rsid w:val="00D83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278"/>
  </w:style>
  <w:style w:type="paragraph" w:styleId="Footer">
    <w:name w:val="footer"/>
    <w:basedOn w:val="Normal"/>
    <w:link w:val="FooterChar"/>
    <w:uiPriority w:val="99"/>
    <w:unhideWhenUsed/>
    <w:rsid w:val="00D83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278"/>
  </w:style>
  <w:style w:type="character" w:styleId="Hyperlink">
    <w:name w:val="Hyperlink"/>
    <w:basedOn w:val="DefaultParagraphFont"/>
    <w:uiPriority w:val="99"/>
    <w:unhideWhenUsed/>
    <w:rsid w:val="006B7668"/>
    <w:rPr>
      <w:color w:val="467886" w:themeColor="hyperlink"/>
      <w:u w:val="single"/>
    </w:rPr>
  </w:style>
  <w:style w:type="character" w:styleId="UnresolvedMention">
    <w:name w:val="Unresolved Mention"/>
    <w:basedOn w:val="DefaultParagraphFont"/>
    <w:uiPriority w:val="99"/>
    <w:semiHidden/>
    <w:unhideWhenUsed/>
    <w:rsid w:val="006B7668"/>
    <w:rPr>
      <w:color w:val="605E5C"/>
      <w:shd w:val="clear" w:color="auto" w:fill="E1DFDD"/>
    </w:rPr>
  </w:style>
  <w:style w:type="character" w:styleId="Emphasis">
    <w:name w:val="Emphasis"/>
    <w:basedOn w:val="DefaultParagraphFont"/>
    <w:uiPriority w:val="20"/>
    <w:qFormat/>
    <w:rsid w:val="002C5C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thea.ie/bitstream/handle/20.500.12065/2577/Aoifegreene.pdf?sequence=1&amp;isAllowed=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2968/bjcn.2014.19.10.50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auk.sum.ba/ojs/mai/article/view/7/6" TargetMode="External"/><Relationship Id="rId4" Type="http://schemas.openxmlformats.org/officeDocument/2006/relationships/webSettings" Target="webSettings.xml"/><Relationship Id="rId9" Type="http://schemas.openxmlformats.org/officeDocument/2006/relationships/hyperlink" Target="https://www.psicopolis.com/SKILLS/counselings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6450</TotalTime>
  <Pages>8</Pages>
  <Words>2080</Words>
  <Characters>11859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Langford</dc:creator>
  <cp:keywords/>
  <dc:description/>
  <cp:lastModifiedBy>damian k</cp:lastModifiedBy>
  <cp:revision>16</cp:revision>
  <dcterms:created xsi:type="dcterms:W3CDTF">2026-03-22T14:01:00Z</dcterms:created>
  <dcterms:modified xsi:type="dcterms:W3CDTF">2026-04-22T14:51:00Z</dcterms:modified>
</cp:coreProperties>
</file>