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D4292" w:rsidRDefault="005D4292" w:rsidP="005D4292">
      <w:pPr>
        <w:spacing w:before="1800" w:after="0" w:line="360" w:lineRule="auto"/>
        <w:jc w:val="center"/>
        <w:rPr>
          <w:b/>
          <w:sz w:val="28"/>
        </w:rPr>
      </w:pPr>
      <w:r w:rsidRPr="00557065">
        <w:rPr>
          <w:noProof/>
        </w:rPr>
        <w:drawing>
          <wp:inline distT="0" distB="0" distL="0" distR="0" wp14:anchorId="3F429796" wp14:editId="78BE2849">
            <wp:extent cx="3262630" cy="1631315"/>
            <wp:effectExtent l="0" t="0" r="1270" b="0"/>
            <wp:docPr id="1033201034" name="Picture 1" descr="A close-up of a sign&#10;&#10;Description automatically generated">
              <a:extLst xmlns:a="http://schemas.openxmlformats.org/drawingml/2006/main">
                <a:ext uri="{FF2B5EF4-FFF2-40B4-BE49-F238E27FC236}">
                  <a16:creationId xmlns:a16="http://schemas.microsoft.com/office/drawing/2014/main" id="{E7FC3A7E-7255-BE9F-33CF-CA8A47E0BE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10;&#10;Description automatically generated">
                      <a:extLst>
                        <a:ext uri="{FF2B5EF4-FFF2-40B4-BE49-F238E27FC236}">
                          <a16:creationId xmlns:a16="http://schemas.microsoft.com/office/drawing/2014/main" id="{E7FC3A7E-7255-BE9F-33CF-CA8A47E0BEAE}"/>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62630" cy="1631315"/>
                    </a:xfrm>
                    <a:prstGeom prst="rect">
                      <a:avLst/>
                    </a:prstGeom>
                  </pic:spPr>
                </pic:pic>
              </a:graphicData>
            </a:graphic>
          </wp:inline>
        </w:drawing>
      </w:r>
    </w:p>
    <w:p w:rsidR="005D4292" w:rsidRPr="005D4292" w:rsidRDefault="005D4292" w:rsidP="005D4292">
      <w:pPr>
        <w:spacing w:before="1800" w:after="0" w:line="360" w:lineRule="auto"/>
        <w:jc w:val="center"/>
        <w:rPr>
          <w:rFonts w:ascii="Times New Roman" w:hAnsi="Times New Roman" w:cs="Times New Roman"/>
        </w:rPr>
      </w:pPr>
      <w:r w:rsidRPr="005D4292">
        <w:rPr>
          <w:rFonts w:ascii="Times New Roman" w:hAnsi="Times New Roman" w:cs="Times New Roman"/>
          <w:b/>
          <w:sz w:val="28"/>
        </w:rPr>
        <w:t>BA (Hons) Business Management</w:t>
      </w:r>
    </w:p>
    <w:p w:rsidR="005D4292" w:rsidRPr="005D4292" w:rsidRDefault="005D4292" w:rsidP="005D4292">
      <w:pPr>
        <w:spacing w:after="0" w:line="360" w:lineRule="auto"/>
        <w:jc w:val="center"/>
        <w:rPr>
          <w:rFonts w:ascii="Times New Roman" w:hAnsi="Times New Roman" w:cs="Times New Roman"/>
        </w:rPr>
      </w:pPr>
      <w:r w:rsidRPr="005D4292">
        <w:rPr>
          <w:rFonts w:ascii="Times New Roman" w:hAnsi="Times New Roman" w:cs="Times New Roman"/>
        </w:rPr>
        <w:t>Module code: LCBB</w:t>
      </w:r>
      <w:r w:rsidR="0020514C">
        <w:rPr>
          <w:rFonts w:ascii="Times New Roman" w:hAnsi="Times New Roman" w:cs="Times New Roman"/>
        </w:rPr>
        <w:t xml:space="preserve"> </w:t>
      </w:r>
      <w:r w:rsidRPr="005D4292">
        <w:rPr>
          <w:rFonts w:ascii="Times New Roman" w:hAnsi="Times New Roman" w:cs="Times New Roman"/>
        </w:rPr>
        <w:t>60</w:t>
      </w:r>
      <w:r>
        <w:rPr>
          <w:rFonts w:ascii="Times New Roman" w:hAnsi="Times New Roman" w:cs="Times New Roman"/>
        </w:rPr>
        <w:t>15</w:t>
      </w:r>
    </w:p>
    <w:p w:rsidR="005D4292" w:rsidRPr="005D4292" w:rsidRDefault="005D4292" w:rsidP="005D4292">
      <w:pPr>
        <w:spacing w:after="0" w:line="360" w:lineRule="auto"/>
        <w:jc w:val="center"/>
        <w:rPr>
          <w:rFonts w:ascii="Times New Roman" w:hAnsi="Times New Roman" w:cs="Times New Roman"/>
          <w:sz w:val="24"/>
          <w:szCs w:val="24"/>
        </w:rPr>
      </w:pPr>
      <w:r w:rsidRPr="005D4292">
        <w:rPr>
          <w:rFonts w:ascii="Times New Roman" w:hAnsi="Times New Roman" w:cs="Times New Roman"/>
          <w:sz w:val="24"/>
          <w:szCs w:val="24"/>
        </w:rPr>
        <w:t xml:space="preserve">Module: </w:t>
      </w:r>
      <w:r w:rsidRPr="005D4292">
        <w:rPr>
          <w:rFonts w:ascii="Times New Roman" w:hAnsi="Times New Roman" w:cs="Times New Roman"/>
          <w:color w:val="000000"/>
          <w:sz w:val="24"/>
          <w:szCs w:val="24"/>
        </w:rPr>
        <w:t>Strategic Management and Sustainability</w:t>
      </w:r>
    </w:p>
    <w:p w:rsidR="005D4292" w:rsidRDefault="005D4292" w:rsidP="005D4292">
      <w:pPr>
        <w:spacing w:after="0" w:line="360" w:lineRule="auto"/>
        <w:jc w:val="center"/>
        <w:rPr>
          <w:rFonts w:ascii="Times New Roman" w:hAnsi="Times New Roman" w:cs="Times New Roman"/>
        </w:rPr>
      </w:pPr>
      <w:r w:rsidRPr="005D4292">
        <w:rPr>
          <w:rFonts w:ascii="Times New Roman" w:hAnsi="Times New Roman" w:cs="Times New Roman"/>
        </w:rPr>
        <w:t xml:space="preserve">Component 2: </w:t>
      </w:r>
      <w:r w:rsidR="0020514C">
        <w:rPr>
          <w:rFonts w:ascii="Times New Roman" w:hAnsi="Times New Roman" w:cs="Times New Roman"/>
        </w:rPr>
        <w:t xml:space="preserve">Coursework: </w:t>
      </w:r>
      <w:r>
        <w:rPr>
          <w:rFonts w:ascii="Times New Roman" w:hAnsi="Times New Roman" w:cs="Times New Roman"/>
        </w:rPr>
        <w:t>Written Report</w:t>
      </w:r>
    </w:p>
    <w:p w:rsidR="00D3385B" w:rsidRPr="00D3385B" w:rsidRDefault="00D3385B" w:rsidP="005D4292">
      <w:pPr>
        <w:spacing w:after="0" w:line="360" w:lineRule="auto"/>
        <w:jc w:val="center"/>
        <w:rPr>
          <w:rFonts w:ascii="Times New Roman" w:hAnsi="Times New Roman" w:cs="Times New Roman"/>
        </w:rPr>
      </w:pPr>
      <w:r w:rsidRPr="00D3385B">
        <w:rPr>
          <w:rStyle w:val="Strong"/>
          <w:rFonts w:ascii="Times New Roman" w:hAnsi="Times New Roman" w:cs="Times New Roman"/>
          <w:b w:val="0"/>
          <w:bCs w:val="0"/>
          <w:color w:val="000000"/>
        </w:rPr>
        <w:t>Module Lead</w:t>
      </w:r>
      <w:r w:rsidR="00070421">
        <w:rPr>
          <w:rStyle w:val="Strong"/>
          <w:rFonts w:ascii="Times New Roman" w:hAnsi="Times New Roman" w:cs="Times New Roman"/>
          <w:b w:val="0"/>
          <w:bCs w:val="0"/>
          <w:color w:val="000000"/>
        </w:rPr>
        <w:t>er</w:t>
      </w:r>
      <w:r w:rsidRPr="00D3385B">
        <w:rPr>
          <w:rStyle w:val="Strong"/>
          <w:rFonts w:ascii="Times New Roman" w:hAnsi="Times New Roman" w:cs="Times New Roman"/>
          <w:b w:val="0"/>
          <w:bCs w:val="0"/>
          <w:color w:val="000000"/>
        </w:rPr>
        <w:t>/Lecturer:</w:t>
      </w:r>
      <w:r w:rsidRPr="00D3385B">
        <w:rPr>
          <w:rStyle w:val="apple-converted-space"/>
          <w:rFonts w:ascii="Times New Roman" w:hAnsi="Times New Roman" w:cs="Times New Roman"/>
          <w:color w:val="000000"/>
        </w:rPr>
        <w:t> </w:t>
      </w:r>
      <w:r w:rsidRPr="00D3385B">
        <w:rPr>
          <w:rFonts w:ascii="Times New Roman" w:hAnsi="Times New Roman" w:cs="Times New Roman"/>
          <w:color w:val="000000"/>
        </w:rPr>
        <w:t>Mr. Nadeem Mirza</w:t>
      </w:r>
    </w:p>
    <w:p w:rsidR="005D4292" w:rsidRPr="005D4292" w:rsidRDefault="005D4292" w:rsidP="005D4292">
      <w:pPr>
        <w:spacing w:before="440" w:after="0" w:line="360" w:lineRule="auto"/>
        <w:jc w:val="center"/>
        <w:rPr>
          <w:rFonts w:ascii="Times New Roman" w:hAnsi="Times New Roman" w:cs="Times New Roman"/>
          <w:b/>
          <w:bCs/>
          <w:color w:val="000000"/>
          <w:sz w:val="32"/>
          <w:szCs w:val="32"/>
        </w:rPr>
      </w:pPr>
      <w:r w:rsidRPr="005D4292">
        <w:rPr>
          <w:rFonts w:ascii="Times New Roman" w:hAnsi="Times New Roman" w:cs="Times New Roman"/>
          <w:b/>
          <w:bCs/>
          <w:color w:val="000000"/>
          <w:sz w:val="32"/>
          <w:szCs w:val="32"/>
        </w:rPr>
        <w:t>Jaguar Land Rover (JLR): Strategic Management and Sustainability Analysis</w:t>
      </w:r>
    </w:p>
    <w:p w:rsidR="005D4292" w:rsidRPr="0020514C" w:rsidRDefault="005D4292" w:rsidP="005D4292">
      <w:pPr>
        <w:spacing w:before="440" w:after="0" w:line="360" w:lineRule="auto"/>
        <w:jc w:val="center"/>
        <w:rPr>
          <w:rFonts w:ascii="Times New Roman" w:hAnsi="Times New Roman" w:cs="Times New Roman"/>
          <w:lang w:val="it-IT"/>
        </w:rPr>
      </w:pPr>
      <w:r w:rsidRPr="0020514C">
        <w:rPr>
          <w:rFonts w:ascii="Times New Roman" w:hAnsi="Times New Roman" w:cs="Times New Roman"/>
          <w:lang w:val="it-IT"/>
        </w:rPr>
        <w:t xml:space="preserve">Name: Manuel </w:t>
      </w:r>
      <w:proofErr w:type="spellStart"/>
      <w:r w:rsidRPr="0020514C">
        <w:rPr>
          <w:rFonts w:ascii="Times New Roman" w:hAnsi="Times New Roman" w:cs="Times New Roman"/>
          <w:lang w:val="it-IT"/>
        </w:rPr>
        <w:t>Fioranzato</w:t>
      </w:r>
      <w:proofErr w:type="spellEnd"/>
    </w:p>
    <w:p w:rsidR="005D4292" w:rsidRDefault="005D4292" w:rsidP="005D4292">
      <w:pPr>
        <w:spacing w:before="80" w:after="0" w:line="360" w:lineRule="auto"/>
        <w:jc w:val="center"/>
        <w:rPr>
          <w:rFonts w:ascii="Times New Roman" w:hAnsi="Times New Roman" w:cs="Times New Roman"/>
          <w:lang w:val="it-IT"/>
        </w:rPr>
      </w:pPr>
      <w:proofErr w:type="spellStart"/>
      <w:r w:rsidRPr="005D4292">
        <w:rPr>
          <w:rFonts w:ascii="Times New Roman" w:hAnsi="Times New Roman" w:cs="Times New Roman"/>
          <w:lang w:val="it-IT"/>
        </w:rPr>
        <w:t>Student</w:t>
      </w:r>
      <w:proofErr w:type="spellEnd"/>
      <w:r w:rsidRPr="005D4292">
        <w:rPr>
          <w:rFonts w:ascii="Times New Roman" w:hAnsi="Times New Roman" w:cs="Times New Roman"/>
          <w:lang w:val="it-IT"/>
        </w:rPr>
        <w:t xml:space="preserve"> ID: 2311107</w:t>
      </w:r>
    </w:p>
    <w:p w:rsidR="005D4292" w:rsidRDefault="005D4292" w:rsidP="005D4292">
      <w:pPr>
        <w:spacing w:before="80" w:after="0" w:line="360" w:lineRule="auto"/>
        <w:jc w:val="center"/>
        <w:rPr>
          <w:rFonts w:ascii="Times New Roman" w:hAnsi="Times New Roman" w:cs="Times New Roman"/>
          <w:lang w:val="it-IT"/>
        </w:rPr>
      </w:pPr>
    </w:p>
    <w:p w:rsidR="005D4292" w:rsidRDefault="005D4292" w:rsidP="005D4292">
      <w:pPr>
        <w:spacing w:before="80" w:after="0" w:line="360" w:lineRule="auto"/>
        <w:jc w:val="center"/>
        <w:rPr>
          <w:rFonts w:ascii="Times New Roman" w:hAnsi="Times New Roman" w:cs="Times New Roman"/>
          <w:lang w:val="it-IT"/>
        </w:rPr>
      </w:pPr>
    </w:p>
    <w:p w:rsidR="005D4292" w:rsidRDefault="005D4292" w:rsidP="005D4292">
      <w:pPr>
        <w:spacing w:before="80" w:after="0" w:line="360" w:lineRule="auto"/>
        <w:jc w:val="center"/>
        <w:rPr>
          <w:rFonts w:ascii="Times New Roman" w:hAnsi="Times New Roman" w:cs="Times New Roman"/>
          <w:lang w:val="it-IT"/>
        </w:rPr>
      </w:pPr>
    </w:p>
    <w:p w:rsidR="005D4292" w:rsidRDefault="005D4292" w:rsidP="005D4292">
      <w:pPr>
        <w:spacing w:before="80" w:after="0" w:line="360" w:lineRule="auto"/>
        <w:jc w:val="center"/>
        <w:rPr>
          <w:rFonts w:ascii="Times New Roman" w:hAnsi="Times New Roman" w:cs="Times New Roman"/>
          <w:lang w:val="it-IT"/>
        </w:rPr>
      </w:pPr>
    </w:p>
    <w:p w:rsidR="005D4292" w:rsidRDefault="005D4292" w:rsidP="005D4292">
      <w:pPr>
        <w:spacing w:before="80" w:after="0" w:line="360" w:lineRule="auto"/>
        <w:jc w:val="center"/>
        <w:rPr>
          <w:rFonts w:ascii="Times New Roman" w:hAnsi="Times New Roman" w:cs="Times New Roman"/>
          <w:lang w:val="it-IT"/>
        </w:rPr>
      </w:pPr>
    </w:p>
    <w:p w:rsidR="005D4292" w:rsidRPr="005D4292" w:rsidRDefault="005D4292" w:rsidP="005D4292">
      <w:pPr>
        <w:spacing w:before="80" w:after="0" w:line="360" w:lineRule="auto"/>
        <w:jc w:val="center"/>
        <w:rPr>
          <w:rFonts w:ascii="Times New Roman" w:hAnsi="Times New Roman" w:cs="Times New Roman"/>
          <w:lang w:val="it-IT"/>
        </w:rPr>
      </w:pPr>
    </w:p>
    <w:p w:rsidR="00312A17" w:rsidRPr="005D4292" w:rsidRDefault="00000000" w:rsidP="005D4292">
      <w:pPr>
        <w:spacing w:line="360" w:lineRule="auto"/>
        <w:jc w:val="both"/>
        <w:rPr>
          <w:rFonts w:ascii="Times New Roman" w:hAnsi="Times New Roman" w:cs="Times New Roman"/>
          <w:b/>
          <w:bCs/>
          <w:sz w:val="24"/>
          <w:szCs w:val="24"/>
        </w:rPr>
      </w:pPr>
      <w:r w:rsidRPr="005D4292">
        <w:rPr>
          <w:rFonts w:ascii="Times New Roman" w:hAnsi="Times New Roman" w:cs="Times New Roman"/>
          <w:b/>
          <w:bCs/>
          <w:sz w:val="24"/>
          <w:szCs w:val="24"/>
        </w:rPr>
        <w:t>Executive Summary</w:t>
      </w:r>
    </w:p>
    <w:p w:rsidR="00FE4DB9" w:rsidRPr="00FE4DB9" w:rsidRDefault="00FE4DB9" w:rsidP="00FE4DB9">
      <w:pPr>
        <w:spacing w:line="360" w:lineRule="auto"/>
        <w:jc w:val="both"/>
        <w:rPr>
          <w:rFonts w:ascii="Times New Roman" w:hAnsi="Times New Roman" w:cs="Times New Roman"/>
          <w:sz w:val="24"/>
          <w:szCs w:val="24"/>
        </w:rPr>
      </w:pPr>
      <w:r w:rsidRPr="00FE4DB9">
        <w:rPr>
          <w:rFonts w:ascii="Times New Roman" w:hAnsi="Times New Roman" w:cs="Times New Roman"/>
          <w:sz w:val="24"/>
          <w:szCs w:val="24"/>
        </w:rPr>
        <w:t>Jaguar Land Rover’s strategic position reflects both strong current performance and significant long-term pressure within the premium automotive industry. This report finds that JLR benefits from valuable strengths, including established luxury brands, strong design capability, premium pricing power and a profitable SUV portfolio led by Range Rover and Defender. However, the analysis also shows that JLR faces important weaknesses, particularly dependence on a narrow group of high-margin models, uneven EV demand across key markets, rising technological pressure and the high cost of industrial transformation. External and internal analysis indicates that JLR’s long-term competitiveness will depend on how effectively it responds to electrification, sustainability requirements and supply-chain risk. The report concludes that a phased dual-powertrain strategy is the most viable option, as it allows JLR to protect short-term profitability while building the capabilities required for future competition. Overall, JLR’s main strategic challenge is managing the timing of transformation without weakening the performance that currently funds it.</w:t>
      </w:r>
    </w:p>
    <w:sdt>
      <w:sdtPr>
        <w:rPr>
          <w:rFonts w:ascii="Calibri" w:eastAsiaTheme="minorEastAsia" w:hAnsi="Calibri" w:cstheme="minorBidi"/>
          <w:b w:val="0"/>
          <w:bCs w:val="0"/>
          <w:color w:val="auto"/>
          <w:sz w:val="22"/>
          <w:szCs w:val="22"/>
        </w:rPr>
        <w:id w:val="-1779793847"/>
        <w:docPartObj>
          <w:docPartGallery w:val="Table of Contents"/>
          <w:docPartUnique/>
        </w:docPartObj>
      </w:sdtPr>
      <w:sdtEndPr>
        <w:rPr>
          <w:noProof/>
        </w:rPr>
      </w:sdtEndPr>
      <w:sdtContent>
        <w:p w:rsidR="005D4292" w:rsidRPr="007344B5" w:rsidRDefault="005D4292">
          <w:pPr>
            <w:pStyle w:val="TOCHeading"/>
            <w:rPr>
              <w:rFonts w:ascii="Times New Roman" w:hAnsi="Times New Roman" w:cs="Times New Roman"/>
              <w:color w:val="000000" w:themeColor="text1"/>
            </w:rPr>
          </w:pPr>
          <w:r w:rsidRPr="007344B5">
            <w:rPr>
              <w:rFonts w:ascii="Times New Roman" w:hAnsi="Times New Roman" w:cs="Times New Roman"/>
              <w:color w:val="000000" w:themeColor="text1"/>
            </w:rPr>
            <w:t>Table of Contents</w:t>
          </w:r>
        </w:p>
        <w:p w:rsidR="00AB1C16" w:rsidRPr="00261D61" w:rsidRDefault="005D4292">
          <w:pPr>
            <w:pStyle w:val="TOC1"/>
            <w:tabs>
              <w:tab w:val="right" w:leader="dot" w:pos="9350"/>
            </w:tabs>
            <w:rPr>
              <w:b w:val="0"/>
              <w:bCs w:val="0"/>
              <w:i w:val="0"/>
              <w:iCs w:val="0"/>
              <w:noProof/>
              <w:kern w:val="2"/>
              <w:lang w:val="en-GB" w:eastAsia="en-GB"/>
              <w14:ligatures w14:val="standardContextual"/>
            </w:rPr>
          </w:pPr>
          <w:r w:rsidRPr="00C20BB5">
            <w:rPr>
              <w:rFonts w:ascii="Times New Roman" w:hAnsi="Times New Roman" w:cs="Times New Roman"/>
              <w:b w:val="0"/>
              <w:bCs w:val="0"/>
              <w:color w:val="000000" w:themeColor="text1"/>
            </w:rPr>
            <w:fldChar w:fldCharType="begin"/>
          </w:r>
          <w:r w:rsidRPr="00C20BB5">
            <w:rPr>
              <w:rFonts w:ascii="Times New Roman" w:hAnsi="Times New Roman" w:cs="Times New Roman"/>
              <w:b w:val="0"/>
              <w:bCs w:val="0"/>
              <w:color w:val="000000" w:themeColor="text1"/>
            </w:rPr>
            <w:instrText xml:space="preserve"> TOC \o "1-3" \h \z \u </w:instrText>
          </w:r>
          <w:r w:rsidRPr="00C20BB5">
            <w:rPr>
              <w:rFonts w:ascii="Times New Roman" w:hAnsi="Times New Roman" w:cs="Times New Roman"/>
              <w:b w:val="0"/>
              <w:bCs w:val="0"/>
              <w:color w:val="000000" w:themeColor="text1"/>
            </w:rPr>
            <w:fldChar w:fldCharType="separate"/>
          </w:r>
          <w:hyperlink w:anchor="_Toc227676748" w:history="1">
            <w:r w:rsidR="00AB1C16" w:rsidRPr="00261D61">
              <w:rPr>
                <w:rStyle w:val="Hyperlink"/>
                <w:rFonts w:ascii="Times New Roman" w:hAnsi="Times New Roman" w:cs="Times New Roman"/>
                <w:b w:val="0"/>
                <w:bCs w:val="0"/>
                <w:i w:val="0"/>
                <w:iCs w:val="0"/>
                <w:noProof/>
              </w:rPr>
              <w:t>Introduction to Strategy</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_Toc227676748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3</w:t>
            </w:r>
            <w:r w:rsidR="00AB1C16" w:rsidRPr="00261D61">
              <w:rPr>
                <w:b w:val="0"/>
                <w:bCs w:val="0"/>
                <w:i w:val="0"/>
                <w:i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49" w:history="1">
            <w:r w:rsidR="00AB1C16" w:rsidRPr="00261D61">
              <w:rPr>
                <w:rStyle w:val="Hyperlink"/>
                <w:rFonts w:ascii="Times New Roman" w:hAnsi="Times New Roman" w:cs="Times New Roman"/>
                <w:b w:val="0"/>
                <w:bCs w:val="0"/>
                <w:i w:val="0"/>
                <w:iCs w:val="0"/>
                <w:noProof/>
              </w:rPr>
              <w:t>Overview and Background of JLR</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_Toc227676749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3</w:t>
            </w:r>
            <w:r w:rsidR="00AB1C16" w:rsidRPr="00261D61">
              <w:rPr>
                <w:b w:val="0"/>
                <w:bCs w:val="0"/>
                <w:i w:val="0"/>
                <w:i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50" w:history="1">
            <w:r w:rsidR="00AB1C16" w:rsidRPr="00261D61">
              <w:rPr>
                <w:rStyle w:val="Hyperlink"/>
                <w:rFonts w:ascii="Times New Roman" w:hAnsi="Times New Roman" w:cs="Times New Roman"/>
                <w:b w:val="0"/>
                <w:bCs w:val="0"/>
                <w:i w:val="0"/>
                <w:iCs w:val="0"/>
                <w:noProof/>
              </w:rPr>
              <w:t>Strategic Intent</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_Toc227676750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4</w:t>
            </w:r>
            <w:r w:rsidR="00AB1C16" w:rsidRPr="00261D61">
              <w:rPr>
                <w:b w:val="0"/>
                <w:bCs w:val="0"/>
                <w:i w:val="0"/>
                <w:i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51" w:history="1">
            <w:r w:rsidR="00AB1C16" w:rsidRPr="00261D61">
              <w:rPr>
                <w:rStyle w:val="Hyperlink"/>
                <w:rFonts w:ascii="Times New Roman" w:hAnsi="Times New Roman" w:cs="Times New Roman"/>
                <w:b w:val="0"/>
                <w:bCs w:val="0"/>
                <w:i w:val="0"/>
                <w:iCs w:val="0"/>
                <w:noProof/>
              </w:rPr>
              <w:t>Current Performance</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_Toc227676751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4</w:t>
            </w:r>
            <w:r w:rsidR="00AB1C16" w:rsidRPr="00261D61">
              <w:rPr>
                <w:b w:val="0"/>
                <w:bCs w:val="0"/>
                <w:i w:val="0"/>
                <w:i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52" w:history="1">
            <w:r w:rsidR="00AB1C16" w:rsidRPr="00261D61">
              <w:rPr>
                <w:rStyle w:val="Hyperlink"/>
                <w:rFonts w:ascii="Times New Roman" w:hAnsi="Times New Roman" w:cs="Times New Roman"/>
                <w:b w:val="0"/>
                <w:bCs w:val="0"/>
                <w:i w:val="0"/>
                <w:iCs w:val="0"/>
                <w:noProof/>
              </w:rPr>
              <w:t>Strategy Analysis and Competitive Environment</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_Toc227676752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5</w:t>
            </w:r>
            <w:r w:rsidR="00AB1C16" w:rsidRPr="00261D61">
              <w:rPr>
                <w:b w:val="0"/>
                <w:bCs w:val="0"/>
                <w:i w:val="0"/>
                <w:iCs w:val="0"/>
                <w:noProof/>
                <w:webHidden/>
              </w:rPr>
              <w:fldChar w:fldCharType="end"/>
            </w:r>
          </w:hyperlink>
        </w:p>
        <w:p w:rsidR="00AB1C16" w:rsidRPr="00261D61" w:rsidRDefault="00000000">
          <w:pPr>
            <w:pStyle w:val="TOC2"/>
            <w:tabs>
              <w:tab w:val="right" w:leader="dot" w:pos="9350"/>
            </w:tabs>
            <w:rPr>
              <w:b w:val="0"/>
              <w:bCs w:val="0"/>
              <w:noProof/>
              <w:kern w:val="2"/>
              <w:sz w:val="24"/>
              <w:szCs w:val="24"/>
              <w:lang w:val="en-GB" w:eastAsia="en-GB"/>
              <w14:ligatures w14:val="standardContextual"/>
            </w:rPr>
          </w:pPr>
          <w:hyperlink w:anchor="_Toc227676753" w:history="1">
            <w:r w:rsidR="00AB1C16" w:rsidRPr="00261D61">
              <w:rPr>
                <w:rStyle w:val="Hyperlink"/>
                <w:rFonts w:ascii="Times New Roman" w:hAnsi="Times New Roman" w:cs="Times New Roman"/>
                <w:b w:val="0"/>
                <w:bCs w:val="0"/>
                <w:noProof/>
              </w:rPr>
              <w:t>External Environmental Audit: PESTEL and Porter’s Five Forces</w:t>
            </w:r>
            <w:r w:rsidR="00AB1C16" w:rsidRPr="00261D61">
              <w:rPr>
                <w:b w:val="0"/>
                <w:bCs w:val="0"/>
                <w:noProof/>
                <w:webHidden/>
              </w:rPr>
              <w:tab/>
            </w:r>
            <w:r w:rsidR="00AB1C16" w:rsidRPr="00261D61">
              <w:rPr>
                <w:b w:val="0"/>
                <w:bCs w:val="0"/>
                <w:noProof/>
                <w:webHidden/>
              </w:rPr>
              <w:fldChar w:fldCharType="begin"/>
            </w:r>
            <w:r w:rsidR="00AB1C16" w:rsidRPr="00261D61">
              <w:rPr>
                <w:b w:val="0"/>
                <w:bCs w:val="0"/>
                <w:noProof/>
                <w:webHidden/>
              </w:rPr>
              <w:instrText xml:space="preserve"> PAGEREF _Toc227676753 \h </w:instrText>
            </w:r>
            <w:r w:rsidR="00AB1C16" w:rsidRPr="00261D61">
              <w:rPr>
                <w:b w:val="0"/>
                <w:bCs w:val="0"/>
                <w:noProof/>
                <w:webHidden/>
              </w:rPr>
            </w:r>
            <w:r w:rsidR="00AB1C16" w:rsidRPr="00261D61">
              <w:rPr>
                <w:b w:val="0"/>
                <w:bCs w:val="0"/>
                <w:noProof/>
                <w:webHidden/>
              </w:rPr>
              <w:fldChar w:fldCharType="separate"/>
            </w:r>
            <w:r w:rsidR="00AF6494">
              <w:rPr>
                <w:b w:val="0"/>
                <w:bCs w:val="0"/>
                <w:noProof/>
                <w:webHidden/>
              </w:rPr>
              <w:t>5</w:t>
            </w:r>
            <w:r w:rsidR="00AB1C16" w:rsidRPr="00261D61">
              <w:rPr>
                <w:b w:val="0"/>
                <w:bCs w:val="0"/>
                <w:noProof/>
                <w:webHidden/>
              </w:rPr>
              <w:fldChar w:fldCharType="end"/>
            </w:r>
          </w:hyperlink>
        </w:p>
        <w:p w:rsidR="00AB1C16" w:rsidRPr="00261D61" w:rsidRDefault="00000000">
          <w:pPr>
            <w:pStyle w:val="TOC2"/>
            <w:tabs>
              <w:tab w:val="right" w:leader="dot" w:pos="9350"/>
            </w:tabs>
            <w:rPr>
              <w:b w:val="0"/>
              <w:bCs w:val="0"/>
              <w:noProof/>
              <w:kern w:val="2"/>
              <w:sz w:val="24"/>
              <w:szCs w:val="24"/>
              <w:lang w:val="en-GB" w:eastAsia="en-GB"/>
              <w14:ligatures w14:val="standardContextual"/>
            </w:rPr>
          </w:pPr>
          <w:hyperlink w:anchor="_Toc227676754" w:history="1">
            <w:r w:rsidR="00AB1C16" w:rsidRPr="00261D61">
              <w:rPr>
                <w:rStyle w:val="Hyperlink"/>
                <w:rFonts w:ascii="Times New Roman" w:hAnsi="Times New Roman" w:cs="Times New Roman"/>
                <w:b w:val="0"/>
                <w:bCs w:val="0"/>
                <w:noProof/>
              </w:rPr>
              <w:t>Internal Environmental Audit: SWOT, VRIO, BCG and Value Chain</w:t>
            </w:r>
            <w:r w:rsidR="00AB1C16" w:rsidRPr="00261D61">
              <w:rPr>
                <w:b w:val="0"/>
                <w:bCs w:val="0"/>
                <w:noProof/>
                <w:webHidden/>
              </w:rPr>
              <w:tab/>
            </w:r>
            <w:r w:rsidR="00AB1C16" w:rsidRPr="00261D61">
              <w:rPr>
                <w:b w:val="0"/>
                <w:bCs w:val="0"/>
                <w:noProof/>
                <w:webHidden/>
              </w:rPr>
              <w:fldChar w:fldCharType="begin"/>
            </w:r>
            <w:r w:rsidR="00AB1C16" w:rsidRPr="00261D61">
              <w:rPr>
                <w:b w:val="0"/>
                <w:bCs w:val="0"/>
                <w:noProof/>
                <w:webHidden/>
              </w:rPr>
              <w:instrText xml:space="preserve"> PAGEREF _Toc227676754 \h </w:instrText>
            </w:r>
            <w:r w:rsidR="00AB1C16" w:rsidRPr="00261D61">
              <w:rPr>
                <w:b w:val="0"/>
                <w:bCs w:val="0"/>
                <w:noProof/>
                <w:webHidden/>
              </w:rPr>
            </w:r>
            <w:r w:rsidR="00AB1C16" w:rsidRPr="00261D61">
              <w:rPr>
                <w:b w:val="0"/>
                <w:bCs w:val="0"/>
                <w:noProof/>
                <w:webHidden/>
              </w:rPr>
              <w:fldChar w:fldCharType="separate"/>
            </w:r>
            <w:r w:rsidR="00AF6494">
              <w:rPr>
                <w:b w:val="0"/>
                <w:bCs w:val="0"/>
                <w:noProof/>
                <w:webHidden/>
              </w:rPr>
              <w:t>7</w:t>
            </w:r>
            <w:r w:rsidR="00AB1C16" w:rsidRPr="00261D61">
              <w:rPr>
                <w:b w:val="0"/>
                <w:b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55" w:history="1">
            <w:r w:rsidR="00AB1C16" w:rsidRPr="00261D61">
              <w:rPr>
                <w:rStyle w:val="Hyperlink"/>
                <w:rFonts w:ascii="Times New Roman" w:hAnsi="Times New Roman" w:cs="Times New Roman"/>
                <w:b w:val="0"/>
                <w:bCs w:val="0"/>
                <w:i w:val="0"/>
                <w:iCs w:val="0"/>
                <w:noProof/>
              </w:rPr>
              <w:t>Strategy Formulation</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_Toc227676755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8</w:t>
            </w:r>
            <w:r w:rsidR="00AB1C16" w:rsidRPr="00261D61">
              <w:rPr>
                <w:b w:val="0"/>
                <w:bCs w:val="0"/>
                <w:i w:val="0"/>
                <w:i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56" w:history="1">
            <w:r w:rsidR="00AB1C16" w:rsidRPr="00261D61">
              <w:rPr>
                <w:rStyle w:val="Hyperlink"/>
                <w:rFonts w:ascii="Times New Roman" w:hAnsi="Times New Roman" w:cs="Times New Roman"/>
                <w:b w:val="0"/>
                <w:bCs w:val="0"/>
                <w:i w:val="0"/>
                <w:iCs w:val="0"/>
                <w:noProof/>
              </w:rPr>
              <w:t>Conclusion and Recommendations</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_Toc227676756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10</w:t>
            </w:r>
            <w:r w:rsidR="00AB1C16" w:rsidRPr="00261D61">
              <w:rPr>
                <w:b w:val="0"/>
                <w:bCs w:val="0"/>
                <w:i w:val="0"/>
                <w:i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57" w:history="1">
            <w:r w:rsidR="00AB1C16" w:rsidRPr="00261D61">
              <w:rPr>
                <w:rStyle w:val="Hyperlink"/>
                <w:rFonts w:ascii="Times New Roman" w:hAnsi="Times New Roman" w:cs="Times New Roman"/>
                <w:b w:val="0"/>
                <w:bCs w:val="0"/>
                <w:i w:val="0"/>
                <w:iCs w:val="0"/>
                <w:noProof/>
              </w:rPr>
              <w:t>References</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_Toc227676757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11</w:t>
            </w:r>
            <w:r w:rsidR="00AB1C16" w:rsidRPr="00261D61">
              <w:rPr>
                <w:b w:val="0"/>
                <w:bCs w:val="0"/>
                <w:i w:val="0"/>
                <w:iCs w:val="0"/>
                <w:noProof/>
                <w:webHidden/>
              </w:rPr>
              <w:fldChar w:fldCharType="end"/>
            </w:r>
          </w:hyperlink>
        </w:p>
        <w:p w:rsidR="00AB1C16" w:rsidRPr="00261D61" w:rsidRDefault="00000000">
          <w:pPr>
            <w:pStyle w:val="TOC1"/>
            <w:tabs>
              <w:tab w:val="right" w:leader="dot" w:pos="9350"/>
            </w:tabs>
            <w:rPr>
              <w:b w:val="0"/>
              <w:bCs w:val="0"/>
              <w:i w:val="0"/>
              <w:iCs w:val="0"/>
              <w:noProof/>
              <w:kern w:val="2"/>
              <w:lang w:val="en-GB" w:eastAsia="en-GB"/>
              <w14:ligatures w14:val="standardContextual"/>
            </w:rPr>
          </w:pPr>
          <w:hyperlink w:anchor="_Toc227676758" w:history="1">
            <w:r w:rsidR="00AB1C16" w:rsidRPr="00261D61">
              <w:rPr>
                <w:rStyle w:val="Hyperlink"/>
                <w:rFonts w:ascii="Times New Roman" w:hAnsi="Times New Roman" w:cs="Times New Roman"/>
                <w:b w:val="0"/>
                <w:bCs w:val="0"/>
                <w:i w:val="0"/>
                <w:iCs w:val="0"/>
                <w:noProof/>
              </w:rPr>
              <w:t>Appendices</w:t>
            </w:r>
            <w:r w:rsidR="00AB1C16" w:rsidRPr="00261D61">
              <w:rPr>
                <w:b w:val="0"/>
                <w:bCs w:val="0"/>
                <w:i w:val="0"/>
                <w:iCs w:val="0"/>
                <w:noProof/>
                <w:webHidden/>
              </w:rPr>
              <w:tab/>
            </w:r>
            <w:r w:rsidR="00AB1C16" w:rsidRPr="00261D61">
              <w:rPr>
                <w:b w:val="0"/>
                <w:bCs w:val="0"/>
                <w:i w:val="0"/>
                <w:iCs w:val="0"/>
                <w:noProof/>
                <w:webHidden/>
              </w:rPr>
              <w:fldChar w:fldCharType="begin"/>
            </w:r>
            <w:r w:rsidR="00AB1C16" w:rsidRPr="00261D61">
              <w:rPr>
                <w:b w:val="0"/>
                <w:bCs w:val="0"/>
                <w:i w:val="0"/>
                <w:iCs w:val="0"/>
                <w:noProof/>
                <w:webHidden/>
              </w:rPr>
              <w:instrText xml:space="preserve"> PAGEREF _Toc227676758 \h </w:instrText>
            </w:r>
            <w:r w:rsidR="00AB1C16" w:rsidRPr="00261D61">
              <w:rPr>
                <w:b w:val="0"/>
                <w:bCs w:val="0"/>
                <w:i w:val="0"/>
                <w:iCs w:val="0"/>
                <w:noProof/>
                <w:webHidden/>
              </w:rPr>
            </w:r>
            <w:r w:rsidR="00AB1C16" w:rsidRPr="00261D61">
              <w:rPr>
                <w:b w:val="0"/>
                <w:bCs w:val="0"/>
                <w:i w:val="0"/>
                <w:iCs w:val="0"/>
                <w:noProof/>
                <w:webHidden/>
              </w:rPr>
              <w:fldChar w:fldCharType="separate"/>
            </w:r>
            <w:r w:rsidR="00AF6494">
              <w:rPr>
                <w:b w:val="0"/>
                <w:bCs w:val="0"/>
                <w:i w:val="0"/>
                <w:iCs w:val="0"/>
                <w:noProof/>
                <w:webHidden/>
              </w:rPr>
              <w:t>13</w:t>
            </w:r>
            <w:r w:rsidR="00AB1C16" w:rsidRPr="00261D61">
              <w:rPr>
                <w:b w:val="0"/>
                <w:bCs w:val="0"/>
                <w:i w:val="0"/>
                <w:iCs w:val="0"/>
                <w:noProof/>
                <w:webHidden/>
              </w:rPr>
              <w:fldChar w:fldCharType="end"/>
            </w:r>
          </w:hyperlink>
        </w:p>
        <w:p w:rsidR="00AB1C16" w:rsidRPr="00261D61" w:rsidRDefault="00000000">
          <w:pPr>
            <w:pStyle w:val="TOC2"/>
            <w:tabs>
              <w:tab w:val="right" w:leader="dot" w:pos="9350"/>
            </w:tabs>
            <w:rPr>
              <w:b w:val="0"/>
              <w:bCs w:val="0"/>
              <w:noProof/>
              <w:kern w:val="2"/>
              <w:sz w:val="24"/>
              <w:szCs w:val="24"/>
              <w:lang w:val="en-GB" w:eastAsia="en-GB"/>
              <w14:ligatures w14:val="standardContextual"/>
            </w:rPr>
          </w:pPr>
          <w:hyperlink w:anchor="_Toc227676759" w:history="1">
            <w:r w:rsidR="00AB1C16" w:rsidRPr="00261D61">
              <w:rPr>
                <w:rStyle w:val="Hyperlink"/>
                <w:rFonts w:ascii="Times New Roman" w:hAnsi="Times New Roman" w:cs="Times New Roman"/>
                <w:b w:val="0"/>
                <w:bCs w:val="0"/>
                <w:noProof/>
              </w:rPr>
              <w:t>Appendix 1: Summary Strategic Analysis of JLR</w:t>
            </w:r>
            <w:r w:rsidR="00AB1C16" w:rsidRPr="00261D61">
              <w:rPr>
                <w:b w:val="0"/>
                <w:bCs w:val="0"/>
                <w:noProof/>
                <w:webHidden/>
              </w:rPr>
              <w:tab/>
            </w:r>
            <w:r w:rsidR="00AB1C16" w:rsidRPr="00261D61">
              <w:rPr>
                <w:b w:val="0"/>
                <w:bCs w:val="0"/>
                <w:noProof/>
                <w:webHidden/>
              </w:rPr>
              <w:fldChar w:fldCharType="begin"/>
            </w:r>
            <w:r w:rsidR="00AB1C16" w:rsidRPr="00261D61">
              <w:rPr>
                <w:b w:val="0"/>
                <w:bCs w:val="0"/>
                <w:noProof/>
                <w:webHidden/>
              </w:rPr>
              <w:instrText xml:space="preserve"> PAGEREF _Toc227676759 \h </w:instrText>
            </w:r>
            <w:r w:rsidR="00AB1C16" w:rsidRPr="00261D61">
              <w:rPr>
                <w:b w:val="0"/>
                <w:bCs w:val="0"/>
                <w:noProof/>
                <w:webHidden/>
              </w:rPr>
            </w:r>
            <w:r w:rsidR="00AB1C16" w:rsidRPr="00261D61">
              <w:rPr>
                <w:b w:val="0"/>
                <w:bCs w:val="0"/>
                <w:noProof/>
                <w:webHidden/>
              </w:rPr>
              <w:fldChar w:fldCharType="separate"/>
            </w:r>
            <w:r w:rsidR="00AF6494">
              <w:rPr>
                <w:b w:val="0"/>
                <w:bCs w:val="0"/>
                <w:noProof/>
                <w:webHidden/>
              </w:rPr>
              <w:t>13</w:t>
            </w:r>
            <w:r w:rsidR="00AB1C16" w:rsidRPr="00261D61">
              <w:rPr>
                <w:b w:val="0"/>
                <w:bCs w:val="0"/>
                <w:noProof/>
                <w:webHidden/>
              </w:rPr>
              <w:fldChar w:fldCharType="end"/>
            </w:r>
          </w:hyperlink>
        </w:p>
        <w:p w:rsidR="00AB1C16" w:rsidRPr="00261D61" w:rsidRDefault="00000000">
          <w:pPr>
            <w:pStyle w:val="TOC2"/>
            <w:tabs>
              <w:tab w:val="right" w:leader="dot" w:pos="9350"/>
            </w:tabs>
            <w:rPr>
              <w:b w:val="0"/>
              <w:bCs w:val="0"/>
              <w:noProof/>
              <w:kern w:val="2"/>
              <w:sz w:val="24"/>
              <w:szCs w:val="24"/>
              <w:lang w:val="en-GB" w:eastAsia="en-GB"/>
              <w14:ligatures w14:val="standardContextual"/>
            </w:rPr>
          </w:pPr>
          <w:hyperlink w:anchor="_Toc227676760" w:history="1">
            <w:r w:rsidR="00AB1C16" w:rsidRPr="00261D61">
              <w:rPr>
                <w:rStyle w:val="Hyperlink"/>
                <w:rFonts w:ascii="Times New Roman" w:hAnsi="Times New Roman" w:cs="Times New Roman"/>
                <w:b w:val="0"/>
                <w:bCs w:val="0"/>
                <w:noProof/>
              </w:rPr>
              <w:t>Appendix 2: Note on the Use of the Appendix</w:t>
            </w:r>
            <w:r w:rsidR="00AB1C16" w:rsidRPr="00261D61">
              <w:rPr>
                <w:b w:val="0"/>
                <w:bCs w:val="0"/>
                <w:noProof/>
                <w:webHidden/>
              </w:rPr>
              <w:tab/>
            </w:r>
            <w:r w:rsidR="00AB1C16" w:rsidRPr="00261D61">
              <w:rPr>
                <w:b w:val="0"/>
                <w:bCs w:val="0"/>
                <w:noProof/>
                <w:webHidden/>
              </w:rPr>
              <w:fldChar w:fldCharType="begin"/>
            </w:r>
            <w:r w:rsidR="00AB1C16" w:rsidRPr="00261D61">
              <w:rPr>
                <w:b w:val="0"/>
                <w:bCs w:val="0"/>
                <w:noProof/>
                <w:webHidden/>
              </w:rPr>
              <w:instrText xml:space="preserve"> PAGEREF _Toc227676760 \h </w:instrText>
            </w:r>
            <w:r w:rsidR="00AB1C16" w:rsidRPr="00261D61">
              <w:rPr>
                <w:b w:val="0"/>
                <w:bCs w:val="0"/>
                <w:noProof/>
                <w:webHidden/>
              </w:rPr>
            </w:r>
            <w:r w:rsidR="00AB1C16" w:rsidRPr="00261D61">
              <w:rPr>
                <w:b w:val="0"/>
                <w:bCs w:val="0"/>
                <w:noProof/>
                <w:webHidden/>
              </w:rPr>
              <w:fldChar w:fldCharType="separate"/>
            </w:r>
            <w:r w:rsidR="00AF6494">
              <w:rPr>
                <w:b w:val="0"/>
                <w:bCs w:val="0"/>
                <w:noProof/>
                <w:webHidden/>
              </w:rPr>
              <w:t>15</w:t>
            </w:r>
            <w:r w:rsidR="00AB1C16" w:rsidRPr="00261D61">
              <w:rPr>
                <w:b w:val="0"/>
                <w:bCs w:val="0"/>
                <w:noProof/>
                <w:webHidden/>
              </w:rPr>
              <w:fldChar w:fldCharType="end"/>
            </w:r>
          </w:hyperlink>
        </w:p>
        <w:p w:rsidR="005D4292" w:rsidRDefault="005D4292">
          <w:r w:rsidRPr="00C20BB5">
            <w:rPr>
              <w:rFonts w:ascii="Times New Roman" w:hAnsi="Times New Roman" w:cs="Times New Roman"/>
              <w:noProof/>
              <w:color w:val="000000" w:themeColor="text1"/>
            </w:rPr>
            <w:fldChar w:fldCharType="end"/>
          </w:r>
        </w:p>
      </w:sdtContent>
    </w:sdt>
    <w:p w:rsidR="00C20BB5" w:rsidRDefault="00C20BB5" w:rsidP="006F2D20">
      <w:pPr>
        <w:pStyle w:val="Heading1"/>
        <w:spacing w:before="80" w:after="80" w:line="360" w:lineRule="auto"/>
        <w:jc w:val="both"/>
        <w:rPr>
          <w:rFonts w:ascii="Times New Roman" w:hAnsi="Times New Roman" w:cs="Times New Roman"/>
          <w:color w:val="000000" w:themeColor="text1"/>
        </w:rPr>
      </w:pPr>
    </w:p>
    <w:p w:rsidR="006F2D20" w:rsidRDefault="00312B69" w:rsidP="006F2D20">
      <w:pPr>
        <w:pStyle w:val="Heading1"/>
        <w:spacing w:before="80" w:after="80" w:line="360" w:lineRule="auto"/>
        <w:jc w:val="both"/>
        <w:rPr>
          <w:rFonts w:ascii="Times New Roman" w:hAnsi="Times New Roman" w:cs="Times New Roman"/>
          <w:color w:val="000000" w:themeColor="text1"/>
        </w:rPr>
      </w:pPr>
      <w:bookmarkStart w:id="0" w:name="_Toc227676748"/>
      <w:r>
        <w:rPr>
          <w:rFonts w:ascii="Times New Roman" w:hAnsi="Times New Roman" w:cs="Times New Roman"/>
          <w:color w:val="000000" w:themeColor="text1"/>
        </w:rPr>
        <w:t>I</w:t>
      </w:r>
      <w:r w:rsidRPr="00C54FE1">
        <w:rPr>
          <w:rFonts w:ascii="Times New Roman" w:hAnsi="Times New Roman" w:cs="Times New Roman"/>
          <w:color w:val="000000" w:themeColor="text1"/>
        </w:rPr>
        <w:t>ntroduction</w:t>
      </w:r>
      <w:r w:rsidR="00076D90">
        <w:rPr>
          <w:rFonts w:ascii="Times New Roman" w:hAnsi="Times New Roman" w:cs="Times New Roman"/>
          <w:color w:val="000000" w:themeColor="text1"/>
        </w:rPr>
        <w:t xml:space="preserve"> to Strategy</w:t>
      </w:r>
      <w:bookmarkEnd w:id="0"/>
    </w:p>
    <w:p w:rsidR="00AF6494" w:rsidRPr="00AF6494" w:rsidRDefault="00AF6494" w:rsidP="00AF6494">
      <w:pPr>
        <w:spacing w:line="360" w:lineRule="auto"/>
        <w:jc w:val="both"/>
        <w:rPr>
          <w:rFonts w:ascii="Times New Roman" w:hAnsi="Times New Roman" w:cs="Times New Roman"/>
          <w:sz w:val="24"/>
          <w:szCs w:val="24"/>
        </w:rPr>
      </w:pPr>
      <w:bookmarkStart w:id="1" w:name="_Toc227676749"/>
      <w:r w:rsidRPr="00AF6494">
        <w:rPr>
          <w:rFonts w:ascii="Times New Roman" w:hAnsi="Times New Roman" w:cs="Times New Roman"/>
          <w:sz w:val="24"/>
          <w:szCs w:val="24"/>
        </w:rPr>
        <w:t>Strategic management concerns how firms position themselves, allocate resources and respond to internal and external change to sustain competitive advantage (Nag, Hambrick and Chen, 2007). It involves adaptation, competitive positioning and aligning organisational capabilities with changing market conditions (Whittington et al., 2023). This is particularly relevant in the automotive sector, where firms face technological disruption, sustainability regulation and shifting consumer expectations.</w:t>
      </w:r>
    </w:p>
    <w:p w:rsidR="00AF6494" w:rsidRPr="00AF6494" w:rsidRDefault="00AF6494" w:rsidP="00AF6494">
      <w:pPr>
        <w:spacing w:line="360" w:lineRule="auto"/>
        <w:jc w:val="both"/>
        <w:rPr>
          <w:rFonts w:ascii="Times New Roman" w:hAnsi="Times New Roman" w:cs="Times New Roman"/>
          <w:sz w:val="24"/>
          <w:szCs w:val="24"/>
        </w:rPr>
      </w:pPr>
      <w:r w:rsidRPr="00AF6494">
        <w:rPr>
          <w:rFonts w:ascii="Times New Roman" w:hAnsi="Times New Roman" w:cs="Times New Roman"/>
          <w:sz w:val="24"/>
          <w:szCs w:val="24"/>
        </w:rPr>
        <w:t>Jaguar Land Rover (JLR), owned by Tata Motors, is a British luxury vehicle manufacturer operating in this demanding and rapidly changing environment (JLR, 2025). The company seeks to preserve brand prestige while transforming its products, operations and supply chains for a lower-carbon and more digitally connected future (JLR, 2025). This creates a strategic challenge because JLR cannot simply imitate larger rivals or rely on heritage alone when premium competition increasingly depends on software quality, battery performance and credible sustainability claims (</w:t>
      </w:r>
      <w:proofErr w:type="spellStart"/>
      <w:r w:rsidRPr="00AF6494">
        <w:rPr>
          <w:rFonts w:ascii="Times New Roman" w:hAnsi="Times New Roman" w:cs="Times New Roman"/>
          <w:sz w:val="24"/>
          <w:szCs w:val="24"/>
        </w:rPr>
        <w:t>Satpathy</w:t>
      </w:r>
      <w:proofErr w:type="spellEnd"/>
      <w:r w:rsidRPr="00AF6494">
        <w:rPr>
          <w:rFonts w:ascii="Times New Roman" w:hAnsi="Times New Roman" w:cs="Times New Roman"/>
          <w:sz w:val="24"/>
          <w:szCs w:val="24"/>
        </w:rPr>
        <w:t xml:space="preserve"> et al., 2025).</w:t>
      </w:r>
    </w:p>
    <w:p w:rsidR="00AF6494" w:rsidRPr="00AF6494" w:rsidRDefault="00AF6494" w:rsidP="00AF6494">
      <w:pPr>
        <w:spacing w:line="360" w:lineRule="auto"/>
        <w:jc w:val="both"/>
        <w:rPr>
          <w:rFonts w:ascii="Times New Roman" w:hAnsi="Times New Roman" w:cs="Times New Roman"/>
          <w:sz w:val="24"/>
          <w:szCs w:val="24"/>
        </w:rPr>
      </w:pPr>
      <w:r w:rsidRPr="00AF6494">
        <w:rPr>
          <w:rFonts w:ascii="Times New Roman" w:hAnsi="Times New Roman" w:cs="Times New Roman"/>
          <w:sz w:val="24"/>
          <w:szCs w:val="24"/>
        </w:rPr>
        <w:t>The purpose of this report is to analyse JLR’s internal and external strategic environment and develop a strategy formulation plan that supports the company’s long-term competitiveness and sustainability. The report examines JLR’s background, strategic intent and current performance, applies external and internal analytical tools, and evaluates strategic options to recommend the most viable path forward. JLR’s strategy must therefore go beyond following industry trends. It must recognise the company’s exposure to brand concentration, regional unevenness and execution risk during transition.</w:t>
      </w:r>
    </w:p>
    <w:p w:rsidR="00312A17" w:rsidRDefault="00D67C3A" w:rsidP="006F2D20">
      <w:pPr>
        <w:pStyle w:val="Heading1"/>
        <w:spacing w:before="80" w:after="8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Overview and Background</w:t>
      </w:r>
      <w:r w:rsidR="007B40D8">
        <w:rPr>
          <w:rFonts w:ascii="Times New Roman" w:hAnsi="Times New Roman" w:cs="Times New Roman"/>
          <w:color w:val="000000" w:themeColor="text1"/>
        </w:rPr>
        <w:t xml:space="preserve"> of JLR</w:t>
      </w:r>
      <w:bookmarkEnd w:id="1"/>
    </w:p>
    <w:p w:rsidR="007B40D8" w:rsidRPr="00AF6494" w:rsidRDefault="00AF6494" w:rsidP="00AF6494">
      <w:pPr>
        <w:spacing w:line="360" w:lineRule="auto"/>
        <w:jc w:val="both"/>
        <w:rPr>
          <w:rFonts w:ascii="Times New Roman" w:hAnsi="Times New Roman" w:cs="Times New Roman"/>
          <w:sz w:val="24"/>
          <w:szCs w:val="24"/>
        </w:rPr>
      </w:pPr>
      <w:r w:rsidRPr="00AF6494">
        <w:rPr>
          <w:rFonts w:ascii="Times New Roman" w:hAnsi="Times New Roman" w:cs="Times New Roman"/>
          <w:sz w:val="24"/>
          <w:szCs w:val="24"/>
        </w:rPr>
        <w:t xml:space="preserve">JLR was created when Tata Motors acquired the Jaguar and Land Rover brands in 2008, and it now manages Range Rover, Defender, Discovery and Jaguar (JLR, 2025). The company operates in the global premium automotive sector, where competition depends on brand strength, innovation, technological capability and responsiveness to changing market conditions (Whittington et al., 2023). As a British luxury vehicle manufacturer, JLR must balance heritage and prestige with adaptation to electrification, </w:t>
      </w:r>
      <w:proofErr w:type="spellStart"/>
      <w:r w:rsidRPr="00AF6494">
        <w:rPr>
          <w:rFonts w:ascii="Times New Roman" w:hAnsi="Times New Roman" w:cs="Times New Roman"/>
          <w:sz w:val="24"/>
          <w:szCs w:val="24"/>
        </w:rPr>
        <w:t>digitalisation</w:t>
      </w:r>
      <w:proofErr w:type="spellEnd"/>
      <w:r w:rsidRPr="00AF6494">
        <w:rPr>
          <w:rFonts w:ascii="Times New Roman" w:hAnsi="Times New Roman" w:cs="Times New Roman"/>
          <w:sz w:val="24"/>
          <w:szCs w:val="24"/>
        </w:rPr>
        <w:t xml:space="preserve"> and sustainability pressures (JLR, </w:t>
      </w:r>
      <w:r w:rsidRPr="00AF6494">
        <w:rPr>
          <w:rFonts w:ascii="Times New Roman" w:hAnsi="Times New Roman" w:cs="Times New Roman"/>
          <w:sz w:val="24"/>
          <w:szCs w:val="24"/>
        </w:rPr>
        <w:lastRenderedPageBreak/>
        <w:t xml:space="preserve">2025; </w:t>
      </w:r>
      <w:proofErr w:type="spellStart"/>
      <w:r w:rsidRPr="00AF6494">
        <w:rPr>
          <w:rFonts w:ascii="Times New Roman" w:hAnsi="Times New Roman" w:cs="Times New Roman"/>
          <w:sz w:val="24"/>
          <w:szCs w:val="24"/>
        </w:rPr>
        <w:t>Satpathy</w:t>
      </w:r>
      <w:proofErr w:type="spellEnd"/>
      <w:r w:rsidRPr="00AF6494">
        <w:rPr>
          <w:rFonts w:ascii="Times New Roman" w:hAnsi="Times New Roman" w:cs="Times New Roman"/>
          <w:sz w:val="24"/>
          <w:szCs w:val="24"/>
        </w:rPr>
        <w:t xml:space="preserve"> et al., 2025). Therefore, its strategic challenge is to </w:t>
      </w:r>
      <w:proofErr w:type="spellStart"/>
      <w:r w:rsidRPr="00AF6494">
        <w:rPr>
          <w:rFonts w:ascii="Times New Roman" w:hAnsi="Times New Roman" w:cs="Times New Roman"/>
          <w:sz w:val="24"/>
          <w:szCs w:val="24"/>
        </w:rPr>
        <w:t>modernise</w:t>
      </w:r>
      <w:proofErr w:type="spellEnd"/>
      <w:r w:rsidRPr="00AF6494">
        <w:rPr>
          <w:rFonts w:ascii="Times New Roman" w:hAnsi="Times New Roman" w:cs="Times New Roman"/>
          <w:sz w:val="24"/>
          <w:szCs w:val="24"/>
        </w:rPr>
        <w:t xml:space="preserve"> while protecting brand exclusivity and long-term competitive advantage.</w:t>
      </w:r>
    </w:p>
    <w:p w:rsidR="00D67C3A" w:rsidRDefault="00D67C3A" w:rsidP="006F2D20">
      <w:pPr>
        <w:pStyle w:val="Heading1"/>
        <w:spacing w:before="80" w:after="80" w:line="360" w:lineRule="auto"/>
        <w:jc w:val="both"/>
        <w:rPr>
          <w:rFonts w:ascii="Times New Roman" w:hAnsi="Times New Roman" w:cs="Times New Roman"/>
          <w:color w:val="000000" w:themeColor="text1"/>
        </w:rPr>
      </w:pPr>
      <w:bookmarkStart w:id="2" w:name="_Toc227676750"/>
      <w:r>
        <w:rPr>
          <w:rFonts w:ascii="Times New Roman" w:hAnsi="Times New Roman" w:cs="Times New Roman"/>
          <w:color w:val="000000" w:themeColor="text1"/>
        </w:rPr>
        <w:t>Strategic Intent</w:t>
      </w:r>
      <w:bookmarkEnd w:id="2"/>
    </w:p>
    <w:p w:rsidR="00160C1D" w:rsidRPr="00160C1D" w:rsidRDefault="00160C1D" w:rsidP="00160C1D">
      <w:pPr>
        <w:spacing w:line="360" w:lineRule="auto"/>
        <w:jc w:val="both"/>
        <w:rPr>
          <w:rFonts w:ascii="Times New Roman" w:hAnsi="Times New Roman" w:cs="Times New Roman"/>
          <w:color w:val="000000" w:themeColor="text1"/>
          <w:sz w:val="24"/>
          <w:szCs w:val="24"/>
        </w:rPr>
      </w:pPr>
      <w:r w:rsidRPr="00160C1D">
        <w:rPr>
          <w:rFonts w:ascii="Times New Roman" w:hAnsi="Times New Roman" w:cs="Times New Roman"/>
          <w:sz w:val="24"/>
          <w:szCs w:val="24"/>
        </w:rPr>
        <w:t>JLR’s strategic intent is shaped by its Reimagine strategy, which seeks to reposition the firm as a modern luxury manufacturer through electrification and carbon net zero across operations, supply chains and products by 2039 (JLR, 2025). Strategic intent refers to the long-term ambition guiding investment and capability development (Hamel and Prahalad, 1989). JLR’s</w:t>
      </w:r>
      <w:r w:rsidRPr="00160C1D">
        <w:rPr>
          <w:rStyle w:val="apple-converted-space"/>
          <w:rFonts w:ascii="Times New Roman" w:hAnsi="Times New Roman" w:cs="Times New Roman"/>
          <w:color w:val="000000"/>
          <w:sz w:val="24"/>
          <w:szCs w:val="24"/>
        </w:rPr>
        <w:t> </w:t>
      </w:r>
      <w:r w:rsidRPr="00160C1D">
        <w:rPr>
          <w:rStyle w:val="Strong"/>
          <w:rFonts w:ascii="Times New Roman" w:hAnsi="Times New Roman" w:cs="Times New Roman"/>
          <w:b w:val="0"/>
          <w:bCs w:val="0"/>
          <w:color w:val="000000"/>
          <w:sz w:val="24"/>
          <w:szCs w:val="24"/>
        </w:rPr>
        <w:t>vision</w:t>
      </w:r>
      <w:r w:rsidRPr="00160C1D">
        <w:rPr>
          <w:rStyle w:val="apple-converted-space"/>
          <w:rFonts w:ascii="Times New Roman" w:hAnsi="Times New Roman" w:cs="Times New Roman"/>
          <w:color w:val="000000"/>
          <w:sz w:val="24"/>
          <w:szCs w:val="24"/>
        </w:rPr>
        <w:t> </w:t>
      </w:r>
      <w:r w:rsidRPr="00160C1D">
        <w:rPr>
          <w:rFonts w:ascii="Times New Roman" w:hAnsi="Times New Roman" w:cs="Times New Roman"/>
          <w:sz w:val="24"/>
          <w:szCs w:val="24"/>
        </w:rPr>
        <w:t>is to lead modern luxury mobility through sustainable innovation, while its</w:t>
      </w:r>
      <w:r w:rsidRPr="00160C1D">
        <w:rPr>
          <w:rStyle w:val="apple-converted-space"/>
          <w:rFonts w:ascii="Times New Roman" w:hAnsi="Times New Roman" w:cs="Times New Roman"/>
          <w:color w:val="000000"/>
          <w:sz w:val="24"/>
          <w:szCs w:val="24"/>
        </w:rPr>
        <w:t> </w:t>
      </w:r>
      <w:r w:rsidRPr="00160C1D">
        <w:rPr>
          <w:rStyle w:val="Strong"/>
          <w:rFonts w:ascii="Times New Roman" w:hAnsi="Times New Roman" w:cs="Times New Roman"/>
          <w:b w:val="0"/>
          <w:bCs w:val="0"/>
          <w:color w:val="000000"/>
          <w:sz w:val="24"/>
          <w:szCs w:val="24"/>
        </w:rPr>
        <w:t>mission</w:t>
      </w:r>
      <w:r w:rsidRPr="00160C1D">
        <w:rPr>
          <w:rStyle w:val="apple-converted-space"/>
          <w:rFonts w:ascii="Times New Roman" w:hAnsi="Times New Roman" w:cs="Times New Roman"/>
          <w:color w:val="000000"/>
          <w:sz w:val="24"/>
          <w:szCs w:val="24"/>
        </w:rPr>
        <w:t> </w:t>
      </w:r>
      <w:r w:rsidRPr="00160C1D">
        <w:rPr>
          <w:rFonts w:ascii="Times New Roman" w:hAnsi="Times New Roman" w:cs="Times New Roman"/>
          <w:sz w:val="24"/>
          <w:szCs w:val="24"/>
        </w:rPr>
        <w:t>is to deliver premium vehicles and experiences in a changing automotive market (JLR, 2025). Its main</w:t>
      </w:r>
      <w:r w:rsidRPr="00160C1D">
        <w:rPr>
          <w:rStyle w:val="apple-converted-space"/>
          <w:rFonts w:ascii="Times New Roman" w:hAnsi="Times New Roman" w:cs="Times New Roman"/>
          <w:color w:val="000000"/>
          <w:sz w:val="24"/>
          <w:szCs w:val="24"/>
        </w:rPr>
        <w:t> </w:t>
      </w:r>
      <w:r w:rsidRPr="00160C1D">
        <w:rPr>
          <w:rStyle w:val="Strong"/>
          <w:rFonts w:ascii="Times New Roman" w:hAnsi="Times New Roman" w:cs="Times New Roman"/>
          <w:b w:val="0"/>
          <w:bCs w:val="0"/>
          <w:color w:val="000000"/>
          <w:sz w:val="24"/>
          <w:szCs w:val="24"/>
        </w:rPr>
        <w:t>objectives</w:t>
      </w:r>
      <w:r w:rsidRPr="00160C1D">
        <w:rPr>
          <w:rStyle w:val="apple-converted-space"/>
          <w:rFonts w:ascii="Times New Roman" w:hAnsi="Times New Roman" w:cs="Times New Roman"/>
          <w:color w:val="000000"/>
          <w:sz w:val="24"/>
          <w:szCs w:val="24"/>
        </w:rPr>
        <w:t> </w:t>
      </w:r>
      <w:r w:rsidRPr="00160C1D">
        <w:rPr>
          <w:rFonts w:ascii="Times New Roman" w:hAnsi="Times New Roman" w:cs="Times New Roman"/>
          <w:sz w:val="24"/>
          <w:szCs w:val="24"/>
        </w:rPr>
        <w:t>are to protect brand value, improve profitability, expand electric mobility and strengthen sustainability performance (JLR, 2025). However, these objectives create tension: rapid electrification supports compliance and future competitiveness but requires heavy investment, while reliance on profitable combustion-led models may sustain cash flow yet delay capability development (Porter, 2008; Whittington et al., 2023).</w:t>
      </w:r>
    </w:p>
    <w:p w:rsidR="00D67C3A" w:rsidRDefault="00D67C3A" w:rsidP="006F2D20">
      <w:pPr>
        <w:pStyle w:val="Heading1"/>
        <w:spacing w:before="80" w:after="80" w:line="360" w:lineRule="auto"/>
        <w:jc w:val="both"/>
        <w:rPr>
          <w:rFonts w:ascii="Times New Roman" w:hAnsi="Times New Roman" w:cs="Times New Roman"/>
          <w:color w:val="000000" w:themeColor="text1"/>
        </w:rPr>
      </w:pPr>
      <w:bookmarkStart w:id="3" w:name="_Toc227676751"/>
      <w:r>
        <w:rPr>
          <w:rFonts w:ascii="Times New Roman" w:hAnsi="Times New Roman" w:cs="Times New Roman"/>
          <w:color w:val="000000" w:themeColor="text1"/>
        </w:rPr>
        <w:t>Current Performance</w:t>
      </w:r>
      <w:bookmarkEnd w:id="3"/>
    </w:p>
    <w:p w:rsidR="003A49B6" w:rsidRDefault="003A49B6" w:rsidP="003A49B6">
      <w:r>
        <w:rPr>
          <w:noProof/>
        </w:rPr>
        <w:drawing>
          <wp:inline distT="0" distB="0" distL="0" distR="0" wp14:anchorId="77637122" wp14:editId="3CF8184B">
            <wp:extent cx="5922430" cy="3583117"/>
            <wp:effectExtent l="12700" t="12700" r="8890" b="11430"/>
            <wp:docPr id="793397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50638" name="Picture 190550638"/>
                    <pic:cNvPicPr/>
                  </pic:nvPicPr>
                  <pic:blipFill>
                    <a:blip r:embed="rId7"/>
                    <a:stretch>
                      <a:fillRect/>
                    </a:stretch>
                  </pic:blipFill>
                  <pic:spPr>
                    <a:xfrm>
                      <a:off x="0" y="0"/>
                      <a:ext cx="5922430" cy="3583117"/>
                    </a:xfrm>
                    <a:prstGeom prst="rect">
                      <a:avLst/>
                    </a:prstGeom>
                    <a:ln>
                      <a:solidFill>
                        <a:prstClr val="black"/>
                      </a:solidFill>
                    </a:ln>
                  </pic:spPr>
                </pic:pic>
              </a:graphicData>
            </a:graphic>
          </wp:inline>
        </w:drawing>
      </w:r>
    </w:p>
    <w:p w:rsidR="003A49B6" w:rsidRPr="00F005E2" w:rsidRDefault="003A49B6" w:rsidP="003A49B6">
      <w:pPr>
        <w:jc w:val="both"/>
        <w:rPr>
          <w:rFonts w:ascii="Times New Roman" w:hAnsi="Times New Roman" w:cs="Times New Roman"/>
          <w:i/>
          <w:iCs/>
          <w:color w:val="000000"/>
          <w:sz w:val="24"/>
          <w:szCs w:val="24"/>
        </w:rPr>
      </w:pPr>
      <w:r w:rsidRPr="00F005E2">
        <w:rPr>
          <w:rFonts w:ascii="Times New Roman" w:hAnsi="Times New Roman" w:cs="Times New Roman"/>
          <w:i/>
          <w:iCs/>
          <w:color w:val="000000"/>
          <w:sz w:val="24"/>
          <w:szCs w:val="24"/>
        </w:rPr>
        <w:t>Figure 1 shows JLR’s strong FY24/25 revenue, profitability and cash generation, supporting its ongoing transformation (JLR, 2025, p. 4).</w:t>
      </w:r>
    </w:p>
    <w:p w:rsidR="006F2D20" w:rsidRPr="006F2D20" w:rsidRDefault="006F2D20" w:rsidP="006F2D20">
      <w:pPr>
        <w:spacing w:line="360" w:lineRule="auto"/>
        <w:jc w:val="both"/>
        <w:rPr>
          <w:rFonts w:ascii="Times New Roman" w:hAnsi="Times New Roman" w:cs="Times New Roman"/>
          <w:sz w:val="24"/>
          <w:szCs w:val="24"/>
        </w:rPr>
      </w:pPr>
      <w:r w:rsidRPr="006F2D20">
        <w:rPr>
          <w:rFonts w:ascii="Times New Roman" w:hAnsi="Times New Roman" w:cs="Times New Roman"/>
          <w:sz w:val="24"/>
          <w:szCs w:val="24"/>
        </w:rPr>
        <w:lastRenderedPageBreak/>
        <w:t xml:space="preserve">Recent performance shows why this tension matters. In FY24/25, JLR recorded </w:t>
      </w:r>
      <w:r w:rsidRPr="00390635">
        <w:rPr>
          <w:rFonts w:ascii="Times New Roman" w:hAnsi="Times New Roman" w:cs="Times New Roman"/>
          <w:sz w:val="24"/>
          <w:szCs w:val="24"/>
        </w:rPr>
        <w:t>revenues of</w:t>
      </w:r>
      <w:r w:rsidR="00390635" w:rsidRPr="00390635">
        <w:rPr>
          <w:rFonts w:ascii="Times New Roman" w:hAnsi="Times New Roman" w:cs="Times New Roman"/>
          <w:sz w:val="24"/>
          <w:szCs w:val="24"/>
        </w:rPr>
        <w:t xml:space="preserve"> </w:t>
      </w:r>
      <w:r w:rsidR="00390635" w:rsidRPr="00390635">
        <w:rPr>
          <w:rFonts w:ascii="Times New Roman" w:hAnsi="Times New Roman" w:cs="Times New Roman"/>
          <w:color w:val="000000"/>
          <w:sz w:val="24"/>
          <w:szCs w:val="24"/>
        </w:rPr>
        <w:t>£</w:t>
      </w:r>
      <w:r w:rsidRPr="006F2D20">
        <w:rPr>
          <w:rFonts w:ascii="Times New Roman" w:hAnsi="Times New Roman" w:cs="Times New Roman"/>
          <w:sz w:val="24"/>
          <w:szCs w:val="24"/>
        </w:rPr>
        <w:t xml:space="preserve"> 29.0 billion, an adjusted EBIT margin of 8.5%, and a net cash positive position (JLR, 2025). Profitability has been supported by strong demand for high-margin models such as Range Rover and Defender (JLR, 2025). However, that success also creates concentration risk because a narrow part of the portfolio is funding a large-scale transition. JLR also faces tariffs, weakness in China, uneven EV adoption across regions and the cost of electrification and plant transformation (JLR, 2025). Its challenge, therefore, is not just to remain profitable but to convert present strength into long-term capability without overcommitting to a transition path the market may not yet support.</w:t>
      </w:r>
    </w:p>
    <w:p w:rsidR="00312A17" w:rsidRPr="00C54FE1" w:rsidRDefault="00952D65" w:rsidP="006F2D20">
      <w:pPr>
        <w:pStyle w:val="Heading1"/>
        <w:spacing w:before="80" w:after="80" w:line="360" w:lineRule="auto"/>
        <w:jc w:val="both"/>
        <w:rPr>
          <w:rFonts w:ascii="Times New Roman" w:hAnsi="Times New Roman" w:cs="Times New Roman"/>
          <w:color w:val="000000" w:themeColor="text1"/>
        </w:rPr>
      </w:pPr>
      <w:bookmarkStart w:id="4" w:name="_Toc227676752"/>
      <w:r w:rsidRPr="00C54FE1">
        <w:rPr>
          <w:rFonts w:ascii="Times New Roman" w:hAnsi="Times New Roman" w:cs="Times New Roman"/>
          <w:color w:val="000000" w:themeColor="text1"/>
        </w:rPr>
        <w:t xml:space="preserve">Strategy </w:t>
      </w:r>
      <w:r>
        <w:rPr>
          <w:rFonts w:ascii="Times New Roman" w:hAnsi="Times New Roman" w:cs="Times New Roman"/>
          <w:color w:val="000000" w:themeColor="text1"/>
        </w:rPr>
        <w:t>A</w:t>
      </w:r>
      <w:r w:rsidRPr="00C54FE1">
        <w:rPr>
          <w:rFonts w:ascii="Times New Roman" w:hAnsi="Times New Roman" w:cs="Times New Roman"/>
          <w:color w:val="000000" w:themeColor="text1"/>
        </w:rPr>
        <w:t xml:space="preserve">nalysis and </w:t>
      </w:r>
      <w:r>
        <w:rPr>
          <w:rFonts w:ascii="Times New Roman" w:hAnsi="Times New Roman" w:cs="Times New Roman"/>
          <w:color w:val="000000" w:themeColor="text1"/>
        </w:rPr>
        <w:t>C</w:t>
      </w:r>
      <w:r w:rsidRPr="00C54FE1">
        <w:rPr>
          <w:rFonts w:ascii="Times New Roman" w:hAnsi="Times New Roman" w:cs="Times New Roman"/>
          <w:color w:val="000000" w:themeColor="text1"/>
        </w:rPr>
        <w:t xml:space="preserve">ompetitive </w:t>
      </w:r>
      <w:r>
        <w:rPr>
          <w:rFonts w:ascii="Times New Roman" w:hAnsi="Times New Roman" w:cs="Times New Roman"/>
          <w:color w:val="000000" w:themeColor="text1"/>
        </w:rPr>
        <w:t>E</w:t>
      </w:r>
      <w:r w:rsidRPr="00C54FE1">
        <w:rPr>
          <w:rFonts w:ascii="Times New Roman" w:hAnsi="Times New Roman" w:cs="Times New Roman"/>
          <w:color w:val="000000" w:themeColor="text1"/>
        </w:rPr>
        <w:t>nvironment</w:t>
      </w:r>
      <w:bookmarkEnd w:id="4"/>
    </w:p>
    <w:p w:rsidR="00312B69" w:rsidRPr="00312B69" w:rsidRDefault="00D021B6" w:rsidP="006F2D20">
      <w:pPr>
        <w:spacing w:line="360" w:lineRule="auto"/>
        <w:jc w:val="both"/>
        <w:rPr>
          <w:rFonts w:ascii="Times New Roman" w:hAnsi="Times New Roman" w:cs="Times New Roman"/>
        </w:rPr>
      </w:pPr>
      <w:r w:rsidRPr="00C54FE1">
        <w:rPr>
          <w:rFonts w:ascii="Times New Roman" w:hAnsi="Times New Roman" w:cs="Times New Roman"/>
          <w:noProof/>
        </w:rPr>
        <w:drawing>
          <wp:inline distT="0" distB="0" distL="0" distR="0">
            <wp:extent cx="5943600" cy="2003425"/>
            <wp:effectExtent l="0" t="0" r="0" b="3175"/>
            <wp:docPr id="92388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8176" name="Picture 92388176"/>
                    <pic:cNvPicPr/>
                  </pic:nvPicPr>
                  <pic:blipFill>
                    <a:blip r:embed="rId8"/>
                    <a:stretch>
                      <a:fillRect/>
                    </a:stretch>
                  </pic:blipFill>
                  <pic:spPr>
                    <a:xfrm>
                      <a:off x="0" y="0"/>
                      <a:ext cx="5943600" cy="2003425"/>
                    </a:xfrm>
                    <a:prstGeom prst="rect">
                      <a:avLst/>
                    </a:prstGeom>
                  </pic:spPr>
                </pic:pic>
              </a:graphicData>
            </a:graphic>
          </wp:inline>
        </w:drawing>
      </w:r>
    </w:p>
    <w:p w:rsidR="00312A17" w:rsidRPr="00952D65" w:rsidRDefault="00000000" w:rsidP="006F2D20">
      <w:pPr>
        <w:pStyle w:val="Heading2"/>
        <w:spacing w:before="40" w:after="40" w:line="360" w:lineRule="auto"/>
        <w:jc w:val="both"/>
        <w:rPr>
          <w:rFonts w:ascii="Times New Roman" w:hAnsi="Times New Roman" w:cs="Times New Roman"/>
          <w:color w:val="000000" w:themeColor="text1"/>
          <w:sz w:val="28"/>
          <w:szCs w:val="28"/>
        </w:rPr>
      </w:pPr>
      <w:bookmarkStart w:id="5" w:name="_Toc227676753"/>
      <w:r w:rsidRPr="00952D65">
        <w:rPr>
          <w:rFonts w:ascii="Times New Roman" w:hAnsi="Times New Roman" w:cs="Times New Roman"/>
          <w:color w:val="000000" w:themeColor="text1"/>
          <w:sz w:val="28"/>
          <w:szCs w:val="28"/>
        </w:rPr>
        <w:t xml:space="preserve">External </w:t>
      </w:r>
      <w:r w:rsidR="00952D65" w:rsidRPr="00952D65">
        <w:rPr>
          <w:rFonts w:ascii="Times New Roman" w:hAnsi="Times New Roman" w:cs="Times New Roman"/>
          <w:color w:val="000000" w:themeColor="text1"/>
          <w:sz w:val="28"/>
          <w:szCs w:val="28"/>
        </w:rPr>
        <w:t>E</w:t>
      </w:r>
      <w:r w:rsidRPr="00952D65">
        <w:rPr>
          <w:rFonts w:ascii="Times New Roman" w:hAnsi="Times New Roman" w:cs="Times New Roman"/>
          <w:color w:val="000000" w:themeColor="text1"/>
          <w:sz w:val="28"/>
          <w:szCs w:val="28"/>
        </w:rPr>
        <w:t xml:space="preserve">nvironmental </w:t>
      </w:r>
      <w:r w:rsidR="00952D65" w:rsidRPr="00952D65">
        <w:rPr>
          <w:rFonts w:ascii="Times New Roman" w:hAnsi="Times New Roman" w:cs="Times New Roman"/>
          <w:color w:val="000000" w:themeColor="text1"/>
          <w:sz w:val="28"/>
          <w:szCs w:val="28"/>
        </w:rPr>
        <w:t>A</w:t>
      </w:r>
      <w:r w:rsidRPr="00952D65">
        <w:rPr>
          <w:rFonts w:ascii="Times New Roman" w:hAnsi="Times New Roman" w:cs="Times New Roman"/>
          <w:color w:val="000000" w:themeColor="text1"/>
          <w:sz w:val="28"/>
          <w:szCs w:val="28"/>
        </w:rPr>
        <w:t>udit: PESTEL and Porter’s Five Forces</w:t>
      </w:r>
      <w:bookmarkEnd w:id="5"/>
    </w:p>
    <w:p w:rsidR="00E94591" w:rsidRDefault="00E94591" w:rsidP="00E94591">
      <w:pPr>
        <w:pStyle w:val="NormalWeb"/>
        <w:spacing w:line="360" w:lineRule="auto"/>
        <w:jc w:val="both"/>
        <w:rPr>
          <w:color w:val="000000"/>
        </w:rPr>
      </w:pPr>
      <w:r>
        <w:rPr>
          <w:color w:val="000000"/>
        </w:rPr>
        <w:t>PESTEL analyses the political, economic, social, technological, environmental and legal factors shaping an organisation’s macro-environment (</w:t>
      </w:r>
      <w:proofErr w:type="spellStart"/>
      <w:r>
        <w:rPr>
          <w:color w:val="000000"/>
        </w:rPr>
        <w:t>Yüksel</w:t>
      </w:r>
      <w:proofErr w:type="spellEnd"/>
      <w:r>
        <w:rPr>
          <w:color w:val="000000"/>
        </w:rPr>
        <w:t>, 2012). For JLR, political and legal pressures are especially significant because governments in major markets are tightening emissions regulation and accelerating the shift towards zero-emission vehicles (Department for Transport, 2024; International Energy Agency, 2024). These changes increase compliance pressure and make delayed electrification strategically risky for the company (JLR, 2025).</w:t>
      </w:r>
    </w:p>
    <w:p w:rsidR="00E94591" w:rsidRDefault="00E94591" w:rsidP="00E94591">
      <w:pPr>
        <w:pStyle w:val="NormalWeb"/>
        <w:spacing w:line="360" w:lineRule="auto"/>
        <w:jc w:val="both"/>
        <w:rPr>
          <w:color w:val="000000"/>
        </w:rPr>
      </w:pPr>
      <w:r>
        <w:rPr>
          <w:color w:val="000000"/>
        </w:rPr>
        <w:t>Economic conditions remain mixed for JLR. Although premium automotive demand is often more resilient than the mass market, the company still faces inflation, tariffs, exchange-rate pressure and uneven regional demand, especially in China (JLR, 2025). This means JLR must protect profitability while continuing to fund transformation (JLR, 2025).</w:t>
      </w:r>
    </w:p>
    <w:p w:rsidR="003A2765" w:rsidRDefault="005B0CE0" w:rsidP="006F2D2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43600" cy="2713220"/>
            <wp:effectExtent l="12700" t="12700" r="12700" b="17780"/>
            <wp:docPr id="19402018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01843" name="Picture 1940201843"/>
                    <pic:cNvPicPr/>
                  </pic:nvPicPr>
                  <pic:blipFill>
                    <a:blip r:embed="rId9"/>
                    <a:stretch>
                      <a:fillRect/>
                    </a:stretch>
                  </pic:blipFill>
                  <pic:spPr>
                    <a:xfrm>
                      <a:off x="0" y="0"/>
                      <a:ext cx="5961588" cy="2721432"/>
                    </a:xfrm>
                    <a:prstGeom prst="rect">
                      <a:avLst/>
                    </a:prstGeom>
                    <a:ln>
                      <a:solidFill>
                        <a:prstClr val="black"/>
                      </a:solidFill>
                    </a:ln>
                  </pic:spPr>
                </pic:pic>
              </a:graphicData>
            </a:graphic>
          </wp:inline>
        </w:drawing>
      </w:r>
    </w:p>
    <w:p w:rsidR="000F6FD9" w:rsidRPr="000F6FD9" w:rsidRDefault="000F6FD9" w:rsidP="006F2D20">
      <w:pPr>
        <w:spacing w:line="360" w:lineRule="auto"/>
        <w:jc w:val="both"/>
        <w:rPr>
          <w:rFonts w:ascii="Times New Roman" w:hAnsi="Times New Roman" w:cs="Times New Roman"/>
          <w:i/>
          <w:iCs/>
          <w:color w:val="000000"/>
          <w:sz w:val="24"/>
          <w:szCs w:val="24"/>
        </w:rPr>
      </w:pPr>
      <w:r w:rsidRPr="000F6FD9">
        <w:rPr>
          <w:rFonts w:ascii="Times New Roman" w:hAnsi="Times New Roman" w:cs="Times New Roman"/>
          <w:i/>
          <w:iCs/>
          <w:color w:val="000000"/>
          <w:sz w:val="24"/>
          <w:szCs w:val="24"/>
        </w:rPr>
        <w:t>Figure 2 shows JLR’s uneven regional performance, reinforcing the view that external conditions remain mixed across its global operations (JLR, 2025, p. 28).</w:t>
      </w:r>
    </w:p>
    <w:p w:rsidR="00E94591" w:rsidRDefault="00E94591" w:rsidP="00E94591">
      <w:pPr>
        <w:pStyle w:val="NormalWeb"/>
        <w:spacing w:line="360" w:lineRule="auto"/>
        <w:jc w:val="both"/>
        <w:rPr>
          <w:color w:val="000000"/>
        </w:rPr>
      </w:pPr>
      <w:r>
        <w:rPr>
          <w:color w:val="000000"/>
        </w:rPr>
        <w:t>Socially, premium consumers increasingly expect sustainability, connectivity and personalised digital experiences rather than prestige alone (</w:t>
      </w:r>
      <w:proofErr w:type="spellStart"/>
      <w:r>
        <w:rPr>
          <w:color w:val="000000"/>
        </w:rPr>
        <w:t>Bryła</w:t>
      </w:r>
      <w:proofErr w:type="spellEnd"/>
      <w:r>
        <w:rPr>
          <w:color w:val="000000"/>
        </w:rPr>
        <w:t xml:space="preserve">, Chatterjee and </w:t>
      </w:r>
      <w:proofErr w:type="spellStart"/>
      <w:r>
        <w:rPr>
          <w:color w:val="000000"/>
        </w:rPr>
        <w:t>Ciabiada-Bryła</w:t>
      </w:r>
      <w:proofErr w:type="spellEnd"/>
      <w:r>
        <w:rPr>
          <w:color w:val="000000"/>
        </w:rPr>
        <w:t>, 2023). Technologically, competition is shifting towards batteries, software integration, over-the-air updates and AI-enabled systems (</w:t>
      </w:r>
      <w:proofErr w:type="spellStart"/>
      <w:r>
        <w:rPr>
          <w:color w:val="000000"/>
        </w:rPr>
        <w:t>Satpathy</w:t>
      </w:r>
      <w:proofErr w:type="spellEnd"/>
      <w:r>
        <w:rPr>
          <w:color w:val="000000"/>
        </w:rPr>
        <w:t xml:space="preserve"> et al., 2025). This is challenging for JLR because its traditional strengths lie more in design, brand image and product desirability than in software leadership (JLR, 2025; </w:t>
      </w:r>
      <w:proofErr w:type="spellStart"/>
      <w:r>
        <w:rPr>
          <w:color w:val="000000"/>
        </w:rPr>
        <w:t>Satpathy</w:t>
      </w:r>
      <w:proofErr w:type="spellEnd"/>
      <w:r>
        <w:rPr>
          <w:color w:val="000000"/>
        </w:rPr>
        <w:t xml:space="preserve"> et al., 2025).</w:t>
      </w:r>
    </w:p>
    <w:p w:rsidR="00E94591" w:rsidRDefault="00E94591" w:rsidP="00E94591">
      <w:pPr>
        <w:pStyle w:val="NormalWeb"/>
        <w:spacing w:line="360" w:lineRule="auto"/>
        <w:jc w:val="both"/>
        <w:rPr>
          <w:color w:val="000000"/>
        </w:rPr>
      </w:pPr>
      <w:r>
        <w:rPr>
          <w:color w:val="000000"/>
        </w:rPr>
        <w:t>Environmental pressure is also increasing, as automotive firms are expected to reduce emissions across products, operations and supply chains (</w:t>
      </w:r>
      <w:proofErr w:type="spellStart"/>
      <w:r>
        <w:rPr>
          <w:color w:val="000000"/>
        </w:rPr>
        <w:t>Yüksel</w:t>
      </w:r>
      <w:proofErr w:type="spellEnd"/>
      <w:r>
        <w:rPr>
          <w:color w:val="000000"/>
        </w:rPr>
        <w:t xml:space="preserve">, 2012; JLR, 2025). JLR’s Reimagine strategy reflects this shift through its carbon net zero ambition, but this also increases investment and execution demands (JLR, 2025). Overall, the PESTEL analysis shows that JLR operates in an environment where regulation, technology and sustainability are reshaping the basis of competition (JLR, 2025; </w:t>
      </w:r>
      <w:proofErr w:type="spellStart"/>
      <w:r>
        <w:rPr>
          <w:color w:val="000000"/>
        </w:rPr>
        <w:t>Satpathy</w:t>
      </w:r>
      <w:proofErr w:type="spellEnd"/>
      <w:r>
        <w:rPr>
          <w:color w:val="000000"/>
        </w:rPr>
        <w:t xml:space="preserve"> et al., 2025).</w:t>
      </w:r>
    </w:p>
    <w:p w:rsidR="00E94591" w:rsidRDefault="00E94591" w:rsidP="00E94591">
      <w:pPr>
        <w:pStyle w:val="NormalWeb"/>
        <w:spacing w:line="360" w:lineRule="auto"/>
        <w:jc w:val="both"/>
        <w:rPr>
          <w:color w:val="000000"/>
        </w:rPr>
      </w:pPr>
      <w:r>
        <w:rPr>
          <w:color w:val="000000"/>
        </w:rPr>
        <w:t xml:space="preserve">Porter’s Five Forces assesses rivalry, buyer power, supplier power, substitution and new entrants within an industry (Porter, 2008). Rivalry is high because JLR competes with BMW, Mercedes-Benz and Audi, while also facing EV-focused challengers with strong technology-led positioning (Porter, 2008; </w:t>
      </w:r>
      <w:proofErr w:type="spellStart"/>
      <w:r>
        <w:rPr>
          <w:color w:val="000000"/>
        </w:rPr>
        <w:t>Satpathy</w:t>
      </w:r>
      <w:proofErr w:type="spellEnd"/>
      <w:r>
        <w:rPr>
          <w:color w:val="000000"/>
        </w:rPr>
        <w:t xml:space="preserve"> et al., 2025). Buyer power is rising because premium consumers have more choice and higher expectations, while supplier power is significant in batteries, semiconductors </w:t>
      </w:r>
      <w:r>
        <w:rPr>
          <w:color w:val="000000"/>
        </w:rPr>
        <w:lastRenderedPageBreak/>
        <w:t xml:space="preserve">and specialist software where dependence on concentrated suppliers reduces control and resilience (JLR, 2025). The threat of new entrants is moderate and substitution is lower, but together the five forces show that JLR competes in an attractive yet increasingly unforgiving industry (Porter, 2008; JLR, </w:t>
      </w:r>
      <w:r w:rsidRPr="00E31F91">
        <w:rPr>
          <w:color w:val="000000"/>
        </w:rPr>
        <w:t>2025</w:t>
      </w:r>
      <w:r w:rsidR="00E31F91">
        <w:rPr>
          <w:color w:val="000000"/>
        </w:rPr>
        <w:t xml:space="preserve">). </w:t>
      </w:r>
      <w:r w:rsidR="00E31F91" w:rsidRPr="00E31F91">
        <w:rPr>
          <w:color w:val="000000"/>
        </w:rPr>
        <w:t>See Appendix 1.4</w:t>
      </w:r>
      <w:r w:rsidRPr="00E31F91">
        <w:rPr>
          <w:color w:val="000000"/>
        </w:rPr>
        <w:t>.</w:t>
      </w:r>
    </w:p>
    <w:p w:rsidR="00312A17" w:rsidRPr="005D4292" w:rsidRDefault="00000000" w:rsidP="006F2D20">
      <w:pPr>
        <w:pStyle w:val="Heading2"/>
        <w:spacing w:line="360" w:lineRule="auto"/>
        <w:rPr>
          <w:rFonts w:ascii="Times New Roman" w:hAnsi="Times New Roman" w:cs="Times New Roman"/>
          <w:sz w:val="28"/>
          <w:szCs w:val="28"/>
        </w:rPr>
      </w:pPr>
      <w:bookmarkStart w:id="6" w:name="_Toc227676754"/>
      <w:r w:rsidRPr="005D4292">
        <w:rPr>
          <w:rFonts w:ascii="Times New Roman" w:hAnsi="Times New Roman" w:cs="Times New Roman"/>
          <w:sz w:val="28"/>
          <w:szCs w:val="28"/>
        </w:rPr>
        <w:t xml:space="preserve">Internal </w:t>
      </w:r>
      <w:r w:rsidR="00952D65" w:rsidRPr="005D4292">
        <w:rPr>
          <w:rFonts w:ascii="Times New Roman" w:hAnsi="Times New Roman" w:cs="Times New Roman"/>
          <w:sz w:val="28"/>
          <w:szCs w:val="28"/>
        </w:rPr>
        <w:t>E</w:t>
      </w:r>
      <w:r w:rsidRPr="005D4292">
        <w:rPr>
          <w:rFonts w:ascii="Times New Roman" w:hAnsi="Times New Roman" w:cs="Times New Roman"/>
          <w:sz w:val="28"/>
          <w:szCs w:val="28"/>
        </w:rPr>
        <w:t xml:space="preserve">nvironmental </w:t>
      </w:r>
      <w:r w:rsidR="00952D65" w:rsidRPr="005D4292">
        <w:rPr>
          <w:rFonts w:ascii="Times New Roman" w:hAnsi="Times New Roman" w:cs="Times New Roman"/>
          <w:sz w:val="28"/>
          <w:szCs w:val="28"/>
        </w:rPr>
        <w:t>A</w:t>
      </w:r>
      <w:r w:rsidRPr="005D4292">
        <w:rPr>
          <w:rFonts w:ascii="Times New Roman" w:hAnsi="Times New Roman" w:cs="Times New Roman"/>
          <w:sz w:val="28"/>
          <w:szCs w:val="28"/>
        </w:rPr>
        <w:t xml:space="preserve">udit: SWOT, VRIO, BCG and </w:t>
      </w:r>
      <w:r w:rsidR="00952D65" w:rsidRPr="005D4292">
        <w:rPr>
          <w:rFonts w:ascii="Times New Roman" w:hAnsi="Times New Roman" w:cs="Times New Roman"/>
          <w:sz w:val="28"/>
          <w:szCs w:val="28"/>
        </w:rPr>
        <w:t>V</w:t>
      </w:r>
      <w:r w:rsidRPr="005D4292">
        <w:rPr>
          <w:rFonts w:ascii="Times New Roman" w:hAnsi="Times New Roman" w:cs="Times New Roman"/>
          <w:sz w:val="28"/>
          <w:szCs w:val="28"/>
        </w:rPr>
        <w:t xml:space="preserve">alue </w:t>
      </w:r>
      <w:r w:rsidR="00952D65" w:rsidRPr="005D4292">
        <w:rPr>
          <w:rFonts w:ascii="Times New Roman" w:hAnsi="Times New Roman" w:cs="Times New Roman"/>
          <w:sz w:val="28"/>
          <w:szCs w:val="28"/>
        </w:rPr>
        <w:t>C</w:t>
      </w:r>
      <w:r w:rsidRPr="005D4292">
        <w:rPr>
          <w:rFonts w:ascii="Times New Roman" w:hAnsi="Times New Roman" w:cs="Times New Roman"/>
          <w:sz w:val="28"/>
          <w:szCs w:val="28"/>
        </w:rPr>
        <w:t>hain</w:t>
      </w:r>
      <w:bookmarkEnd w:id="6"/>
    </w:p>
    <w:p w:rsidR="00E94591" w:rsidRDefault="00E94591" w:rsidP="00E94591">
      <w:pPr>
        <w:pStyle w:val="NormalWeb"/>
        <w:spacing w:line="360" w:lineRule="auto"/>
        <w:jc w:val="both"/>
        <w:rPr>
          <w:color w:val="000000"/>
        </w:rPr>
      </w:pPr>
      <w:r>
        <w:rPr>
          <w:color w:val="000000"/>
        </w:rPr>
        <w:t>SWOT identifies strengths, weaknesses, opportunities and threats within a strategic context (</w:t>
      </w:r>
      <w:proofErr w:type="spellStart"/>
      <w:r>
        <w:rPr>
          <w:color w:val="000000"/>
        </w:rPr>
        <w:t>Gürel</w:t>
      </w:r>
      <w:proofErr w:type="spellEnd"/>
      <w:r>
        <w:rPr>
          <w:color w:val="000000"/>
        </w:rPr>
        <w:t xml:space="preserve"> and Tat, 2017). JLR’s strengths include brand equity, design heritage, premium pricing power and the strong performance of Range Rover and Defender, while its weaknesses include portfolio concentration, smaller scale than key rivals and heavy electrification costs (JLR, 2025). </w:t>
      </w:r>
      <w:r w:rsidR="007E37C1" w:rsidRPr="007E37C1">
        <w:rPr>
          <w:color w:val="000000"/>
        </w:rPr>
        <w:t>Opportunities exist in premium EV growth, but threats remain from stronger competitors, uneven EV adoption and execution risk around Jaguar’s repositioning; this means JLR’s strongest current advantage also creates strategic dependence, since transformation is being financed by a relatively narrow set of successful models (</w:t>
      </w:r>
      <w:proofErr w:type="spellStart"/>
      <w:r w:rsidR="007E37C1" w:rsidRPr="007E37C1">
        <w:rPr>
          <w:color w:val="000000"/>
        </w:rPr>
        <w:t>Satpathy</w:t>
      </w:r>
      <w:proofErr w:type="spellEnd"/>
      <w:r w:rsidR="007E37C1" w:rsidRPr="007E37C1">
        <w:rPr>
          <w:color w:val="000000"/>
        </w:rPr>
        <w:t xml:space="preserve"> et al., 2025; JLR, </w:t>
      </w:r>
      <w:r w:rsidR="007E37C1" w:rsidRPr="00E31F91">
        <w:rPr>
          <w:color w:val="000000"/>
        </w:rPr>
        <w:t>2025</w:t>
      </w:r>
      <w:r w:rsidR="00E31F91">
        <w:rPr>
          <w:color w:val="000000"/>
        </w:rPr>
        <w:t>). S</w:t>
      </w:r>
      <w:r w:rsidR="00E31F91" w:rsidRPr="00E31F91">
        <w:rPr>
          <w:color w:val="000000"/>
        </w:rPr>
        <w:t>ee Appendix 1.1</w:t>
      </w:r>
      <w:r w:rsidR="007E37C1" w:rsidRPr="00E31F91">
        <w:rPr>
          <w:color w:val="000000"/>
        </w:rPr>
        <w:t>.</w:t>
      </w:r>
    </w:p>
    <w:p w:rsidR="00E94591" w:rsidRDefault="00E94591" w:rsidP="00E94591">
      <w:pPr>
        <w:pStyle w:val="NormalWeb"/>
        <w:spacing w:line="360" w:lineRule="auto"/>
        <w:jc w:val="both"/>
        <w:rPr>
          <w:color w:val="000000"/>
        </w:rPr>
      </w:pPr>
      <w:r>
        <w:rPr>
          <w:color w:val="000000"/>
        </w:rPr>
        <w:t xml:space="preserve">VRIO evaluates whether resources are valuable, rare, difficult to imitate and organised to create sustained advantage (Barney, 1991). JLR’s brand equity, design capability and Tata-backed support are valuable and partly rare, but these strengths may be less defensible in a market </w:t>
      </w:r>
      <w:r w:rsidRPr="00E31F91">
        <w:rPr>
          <w:color w:val="000000"/>
        </w:rPr>
        <w:t xml:space="preserve">increasingly shaped by batteries, software and digital ecosystems (Barney, 1991; </w:t>
      </w:r>
      <w:proofErr w:type="spellStart"/>
      <w:r w:rsidRPr="00E31F91">
        <w:rPr>
          <w:color w:val="000000"/>
        </w:rPr>
        <w:t>Satpathy</w:t>
      </w:r>
      <w:proofErr w:type="spellEnd"/>
      <w:r w:rsidRPr="00E31F91">
        <w:rPr>
          <w:color w:val="000000"/>
        </w:rPr>
        <w:t xml:space="preserve"> et al., 2025). JLR therefore needs to convert heritage-based strengths into future-relevant capabilities (JLR, 2025</w:t>
      </w:r>
      <w:r w:rsidR="00E31F91">
        <w:rPr>
          <w:color w:val="000000"/>
        </w:rPr>
        <w:t>). S</w:t>
      </w:r>
      <w:r w:rsidR="00E31F91" w:rsidRPr="00E31F91">
        <w:rPr>
          <w:color w:val="000000"/>
        </w:rPr>
        <w:t>ee Appendix 1.2</w:t>
      </w:r>
      <w:r w:rsidRPr="00E31F91">
        <w:rPr>
          <w:color w:val="000000"/>
        </w:rPr>
        <w:t>.</w:t>
      </w:r>
    </w:p>
    <w:p w:rsidR="00E94591" w:rsidRDefault="00E94591" w:rsidP="00E94591">
      <w:pPr>
        <w:pStyle w:val="NormalWeb"/>
        <w:spacing w:line="360" w:lineRule="auto"/>
        <w:jc w:val="both"/>
        <w:rPr>
          <w:color w:val="000000"/>
        </w:rPr>
      </w:pPr>
      <w:r>
        <w:rPr>
          <w:color w:val="000000"/>
        </w:rPr>
        <w:t xml:space="preserve">The BCG matrix categorises business units according to market growth and market share (Henderson, 1970). In JLR’s portfolio, Range Rover and Defender can be seen as the strongest performers because they generate cash and support transformation, whereas Jaguar is more of a question mark because its electric repositioning remains unproven commercially (JLR, 2025). This suggests JLR should invest </w:t>
      </w:r>
      <w:r w:rsidRPr="00E31F91">
        <w:rPr>
          <w:color w:val="000000"/>
        </w:rPr>
        <w:t>selectively and use stronger brands to support transition elsewhere in the business (Henderson, 1970; JLR, 2025</w:t>
      </w:r>
      <w:r w:rsidR="00E31F91">
        <w:rPr>
          <w:color w:val="000000"/>
        </w:rPr>
        <w:t>).</w:t>
      </w:r>
      <w:r w:rsidR="00E31F91" w:rsidRPr="00E31F91">
        <w:rPr>
          <w:color w:val="000000"/>
        </w:rPr>
        <w:t xml:space="preserve"> </w:t>
      </w:r>
      <w:r w:rsidR="00E31F91">
        <w:rPr>
          <w:color w:val="000000"/>
        </w:rPr>
        <w:t>S</w:t>
      </w:r>
      <w:r w:rsidR="00E31F91" w:rsidRPr="00E31F91">
        <w:rPr>
          <w:color w:val="000000"/>
        </w:rPr>
        <w:t>ee Appendix 1.3</w:t>
      </w:r>
      <w:r w:rsidRPr="00E31F91">
        <w:rPr>
          <w:color w:val="000000"/>
        </w:rPr>
        <w:t>.</w:t>
      </w:r>
    </w:p>
    <w:p w:rsidR="00E94591" w:rsidRDefault="00E94591" w:rsidP="00E94591">
      <w:pPr>
        <w:pStyle w:val="NormalWeb"/>
        <w:spacing w:line="360" w:lineRule="auto"/>
        <w:jc w:val="both"/>
        <w:rPr>
          <w:color w:val="000000"/>
        </w:rPr>
      </w:pPr>
      <w:r>
        <w:rPr>
          <w:color w:val="000000"/>
        </w:rPr>
        <w:t xml:space="preserve">Value chain analysis examines how value is created across activities such as sourcing, production, marketing and after-sales service (Porter, 1985). JLR creates value through design, brand storytelling, premium manufacturing and customer experience, but it remains vulnerable in upstream activities such as batteries, semiconductors and software systems (JLR, 2025). This </w:t>
      </w:r>
      <w:r>
        <w:rPr>
          <w:color w:val="000000"/>
        </w:rPr>
        <w:lastRenderedPageBreak/>
        <w:t>suggests the company should protect differentiation in customer-facing activities while strengthening resilience in strategically sensitive parts of the chain (Porter, 1985; JLR, 2025).</w:t>
      </w:r>
    </w:p>
    <w:p w:rsidR="003A2765" w:rsidRDefault="00C06446" w:rsidP="003A2765">
      <w:pPr>
        <w:spacing w:line="360" w:lineRule="auto"/>
        <w:jc w:val="both"/>
        <w:rPr>
          <w:rStyle w:val="Strong"/>
          <w:rFonts w:ascii="Times New Roman" w:hAnsi="Times New Roman" w:cs="Times New Roman"/>
          <w:i/>
          <w:iCs/>
          <w:color w:val="000000"/>
          <w:sz w:val="24"/>
          <w:szCs w:val="24"/>
        </w:rPr>
      </w:pPr>
      <w:r>
        <w:rPr>
          <w:rFonts w:ascii="Times New Roman" w:hAnsi="Times New Roman" w:cs="Times New Roman"/>
          <w:noProof/>
          <w:sz w:val="24"/>
          <w:szCs w:val="24"/>
        </w:rPr>
        <w:drawing>
          <wp:inline distT="0" distB="0" distL="0" distR="0">
            <wp:extent cx="5939560" cy="4309043"/>
            <wp:effectExtent l="12700" t="12700" r="17145" b="9525"/>
            <wp:docPr id="16941669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166901" name="Picture 1694166901"/>
                    <pic:cNvPicPr/>
                  </pic:nvPicPr>
                  <pic:blipFill>
                    <a:blip r:embed="rId10"/>
                    <a:stretch>
                      <a:fillRect/>
                    </a:stretch>
                  </pic:blipFill>
                  <pic:spPr>
                    <a:xfrm>
                      <a:off x="0" y="0"/>
                      <a:ext cx="6098532" cy="4424374"/>
                    </a:xfrm>
                    <a:prstGeom prst="rect">
                      <a:avLst/>
                    </a:prstGeom>
                    <a:ln>
                      <a:solidFill>
                        <a:prstClr val="black"/>
                      </a:solidFill>
                    </a:ln>
                  </pic:spPr>
                </pic:pic>
              </a:graphicData>
            </a:graphic>
          </wp:inline>
        </w:drawing>
      </w:r>
    </w:p>
    <w:p w:rsidR="000F6FD9" w:rsidRPr="000F6FD9" w:rsidRDefault="000F6FD9" w:rsidP="000F6FD9">
      <w:pPr>
        <w:rPr>
          <w:rFonts w:ascii="Times New Roman" w:hAnsi="Times New Roman" w:cs="Times New Roman"/>
          <w:i/>
          <w:iCs/>
          <w:sz w:val="24"/>
          <w:szCs w:val="24"/>
        </w:rPr>
      </w:pPr>
      <w:r w:rsidRPr="000F6FD9">
        <w:rPr>
          <w:rFonts w:ascii="Times New Roman" w:hAnsi="Times New Roman" w:cs="Times New Roman"/>
          <w:i/>
          <w:iCs/>
          <w:sz w:val="24"/>
          <w:szCs w:val="24"/>
        </w:rPr>
        <w:t>Figure 3 shows JLR’s sales are concentrated in Range Rover and Defender, supporting the view that profitability depends on a narrow group of high-performing brands (JLR, 2025, p. 29).</w:t>
      </w:r>
    </w:p>
    <w:p w:rsidR="00312A17" w:rsidRPr="00C54FE1" w:rsidRDefault="00000000" w:rsidP="006F2D20">
      <w:pPr>
        <w:pStyle w:val="Heading1"/>
        <w:spacing w:before="80" w:after="80" w:line="360" w:lineRule="auto"/>
        <w:jc w:val="both"/>
        <w:rPr>
          <w:rFonts w:ascii="Times New Roman" w:hAnsi="Times New Roman" w:cs="Times New Roman"/>
          <w:color w:val="000000" w:themeColor="text1"/>
        </w:rPr>
      </w:pPr>
      <w:bookmarkStart w:id="7" w:name="_Toc227676755"/>
      <w:r w:rsidRPr="00C54FE1">
        <w:rPr>
          <w:rFonts w:ascii="Times New Roman" w:hAnsi="Times New Roman" w:cs="Times New Roman"/>
          <w:color w:val="000000" w:themeColor="text1"/>
        </w:rPr>
        <w:t xml:space="preserve">Strategy </w:t>
      </w:r>
      <w:r w:rsidR="00952D65">
        <w:rPr>
          <w:rFonts w:ascii="Times New Roman" w:hAnsi="Times New Roman" w:cs="Times New Roman"/>
          <w:color w:val="000000" w:themeColor="text1"/>
        </w:rPr>
        <w:t>F</w:t>
      </w:r>
      <w:r w:rsidRPr="00C54FE1">
        <w:rPr>
          <w:rFonts w:ascii="Times New Roman" w:hAnsi="Times New Roman" w:cs="Times New Roman"/>
          <w:color w:val="000000" w:themeColor="text1"/>
        </w:rPr>
        <w:t>ormulation</w:t>
      </w:r>
      <w:bookmarkEnd w:id="7"/>
    </w:p>
    <w:p w:rsidR="006F2D20" w:rsidRPr="006F2D20" w:rsidRDefault="00635EC0" w:rsidP="006F2D20">
      <w:pPr>
        <w:spacing w:line="360" w:lineRule="auto"/>
        <w:jc w:val="both"/>
        <w:rPr>
          <w:rFonts w:ascii="Times New Roman" w:hAnsi="Times New Roman" w:cs="Times New Roman"/>
          <w:sz w:val="24"/>
          <w:szCs w:val="24"/>
        </w:rPr>
      </w:pPr>
      <w:r w:rsidRPr="00635EC0">
        <w:rPr>
          <w:rFonts w:ascii="Times New Roman" w:hAnsi="Times New Roman" w:cs="Times New Roman"/>
          <w:color w:val="000000"/>
          <w:sz w:val="24"/>
          <w:szCs w:val="24"/>
        </w:rPr>
        <w:t xml:space="preserve">Strategy formulation for JLR draws on the external and internal analyses above to evaluate three strategic options before recommending the most viable choice (Whittington et al., 2023). </w:t>
      </w:r>
      <w:r w:rsidR="00B62C0C" w:rsidRPr="00635EC0">
        <w:rPr>
          <w:rFonts w:ascii="Times New Roman" w:hAnsi="Times New Roman" w:cs="Times New Roman"/>
          <w:color w:val="000000"/>
          <w:sz w:val="24"/>
          <w:szCs w:val="24"/>
        </w:rPr>
        <w:t>The</w:t>
      </w:r>
      <w:r w:rsidR="00B62C0C" w:rsidRPr="00B62C0C">
        <w:rPr>
          <w:rFonts w:ascii="Times New Roman" w:hAnsi="Times New Roman" w:cs="Times New Roman"/>
          <w:color w:val="000000"/>
          <w:sz w:val="24"/>
          <w:szCs w:val="24"/>
        </w:rPr>
        <w:t xml:space="preserve"> aim is to identify a strategy that aligns JLR’s resources and capabilities with the pressures of the premium automotive market</w:t>
      </w:r>
      <w:r w:rsidR="00B62C0C">
        <w:rPr>
          <w:rFonts w:ascii="Times New Roman" w:hAnsi="Times New Roman" w:cs="Times New Roman"/>
          <w:color w:val="000000"/>
          <w:sz w:val="24"/>
          <w:szCs w:val="24"/>
        </w:rPr>
        <w:t>.</w:t>
      </w:r>
    </w:p>
    <w:p w:rsidR="006F2D20" w:rsidRDefault="006F2D20" w:rsidP="006F2D20">
      <w:pPr>
        <w:spacing w:line="360" w:lineRule="auto"/>
        <w:jc w:val="both"/>
        <w:rPr>
          <w:rFonts w:ascii="Times New Roman" w:hAnsi="Times New Roman" w:cs="Times New Roman"/>
          <w:sz w:val="24"/>
          <w:szCs w:val="24"/>
        </w:rPr>
      </w:pPr>
      <w:r w:rsidRPr="006F2D20">
        <w:rPr>
          <w:rFonts w:ascii="Times New Roman" w:hAnsi="Times New Roman" w:cs="Times New Roman"/>
          <w:sz w:val="24"/>
          <w:szCs w:val="24"/>
        </w:rPr>
        <w:t xml:space="preserve">The first option is rapid full electrification. This would align JLR strongly with regulatory trends and long-term </w:t>
      </w:r>
      <w:proofErr w:type="spellStart"/>
      <w:r w:rsidRPr="006F2D20">
        <w:rPr>
          <w:rFonts w:ascii="Times New Roman" w:hAnsi="Times New Roman" w:cs="Times New Roman"/>
          <w:sz w:val="24"/>
          <w:szCs w:val="24"/>
        </w:rPr>
        <w:t>decarbonisation</w:t>
      </w:r>
      <w:proofErr w:type="spellEnd"/>
      <w:r w:rsidRPr="006F2D20">
        <w:rPr>
          <w:rFonts w:ascii="Times New Roman" w:hAnsi="Times New Roman" w:cs="Times New Roman"/>
          <w:sz w:val="24"/>
          <w:szCs w:val="24"/>
        </w:rPr>
        <w:t xml:space="preserve"> pressures while reinforcing Jaguar’s repositioning as a modern electric luxury brand (International Energy Agency, 2024; </w:t>
      </w:r>
      <w:proofErr w:type="spellStart"/>
      <w:r w:rsidRPr="006F2D20">
        <w:rPr>
          <w:rFonts w:ascii="Times New Roman" w:hAnsi="Times New Roman" w:cs="Times New Roman"/>
          <w:sz w:val="24"/>
          <w:szCs w:val="24"/>
        </w:rPr>
        <w:t>Satpathy</w:t>
      </w:r>
      <w:proofErr w:type="spellEnd"/>
      <w:r w:rsidRPr="006F2D20">
        <w:rPr>
          <w:rFonts w:ascii="Times New Roman" w:hAnsi="Times New Roman" w:cs="Times New Roman"/>
          <w:sz w:val="24"/>
          <w:szCs w:val="24"/>
        </w:rPr>
        <w:t xml:space="preserve"> et al., 2025). </w:t>
      </w:r>
      <w:r w:rsidR="00B62C0C" w:rsidRPr="00B62C0C">
        <w:rPr>
          <w:rFonts w:ascii="Times New Roman" w:hAnsi="Times New Roman" w:cs="Times New Roman"/>
          <w:color w:val="000000"/>
          <w:sz w:val="24"/>
          <w:szCs w:val="24"/>
        </w:rPr>
        <w:t xml:space="preserve">It could also give the company a clearer narrative. </w:t>
      </w:r>
      <w:r w:rsidRPr="006F2D20">
        <w:rPr>
          <w:rFonts w:ascii="Times New Roman" w:hAnsi="Times New Roman" w:cs="Times New Roman"/>
          <w:sz w:val="24"/>
          <w:szCs w:val="24"/>
        </w:rPr>
        <w:t xml:space="preserve">However, it carries major risk. EV adoption remains uneven across markets, charging ecosystems vary and the investment required is substantial (JLR, 2025). </w:t>
      </w:r>
      <w:r w:rsidRPr="006F2D20">
        <w:rPr>
          <w:rFonts w:ascii="Times New Roman" w:hAnsi="Times New Roman" w:cs="Times New Roman"/>
          <w:sz w:val="24"/>
          <w:szCs w:val="24"/>
        </w:rPr>
        <w:lastRenderedPageBreak/>
        <w:t>For a company of JLR’s size, moving too quickly could weaken profitability before the new model mix is mature enough to support it. There is also a risk of placing too much weight on Jaguar before the repositioning has been validated commercially</w:t>
      </w:r>
      <w:r w:rsidR="00D93B5B">
        <w:rPr>
          <w:rFonts w:ascii="Times New Roman" w:hAnsi="Times New Roman" w:cs="Times New Roman"/>
          <w:sz w:val="24"/>
          <w:szCs w:val="24"/>
        </w:rPr>
        <w:t xml:space="preserve">. </w:t>
      </w:r>
      <w:r w:rsidR="00D93B5B" w:rsidRPr="00D93B5B">
        <w:rPr>
          <w:rFonts w:ascii="Times New Roman" w:hAnsi="Times New Roman" w:cs="Times New Roman"/>
          <w:color w:val="000000"/>
          <w:sz w:val="24"/>
          <w:szCs w:val="24"/>
        </w:rPr>
        <w:t xml:space="preserve">This makes rapid electrification strategically attractive in principle, but less suitable for JLR because the company lacks the scale cushion enjoyed by some larger premium rivals (JLR, 2025; </w:t>
      </w:r>
      <w:proofErr w:type="spellStart"/>
      <w:r w:rsidR="00D93B5B" w:rsidRPr="00D93B5B">
        <w:rPr>
          <w:rFonts w:ascii="Times New Roman" w:hAnsi="Times New Roman" w:cs="Times New Roman"/>
          <w:color w:val="000000"/>
          <w:sz w:val="24"/>
          <w:szCs w:val="24"/>
        </w:rPr>
        <w:t>Satpathy</w:t>
      </w:r>
      <w:proofErr w:type="spellEnd"/>
      <w:r w:rsidR="00D93B5B" w:rsidRPr="00D93B5B">
        <w:rPr>
          <w:rFonts w:ascii="Times New Roman" w:hAnsi="Times New Roman" w:cs="Times New Roman"/>
          <w:color w:val="000000"/>
          <w:sz w:val="24"/>
          <w:szCs w:val="24"/>
        </w:rPr>
        <w:t xml:space="preserve"> et al., 2025)</w:t>
      </w:r>
      <w:r w:rsidRPr="00D93B5B">
        <w:rPr>
          <w:rFonts w:ascii="Times New Roman" w:hAnsi="Times New Roman" w:cs="Times New Roman"/>
          <w:sz w:val="24"/>
          <w:szCs w:val="24"/>
        </w:rPr>
        <w:t>.</w:t>
      </w:r>
    </w:p>
    <w:p w:rsidR="005B0CE0" w:rsidRDefault="005B0CE0" w:rsidP="005B0CE0">
      <w:pPr>
        <w:spacing w:line="360" w:lineRule="auto"/>
        <w:jc w:val="both"/>
        <w:rPr>
          <w:rFonts w:ascii="Times New Roman" w:hAnsi="Times New Roman" w:cs="Times New Roman"/>
          <w:color w:val="000000"/>
          <w:sz w:val="24"/>
          <w:szCs w:val="24"/>
        </w:rPr>
      </w:pPr>
      <w:r w:rsidRPr="00DA6535">
        <w:rPr>
          <w:rFonts w:ascii="Times New Roman" w:hAnsi="Times New Roman" w:cs="Times New Roman"/>
          <w:color w:val="000000"/>
          <w:sz w:val="24"/>
          <w:szCs w:val="24"/>
        </w:rPr>
        <w:t>The second option is to defend combustion-led profitability for longer. This could protect short-term margins by relying on continued demand for hybrid and combustion vehicles in less mature EV markets</w:t>
      </w:r>
      <w:r w:rsidR="003D024D">
        <w:rPr>
          <w:rFonts w:ascii="Times New Roman" w:hAnsi="Times New Roman" w:cs="Times New Roman"/>
          <w:color w:val="000000"/>
          <w:sz w:val="24"/>
          <w:szCs w:val="24"/>
        </w:rPr>
        <w:t xml:space="preserve"> </w:t>
      </w:r>
      <w:r w:rsidR="003D024D" w:rsidRPr="00DA6535">
        <w:rPr>
          <w:rFonts w:ascii="Times New Roman" w:hAnsi="Times New Roman" w:cs="Times New Roman"/>
          <w:color w:val="000000"/>
          <w:sz w:val="24"/>
          <w:szCs w:val="24"/>
        </w:rPr>
        <w:t>(JLR, 2025)</w:t>
      </w:r>
      <w:r w:rsidRPr="00DA6535">
        <w:rPr>
          <w:rFonts w:ascii="Times New Roman" w:hAnsi="Times New Roman" w:cs="Times New Roman"/>
          <w:color w:val="000000"/>
          <w:sz w:val="24"/>
          <w:szCs w:val="24"/>
        </w:rPr>
        <w:t xml:space="preserve">. It would also use the pricing power JLR still enjoys in premium SUVs. However, this is the weakest option. </w:t>
      </w:r>
      <w:r w:rsidRPr="00DA6535">
        <w:rPr>
          <w:rFonts w:ascii="Times New Roman" w:hAnsi="Times New Roman" w:cs="Times New Roman"/>
          <w:sz w:val="24"/>
          <w:szCs w:val="24"/>
        </w:rPr>
        <w:t xml:space="preserve">It risks regulatory misalignment, slows capability development in future technologies and may leave JLR reacting to change rather than shaping it (Porter, 2008; Whittington et al., 2023). It would also reinforce the impression that JLR is financing the future without fully </w:t>
      </w:r>
      <w:r w:rsidRPr="00D93B5B">
        <w:rPr>
          <w:rFonts w:ascii="Times New Roman" w:hAnsi="Times New Roman" w:cs="Times New Roman"/>
          <w:sz w:val="24"/>
          <w:szCs w:val="24"/>
        </w:rPr>
        <w:t>building it.</w:t>
      </w:r>
      <w:r w:rsidR="00D93B5B" w:rsidRPr="00D93B5B">
        <w:rPr>
          <w:rFonts w:ascii="Times New Roman" w:hAnsi="Times New Roman" w:cs="Times New Roman"/>
          <w:sz w:val="24"/>
          <w:szCs w:val="24"/>
        </w:rPr>
        <w:t xml:space="preserve"> </w:t>
      </w:r>
      <w:r w:rsidR="00D93B5B" w:rsidRPr="00D93B5B">
        <w:rPr>
          <w:rFonts w:ascii="Times New Roman" w:hAnsi="Times New Roman" w:cs="Times New Roman"/>
          <w:color w:val="000000"/>
          <w:sz w:val="24"/>
          <w:szCs w:val="24"/>
        </w:rPr>
        <w:t>In effect, this option protects current earnings but risks weakening JLR’s long-term ability to compete on the capabilities that will define premium automotive value in future (Porter, 2008; Whittington et al., 2023).</w:t>
      </w:r>
    </w:p>
    <w:p w:rsidR="00D93B5B" w:rsidRDefault="00D93B5B" w:rsidP="00D93B5B">
      <w:pPr>
        <w:spacing w:line="360" w:lineRule="auto"/>
        <w:jc w:val="both"/>
        <w:rPr>
          <w:rFonts w:ascii="Times New Roman" w:hAnsi="Times New Roman" w:cs="Times New Roman"/>
          <w:sz w:val="24"/>
          <w:szCs w:val="24"/>
        </w:rPr>
      </w:pPr>
      <w:r w:rsidRPr="006F2D20">
        <w:rPr>
          <w:rFonts w:ascii="Times New Roman" w:hAnsi="Times New Roman" w:cs="Times New Roman"/>
          <w:sz w:val="24"/>
          <w:szCs w:val="24"/>
        </w:rPr>
        <w:t>The third option is a phased dual-powertrain strategy, combining selective continuation of profitable hybrid and combustion models with accelerated EV investment</w:t>
      </w:r>
      <w:r>
        <w:rPr>
          <w:rFonts w:ascii="Times New Roman" w:hAnsi="Times New Roman" w:cs="Times New Roman"/>
          <w:sz w:val="24"/>
          <w:szCs w:val="24"/>
        </w:rPr>
        <w:t xml:space="preserve"> </w:t>
      </w:r>
      <w:r w:rsidRPr="006F2D20">
        <w:rPr>
          <w:rFonts w:ascii="Times New Roman" w:hAnsi="Times New Roman" w:cs="Times New Roman"/>
          <w:sz w:val="24"/>
          <w:szCs w:val="24"/>
        </w:rPr>
        <w:t xml:space="preserve">(JLR, 2025). This is the most viable </w:t>
      </w:r>
      <w:r w:rsidRPr="007E37C1">
        <w:rPr>
          <w:rFonts w:ascii="Times New Roman" w:hAnsi="Times New Roman" w:cs="Times New Roman"/>
          <w:sz w:val="24"/>
          <w:szCs w:val="24"/>
        </w:rPr>
        <w:t xml:space="preserve">approach because it preserves cash flow, reduces transition risk and allows JLR to adapt at a pace reflecting regional market differences (International Energy Agency, 2024). </w:t>
      </w:r>
      <w:r w:rsidR="007E37C1" w:rsidRPr="007E37C1">
        <w:rPr>
          <w:rFonts w:ascii="Times New Roman" w:hAnsi="Times New Roman" w:cs="Times New Roman"/>
          <w:color w:val="000000"/>
          <w:sz w:val="24"/>
          <w:szCs w:val="24"/>
        </w:rPr>
        <w:t>It also fits the company’s current strengths more closely, since JLR’s competitive advantage still lies mainly in premium SUVs, brand equity and pricing power rather than EV first-mover leadership; compared with full electrification, it offers greater financial flexibility, and compared with prolonged combustion dependence, it better supports capability development and regulatory alignment (Barney, 199</w:t>
      </w:r>
      <w:r w:rsidR="007E37C1">
        <w:rPr>
          <w:rFonts w:ascii="Times New Roman" w:hAnsi="Times New Roman" w:cs="Times New Roman"/>
          <w:color w:val="000000"/>
          <w:sz w:val="24"/>
          <w:szCs w:val="24"/>
        </w:rPr>
        <w:t>1;</w:t>
      </w:r>
      <w:r w:rsidR="007E37C1" w:rsidRPr="007E37C1">
        <w:rPr>
          <w:rFonts w:ascii="Times New Roman" w:hAnsi="Times New Roman" w:cs="Times New Roman"/>
          <w:color w:val="000000"/>
          <w:sz w:val="24"/>
          <w:szCs w:val="24"/>
        </w:rPr>
        <w:t xml:space="preserve"> Whittington et al., 2023).</w:t>
      </w:r>
    </w:p>
    <w:p w:rsidR="00D93B5B" w:rsidRDefault="00D93B5B" w:rsidP="00D93B5B">
      <w:pPr>
        <w:spacing w:line="360" w:lineRule="auto"/>
        <w:jc w:val="both"/>
        <w:rPr>
          <w:rFonts w:ascii="Times New Roman" w:hAnsi="Times New Roman" w:cs="Times New Roman"/>
          <w:color w:val="000000"/>
          <w:sz w:val="24"/>
          <w:szCs w:val="24"/>
        </w:rPr>
      </w:pPr>
      <w:r w:rsidRPr="0047005C">
        <w:rPr>
          <w:rFonts w:ascii="Times New Roman" w:hAnsi="Times New Roman" w:cs="Times New Roman"/>
          <w:color w:val="000000"/>
          <w:sz w:val="24"/>
          <w:szCs w:val="24"/>
        </w:rPr>
        <w:t xml:space="preserve">This strategy involves trade-offs. A dual-powertrain model can diffuse investment and slow </w:t>
      </w:r>
      <w:proofErr w:type="spellStart"/>
      <w:r w:rsidRPr="0047005C">
        <w:rPr>
          <w:rFonts w:ascii="Times New Roman" w:hAnsi="Times New Roman" w:cs="Times New Roman"/>
          <w:color w:val="000000"/>
          <w:sz w:val="24"/>
          <w:szCs w:val="24"/>
        </w:rPr>
        <w:t>organisational</w:t>
      </w:r>
      <w:proofErr w:type="spellEnd"/>
      <w:r w:rsidRPr="0047005C">
        <w:rPr>
          <w:rFonts w:ascii="Times New Roman" w:hAnsi="Times New Roman" w:cs="Times New Roman"/>
          <w:color w:val="000000"/>
          <w:sz w:val="24"/>
          <w:szCs w:val="24"/>
        </w:rPr>
        <w:t xml:space="preserve"> focus if managed poorly (Whittington et al., 2023). However, its success depends on disciplined capital allocation, clear market </w:t>
      </w:r>
      <w:proofErr w:type="spellStart"/>
      <w:r w:rsidRPr="0047005C">
        <w:rPr>
          <w:rFonts w:ascii="Times New Roman" w:hAnsi="Times New Roman" w:cs="Times New Roman"/>
          <w:color w:val="000000"/>
          <w:sz w:val="24"/>
          <w:szCs w:val="24"/>
        </w:rPr>
        <w:t>prioritisation</w:t>
      </w:r>
      <w:proofErr w:type="spellEnd"/>
      <w:r w:rsidRPr="0047005C">
        <w:rPr>
          <w:rFonts w:ascii="Times New Roman" w:hAnsi="Times New Roman" w:cs="Times New Roman"/>
          <w:color w:val="000000"/>
          <w:sz w:val="24"/>
          <w:szCs w:val="24"/>
        </w:rPr>
        <w:t xml:space="preserve"> and measurable milestones for Jaguar’s repositioning, so that resources are not spread too thinly across the portfolio (JLR, 2025). For JLR, the issue is not choosing the purest strategy but the one that best matches its resource base and market exposure. In that sense, phased transition is disciplined sequencing rather than strategic</w:t>
      </w:r>
      <w:r>
        <w:rPr>
          <w:rFonts w:ascii="Times New Roman" w:hAnsi="Times New Roman" w:cs="Times New Roman"/>
          <w:color w:val="000000"/>
          <w:sz w:val="24"/>
          <w:szCs w:val="24"/>
        </w:rPr>
        <w:t xml:space="preserve"> </w:t>
      </w:r>
      <w:r w:rsidRPr="0047005C">
        <w:rPr>
          <w:rFonts w:ascii="Times New Roman" w:hAnsi="Times New Roman" w:cs="Times New Roman"/>
          <w:color w:val="000000"/>
          <w:sz w:val="24"/>
          <w:szCs w:val="24"/>
        </w:rPr>
        <w:t>hesitation (Whittington et al</w:t>
      </w:r>
      <w:r w:rsidRPr="00E31F91">
        <w:rPr>
          <w:rFonts w:ascii="Times New Roman" w:hAnsi="Times New Roman" w:cs="Times New Roman"/>
          <w:color w:val="000000"/>
          <w:sz w:val="24"/>
          <w:szCs w:val="24"/>
        </w:rPr>
        <w:t>., 2023</w:t>
      </w:r>
      <w:r w:rsidR="00E31F91">
        <w:rPr>
          <w:rFonts w:ascii="Times New Roman" w:hAnsi="Times New Roman" w:cs="Times New Roman"/>
          <w:color w:val="000000"/>
          <w:sz w:val="24"/>
          <w:szCs w:val="24"/>
        </w:rPr>
        <w:t>). S</w:t>
      </w:r>
      <w:r w:rsidR="00E31F91" w:rsidRPr="00E31F91">
        <w:rPr>
          <w:rFonts w:ascii="Times New Roman" w:hAnsi="Times New Roman" w:cs="Times New Roman"/>
          <w:color w:val="000000"/>
          <w:sz w:val="24"/>
          <w:szCs w:val="24"/>
        </w:rPr>
        <w:t>ee Appendix 1.5</w:t>
      </w:r>
      <w:r w:rsidRPr="00E31F91">
        <w:rPr>
          <w:rFonts w:ascii="Times New Roman" w:hAnsi="Times New Roman" w:cs="Times New Roman"/>
          <w:color w:val="000000"/>
          <w:sz w:val="24"/>
          <w:szCs w:val="24"/>
        </w:rPr>
        <w:t>.</w:t>
      </w:r>
    </w:p>
    <w:p w:rsidR="00D93B5B" w:rsidRDefault="00D93B5B" w:rsidP="005B0CE0">
      <w:pPr>
        <w:spacing w:line="360" w:lineRule="auto"/>
        <w:jc w:val="both"/>
        <w:rPr>
          <w:rFonts w:ascii="Times New Roman" w:hAnsi="Times New Roman" w:cs="Times New Roman"/>
          <w:sz w:val="24"/>
          <w:szCs w:val="24"/>
        </w:rPr>
      </w:pPr>
    </w:p>
    <w:p w:rsidR="0047005C" w:rsidRPr="0047005C" w:rsidRDefault="0047005C" w:rsidP="0047005C">
      <w:pPr>
        <w:spacing w:line="360" w:lineRule="auto"/>
        <w:jc w:val="both"/>
        <w:rPr>
          <w:rFonts w:ascii="Times New Roman" w:hAnsi="Times New Roman" w:cs="Times New Roman"/>
          <w:sz w:val="24"/>
          <w:szCs w:val="24"/>
        </w:rPr>
      </w:pPr>
      <w:r w:rsidRPr="0047005C">
        <w:rPr>
          <w:rFonts w:ascii="Times New Roman" w:hAnsi="Times New Roman" w:cs="Times New Roman"/>
          <w:noProof/>
          <w:sz w:val="24"/>
          <w:szCs w:val="24"/>
        </w:rPr>
        <w:lastRenderedPageBreak/>
        <w:drawing>
          <wp:inline distT="0" distB="0" distL="0" distR="0" wp14:anchorId="1C412F5C" wp14:editId="0BC28D81">
            <wp:extent cx="5943600" cy="4809672"/>
            <wp:effectExtent l="12700" t="12700" r="12700" b="16510"/>
            <wp:docPr id="14460045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651286" name="Picture 1775651286"/>
                    <pic:cNvPicPr/>
                  </pic:nvPicPr>
                  <pic:blipFill>
                    <a:blip r:embed="rId11"/>
                    <a:stretch>
                      <a:fillRect/>
                    </a:stretch>
                  </pic:blipFill>
                  <pic:spPr>
                    <a:xfrm>
                      <a:off x="0" y="0"/>
                      <a:ext cx="5963312" cy="4825624"/>
                    </a:xfrm>
                    <a:prstGeom prst="rect">
                      <a:avLst/>
                    </a:prstGeom>
                    <a:ln>
                      <a:solidFill>
                        <a:prstClr val="black"/>
                      </a:solidFill>
                    </a:ln>
                  </pic:spPr>
                </pic:pic>
              </a:graphicData>
            </a:graphic>
          </wp:inline>
        </w:drawing>
      </w:r>
    </w:p>
    <w:p w:rsidR="0047005C" w:rsidRPr="0047005C" w:rsidRDefault="0047005C" w:rsidP="0047005C">
      <w:pPr>
        <w:rPr>
          <w:rFonts w:ascii="Times New Roman" w:hAnsi="Times New Roman" w:cs="Times New Roman"/>
          <w:i/>
          <w:iCs/>
          <w:sz w:val="24"/>
          <w:szCs w:val="24"/>
        </w:rPr>
      </w:pPr>
      <w:r w:rsidRPr="000F6FD9">
        <w:rPr>
          <w:rFonts w:ascii="Times New Roman" w:hAnsi="Times New Roman" w:cs="Times New Roman"/>
          <w:i/>
          <w:iCs/>
          <w:sz w:val="24"/>
          <w:szCs w:val="24"/>
        </w:rPr>
        <w:t>Figure 4 shows JLR’s sales mix, supporting a phased dual-powertrain strategy rather than rapid full electrification (JLR, 2025, p. 30).</w:t>
      </w:r>
    </w:p>
    <w:p w:rsidR="00076D90" w:rsidRPr="00076D90" w:rsidRDefault="00076D90" w:rsidP="006F2D20">
      <w:pPr>
        <w:pStyle w:val="Heading1"/>
        <w:spacing w:before="80" w:after="80" w:line="360" w:lineRule="auto"/>
        <w:jc w:val="both"/>
        <w:rPr>
          <w:rFonts w:ascii="Times New Roman" w:hAnsi="Times New Roman" w:cs="Times New Roman"/>
          <w:color w:val="000000" w:themeColor="text1"/>
        </w:rPr>
      </w:pPr>
      <w:bookmarkStart w:id="8" w:name="_Toc227676756"/>
      <w:r w:rsidRPr="00076D90">
        <w:rPr>
          <w:rFonts w:ascii="Times New Roman" w:hAnsi="Times New Roman" w:cs="Times New Roman"/>
          <w:color w:val="000000" w:themeColor="text1"/>
        </w:rPr>
        <w:t>Conclusion and Recommendations</w:t>
      </w:r>
      <w:bookmarkEnd w:id="8"/>
    </w:p>
    <w:p w:rsidR="006F2D20" w:rsidRPr="006F2D20" w:rsidRDefault="006F2D20" w:rsidP="006F2D20">
      <w:pPr>
        <w:spacing w:line="360" w:lineRule="auto"/>
        <w:jc w:val="both"/>
        <w:rPr>
          <w:rFonts w:ascii="Times New Roman" w:hAnsi="Times New Roman" w:cs="Times New Roman"/>
          <w:sz w:val="24"/>
          <w:szCs w:val="24"/>
        </w:rPr>
      </w:pPr>
      <w:r w:rsidRPr="006F2D20">
        <w:rPr>
          <w:rFonts w:ascii="Times New Roman" w:hAnsi="Times New Roman" w:cs="Times New Roman"/>
          <w:sz w:val="24"/>
          <w:szCs w:val="24"/>
        </w:rPr>
        <w:t xml:space="preserve">In conclusion, JLR operates in a demanding but still attractive premium automotive market. External analysis shows that regulation, electrification, </w:t>
      </w:r>
      <w:proofErr w:type="spellStart"/>
      <w:r w:rsidRPr="006F2D20">
        <w:rPr>
          <w:rFonts w:ascii="Times New Roman" w:hAnsi="Times New Roman" w:cs="Times New Roman"/>
          <w:sz w:val="24"/>
          <w:szCs w:val="24"/>
        </w:rPr>
        <w:t>digitalisation</w:t>
      </w:r>
      <w:proofErr w:type="spellEnd"/>
      <w:r w:rsidRPr="006F2D20">
        <w:rPr>
          <w:rFonts w:ascii="Times New Roman" w:hAnsi="Times New Roman" w:cs="Times New Roman"/>
          <w:sz w:val="24"/>
          <w:szCs w:val="24"/>
        </w:rPr>
        <w:t xml:space="preserve"> and rivalry are reshaping competition, while internal analysis confirms that JLR retains important strengths in brand equity, design capability, pricing power and its profitable SUV portfolio (Porter, 2008; JLR, 2025).</w:t>
      </w:r>
    </w:p>
    <w:p w:rsidR="00DA6535" w:rsidRPr="00DA6535" w:rsidRDefault="00DA6535" w:rsidP="006F2D20">
      <w:pPr>
        <w:spacing w:line="360" w:lineRule="auto"/>
        <w:jc w:val="both"/>
        <w:rPr>
          <w:rFonts w:ascii="Times New Roman" w:hAnsi="Times New Roman" w:cs="Times New Roman"/>
          <w:color w:val="000000"/>
          <w:sz w:val="24"/>
          <w:szCs w:val="24"/>
        </w:rPr>
      </w:pPr>
      <w:r w:rsidRPr="00DA6535">
        <w:rPr>
          <w:rFonts w:ascii="Times New Roman" w:hAnsi="Times New Roman" w:cs="Times New Roman"/>
          <w:color w:val="000000"/>
          <w:sz w:val="24"/>
          <w:szCs w:val="24"/>
        </w:rPr>
        <w:t>However, JLR’s position is more fragile than it appears. The company is trying to fund transformation from a concentrated set of successful models, reposition Jaguar in a crowded EV space, and respond to digital and supply-chain pressures without the scale advantages of some rivals</w:t>
      </w:r>
      <w:r w:rsidR="003D024D">
        <w:rPr>
          <w:rFonts w:ascii="Times New Roman" w:hAnsi="Times New Roman" w:cs="Times New Roman"/>
          <w:color w:val="000000"/>
          <w:sz w:val="24"/>
          <w:szCs w:val="24"/>
        </w:rPr>
        <w:t xml:space="preserve"> </w:t>
      </w:r>
      <w:r w:rsidR="003D024D" w:rsidRPr="00DA6535">
        <w:rPr>
          <w:rFonts w:ascii="Times New Roman" w:hAnsi="Times New Roman" w:cs="Times New Roman"/>
          <w:color w:val="000000"/>
          <w:sz w:val="24"/>
          <w:szCs w:val="24"/>
        </w:rPr>
        <w:t xml:space="preserve">(JLR, 2025; </w:t>
      </w:r>
      <w:proofErr w:type="spellStart"/>
      <w:r w:rsidR="003D024D" w:rsidRPr="00DA6535">
        <w:rPr>
          <w:rFonts w:ascii="Times New Roman" w:hAnsi="Times New Roman" w:cs="Times New Roman"/>
          <w:color w:val="000000"/>
          <w:sz w:val="24"/>
          <w:szCs w:val="24"/>
        </w:rPr>
        <w:t>Satpathy</w:t>
      </w:r>
      <w:proofErr w:type="spellEnd"/>
      <w:r w:rsidR="003D024D" w:rsidRPr="00DA6535">
        <w:rPr>
          <w:rFonts w:ascii="Times New Roman" w:hAnsi="Times New Roman" w:cs="Times New Roman"/>
          <w:color w:val="000000"/>
          <w:sz w:val="24"/>
          <w:szCs w:val="24"/>
        </w:rPr>
        <w:t xml:space="preserve"> et al., 2025)</w:t>
      </w:r>
      <w:r w:rsidR="003D024D">
        <w:rPr>
          <w:rFonts w:ascii="Times New Roman" w:hAnsi="Times New Roman" w:cs="Times New Roman"/>
          <w:color w:val="000000"/>
          <w:sz w:val="24"/>
          <w:szCs w:val="24"/>
        </w:rPr>
        <w:t>.</w:t>
      </w:r>
      <w:r w:rsidRPr="00DA6535">
        <w:rPr>
          <w:rFonts w:ascii="Times New Roman" w:hAnsi="Times New Roman" w:cs="Times New Roman"/>
          <w:color w:val="000000"/>
          <w:sz w:val="24"/>
          <w:szCs w:val="24"/>
        </w:rPr>
        <w:t xml:space="preserve"> These are strategic trade-offs, not just operational adjustments.</w:t>
      </w:r>
    </w:p>
    <w:p w:rsidR="00DA6535" w:rsidRPr="00DA6535" w:rsidRDefault="00DA6535" w:rsidP="006F2D20">
      <w:pPr>
        <w:spacing w:line="360" w:lineRule="auto"/>
        <w:jc w:val="both"/>
        <w:rPr>
          <w:rFonts w:ascii="Times New Roman" w:hAnsi="Times New Roman" w:cs="Times New Roman"/>
          <w:color w:val="000000"/>
          <w:sz w:val="24"/>
          <w:szCs w:val="24"/>
        </w:rPr>
      </w:pPr>
      <w:r w:rsidRPr="00DA6535">
        <w:rPr>
          <w:rFonts w:ascii="Times New Roman" w:hAnsi="Times New Roman" w:cs="Times New Roman"/>
          <w:color w:val="000000"/>
          <w:sz w:val="24"/>
          <w:szCs w:val="24"/>
        </w:rPr>
        <w:lastRenderedPageBreak/>
        <w:t>For this reason, the most coherent strategic option is a phased dual-powertrain strategy. Compared with rapid full electrification, this approach better manages investment risk and uneven market readiness</w:t>
      </w:r>
      <w:r w:rsidR="003D024D">
        <w:rPr>
          <w:rFonts w:ascii="Times New Roman" w:hAnsi="Times New Roman" w:cs="Times New Roman"/>
          <w:color w:val="000000"/>
          <w:sz w:val="24"/>
          <w:szCs w:val="24"/>
        </w:rPr>
        <w:t xml:space="preserve"> </w:t>
      </w:r>
      <w:r w:rsidR="003D024D" w:rsidRPr="00DA6535">
        <w:rPr>
          <w:rFonts w:ascii="Times New Roman" w:hAnsi="Times New Roman" w:cs="Times New Roman"/>
          <w:color w:val="000000"/>
          <w:sz w:val="24"/>
          <w:szCs w:val="24"/>
        </w:rPr>
        <w:t>(JLR, 2025</w:t>
      </w:r>
      <w:r w:rsidR="003D024D">
        <w:rPr>
          <w:rFonts w:ascii="Times New Roman" w:hAnsi="Times New Roman" w:cs="Times New Roman"/>
          <w:color w:val="000000"/>
          <w:sz w:val="24"/>
          <w:szCs w:val="24"/>
        </w:rPr>
        <w:t>)</w:t>
      </w:r>
      <w:r w:rsidRPr="00DA6535">
        <w:rPr>
          <w:rFonts w:ascii="Times New Roman" w:hAnsi="Times New Roman" w:cs="Times New Roman"/>
          <w:color w:val="000000"/>
          <w:sz w:val="24"/>
          <w:szCs w:val="24"/>
        </w:rPr>
        <w:t>. Compared with prolonging combustion dependence, it better supports long-term competitiveness, capability development and regulatory alignment (Whittington et al., 2023). JLR should therefore continue using profitable current models to generate cash while accelerating investment in EV capability, technology partnerships and supply-chain resilience</w:t>
      </w:r>
      <w:r w:rsidR="003D024D">
        <w:rPr>
          <w:rFonts w:ascii="Times New Roman" w:hAnsi="Times New Roman" w:cs="Times New Roman"/>
          <w:color w:val="000000"/>
          <w:sz w:val="24"/>
          <w:szCs w:val="24"/>
        </w:rPr>
        <w:t xml:space="preserve"> (</w:t>
      </w:r>
      <w:proofErr w:type="spellStart"/>
      <w:r w:rsidR="003D024D" w:rsidRPr="00DA6535">
        <w:rPr>
          <w:rFonts w:ascii="Times New Roman" w:hAnsi="Times New Roman" w:cs="Times New Roman"/>
          <w:color w:val="000000"/>
          <w:sz w:val="24"/>
          <w:szCs w:val="24"/>
        </w:rPr>
        <w:t>Satpathy</w:t>
      </w:r>
      <w:proofErr w:type="spellEnd"/>
      <w:r w:rsidR="003D024D" w:rsidRPr="00DA6535">
        <w:rPr>
          <w:rFonts w:ascii="Times New Roman" w:hAnsi="Times New Roman" w:cs="Times New Roman"/>
          <w:color w:val="000000"/>
          <w:sz w:val="24"/>
          <w:szCs w:val="24"/>
        </w:rPr>
        <w:t xml:space="preserve"> et al., </w:t>
      </w:r>
      <w:r w:rsidR="003D024D" w:rsidRPr="00D93B5B">
        <w:rPr>
          <w:rFonts w:ascii="Times New Roman" w:hAnsi="Times New Roman" w:cs="Times New Roman"/>
          <w:color w:val="000000"/>
          <w:sz w:val="24"/>
          <w:szCs w:val="24"/>
        </w:rPr>
        <w:t>2025)</w:t>
      </w:r>
      <w:r w:rsidRPr="00D93B5B">
        <w:rPr>
          <w:rFonts w:ascii="Times New Roman" w:hAnsi="Times New Roman" w:cs="Times New Roman"/>
          <w:color w:val="000000"/>
          <w:sz w:val="24"/>
          <w:szCs w:val="24"/>
        </w:rPr>
        <w:t>. It is the most credible route for protecting brand value while financing transition.</w:t>
      </w:r>
      <w:r w:rsidR="00D93B5B" w:rsidRPr="00D93B5B">
        <w:rPr>
          <w:rFonts w:ascii="Times New Roman" w:hAnsi="Times New Roman" w:cs="Times New Roman"/>
          <w:color w:val="000000"/>
          <w:sz w:val="24"/>
          <w:szCs w:val="24"/>
        </w:rPr>
        <w:t xml:space="preserve"> The core challenge is therefore not only technological transition, but strategic timing: JLR must change quickly enough to remain competitive, but not so quickly that it undermines the profitability funding that transition (JLR, 2025; Whittington et al., 2023).</w:t>
      </w:r>
    </w:p>
    <w:p w:rsidR="0047005C" w:rsidRPr="00635EC0" w:rsidRDefault="0047005C" w:rsidP="0047005C">
      <w:pPr>
        <w:spacing w:line="360" w:lineRule="auto"/>
        <w:jc w:val="both"/>
        <w:rPr>
          <w:rFonts w:ascii="Times New Roman" w:hAnsi="Times New Roman" w:cs="Times New Roman"/>
          <w:sz w:val="24"/>
          <w:szCs w:val="24"/>
        </w:rPr>
      </w:pPr>
      <w:r w:rsidRPr="00635EC0">
        <w:rPr>
          <w:rFonts w:ascii="Times New Roman" w:hAnsi="Times New Roman" w:cs="Times New Roman"/>
          <w:sz w:val="24"/>
          <w:szCs w:val="24"/>
        </w:rPr>
        <w:t xml:space="preserve">Based on this analysis, three recommendations are proposed. </w:t>
      </w:r>
      <w:r w:rsidR="00112976" w:rsidRPr="00635EC0">
        <w:rPr>
          <w:rFonts w:ascii="Times New Roman" w:hAnsi="Times New Roman" w:cs="Times New Roman"/>
          <w:color w:val="000000"/>
          <w:sz w:val="24"/>
          <w:szCs w:val="24"/>
        </w:rPr>
        <w:t>First, JLR should deepen strategic partnerships in batteries, software and AI-enabled vehicle systems to reduce capability gaps in the technologies that will increasingly define premium EV competitiveness (</w:t>
      </w:r>
      <w:proofErr w:type="spellStart"/>
      <w:r w:rsidR="00112976" w:rsidRPr="00635EC0">
        <w:rPr>
          <w:rFonts w:ascii="Times New Roman" w:hAnsi="Times New Roman" w:cs="Times New Roman"/>
          <w:color w:val="000000"/>
          <w:sz w:val="24"/>
          <w:szCs w:val="24"/>
        </w:rPr>
        <w:t>Satpathy</w:t>
      </w:r>
      <w:proofErr w:type="spellEnd"/>
      <w:r w:rsidR="00112976" w:rsidRPr="00635EC0">
        <w:rPr>
          <w:rFonts w:ascii="Times New Roman" w:hAnsi="Times New Roman" w:cs="Times New Roman"/>
          <w:color w:val="000000"/>
          <w:sz w:val="24"/>
          <w:szCs w:val="24"/>
        </w:rPr>
        <w:t xml:space="preserve"> et al., 2025). </w:t>
      </w:r>
      <w:r w:rsidR="00635EC0" w:rsidRPr="00635EC0">
        <w:rPr>
          <w:rFonts w:ascii="Times New Roman" w:hAnsi="Times New Roman" w:cs="Times New Roman"/>
          <w:color w:val="000000"/>
          <w:sz w:val="24"/>
          <w:szCs w:val="24"/>
        </w:rPr>
        <w:t xml:space="preserve">Second, it should strengthen supply-chain resilience through supplier diversification, selective </w:t>
      </w:r>
      <w:proofErr w:type="spellStart"/>
      <w:r w:rsidR="00635EC0" w:rsidRPr="00635EC0">
        <w:rPr>
          <w:rFonts w:ascii="Times New Roman" w:hAnsi="Times New Roman" w:cs="Times New Roman"/>
          <w:color w:val="000000"/>
          <w:sz w:val="24"/>
          <w:szCs w:val="24"/>
        </w:rPr>
        <w:t>localisation</w:t>
      </w:r>
      <w:proofErr w:type="spellEnd"/>
      <w:r w:rsidR="00635EC0" w:rsidRPr="00635EC0">
        <w:rPr>
          <w:rFonts w:ascii="Times New Roman" w:hAnsi="Times New Roman" w:cs="Times New Roman"/>
          <w:color w:val="000000"/>
          <w:sz w:val="24"/>
          <w:szCs w:val="24"/>
        </w:rPr>
        <w:t xml:space="preserve"> and tighter control over strategically sensitive inputs, because disruption in quality or delivery can damage premium brand value quickly (JLR, 2025). </w:t>
      </w:r>
      <w:r w:rsidRPr="00635EC0">
        <w:rPr>
          <w:rFonts w:ascii="Times New Roman" w:hAnsi="Times New Roman" w:cs="Times New Roman"/>
          <w:sz w:val="24"/>
          <w:szCs w:val="24"/>
        </w:rPr>
        <w:t xml:space="preserve">Third, JLR should </w:t>
      </w:r>
      <w:proofErr w:type="spellStart"/>
      <w:r w:rsidRPr="00635EC0">
        <w:rPr>
          <w:rFonts w:ascii="Times New Roman" w:hAnsi="Times New Roman" w:cs="Times New Roman"/>
          <w:sz w:val="24"/>
          <w:szCs w:val="24"/>
        </w:rPr>
        <w:t>prioritise</w:t>
      </w:r>
      <w:proofErr w:type="spellEnd"/>
      <w:r w:rsidRPr="00635EC0">
        <w:rPr>
          <w:rFonts w:ascii="Times New Roman" w:hAnsi="Times New Roman" w:cs="Times New Roman"/>
          <w:sz w:val="24"/>
          <w:szCs w:val="24"/>
        </w:rPr>
        <w:t xml:space="preserve"> geographic selectivity, allocating models and investment first to markets where EV infrastructure, regulation and premium demand are strongest, while using slower-transition markets to support cash flow during the wider transformation (International Energy Agency, 2024; JLR, 2025).</w:t>
      </w:r>
    </w:p>
    <w:p w:rsidR="009C3DAE" w:rsidRPr="00D75D16" w:rsidRDefault="009C3DAE" w:rsidP="00D75D16"/>
    <w:p w:rsidR="00312A17" w:rsidRPr="00617F82" w:rsidRDefault="00000000" w:rsidP="00C54FE1">
      <w:pPr>
        <w:pStyle w:val="Heading1"/>
        <w:spacing w:before="120" w:after="80" w:line="360" w:lineRule="auto"/>
        <w:rPr>
          <w:rFonts w:ascii="Times New Roman" w:hAnsi="Times New Roman" w:cs="Times New Roman"/>
          <w:color w:val="000000" w:themeColor="text1"/>
        </w:rPr>
      </w:pPr>
      <w:bookmarkStart w:id="9" w:name="_Toc227676757"/>
      <w:r w:rsidRPr="00617F82">
        <w:rPr>
          <w:rFonts w:ascii="Times New Roman" w:hAnsi="Times New Roman" w:cs="Times New Roman"/>
          <w:color w:val="000000" w:themeColor="text1"/>
        </w:rPr>
        <w:t>References</w:t>
      </w:r>
      <w:bookmarkEnd w:id="9"/>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Barney, J. (1991) ‘Firm resources and sustained competitive advantage’, </w:t>
      </w:r>
      <w:r w:rsidRPr="00F504C6">
        <w:rPr>
          <w:rFonts w:ascii="Times New Roman" w:hAnsi="Times New Roman" w:cs="Times New Roman"/>
          <w:i/>
          <w:sz w:val="24"/>
          <w:szCs w:val="24"/>
        </w:rPr>
        <w:t>Journal of Management</w:t>
      </w:r>
      <w:r w:rsidRPr="00F504C6">
        <w:rPr>
          <w:rFonts w:ascii="Times New Roman" w:hAnsi="Times New Roman" w:cs="Times New Roman"/>
          <w:sz w:val="24"/>
          <w:szCs w:val="24"/>
        </w:rPr>
        <w:t>, 17(1), pp. 99–120.</w:t>
      </w:r>
    </w:p>
    <w:p w:rsidR="00F504C6" w:rsidRPr="00F504C6" w:rsidRDefault="00F504C6" w:rsidP="00F504C6">
      <w:pPr>
        <w:spacing w:after="60" w:line="360" w:lineRule="auto"/>
        <w:ind w:left="360" w:hanging="360"/>
        <w:rPr>
          <w:rFonts w:ascii="Times New Roman" w:hAnsi="Times New Roman" w:cs="Times New Roman"/>
          <w:sz w:val="24"/>
          <w:szCs w:val="24"/>
        </w:rPr>
      </w:pPr>
      <w:proofErr w:type="spellStart"/>
      <w:r w:rsidRPr="00F504C6">
        <w:rPr>
          <w:rFonts w:ascii="Times New Roman" w:hAnsi="Times New Roman" w:cs="Times New Roman"/>
          <w:sz w:val="24"/>
          <w:szCs w:val="24"/>
        </w:rPr>
        <w:t>Bryła</w:t>
      </w:r>
      <w:proofErr w:type="spellEnd"/>
      <w:r w:rsidRPr="00F504C6">
        <w:rPr>
          <w:rFonts w:ascii="Times New Roman" w:hAnsi="Times New Roman" w:cs="Times New Roman"/>
          <w:sz w:val="24"/>
          <w:szCs w:val="24"/>
        </w:rPr>
        <w:t xml:space="preserve">, P., Chatterjee, S. and </w:t>
      </w:r>
      <w:proofErr w:type="spellStart"/>
      <w:r w:rsidRPr="00F504C6">
        <w:rPr>
          <w:rFonts w:ascii="Times New Roman" w:hAnsi="Times New Roman" w:cs="Times New Roman"/>
          <w:sz w:val="24"/>
          <w:szCs w:val="24"/>
        </w:rPr>
        <w:t>Ciabiada-Bryła</w:t>
      </w:r>
      <w:proofErr w:type="spellEnd"/>
      <w:r w:rsidRPr="00F504C6">
        <w:rPr>
          <w:rFonts w:ascii="Times New Roman" w:hAnsi="Times New Roman" w:cs="Times New Roman"/>
          <w:sz w:val="24"/>
          <w:szCs w:val="24"/>
        </w:rPr>
        <w:t xml:space="preserve">, B. (2023) ‘Consumer adoption of electric vehicles: A systematic literature review’, </w:t>
      </w:r>
      <w:r w:rsidRPr="00F504C6">
        <w:rPr>
          <w:rFonts w:ascii="Times New Roman" w:hAnsi="Times New Roman" w:cs="Times New Roman"/>
          <w:i/>
          <w:sz w:val="24"/>
          <w:szCs w:val="24"/>
        </w:rPr>
        <w:t>Energies</w:t>
      </w:r>
      <w:r w:rsidRPr="00F504C6">
        <w:rPr>
          <w:rFonts w:ascii="Times New Roman" w:hAnsi="Times New Roman" w:cs="Times New Roman"/>
          <w:sz w:val="24"/>
          <w:szCs w:val="24"/>
        </w:rPr>
        <w:t xml:space="preserve">, 16(1), p. 205. </w:t>
      </w:r>
      <w:proofErr w:type="spellStart"/>
      <w:r w:rsidRPr="00F504C6">
        <w:rPr>
          <w:rFonts w:ascii="Times New Roman" w:hAnsi="Times New Roman" w:cs="Times New Roman"/>
          <w:sz w:val="24"/>
          <w:szCs w:val="24"/>
        </w:rPr>
        <w:t>doi</w:t>
      </w:r>
      <w:proofErr w:type="spellEnd"/>
      <w:r w:rsidRPr="00F504C6">
        <w:rPr>
          <w:rFonts w:ascii="Times New Roman" w:hAnsi="Times New Roman" w:cs="Times New Roman"/>
          <w:sz w:val="24"/>
          <w:szCs w:val="24"/>
        </w:rPr>
        <w:t>: 10.3390/en16010205.</w:t>
      </w:r>
    </w:p>
    <w:p w:rsidR="00F504C6" w:rsidRPr="00F82517"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Department for Transport (2024) ‘Pathway for zero emission vehicle transition by 2035 becomes </w:t>
      </w:r>
      <w:r w:rsidRPr="00F82517">
        <w:rPr>
          <w:rFonts w:ascii="Times New Roman" w:hAnsi="Times New Roman" w:cs="Times New Roman"/>
          <w:color w:val="000000" w:themeColor="text1"/>
          <w:sz w:val="24"/>
          <w:szCs w:val="24"/>
        </w:rPr>
        <w:t xml:space="preserve">law’. </w:t>
      </w:r>
      <w:r w:rsidR="00F82517" w:rsidRPr="00F82517">
        <w:rPr>
          <w:rFonts w:ascii="Times New Roman" w:hAnsi="Times New Roman" w:cs="Times New Roman"/>
          <w:color w:val="000000" w:themeColor="text1"/>
          <w:sz w:val="24"/>
          <w:szCs w:val="24"/>
        </w:rPr>
        <w:t>Available at: </w:t>
      </w:r>
      <w:hyperlink r:id="rId12" w:tgtFrame="_new" w:history="1">
        <w:r w:rsidR="00F82517" w:rsidRPr="00F82517">
          <w:rPr>
            <w:rFonts w:ascii="Times New Roman" w:hAnsi="Times New Roman" w:cs="Times New Roman"/>
            <w:color w:val="000000" w:themeColor="text1"/>
            <w:sz w:val="24"/>
            <w:szCs w:val="24"/>
          </w:rPr>
          <w:t>https://www.gov.uk/government/news/pathway-for-zero-emission-vehicle-transition-by-2035-becomes-law</w:t>
        </w:r>
      </w:hyperlink>
      <w:r w:rsidR="00F82517" w:rsidRPr="00F82517">
        <w:rPr>
          <w:rFonts w:ascii="Times New Roman" w:hAnsi="Times New Roman" w:cs="Times New Roman"/>
          <w:color w:val="000000" w:themeColor="text1"/>
          <w:sz w:val="24"/>
          <w:szCs w:val="24"/>
        </w:rPr>
        <w:t> (Accessed: 14 April 2026).</w:t>
      </w:r>
    </w:p>
    <w:p w:rsidR="00F504C6" w:rsidRPr="00F504C6" w:rsidRDefault="00F504C6" w:rsidP="00F504C6">
      <w:pPr>
        <w:spacing w:after="60" w:line="360" w:lineRule="auto"/>
        <w:ind w:left="360" w:hanging="360"/>
        <w:rPr>
          <w:rFonts w:ascii="Times New Roman" w:hAnsi="Times New Roman" w:cs="Times New Roman"/>
          <w:sz w:val="24"/>
          <w:szCs w:val="24"/>
        </w:rPr>
      </w:pPr>
      <w:proofErr w:type="spellStart"/>
      <w:r w:rsidRPr="00F504C6">
        <w:rPr>
          <w:rFonts w:ascii="Times New Roman" w:hAnsi="Times New Roman" w:cs="Times New Roman"/>
          <w:sz w:val="24"/>
          <w:szCs w:val="24"/>
        </w:rPr>
        <w:t>Gürel</w:t>
      </w:r>
      <w:proofErr w:type="spellEnd"/>
      <w:r w:rsidRPr="00F504C6">
        <w:rPr>
          <w:rFonts w:ascii="Times New Roman" w:hAnsi="Times New Roman" w:cs="Times New Roman"/>
          <w:sz w:val="24"/>
          <w:szCs w:val="24"/>
        </w:rPr>
        <w:t xml:space="preserve">, E. and Tat, M. (2017) ‘SWOT analysis: A theoretical review’, </w:t>
      </w:r>
      <w:r w:rsidRPr="00F504C6">
        <w:rPr>
          <w:rFonts w:ascii="Times New Roman" w:hAnsi="Times New Roman" w:cs="Times New Roman"/>
          <w:i/>
          <w:sz w:val="24"/>
          <w:szCs w:val="24"/>
        </w:rPr>
        <w:t>The Journal of International Social Research</w:t>
      </w:r>
      <w:r w:rsidRPr="00F504C6">
        <w:rPr>
          <w:rFonts w:ascii="Times New Roman" w:hAnsi="Times New Roman" w:cs="Times New Roman"/>
          <w:sz w:val="24"/>
          <w:szCs w:val="24"/>
        </w:rPr>
        <w:t xml:space="preserve">, 10(51), pp. 994–1006. </w:t>
      </w:r>
      <w:proofErr w:type="spellStart"/>
      <w:r w:rsidRPr="00F504C6">
        <w:rPr>
          <w:rFonts w:ascii="Times New Roman" w:hAnsi="Times New Roman" w:cs="Times New Roman"/>
          <w:sz w:val="24"/>
          <w:szCs w:val="24"/>
        </w:rPr>
        <w:t>doi</w:t>
      </w:r>
      <w:proofErr w:type="spellEnd"/>
      <w:r w:rsidRPr="00F504C6">
        <w:rPr>
          <w:rFonts w:ascii="Times New Roman" w:hAnsi="Times New Roman" w:cs="Times New Roman"/>
          <w:sz w:val="24"/>
          <w:szCs w:val="24"/>
        </w:rPr>
        <w:t>: 10.17719/jisr.2017.1832.</w:t>
      </w:r>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lastRenderedPageBreak/>
        <w:t xml:space="preserve">Hamel, G. and Prahalad, C.K. (1989) ‘Strategic intent’, </w:t>
      </w:r>
      <w:r w:rsidRPr="00F504C6">
        <w:rPr>
          <w:rFonts w:ascii="Times New Roman" w:hAnsi="Times New Roman" w:cs="Times New Roman"/>
          <w:i/>
          <w:sz w:val="24"/>
          <w:szCs w:val="24"/>
        </w:rPr>
        <w:t>Harvard Business Review</w:t>
      </w:r>
      <w:r w:rsidRPr="00F504C6">
        <w:rPr>
          <w:rFonts w:ascii="Times New Roman" w:hAnsi="Times New Roman" w:cs="Times New Roman"/>
          <w:sz w:val="24"/>
          <w:szCs w:val="24"/>
        </w:rPr>
        <w:t>, 67(3), pp. 63–76.</w:t>
      </w:r>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Henderson, B.D. (1970) </w:t>
      </w:r>
      <w:r w:rsidRPr="00F504C6">
        <w:rPr>
          <w:rFonts w:ascii="Times New Roman" w:hAnsi="Times New Roman" w:cs="Times New Roman"/>
          <w:i/>
          <w:sz w:val="24"/>
          <w:szCs w:val="24"/>
        </w:rPr>
        <w:t>The product portfolio</w:t>
      </w:r>
      <w:r w:rsidRPr="00F504C6">
        <w:rPr>
          <w:rFonts w:ascii="Times New Roman" w:hAnsi="Times New Roman" w:cs="Times New Roman"/>
          <w:sz w:val="24"/>
          <w:szCs w:val="24"/>
        </w:rPr>
        <w:t>. Boston, MA: Boston Consulting Group.</w:t>
      </w:r>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International </w:t>
      </w:r>
      <w:r w:rsidRPr="00F82517">
        <w:rPr>
          <w:rFonts w:ascii="Times New Roman" w:hAnsi="Times New Roman" w:cs="Times New Roman"/>
          <w:color w:val="000000" w:themeColor="text1"/>
          <w:sz w:val="24"/>
          <w:szCs w:val="24"/>
        </w:rPr>
        <w:t xml:space="preserve">Energy Agency (2024) </w:t>
      </w:r>
      <w:r w:rsidRPr="00F82517">
        <w:rPr>
          <w:rFonts w:ascii="Times New Roman" w:hAnsi="Times New Roman" w:cs="Times New Roman"/>
          <w:i/>
          <w:color w:val="000000" w:themeColor="text1"/>
          <w:sz w:val="24"/>
          <w:szCs w:val="24"/>
        </w:rPr>
        <w:t>Global EV outlook 2024</w:t>
      </w:r>
      <w:r w:rsidRPr="00F82517">
        <w:rPr>
          <w:rFonts w:ascii="Times New Roman" w:hAnsi="Times New Roman" w:cs="Times New Roman"/>
          <w:color w:val="000000" w:themeColor="text1"/>
          <w:sz w:val="24"/>
          <w:szCs w:val="24"/>
        </w:rPr>
        <w:t xml:space="preserve">. Paris: IEA. </w:t>
      </w:r>
      <w:r w:rsidR="00F82517" w:rsidRPr="00F82517">
        <w:rPr>
          <w:rStyle w:val="Strong"/>
          <w:rFonts w:ascii="Times New Roman" w:hAnsi="Times New Roman" w:cs="Times New Roman"/>
          <w:b w:val="0"/>
          <w:bCs w:val="0"/>
          <w:color w:val="000000" w:themeColor="text1"/>
          <w:sz w:val="24"/>
          <w:szCs w:val="24"/>
        </w:rPr>
        <w:t>Available at:</w:t>
      </w:r>
      <w:r w:rsidR="00F82517" w:rsidRPr="00F82517">
        <w:rPr>
          <w:rStyle w:val="apple-converted-space"/>
          <w:rFonts w:ascii="Times New Roman" w:hAnsi="Times New Roman" w:cs="Times New Roman"/>
          <w:b/>
          <w:bCs/>
          <w:color w:val="000000" w:themeColor="text1"/>
          <w:sz w:val="24"/>
          <w:szCs w:val="24"/>
        </w:rPr>
        <w:t> </w:t>
      </w:r>
      <w:hyperlink r:id="rId13" w:tgtFrame="_new" w:history="1">
        <w:r w:rsidR="00F82517" w:rsidRPr="00F82517">
          <w:rPr>
            <w:rStyle w:val="Hyperlink"/>
            <w:rFonts w:ascii="Times New Roman" w:hAnsi="Times New Roman" w:cs="Times New Roman"/>
            <w:color w:val="000000" w:themeColor="text1"/>
            <w:sz w:val="24"/>
            <w:szCs w:val="24"/>
            <w:u w:val="none"/>
          </w:rPr>
          <w:t>https://www.iea.org/reports/global-ev-outlook-2024</w:t>
        </w:r>
      </w:hyperlink>
      <w:r w:rsidR="00F82517" w:rsidRPr="00F82517">
        <w:rPr>
          <w:rStyle w:val="apple-converted-space"/>
          <w:rFonts w:ascii="Times New Roman" w:hAnsi="Times New Roman" w:cs="Times New Roman"/>
          <w:color w:val="000000" w:themeColor="text1"/>
          <w:sz w:val="24"/>
          <w:szCs w:val="24"/>
        </w:rPr>
        <w:t> </w:t>
      </w:r>
      <w:r w:rsidR="00F82517" w:rsidRPr="00F82517">
        <w:rPr>
          <w:rStyle w:val="Strong"/>
          <w:rFonts w:ascii="Times New Roman" w:hAnsi="Times New Roman" w:cs="Times New Roman"/>
          <w:b w:val="0"/>
          <w:bCs w:val="0"/>
          <w:color w:val="000000" w:themeColor="text1"/>
          <w:sz w:val="24"/>
          <w:szCs w:val="24"/>
        </w:rPr>
        <w:t>(Accessed: 14 April 2026).</w:t>
      </w:r>
    </w:p>
    <w:p w:rsidR="00F504C6" w:rsidRPr="00F82517" w:rsidRDefault="00F504C6" w:rsidP="00F504C6">
      <w:pPr>
        <w:spacing w:after="60" w:line="360" w:lineRule="auto"/>
        <w:ind w:left="360" w:hanging="360"/>
        <w:rPr>
          <w:rFonts w:ascii="Times New Roman" w:hAnsi="Times New Roman" w:cs="Times New Roman"/>
          <w:color w:val="000000" w:themeColor="text1"/>
          <w:sz w:val="24"/>
          <w:szCs w:val="24"/>
        </w:rPr>
      </w:pPr>
      <w:r w:rsidRPr="00F82517">
        <w:rPr>
          <w:rFonts w:ascii="Times New Roman" w:hAnsi="Times New Roman" w:cs="Times New Roman"/>
          <w:color w:val="000000" w:themeColor="text1"/>
          <w:sz w:val="24"/>
          <w:szCs w:val="24"/>
        </w:rPr>
        <w:t xml:space="preserve">JLR (2025) </w:t>
      </w:r>
      <w:r w:rsidRPr="00F82517">
        <w:rPr>
          <w:rFonts w:ascii="Times New Roman" w:hAnsi="Times New Roman" w:cs="Times New Roman"/>
          <w:i/>
          <w:color w:val="000000" w:themeColor="text1"/>
          <w:sz w:val="24"/>
          <w:szCs w:val="24"/>
        </w:rPr>
        <w:t>Annual report 2025</w:t>
      </w:r>
      <w:r w:rsidRPr="00F82517">
        <w:rPr>
          <w:rFonts w:ascii="Times New Roman" w:hAnsi="Times New Roman" w:cs="Times New Roman"/>
          <w:color w:val="000000" w:themeColor="text1"/>
          <w:sz w:val="24"/>
          <w:szCs w:val="24"/>
        </w:rPr>
        <w:t xml:space="preserve">. </w:t>
      </w:r>
      <w:r w:rsidR="00F82517" w:rsidRPr="00F82517">
        <w:rPr>
          <w:rStyle w:val="Strong"/>
          <w:rFonts w:ascii="Times New Roman" w:hAnsi="Times New Roman" w:cs="Times New Roman"/>
          <w:b w:val="0"/>
          <w:bCs w:val="0"/>
          <w:color w:val="000000" w:themeColor="text1"/>
          <w:sz w:val="24"/>
          <w:szCs w:val="24"/>
        </w:rPr>
        <w:t>Available at:</w:t>
      </w:r>
      <w:r w:rsidR="00F82517" w:rsidRPr="00F82517">
        <w:rPr>
          <w:rStyle w:val="apple-converted-space"/>
          <w:rFonts w:ascii="Times New Roman" w:hAnsi="Times New Roman" w:cs="Times New Roman"/>
          <w:color w:val="000000" w:themeColor="text1"/>
          <w:sz w:val="24"/>
          <w:szCs w:val="24"/>
        </w:rPr>
        <w:t> </w:t>
      </w:r>
      <w:hyperlink r:id="rId14" w:tgtFrame="_new" w:history="1">
        <w:r w:rsidR="00F82517" w:rsidRPr="00F82517">
          <w:rPr>
            <w:rStyle w:val="Hyperlink"/>
            <w:rFonts w:ascii="Times New Roman" w:hAnsi="Times New Roman" w:cs="Times New Roman"/>
            <w:color w:val="000000" w:themeColor="text1"/>
            <w:sz w:val="24"/>
            <w:szCs w:val="24"/>
            <w:u w:val="none"/>
          </w:rPr>
          <w:t>https://www.jlr.com/annual-report-2025</w:t>
        </w:r>
      </w:hyperlink>
      <w:r w:rsidR="00F82517" w:rsidRPr="00F82517">
        <w:rPr>
          <w:rStyle w:val="apple-converted-space"/>
          <w:rFonts w:ascii="Times New Roman" w:hAnsi="Times New Roman" w:cs="Times New Roman"/>
          <w:color w:val="000000" w:themeColor="text1"/>
          <w:sz w:val="24"/>
          <w:szCs w:val="24"/>
        </w:rPr>
        <w:t> </w:t>
      </w:r>
      <w:r w:rsidR="00F82517" w:rsidRPr="00F82517">
        <w:rPr>
          <w:rStyle w:val="Strong"/>
          <w:rFonts w:ascii="Times New Roman" w:hAnsi="Times New Roman" w:cs="Times New Roman"/>
          <w:b w:val="0"/>
          <w:bCs w:val="0"/>
          <w:color w:val="000000" w:themeColor="text1"/>
          <w:sz w:val="24"/>
          <w:szCs w:val="24"/>
        </w:rPr>
        <w:t>(Accessed: 14 April 2026).</w:t>
      </w:r>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Nag, R., Hambrick, D.C. and Chen, M.-J. (2007) ‘What is strategic management, really? Inductive derivation of a consensus definition of the field’, </w:t>
      </w:r>
      <w:r w:rsidRPr="00F504C6">
        <w:rPr>
          <w:rFonts w:ascii="Times New Roman" w:hAnsi="Times New Roman" w:cs="Times New Roman"/>
          <w:i/>
          <w:sz w:val="24"/>
          <w:szCs w:val="24"/>
        </w:rPr>
        <w:t>Strategic Management Journal</w:t>
      </w:r>
      <w:r w:rsidRPr="00F504C6">
        <w:rPr>
          <w:rFonts w:ascii="Times New Roman" w:hAnsi="Times New Roman" w:cs="Times New Roman"/>
          <w:sz w:val="24"/>
          <w:szCs w:val="24"/>
        </w:rPr>
        <w:t xml:space="preserve">, 28(9), pp. 935–955. </w:t>
      </w:r>
      <w:proofErr w:type="spellStart"/>
      <w:r w:rsidRPr="00F504C6">
        <w:rPr>
          <w:rFonts w:ascii="Times New Roman" w:hAnsi="Times New Roman" w:cs="Times New Roman"/>
          <w:sz w:val="24"/>
          <w:szCs w:val="24"/>
        </w:rPr>
        <w:t>doi</w:t>
      </w:r>
      <w:proofErr w:type="spellEnd"/>
      <w:r w:rsidRPr="00F504C6">
        <w:rPr>
          <w:rFonts w:ascii="Times New Roman" w:hAnsi="Times New Roman" w:cs="Times New Roman"/>
          <w:sz w:val="24"/>
          <w:szCs w:val="24"/>
        </w:rPr>
        <w:t>: 10.1002/smj.615.</w:t>
      </w:r>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Porter, M.E. (1985) </w:t>
      </w:r>
      <w:r w:rsidRPr="00F504C6">
        <w:rPr>
          <w:rFonts w:ascii="Times New Roman" w:hAnsi="Times New Roman" w:cs="Times New Roman"/>
          <w:i/>
          <w:sz w:val="24"/>
          <w:szCs w:val="24"/>
        </w:rPr>
        <w:t>Competitive advantage: Creating and sustaining superior performance</w:t>
      </w:r>
      <w:r w:rsidRPr="00F504C6">
        <w:rPr>
          <w:rFonts w:ascii="Times New Roman" w:hAnsi="Times New Roman" w:cs="Times New Roman"/>
          <w:sz w:val="24"/>
          <w:szCs w:val="24"/>
        </w:rPr>
        <w:t>. New York: Free Press.</w:t>
      </w:r>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Porter, M.E. (2008) ‘The five competitive forces that shape strategy’, </w:t>
      </w:r>
      <w:r w:rsidRPr="00F504C6">
        <w:rPr>
          <w:rFonts w:ascii="Times New Roman" w:hAnsi="Times New Roman" w:cs="Times New Roman"/>
          <w:i/>
          <w:sz w:val="24"/>
          <w:szCs w:val="24"/>
        </w:rPr>
        <w:t>Harvard Business Review</w:t>
      </w:r>
      <w:r w:rsidRPr="00F504C6">
        <w:rPr>
          <w:rFonts w:ascii="Times New Roman" w:hAnsi="Times New Roman" w:cs="Times New Roman"/>
          <w:sz w:val="24"/>
          <w:szCs w:val="24"/>
        </w:rPr>
        <w:t>, 86(1), pp. 78–93.</w:t>
      </w:r>
    </w:p>
    <w:p w:rsidR="00F504C6" w:rsidRPr="00F504C6" w:rsidRDefault="00F504C6" w:rsidP="00F504C6">
      <w:pPr>
        <w:spacing w:after="60" w:line="360" w:lineRule="auto"/>
        <w:ind w:left="360" w:hanging="360"/>
        <w:rPr>
          <w:rFonts w:ascii="Times New Roman" w:hAnsi="Times New Roman" w:cs="Times New Roman"/>
          <w:sz w:val="24"/>
          <w:szCs w:val="24"/>
        </w:rPr>
      </w:pPr>
      <w:proofErr w:type="spellStart"/>
      <w:r w:rsidRPr="00F504C6">
        <w:rPr>
          <w:rFonts w:ascii="Times New Roman" w:hAnsi="Times New Roman" w:cs="Times New Roman"/>
          <w:sz w:val="24"/>
          <w:szCs w:val="24"/>
        </w:rPr>
        <w:t>Satpathy</w:t>
      </w:r>
      <w:proofErr w:type="spellEnd"/>
      <w:r w:rsidRPr="00F504C6">
        <w:rPr>
          <w:rFonts w:ascii="Times New Roman" w:hAnsi="Times New Roman" w:cs="Times New Roman"/>
          <w:sz w:val="24"/>
          <w:szCs w:val="24"/>
        </w:rPr>
        <w:t xml:space="preserve">, P.R., </w:t>
      </w:r>
      <w:proofErr w:type="spellStart"/>
      <w:r w:rsidRPr="00F504C6">
        <w:rPr>
          <w:rFonts w:ascii="Times New Roman" w:hAnsi="Times New Roman" w:cs="Times New Roman"/>
          <w:sz w:val="24"/>
          <w:szCs w:val="24"/>
        </w:rPr>
        <w:t>Ramachandaramurthy</w:t>
      </w:r>
      <w:proofErr w:type="spellEnd"/>
      <w:r w:rsidRPr="00F504C6">
        <w:rPr>
          <w:rFonts w:ascii="Times New Roman" w:hAnsi="Times New Roman" w:cs="Times New Roman"/>
          <w:sz w:val="24"/>
          <w:szCs w:val="24"/>
        </w:rPr>
        <w:t xml:space="preserve">, V.K., Krishnan, T.R.R. and </w:t>
      </w:r>
      <w:proofErr w:type="spellStart"/>
      <w:r w:rsidRPr="00F504C6">
        <w:rPr>
          <w:rFonts w:ascii="Times New Roman" w:hAnsi="Times New Roman" w:cs="Times New Roman"/>
          <w:sz w:val="24"/>
          <w:szCs w:val="24"/>
        </w:rPr>
        <w:t>Padmanaban</w:t>
      </w:r>
      <w:proofErr w:type="spellEnd"/>
      <w:r w:rsidRPr="00F504C6">
        <w:rPr>
          <w:rFonts w:ascii="Times New Roman" w:hAnsi="Times New Roman" w:cs="Times New Roman"/>
          <w:sz w:val="24"/>
          <w:szCs w:val="24"/>
        </w:rPr>
        <w:t xml:space="preserve">, S. (2025) ‘Technological innovations and sustainable strategies for advancing electric vehicle performance and market integration’, </w:t>
      </w:r>
      <w:r w:rsidRPr="00F504C6">
        <w:rPr>
          <w:rFonts w:ascii="Times New Roman" w:hAnsi="Times New Roman" w:cs="Times New Roman"/>
          <w:i/>
          <w:sz w:val="24"/>
          <w:szCs w:val="24"/>
        </w:rPr>
        <w:t>Energy Strategy Reviews</w:t>
      </w:r>
      <w:r w:rsidRPr="00F504C6">
        <w:rPr>
          <w:rFonts w:ascii="Times New Roman" w:hAnsi="Times New Roman" w:cs="Times New Roman"/>
          <w:sz w:val="24"/>
          <w:szCs w:val="24"/>
        </w:rPr>
        <w:t xml:space="preserve">, 60, p. 101790. </w:t>
      </w:r>
      <w:proofErr w:type="spellStart"/>
      <w:r w:rsidRPr="00F504C6">
        <w:rPr>
          <w:rFonts w:ascii="Times New Roman" w:hAnsi="Times New Roman" w:cs="Times New Roman"/>
          <w:sz w:val="24"/>
          <w:szCs w:val="24"/>
        </w:rPr>
        <w:t>doi</w:t>
      </w:r>
      <w:proofErr w:type="spellEnd"/>
      <w:r w:rsidRPr="00F504C6">
        <w:rPr>
          <w:rFonts w:ascii="Times New Roman" w:hAnsi="Times New Roman" w:cs="Times New Roman"/>
          <w:sz w:val="24"/>
          <w:szCs w:val="24"/>
        </w:rPr>
        <w:t>: 10.1016/j.esr.2025.101790.</w:t>
      </w:r>
    </w:p>
    <w:p w:rsidR="00F504C6" w:rsidRPr="00F504C6" w:rsidRDefault="00F504C6" w:rsidP="00F504C6">
      <w:pPr>
        <w:spacing w:after="60" w:line="360" w:lineRule="auto"/>
        <w:ind w:left="360" w:hanging="360"/>
        <w:rPr>
          <w:rFonts w:ascii="Times New Roman" w:hAnsi="Times New Roman" w:cs="Times New Roman"/>
          <w:sz w:val="24"/>
          <w:szCs w:val="24"/>
        </w:rPr>
      </w:pPr>
      <w:r w:rsidRPr="00F504C6">
        <w:rPr>
          <w:rFonts w:ascii="Times New Roman" w:hAnsi="Times New Roman" w:cs="Times New Roman"/>
          <w:sz w:val="24"/>
          <w:szCs w:val="24"/>
        </w:rPr>
        <w:t xml:space="preserve">Whittington, R., Angwin, D., </w:t>
      </w:r>
      <w:proofErr w:type="spellStart"/>
      <w:r w:rsidRPr="00F504C6">
        <w:rPr>
          <w:rFonts w:ascii="Times New Roman" w:hAnsi="Times New Roman" w:cs="Times New Roman"/>
          <w:sz w:val="24"/>
          <w:szCs w:val="24"/>
        </w:rPr>
        <w:t>Regnér</w:t>
      </w:r>
      <w:proofErr w:type="spellEnd"/>
      <w:r w:rsidRPr="00F504C6">
        <w:rPr>
          <w:rFonts w:ascii="Times New Roman" w:hAnsi="Times New Roman" w:cs="Times New Roman"/>
          <w:sz w:val="24"/>
          <w:szCs w:val="24"/>
        </w:rPr>
        <w:t xml:space="preserve">, P., Johnson, G. and Scholes, K. (2023) </w:t>
      </w:r>
      <w:r w:rsidRPr="00F504C6">
        <w:rPr>
          <w:rFonts w:ascii="Times New Roman" w:hAnsi="Times New Roman" w:cs="Times New Roman"/>
          <w:i/>
          <w:sz w:val="24"/>
          <w:szCs w:val="24"/>
        </w:rPr>
        <w:t>Exploring strategy</w:t>
      </w:r>
      <w:r w:rsidRPr="00F504C6">
        <w:rPr>
          <w:rFonts w:ascii="Times New Roman" w:hAnsi="Times New Roman" w:cs="Times New Roman"/>
          <w:sz w:val="24"/>
          <w:szCs w:val="24"/>
        </w:rPr>
        <w:t xml:space="preserve">. 13th </w:t>
      </w:r>
      <w:proofErr w:type="spellStart"/>
      <w:r w:rsidRPr="00F504C6">
        <w:rPr>
          <w:rFonts w:ascii="Times New Roman" w:hAnsi="Times New Roman" w:cs="Times New Roman"/>
          <w:sz w:val="24"/>
          <w:szCs w:val="24"/>
        </w:rPr>
        <w:t>edn</w:t>
      </w:r>
      <w:proofErr w:type="spellEnd"/>
      <w:r w:rsidRPr="00F504C6">
        <w:rPr>
          <w:rFonts w:ascii="Times New Roman" w:hAnsi="Times New Roman" w:cs="Times New Roman"/>
          <w:sz w:val="24"/>
          <w:szCs w:val="24"/>
        </w:rPr>
        <w:t>. Harlow: Pearson.</w:t>
      </w:r>
    </w:p>
    <w:p w:rsidR="00DD6C8D" w:rsidRDefault="00F504C6" w:rsidP="00DD6C8D">
      <w:pPr>
        <w:spacing w:after="60" w:line="360" w:lineRule="auto"/>
        <w:ind w:left="360" w:hanging="360"/>
        <w:rPr>
          <w:rFonts w:ascii="Times New Roman" w:hAnsi="Times New Roman" w:cs="Times New Roman"/>
          <w:sz w:val="24"/>
          <w:szCs w:val="24"/>
        </w:rPr>
      </w:pPr>
      <w:proofErr w:type="spellStart"/>
      <w:r w:rsidRPr="00F504C6">
        <w:rPr>
          <w:rFonts w:ascii="Times New Roman" w:hAnsi="Times New Roman" w:cs="Times New Roman"/>
          <w:sz w:val="24"/>
          <w:szCs w:val="24"/>
        </w:rPr>
        <w:t>Yüksel</w:t>
      </w:r>
      <w:proofErr w:type="spellEnd"/>
      <w:r w:rsidRPr="00F504C6">
        <w:rPr>
          <w:rFonts w:ascii="Times New Roman" w:hAnsi="Times New Roman" w:cs="Times New Roman"/>
          <w:sz w:val="24"/>
          <w:szCs w:val="24"/>
        </w:rPr>
        <w:t>, İ. (2012) ‘Developing a multi-</w:t>
      </w:r>
      <w:proofErr w:type="gramStart"/>
      <w:r w:rsidRPr="00F504C6">
        <w:rPr>
          <w:rFonts w:ascii="Times New Roman" w:hAnsi="Times New Roman" w:cs="Times New Roman"/>
          <w:sz w:val="24"/>
          <w:szCs w:val="24"/>
        </w:rPr>
        <w:t>criteria decision making</w:t>
      </w:r>
      <w:proofErr w:type="gramEnd"/>
      <w:r w:rsidRPr="00F504C6">
        <w:rPr>
          <w:rFonts w:ascii="Times New Roman" w:hAnsi="Times New Roman" w:cs="Times New Roman"/>
          <w:sz w:val="24"/>
          <w:szCs w:val="24"/>
        </w:rPr>
        <w:t xml:space="preserve"> model for PESTEL analysis’, </w:t>
      </w:r>
      <w:r w:rsidRPr="00F504C6">
        <w:rPr>
          <w:rFonts w:ascii="Times New Roman" w:hAnsi="Times New Roman" w:cs="Times New Roman"/>
          <w:i/>
          <w:sz w:val="24"/>
          <w:szCs w:val="24"/>
        </w:rPr>
        <w:t>International Journal of Business and Management</w:t>
      </w:r>
      <w:r w:rsidRPr="00F504C6">
        <w:rPr>
          <w:rFonts w:ascii="Times New Roman" w:hAnsi="Times New Roman" w:cs="Times New Roman"/>
          <w:sz w:val="24"/>
          <w:szCs w:val="24"/>
        </w:rPr>
        <w:t xml:space="preserve">, 7(24), pp. 52–66. </w:t>
      </w:r>
      <w:proofErr w:type="spellStart"/>
      <w:r w:rsidRPr="00F504C6">
        <w:rPr>
          <w:rFonts w:ascii="Times New Roman" w:hAnsi="Times New Roman" w:cs="Times New Roman"/>
          <w:sz w:val="24"/>
          <w:szCs w:val="24"/>
        </w:rPr>
        <w:t>doi</w:t>
      </w:r>
      <w:proofErr w:type="spellEnd"/>
      <w:r w:rsidRPr="00F504C6">
        <w:rPr>
          <w:rFonts w:ascii="Times New Roman" w:hAnsi="Times New Roman" w:cs="Times New Roman"/>
          <w:sz w:val="24"/>
          <w:szCs w:val="24"/>
        </w:rPr>
        <w:t>: 10.5539/</w:t>
      </w:r>
      <w:proofErr w:type="gramStart"/>
      <w:r w:rsidRPr="00F504C6">
        <w:rPr>
          <w:rFonts w:ascii="Times New Roman" w:hAnsi="Times New Roman" w:cs="Times New Roman"/>
          <w:sz w:val="24"/>
          <w:szCs w:val="24"/>
        </w:rPr>
        <w:t>ijbm.v</w:t>
      </w:r>
      <w:proofErr w:type="gramEnd"/>
      <w:r w:rsidRPr="00F504C6">
        <w:rPr>
          <w:rFonts w:ascii="Times New Roman" w:hAnsi="Times New Roman" w:cs="Times New Roman"/>
          <w:sz w:val="24"/>
          <w:szCs w:val="24"/>
        </w:rPr>
        <w:t>7n24p52.</w:t>
      </w:r>
    </w:p>
    <w:p w:rsidR="00DD6C8D" w:rsidRPr="00DD6C8D" w:rsidRDefault="00DD6C8D" w:rsidP="00DD6C8D"/>
    <w:p w:rsidR="00C20BB5" w:rsidRDefault="00C20BB5" w:rsidP="00DD6C8D">
      <w:pPr>
        <w:pStyle w:val="Heading1"/>
        <w:rPr>
          <w:rFonts w:ascii="Times New Roman" w:hAnsi="Times New Roman" w:cs="Times New Roman"/>
          <w:color w:val="000000" w:themeColor="text1"/>
        </w:rPr>
      </w:pPr>
    </w:p>
    <w:p w:rsidR="00C20BB5" w:rsidRDefault="00C20BB5" w:rsidP="00C20BB5"/>
    <w:p w:rsidR="00C20BB5" w:rsidRPr="00C20BB5" w:rsidRDefault="00C20BB5" w:rsidP="00C20BB5"/>
    <w:p w:rsidR="00C05B6C" w:rsidRPr="00DD6C8D" w:rsidRDefault="00C05B6C" w:rsidP="00DD6C8D">
      <w:pPr>
        <w:pStyle w:val="Heading1"/>
        <w:rPr>
          <w:rFonts w:ascii="Times New Roman" w:hAnsi="Times New Roman" w:cs="Times New Roman"/>
          <w:color w:val="000000" w:themeColor="text1"/>
        </w:rPr>
      </w:pPr>
      <w:bookmarkStart w:id="10" w:name="_Toc227676758"/>
      <w:r w:rsidRPr="00DD6C8D">
        <w:rPr>
          <w:rFonts w:ascii="Times New Roman" w:hAnsi="Times New Roman" w:cs="Times New Roman"/>
          <w:color w:val="000000" w:themeColor="text1"/>
        </w:rPr>
        <w:lastRenderedPageBreak/>
        <w:t>Appendices</w:t>
      </w:r>
      <w:bookmarkEnd w:id="10"/>
    </w:p>
    <w:p w:rsidR="00C05B6C" w:rsidRPr="00DD6C8D" w:rsidRDefault="00C05B6C" w:rsidP="00C20BB5">
      <w:pPr>
        <w:pStyle w:val="Heading2"/>
        <w:spacing w:line="360" w:lineRule="auto"/>
        <w:rPr>
          <w:rFonts w:ascii="Times New Roman" w:hAnsi="Times New Roman" w:cs="Times New Roman"/>
          <w:sz w:val="28"/>
          <w:szCs w:val="28"/>
        </w:rPr>
      </w:pPr>
      <w:bookmarkStart w:id="11" w:name="_Toc227676759"/>
      <w:r w:rsidRPr="00DD6C8D">
        <w:rPr>
          <w:rFonts w:ascii="Times New Roman" w:hAnsi="Times New Roman" w:cs="Times New Roman"/>
          <w:sz w:val="28"/>
          <w:szCs w:val="28"/>
        </w:rPr>
        <w:t>Appendix 1: Summary Strategic Analysis of JLR</w:t>
      </w:r>
      <w:bookmarkEnd w:id="11"/>
    </w:p>
    <w:p w:rsidR="00C05B6C" w:rsidRPr="00C20BB5" w:rsidRDefault="00C05B6C" w:rsidP="00C20BB5">
      <w:pPr>
        <w:spacing w:line="360" w:lineRule="auto"/>
        <w:rPr>
          <w:rFonts w:ascii="Times New Roman" w:hAnsi="Times New Roman" w:cs="Times New Roman"/>
          <w:b/>
          <w:bCs/>
          <w:sz w:val="28"/>
          <w:szCs w:val="28"/>
        </w:rPr>
      </w:pPr>
      <w:r w:rsidRPr="00C20BB5">
        <w:rPr>
          <w:rFonts w:ascii="Times New Roman" w:hAnsi="Times New Roman" w:cs="Times New Roman"/>
          <w:b/>
          <w:bCs/>
          <w:sz w:val="28"/>
          <w:szCs w:val="28"/>
        </w:rPr>
        <w:t>Appendix 1.1 SWOT Summary</w:t>
      </w:r>
    </w:p>
    <w:tbl>
      <w:tblPr>
        <w:tblStyle w:val="TableGrid"/>
        <w:tblW w:w="0" w:type="auto"/>
        <w:jc w:val="center"/>
        <w:tblLayout w:type="fixed"/>
        <w:tblLook w:val="04A0" w:firstRow="1" w:lastRow="0" w:firstColumn="1" w:lastColumn="0" w:noHBand="0" w:noVBand="1"/>
      </w:tblPr>
      <w:tblGrid>
        <w:gridCol w:w="4680"/>
        <w:gridCol w:w="4680"/>
      </w:tblGrid>
      <w:tr w:rsidR="00C05B6C" w:rsidTr="00793524">
        <w:trPr>
          <w:jc w:val="center"/>
        </w:trPr>
        <w:tc>
          <w:tcPr>
            <w:tcW w:w="4536"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Strengths</w:t>
            </w:r>
          </w:p>
        </w:tc>
        <w:tc>
          <w:tcPr>
            <w:tcW w:w="4536"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Weaknesses</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Strong premium brand equity across Range Rover, Defender and Land Rover</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Dependence on a relatively narrow range of high-margin SUV models</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Strong design capability and luxury heritage</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Smaller scale than major premium competitors</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Premium pricing power and strong recent profitability</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High investment requirements for electrification and transformation</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Tata Motors backing provides strategic and financial support</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Relative weakness in software-led and battery-related capabilities</w:t>
            </w:r>
          </w:p>
        </w:tc>
      </w:tr>
      <w:tr w:rsidR="00C05B6C" w:rsidTr="00793524">
        <w:trPr>
          <w:jc w:val="center"/>
        </w:trPr>
        <w:tc>
          <w:tcPr>
            <w:tcW w:w="4680"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Opportunities</w:t>
            </w:r>
          </w:p>
        </w:tc>
        <w:tc>
          <w:tcPr>
            <w:tcW w:w="4680"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Threats</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Growth in premium EV and hybrid segments</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Intense rivalry from established premium brands and EV-focused entrants</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Development of digital services and connected vehicle technology</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Uneven EV demand across international markets</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Strategic partnerships in batteries, AI and software systems</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Regulatory pressure relating to emissions and sustainability</w:t>
            </w:r>
          </w:p>
        </w:tc>
      </w:tr>
      <w:tr w:rsidR="00C05B6C" w:rsidTr="00793524">
        <w:trPr>
          <w:jc w:val="center"/>
        </w:trPr>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 xml:space="preserve">Supply chain </w:t>
            </w:r>
            <w:proofErr w:type="spellStart"/>
            <w:r>
              <w:rPr>
                <w:rFonts w:ascii="Times New Roman" w:eastAsia="Times New Roman" w:hAnsi="Times New Roman"/>
                <w:sz w:val="24"/>
              </w:rPr>
              <w:t>localisation</w:t>
            </w:r>
            <w:proofErr w:type="spellEnd"/>
            <w:r>
              <w:rPr>
                <w:rFonts w:ascii="Times New Roman" w:eastAsia="Times New Roman" w:hAnsi="Times New Roman"/>
                <w:sz w:val="24"/>
              </w:rPr>
              <w:t xml:space="preserve"> and resilience building</w:t>
            </w:r>
          </w:p>
        </w:tc>
        <w:tc>
          <w:tcPr>
            <w:tcW w:w="468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Tariffs, geopolitical disruption and supplier concentration</w:t>
            </w:r>
          </w:p>
        </w:tc>
      </w:tr>
    </w:tbl>
    <w:p w:rsidR="00C05B6C" w:rsidRDefault="00C05B6C" w:rsidP="00DD6C8D">
      <w:pPr>
        <w:spacing w:line="360" w:lineRule="auto"/>
        <w:rPr>
          <w:rFonts w:ascii="Times New Roman" w:eastAsia="Times New Roman" w:hAnsi="Times New Roman"/>
          <w:sz w:val="24"/>
        </w:rPr>
      </w:pPr>
      <w:r w:rsidRPr="00C05B6C">
        <w:rPr>
          <w:rFonts w:ascii="Times New Roman" w:eastAsia="Times New Roman" w:hAnsi="Times New Roman"/>
          <w:bCs/>
          <w:sz w:val="24"/>
        </w:rPr>
        <w:t>Source:</w:t>
      </w:r>
      <w:r>
        <w:rPr>
          <w:rFonts w:ascii="Times New Roman" w:eastAsia="Times New Roman" w:hAnsi="Times New Roman"/>
          <w:b/>
          <w:sz w:val="24"/>
        </w:rPr>
        <w:t xml:space="preserve"> </w:t>
      </w:r>
      <w:r>
        <w:rPr>
          <w:rFonts w:ascii="Times New Roman" w:eastAsia="Times New Roman" w:hAnsi="Times New Roman"/>
          <w:sz w:val="24"/>
        </w:rPr>
        <w:t xml:space="preserve">Author’s own summary based on JLR (2025), </w:t>
      </w:r>
      <w:proofErr w:type="spellStart"/>
      <w:r>
        <w:rPr>
          <w:rFonts w:ascii="Times New Roman" w:eastAsia="Times New Roman" w:hAnsi="Times New Roman"/>
          <w:sz w:val="24"/>
        </w:rPr>
        <w:t>Gürel</w:t>
      </w:r>
      <w:proofErr w:type="spellEnd"/>
      <w:r>
        <w:rPr>
          <w:rFonts w:ascii="Times New Roman" w:eastAsia="Times New Roman" w:hAnsi="Times New Roman"/>
          <w:sz w:val="24"/>
        </w:rPr>
        <w:t xml:space="preserve"> and Tat (2017), </w:t>
      </w:r>
      <w:proofErr w:type="spellStart"/>
      <w:r>
        <w:rPr>
          <w:rFonts w:ascii="Times New Roman" w:eastAsia="Times New Roman" w:hAnsi="Times New Roman"/>
          <w:sz w:val="24"/>
        </w:rPr>
        <w:t>Satpathy</w:t>
      </w:r>
      <w:proofErr w:type="spellEnd"/>
      <w:r>
        <w:rPr>
          <w:rFonts w:ascii="Times New Roman" w:eastAsia="Times New Roman" w:hAnsi="Times New Roman"/>
          <w:sz w:val="24"/>
        </w:rPr>
        <w:t xml:space="preserve"> et al. (2025), and Whittington et al. (2023).</w:t>
      </w:r>
    </w:p>
    <w:p w:rsidR="00AB1C16" w:rsidRDefault="00AB1C16" w:rsidP="00C20BB5">
      <w:pPr>
        <w:rPr>
          <w:rFonts w:ascii="Times New Roman" w:hAnsi="Times New Roman" w:cs="Times New Roman"/>
          <w:b/>
          <w:bCs/>
          <w:sz w:val="28"/>
          <w:szCs w:val="28"/>
        </w:rPr>
      </w:pPr>
    </w:p>
    <w:p w:rsidR="00AB1C16" w:rsidRDefault="00AB1C16" w:rsidP="00C20BB5">
      <w:pPr>
        <w:rPr>
          <w:rFonts w:ascii="Times New Roman" w:hAnsi="Times New Roman" w:cs="Times New Roman"/>
          <w:b/>
          <w:bCs/>
          <w:sz w:val="28"/>
          <w:szCs w:val="28"/>
        </w:rPr>
      </w:pPr>
    </w:p>
    <w:p w:rsidR="00AB1C16" w:rsidRDefault="00AB1C16" w:rsidP="00C20BB5">
      <w:pPr>
        <w:rPr>
          <w:rFonts w:ascii="Times New Roman" w:hAnsi="Times New Roman" w:cs="Times New Roman"/>
          <w:b/>
          <w:bCs/>
          <w:sz w:val="28"/>
          <w:szCs w:val="28"/>
        </w:rPr>
      </w:pPr>
    </w:p>
    <w:p w:rsidR="00AB1C16" w:rsidRDefault="00AB1C16" w:rsidP="00C20BB5">
      <w:pPr>
        <w:rPr>
          <w:rFonts w:ascii="Times New Roman" w:hAnsi="Times New Roman" w:cs="Times New Roman"/>
          <w:b/>
          <w:bCs/>
          <w:sz w:val="28"/>
          <w:szCs w:val="28"/>
        </w:rPr>
      </w:pPr>
    </w:p>
    <w:p w:rsidR="00AB1C16" w:rsidRDefault="00AB1C16" w:rsidP="00C20BB5">
      <w:pPr>
        <w:rPr>
          <w:rFonts w:ascii="Times New Roman" w:hAnsi="Times New Roman" w:cs="Times New Roman"/>
          <w:b/>
          <w:bCs/>
          <w:sz w:val="28"/>
          <w:szCs w:val="28"/>
        </w:rPr>
      </w:pPr>
    </w:p>
    <w:p w:rsidR="00C05B6C" w:rsidRPr="00C20BB5" w:rsidRDefault="00C05B6C" w:rsidP="00C20BB5">
      <w:pPr>
        <w:rPr>
          <w:rFonts w:ascii="Times New Roman" w:hAnsi="Times New Roman" w:cs="Times New Roman"/>
          <w:b/>
          <w:bCs/>
          <w:sz w:val="28"/>
          <w:szCs w:val="28"/>
        </w:rPr>
      </w:pPr>
      <w:r w:rsidRPr="00C20BB5">
        <w:rPr>
          <w:rFonts w:ascii="Times New Roman" w:hAnsi="Times New Roman" w:cs="Times New Roman"/>
          <w:b/>
          <w:bCs/>
          <w:sz w:val="28"/>
          <w:szCs w:val="28"/>
        </w:rPr>
        <w:lastRenderedPageBreak/>
        <w:t>Appendix 1.2 VRIO Summary</w:t>
      </w:r>
    </w:p>
    <w:tbl>
      <w:tblPr>
        <w:tblStyle w:val="TableGrid"/>
        <w:tblW w:w="9325" w:type="dxa"/>
        <w:jc w:val="center"/>
        <w:tblLayout w:type="fixed"/>
        <w:tblLook w:val="04A0" w:firstRow="1" w:lastRow="0" w:firstColumn="1" w:lastColumn="0" w:noHBand="0" w:noVBand="1"/>
      </w:tblPr>
      <w:tblGrid>
        <w:gridCol w:w="1706"/>
        <w:gridCol w:w="1417"/>
        <w:gridCol w:w="1418"/>
        <w:gridCol w:w="1417"/>
        <w:gridCol w:w="1495"/>
        <w:gridCol w:w="1872"/>
      </w:tblGrid>
      <w:tr w:rsidR="00C05B6C" w:rsidTr="00C05B6C">
        <w:trPr>
          <w:jc w:val="center"/>
        </w:trPr>
        <w:tc>
          <w:tcPr>
            <w:tcW w:w="1706"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Resource / Capability</w:t>
            </w:r>
          </w:p>
        </w:tc>
        <w:tc>
          <w:tcPr>
            <w:tcW w:w="1417"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Valuable</w:t>
            </w:r>
          </w:p>
        </w:tc>
        <w:tc>
          <w:tcPr>
            <w:tcW w:w="1418"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Rare</w:t>
            </w:r>
          </w:p>
        </w:tc>
        <w:tc>
          <w:tcPr>
            <w:tcW w:w="1417"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Difficult to Imitate</w:t>
            </w:r>
          </w:p>
        </w:tc>
        <w:tc>
          <w:tcPr>
            <w:tcW w:w="1495" w:type="dxa"/>
            <w:shd w:val="clear" w:color="auto" w:fill="D9EAF7"/>
            <w:tcMar>
              <w:top w:w="80" w:type="dxa"/>
              <w:left w:w="100" w:type="dxa"/>
              <w:bottom w:w="80" w:type="dxa"/>
              <w:right w:w="100" w:type="dxa"/>
            </w:tcMar>
            <w:vAlign w:val="center"/>
          </w:tcPr>
          <w:p w:rsidR="00C05B6C" w:rsidRDefault="00C05B6C" w:rsidP="00793524">
            <w:pPr>
              <w:spacing w:after="60" w:line="276" w:lineRule="auto"/>
            </w:pPr>
            <w:proofErr w:type="spellStart"/>
            <w:r>
              <w:rPr>
                <w:rFonts w:ascii="Times New Roman" w:eastAsia="Times New Roman" w:hAnsi="Times New Roman"/>
                <w:b/>
                <w:sz w:val="24"/>
              </w:rPr>
              <w:t>Organised</w:t>
            </w:r>
            <w:proofErr w:type="spellEnd"/>
            <w:r>
              <w:rPr>
                <w:rFonts w:ascii="Times New Roman" w:eastAsia="Times New Roman" w:hAnsi="Times New Roman"/>
                <w:b/>
                <w:sz w:val="24"/>
              </w:rPr>
              <w:t xml:space="preserve"> to Exploit</w:t>
            </w:r>
          </w:p>
        </w:tc>
        <w:tc>
          <w:tcPr>
            <w:tcW w:w="1872"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Strategic Implication</w:t>
            </w:r>
          </w:p>
        </w:tc>
      </w:tr>
      <w:tr w:rsidR="00C05B6C" w:rsidTr="00C05B6C">
        <w:trPr>
          <w:jc w:val="center"/>
        </w:trPr>
        <w:tc>
          <w:tcPr>
            <w:tcW w:w="170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Premium brand equity</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41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Partly</w:t>
            </w:r>
          </w:p>
        </w:tc>
        <w:tc>
          <w:tcPr>
            <w:tcW w:w="149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8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Competitive advantage</w:t>
            </w:r>
          </w:p>
        </w:tc>
      </w:tr>
      <w:tr w:rsidR="00C05B6C" w:rsidTr="00C05B6C">
        <w:trPr>
          <w:jc w:val="center"/>
        </w:trPr>
        <w:tc>
          <w:tcPr>
            <w:tcW w:w="170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Design capability</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41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Partly</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Partly</w:t>
            </w:r>
          </w:p>
        </w:tc>
        <w:tc>
          <w:tcPr>
            <w:tcW w:w="149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8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Competitive advantage</w:t>
            </w:r>
          </w:p>
        </w:tc>
      </w:tr>
      <w:tr w:rsidR="00C05B6C" w:rsidTr="00C05B6C">
        <w:trPr>
          <w:jc w:val="center"/>
        </w:trPr>
        <w:tc>
          <w:tcPr>
            <w:tcW w:w="170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Tata Motors backing</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41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Partly</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No</w:t>
            </w:r>
          </w:p>
        </w:tc>
        <w:tc>
          <w:tcPr>
            <w:tcW w:w="149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8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Supportive advantage</w:t>
            </w:r>
          </w:p>
        </w:tc>
      </w:tr>
      <w:tr w:rsidR="00C05B6C" w:rsidTr="00C05B6C">
        <w:trPr>
          <w:jc w:val="center"/>
        </w:trPr>
        <w:tc>
          <w:tcPr>
            <w:tcW w:w="170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Strong SUV portfolio</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41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Partly</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No</w:t>
            </w:r>
          </w:p>
        </w:tc>
        <w:tc>
          <w:tcPr>
            <w:tcW w:w="149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Yes</w:t>
            </w:r>
          </w:p>
        </w:tc>
        <w:tc>
          <w:tcPr>
            <w:tcW w:w="18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Current strength but with concentration risk</w:t>
            </w:r>
          </w:p>
        </w:tc>
      </w:tr>
      <w:tr w:rsidR="00C05B6C" w:rsidTr="00C05B6C">
        <w:trPr>
          <w:jc w:val="center"/>
        </w:trPr>
        <w:tc>
          <w:tcPr>
            <w:tcW w:w="170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Software and EV capability</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Increasingly yes</w:t>
            </w:r>
          </w:p>
        </w:tc>
        <w:tc>
          <w:tcPr>
            <w:tcW w:w="141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No</w:t>
            </w:r>
          </w:p>
        </w:tc>
        <w:tc>
          <w:tcPr>
            <w:tcW w:w="1417"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No</w:t>
            </w:r>
          </w:p>
        </w:tc>
        <w:tc>
          <w:tcPr>
            <w:tcW w:w="149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Developing</w:t>
            </w:r>
          </w:p>
        </w:tc>
        <w:tc>
          <w:tcPr>
            <w:tcW w:w="18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Capability gap</w:t>
            </w:r>
          </w:p>
        </w:tc>
      </w:tr>
    </w:tbl>
    <w:p w:rsidR="00753DCE" w:rsidRPr="001E19E7" w:rsidRDefault="00C05B6C" w:rsidP="00C05B6C">
      <w:pPr>
        <w:rPr>
          <w:rFonts w:ascii="Times New Roman" w:eastAsia="Times New Roman" w:hAnsi="Times New Roman"/>
          <w:sz w:val="24"/>
        </w:rPr>
      </w:pPr>
      <w:r w:rsidRPr="00C05B6C">
        <w:rPr>
          <w:rFonts w:ascii="Times New Roman" w:eastAsia="Times New Roman" w:hAnsi="Times New Roman"/>
          <w:bCs/>
          <w:sz w:val="24"/>
        </w:rPr>
        <w:t>Source:</w:t>
      </w:r>
      <w:r>
        <w:rPr>
          <w:rFonts w:ascii="Times New Roman" w:eastAsia="Times New Roman" w:hAnsi="Times New Roman"/>
          <w:b/>
          <w:sz w:val="24"/>
        </w:rPr>
        <w:t xml:space="preserve"> </w:t>
      </w:r>
      <w:r>
        <w:rPr>
          <w:rFonts w:ascii="Times New Roman" w:eastAsia="Times New Roman" w:hAnsi="Times New Roman"/>
          <w:sz w:val="24"/>
        </w:rPr>
        <w:t xml:space="preserve">Author’s own summary based on Barney (1991), JLR (2025), and </w:t>
      </w:r>
      <w:proofErr w:type="spellStart"/>
      <w:r>
        <w:rPr>
          <w:rFonts w:ascii="Times New Roman" w:eastAsia="Times New Roman" w:hAnsi="Times New Roman"/>
          <w:sz w:val="24"/>
        </w:rPr>
        <w:t>Satpathy</w:t>
      </w:r>
      <w:proofErr w:type="spellEnd"/>
      <w:r>
        <w:rPr>
          <w:rFonts w:ascii="Times New Roman" w:eastAsia="Times New Roman" w:hAnsi="Times New Roman"/>
          <w:sz w:val="24"/>
        </w:rPr>
        <w:t xml:space="preserve"> et al. (2025).</w:t>
      </w:r>
    </w:p>
    <w:p w:rsidR="00C05B6C" w:rsidRPr="00C20BB5" w:rsidRDefault="00C05B6C" w:rsidP="00C20BB5">
      <w:pPr>
        <w:rPr>
          <w:rFonts w:ascii="Times New Roman" w:hAnsi="Times New Roman" w:cs="Times New Roman"/>
          <w:b/>
          <w:bCs/>
          <w:sz w:val="28"/>
          <w:szCs w:val="28"/>
        </w:rPr>
      </w:pPr>
      <w:r w:rsidRPr="00C20BB5">
        <w:rPr>
          <w:rFonts w:ascii="Times New Roman" w:hAnsi="Times New Roman" w:cs="Times New Roman"/>
          <w:b/>
          <w:bCs/>
          <w:sz w:val="28"/>
          <w:szCs w:val="28"/>
        </w:rPr>
        <w:t>Appendix 1.3 BCG Portfolio Summary</w:t>
      </w:r>
    </w:p>
    <w:tbl>
      <w:tblPr>
        <w:tblStyle w:val="TableGrid"/>
        <w:tblW w:w="9312" w:type="dxa"/>
        <w:jc w:val="center"/>
        <w:tblLayout w:type="fixed"/>
        <w:tblLook w:val="04A0" w:firstRow="1" w:lastRow="0" w:firstColumn="1" w:lastColumn="0" w:noHBand="0" w:noVBand="1"/>
      </w:tblPr>
      <w:tblGrid>
        <w:gridCol w:w="2131"/>
        <w:gridCol w:w="2285"/>
        <w:gridCol w:w="4896"/>
      </w:tblGrid>
      <w:tr w:rsidR="00C05B6C" w:rsidTr="00C05B6C">
        <w:trPr>
          <w:jc w:val="center"/>
        </w:trPr>
        <w:tc>
          <w:tcPr>
            <w:tcW w:w="2131"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Brand / Segment</w:t>
            </w:r>
          </w:p>
        </w:tc>
        <w:tc>
          <w:tcPr>
            <w:tcW w:w="2285"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Position</w:t>
            </w:r>
          </w:p>
        </w:tc>
        <w:tc>
          <w:tcPr>
            <w:tcW w:w="4896"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Reason</w:t>
            </w:r>
          </w:p>
        </w:tc>
      </w:tr>
      <w:tr w:rsidR="00C05B6C" w:rsidTr="00C05B6C">
        <w:trPr>
          <w:jc w:val="center"/>
        </w:trPr>
        <w:tc>
          <w:tcPr>
            <w:tcW w:w="2131"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Range Rover</w:t>
            </w:r>
          </w:p>
        </w:tc>
        <w:tc>
          <w:tcPr>
            <w:tcW w:w="228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Star / Cash Generator</w:t>
            </w:r>
          </w:p>
        </w:tc>
        <w:tc>
          <w:tcPr>
            <w:tcW w:w="489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Strong demand, premium margins and major contribution to profitability</w:t>
            </w:r>
          </w:p>
        </w:tc>
      </w:tr>
      <w:tr w:rsidR="00C05B6C" w:rsidTr="00C05B6C">
        <w:trPr>
          <w:jc w:val="center"/>
        </w:trPr>
        <w:tc>
          <w:tcPr>
            <w:tcW w:w="2131"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Defender</w:t>
            </w:r>
          </w:p>
        </w:tc>
        <w:tc>
          <w:tcPr>
            <w:tcW w:w="228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Star / Cash Generator</w:t>
            </w:r>
          </w:p>
        </w:tc>
        <w:tc>
          <w:tcPr>
            <w:tcW w:w="489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High sales performance and strong pricing power</w:t>
            </w:r>
          </w:p>
        </w:tc>
      </w:tr>
      <w:tr w:rsidR="00C05B6C" w:rsidTr="00C05B6C">
        <w:trPr>
          <w:jc w:val="center"/>
        </w:trPr>
        <w:tc>
          <w:tcPr>
            <w:tcW w:w="2131"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Discovery</w:t>
            </w:r>
          </w:p>
        </w:tc>
        <w:tc>
          <w:tcPr>
            <w:tcW w:w="228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Intermediate position</w:t>
            </w:r>
          </w:p>
        </w:tc>
        <w:tc>
          <w:tcPr>
            <w:tcW w:w="489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Established brand but lower strategic momentum than key SUV lines</w:t>
            </w:r>
          </w:p>
        </w:tc>
      </w:tr>
      <w:tr w:rsidR="00C05B6C" w:rsidTr="00C05B6C">
        <w:trPr>
          <w:jc w:val="center"/>
        </w:trPr>
        <w:tc>
          <w:tcPr>
            <w:tcW w:w="2131"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Jaguar</w:t>
            </w:r>
          </w:p>
        </w:tc>
        <w:tc>
          <w:tcPr>
            <w:tcW w:w="2285"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Question Mark</w:t>
            </w:r>
          </w:p>
        </w:tc>
        <w:tc>
          <w:tcPr>
            <w:tcW w:w="489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EV repositioning is strategically important but commercially uncertain</w:t>
            </w:r>
          </w:p>
        </w:tc>
      </w:tr>
    </w:tbl>
    <w:p w:rsidR="00E31F91" w:rsidRPr="00E31F91" w:rsidRDefault="00C05B6C" w:rsidP="00C20BB5">
      <w:r w:rsidRPr="00DD6C8D">
        <w:rPr>
          <w:rFonts w:ascii="Times New Roman" w:eastAsia="Times New Roman" w:hAnsi="Times New Roman"/>
          <w:bCs/>
          <w:sz w:val="24"/>
        </w:rPr>
        <w:t>Source:</w:t>
      </w:r>
      <w:r>
        <w:rPr>
          <w:rFonts w:ascii="Times New Roman" w:eastAsia="Times New Roman" w:hAnsi="Times New Roman"/>
          <w:b/>
          <w:sz w:val="24"/>
        </w:rPr>
        <w:t xml:space="preserve"> </w:t>
      </w:r>
      <w:r>
        <w:rPr>
          <w:rFonts w:ascii="Times New Roman" w:eastAsia="Times New Roman" w:hAnsi="Times New Roman"/>
          <w:sz w:val="24"/>
        </w:rPr>
        <w:t>Author’s own summary based on Henderson (1970) and JLR (2025).</w:t>
      </w:r>
    </w:p>
    <w:p w:rsidR="00AB1C16" w:rsidRDefault="00AB1C16" w:rsidP="00C20BB5">
      <w:pPr>
        <w:rPr>
          <w:rFonts w:ascii="Times New Roman" w:hAnsi="Times New Roman" w:cs="Times New Roman"/>
          <w:b/>
          <w:bCs/>
          <w:sz w:val="28"/>
          <w:szCs w:val="28"/>
        </w:rPr>
      </w:pPr>
    </w:p>
    <w:p w:rsidR="00AB1C16" w:rsidRDefault="00AB1C16" w:rsidP="00C20BB5">
      <w:pPr>
        <w:rPr>
          <w:rFonts w:ascii="Times New Roman" w:hAnsi="Times New Roman" w:cs="Times New Roman"/>
          <w:b/>
          <w:bCs/>
          <w:sz w:val="28"/>
          <w:szCs w:val="28"/>
        </w:rPr>
      </w:pPr>
    </w:p>
    <w:p w:rsidR="00AB1C16" w:rsidRDefault="00AB1C16" w:rsidP="00C20BB5">
      <w:pPr>
        <w:rPr>
          <w:rFonts w:ascii="Times New Roman" w:hAnsi="Times New Roman" w:cs="Times New Roman"/>
          <w:b/>
          <w:bCs/>
          <w:sz w:val="28"/>
          <w:szCs w:val="28"/>
        </w:rPr>
      </w:pPr>
    </w:p>
    <w:p w:rsidR="00C05B6C" w:rsidRPr="00C20BB5" w:rsidRDefault="00C05B6C" w:rsidP="00C20BB5">
      <w:pPr>
        <w:rPr>
          <w:rFonts w:ascii="Times New Roman" w:hAnsi="Times New Roman" w:cs="Times New Roman"/>
          <w:b/>
          <w:bCs/>
          <w:sz w:val="28"/>
          <w:szCs w:val="28"/>
        </w:rPr>
      </w:pPr>
      <w:r w:rsidRPr="00C20BB5">
        <w:rPr>
          <w:rFonts w:ascii="Times New Roman" w:hAnsi="Times New Roman" w:cs="Times New Roman"/>
          <w:b/>
          <w:bCs/>
          <w:sz w:val="28"/>
          <w:szCs w:val="28"/>
        </w:rPr>
        <w:lastRenderedPageBreak/>
        <w:t>Appendix 1.4 Porter’s Five Forces Summary</w:t>
      </w:r>
    </w:p>
    <w:tbl>
      <w:tblPr>
        <w:tblStyle w:val="TableGrid"/>
        <w:tblW w:w="9389" w:type="dxa"/>
        <w:jc w:val="center"/>
        <w:tblLayout w:type="fixed"/>
        <w:tblLook w:val="04A0" w:firstRow="1" w:lastRow="0" w:firstColumn="1" w:lastColumn="0" w:noHBand="0" w:noVBand="1"/>
      </w:tblPr>
      <w:tblGrid>
        <w:gridCol w:w="2273"/>
        <w:gridCol w:w="1860"/>
        <w:gridCol w:w="5256"/>
      </w:tblGrid>
      <w:tr w:rsidR="00C05B6C" w:rsidTr="00DD6C8D">
        <w:trPr>
          <w:jc w:val="center"/>
        </w:trPr>
        <w:tc>
          <w:tcPr>
            <w:tcW w:w="2273"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Force</w:t>
            </w:r>
          </w:p>
        </w:tc>
        <w:tc>
          <w:tcPr>
            <w:tcW w:w="1860"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Level</w:t>
            </w:r>
          </w:p>
        </w:tc>
        <w:tc>
          <w:tcPr>
            <w:tcW w:w="5256"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Implication for JLR</w:t>
            </w:r>
          </w:p>
        </w:tc>
      </w:tr>
      <w:tr w:rsidR="00C05B6C" w:rsidTr="00DD6C8D">
        <w:trPr>
          <w:jc w:val="center"/>
        </w:trPr>
        <w:tc>
          <w:tcPr>
            <w:tcW w:w="22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Competitive rivalry</w:t>
            </w:r>
          </w:p>
        </w:tc>
        <w:tc>
          <w:tcPr>
            <w:tcW w:w="186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High</w:t>
            </w:r>
          </w:p>
        </w:tc>
        <w:tc>
          <w:tcPr>
            <w:tcW w:w="525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Strong competition from BMW, Mercedes-Benz, Audi and EV-led challengers</w:t>
            </w:r>
          </w:p>
        </w:tc>
      </w:tr>
      <w:tr w:rsidR="00C05B6C" w:rsidTr="00DD6C8D">
        <w:trPr>
          <w:jc w:val="center"/>
        </w:trPr>
        <w:tc>
          <w:tcPr>
            <w:tcW w:w="22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Buyer power</w:t>
            </w:r>
          </w:p>
        </w:tc>
        <w:tc>
          <w:tcPr>
            <w:tcW w:w="186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Moderate to high</w:t>
            </w:r>
          </w:p>
        </w:tc>
        <w:tc>
          <w:tcPr>
            <w:tcW w:w="525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Premium consumers have significant choice and rising expectations</w:t>
            </w:r>
          </w:p>
        </w:tc>
      </w:tr>
      <w:tr w:rsidR="00C05B6C" w:rsidTr="00DD6C8D">
        <w:trPr>
          <w:jc w:val="center"/>
        </w:trPr>
        <w:tc>
          <w:tcPr>
            <w:tcW w:w="22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Supplier power</w:t>
            </w:r>
          </w:p>
        </w:tc>
        <w:tc>
          <w:tcPr>
            <w:tcW w:w="186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High</w:t>
            </w:r>
          </w:p>
        </w:tc>
        <w:tc>
          <w:tcPr>
            <w:tcW w:w="525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Dependence on batteries, semiconductors and specialist software suppliers</w:t>
            </w:r>
          </w:p>
        </w:tc>
      </w:tr>
      <w:tr w:rsidR="00C05B6C" w:rsidTr="00DD6C8D">
        <w:trPr>
          <w:jc w:val="center"/>
        </w:trPr>
        <w:tc>
          <w:tcPr>
            <w:tcW w:w="22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Threat of substitutes</w:t>
            </w:r>
          </w:p>
        </w:tc>
        <w:tc>
          <w:tcPr>
            <w:tcW w:w="186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Moderate</w:t>
            </w:r>
          </w:p>
        </w:tc>
        <w:tc>
          <w:tcPr>
            <w:tcW w:w="525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Alternative mobility exists, although premium private vehicles remain attractive</w:t>
            </w:r>
          </w:p>
        </w:tc>
      </w:tr>
      <w:tr w:rsidR="00C05B6C" w:rsidTr="00DD6C8D">
        <w:trPr>
          <w:jc w:val="center"/>
        </w:trPr>
        <w:tc>
          <w:tcPr>
            <w:tcW w:w="22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Threat of new entrants</w:t>
            </w:r>
          </w:p>
        </w:tc>
        <w:tc>
          <w:tcPr>
            <w:tcW w:w="1860"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Moderate</w:t>
            </w:r>
          </w:p>
        </w:tc>
        <w:tc>
          <w:tcPr>
            <w:tcW w:w="5256"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Entry barriers are high, but EV-focused firms can still challenge incumbents</w:t>
            </w:r>
          </w:p>
        </w:tc>
      </w:tr>
    </w:tbl>
    <w:p w:rsidR="00753DCE" w:rsidRPr="00E31F91" w:rsidRDefault="00C05B6C" w:rsidP="00C05B6C">
      <w:pPr>
        <w:rPr>
          <w:rFonts w:ascii="Times New Roman" w:eastAsia="Times New Roman" w:hAnsi="Times New Roman"/>
          <w:sz w:val="24"/>
        </w:rPr>
      </w:pPr>
      <w:r w:rsidRPr="00DD6C8D">
        <w:rPr>
          <w:rFonts w:ascii="Times New Roman" w:eastAsia="Times New Roman" w:hAnsi="Times New Roman"/>
          <w:bCs/>
          <w:sz w:val="24"/>
        </w:rPr>
        <w:t>Source:</w:t>
      </w:r>
      <w:r>
        <w:rPr>
          <w:rFonts w:ascii="Times New Roman" w:eastAsia="Times New Roman" w:hAnsi="Times New Roman"/>
          <w:b/>
          <w:sz w:val="24"/>
        </w:rPr>
        <w:t xml:space="preserve"> </w:t>
      </w:r>
      <w:r>
        <w:rPr>
          <w:rFonts w:ascii="Times New Roman" w:eastAsia="Times New Roman" w:hAnsi="Times New Roman"/>
          <w:sz w:val="24"/>
        </w:rPr>
        <w:t xml:space="preserve">Author’s own summary based on Porter (2008), JLR (2025), and </w:t>
      </w:r>
      <w:proofErr w:type="spellStart"/>
      <w:r>
        <w:rPr>
          <w:rFonts w:ascii="Times New Roman" w:eastAsia="Times New Roman" w:hAnsi="Times New Roman"/>
          <w:sz w:val="24"/>
        </w:rPr>
        <w:t>Satpathy</w:t>
      </w:r>
      <w:proofErr w:type="spellEnd"/>
      <w:r>
        <w:rPr>
          <w:rFonts w:ascii="Times New Roman" w:eastAsia="Times New Roman" w:hAnsi="Times New Roman"/>
          <w:sz w:val="24"/>
        </w:rPr>
        <w:t xml:space="preserve"> et al. (2025).</w:t>
      </w:r>
    </w:p>
    <w:p w:rsidR="00C05B6C" w:rsidRPr="00C20BB5" w:rsidRDefault="00C05B6C" w:rsidP="00C20BB5">
      <w:pPr>
        <w:rPr>
          <w:rFonts w:ascii="Times New Roman" w:hAnsi="Times New Roman" w:cs="Times New Roman"/>
          <w:b/>
          <w:bCs/>
          <w:sz w:val="28"/>
          <w:szCs w:val="28"/>
        </w:rPr>
      </w:pPr>
      <w:r w:rsidRPr="00C20BB5">
        <w:rPr>
          <w:rFonts w:ascii="Times New Roman" w:hAnsi="Times New Roman" w:cs="Times New Roman"/>
          <w:b/>
          <w:bCs/>
          <w:sz w:val="28"/>
          <w:szCs w:val="28"/>
        </w:rPr>
        <w:t>Appendix 1.5 Strategic Option Summary</w:t>
      </w:r>
    </w:p>
    <w:tbl>
      <w:tblPr>
        <w:tblStyle w:val="TableGrid"/>
        <w:tblW w:w="9413" w:type="dxa"/>
        <w:jc w:val="center"/>
        <w:tblLayout w:type="fixed"/>
        <w:tblLook w:val="04A0" w:firstRow="1" w:lastRow="0" w:firstColumn="1" w:lastColumn="0" w:noHBand="0" w:noVBand="1"/>
      </w:tblPr>
      <w:tblGrid>
        <w:gridCol w:w="2573"/>
        <w:gridCol w:w="3168"/>
        <w:gridCol w:w="3672"/>
      </w:tblGrid>
      <w:tr w:rsidR="00C05B6C" w:rsidTr="00DD6C8D">
        <w:trPr>
          <w:jc w:val="center"/>
        </w:trPr>
        <w:tc>
          <w:tcPr>
            <w:tcW w:w="2573"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Option</w:t>
            </w:r>
          </w:p>
        </w:tc>
        <w:tc>
          <w:tcPr>
            <w:tcW w:w="3168"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Advantages</w:t>
            </w:r>
          </w:p>
        </w:tc>
        <w:tc>
          <w:tcPr>
            <w:tcW w:w="3672" w:type="dxa"/>
            <w:shd w:val="clear" w:color="auto" w:fill="D9EAF7"/>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b/>
                <w:sz w:val="24"/>
              </w:rPr>
              <w:t>Risks / Limitations</w:t>
            </w:r>
          </w:p>
        </w:tc>
      </w:tr>
      <w:tr w:rsidR="00C05B6C" w:rsidTr="00DD6C8D">
        <w:trPr>
          <w:jc w:val="center"/>
        </w:trPr>
        <w:tc>
          <w:tcPr>
            <w:tcW w:w="25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Rapid full electrification</w:t>
            </w:r>
          </w:p>
        </w:tc>
        <w:tc>
          <w:tcPr>
            <w:tcW w:w="316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Strong regulatory and sustainability alignment</w:t>
            </w:r>
          </w:p>
        </w:tc>
        <w:tc>
          <w:tcPr>
            <w:tcW w:w="36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High investment risk and uneven market readiness</w:t>
            </w:r>
          </w:p>
        </w:tc>
      </w:tr>
      <w:tr w:rsidR="00C05B6C" w:rsidTr="00DD6C8D">
        <w:trPr>
          <w:jc w:val="center"/>
        </w:trPr>
        <w:tc>
          <w:tcPr>
            <w:tcW w:w="25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 xml:space="preserve">Combustion-led profit </w:t>
            </w:r>
            <w:proofErr w:type="spellStart"/>
            <w:r>
              <w:rPr>
                <w:rFonts w:ascii="Times New Roman" w:eastAsia="Times New Roman" w:hAnsi="Times New Roman"/>
                <w:sz w:val="24"/>
              </w:rPr>
              <w:t>defence</w:t>
            </w:r>
            <w:proofErr w:type="spellEnd"/>
          </w:p>
        </w:tc>
        <w:tc>
          <w:tcPr>
            <w:tcW w:w="316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Protects short-term margins and cash flow</w:t>
            </w:r>
          </w:p>
        </w:tc>
        <w:tc>
          <w:tcPr>
            <w:tcW w:w="36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Delays capability development and risks regulatory misalignment</w:t>
            </w:r>
          </w:p>
        </w:tc>
      </w:tr>
      <w:tr w:rsidR="00C05B6C" w:rsidTr="00DD6C8D">
        <w:trPr>
          <w:jc w:val="center"/>
        </w:trPr>
        <w:tc>
          <w:tcPr>
            <w:tcW w:w="2573"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Phased dual-powertrain strategy</w:t>
            </w:r>
          </w:p>
        </w:tc>
        <w:tc>
          <w:tcPr>
            <w:tcW w:w="3168"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Balances profitability, flexibility and transition risk</w:t>
            </w:r>
          </w:p>
        </w:tc>
        <w:tc>
          <w:tcPr>
            <w:tcW w:w="3672" w:type="dxa"/>
            <w:tcMar>
              <w:top w:w="80" w:type="dxa"/>
              <w:left w:w="100" w:type="dxa"/>
              <w:bottom w:w="80" w:type="dxa"/>
              <w:right w:w="100" w:type="dxa"/>
            </w:tcMar>
            <w:vAlign w:val="center"/>
          </w:tcPr>
          <w:p w:rsidR="00C05B6C" w:rsidRDefault="00C05B6C" w:rsidP="00793524">
            <w:pPr>
              <w:spacing w:after="60" w:line="276" w:lineRule="auto"/>
            </w:pPr>
            <w:r>
              <w:rPr>
                <w:rFonts w:ascii="Times New Roman" w:eastAsia="Times New Roman" w:hAnsi="Times New Roman"/>
                <w:sz w:val="24"/>
              </w:rPr>
              <w:t>May reduce focus if investment is spread too widely</w:t>
            </w:r>
          </w:p>
        </w:tc>
      </w:tr>
    </w:tbl>
    <w:p w:rsidR="00E31F91" w:rsidRDefault="00E31F91" w:rsidP="00E31F91">
      <w:pPr>
        <w:spacing w:line="360" w:lineRule="auto"/>
        <w:rPr>
          <w:rFonts w:ascii="Times New Roman" w:eastAsia="Times New Roman" w:hAnsi="Times New Roman"/>
          <w:b/>
          <w:sz w:val="24"/>
        </w:rPr>
      </w:pPr>
    </w:p>
    <w:p w:rsidR="00C05B6C" w:rsidRDefault="00C05B6C" w:rsidP="001E19E7">
      <w:pPr>
        <w:spacing w:line="240" w:lineRule="auto"/>
      </w:pPr>
      <w:r>
        <w:rPr>
          <w:rFonts w:ascii="Times New Roman" w:eastAsia="Times New Roman" w:hAnsi="Times New Roman"/>
          <w:b/>
          <w:sz w:val="24"/>
        </w:rPr>
        <w:t xml:space="preserve">Preferred option: </w:t>
      </w:r>
      <w:r>
        <w:rPr>
          <w:rFonts w:ascii="Times New Roman" w:eastAsia="Times New Roman" w:hAnsi="Times New Roman"/>
          <w:sz w:val="24"/>
        </w:rPr>
        <w:t>Phased dual-powertrain strategy.</w:t>
      </w:r>
    </w:p>
    <w:p w:rsidR="00C05B6C" w:rsidRDefault="00C05B6C" w:rsidP="001E19E7">
      <w:pPr>
        <w:spacing w:line="240" w:lineRule="auto"/>
      </w:pPr>
      <w:r w:rsidRPr="00DD6C8D">
        <w:rPr>
          <w:rFonts w:ascii="Times New Roman" w:eastAsia="Times New Roman" w:hAnsi="Times New Roman"/>
          <w:bCs/>
          <w:sz w:val="24"/>
        </w:rPr>
        <w:t>Source:</w:t>
      </w:r>
      <w:r>
        <w:rPr>
          <w:rFonts w:ascii="Times New Roman" w:eastAsia="Times New Roman" w:hAnsi="Times New Roman"/>
          <w:b/>
          <w:sz w:val="24"/>
        </w:rPr>
        <w:t xml:space="preserve"> </w:t>
      </w:r>
      <w:r>
        <w:rPr>
          <w:rFonts w:ascii="Times New Roman" w:eastAsia="Times New Roman" w:hAnsi="Times New Roman"/>
          <w:sz w:val="24"/>
        </w:rPr>
        <w:t>Author’s own summary based on JLR (2025), Porter (2008), International Energy Agency (2024), Barney (1991), and Whittington et al. (2023).</w:t>
      </w:r>
    </w:p>
    <w:p w:rsidR="00C05B6C" w:rsidRPr="00DD6C8D" w:rsidRDefault="00C05B6C" w:rsidP="00DD6C8D">
      <w:pPr>
        <w:pStyle w:val="Heading2"/>
        <w:spacing w:line="360" w:lineRule="auto"/>
        <w:rPr>
          <w:rFonts w:ascii="Times New Roman" w:hAnsi="Times New Roman" w:cs="Times New Roman"/>
          <w:sz w:val="28"/>
          <w:szCs w:val="28"/>
        </w:rPr>
      </w:pPr>
      <w:bookmarkStart w:id="12" w:name="_Toc227676760"/>
      <w:r w:rsidRPr="00DD6C8D">
        <w:rPr>
          <w:rFonts w:ascii="Times New Roman" w:hAnsi="Times New Roman" w:cs="Times New Roman"/>
          <w:sz w:val="28"/>
          <w:szCs w:val="28"/>
        </w:rPr>
        <w:t>Appendix 2: Note on the Use of the Appendix</w:t>
      </w:r>
      <w:bookmarkEnd w:id="12"/>
    </w:p>
    <w:p w:rsidR="005205BF" w:rsidRPr="00E31F91" w:rsidRDefault="00C05B6C" w:rsidP="00E31F91">
      <w:pPr>
        <w:spacing w:after="120" w:line="360" w:lineRule="auto"/>
      </w:pPr>
      <w:r>
        <w:rPr>
          <w:rFonts w:ascii="Times New Roman" w:eastAsia="Times New Roman" w:hAnsi="Times New Roman"/>
          <w:sz w:val="24"/>
        </w:rPr>
        <w:t xml:space="preserve">This appendix is included to support the main report by </w:t>
      </w:r>
      <w:proofErr w:type="spellStart"/>
      <w:r>
        <w:rPr>
          <w:rFonts w:ascii="Times New Roman" w:eastAsia="Times New Roman" w:hAnsi="Times New Roman"/>
          <w:sz w:val="24"/>
        </w:rPr>
        <w:t>summarising</w:t>
      </w:r>
      <w:proofErr w:type="spellEnd"/>
      <w:r>
        <w:rPr>
          <w:rFonts w:ascii="Times New Roman" w:eastAsia="Times New Roman" w:hAnsi="Times New Roman"/>
          <w:sz w:val="24"/>
        </w:rPr>
        <w:t xml:space="preserve"> the analytical models applied to JLR’s strategic position. It is intended to present supporting evidence in a concise format and should be read alongside the critical discussion in the main body of the report, rather than as a substitute for it.</w:t>
      </w:r>
    </w:p>
    <w:sectPr w:rsidR="005205BF" w:rsidRPr="00E31F91" w:rsidSect="00034616">
      <w:pgSz w:w="12240" w:h="15840"/>
      <w:pgMar w:top="1152" w:right="1440"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40696246">
    <w:abstractNumId w:val="8"/>
  </w:num>
  <w:num w:numId="2" w16cid:durableId="717433306">
    <w:abstractNumId w:val="6"/>
  </w:num>
  <w:num w:numId="3" w16cid:durableId="307170975">
    <w:abstractNumId w:val="5"/>
  </w:num>
  <w:num w:numId="4" w16cid:durableId="31421278">
    <w:abstractNumId w:val="4"/>
  </w:num>
  <w:num w:numId="5" w16cid:durableId="1160002206">
    <w:abstractNumId w:val="7"/>
  </w:num>
  <w:num w:numId="6" w16cid:durableId="1363048053">
    <w:abstractNumId w:val="3"/>
  </w:num>
  <w:num w:numId="7" w16cid:durableId="1821926671">
    <w:abstractNumId w:val="2"/>
  </w:num>
  <w:num w:numId="8" w16cid:durableId="184489692">
    <w:abstractNumId w:val="1"/>
  </w:num>
  <w:num w:numId="9" w16cid:durableId="1052386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16C1"/>
    <w:rsid w:val="00034616"/>
    <w:rsid w:val="0006063C"/>
    <w:rsid w:val="00070421"/>
    <w:rsid w:val="00076D90"/>
    <w:rsid w:val="0007787B"/>
    <w:rsid w:val="000C305D"/>
    <w:rsid w:val="000F4880"/>
    <w:rsid w:val="000F6FD9"/>
    <w:rsid w:val="00112976"/>
    <w:rsid w:val="00115521"/>
    <w:rsid w:val="001352F0"/>
    <w:rsid w:val="00137A99"/>
    <w:rsid w:val="0015074B"/>
    <w:rsid w:val="00160C1D"/>
    <w:rsid w:val="001B133D"/>
    <w:rsid w:val="001E19E7"/>
    <w:rsid w:val="0020514C"/>
    <w:rsid w:val="002078BC"/>
    <w:rsid w:val="00240AFC"/>
    <w:rsid w:val="00261D61"/>
    <w:rsid w:val="0029639D"/>
    <w:rsid w:val="00312A17"/>
    <w:rsid w:val="00312B69"/>
    <w:rsid w:val="00326F90"/>
    <w:rsid w:val="003550D8"/>
    <w:rsid w:val="00390635"/>
    <w:rsid w:val="003A2765"/>
    <w:rsid w:val="003A49B6"/>
    <w:rsid w:val="003D024D"/>
    <w:rsid w:val="003D4288"/>
    <w:rsid w:val="004662BF"/>
    <w:rsid w:val="004676EF"/>
    <w:rsid w:val="0047005C"/>
    <w:rsid w:val="00475EEF"/>
    <w:rsid w:val="004A2EE2"/>
    <w:rsid w:val="004A51D4"/>
    <w:rsid w:val="004D72E7"/>
    <w:rsid w:val="005205BF"/>
    <w:rsid w:val="00521AFC"/>
    <w:rsid w:val="00522BF5"/>
    <w:rsid w:val="005B0CE0"/>
    <w:rsid w:val="005C6375"/>
    <w:rsid w:val="005D4292"/>
    <w:rsid w:val="00617DA3"/>
    <w:rsid w:val="00617F82"/>
    <w:rsid w:val="00635EC0"/>
    <w:rsid w:val="00696998"/>
    <w:rsid w:val="006F2D20"/>
    <w:rsid w:val="007344B5"/>
    <w:rsid w:val="00753DCE"/>
    <w:rsid w:val="00755688"/>
    <w:rsid w:val="007B40D8"/>
    <w:rsid w:val="007E13DF"/>
    <w:rsid w:val="007E37C1"/>
    <w:rsid w:val="008166E5"/>
    <w:rsid w:val="00943BC5"/>
    <w:rsid w:val="0094643A"/>
    <w:rsid w:val="00946498"/>
    <w:rsid w:val="00952D65"/>
    <w:rsid w:val="00982628"/>
    <w:rsid w:val="009C3DAE"/>
    <w:rsid w:val="009C5E91"/>
    <w:rsid w:val="009F3DF6"/>
    <w:rsid w:val="00A50267"/>
    <w:rsid w:val="00A70F90"/>
    <w:rsid w:val="00A9496E"/>
    <w:rsid w:val="00AA1D8D"/>
    <w:rsid w:val="00AB1C16"/>
    <w:rsid w:val="00AB7C89"/>
    <w:rsid w:val="00AD4A8A"/>
    <w:rsid w:val="00AF5977"/>
    <w:rsid w:val="00AF6494"/>
    <w:rsid w:val="00B046F2"/>
    <w:rsid w:val="00B06B0A"/>
    <w:rsid w:val="00B338A3"/>
    <w:rsid w:val="00B36C43"/>
    <w:rsid w:val="00B47730"/>
    <w:rsid w:val="00B60D99"/>
    <w:rsid w:val="00B62C0C"/>
    <w:rsid w:val="00B719B3"/>
    <w:rsid w:val="00C05B6C"/>
    <w:rsid w:val="00C06446"/>
    <w:rsid w:val="00C20BB5"/>
    <w:rsid w:val="00C54FE1"/>
    <w:rsid w:val="00CB0664"/>
    <w:rsid w:val="00D021B6"/>
    <w:rsid w:val="00D3385B"/>
    <w:rsid w:val="00D645DE"/>
    <w:rsid w:val="00D67C3A"/>
    <w:rsid w:val="00D75D16"/>
    <w:rsid w:val="00D81939"/>
    <w:rsid w:val="00D931BA"/>
    <w:rsid w:val="00D93B5B"/>
    <w:rsid w:val="00DA6535"/>
    <w:rsid w:val="00DD5E7F"/>
    <w:rsid w:val="00DD6C8D"/>
    <w:rsid w:val="00E106F4"/>
    <w:rsid w:val="00E31F91"/>
    <w:rsid w:val="00E85851"/>
    <w:rsid w:val="00E94591"/>
    <w:rsid w:val="00EA337B"/>
    <w:rsid w:val="00EA5522"/>
    <w:rsid w:val="00EE37D9"/>
    <w:rsid w:val="00F0021A"/>
    <w:rsid w:val="00F005E2"/>
    <w:rsid w:val="00F504C6"/>
    <w:rsid w:val="00F568E6"/>
    <w:rsid w:val="00F64BC4"/>
    <w:rsid w:val="00F82517"/>
    <w:rsid w:val="00F97DA7"/>
    <w:rsid w:val="00FC242B"/>
    <w:rsid w:val="00FC693F"/>
    <w:rsid w:val="00FD17B3"/>
    <w:rsid w:val="00FE19B2"/>
    <w:rsid w:val="00FE4DB9"/>
    <w:rsid w:val="00FE5518"/>
    <w:rsid w:val="00FE79F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2D08AC"/>
  <w14:defaultImageDpi w14:val="300"/>
  <w15:docId w15:val="{F8F6E9AE-6FD6-DB40-98A8-4F93B9467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373737"/>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Title">
    <w:name w:val="ReportTitle"/>
    <w:rPr>
      <w:rFonts w:ascii="Calibri" w:hAnsi="Calibri"/>
      <w:b/>
      <w:color w:val="1F4E79"/>
      <w:sz w:val="36"/>
    </w:rPr>
  </w:style>
  <w:style w:type="paragraph" w:customStyle="1" w:styleId="SubtleNote">
    <w:name w:val="SubtleNote"/>
    <w:rPr>
      <w:rFonts w:ascii="Calibri" w:hAnsi="Calibri"/>
      <w:i/>
      <w:color w:val="606060"/>
      <w:sz w:val="18"/>
    </w:rPr>
  </w:style>
  <w:style w:type="character" w:customStyle="1" w:styleId="apple-converted-space">
    <w:name w:val="apple-converted-space"/>
    <w:basedOn w:val="DefaultParagraphFont"/>
    <w:rsid w:val="00AD4A8A"/>
  </w:style>
  <w:style w:type="paragraph" w:styleId="TOC1">
    <w:name w:val="toc 1"/>
    <w:basedOn w:val="Normal"/>
    <w:next w:val="Normal"/>
    <w:autoRedefine/>
    <w:uiPriority w:val="39"/>
    <w:unhideWhenUsed/>
    <w:rsid w:val="005D4292"/>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5D4292"/>
    <w:pPr>
      <w:spacing w:before="120" w:after="0"/>
      <w:ind w:left="220"/>
    </w:pPr>
    <w:rPr>
      <w:rFonts w:asciiTheme="minorHAnsi" w:hAnsiTheme="minorHAnsi"/>
      <w:b/>
      <w:bCs/>
    </w:rPr>
  </w:style>
  <w:style w:type="character" w:styleId="Hyperlink">
    <w:name w:val="Hyperlink"/>
    <w:basedOn w:val="DefaultParagraphFont"/>
    <w:uiPriority w:val="99"/>
    <w:unhideWhenUsed/>
    <w:rsid w:val="005D4292"/>
    <w:rPr>
      <w:color w:val="0000FF" w:themeColor="hyperlink"/>
      <w:u w:val="single"/>
    </w:rPr>
  </w:style>
  <w:style w:type="paragraph" w:styleId="TOC3">
    <w:name w:val="toc 3"/>
    <w:basedOn w:val="Normal"/>
    <w:next w:val="Normal"/>
    <w:autoRedefine/>
    <w:uiPriority w:val="39"/>
    <w:semiHidden/>
    <w:unhideWhenUsed/>
    <w:rsid w:val="005D4292"/>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5D4292"/>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5D4292"/>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5D4292"/>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5D4292"/>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5D4292"/>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5D4292"/>
    <w:pPr>
      <w:spacing w:after="0"/>
      <w:ind w:left="1760"/>
    </w:pPr>
    <w:rPr>
      <w:rFonts w:asciiTheme="minorHAnsi" w:hAnsiTheme="minorHAnsi"/>
      <w:sz w:val="20"/>
      <w:szCs w:val="20"/>
    </w:rPr>
  </w:style>
  <w:style w:type="paragraph" w:styleId="NormalWeb">
    <w:name w:val="Normal (Web)"/>
    <w:basedOn w:val="Normal"/>
    <w:uiPriority w:val="99"/>
    <w:semiHidden/>
    <w:unhideWhenUsed/>
    <w:rsid w:val="00076D9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355208">
      <w:bodyDiv w:val="1"/>
      <w:marLeft w:val="0"/>
      <w:marRight w:val="0"/>
      <w:marTop w:val="0"/>
      <w:marBottom w:val="0"/>
      <w:divBdr>
        <w:top w:val="none" w:sz="0" w:space="0" w:color="auto"/>
        <w:left w:val="none" w:sz="0" w:space="0" w:color="auto"/>
        <w:bottom w:val="none" w:sz="0" w:space="0" w:color="auto"/>
        <w:right w:val="none" w:sz="0" w:space="0" w:color="auto"/>
      </w:divBdr>
    </w:div>
    <w:div w:id="281883916">
      <w:bodyDiv w:val="1"/>
      <w:marLeft w:val="0"/>
      <w:marRight w:val="0"/>
      <w:marTop w:val="0"/>
      <w:marBottom w:val="0"/>
      <w:divBdr>
        <w:top w:val="none" w:sz="0" w:space="0" w:color="auto"/>
        <w:left w:val="none" w:sz="0" w:space="0" w:color="auto"/>
        <w:bottom w:val="none" w:sz="0" w:space="0" w:color="auto"/>
        <w:right w:val="none" w:sz="0" w:space="0" w:color="auto"/>
      </w:divBdr>
    </w:div>
    <w:div w:id="319239024">
      <w:bodyDiv w:val="1"/>
      <w:marLeft w:val="0"/>
      <w:marRight w:val="0"/>
      <w:marTop w:val="0"/>
      <w:marBottom w:val="0"/>
      <w:divBdr>
        <w:top w:val="none" w:sz="0" w:space="0" w:color="auto"/>
        <w:left w:val="none" w:sz="0" w:space="0" w:color="auto"/>
        <w:bottom w:val="none" w:sz="0" w:space="0" w:color="auto"/>
        <w:right w:val="none" w:sz="0" w:space="0" w:color="auto"/>
      </w:divBdr>
    </w:div>
    <w:div w:id="413206173">
      <w:bodyDiv w:val="1"/>
      <w:marLeft w:val="0"/>
      <w:marRight w:val="0"/>
      <w:marTop w:val="0"/>
      <w:marBottom w:val="0"/>
      <w:divBdr>
        <w:top w:val="none" w:sz="0" w:space="0" w:color="auto"/>
        <w:left w:val="none" w:sz="0" w:space="0" w:color="auto"/>
        <w:bottom w:val="none" w:sz="0" w:space="0" w:color="auto"/>
        <w:right w:val="none" w:sz="0" w:space="0" w:color="auto"/>
      </w:divBdr>
    </w:div>
    <w:div w:id="443577051">
      <w:bodyDiv w:val="1"/>
      <w:marLeft w:val="0"/>
      <w:marRight w:val="0"/>
      <w:marTop w:val="0"/>
      <w:marBottom w:val="0"/>
      <w:divBdr>
        <w:top w:val="none" w:sz="0" w:space="0" w:color="auto"/>
        <w:left w:val="none" w:sz="0" w:space="0" w:color="auto"/>
        <w:bottom w:val="none" w:sz="0" w:space="0" w:color="auto"/>
        <w:right w:val="none" w:sz="0" w:space="0" w:color="auto"/>
      </w:divBdr>
    </w:div>
    <w:div w:id="467168568">
      <w:bodyDiv w:val="1"/>
      <w:marLeft w:val="0"/>
      <w:marRight w:val="0"/>
      <w:marTop w:val="0"/>
      <w:marBottom w:val="0"/>
      <w:divBdr>
        <w:top w:val="none" w:sz="0" w:space="0" w:color="auto"/>
        <w:left w:val="none" w:sz="0" w:space="0" w:color="auto"/>
        <w:bottom w:val="none" w:sz="0" w:space="0" w:color="auto"/>
        <w:right w:val="none" w:sz="0" w:space="0" w:color="auto"/>
      </w:divBdr>
    </w:div>
    <w:div w:id="778764571">
      <w:bodyDiv w:val="1"/>
      <w:marLeft w:val="0"/>
      <w:marRight w:val="0"/>
      <w:marTop w:val="0"/>
      <w:marBottom w:val="0"/>
      <w:divBdr>
        <w:top w:val="none" w:sz="0" w:space="0" w:color="auto"/>
        <w:left w:val="none" w:sz="0" w:space="0" w:color="auto"/>
        <w:bottom w:val="none" w:sz="0" w:space="0" w:color="auto"/>
        <w:right w:val="none" w:sz="0" w:space="0" w:color="auto"/>
      </w:divBdr>
    </w:div>
    <w:div w:id="1034575372">
      <w:bodyDiv w:val="1"/>
      <w:marLeft w:val="0"/>
      <w:marRight w:val="0"/>
      <w:marTop w:val="0"/>
      <w:marBottom w:val="0"/>
      <w:divBdr>
        <w:top w:val="none" w:sz="0" w:space="0" w:color="auto"/>
        <w:left w:val="none" w:sz="0" w:space="0" w:color="auto"/>
        <w:bottom w:val="none" w:sz="0" w:space="0" w:color="auto"/>
        <w:right w:val="none" w:sz="0" w:space="0" w:color="auto"/>
      </w:divBdr>
    </w:div>
    <w:div w:id="1245188431">
      <w:bodyDiv w:val="1"/>
      <w:marLeft w:val="0"/>
      <w:marRight w:val="0"/>
      <w:marTop w:val="0"/>
      <w:marBottom w:val="0"/>
      <w:divBdr>
        <w:top w:val="none" w:sz="0" w:space="0" w:color="auto"/>
        <w:left w:val="none" w:sz="0" w:space="0" w:color="auto"/>
        <w:bottom w:val="none" w:sz="0" w:space="0" w:color="auto"/>
        <w:right w:val="none" w:sz="0" w:space="0" w:color="auto"/>
      </w:divBdr>
    </w:div>
    <w:div w:id="1294215056">
      <w:bodyDiv w:val="1"/>
      <w:marLeft w:val="0"/>
      <w:marRight w:val="0"/>
      <w:marTop w:val="0"/>
      <w:marBottom w:val="0"/>
      <w:divBdr>
        <w:top w:val="none" w:sz="0" w:space="0" w:color="auto"/>
        <w:left w:val="none" w:sz="0" w:space="0" w:color="auto"/>
        <w:bottom w:val="none" w:sz="0" w:space="0" w:color="auto"/>
        <w:right w:val="none" w:sz="0" w:space="0" w:color="auto"/>
      </w:divBdr>
    </w:div>
    <w:div w:id="1578397708">
      <w:bodyDiv w:val="1"/>
      <w:marLeft w:val="0"/>
      <w:marRight w:val="0"/>
      <w:marTop w:val="0"/>
      <w:marBottom w:val="0"/>
      <w:divBdr>
        <w:top w:val="none" w:sz="0" w:space="0" w:color="auto"/>
        <w:left w:val="none" w:sz="0" w:space="0" w:color="auto"/>
        <w:bottom w:val="none" w:sz="0" w:space="0" w:color="auto"/>
        <w:right w:val="none" w:sz="0" w:space="0" w:color="auto"/>
      </w:divBdr>
    </w:div>
    <w:div w:id="1590773067">
      <w:bodyDiv w:val="1"/>
      <w:marLeft w:val="0"/>
      <w:marRight w:val="0"/>
      <w:marTop w:val="0"/>
      <w:marBottom w:val="0"/>
      <w:divBdr>
        <w:top w:val="none" w:sz="0" w:space="0" w:color="auto"/>
        <w:left w:val="none" w:sz="0" w:space="0" w:color="auto"/>
        <w:bottom w:val="none" w:sz="0" w:space="0" w:color="auto"/>
        <w:right w:val="none" w:sz="0" w:space="0" w:color="auto"/>
      </w:divBdr>
    </w:div>
    <w:div w:id="1818691115">
      <w:bodyDiv w:val="1"/>
      <w:marLeft w:val="0"/>
      <w:marRight w:val="0"/>
      <w:marTop w:val="0"/>
      <w:marBottom w:val="0"/>
      <w:divBdr>
        <w:top w:val="none" w:sz="0" w:space="0" w:color="auto"/>
        <w:left w:val="none" w:sz="0" w:space="0" w:color="auto"/>
        <w:bottom w:val="none" w:sz="0" w:space="0" w:color="auto"/>
        <w:right w:val="none" w:sz="0" w:space="0" w:color="auto"/>
      </w:divBdr>
    </w:div>
    <w:div w:id="1935093535">
      <w:bodyDiv w:val="1"/>
      <w:marLeft w:val="0"/>
      <w:marRight w:val="0"/>
      <w:marTop w:val="0"/>
      <w:marBottom w:val="0"/>
      <w:divBdr>
        <w:top w:val="none" w:sz="0" w:space="0" w:color="auto"/>
        <w:left w:val="none" w:sz="0" w:space="0" w:color="auto"/>
        <w:bottom w:val="none" w:sz="0" w:space="0" w:color="auto"/>
        <w:right w:val="none" w:sz="0" w:space="0" w:color="auto"/>
      </w:divBdr>
    </w:div>
    <w:div w:id="1982727682">
      <w:bodyDiv w:val="1"/>
      <w:marLeft w:val="0"/>
      <w:marRight w:val="0"/>
      <w:marTop w:val="0"/>
      <w:marBottom w:val="0"/>
      <w:divBdr>
        <w:top w:val="none" w:sz="0" w:space="0" w:color="auto"/>
        <w:left w:val="none" w:sz="0" w:space="0" w:color="auto"/>
        <w:bottom w:val="none" w:sz="0" w:space="0" w:color="auto"/>
        <w:right w:val="none" w:sz="0" w:space="0" w:color="auto"/>
      </w:divBdr>
    </w:div>
    <w:div w:id="2061829718">
      <w:bodyDiv w:val="1"/>
      <w:marLeft w:val="0"/>
      <w:marRight w:val="0"/>
      <w:marTop w:val="0"/>
      <w:marBottom w:val="0"/>
      <w:divBdr>
        <w:top w:val="none" w:sz="0" w:space="0" w:color="auto"/>
        <w:left w:val="none" w:sz="0" w:space="0" w:color="auto"/>
        <w:bottom w:val="none" w:sz="0" w:space="0" w:color="auto"/>
        <w:right w:val="none" w:sz="0" w:space="0" w:color="auto"/>
      </w:divBdr>
      <w:divsChild>
        <w:div w:id="1247887030">
          <w:marLeft w:val="0"/>
          <w:marRight w:val="0"/>
          <w:marTop w:val="0"/>
          <w:marBottom w:val="0"/>
          <w:divBdr>
            <w:top w:val="none" w:sz="0" w:space="0" w:color="auto"/>
            <w:left w:val="none" w:sz="0" w:space="0" w:color="auto"/>
            <w:bottom w:val="none" w:sz="0" w:space="0" w:color="auto"/>
            <w:right w:val="none" w:sz="0" w:space="0" w:color="auto"/>
          </w:divBdr>
          <w:divsChild>
            <w:div w:id="138812480">
              <w:marLeft w:val="0"/>
              <w:marRight w:val="0"/>
              <w:marTop w:val="0"/>
              <w:marBottom w:val="0"/>
              <w:divBdr>
                <w:top w:val="none" w:sz="0" w:space="0" w:color="auto"/>
                <w:left w:val="none" w:sz="0" w:space="0" w:color="auto"/>
                <w:bottom w:val="none" w:sz="0" w:space="0" w:color="auto"/>
                <w:right w:val="none" w:sz="0" w:space="0" w:color="auto"/>
              </w:divBdr>
            </w:div>
          </w:divsChild>
        </w:div>
        <w:div w:id="87431024">
          <w:marLeft w:val="0"/>
          <w:marRight w:val="0"/>
          <w:marTop w:val="0"/>
          <w:marBottom w:val="0"/>
          <w:divBdr>
            <w:top w:val="none" w:sz="0" w:space="0" w:color="auto"/>
            <w:left w:val="none" w:sz="0" w:space="0" w:color="auto"/>
            <w:bottom w:val="none" w:sz="0" w:space="0" w:color="auto"/>
            <w:right w:val="none" w:sz="0" w:space="0" w:color="auto"/>
          </w:divBdr>
          <w:divsChild>
            <w:div w:id="929239959">
              <w:marLeft w:val="0"/>
              <w:marRight w:val="0"/>
              <w:marTop w:val="0"/>
              <w:marBottom w:val="0"/>
              <w:divBdr>
                <w:top w:val="none" w:sz="0" w:space="0" w:color="auto"/>
                <w:left w:val="none" w:sz="0" w:space="0" w:color="auto"/>
                <w:bottom w:val="none" w:sz="0" w:space="0" w:color="auto"/>
                <w:right w:val="none" w:sz="0" w:space="0" w:color="auto"/>
              </w:divBdr>
            </w:div>
          </w:divsChild>
        </w:div>
        <w:div w:id="247617812">
          <w:marLeft w:val="0"/>
          <w:marRight w:val="0"/>
          <w:marTop w:val="0"/>
          <w:marBottom w:val="0"/>
          <w:divBdr>
            <w:top w:val="none" w:sz="0" w:space="0" w:color="auto"/>
            <w:left w:val="none" w:sz="0" w:space="0" w:color="auto"/>
            <w:bottom w:val="none" w:sz="0" w:space="0" w:color="auto"/>
            <w:right w:val="none" w:sz="0" w:space="0" w:color="auto"/>
          </w:divBdr>
          <w:divsChild>
            <w:div w:id="321589259">
              <w:marLeft w:val="0"/>
              <w:marRight w:val="0"/>
              <w:marTop w:val="0"/>
              <w:marBottom w:val="0"/>
              <w:divBdr>
                <w:top w:val="none" w:sz="0" w:space="0" w:color="auto"/>
                <w:left w:val="none" w:sz="0" w:space="0" w:color="auto"/>
                <w:bottom w:val="none" w:sz="0" w:space="0" w:color="auto"/>
                <w:right w:val="none" w:sz="0" w:space="0" w:color="auto"/>
              </w:divBdr>
            </w:div>
          </w:divsChild>
        </w:div>
        <w:div w:id="140342958">
          <w:marLeft w:val="0"/>
          <w:marRight w:val="0"/>
          <w:marTop w:val="0"/>
          <w:marBottom w:val="0"/>
          <w:divBdr>
            <w:top w:val="none" w:sz="0" w:space="0" w:color="auto"/>
            <w:left w:val="none" w:sz="0" w:space="0" w:color="auto"/>
            <w:bottom w:val="none" w:sz="0" w:space="0" w:color="auto"/>
            <w:right w:val="none" w:sz="0" w:space="0" w:color="auto"/>
          </w:divBdr>
          <w:divsChild>
            <w:div w:id="1829786877">
              <w:marLeft w:val="0"/>
              <w:marRight w:val="0"/>
              <w:marTop w:val="0"/>
              <w:marBottom w:val="0"/>
              <w:divBdr>
                <w:top w:val="none" w:sz="0" w:space="0" w:color="auto"/>
                <w:left w:val="none" w:sz="0" w:space="0" w:color="auto"/>
                <w:bottom w:val="none" w:sz="0" w:space="0" w:color="auto"/>
                <w:right w:val="none" w:sz="0" w:space="0" w:color="auto"/>
              </w:divBdr>
            </w:div>
          </w:divsChild>
        </w:div>
        <w:div w:id="1177109615">
          <w:marLeft w:val="0"/>
          <w:marRight w:val="0"/>
          <w:marTop w:val="0"/>
          <w:marBottom w:val="0"/>
          <w:divBdr>
            <w:top w:val="none" w:sz="0" w:space="0" w:color="auto"/>
            <w:left w:val="none" w:sz="0" w:space="0" w:color="auto"/>
            <w:bottom w:val="none" w:sz="0" w:space="0" w:color="auto"/>
            <w:right w:val="none" w:sz="0" w:space="0" w:color="auto"/>
          </w:divBdr>
          <w:divsChild>
            <w:div w:id="84096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ea.org/reports/global-ev-outlook-2024"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gov.uk/government/news/pathway-for-zero-emission-vehicle-transition-by-2035-becomes-law"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jlr.com/annual-report-20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15</Pages>
  <Words>3819</Words>
  <Characters>21770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25538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manuel fioranzato</cp:lastModifiedBy>
  <cp:revision>30</cp:revision>
  <dcterms:created xsi:type="dcterms:W3CDTF">2026-04-21T09:15:00Z</dcterms:created>
  <dcterms:modified xsi:type="dcterms:W3CDTF">2026-04-24T11:57:00Z</dcterms:modified>
  <cp:category/>
</cp:coreProperties>
</file>