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59EB01" w14:textId="42B39836" w:rsidR="00D65E38" w:rsidRPr="00D65E38" w:rsidRDefault="002869C6" w:rsidP="000D3273">
      <w:pPr>
        <w:jc w:val="center"/>
        <w:rPr>
          <w:b/>
          <w:i/>
          <w:sz w:val="86"/>
          <w:szCs w:val="86"/>
        </w:rPr>
      </w:pPr>
      <w:bookmarkStart w:id="0" w:name="_Hlk143500351"/>
      <w:bookmarkEnd w:id="0"/>
      <w:r>
        <w:rPr>
          <w:b/>
          <w:i/>
          <w:noProof/>
          <w:sz w:val="86"/>
          <w:szCs w:val="86"/>
        </w:rPr>
        <w:drawing>
          <wp:inline distT="0" distB="0" distL="0" distR="0" wp14:anchorId="7EE33059" wp14:editId="3CF453D1">
            <wp:extent cx="5731510" cy="2554605"/>
            <wp:effectExtent l="0" t="0" r="2540" b="0"/>
            <wp:docPr id="2947750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7507"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48994BB9" w14:textId="77777777" w:rsidR="00E84648" w:rsidRDefault="00E84648" w:rsidP="000D3273">
      <w:pPr>
        <w:jc w:val="center"/>
        <w:rPr>
          <w:b/>
          <w:i/>
          <w:sz w:val="72"/>
          <w:szCs w:val="72"/>
        </w:rPr>
      </w:pPr>
    </w:p>
    <w:p w14:paraId="3BFAC130" w14:textId="77777777" w:rsidR="00E84648" w:rsidRDefault="00E84648" w:rsidP="00E84648">
      <w:pPr>
        <w:jc w:val="left"/>
        <w:rPr>
          <w:sz w:val="32"/>
          <w:szCs w:val="32"/>
        </w:rPr>
      </w:pPr>
    </w:p>
    <w:p w14:paraId="50FC26E7" w14:textId="77777777" w:rsidR="00C457A9" w:rsidRDefault="00C457A9" w:rsidP="00E84648">
      <w:pPr>
        <w:jc w:val="left"/>
        <w:rPr>
          <w:sz w:val="32"/>
          <w:szCs w:val="32"/>
        </w:rPr>
      </w:pPr>
    </w:p>
    <w:p w14:paraId="3915D7E2" w14:textId="1579AD46" w:rsidR="005E472A" w:rsidRDefault="00C457A9" w:rsidP="00C457A9">
      <w:r w:rsidRPr="00C457A9">
        <w:rPr>
          <w:b/>
          <w:bCs/>
        </w:rPr>
        <w:t>Module:</w:t>
      </w:r>
      <w:r>
        <w:t xml:space="preserve"> Banking Financial Management and Financial Markets</w:t>
      </w:r>
    </w:p>
    <w:p w14:paraId="09C70F1C" w14:textId="2682BA10" w:rsidR="00C457A9" w:rsidRDefault="00C457A9" w:rsidP="00C457A9">
      <w:r w:rsidRPr="00C457A9">
        <w:rPr>
          <w:b/>
          <w:bCs/>
        </w:rPr>
        <w:t>Module code:</w:t>
      </w:r>
      <w:r>
        <w:t xml:space="preserve"> LCMB7012</w:t>
      </w:r>
    </w:p>
    <w:p w14:paraId="6932510B" w14:textId="522E5C8D" w:rsidR="00C457A9" w:rsidRDefault="00C457A9" w:rsidP="00C457A9">
      <w:pPr>
        <w:rPr>
          <w:b/>
          <w:bCs/>
        </w:rPr>
      </w:pPr>
      <w:r w:rsidRPr="00C457A9">
        <w:rPr>
          <w:b/>
          <w:bCs/>
        </w:rPr>
        <w:t>Assignment Title:</w:t>
      </w:r>
      <w:r>
        <w:t xml:space="preserve"> Banking Financial Management and Financial Markets</w:t>
      </w:r>
    </w:p>
    <w:p w14:paraId="45186C2A" w14:textId="475125FE" w:rsidR="00E84648" w:rsidRDefault="005E472A" w:rsidP="00E84648">
      <w:pPr>
        <w:jc w:val="left"/>
      </w:pPr>
      <w:r>
        <w:t>S</w:t>
      </w:r>
      <w:r w:rsidRPr="005E472A">
        <w:t>tudent ID</w:t>
      </w:r>
      <w:r>
        <w:t>:</w:t>
      </w:r>
      <w:r w:rsidR="002869C6">
        <w:t xml:space="preserve"> 2223912</w:t>
      </w:r>
    </w:p>
    <w:p w14:paraId="56DDFE64" w14:textId="2CD9BA3A" w:rsidR="00473303" w:rsidRDefault="00473303" w:rsidP="00E84648">
      <w:pPr>
        <w:jc w:val="left"/>
        <w:rPr>
          <w:caps/>
          <w:sz w:val="32"/>
          <w:szCs w:val="32"/>
        </w:rPr>
      </w:pPr>
      <w:r>
        <w:t>Student Name: Akram Qureshi Mohammed</w:t>
      </w:r>
    </w:p>
    <w:p w14:paraId="54FA68AA" w14:textId="7B5E141D" w:rsidR="00D65E38" w:rsidRDefault="00D13CC5" w:rsidP="00D13CC5">
      <w:r>
        <w:t xml:space="preserve">Word count: </w:t>
      </w:r>
      <w:r w:rsidR="002869C6">
        <w:t>5000</w:t>
      </w:r>
    </w:p>
    <w:p w14:paraId="258E20B2" w14:textId="1DA8B93F" w:rsidR="00753A20" w:rsidRDefault="00753A20">
      <w:pPr>
        <w:rPr>
          <w:caps/>
          <w:sz w:val="32"/>
          <w:szCs w:val="32"/>
        </w:rPr>
      </w:pPr>
      <w:r>
        <w:rPr>
          <w:caps/>
          <w:sz w:val="32"/>
          <w:szCs w:val="32"/>
        </w:rPr>
        <w:br w:type="page"/>
      </w:r>
    </w:p>
    <w:sdt>
      <w:sdtPr>
        <w:rPr>
          <w:rFonts w:ascii="Times New Roman" w:eastAsiaTheme="minorHAnsi" w:hAnsi="Times New Roman" w:cs="Times New Roman"/>
          <w:color w:val="auto"/>
          <w:sz w:val="24"/>
          <w:szCs w:val="24"/>
          <w:lang w:val="en-GB"/>
        </w:rPr>
        <w:id w:val="-1036126647"/>
        <w:docPartObj>
          <w:docPartGallery w:val="Table of Contents"/>
          <w:docPartUnique/>
        </w:docPartObj>
      </w:sdtPr>
      <w:sdtEndPr>
        <w:rPr>
          <w:b/>
          <w:bCs/>
          <w:noProof/>
        </w:rPr>
      </w:sdtEndPr>
      <w:sdtContent>
        <w:p w14:paraId="368390BE" w14:textId="06F0DB6F" w:rsidR="00D13CC5" w:rsidRDefault="00D13CC5">
          <w:pPr>
            <w:pStyle w:val="TOCHeading"/>
          </w:pPr>
          <w:r>
            <w:t>Contents</w:t>
          </w:r>
        </w:p>
        <w:p w14:paraId="673F6A24" w14:textId="32E76D8A" w:rsidR="009F7CAC" w:rsidRDefault="00D13CC5">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43510774" w:history="1">
            <w:r w:rsidR="009F7CAC" w:rsidRPr="005C7C29">
              <w:rPr>
                <w:rStyle w:val="Hyperlink"/>
                <w:noProof/>
              </w:rPr>
              <w:t>Introduction</w:t>
            </w:r>
            <w:r w:rsidR="009F7CAC">
              <w:rPr>
                <w:noProof/>
                <w:webHidden/>
              </w:rPr>
              <w:tab/>
            </w:r>
            <w:r w:rsidR="009F7CAC">
              <w:rPr>
                <w:noProof/>
                <w:webHidden/>
              </w:rPr>
              <w:fldChar w:fldCharType="begin"/>
            </w:r>
            <w:r w:rsidR="009F7CAC">
              <w:rPr>
                <w:noProof/>
                <w:webHidden/>
              </w:rPr>
              <w:instrText xml:space="preserve"> PAGEREF _Toc143510774 \h </w:instrText>
            </w:r>
            <w:r w:rsidR="009F7CAC">
              <w:rPr>
                <w:noProof/>
                <w:webHidden/>
              </w:rPr>
            </w:r>
            <w:r w:rsidR="009F7CAC">
              <w:rPr>
                <w:noProof/>
                <w:webHidden/>
              </w:rPr>
              <w:fldChar w:fldCharType="separate"/>
            </w:r>
            <w:r w:rsidR="009F7CAC">
              <w:rPr>
                <w:noProof/>
                <w:webHidden/>
              </w:rPr>
              <w:t>3</w:t>
            </w:r>
            <w:r w:rsidR="009F7CAC">
              <w:rPr>
                <w:noProof/>
                <w:webHidden/>
              </w:rPr>
              <w:fldChar w:fldCharType="end"/>
            </w:r>
          </w:hyperlink>
        </w:p>
        <w:p w14:paraId="06D7E3FD" w14:textId="087D5CD7" w:rsidR="009F7CAC"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75" w:history="1">
            <w:r w:rsidR="009F7CAC" w:rsidRPr="005C7C29">
              <w:rPr>
                <w:rStyle w:val="Hyperlink"/>
                <w:noProof/>
              </w:rPr>
              <w:t>1. Key laws, regulations and contracts that were enacted to end the financial crises</w:t>
            </w:r>
            <w:r w:rsidR="009F7CAC">
              <w:rPr>
                <w:noProof/>
                <w:webHidden/>
              </w:rPr>
              <w:tab/>
            </w:r>
            <w:r w:rsidR="009F7CAC">
              <w:rPr>
                <w:noProof/>
                <w:webHidden/>
              </w:rPr>
              <w:fldChar w:fldCharType="begin"/>
            </w:r>
            <w:r w:rsidR="009F7CAC">
              <w:rPr>
                <w:noProof/>
                <w:webHidden/>
              </w:rPr>
              <w:instrText xml:space="preserve"> PAGEREF _Toc143510775 \h </w:instrText>
            </w:r>
            <w:r w:rsidR="009F7CAC">
              <w:rPr>
                <w:noProof/>
                <w:webHidden/>
              </w:rPr>
            </w:r>
            <w:r w:rsidR="009F7CAC">
              <w:rPr>
                <w:noProof/>
                <w:webHidden/>
              </w:rPr>
              <w:fldChar w:fldCharType="separate"/>
            </w:r>
            <w:r w:rsidR="009F7CAC">
              <w:rPr>
                <w:noProof/>
                <w:webHidden/>
              </w:rPr>
              <w:t>3</w:t>
            </w:r>
            <w:r w:rsidR="009F7CAC">
              <w:rPr>
                <w:noProof/>
                <w:webHidden/>
              </w:rPr>
              <w:fldChar w:fldCharType="end"/>
            </w:r>
          </w:hyperlink>
        </w:p>
        <w:p w14:paraId="23520C85" w14:textId="50556107" w:rsidR="009F7CAC"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76" w:history="1">
            <w:r w:rsidR="009F7CAC" w:rsidRPr="005C7C29">
              <w:rPr>
                <w:rStyle w:val="Hyperlink"/>
                <w:noProof/>
              </w:rPr>
              <w:t>2. Critical review of the extent to which reforms have contributed towards stabilising the financial system</w:t>
            </w:r>
            <w:r w:rsidR="009F7CAC">
              <w:rPr>
                <w:noProof/>
                <w:webHidden/>
              </w:rPr>
              <w:tab/>
            </w:r>
            <w:r w:rsidR="009F7CAC">
              <w:rPr>
                <w:noProof/>
                <w:webHidden/>
              </w:rPr>
              <w:fldChar w:fldCharType="begin"/>
            </w:r>
            <w:r w:rsidR="009F7CAC">
              <w:rPr>
                <w:noProof/>
                <w:webHidden/>
              </w:rPr>
              <w:instrText xml:space="preserve"> PAGEREF _Toc143510776 \h </w:instrText>
            </w:r>
            <w:r w:rsidR="009F7CAC">
              <w:rPr>
                <w:noProof/>
                <w:webHidden/>
              </w:rPr>
            </w:r>
            <w:r w:rsidR="009F7CAC">
              <w:rPr>
                <w:noProof/>
                <w:webHidden/>
              </w:rPr>
              <w:fldChar w:fldCharType="separate"/>
            </w:r>
            <w:r w:rsidR="009F7CAC">
              <w:rPr>
                <w:noProof/>
                <w:webHidden/>
              </w:rPr>
              <w:t>8</w:t>
            </w:r>
            <w:r w:rsidR="009F7CAC">
              <w:rPr>
                <w:noProof/>
                <w:webHidden/>
              </w:rPr>
              <w:fldChar w:fldCharType="end"/>
            </w:r>
          </w:hyperlink>
        </w:p>
        <w:p w14:paraId="1DB71938" w14:textId="0B806DCA" w:rsidR="009F7CAC"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77" w:history="1">
            <w:r w:rsidR="009F7CAC" w:rsidRPr="005C7C29">
              <w:rPr>
                <w:rStyle w:val="Hyperlink"/>
                <w:noProof/>
              </w:rPr>
              <w:t>3. Impact on their business model</w:t>
            </w:r>
            <w:r w:rsidR="009F7CAC">
              <w:rPr>
                <w:noProof/>
                <w:webHidden/>
              </w:rPr>
              <w:tab/>
            </w:r>
            <w:r w:rsidR="009F7CAC">
              <w:rPr>
                <w:noProof/>
                <w:webHidden/>
              </w:rPr>
              <w:fldChar w:fldCharType="begin"/>
            </w:r>
            <w:r w:rsidR="009F7CAC">
              <w:rPr>
                <w:noProof/>
                <w:webHidden/>
              </w:rPr>
              <w:instrText xml:space="preserve"> PAGEREF _Toc143510777 \h </w:instrText>
            </w:r>
            <w:r w:rsidR="009F7CAC">
              <w:rPr>
                <w:noProof/>
                <w:webHidden/>
              </w:rPr>
            </w:r>
            <w:r w:rsidR="009F7CAC">
              <w:rPr>
                <w:noProof/>
                <w:webHidden/>
              </w:rPr>
              <w:fldChar w:fldCharType="separate"/>
            </w:r>
            <w:r w:rsidR="009F7CAC">
              <w:rPr>
                <w:noProof/>
                <w:webHidden/>
              </w:rPr>
              <w:t>10</w:t>
            </w:r>
            <w:r w:rsidR="009F7CAC">
              <w:rPr>
                <w:noProof/>
                <w:webHidden/>
              </w:rPr>
              <w:fldChar w:fldCharType="end"/>
            </w:r>
          </w:hyperlink>
        </w:p>
        <w:p w14:paraId="144F3716" w14:textId="6999AD2B" w:rsidR="009F7CAC"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78" w:history="1">
            <w:r w:rsidR="009F7CAC" w:rsidRPr="005C7C29">
              <w:rPr>
                <w:rStyle w:val="Hyperlink"/>
                <w:noProof/>
              </w:rPr>
              <w:t>Dodd-Frank Wall Street Reform and Consumer Protection Act</w:t>
            </w:r>
            <w:r w:rsidR="009F7CAC">
              <w:rPr>
                <w:noProof/>
                <w:webHidden/>
              </w:rPr>
              <w:tab/>
            </w:r>
            <w:r w:rsidR="009F7CAC">
              <w:rPr>
                <w:noProof/>
                <w:webHidden/>
              </w:rPr>
              <w:fldChar w:fldCharType="begin"/>
            </w:r>
            <w:r w:rsidR="009F7CAC">
              <w:rPr>
                <w:noProof/>
                <w:webHidden/>
              </w:rPr>
              <w:instrText xml:space="preserve"> PAGEREF _Toc143510778 \h </w:instrText>
            </w:r>
            <w:r w:rsidR="009F7CAC">
              <w:rPr>
                <w:noProof/>
                <w:webHidden/>
              </w:rPr>
            </w:r>
            <w:r w:rsidR="009F7CAC">
              <w:rPr>
                <w:noProof/>
                <w:webHidden/>
              </w:rPr>
              <w:fldChar w:fldCharType="separate"/>
            </w:r>
            <w:r w:rsidR="009F7CAC">
              <w:rPr>
                <w:noProof/>
                <w:webHidden/>
              </w:rPr>
              <w:t>10</w:t>
            </w:r>
            <w:r w:rsidR="009F7CAC">
              <w:rPr>
                <w:noProof/>
                <w:webHidden/>
              </w:rPr>
              <w:fldChar w:fldCharType="end"/>
            </w:r>
          </w:hyperlink>
        </w:p>
        <w:p w14:paraId="3E01143E" w14:textId="3590DF4B" w:rsidR="009F7CAC"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79" w:history="1">
            <w:r w:rsidR="009F7CAC" w:rsidRPr="005C7C29">
              <w:rPr>
                <w:rStyle w:val="Hyperlink"/>
                <w:noProof/>
              </w:rPr>
              <w:t>Federal Reserve Act</w:t>
            </w:r>
            <w:r w:rsidR="009F7CAC">
              <w:rPr>
                <w:noProof/>
                <w:webHidden/>
              </w:rPr>
              <w:tab/>
            </w:r>
            <w:r w:rsidR="009F7CAC">
              <w:rPr>
                <w:noProof/>
                <w:webHidden/>
              </w:rPr>
              <w:fldChar w:fldCharType="begin"/>
            </w:r>
            <w:r w:rsidR="009F7CAC">
              <w:rPr>
                <w:noProof/>
                <w:webHidden/>
              </w:rPr>
              <w:instrText xml:space="preserve"> PAGEREF _Toc143510779 \h </w:instrText>
            </w:r>
            <w:r w:rsidR="009F7CAC">
              <w:rPr>
                <w:noProof/>
                <w:webHidden/>
              </w:rPr>
            </w:r>
            <w:r w:rsidR="009F7CAC">
              <w:rPr>
                <w:noProof/>
                <w:webHidden/>
              </w:rPr>
              <w:fldChar w:fldCharType="separate"/>
            </w:r>
            <w:r w:rsidR="009F7CAC">
              <w:rPr>
                <w:noProof/>
                <w:webHidden/>
              </w:rPr>
              <w:t>12</w:t>
            </w:r>
            <w:r w:rsidR="009F7CAC">
              <w:rPr>
                <w:noProof/>
                <w:webHidden/>
              </w:rPr>
              <w:fldChar w:fldCharType="end"/>
            </w:r>
          </w:hyperlink>
        </w:p>
        <w:p w14:paraId="4A7272C7" w14:textId="062E43EB" w:rsidR="009F7CAC"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80" w:history="1">
            <w:r w:rsidR="009F7CAC" w:rsidRPr="005C7C29">
              <w:rPr>
                <w:rStyle w:val="Hyperlink"/>
                <w:noProof/>
              </w:rPr>
              <w:t>Emergency Economic Stabilization Act of 2008 and Troubled Asset Relief Program (TARP)</w:t>
            </w:r>
            <w:r w:rsidR="009F7CAC">
              <w:rPr>
                <w:noProof/>
                <w:webHidden/>
              </w:rPr>
              <w:tab/>
            </w:r>
            <w:r w:rsidR="009F7CAC">
              <w:rPr>
                <w:noProof/>
                <w:webHidden/>
              </w:rPr>
              <w:fldChar w:fldCharType="begin"/>
            </w:r>
            <w:r w:rsidR="009F7CAC">
              <w:rPr>
                <w:noProof/>
                <w:webHidden/>
              </w:rPr>
              <w:instrText xml:space="preserve"> PAGEREF _Toc143510780 \h </w:instrText>
            </w:r>
            <w:r w:rsidR="009F7CAC">
              <w:rPr>
                <w:noProof/>
                <w:webHidden/>
              </w:rPr>
            </w:r>
            <w:r w:rsidR="009F7CAC">
              <w:rPr>
                <w:noProof/>
                <w:webHidden/>
              </w:rPr>
              <w:fldChar w:fldCharType="separate"/>
            </w:r>
            <w:r w:rsidR="009F7CAC">
              <w:rPr>
                <w:noProof/>
                <w:webHidden/>
              </w:rPr>
              <w:t>13</w:t>
            </w:r>
            <w:r w:rsidR="009F7CAC">
              <w:rPr>
                <w:noProof/>
                <w:webHidden/>
              </w:rPr>
              <w:fldChar w:fldCharType="end"/>
            </w:r>
          </w:hyperlink>
        </w:p>
        <w:p w14:paraId="23AA177C" w14:textId="2D4F6D1D" w:rsidR="009F7CAC"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81" w:history="1">
            <w:r w:rsidR="009F7CAC" w:rsidRPr="005C7C29">
              <w:rPr>
                <w:rStyle w:val="Hyperlink"/>
                <w:noProof/>
              </w:rPr>
              <w:t>Monetary policy and fiscal policy</w:t>
            </w:r>
            <w:r w:rsidR="009F7CAC">
              <w:rPr>
                <w:noProof/>
                <w:webHidden/>
              </w:rPr>
              <w:tab/>
            </w:r>
            <w:r w:rsidR="009F7CAC">
              <w:rPr>
                <w:noProof/>
                <w:webHidden/>
              </w:rPr>
              <w:fldChar w:fldCharType="begin"/>
            </w:r>
            <w:r w:rsidR="009F7CAC">
              <w:rPr>
                <w:noProof/>
                <w:webHidden/>
              </w:rPr>
              <w:instrText xml:space="preserve"> PAGEREF _Toc143510781 \h </w:instrText>
            </w:r>
            <w:r w:rsidR="009F7CAC">
              <w:rPr>
                <w:noProof/>
                <w:webHidden/>
              </w:rPr>
            </w:r>
            <w:r w:rsidR="009F7CAC">
              <w:rPr>
                <w:noProof/>
                <w:webHidden/>
              </w:rPr>
              <w:fldChar w:fldCharType="separate"/>
            </w:r>
            <w:r w:rsidR="009F7CAC">
              <w:rPr>
                <w:noProof/>
                <w:webHidden/>
              </w:rPr>
              <w:t>15</w:t>
            </w:r>
            <w:r w:rsidR="009F7CAC">
              <w:rPr>
                <w:noProof/>
                <w:webHidden/>
              </w:rPr>
              <w:fldChar w:fldCharType="end"/>
            </w:r>
          </w:hyperlink>
        </w:p>
        <w:p w14:paraId="4F53A5B2" w14:textId="22D7D57E" w:rsidR="009F7CAC" w:rsidRDefault="00000000">
          <w:pPr>
            <w:pStyle w:val="TOC2"/>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82" w:history="1">
            <w:r w:rsidR="009F7CAC" w:rsidRPr="005C7C29">
              <w:rPr>
                <w:rStyle w:val="Hyperlink"/>
                <w:noProof/>
              </w:rPr>
              <w:t>Volcker Rule</w:t>
            </w:r>
            <w:r w:rsidR="009F7CAC">
              <w:rPr>
                <w:noProof/>
                <w:webHidden/>
              </w:rPr>
              <w:tab/>
            </w:r>
            <w:r w:rsidR="009F7CAC">
              <w:rPr>
                <w:noProof/>
                <w:webHidden/>
              </w:rPr>
              <w:fldChar w:fldCharType="begin"/>
            </w:r>
            <w:r w:rsidR="009F7CAC">
              <w:rPr>
                <w:noProof/>
                <w:webHidden/>
              </w:rPr>
              <w:instrText xml:space="preserve"> PAGEREF _Toc143510782 \h </w:instrText>
            </w:r>
            <w:r w:rsidR="009F7CAC">
              <w:rPr>
                <w:noProof/>
                <w:webHidden/>
              </w:rPr>
            </w:r>
            <w:r w:rsidR="009F7CAC">
              <w:rPr>
                <w:noProof/>
                <w:webHidden/>
              </w:rPr>
              <w:fldChar w:fldCharType="separate"/>
            </w:r>
            <w:r w:rsidR="009F7CAC">
              <w:rPr>
                <w:noProof/>
                <w:webHidden/>
              </w:rPr>
              <w:t>17</w:t>
            </w:r>
            <w:r w:rsidR="009F7CAC">
              <w:rPr>
                <w:noProof/>
                <w:webHidden/>
              </w:rPr>
              <w:fldChar w:fldCharType="end"/>
            </w:r>
          </w:hyperlink>
        </w:p>
        <w:p w14:paraId="5708799A" w14:textId="60F90355" w:rsidR="009F7CAC" w:rsidRDefault="00000000">
          <w:pPr>
            <w:pStyle w:val="TOC1"/>
            <w:tabs>
              <w:tab w:val="right" w:leader="dot" w:pos="9016"/>
            </w:tabs>
            <w:rPr>
              <w:rFonts w:asciiTheme="minorHAnsi" w:eastAsiaTheme="minorEastAsia" w:hAnsiTheme="minorHAnsi" w:cstheme="minorBidi"/>
              <w:noProof/>
              <w:kern w:val="2"/>
              <w:sz w:val="22"/>
              <w:szCs w:val="22"/>
              <w:lang w:val="en-IN" w:eastAsia="en-IN"/>
              <w14:ligatures w14:val="standardContextual"/>
            </w:rPr>
          </w:pPr>
          <w:hyperlink w:anchor="_Toc143510783" w:history="1">
            <w:r w:rsidR="009F7CAC" w:rsidRPr="005C7C29">
              <w:rPr>
                <w:rStyle w:val="Hyperlink"/>
                <w:noProof/>
              </w:rPr>
              <w:t>Conclusion</w:t>
            </w:r>
            <w:r w:rsidR="009F7CAC">
              <w:rPr>
                <w:noProof/>
                <w:webHidden/>
              </w:rPr>
              <w:tab/>
            </w:r>
            <w:r w:rsidR="009F7CAC">
              <w:rPr>
                <w:noProof/>
                <w:webHidden/>
              </w:rPr>
              <w:fldChar w:fldCharType="begin"/>
            </w:r>
            <w:r w:rsidR="009F7CAC">
              <w:rPr>
                <w:noProof/>
                <w:webHidden/>
              </w:rPr>
              <w:instrText xml:space="preserve"> PAGEREF _Toc143510783 \h </w:instrText>
            </w:r>
            <w:r w:rsidR="009F7CAC">
              <w:rPr>
                <w:noProof/>
                <w:webHidden/>
              </w:rPr>
            </w:r>
            <w:r w:rsidR="009F7CAC">
              <w:rPr>
                <w:noProof/>
                <w:webHidden/>
              </w:rPr>
              <w:fldChar w:fldCharType="separate"/>
            </w:r>
            <w:r w:rsidR="009F7CAC">
              <w:rPr>
                <w:noProof/>
                <w:webHidden/>
              </w:rPr>
              <w:t>18</w:t>
            </w:r>
            <w:r w:rsidR="009F7CAC">
              <w:rPr>
                <w:noProof/>
                <w:webHidden/>
              </w:rPr>
              <w:fldChar w:fldCharType="end"/>
            </w:r>
          </w:hyperlink>
        </w:p>
        <w:p w14:paraId="7B2DDDE9" w14:textId="7A253C51" w:rsidR="009F7CAC" w:rsidRDefault="00000000">
          <w:pPr>
            <w:pStyle w:val="TOC1"/>
            <w:tabs>
              <w:tab w:val="right" w:leader="dot" w:pos="9016"/>
            </w:tabs>
            <w:rPr>
              <w:noProof/>
            </w:rPr>
          </w:pPr>
          <w:hyperlink w:anchor="_Toc143510784" w:history="1">
            <w:r w:rsidR="009F7CAC" w:rsidRPr="005C7C29">
              <w:rPr>
                <w:rStyle w:val="Hyperlink"/>
                <w:noProof/>
              </w:rPr>
              <w:t>References</w:t>
            </w:r>
            <w:r w:rsidR="009F7CAC">
              <w:rPr>
                <w:noProof/>
                <w:webHidden/>
              </w:rPr>
              <w:tab/>
            </w:r>
            <w:r w:rsidR="009F7CAC">
              <w:rPr>
                <w:noProof/>
                <w:webHidden/>
              </w:rPr>
              <w:fldChar w:fldCharType="begin"/>
            </w:r>
            <w:r w:rsidR="009F7CAC">
              <w:rPr>
                <w:noProof/>
                <w:webHidden/>
              </w:rPr>
              <w:instrText xml:space="preserve"> PAGEREF _Toc143510784 \h </w:instrText>
            </w:r>
            <w:r w:rsidR="009F7CAC">
              <w:rPr>
                <w:noProof/>
                <w:webHidden/>
              </w:rPr>
            </w:r>
            <w:r w:rsidR="009F7CAC">
              <w:rPr>
                <w:noProof/>
                <w:webHidden/>
              </w:rPr>
              <w:fldChar w:fldCharType="separate"/>
            </w:r>
            <w:r w:rsidR="009F7CAC">
              <w:rPr>
                <w:noProof/>
                <w:webHidden/>
              </w:rPr>
              <w:t>19</w:t>
            </w:r>
            <w:r w:rsidR="009F7CAC">
              <w:rPr>
                <w:noProof/>
                <w:webHidden/>
              </w:rPr>
              <w:fldChar w:fldCharType="end"/>
            </w:r>
          </w:hyperlink>
        </w:p>
        <w:p w14:paraId="4DDE07FC" w14:textId="57E4BC3F" w:rsidR="00473303" w:rsidRPr="00507F9C" w:rsidRDefault="00473303" w:rsidP="00473303">
          <w:pPr>
            <w:rPr>
              <w:rFonts w:asciiTheme="majorHAnsi" w:hAnsiTheme="majorHAnsi"/>
              <w:noProof/>
              <w:color w:val="365F91" w:themeColor="accent1" w:themeShade="BF"/>
              <w:sz w:val="32"/>
              <w:szCs w:val="32"/>
            </w:rPr>
          </w:pPr>
          <w:r w:rsidRPr="00507F9C">
            <w:rPr>
              <w:rFonts w:asciiTheme="majorHAnsi" w:hAnsiTheme="majorHAnsi"/>
              <w:noProof/>
              <w:color w:val="365F91" w:themeColor="accent1" w:themeShade="BF"/>
              <w:sz w:val="32"/>
              <w:szCs w:val="32"/>
            </w:rPr>
            <w:t>Figure Index</w:t>
          </w:r>
        </w:p>
        <w:p w14:paraId="66988FA1" w14:textId="60838799" w:rsidR="00473303" w:rsidRDefault="00473303" w:rsidP="00473303">
          <w:pPr>
            <w:rPr>
              <w:noProof/>
            </w:rPr>
          </w:pPr>
          <w:r>
            <w:rPr>
              <w:noProof/>
            </w:rPr>
            <w:t>1. Graph for measures used by federal reserve to reduce impact of economic crisis</w:t>
          </w:r>
          <w:r>
            <w:rPr>
              <w:noProof/>
            </w:rPr>
            <w:tab/>
            <w:t>……</w:t>
          </w:r>
          <w:r w:rsidR="00507F9C">
            <w:rPr>
              <w:noProof/>
            </w:rPr>
            <w:t>…...</w:t>
          </w:r>
          <w:r>
            <w:rPr>
              <w:noProof/>
            </w:rPr>
            <w:t>5</w:t>
          </w:r>
        </w:p>
        <w:p w14:paraId="553CDBC4" w14:textId="59C925E7" w:rsidR="00473303" w:rsidRDefault="00473303" w:rsidP="00473303">
          <w:pPr>
            <w:rPr>
              <w:noProof/>
            </w:rPr>
          </w:pPr>
          <w:r>
            <w:rPr>
              <w:noProof/>
            </w:rPr>
            <w:t>2.</w:t>
          </w:r>
          <w:r w:rsidR="00507F9C">
            <w:rPr>
              <w:noProof/>
            </w:rPr>
            <w:t>Capital surcharge figure for level for US banks after Dobb-Frank Wall Street Reform</w:t>
          </w:r>
          <w:r w:rsidR="00A66E2E">
            <w:rPr>
              <w:noProof/>
            </w:rPr>
            <w:t>…….11</w:t>
          </w:r>
        </w:p>
        <w:p w14:paraId="5336A2C4" w14:textId="654C7059" w:rsidR="00473303" w:rsidRDefault="00473303" w:rsidP="00473303">
          <w:pPr>
            <w:rPr>
              <w:noProof/>
            </w:rPr>
          </w:pPr>
          <w:r>
            <w:rPr>
              <w:noProof/>
            </w:rPr>
            <w:t>3.</w:t>
          </w:r>
          <w:r w:rsidRPr="00473303">
            <w:rPr>
              <w:noProof/>
            </w:rPr>
            <w:t xml:space="preserve"> </w:t>
          </w:r>
          <w:r w:rsidR="001A4923">
            <w:rPr>
              <w:noProof/>
            </w:rPr>
            <w:t>T</w:t>
          </w:r>
          <w:r w:rsidR="00507F9C">
            <w:rPr>
              <w:noProof/>
            </w:rPr>
            <w:t>he net profits of top banks of the US after 2010</w:t>
          </w:r>
          <w:r w:rsidR="00A66E2E">
            <w:rPr>
              <w:noProof/>
            </w:rPr>
            <w:t>…………………………………………..12</w:t>
          </w:r>
        </w:p>
        <w:p w14:paraId="65277690" w14:textId="56EFF247" w:rsidR="00473303" w:rsidRDefault="00473303" w:rsidP="00473303">
          <w:pPr>
            <w:rPr>
              <w:noProof/>
            </w:rPr>
          </w:pPr>
          <w:r>
            <w:rPr>
              <w:noProof/>
            </w:rPr>
            <w:t>4.</w:t>
          </w:r>
          <w:r w:rsidR="00507F9C" w:rsidRPr="00507F9C">
            <w:rPr>
              <w:noProof/>
            </w:rPr>
            <w:t xml:space="preserve"> </w:t>
          </w:r>
          <w:r w:rsidR="001A4923">
            <w:rPr>
              <w:noProof/>
            </w:rPr>
            <w:t>T</w:t>
          </w:r>
          <w:r w:rsidR="00507F9C">
            <w:rPr>
              <w:noProof/>
            </w:rPr>
            <w:t xml:space="preserve">he net income and net revenue of the </w:t>
          </w:r>
          <w:r w:rsidR="00507F9C" w:rsidRPr="00660450">
            <w:rPr>
              <w:noProof/>
            </w:rPr>
            <w:t>JPMorgan Chase</w:t>
          </w:r>
          <w:r w:rsidR="00507F9C">
            <w:rPr>
              <w:noProof/>
            </w:rPr>
            <w:t xml:space="preserve"> for five years until 2008</w:t>
          </w:r>
          <w:r w:rsidR="00A66E2E">
            <w:rPr>
              <w:noProof/>
            </w:rPr>
            <w:t>…………14</w:t>
          </w:r>
        </w:p>
        <w:p w14:paraId="06752EC8" w14:textId="4EA16486" w:rsidR="00473303" w:rsidRDefault="00473303" w:rsidP="00473303">
          <w:pPr>
            <w:rPr>
              <w:noProof/>
            </w:rPr>
          </w:pPr>
          <w:r>
            <w:rPr>
              <w:noProof/>
            </w:rPr>
            <w:t>5.</w:t>
          </w:r>
          <w:r w:rsidR="001A4923">
            <w:rPr>
              <w:noProof/>
            </w:rPr>
            <w:t xml:space="preserve"> A table and line graph of impact for JPMorgan net profit margin for six year</w:t>
          </w:r>
          <w:r w:rsidR="00A66E2E">
            <w:rPr>
              <w:noProof/>
            </w:rPr>
            <w:t>s…………….16</w:t>
          </w:r>
        </w:p>
        <w:p w14:paraId="170DD979" w14:textId="3D805735" w:rsidR="00473303" w:rsidRDefault="00473303" w:rsidP="00473303">
          <w:pPr>
            <w:rPr>
              <w:noProof/>
            </w:rPr>
          </w:pPr>
          <w:r>
            <w:rPr>
              <w:noProof/>
            </w:rPr>
            <w:t>6.</w:t>
          </w:r>
          <w:r w:rsidR="001A4923">
            <w:rPr>
              <w:noProof/>
            </w:rPr>
            <w:t xml:space="preserve"> </w:t>
          </w:r>
          <w:r w:rsidR="001A4923">
            <w:rPr>
              <w:noProof/>
            </w:rPr>
            <w:t>Organisational structure of</w:t>
          </w:r>
          <w:r w:rsidR="001A4923" w:rsidRPr="00AA55E1">
            <w:rPr>
              <w:noProof/>
            </w:rPr>
            <w:t xml:space="preserve"> </w:t>
          </w:r>
          <w:r w:rsidR="001A4923" w:rsidRPr="00660450">
            <w:rPr>
              <w:noProof/>
            </w:rPr>
            <w:t>JPMorgan Chase</w:t>
          </w:r>
          <w:r w:rsidR="00A66E2E">
            <w:rPr>
              <w:noProof/>
            </w:rPr>
            <w:t>……………………………………………    17</w:t>
          </w:r>
        </w:p>
        <w:p w14:paraId="705491DA" w14:textId="29A73319" w:rsidR="00D13CC5" w:rsidRDefault="00D13CC5">
          <w:r>
            <w:rPr>
              <w:b/>
              <w:bCs/>
              <w:noProof/>
            </w:rPr>
            <w:fldChar w:fldCharType="end"/>
          </w:r>
        </w:p>
      </w:sdtContent>
    </w:sdt>
    <w:p w14:paraId="6CD7650D" w14:textId="19A8BFF2" w:rsidR="00753A20" w:rsidRDefault="00753A20" w:rsidP="00D13CC5"/>
    <w:p w14:paraId="5A72A3BC" w14:textId="3E12480A" w:rsidR="000D1984" w:rsidRDefault="008E0DC6" w:rsidP="000D1984">
      <w:pPr>
        <w:pStyle w:val="Heading1"/>
      </w:pPr>
      <w:bookmarkStart w:id="1" w:name="_Toc143510774"/>
      <w:r>
        <w:t>Introduction</w:t>
      </w:r>
      <w:bookmarkEnd w:id="1"/>
    </w:p>
    <w:p w14:paraId="11E38A69" w14:textId="7371DEAC" w:rsidR="00CC249B" w:rsidRDefault="00160999" w:rsidP="00C457A9">
      <w:r>
        <w:t xml:space="preserve">Baking financial management is the practice of managing the financial assets and debts of banks. This report is created for analysing this concept in light of the global economic crises of 2008. </w:t>
      </w:r>
      <w:r w:rsidR="00CC249B">
        <w:t>The main purpose of this report is to analyse the case of 2008 financial crises to identify related responses by key players of the financial system to end the financial crises and how such responses and reforms helped in stabilising the financial system.</w:t>
      </w:r>
    </w:p>
    <w:p w14:paraId="03AE364D" w14:textId="314D86AB" w:rsidR="00BD68A2" w:rsidRDefault="00863143" w:rsidP="00C457A9">
      <w:r>
        <w:t>The 2008 financial crisis was the result of real estate market collapse in the United States. The 2008 financial crises predominantly influenced the developed countries</w:t>
      </w:r>
      <w:r w:rsidR="00824FEE">
        <w:t xml:space="preserve"> </w:t>
      </w:r>
      <w:r w:rsidR="00824FEE">
        <w:rPr>
          <w:lang w:val="en-US"/>
        </w:rPr>
        <w:t>(</w:t>
      </w:r>
      <w:r w:rsidR="00824FEE" w:rsidRPr="00F960CC">
        <w:rPr>
          <w:color w:val="222222"/>
          <w:shd w:val="clear" w:color="auto" w:fill="FFFFFF"/>
        </w:rPr>
        <w:t>Munir, 2011</w:t>
      </w:r>
      <w:r w:rsidR="00824FEE">
        <w:rPr>
          <w:color w:val="222222"/>
          <w:shd w:val="clear" w:color="auto" w:fill="FFFFFF"/>
        </w:rPr>
        <w:t>)</w:t>
      </w:r>
      <w:r>
        <w:t xml:space="preserve">. In year 2007, the real </w:t>
      </w:r>
      <w:r w:rsidR="00E43BF7">
        <w:t>estate</w:t>
      </w:r>
      <w:r>
        <w:t xml:space="preserve"> market of the US and other developed countries started to collapse which spiked recession due to freezing billions of dollars which were supposed to be invested in real estate businesses. </w:t>
      </w:r>
      <w:r w:rsidR="00BD68A2">
        <w:t>In response of real estate collapse, government of development countries and central banks started to liquidate the market by increasing government spendings, lowering interest rates and providing financial assistance to financial institutes. Such responses reduced the value of currencies of the developed countries resulting in global economic crises</w:t>
      </w:r>
      <w:r w:rsidR="00824FEE">
        <w:rPr>
          <w:color w:val="222222"/>
          <w:shd w:val="clear" w:color="auto" w:fill="FFFFFF"/>
        </w:rPr>
        <w:t xml:space="preserve"> (</w:t>
      </w:r>
      <w:r w:rsidR="00824FEE" w:rsidRPr="00F960CC">
        <w:rPr>
          <w:color w:val="222222"/>
          <w:shd w:val="clear" w:color="auto" w:fill="FFFFFF"/>
        </w:rPr>
        <w:t>Naudé, 2009</w:t>
      </w:r>
      <w:r w:rsidR="00824FEE">
        <w:rPr>
          <w:color w:val="222222"/>
          <w:shd w:val="clear" w:color="auto" w:fill="FFFFFF"/>
        </w:rPr>
        <w:t>)</w:t>
      </w:r>
      <w:r w:rsidR="00BD68A2">
        <w:t xml:space="preserve">. </w:t>
      </w:r>
    </w:p>
    <w:p w14:paraId="56D56F17" w14:textId="479A6AC4" w:rsidR="00C457A9" w:rsidRPr="00C457A9" w:rsidRDefault="00BD68A2" w:rsidP="00C457A9">
      <w:r>
        <w:t xml:space="preserve">This report will be divided in three tasks. In the first task of this report, </w:t>
      </w:r>
      <w:r w:rsidR="00060B85">
        <w:t xml:space="preserve">different key laws, regulations and contracts will be identified that were enacted post 2008 financial crises to end the financial crises by the key players in the financial system including US authorities. In the second task of this report, </w:t>
      </w:r>
      <w:r w:rsidR="0099778F">
        <w:t xml:space="preserve">the extent to which reforms have contributed to stabilise the financial system will be analysed. Lastly, the third task of this report will be based on a public listed company. Using this company, the </w:t>
      </w:r>
      <w:r w:rsidR="00E43BF7">
        <w:t>extent</w:t>
      </w:r>
      <w:r w:rsidR="0099778F">
        <w:t xml:space="preserve"> to which reforms have had impact on its business model will be analysed along with the evaluation of the level of compliance / </w:t>
      </w:r>
      <w:proofErr w:type="spellStart"/>
      <w:r w:rsidR="00E43BF7">
        <w:t>non</w:t>
      </w:r>
      <w:r w:rsidR="005805E6">
        <w:t xml:space="preserve"> </w:t>
      </w:r>
      <w:r w:rsidR="00E43BF7">
        <w:t>compliance</w:t>
      </w:r>
      <w:proofErr w:type="spellEnd"/>
      <w:r w:rsidR="0099778F">
        <w:t xml:space="preserve"> of the business with these reforms. </w:t>
      </w:r>
    </w:p>
    <w:p w14:paraId="6C5EF7E1" w14:textId="272B54DF" w:rsidR="00C457A9" w:rsidRDefault="00C457A9" w:rsidP="00C457A9">
      <w:pPr>
        <w:pStyle w:val="Heading1"/>
      </w:pPr>
      <w:bookmarkStart w:id="2" w:name="_Toc143510775"/>
      <w:r>
        <w:lastRenderedPageBreak/>
        <w:t>1. Key laws, regulations and contracts that were enacted to end the financial crises</w:t>
      </w:r>
      <w:bookmarkEnd w:id="2"/>
    </w:p>
    <w:p w14:paraId="27379431" w14:textId="2068FB27" w:rsidR="007E401D" w:rsidRDefault="00CC22FB" w:rsidP="00C457A9">
      <w:r>
        <w:t xml:space="preserve">In this section, key laws, regulations and contracts will be identified that were enacted post 2008 financial crises to end the financial crises by the </w:t>
      </w:r>
      <w:r w:rsidR="007E401D" w:rsidRPr="00666565">
        <w:rPr>
          <w:color w:val="FF0000"/>
        </w:rPr>
        <w:t>US authorities</w:t>
      </w:r>
      <w:r w:rsidR="00666565" w:rsidRPr="00666565">
        <w:rPr>
          <w:color w:val="FF0000"/>
        </w:rPr>
        <w:t xml:space="preserve"> as United States is the selected region of analysis. </w:t>
      </w:r>
    </w:p>
    <w:p w14:paraId="55337CC3" w14:textId="546BFF6D" w:rsidR="00C457A9" w:rsidRPr="007E401D" w:rsidRDefault="007E401D" w:rsidP="00C457A9">
      <w:pPr>
        <w:rPr>
          <w:b/>
          <w:bCs/>
          <w:i/>
          <w:iCs/>
        </w:rPr>
      </w:pPr>
      <w:r w:rsidRPr="007E401D">
        <w:rPr>
          <w:b/>
          <w:bCs/>
          <w:i/>
          <w:iCs/>
        </w:rPr>
        <w:t>Dodd-Frank Wall Street Reform and Consumer Protection Act</w:t>
      </w:r>
      <w:r>
        <w:rPr>
          <w:b/>
          <w:bCs/>
          <w:i/>
          <w:iCs/>
        </w:rPr>
        <w:t>:</w:t>
      </w:r>
    </w:p>
    <w:p w14:paraId="32A0D742" w14:textId="1989BE66" w:rsidR="007E401D" w:rsidRDefault="007E401D" w:rsidP="00C457A9">
      <w:r>
        <w:t xml:space="preserve">The </w:t>
      </w:r>
      <w:r w:rsidRPr="007E401D">
        <w:t>Dodd-Frank Wall Street Reform and Consumer Protection Act</w:t>
      </w:r>
      <w:r>
        <w:t xml:space="preserve"> or the </w:t>
      </w:r>
      <w:r w:rsidRPr="007E401D">
        <w:t>Dodd-Frank</w:t>
      </w:r>
      <w:r>
        <w:t xml:space="preserve"> Act of 2010 was enacted in the aftermath of 2008 financial crises. Under this act, the CFTC written rules to regulate the swaps marketplace</w:t>
      </w:r>
      <w:r w:rsidR="002B4B07">
        <w:t xml:space="preserve"> and was passed by the US government</w:t>
      </w:r>
      <w:r>
        <w:t>. There are three major purposes of this act</w:t>
      </w:r>
      <w:r w:rsidR="00824FEE">
        <w:rPr>
          <w:color w:val="222222"/>
          <w:shd w:val="clear" w:color="auto" w:fill="FFFFFF"/>
        </w:rPr>
        <w:t xml:space="preserve"> (</w:t>
      </w:r>
      <w:r w:rsidR="00824FEE" w:rsidRPr="00F960CC">
        <w:rPr>
          <w:color w:val="222222"/>
          <w:shd w:val="clear" w:color="auto" w:fill="FFFFFF"/>
        </w:rPr>
        <w:t>Murdock, 2011</w:t>
      </w:r>
      <w:r w:rsidR="00824FEE">
        <w:rPr>
          <w:color w:val="222222"/>
          <w:shd w:val="clear" w:color="auto" w:fill="FFFFFF"/>
        </w:rPr>
        <w:t>)</w:t>
      </w:r>
      <w:r>
        <w:t xml:space="preserve">. The first purpose was to bring increased regulations for swaps dealings and regulate swap dealers. Under </w:t>
      </w:r>
      <w:r w:rsidR="008E38EB">
        <w:t>these regulations, the swap dealers were required to meet robust recordkeeping requirements. These regulations were created to promote market integrity and to protect value of currency</w:t>
      </w:r>
      <w:r w:rsidR="00BF326A">
        <w:t xml:space="preserve"> </w:t>
      </w:r>
      <w:r w:rsidR="00BF326A">
        <w:rPr>
          <w:lang w:val="en-US"/>
        </w:rPr>
        <w:t>(CFTC, 2023)</w:t>
      </w:r>
      <w:r w:rsidR="008E38EB">
        <w:t xml:space="preserve">. </w:t>
      </w:r>
    </w:p>
    <w:p w14:paraId="7DFE2CBF" w14:textId="2ED3F81A" w:rsidR="00BF326A" w:rsidRDefault="0027113C" w:rsidP="00C457A9">
      <w:r>
        <w:t>The second purpose of this act was to increase transparency in the derivative marketplace and improve the pricing strategies.</w:t>
      </w:r>
      <w:r w:rsidR="00935EAF">
        <w:t xml:space="preserve"> </w:t>
      </w:r>
      <w:r w:rsidR="006B2144">
        <w:t xml:space="preserve">Transparent trading of the swaps can increase the trading volume and fair competition resulting in better pricing. The third purpose of </w:t>
      </w:r>
      <w:r w:rsidR="006B2144" w:rsidRPr="007E401D">
        <w:t>Dodd-Frank</w:t>
      </w:r>
      <w:r w:rsidR="006B2144">
        <w:t xml:space="preserve"> Act was to lower the risk involved in swap trading for the public of the US</w:t>
      </w:r>
      <w:r w:rsidR="00BF326A">
        <w:t xml:space="preserve"> </w:t>
      </w:r>
      <w:r w:rsidR="00BF326A">
        <w:rPr>
          <w:lang w:val="en-US"/>
        </w:rPr>
        <w:t>(CFTC, 2023)</w:t>
      </w:r>
      <w:r w:rsidR="006B2144">
        <w:t xml:space="preserve">. </w:t>
      </w:r>
      <w:r w:rsidR="002000F7">
        <w:t>Under this Act, the government of the United States also introduced two agencies namely Consumer Financial Protection Bureau (CFPB)</w:t>
      </w:r>
      <w:r w:rsidR="00BF326A">
        <w:rPr>
          <w:lang w:val="en-US"/>
        </w:rPr>
        <w:t xml:space="preserve"> (Congressional Research Service, 2023)</w:t>
      </w:r>
      <w:r w:rsidR="002000F7">
        <w:t xml:space="preserve"> and Financial Stability Oversight Council (FSOC)</w:t>
      </w:r>
      <w:r w:rsidR="00BF326A">
        <w:rPr>
          <w:lang w:val="en-US"/>
        </w:rPr>
        <w:t xml:space="preserve"> (</w:t>
      </w:r>
      <w:r w:rsidR="00BF326A" w:rsidRPr="005D5D46">
        <w:rPr>
          <w:lang w:val="en-US"/>
        </w:rPr>
        <w:t>U.S. DEPARTMENT OF THE TREASURY</w:t>
      </w:r>
      <w:r w:rsidR="00BF326A">
        <w:rPr>
          <w:lang w:val="en-US"/>
        </w:rPr>
        <w:t>, 2023)</w:t>
      </w:r>
      <w:r w:rsidR="002000F7">
        <w:t xml:space="preserve">. </w:t>
      </w:r>
    </w:p>
    <w:p w14:paraId="3903C8E4" w14:textId="1DE9CE84" w:rsidR="004356F2" w:rsidRDefault="004356F2" w:rsidP="00C457A9">
      <w:r>
        <w:t xml:space="preserve">Under this law, various key reforms were enacted including systematic risk regulation, Volcker rule, </w:t>
      </w:r>
      <w:r w:rsidRPr="004356F2">
        <w:t>Enhanced Regulation of Banking Entities</w:t>
      </w:r>
      <w:r>
        <w:t xml:space="preserve"> and many others </w:t>
      </w:r>
      <w:r w:rsidR="002D668B">
        <w:rPr>
          <w:lang w:val="en-US"/>
        </w:rPr>
        <w:t>(Guynn and Wardwell, 2010)</w:t>
      </w:r>
      <w:r>
        <w:t xml:space="preserve">. </w:t>
      </w:r>
    </w:p>
    <w:p w14:paraId="6EACCD13" w14:textId="01F7A77E" w:rsidR="0027113C" w:rsidRPr="00871C5E" w:rsidRDefault="002B4B07" w:rsidP="00C457A9">
      <w:pPr>
        <w:rPr>
          <w:b/>
          <w:bCs/>
          <w:i/>
          <w:iCs/>
        </w:rPr>
      </w:pPr>
      <w:bookmarkStart w:id="3" w:name="_Hlk141191218"/>
      <w:r w:rsidRPr="00871C5E">
        <w:rPr>
          <w:b/>
          <w:bCs/>
          <w:i/>
          <w:iCs/>
        </w:rPr>
        <w:t>Emergency Economic Stabilization Act of 2008</w:t>
      </w:r>
      <w:bookmarkEnd w:id="3"/>
      <w:r w:rsidRPr="00871C5E">
        <w:rPr>
          <w:b/>
          <w:bCs/>
          <w:i/>
          <w:iCs/>
        </w:rPr>
        <w:t>:</w:t>
      </w:r>
    </w:p>
    <w:p w14:paraId="20482A7A" w14:textId="423E38E0" w:rsidR="002B4B07" w:rsidRDefault="002B4B07" w:rsidP="00C457A9">
      <w:r>
        <w:t xml:space="preserve">Another act identified which was enacted post financial crises was the </w:t>
      </w:r>
      <w:r w:rsidRPr="002B4B07">
        <w:t>Emergency Economic Stabilization Act of 2008</w:t>
      </w:r>
      <w:r>
        <w:t xml:space="preserve">. </w:t>
      </w:r>
      <w:r w:rsidR="006F1152">
        <w:t>This law was also passed by the US government on 3</w:t>
      </w:r>
      <w:r w:rsidR="004356F2">
        <w:t xml:space="preserve"> October,</w:t>
      </w:r>
      <w:r w:rsidR="006F1152">
        <w:t xml:space="preserve"> 2008. </w:t>
      </w:r>
      <w:r w:rsidR="00E43ED3">
        <w:t>The purpose of this act was to stabilise the liquidity position of the US market</w:t>
      </w:r>
      <w:r w:rsidR="00824FEE">
        <w:rPr>
          <w:color w:val="222222"/>
          <w:shd w:val="clear" w:color="auto" w:fill="FFFFFF"/>
        </w:rPr>
        <w:t xml:space="preserve"> (</w:t>
      </w:r>
      <w:r w:rsidR="00824FEE" w:rsidRPr="00F960CC">
        <w:rPr>
          <w:color w:val="222222"/>
          <w:shd w:val="clear" w:color="auto" w:fill="FFFFFF"/>
        </w:rPr>
        <w:t>Congress, 2010</w:t>
      </w:r>
      <w:r w:rsidR="00824FEE">
        <w:rPr>
          <w:color w:val="222222"/>
          <w:shd w:val="clear" w:color="auto" w:fill="FFFFFF"/>
        </w:rPr>
        <w:t>)</w:t>
      </w:r>
      <w:r w:rsidR="00E43ED3">
        <w:t xml:space="preserve">. Under this legislation, an authority was given to the secretary of treasury to buy mortgage backed securities worth $700 billion. This helped the banks of the US and promoted </w:t>
      </w:r>
      <w:r w:rsidR="00E43ED3">
        <w:lastRenderedPageBreak/>
        <w:t>financial stability in the market. Under this legislation, a Troubled Asset Relief Program was also initiated to protect the ability of businesses to secure credit</w:t>
      </w:r>
      <w:r w:rsidR="002A6CD3">
        <w:t xml:space="preserve"> (Nolen, 2008)</w:t>
      </w:r>
      <w:r w:rsidR="00E43ED3">
        <w:t>.</w:t>
      </w:r>
    </w:p>
    <w:p w14:paraId="72EEDDAA" w14:textId="610BE065" w:rsidR="002A6CD3" w:rsidRPr="002A6CD3" w:rsidRDefault="002A6CD3" w:rsidP="00C457A9">
      <w:pPr>
        <w:rPr>
          <w:b/>
          <w:bCs/>
          <w:i/>
          <w:iCs/>
        </w:rPr>
      </w:pPr>
      <w:r w:rsidRPr="002A6CD3">
        <w:rPr>
          <w:b/>
          <w:bCs/>
          <w:i/>
          <w:iCs/>
        </w:rPr>
        <w:t xml:space="preserve">Federal Reserve </w:t>
      </w:r>
      <w:r w:rsidR="00EC1A66">
        <w:rPr>
          <w:b/>
          <w:bCs/>
          <w:i/>
          <w:iCs/>
        </w:rPr>
        <w:t>Act</w:t>
      </w:r>
      <w:r w:rsidRPr="002A6CD3">
        <w:rPr>
          <w:b/>
          <w:bCs/>
          <w:i/>
          <w:iCs/>
        </w:rPr>
        <w:t>:</w:t>
      </w:r>
    </w:p>
    <w:p w14:paraId="3657ABCA" w14:textId="7890A635" w:rsidR="002A6CD3" w:rsidRDefault="002A6CD3" w:rsidP="00C457A9">
      <w:r>
        <w:t xml:space="preserve">The Federal Reserve of the US plays a major role in ending the financial economic crises of 2008. The Federal Reserve created various regulations during and after the financial economic crises, so that the crises can be ended. A certain regulation was </w:t>
      </w:r>
      <w:r w:rsidR="00701BF4">
        <w:t>increasing the level of government spendings in the US. A graph showing the increased spendings during 2008 to 2010 in the US is attached below. This graph shows the attempt made by Federal Reserve to reduce the impact on economic crises</w:t>
      </w:r>
      <w:r w:rsidR="00092EEB">
        <w:t xml:space="preserve"> (</w:t>
      </w:r>
      <w:r w:rsidR="00092EEB" w:rsidRPr="008610CD">
        <w:rPr>
          <w:lang w:val="en-US"/>
        </w:rPr>
        <w:t>Bosworth</w:t>
      </w:r>
      <w:r w:rsidR="00092EEB">
        <w:rPr>
          <w:lang w:val="en-US"/>
        </w:rPr>
        <w:t xml:space="preserve"> </w:t>
      </w:r>
      <w:r w:rsidR="00092EEB" w:rsidRPr="008610CD">
        <w:rPr>
          <w:lang w:val="en-US"/>
        </w:rPr>
        <w:t>and</w:t>
      </w:r>
      <w:r w:rsidR="00092EEB">
        <w:rPr>
          <w:lang w:val="en-US"/>
        </w:rPr>
        <w:t xml:space="preserve"> </w:t>
      </w:r>
      <w:proofErr w:type="spellStart"/>
      <w:r w:rsidR="00092EEB" w:rsidRPr="008610CD">
        <w:rPr>
          <w:lang w:val="en-US"/>
        </w:rPr>
        <w:t>Flaaen</w:t>
      </w:r>
      <w:proofErr w:type="spellEnd"/>
      <w:r w:rsidR="00092EEB">
        <w:rPr>
          <w:lang w:val="en-US"/>
        </w:rPr>
        <w:t>, 2009</w:t>
      </w:r>
      <w:r w:rsidR="00092EEB">
        <w:t>)</w:t>
      </w:r>
      <w:r w:rsidR="00701BF4">
        <w:t xml:space="preserve">. </w:t>
      </w:r>
    </w:p>
    <w:p w14:paraId="5B3697BE" w14:textId="77777777" w:rsidR="00092EEB" w:rsidRDefault="002A6CD3" w:rsidP="00092EEB">
      <w:pPr>
        <w:keepNext/>
      </w:pPr>
      <w:r w:rsidRPr="002A6CD3">
        <w:rPr>
          <w:noProof/>
        </w:rPr>
        <w:drawing>
          <wp:inline distT="0" distB="0" distL="0" distR="0" wp14:anchorId="0188748D" wp14:editId="6AEBEDFB">
            <wp:extent cx="5380186" cy="3444538"/>
            <wp:effectExtent l="0" t="0" r="0" b="3810"/>
            <wp:docPr id="1563533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533551" name=""/>
                    <pic:cNvPicPr/>
                  </pic:nvPicPr>
                  <pic:blipFill>
                    <a:blip r:embed="rId9"/>
                    <a:stretch>
                      <a:fillRect/>
                    </a:stretch>
                  </pic:blipFill>
                  <pic:spPr>
                    <a:xfrm>
                      <a:off x="0" y="0"/>
                      <a:ext cx="5380186" cy="3444538"/>
                    </a:xfrm>
                    <a:prstGeom prst="rect">
                      <a:avLst/>
                    </a:prstGeom>
                  </pic:spPr>
                </pic:pic>
              </a:graphicData>
            </a:graphic>
          </wp:inline>
        </w:drawing>
      </w:r>
    </w:p>
    <w:p w14:paraId="6503C9B7" w14:textId="70C73DAC" w:rsidR="002A6CD3" w:rsidRDefault="00092EEB" w:rsidP="00092EEB">
      <w:pPr>
        <w:pStyle w:val="Caption"/>
      </w:pPr>
      <w:r>
        <w:t xml:space="preserve">Figure </w:t>
      </w:r>
      <w:r>
        <w:fldChar w:fldCharType="begin"/>
      </w:r>
      <w:r>
        <w:instrText xml:space="preserve"> SEQ Figure \* ARABIC </w:instrText>
      </w:r>
      <w:r>
        <w:fldChar w:fldCharType="separate"/>
      </w:r>
      <w:r w:rsidR="00AA55E1">
        <w:rPr>
          <w:noProof/>
        </w:rPr>
        <w:t>1</w:t>
      </w:r>
      <w:r>
        <w:fldChar w:fldCharType="end"/>
      </w:r>
      <w:r>
        <w:t xml:space="preserve">: </w:t>
      </w:r>
      <w:r w:rsidRPr="00CC6131">
        <w:t>Federal Government Revenues and Expenditures (1980–2019)</w:t>
      </w:r>
    </w:p>
    <w:p w14:paraId="43BA07A5" w14:textId="7110FE04" w:rsidR="00E43ED3" w:rsidRDefault="00092EEB" w:rsidP="00C457A9">
      <w:r>
        <w:t xml:space="preserve">(Source: </w:t>
      </w:r>
      <w:r w:rsidRPr="008610CD">
        <w:rPr>
          <w:lang w:val="en-US"/>
        </w:rPr>
        <w:t>Bosworth</w:t>
      </w:r>
      <w:r>
        <w:rPr>
          <w:lang w:val="en-US"/>
        </w:rPr>
        <w:t xml:space="preserve"> </w:t>
      </w:r>
      <w:r w:rsidRPr="008610CD">
        <w:rPr>
          <w:lang w:val="en-US"/>
        </w:rPr>
        <w:t>and</w:t>
      </w:r>
      <w:r>
        <w:rPr>
          <w:lang w:val="en-US"/>
        </w:rPr>
        <w:t xml:space="preserve"> </w:t>
      </w:r>
      <w:proofErr w:type="spellStart"/>
      <w:r w:rsidRPr="008610CD">
        <w:rPr>
          <w:lang w:val="en-US"/>
        </w:rPr>
        <w:t>Flaaen</w:t>
      </w:r>
      <w:proofErr w:type="spellEnd"/>
      <w:r>
        <w:rPr>
          <w:lang w:val="en-US"/>
        </w:rPr>
        <w:t>, 2009</w:t>
      </w:r>
      <w:r>
        <w:t>)</w:t>
      </w:r>
    </w:p>
    <w:p w14:paraId="32BCDB33" w14:textId="14702A24" w:rsidR="00EC1A66" w:rsidRDefault="00EC1A66" w:rsidP="00EC1A66">
      <w:pPr>
        <w:rPr>
          <w:b/>
          <w:bCs/>
          <w:i/>
          <w:iCs/>
          <w:shd w:val="clear" w:color="auto" w:fill="FFFFFF"/>
        </w:rPr>
      </w:pPr>
      <w:r w:rsidRPr="00EC1A66">
        <w:rPr>
          <w:b/>
          <w:bCs/>
          <w:i/>
          <w:iCs/>
          <w:shd w:val="clear" w:color="auto" w:fill="FFFFFF"/>
        </w:rPr>
        <w:t>Troubled Asset Relief Program</w:t>
      </w:r>
      <w:r>
        <w:rPr>
          <w:b/>
          <w:bCs/>
          <w:i/>
          <w:iCs/>
          <w:shd w:val="clear" w:color="auto" w:fill="FFFFFF"/>
        </w:rPr>
        <w:t>:</w:t>
      </w:r>
    </w:p>
    <w:p w14:paraId="54B064B8" w14:textId="37C8445C" w:rsidR="00EC1A66" w:rsidRDefault="00EC1A66" w:rsidP="00EC1A66">
      <w:r w:rsidRPr="00EC1A66">
        <w:t>Troubled Asset Relief Program</w:t>
      </w:r>
      <w:r>
        <w:t xml:space="preserve"> or TARP was a contract between US Treasury and Congress, where Congress was asked to invest US$700 billion in existing mortgages, so that, the balance sheets of the US financial sector can be improved. This contract between US Treasury and Congress was created under express authority but was rejected on 30</w:t>
      </w:r>
      <w:r w:rsidRPr="00EC1A66">
        <w:rPr>
          <w:vertAlign w:val="superscript"/>
        </w:rPr>
        <w:t>th</w:t>
      </w:r>
      <w:r>
        <w:t xml:space="preserve"> September 2008. Following the contract of TARP, two more programs were created for controlling the collapse </w:t>
      </w:r>
      <w:r>
        <w:lastRenderedPageBreak/>
        <w:t>of US financial market as a post 2008 financial crisis action</w:t>
      </w:r>
      <w:r w:rsidR="00342455">
        <w:t xml:space="preserve"> (Britannica, 2023)</w:t>
      </w:r>
      <w:r>
        <w:t>.</w:t>
      </w:r>
      <w:r w:rsidR="00DD32EE">
        <w:t xml:space="preserve"> In October 2008, </w:t>
      </w:r>
      <w:r w:rsidR="00DD32EE" w:rsidRPr="00DD32EE">
        <w:t>Capital Purchase Program</w:t>
      </w:r>
      <w:r w:rsidR="00DD32EE">
        <w:t xml:space="preserve"> was created by the US Treasury. Under this program, investments were made for US$250 billion so that preferred stock of US insured depositories can be bought along with their holdings. The purpose of this program and its investments was provided credit support to the insu</w:t>
      </w:r>
      <w:r w:rsidR="00185967">
        <w:t xml:space="preserve">rers </w:t>
      </w:r>
      <w:r w:rsidR="00E20D4D">
        <w:t xml:space="preserve">in the US. Furthermore, the US FDIC also created </w:t>
      </w:r>
      <w:r w:rsidR="00E20D4D" w:rsidRPr="00E20D4D">
        <w:t>Temporary Liquidity Guarantee Program (TLGP)</w:t>
      </w:r>
      <w:r w:rsidR="00E20D4D">
        <w:t>, so that, credit support can be provided to dept capital market issuances</w:t>
      </w:r>
      <w:r w:rsidR="00342455">
        <w:t xml:space="preserve"> (</w:t>
      </w:r>
      <w:r w:rsidR="00342455">
        <w:rPr>
          <w:lang w:val="en-US"/>
        </w:rPr>
        <w:t>Guynn and Wardwell LLP, 2010</w:t>
      </w:r>
      <w:r w:rsidR="00342455">
        <w:t>)</w:t>
      </w:r>
      <w:r w:rsidR="00E20D4D">
        <w:t xml:space="preserve">. </w:t>
      </w:r>
    </w:p>
    <w:p w14:paraId="469C7BE6" w14:textId="25260695" w:rsidR="00550204" w:rsidRPr="00550204" w:rsidRDefault="00550204" w:rsidP="00550204">
      <w:pPr>
        <w:rPr>
          <w:b/>
          <w:bCs/>
          <w:i/>
          <w:iCs/>
          <w:shd w:val="clear" w:color="auto" w:fill="FFFFFF"/>
        </w:rPr>
      </w:pPr>
      <w:r w:rsidRPr="00550204">
        <w:rPr>
          <w:b/>
          <w:bCs/>
          <w:i/>
          <w:iCs/>
          <w:shd w:val="clear" w:color="auto" w:fill="FFFFFF"/>
        </w:rPr>
        <w:t>Housing Economic Recovery Act of 2008:</w:t>
      </w:r>
    </w:p>
    <w:p w14:paraId="638911F3" w14:textId="37D86EAA" w:rsidR="00550204" w:rsidRDefault="00581711" w:rsidP="00550204">
      <w:r>
        <w:t xml:space="preserve">For controlling the financial crises, the US government created a financial reform legislation and the </w:t>
      </w:r>
      <w:r w:rsidRPr="00581711">
        <w:t>Housing Economic Recovery Act of 2008</w:t>
      </w:r>
      <w:r>
        <w:t xml:space="preserve"> was a part of such legislation. This act was passed by Congress as a response to the mortgage crises. </w:t>
      </w:r>
      <w:r w:rsidR="005C64E0">
        <w:t>Under this act, the federal housing administration</w:t>
      </w:r>
      <w:r w:rsidR="005D5167">
        <w:t xml:space="preserve"> (FHA)</w:t>
      </w:r>
      <w:r w:rsidR="005C64E0">
        <w:t xml:space="preserve"> was authorised to provide 30 year fixed rate mortgages to its borrowers. For this, </w:t>
      </w:r>
      <w:r w:rsidR="005D5167">
        <w:t xml:space="preserve">FHA was sanctioned $300 billion. </w:t>
      </w:r>
      <w:r w:rsidR="0019351B">
        <w:t>The purpose of this act was to bring back the faith of people (borrowers and investors) in the US economy</w:t>
      </w:r>
      <w:r w:rsidR="00271372">
        <w:t xml:space="preserve"> (</w:t>
      </w:r>
      <w:r w:rsidR="00271372">
        <w:rPr>
          <w:lang w:val="en-US"/>
        </w:rPr>
        <w:t>Authenticated U.S. Government Information GPO, 2008</w:t>
      </w:r>
      <w:r w:rsidR="00271372">
        <w:t>)</w:t>
      </w:r>
      <w:r w:rsidR="0019351B">
        <w:t xml:space="preserve">. </w:t>
      </w:r>
    </w:p>
    <w:p w14:paraId="6CF3C5B9" w14:textId="79725A65" w:rsidR="009C3B98" w:rsidRDefault="009C3B98" w:rsidP="00550204">
      <w:r w:rsidRPr="009C3B98">
        <w:t>Fannie Mae and Freddie Mac</w:t>
      </w:r>
      <w:r>
        <w:t xml:space="preserve"> are the two government backed companies that were highly impact by the financial crises 2008. These two companies took more risk than the limit which result in losses to taxpayers as they had to absorb the losses faced by these companies. Considering such state of governmental companies, the </w:t>
      </w:r>
      <w:r w:rsidRPr="00581711">
        <w:t>Housing Economic Recovery Act of 2008</w:t>
      </w:r>
      <w:r>
        <w:t xml:space="preserve"> was created in the post financial crises era. This act regenerated the faith in these companies. This act was passed in associated with three supported statutes including the Housing Assistance Tax Act 2008, </w:t>
      </w:r>
      <w:r w:rsidRPr="009C3B98">
        <w:t>Secure and Fair Enforcement for Mortgage Licensing Act 2008</w:t>
      </w:r>
      <w:r>
        <w:t xml:space="preserve"> and </w:t>
      </w:r>
      <w:r w:rsidRPr="009C3B98">
        <w:t>FHA Modernization Act 2008</w:t>
      </w:r>
      <w:r w:rsidR="00271372">
        <w:t xml:space="preserve"> (</w:t>
      </w:r>
      <w:r w:rsidR="00271372">
        <w:rPr>
          <w:lang w:val="en-US"/>
        </w:rPr>
        <w:t>Authenticated U.S. Government Information GPO, 2008</w:t>
      </w:r>
      <w:r w:rsidR="00271372">
        <w:t>)</w:t>
      </w:r>
      <w:r w:rsidR="0089268D">
        <w:t xml:space="preserve">. </w:t>
      </w:r>
      <w:r w:rsidR="00AE461D">
        <w:t>All these three statutes are analysed below:</w:t>
      </w:r>
    </w:p>
    <w:p w14:paraId="40523443" w14:textId="6E5D8292" w:rsidR="00AE461D" w:rsidRDefault="00AE461D" w:rsidP="00550204">
      <w:r>
        <w:t xml:space="preserve">Housing Assistance Tax Act 2008 </w:t>
      </w:r>
      <w:r w:rsidR="008920B3">
        <w:t>–</w:t>
      </w:r>
      <w:r>
        <w:t xml:space="preserve"> </w:t>
      </w:r>
      <w:r w:rsidR="008920B3">
        <w:t xml:space="preserve">This act was also an initiative of the US government for reclaiming the faith of US borrowers. Under this act, the first time home buyers were given refundable tax credit. </w:t>
      </w:r>
      <w:r w:rsidR="00BC3790">
        <w:t>This act allowed to attract home buyers to invest in real estate, so that, the situation of the US real estate can be improved</w:t>
      </w:r>
      <w:r w:rsidR="00824FEE">
        <w:rPr>
          <w:color w:val="222222"/>
          <w:shd w:val="clear" w:color="auto" w:fill="FFFFFF"/>
        </w:rPr>
        <w:t xml:space="preserve"> (</w:t>
      </w:r>
      <w:r w:rsidR="00824FEE" w:rsidRPr="00F960CC">
        <w:rPr>
          <w:color w:val="222222"/>
          <w:shd w:val="clear" w:color="auto" w:fill="FFFFFF"/>
        </w:rPr>
        <w:t>Arthur, 2009</w:t>
      </w:r>
      <w:r w:rsidR="00824FEE">
        <w:rPr>
          <w:color w:val="222222"/>
          <w:shd w:val="clear" w:color="auto" w:fill="FFFFFF"/>
        </w:rPr>
        <w:t>)</w:t>
      </w:r>
      <w:r w:rsidR="00BC3790">
        <w:t xml:space="preserve">. </w:t>
      </w:r>
    </w:p>
    <w:p w14:paraId="02799B07" w14:textId="745DD7B6" w:rsidR="00AE461D" w:rsidRDefault="00AE461D" w:rsidP="00550204">
      <w:r w:rsidRPr="009C3B98">
        <w:t>Secure and Fair Enforcement for Mortgage Licensing Act 2008</w:t>
      </w:r>
      <w:r>
        <w:t xml:space="preserve"> </w:t>
      </w:r>
      <w:r w:rsidR="00BC3790">
        <w:t>–</w:t>
      </w:r>
      <w:r>
        <w:t xml:space="preserve"> </w:t>
      </w:r>
      <w:r w:rsidR="00BC3790">
        <w:t xml:space="preserve">Another statute of the HERA was to create a licensing system for the mortgage loans. The purpose of this statute was to </w:t>
      </w:r>
      <w:r w:rsidR="00BC3790">
        <w:lastRenderedPageBreak/>
        <w:t xml:space="preserve">administer states to operate their own system </w:t>
      </w:r>
      <w:r w:rsidR="0097152F">
        <w:t xml:space="preserve">for mortgage licensing but this system was supposed to be in alignment of the federal standards, </w:t>
      </w:r>
    </w:p>
    <w:p w14:paraId="39714BD1" w14:textId="6F873C61" w:rsidR="00AE461D" w:rsidRPr="00EC1A66" w:rsidRDefault="00AE461D" w:rsidP="00550204">
      <w:r w:rsidRPr="009C3B98">
        <w:t>FHA Modernization Act 2008</w:t>
      </w:r>
      <w:r>
        <w:t xml:space="preserve"> </w:t>
      </w:r>
      <w:r w:rsidR="0097152F">
        <w:t>–</w:t>
      </w:r>
      <w:r>
        <w:t xml:space="preserve"> </w:t>
      </w:r>
      <w:r w:rsidR="0097152F">
        <w:t>The statute of HERA was to increase the loan limit under Federal Housing Association from 95% to 115%. Various reforms regarding real estate loans were stated and implemented under this statute. Some of such reforms include prohibiting downpayments that are seller funded and mandated 3.5% downpayment</w:t>
      </w:r>
      <w:r w:rsidR="00824FEE">
        <w:rPr>
          <w:color w:val="222222"/>
          <w:shd w:val="clear" w:color="auto" w:fill="FFFFFF"/>
        </w:rPr>
        <w:t xml:space="preserve"> (</w:t>
      </w:r>
      <w:r w:rsidR="00824FEE" w:rsidRPr="00F960CC">
        <w:rPr>
          <w:color w:val="222222"/>
          <w:shd w:val="clear" w:color="auto" w:fill="FFFFFF"/>
        </w:rPr>
        <w:t>Emerson, 2008</w:t>
      </w:r>
      <w:r w:rsidR="00824FEE">
        <w:rPr>
          <w:color w:val="222222"/>
          <w:shd w:val="clear" w:color="auto" w:fill="FFFFFF"/>
        </w:rPr>
        <w:t>)</w:t>
      </w:r>
      <w:r w:rsidR="0097152F">
        <w:t xml:space="preserve">. </w:t>
      </w:r>
    </w:p>
    <w:p w14:paraId="04E6C7B5" w14:textId="7952A109" w:rsidR="00FC722D" w:rsidRPr="00FC722D" w:rsidRDefault="00FC722D" w:rsidP="00C457A9">
      <w:pPr>
        <w:rPr>
          <w:b/>
          <w:bCs/>
          <w:i/>
          <w:iCs/>
        </w:rPr>
      </w:pPr>
      <w:r w:rsidRPr="00FC722D">
        <w:rPr>
          <w:b/>
          <w:bCs/>
          <w:i/>
          <w:iCs/>
        </w:rPr>
        <w:t>Monetary policy:</w:t>
      </w:r>
    </w:p>
    <w:p w14:paraId="3982AE95" w14:textId="69415919" w:rsidR="0057267A" w:rsidRDefault="00654AAF" w:rsidP="00C457A9">
      <w:r>
        <w:t xml:space="preserve">In October 2008, the </w:t>
      </w:r>
      <w:r w:rsidRPr="00654AAF">
        <w:t xml:space="preserve">Federal Reserve </w:t>
      </w:r>
      <w:r>
        <w:t xml:space="preserve">made some changes in the monetary policy of the US. This regulation allowed the </w:t>
      </w:r>
      <w:r w:rsidRPr="00654AAF">
        <w:t>Federal Reserve</w:t>
      </w:r>
      <w:r>
        <w:t xml:space="preserve"> to pay banks interest on their excess reserves. This helped banks to have incentive to hold on to their reserves rather them lending them out</w:t>
      </w:r>
      <w:r w:rsidR="00121954">
        <w:t xml:space="preserve"> (</w:t>
      </w:r>
      <w:r w:rsidR="00121954">
        <w:rPr>
          <w:lang w:val="en-US"/>
        </w:rPr>
        <w:t>Federal Reserve History, 2013</w:t>
      </w:r>
      <w:r w:rsidR="00121954">
        <w:t>)</w:t>
      </w:r>
      <w:r>
        <w:t xml:space="preserve">. </w:t>
      </w:r>
      <w:r w:rsidR="00E32E5C">
        <w:t xml:space="preserve">Under this policy, the federal funds rate was reduced to be zero in order to ease up the interest rates. A major role that monetary policy played in the post financial crises era was its expansion into the </w:t>
      </w:r>
      <w:proofErr w:type="spellStart"/>
      <w:r w:rsidR="00E32E5C">
        <w:t>non traditional</w:t>
      </w:r>
      <w:proofErr w:type="spellEnd"/>
      <w:r w:rsidR="00E32E5C">
        <w:t xml:space="preserve"> area of finance and banking. According to this, significant credit services was provided to wide range of financial markets. Some of the </w:t>
      </w:r>
      <w:proofErr w:type="spellStart"/>
      <w:r w:rsidR="00E32E5C">
        <w:t>non traditional</w:t>
      </w:r>
      <w:proofErr w:type="spellEnd"/>
      <w:r w:rsidR="00E32E5C">
        <w:t xml:space="preserve"> areas included the Term Auction Facility, Commercial paper funding facility and the mortgage backed securities. </w:t>
      </w:r>
      <w:r w:rsidR="00B20A16">
        <w:t>Moreover, US $900 billion were swell to US $2 trillion in only few months</w:t>
      </w:r>
      <w:r w:rsidR="004C0B53">
        <w:t xml:space="preserve"> (</w:t>
      </w:r>
      <w:r w:rsidR="004C0B53" w:rsidRPr="008610CD">
        <w:rPr>
          <w:lang w:val="en-US"/>
        </w:rPr>
        <w:t>Bosworth and</w:t>
      </w:r>
      <w:r w:rsidR="004C0B53">
        <w:rPr>
          <w:lang w:val="en-US"/>
        </w:rPr>
        <w:t xml:space="preserve"> </w:t>
      </w:r>
      <w:proofErr w:type="spellStart"/>
      <w:r w:rsidR="004C0B53" w:rsidRPr="008610CD">
        <w:rPr>
          <w:lang w:val="en-US"/>
        </w:rPr>
        <w:t>Flaaen</w:t>
      </w:r>
      <w:proofErr w:type="spellEnd"/>
      <w:r w:rsidR="004C0B53">
        <w:rPr>
          <w:lang w:val="en-US"/>
        </w:rPr>
        <w:t>, 2009</w:t>
      </w:r>
      <w:r w:rsidR="004C0B53">
        <w:t>)</w:t>
      </w:r>
      <w:r w:rsidR="00B20A16">
        <w:t xml:space="preserve">. These programs were also successfully </w:t>
      </w:r>
      <w:r w:rsidR="000848D6">
        <w:t xml:space="preserve">known to restore liquidity in the </w:t>
      </w:r>
      <w:r w:rsidR="00DB15A2">
        <w:t xml:space="preserve">United States. </w:t>
      </w:r>
    </w:p>
    <w:p w14:paraId="69C0F3BE" w14:textId="77777777" w:rsidR="0057267A" w:rsidRPr="0057267A" w:rsidRDefault="0057267A" w:rsidP="00C457A9">
      <w:pPr>
        <w:rPr>
          <w:b/>
          <w:bCs/>
          <w:i/>
          <w:iCs/>
        </w:rPr>
      </w:pPr>
      <w:r w:rsidRPr="0057267A">
        <w:rPr>
          <w:b/>
          <w:bCs/>
          <w:i/>
          <w:iCs/>
        </w:rPr>
        <w:t>Fiscal policy:</w:t>
      </w:r>
    </w:p>
    <w:p w14:paraId="710F5FDF" w14:textId="7D1DEF11" w:rsidR="00FC722D" w:rsidRDefault="0057267A" w:rsidP="00C457A9">
      <w:r>
        <w:t xml:space="preserve">Besides monetary policy, fiscal policy </w:t>
      </w:r>
      <w:r w:rsidR="00487301">
        <w:t xml:space="preserve">was the significant regulation in post financial crises era that controlled the financial crises and ensured that no such crises shall repeat in future. Under fiscal policy, </w:t>
      </w:r>
      <w:r w:rsidR="00BC3BD2">
        <w:t xml:space="preserve">the Congress in the US passed a program in 2009 which was an economic stimulus program. Under this program, tax cuts were made and the national expenditure was increased. The purpose behind tax cuts was to revive the trust and faith of the people of US and the national expenditure was increased to </w:t>
      </w:r>
      <w:r w:rsidR="00021833">
        <w:t xml:space="preserve">support tax revolutions. The increase expenditure of US $787 billion allowed to </w:t>
      </w:r>
      <w:r w:rsidR="00807486">
        <w:t>ensure strong recovery of the US economy</w:t>
      </w:r>
      <w:r w:rsidR="004C0B53">
        <w:t xml:space="preserve"> (</w:t>
      </w:r>
      <w:r w:rsidR="004C0B53" w:rsidRPr="008610CD">
        <w:rPr>
          <w:lang w:val="en-US"/>
        </w:rPr>
        <w:t>Bosworth and</w:t>
      </w:r>
      <w:r w:rsidR="004C0B53">
        <w:rPr>
          <w:lang w:val="en-US"/>
        </w:rPr>
        <w:t xml:space="preserve"> </w:t>
      </w:r>
      <w:proofErr w:type="spellStart"/>
      <w:r w:rsidR="004C0B53" w:rsidRPr="008610CD">
        <w:rPr>
          <w:lang w:val="en-US"/>
        </w:rPr>
        <w:t>Flaaen</w:t>
      </w:r>
      <w:proofErr w:type="spellEnd"/>
      <w:r w:rsidR="004C0B53">
        <w:rPr>
          <w:lang w:val="en-US"/>
        </w:rPr>
        <w:t>, 2009</w:t>
      </w:r>
      <w:r w:rsidR="004C0B53">
        <w:t>)</w:t>
      </w:r>
      <w:r w:rsidR="00807486">
        <w:t xml:space="preserve">. </w:t>
      </w:r>
    </w:p>
    <w:p w14:paraId="076CD111" w14:textId="70AFCAA5" w:rsidR="00733A55" w:rsidRPr="006D3BD1" w:rsidRDefault="00733A55" w:rsidP="00C457A9">
      <w:pPr>
        <w:rPr>
          <w:b/>
          <w:bCs/>
          <w:i/>
          <w:iCs/>
        </w:rPr>
      </w:pPr>
      <w:r w:rsidRPr="006D3BD1">
        <w:rPr>
          <w:b/>
          <w:bCs/>
          <w:i/>
          <w:iCs/>
        </w:rPr>
        <w:t>Financial Reconstruction:</w:t>
      </w:r>
    </w:p>
    <w:p w14:paraId="06EFA732" w14:textId="43145FC4" w:rsidR="00733A55" w:rsidRDefault="007F4BAF" w:rsidP="00C457A9">
      <w:r>
        <w:lastRenderedPageBreak/>
        <w:t xml:space="preserve">During post 2008 financial crises, US government created a policy for financial reconstruction. The purpose of this policy was to stabilise financial system of the United States. </w:t>
      </w:r>
      <w:r w:rsidR="00834982">
        <w:t xml:space="preserve">In this policy. The US government followed various steps to reconstruct the financial system. The first step of such policy creation was to accurately assess the losses which individual financial institutions of the US has faced. </w:t>
      </w:r>
      <w:r w:rsidR="006D3BD1">
        <w:t>The following step was to write off such losses, so that, an effective asset management can be done</w:t>
      </w:r>
      <w:r w:rsidR="00AC2D76">
        <w:t>. In the third step, the financial institutions that faced losses were assessed to determine that whether such institutions should be closed down or recapitalised.</w:t>
      </w:r>
      <w:r w:rsidR="00F87685">
        <w:t xml:space="preserve"> Lastly, the fourth</w:t>
      </w:r>
      <w:r w:rsidR="00A442D3">
        <w:t xml:space="preserve"> step of the</w:t>
      </w:r>
      <w:r w:rsidR="00F87685">
        <w:t xml:space="preserve"> process of creating a policy for financial reconstruction was to </w:t>
      </w:r>
      <w:r w:rsidR="00A442D3">
        <w:t>restart the lending process, so that, the trust of people in the financial system of the company can be restored</w:t>
      </w:r>
      <w:r w:rsidR="00E95EC4">
        <w:t xml:space="preserve"> </w:t>
      </w:r>
      <w:r w:rsidR="00142648">
        <w:t>(</w:t>
      </w:r>
      <w:r w:rsidR="00142648" w:rsidRPr="008610CD">
        <w:rPr>
          <w:lang w:val="en-US"/>
        </w:rPr>
        <w:t>Bosworth and</w:t>
      </w:r>
      <w:r w:rsidR="00142648">
        <w:rPr>
          <w:lang w:val="en-US"/>
        </w:rPr>
        <w:t xml:space="preserve"> </w:t>
      </w:r>
      <w:proofErr w:type="spellStart"/>
      <w:r w:rsidR="00142648" w:rsidRPr="008610CD">
        <w:rPr>
          <w:lang w:val="en-US"/>
        </w:rPr>
        <w:t>Flaaen</w:t>
      </w:r>
      <w:proofErr w:type="spellEnd"/>
      <w:r w:rsidR="00142648">
        <w:rPr>
          <w:lang w:val="en-US"/>
        </w:rPr>
        <w:t>, 2009</w:t>
      </w:r>
      <w:r w:rsidR="00142648">
        <w:t>)</w:t>
      </w:r>
      <w:r w:rsidR="00A442D3">
        <w:t xml:space="preserve">. A figure </w:t>
      </w:r>
      <w:r w:rsidR="00853B83">
        <w:t xml:space="preserve">showing the financial reconstruction </w:t>
      </w:r>
      <w:r w:rsidR="001438B7">
        <w:t xml:space="preserve">is attached as figure 1. </w:t>
      </w:r>
    </w:p>
    <w:p w14:paraId="608EC51B" w14:textId="58948757" w:rsidR="00853B83" w:rsidRDefault="00853B83" w:rsidP="00C457A9">
      <w:r>
        <w:t>According to the figure</w:t>
      </w:r>
      <w:r w:rsidR="001438B7">
        <w:t xml:space="preserve"> 1</w:t>
      </w:r>
      <w:r>
        <w:t>, it is clear that how</w:t>
      </w:r>
      <w:r w:rsidR="00ED1550">
        <w:t xml:space="preserve"> during</w:t>
      </w:r>
      <w:r>
        <w:t xml:space="preserve"> post 2008 financial crises, the structure of US financial system changed. Near the year 2010, the revenues have lowered significantly and the expenses have been increased immensely. The reason behind </w:t>
      </w:r>
      <w:r w:rsidR="00ED1550">
        <w:t>lowered revenues were the tax cuts that US government sanctioned for the tax payers. And the reason behind the increased expenses were the attempts by the US government</w:t>
      </w:r>
      <w:r w:rsidR="00E73BDD">
        <w:t xml:space="preserve"> for writing off the losses by financial institutions</w:t>
      </w:r>
      <w:r w:rsidR="00ED1550">
        <w:t xml:space="preserve"> which resulted in</w:t>
      </w:r>
      <w:r w:rsidR="00E73BDD">
        <w:t xml:space="preserve"> heavy expenses. </w:t>
      </w:r>
      <w:r w:rsidR="00ED1550">
        <w:t xml:space="preserve"> </w:t>
      </w:r>
    </w:p>
    <w:p w14:paraId="55E98FBC" w14:textId="35CBD3B6" w:rsidR="00654AAF" w:rsidRDefault="00654AAF" w:rsidP="00D3794A">
      <w:r>
        <w:t xml:space="preserve">All the above legislations and regulations helped the US to end the global financial crises and ensure to be ready for similar situation in the future. </w:t>
      </w:r>
      <w:r w:rsidR="00D3794A">
        <w:t xml:space="preserve">Moreover, the key laws, regulations and contracts by the other key players in the financial system include the regulations by G20. G20 or Group of 20 is an intergovernmental forum that comprise 19 countries and European Union. After the economic crises of 2008, G20 committed to a fundamental reform of the global financial system (Financial Stability Board, 2022). The leaders of G20 had a meeting in London, where G20 pledged for triple funding for the International Monetary Fund. The purpose of this contract between 19 countries and EU was to increase trade financing (Council on Foreign Relations, 2023). </w:t>
      </w:r>
    </w:p>
    <w:p w14:paraId="47A564CE" w14:textId="4932B42D" w:rsidR="00C457A9" w:rsidRDefault="00C457A9" w:rsidP="00C457A9">
      <w:pPr>
        <w:pStyle w:val="Heading1"/>
      </w:pPr>
      <w:bookmarkStart w:id="4" w:name="_Toc143510776"/>
      <w:r>
        <w:t>2. Critical review of the extent to which reforms have contributed towards stabilising the financial system</w:t>
      </w:r>
      <w:bookmarkEnd w:id="4"/>
    </w:p>
    <w:p w14:paraId="7223AD59" w14:textId="3C26AF68" w:rsidR="00F003B4" w:rsidRDefault="00F003B4" w:rsidP="00F003B4">
      <w:r>
        <w:t>In this section, the impact of reforms identified above will be analysed in contributing towards stabilising the financial system</w:t>
      </w:r>
      <w:r w:rsidR="003650AD">
        <w:t xml:space="preserve"> of the US. </w:t>
      </w:r>
      <w:r w:rsidR="00AE40B3">
        <w:t xml:space="preserve">The purpose of analysing the reforms is to analyse </w:t>
      </w:r>
      <w:r w:rsidR="00AE40B3">
        <w:lastRenderedPageBreak/>
        <w:t>the extent of their contribution</w:t>
      </w:r>
      <w:r w:rsidR="006E27EC">
        <w:t xml:space="preserve"> towards stabilising the overall financial system of the US and the different banking institutions during the post 2008 financial crises. </w:t>
      </w:r>
    </w:p>
    <w:p w14:paraId="566EC5B2" w14:textId="0DD3FD04" w:rsidR="00F003B4" w:rsidRDefault="00F003B4" w:rsidP="00F003B4">
      <w:r w:rsidRPr="007E401D">
        <w:rPr>
          <w:b/>
          <w:bCs/>
          <w:i/>
          <w:iCs/>
        </w:rPr>
        <w:t>Dodd-Frank Wall Street Reform</w:t>
      </w:r>
      <w:r>
        <w:t xml:space="preserve"> </w:t>
      </w:r>
    </w:p>
    <w:p w14:paraId="0BB53889" w14:textId="590BC937" w:rsidR="00FD47D6" w:rsidRDefault="004907D0" w:rsidP="00F003B4">
      <w:r>
        <w:t xml:space="preserve">The most significant legislation which reformed and stabilised the financial system of the US is the </w:t>
      </w:r>
      <w:r w:rsidRPr="004907D0">
        <w:t>Dodd-Frank Wall Street Reform</w:t>
      </w:r>
      <w:r>
        <w:t xml:space="preserve">. This reform stabilised the financial system in three phases. In the first phase, this reform ensured that innocent taxpayers of the US will have to bear the cost of irresponsibility of the Wall Street. </w:t>
      </w:r>
      <w:r w:rsidR="0046551E">
        <w:t xml:space="preserve">Under this, tax cuts were provided to tax payers and policies were made, according to which, it was ensured that taxpayers would not pay the price of Wall </w:t>
      </w:r>
      <w:r w:rsidR="00ED023C">
        <w:t>S</w:t>
      </w:r>
      <w:r w:rsidR="0046551E">
        <w:t>treet fallout. This restored the trust of people in the financial system of the US which contributed towards stabilising it</w:t>
      </w:r>
      <w:r w:rsidR="00F11450">
        <w:t xml:space="preserve"> (The White House, 2023)</w:t>
      </w:r>
      <w:r w:rsidR="0046551E">
        <w:t xml:space="preserve">.  </w:t>
      </w:r>
    </w:p>
    <w:p w14:paraId="3A496886" w14:textId="090DB70E" w:rsidR="001438B7" w:rsidRPr="009E212C" w:rsidRDefault="001438B7" w:rsidP="00F003B4">
      <w:pPr>
        <w:rPr>
          <w:b/>
          <w:bCs/>
          <w:i/>
          <w:iCs/>
        </w:rPr>
      </w:pPr>
      <w:r w:rsidRPr="009E212C">
        <w:rPr>
          <w:b/>
          <w:bCs/>
          <w:i/>
          <w:iCs/>
        </w:rPr>
        <w:t>Volcker Rule:</w:t>
      </w:r>
    </w:p>
    <w:p w14:paraId="20644880" w14:textId="088E01E3" w:rsidR="00BF6AB4" w:rsidRDefault="001438B7" w:rsidP="00F003B4">
      <w:r>
        <w:t xml:space="preserve">Another significant reform which contributed towards stabilising the financial system is the Volcker rule. According to this rule, </w:t>
      </w:r>
      <w:r w:rsidR="00EC2A9B">
        <w:t xml:space="preserve">the US government restricted activities of the US financial institutions to own, invest and sponsor private equity funds and hedge funds, so that, the focus can be on serving their customers instead of taking risks which are not authorised by their customers. </w:t>
      </w:r>
      <w:r w:rsidR="008B70A2">
        <w:t xml:space="preserve">In summary, the proprietary trading was separated from the core banking business, so that, the mistakes of banking investments </w:t>
      </w:r>
      <w:r w:rsidR="00E43BF7">
        <w:t>cannot</w:t>
      </w:r>
      <w:r w:rsidR="008B70A2">
        <w:t xml:space="preserve"> impact customers of the banks in future</w:t>
      </w:r>
      <w:r w:rsidR="00F11450">
        <w:t xml:space="preserve"> (The White House, 2023)</w:t>
      </w:r>
      <w:r w:rsidR="008B70A2">
        <w:t>.</w:t>
      </w:r>
      <w:r w:rsidR="00265B25">
        <w:t xml:space="preserve"> By implementing the Volcker Rule, not only the banking institutions were regulated but also the chances of any future financial crises were mitigated. Thus, the Volcker Rule significantly contributed in </w:t>
      </w:r>
      <w:r w:rsidR="00213B4C">
        <w:t>stabilising</w:t>
      </w:r>
      <w:r w:rsidR="00265B25">
        <w:t xml:space="preserve"> the financial market.  </w:t>
      </w:r>
    </w:p>
    <w:p w14:paraId="3A9244B9" w14:textId="3053AF71" w:rsidR="00CC0ECB" w:rsidRPr="00CC0ECB" w:rsidRDefault="00CC0ECB" w:rsidP="00CC0ECB">
      <w:pPr>
        <w:rPr>
          <w:b/>
          <w:bCs/>
          <w:i/>
          <w:iCs/>
        </w:rPr>
      </w:pPr>
      <w:r w:rsidRPr="00CC0ECB">
        <w:rPr>
          <w:b/>
          <w:bCs/>
          <w:i/>
          <w:iCs/>
        </w:rPr>
        <w:t>Emergency Economic Stabilization Act of 2008:</w:t>
      </w:r>
    </w:p>
    <w:p w14:paraId="79722D5B" w14:textId="77777777" w:rsidR="00272D51" w:rsidRDefault="002F01BE" w:rsidP="00C457A9">
      <w:pPr>
        <w:rPr>
          <w:color w:val="222222"/>
          <w:shd w:val="clear" w:color="auto" w:fill="FFFFFF"/>
        </w:rPr>
      </w:pPr>
      <w:r>
        <w:t xml:space="preserve">During the financial crises, the banking and other financial institutions of the US were struggling to survive as they had millions of dollars in debt due to unpaid mortgages in real estate. The demise of banking and other financial institutions was leading towards losing confidence of people of the US from the financial system. In order to restore the confidence and protect banking and other financial institutions from bankruptcy, government initiated the </w:t>
      </w:r>
      <w:r w:rsidRPr="002F01BE">
        <w:t>Emergency Economic Stabilization Act of 2008</w:t>
      </w:r>
      <w:r>
        <w:t xml:space="preserve">. Under this act, US Treasury helped the financial institutions through </w:t>
      </w:r>
      <w:r w:rsidR="00CC0ECB">
        <w:t>Troubled Asset Relief Program</w:t>
      </w:r>
      <w:r>
        <w:t xml:space="preserve"> (TARP) and Capital Purchase Program (CPP) </w:t>
      </w:r>
      <w:r w:rsidR="00824FEE">
        <w:rPr>
          <w:color w:val="222222"/>
          <w:shd w:val="clear" w:color="auto" w:fill="FFFFFF"/>
        </w:rPr>
        <w:t>(</w:t>
      </w:r>
      <w:r w:rsidR="00824FEE" w:rsidRPr="00F960CC">
        <w:rPr>
          <w:color w:val="222222"/>
          <w:shd w:val="clear" w:color="auto" w:fill="FFFFFF"/>
        </w:rPr>
        <w:t>Swedberg, 2013</w:t>
      </w:r>
      <w:r w:rsidR="00824FEE">
        <w:rPr>
          <w:color w:val="222222"/>
          <w:shd w:val="clear" w:color="auto" w:fill="FFFFFF"/>
        </w:rPr>
        <w:t>)</w:t>
      </w:r>
      <w:r>
        <w:rPr>
          <w:color w:val="222222"/>
          <w:shd w:val="clear" w:color="auto" w:fill="FFFFFF"/>
        </w:rPr>
        <w:t xml:space="preserve">. Under TARP, US Treasury bought the </w:t>
      </w:r>
      <w:r w:rsidR="00F15E92">
        <w:rPr>
          <w:color w:val="222222"/>
          <w:shd w:val="clear" w:color="auto" w:fill="FFFFFF"/>
        </w:rPr>
        <w:t xml:space="preserve">troubled assets of </w:t>
      </w:r>
      <w:r w:rsidR="00F15E92">
        <w:rPr>
          <w:color w:val="222222"/>
          <w:shd w:val="clear" w:color="auto" w:fill="FFFFFF"/>
        </w:rPr>
        <w:lastRenderedPageBreak/>
        <w:t xml:space="preserve">the banks and under CPP, US Treasury bought equity of banks. These programs allowed the banking institutions to </w:t>
      </w:r>
      <w:r w:rsidR="00E13F3E">
        <w:rPr>
          <w:color w:val="222222"/>
          <w:shd w:val="clear" w:color="auto" w:fill="FFFFFF"/>
        </w:rPr>
        <w:t xml:space="preserve">gain recovery by reducing their unpaid mortgages. </w:t>
      </w:r>
    </w:p>
    <w:p w14:paraId="09B6D017" w14:textId="1ED23058" w:rsidR="00272D51" w:rsidRPr="00251D24" w:rsidRDefault="00272D51" w:rsidP="00C457A9">
      <w:pPr>
        <w:rPr>
          <w:b/>
          <w:bCs/>
          <w:i/>
          <w:iCs/>
          <w:color w:val="222222"/>
          <w:shd w:val="clear" w:color="auto" w:fill="FFFFFF"/>
        </w:rPr>
      </w:pPr>
      <w:r w:rsidRPr="00251D24">
        <w:rPr>
          <w:b/>
          <w:bCs/>
          <w:i/>
          <w:iCs/>
          <w:color w:val="222222"/>
          <w:shd w:val="clear" w:color="auto" w:fill="FFFFFF"/>
        </w:rPr>
        <w:t>Monetary and fiscal policy:</w:t>
      </w:r>
    </w:p>
    <w:p w14:paraId="546D2A79" w14:textId="595C6899" w:rsidR="00C457A9" w:rsidRDefault="00272D51" w:rsidP="00C457A9">
      <w:r>
        <w:rPr>
          <w:color w:val="222222"/>
          <w:shd w:val="clear" w:color="auto" w:fill="FFFFFF"/>
        </w:rPr>
        <w:t xml:space="preserve">During the financial crises, the US adopted unconventional monetary and fiscal policy. Under the monetary policy, the </w:t>
      </w:r>
      <w:r w:rsidR="00CB6461">
        <w:rPr>
          <w:color w:val="222222"/>
          <w:shd w:val="clear" w:color="auto" w:fill="FFFFFF"/>
        </w:rPr>
        <w:t xml:space="preserve">interest rates of the banks lowered and under the fiscal policy, tax cuts were made for the taxpayers of the US. </w:t>
      </w:r>
      <w:r w:rsidR="00D63364">
        <w:rPr>
          <w:color w:val="222222"/>
          <w:shd w:val="clear" w:color="auto" w:fill="FFFFFF"/>
        </w:rPr>
        <w:t>These policies contributed towards stabilising the financial market of the US</w:t>
      </w:r>
      <w:r w:rsidR="00F56F12">
        <w:rPr>
          <w:color w:val="222222"/>
          <w:shd w:val="clear" w:color="auto" w:fill="FFFFFF"/>
        </w:rPr>
        <w:t xml:space="preserve"> (</w:t>
      </w:r>
      <w:r w:rsidR="00F56F12" w:rsidRPr="00F960CC">
        <w:rPr>
          <w:color w:val="222222"/>
          <w:shd w:val="clear" w:color="auto" w:fill="FFFFFF"/>
        </w:rPr>
        <w:t>Munir, 2011</w:t>
      </w:r>
      <w:r w:rsidR="00F56F12">
        <w:rPr>
          <w:color w:val="222222"/>
          <w:shd w:val="clear" w:color="auto" w:fill="FFFFFF"/>
        </w:rPr>
        <w:t>)</w:t>
      </w:r>
      <w:r w:rsidR="007D66FD">
        <w:rPr>
          <w:color w:val="222222"/>
          <w:shd w:val="clear" w:color="auto" w:fill="FFFFFF"/>
        </w:rPr>
        <w:t xml:space="preserve"> by allowing people of the nation to restore their confidence in the financial system of the country. </w:t>
      </w:r>
    </w:p>
    <w:p w14:paraId="46890B3B" w14:textId="7C15B873" w:rsidR="00C457A9" w:rsidRDefault="00C457A9" w:rsidP="00C457A9">
      <w:pPr>
        <w:pStyle w:val="Heading1"/>
      </w:pPr>
      <w:bookmarkStart w:id="5" w:name="_Toc143510777"/>
      <w:r>
        <w:t>3. Impact on their business model</w:t>
      </w:r>
      <w:bookmarkEnd w:id="5"/>
    </w:p>
    <w:p w14:paraId="73C4369D" w14:textId="25914A15" w:rsidR="00660450" w:rsidRDefault="00660450" w:rsidP="00DA43B1">
      <w:r>
        <w:t xml:space="preserve">In this section, a publicly listed company is selected i.e., </w:t>
      </w:r>
      <w:r w:rsidRPr="00660450">
        <w:t>JPMorgan Chase</w:t>
      </w:r>
      <w:r>
        <w:t xml:space="preserve">. </w:t>
      </w:r>
      <w:r w:rsidR="003D14A0" w:rsidRPr="00660450">
        <w:t>JPMorgan Chase</w:t>
      </w:r>
      <w:r w:rsidR="003D14A0">
        <w:t xml:space="preserve"> &amp; Company is a financial services company which is headquartered in New York City. This company is a multinational financial services company which is considered as the largest bank of the United States and is one of the most influential companies of 2023</w:t>
      </w:r>
      <w:r w:rsidR="00B330A2">
        <w:t xml:space="preserve"> (</w:t>
      </w:r>
      <w:r w:rsidR="00B330A2" w:rsidRPr="00660450">
        <w:t>JPMorgan Chase</w:t>
      </w:r>
      <w:r w:rsidR="00B330A2">
        <w:t xml:space="preserve"> &amp; Co., 2023)</w:t>
      </w:r>
      <w:r w:rsidR="003D14A0">
        <w:t xml:space="preserve">. </w:t>
      </w:r>
      <w:r w:rsidR="0046470B">
        <w:t xml:space="preserve">The extent to which the above identified reformed has an impact on the </w:t>
      </w:r>
      <w:r w:rsidR="0046470B" w:rsidRPr="00660450">
        <w:t>JPMorgan Chase</w:t>
      </w:r>
      <w:r w:rsidR="0046470B">
        <w:t>’s business model is analysed in this section along with the level of compliance/non-compliance for the identified above reforms in the company.</w:t>
      </w:r>
    </w:p>
    <w:p w14:paraId="20BC92D2" w14:textId="318429A3" w:rsidR="002267EA" w:rsidRDefault="002267EA" w:rsidP="002267EA">
      <w:pPr>
        <w:pStyle w:val="Heading2"/>
      </w:pPr>
      <w:bookmarkStart w:id="6" w:name="_Toc143510778"/>
      <w:r w:rsidRPr="007E401D">
        <w:t>Dodd-Frank Wall Street Reform and Consumer Protection Act</w:t>
      </w:r>
      <w:bookmarkEnd w:id="6"/>
    </w:p>
    <w:p w14:paraId="011DB49E" w14:textId="3702B4F2" w:rsidR="00B83B20" w:rsidRPr="009F7CAC" w:rsidRDefault="001D7E80" w:rsidP="009F7CAC">
      <w:pPr>
        <w:rPr>
          <w:b/>
          <w:bCs/>
          <w:i/>
          <w:iCs/>
        </w:rPr>
      </w:pPr>
      <w:r w:rsidRPr="009F7CAC">
        <w:rPr>
          <w:b/>
          <w:bCs/>
          <w:i/>
          <w:iCs/>
        </w:rPr>
        <w:t>Impact on business model</w:t>
      </w:r>
    </w:p>
    <w:p w14:paraId="3D8D449D" w14:textId="73EB6B44" w:rsidR="00B83B20" w:rsidRDefault="00B83B20" w:rsidP="00DA43B1">
      <w:r>
        <w:t xml:space="preserve">This was one of the most important reforms which helped in stabilising the US economy. </w:t>
      </w:r>
      <w:r w:rsidR="006B3DCD">
        <w:t xml:space="preserve">This reform has separated the retail banking operations and investment banking operations of the banks. </w:t>
      </w:r>
      <w:r w:rsidR="00095A58" w:rsidRPr="00660450">
        <w:t>JPMorgan Chase</w:t>
      </w:r>
      <w:r w:rsidR="00095A58">
        <w:t xml:space="preserve"> &amp; Co. used to be an investment firm which used to earns revenues from investments banking products and commissions imposed on customers for the company’s services such as advisory, management and underwriting fees. </w:t>
      </w:r>
      <w:r w:rsidR="00455598">
        <w:t xml:space="preserve">Due to the </w:t>
      </w:r>
      <w:r w:rsidR="00455598" w:rsidRPr="00455598">
        <w:t>Dodd-Frank Wall Street Reform</w:t>
      </w:r>
      <w:r w:rsidR="00455598">
        <w:t xml:space="preserve">, </w:t>
      </w:r>
      <w:r w:rsidR="00455598" w:rsidRPr="00660450">
        <w:t>JPMorgan Chase</w:t>
      </w:r>
      <w:r w:rsidR="00455598">
        <w:t xml:space="preserve"> &amp; Co. had to separate its investment banking activities from its retail banking activities. The purpose behind this reform was to ensure that the poor investment decisions of banks does not impact honest taxpayers</w:t>
      </w:r>
      <w:r w:rsidR="001428FF">
        <w:t xml:space="preserve">. </w:t>
      </w:r>
      <w:r w:rsidR="00565A2A">
        <w:t xml:space="preserve">This reform minimised the chances of another financial crises in future but this reform significantly altered the business model of most US banks include the </w:t>
      </w:r>
      <w:r w:rsidR="00565A2A" w:rsidRPr="00660450">
        <w:t>JPMorgan Chase</w:t>
      </w:r>
      <w:r w:rsidR="00565A2A">
        <w:t xml:space="preserve"> &amp; Co. Due to this change, </w:t>
      </w:r>
      <w:r w:rsidR="00565A2A" w:rsidRPr="00660450">
        <w:t xml:space="preserve">JPMorgan </w:t>
      </w:r>
      <w:r w:rsidR="00565A2A" w:rsidRPr="00660450">
        <w:lastRenderedPageBreak/>
        <w:t>Chase</w:t>
      </w:r>
      <w:r w:rsidR="00565A2A">
        <w:t xml:space="preserve"> &amp; Co. needs to separate its investment banking and retail banking activities</w:t>
      </w:r>
      <w:r w:rsidR="00D20FFE">
        <w:t xml:space="preserve"> </w:t>
      </w:r>
      <w:r w:rsidR="00D20FFE">
        <w:rPr>
          <w:lang w:val="en-US"/>
        </w:rPr>
        <w:t>(</w:t>
      </w:r>
      <w:proofErr w:type="spellStart"/>
      <w:r w:rsidR="00D20FFE">
        <w:rPr>
          <w:shd w:val="clear" w:color="auto" w:fill="FFFFFF"/>
        </w:rPr>
        <w:t>Hearit</w:t>
      </w:r>
      <w:proofErr w:type="spellEnd"/>
      <w:r w:rsidR="00D20FFE">
        <w:rPr>
          <w:shd w:val="clear" w:color="auto" w:fill="FFFFFF"/>
        </w:rPr>
        <w:t>, 2018)</w:t>
      </w:r>
      <w:r w:rsidR="00565A2A">
        <w:t xml:space="preserve">. </w:t>
      </w:r>
    </w:p>
    <w:p w14:paraId="7CA917F5" w14:textId="431D6BB6" w:rsidR="001D7E80" w:rsidRPr="009F7CAC" w:rsidRDefault="001D7E80" w:rsidP="009F7CAC">
      <w:pPr>
        <w:rPr>
          <w:b/>
          <w:bCs/>
          <w:i/>
          <w:iCs/>
        </w:rPr>
      </w:pPr>
      <w:r w:rsidRPr="009F7CAC">
        <w:rPr>
          <w:b/>
          <w:bCs/>
          <w:i/>
          <w:iCs/>
        </w:rPr>
        <w:t>Impact on trading practices</w:t>
      </w:r>
    </w:p>
    <w:p w14:paraId="0465CF01" w14:textId="504E5347" w:rsidR="00F473AC" w:rsidRDefault="00F473AC" w:rsidP="00F473AC">
      <w:r>
        <w:t xml:space="preserve">Besides the impact on </w:t>
      </w:r>
      <w:r w:rsidRPr="00660450">
        <w:t>JPMorgan Chase</w:t>
      </w:r>
      <w:r>
        <w:t xml:space="preserve"> &amp; Co.’s business model, the </w:t>
      </w:r>
      <w:r w:rsidRPr="00F473AC">
        <w:t xml:space="preserve">Dodd-Frank Wall Street Reform </w:t>
      </w:r>
      <w:r>
        <w:t xml:space="preserve">has also influenced the </w:t>
      </w:r>
      <w:r w:rsidR="00BF3F15">
        <w:t xml:space="preserve">trading practices. </w:t>
      </w:r>
      <w:r w:rsidR="00DF28A5">
        <w:t xml:space="preserve">The </w:t>
      </w:r>
      <w:r w:rsidR="00DF28A5" w:rsidRPr="00DF28A5">
        <w:t>Dodd-Frank Wall Street Reform</w:t>
      </w:r>
      <w:r w:rsidR="00DF28A5">
        <w:t xml:space="preserve"> increased the capital requirements</w:t>
      </w:r>
      <w:r w:rsidR="00726216">
        <w:t xml:space="preserve">. This increase in the capital requirements was based on the total risk weighted assists and as </w:t>
      </w:r>
      <w:r w:rsidR="00726216" w:rsidRPr="00660450">
        <w:t>JPMorgan Chase</w:t>
      </w:r>
      <w:r w:rsidR="00726216">
        <w:t xml:space="preserve"> &amp; Co. was the second largest banking company in terms of assets, the capital requirements for this company were quite high. </w:t>
      </w:r>
      <w:r w:rsidR="003B3DD9">
        <w:t>A figure showing the capital surcharge level for the US banks</w:t>
      </w:r>
      <w:r w:rsidR="0098369F">
        <w:t xml:space="preserve"> after the </w:t>
      </w:r>
      <w:r w:rsidR="0098369F" w:rsidRPr="00DF28A5">
        <w:t>Dodd-Frank Wall Street Reform</w:t>
      </w:r>
      <w:r w:rsidR="003B3DD9">
        <w:t xml:space="preserve"> is </w:t>
      </w:r>
      <w:r w:rsidR="0098369F">
        <w:t>attached</w:t>
      </w:r>
      <w:r w:rsidR="003B3DD9">
        <w:t xml:space="preserve"> below</w:t>
      </w:r>
      <w:r w:rsidR="0098369F">
        <w:t>.</w:t>
      </w:r>
    </w:p>
    <w:p w14:paraId="007526FF" w14:textId="77777777" w:rsidR="008524F3" w:rsidRDefault="008524F3" w:rsidP="008524F3">
      <w:pPr>
        <w:keepNext/>
      </w:pPr>
      <w:r w:rsidRPr="008524F3">
        <w:rPr>
          <w:noProof/>
        </w:rPr>
        <w:drawing>
          <wp:inline distT="0" distB="0" distL="0" distR="0" wp14:anchorId="1CB76F57" wp14:editId="358FA25A">
            <wp:extent cx="4770533" cy="3322608"/>
            <wp:effectExtent l="19050" t="19050" r="11430" b="11430"/>
            <wp:docPr id="851211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211038" name=""/>
                    <pic:cNvPicPr/>
                  </pic:nvPicPr>
                  <pic:blipFill>
                    <a:blip r:embed="rId10"/>
                    <a:stretch>
                      <a:fillRect/>
                    </a:stretch>
                  </pic:blipFill>
                  <pic:spPr>
                    <a:xfrm>
                      <a:off x="0" y="0"/>
                      <a:ext cx="4770533" cy="3322608"/>
                    </a:xfrm>
                    <a:prstGeom prst="rect">
                      <a:avLst/>
                    </a:prstGeom>
                    <a:ln>
                      <a:solidFill>
                        <a:schemeClr val="tx1"/>
                      </a:solidFill>
                    </a:ln>
                  </pic:spPr>
                </pic:pic>
              </a:graphicData>
            </a:graphic>
          </wp:inline>
        </w:drawing>
      </w:r>
    </w:p>
    <w:p w14:paraId="66D03A44" w14:textId="5D90C21F" w:rsidR="00F473AC" w:rsidRDefault="008524F3" w:rsidP="008524F3">
      <w:pPr>
        <w:pStyle w:val="Caption"/>
      </w:pPr>
      <w:r>
        <w:t xml:space="preserve">Figure </w:t>
      </w:r>
      <w:r>
        <w:fldChar w:fldCharType="begin"/>
      </w:r>
      <w:r>
        <w:instrText xml:space="preserve"> SEQ Figure \* ARABIC </w:instrText>
      </w:r>
      <w:r>
        <w:fldChar w:fldCharType="separate"/>
      </w:r>
      <w:r w:rsidR="00AA55E1">
        <w:rPr>
          <w:noProof/>
        </w:rPr>
        <w:t>2</w:t>
      </w:r>
      <w:r>
        <w:fldChar w:fldCharType="end"/>
      </w:r>
      <w:r>
        <w:t xml:space="preserve">: </w:t>
      </w:r>
      <w:r w:rsidRPr="00FF566B">
        <w:t>New Capital Surcharge Levels for U.S. Banks</w:t>
      </w:r>
    </w:p>
    <w:p w14:paraId="0D846605" w14:textId="7DAC9709" w:rsidR="008524F3" w:rsidRPr="008524F3" w:rsidRDefault="008524F3" w:rsidP="008524F3">
      <w:r>
        <w:t xml:space="preserve">(Source: </w:t>
      </w:r>
      <w:r w:rsidR="00953DEB">
        <w:rPr>
          <w:lang w:val="en-US"/>
        </w:rPr>
        <w:t>Wilkes, 2016</w:t>
      </w:r>
      <w:r>
        <w:t>)</w:t>
      </w:r>
    </w:p>
    <w:p w14:paraId="79A787DD" w14:textId="77777777" w:rsidR="00530646" w:rsidRDefault="0098369F" w:rsidP="00F473AC">
      <w:r>
        <w:t xml:space="preserve">According to above figure, it is clear that </w:t>
      </w:r>
      <w:r w:rsidRPr="00660450">
        <w:t>JPMorgan Chase</w:t>
      </w:r>
      <w:r>
        <w:t xml:space="preserve"> faced the highest impact of capital surcharge requirements</w:t>
      </w:r>
      <w:r w:rsidR="00BA7908">
        <w:t xml:space="preserve">. </w:t>
      </w:r>
      <w:r w:rsidR="00A91A04" w:rsidRPr="00660450">
        <w:t>JPMorgan Chase</w:t>
      </w:r>
      <w:r w:rsidR="00A91A04">
        <w:t xml:space="preserve"> had to increase its capital by 4.5%. The variation in the capital surcharge was due to varied risk weighted assets. </w:t>
      </w:r>
    </w:p>
    <w:p w14:paraId="1CFED071" w14:textId="1201DAB4" w:rsidR="0037187E" w:rsidRDefault="0037187E" w:rsidP="00F473AC">
      <w:pPr>
        <w:rPr>
          <w:b/>
          <w:bCs/>
          <w:i/>
          <w:iCs/>
        </w:rPr>
      </w:pPr>
      <w:r w:rsidRPr="0037187E">
        <w:rPr>
          <w:b/>
          <w:bCs/>
          <w:i/>
          <w:iCs/>
        </w:rPr>
        <w:t>Impact on business performance</w:t>
      </w:r>
    </w:p>
    <w:p w14:paraId="73021435" w14:textId="3989CEFF" w:rsidR="000E4320" w:rsidRPr="000E4320" w:rsidRDefault="00F556EA" w:rsidP="00F473AC">
      <w:r>
        <w:lastRenderedPageBreak/>
        <w:t xml:space="preserve">Besides having a powerful impact on </w:t>
      </w:r>
      <w:r w:rsidRPr="00660450">
        <w:t>JPMorgan Chase</w:t>
      </w:r>
      <w:r>
        <w:t xml:space="preserve">’s business model and trading practices, the </w:t>
      </w:r>
      <w:r w:rsidRPr="00DF28A5">
        <w:t>Dodd-Frank Wall Street Reform</w:t>
      </w:r>
      <w:r>
        <w:t xml:space="preserve"> has a significant impact on business </w:t>
      </w:r>
      <w:r w:rsidR="006249AB">
        <w:t>performance</w:t>
      </w:r>
      <w:r>
        <w:t xml:space="preserve"> as well. </w:t>
      </w:r>
      <w:r w:rsidR="006249AB">
        <w:t>A figure is attached below which shows the net profits of top banks of the US after 2010.</w:t>
      </w:r>
    </w:p>
    <w:p w14:paraId="07F614AF" w14:textId="77777777" w:rsidR="00953DEB" w:rsidRDefault="00726B50" w:rsidP="00953DEB">
      <w:pPr>
        <w:keepNext/>
      </w:pPr>
      <w:r w:rsidRPr="00726B50">
        <w:rPr>
          <w:noProof/>
        </w:rPr>
        <w:drawing>
          <wp:inline distT="0" distB="0" distL="0" distR="0" wp14:anchorId="723981C3" wp14:editId="10155ECE">
            <wp:extent cx="5685013" cy="3063505"/>
            <wp:effectExtent l="19050" t="19050" r="11430" b="22860"/>
            <wp:docPr id="439177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177707" name=""/>
                    <pic:cNvPicPr/>
                  </pic:nvPicPr>
                  <pic:blipFill>
                    <a:blip r:embed="rId11"/>
                    <a:stretch>
                      <a:fillRect/>
                    </a:stretch>
                  </pic:blipFill>
                  <pic:spPr>
                    <a:xfrm>
                      <a:off x="0" y="0"/>
                      <a:ext cx="5685013" cy="3063505"/>
                    </a:xfrm>
                    <a:prstGeom prst="rect">
                      <a:avLst/>
                    </a:prstGeom>
                    <a:ln>
                      <a:solidFill>
                        <a:schemeClr val="tx1"/>
                      </a:solidFill>
                    </a:ln>
                  </pic:spPr>
                </pic:pic>
              </a:graphicData>
            </a:graphic>
          </wp:inline>
        </w:drawing>
      </w:r>
    </w:p>
    <w:p w14:paraId="0690B947" w14:textId="52922F9D" w:rsidR="0037187E" w:rsidRDefault="00953DEB" w:rsidP="00953DEB">
      <w:pPr>
        <w:pStyle w:val="Caption"/>
      </w:pPr>
      <w:r>
        <w:t xml:space="preserve">Figure </w:t>
      </w:r>
      <w:r>
        <w:fldChar w:fldCharType="begin"/>
      </w:r>
      <w:r>
        <w:instrText xml:space="preserve"> SEQ Figure \* ARABIC </w:instrText>
      </w:r>
      <w:r>
        <w:fldChar w:fldCharType="separate"/>
      </w:r>
      <w:r w:rsidR="00AA55E1">
        <w:rPr>
          <w:noProof/>
        </w:rPr>
        <w:t>3</w:t>
      </w:r>
      <w:r>
        <w:fldChar w:fldCharType="end"/>
      </w:r>
      <w:r>
        <w:t>: Net income of US banks</w:t>
      </w:r>
    </w:p>
    <w:p w14:paraId="1D869A2E" w14:textId="4C7AE22C" w:rsidR="00953DEB" w:rsidRDefault="00953DEB" w:rsidP="00F473AC">
      <w:r>
        <w:t xml:space="preserve">(Source: </w:t>
      </w:r>
      <w:r>
        <w:rPr>
          <w:lang w:val="en-US"/>
        </w:rPr>
        <w:t>Berman, 2023</w:t>
      </w:r>
      <w:r>
        <w:t>)</w:t>
      </w:r>
    </w:p>
    <w:p w14:paraId="4FAA06FD" w14:textId="546ACEF5" w:rsidR="00516131" w:rsidRDefault="00516131" w:rsidP="00F473AC">
      <w:r>
        <w:t xml:space="preserve">The above figure shows that since year 2010, the net profits of the </w:t>
      </w:r>
      <w:r w:rsidRPr="00660450">
        <w:t>JPMorgan Chase</w:t>
      </w:r>
      <w:r>
        <w:t xml:space="preserve"> has increased. This shows that the </w:t>
      </w:r>
      <w:r w:rsidRPr="00DF28A5">
        <w:t>Dodd-Frank Wall Street Reform</w:t>
      </w:r>
      <w:r>
        <w:t xml:space="preserve"> has a positive impact on the company. </w:t>
      </w:r>
    </w:p>
    <w:p w14:paraId="3CBCB26F" w14:textId="7C085DDB" w:rsidR="00530646" w:rsidRPr="00530646" w:rsidRDefault="00530646" w:rsidP="00F473AC">
      <w:pPr>
        <w:rPr>
          <w:b/>
          <w:bCs/>
          <w:i/>
          <w:iCs/>
        </w:rPr>
      </w:pPr>
      <w:r w:rsidRPr="00530646">
        <w:rPr>
          <w:b/>
          <w:bCs/>
          <w:i/>
          <w:iCs/>
        </w:rPr>
        <w:t xml:space="preserve">Compliance of the reform </w:t>
      </w:r>
    </w:p>
    <w:p w14:paraId="504766ED" w14:textId="451FC7F8" w:rsidR="008524F3" w:rsidRDefault="000B4685" w:rsidP="00F473AC">
      <w:r>
        <w:t xml:space="preserve">Besides the surcharge of capital due to </w:t>
      </w:r>
      <w:r w:rsidRPr="00DF28A5">
        <w:t>Dodd-Frank Wall Street Reform</w:t>
      </w:r>
      <w:r w:rsidR="00335A61">
        <w:t xml:space="preserve">, </w:t>
      </w:r>
      <w:r w:rsidR="00335A61" w:rsidRPr="00660450">
        <w:t>JPMorgan Chase</w:t>
      </w:r>
      <w:r w:rsidR="00335A61">
        <w:t xml:space="preserve"> also had to spend 800000 hours in compliance training in single year, so that, the rule can be effectively compli</w:t>
      </w:r>
      <w:r w:rsidR="00E9511A">
        <w:t>ed</w:t>
      </w:r>
      <w:r w:rsidR="00953DEB">
        <w:t xml:space="preserve"> (</w:t>
      </w:r>
      <w:r w:rsidR="00953DEB">
        <w:rPr>
          <w:lang w:val="en-US"/>
        </w:rPr>
        <w:t>Oran, 2016</w:t>
      </w:r>
      <w:r w:rsidR="00953DEB">
        <w:t>)</w:t>
      </w:r>
      <w:r w:rsidR="00E9511A">
        <w:t>.</w:t>
      </w:r>
      <w:r w:rsidR="00335A61">
        <w:t xml:space="preserve"> </w:t>
      </w:r>
      <w:r w:rsidR="003B5252">
        <w:t xml:space="preserve">The reform of </w:t>
      </w:r>
      <w:r w:rsidR="003B5252" w:rsidRPr="00DF28A5">
        <w:t>Dodd-Frank Wall Street</w:t>
      </w:r>
      <w:r w:rsidR="003B5252">
        <w:t xml:space="preserve"> was integrated within the </w:t>
      </w:r>
      <w:r w:rsidR="003B5252" w:rsidRPr="00660450">
        <w:t>JPMorgan Chase</w:t>
      </w:r>
      <w:r w:rsidR="003B5252">
        <w:t xml:space="preserve"> in 2010. In order to comply </w:t>
      </w:r>
      <w:r w:rsidR="00164C0C">
        <w:t xml:space="preserve">with this reform, </w:t>
      </w:r>
      <w:r w:rsidR="0006783E" w:rsidRPr="00660450">
        <w:t>JPMorgan Chase</w:t>
      </w:r>
      <w:r w:rsidR="0006783E">
        <w:t xml:space="preserve"> hired tens of thousands of staff to simply their corporate structure and develop new technology, so that, the retail banking activities of the business can be separated with the </w:t>
      </w:r>
      <w:r w:rsidR="00D53DC6">
        <w:t xml:space="preserve">investment banking activities. Thus, the </w:t>
      </w:r>
      <w:r w:rsidR="00D53DC6" w:rsidRPr="00660450">
        <w:t>JPMorgan Chase</w:t>
      </w:r>
      <w:r w:rsidR="00D53DC6">
        <w:t xml:space="preserve"> highly and effectively </w:t>
      </w:r>
      <w:r w:rsidR="008724ED">
        <w:t xml:space="preserve">complied the </w:t>
      </w:r>
      <w:r w:rsidR="008724ED" w:rsidRPr="00DF28A5">
        <w:t>Dodd-Frank Wall Street</w:t>
      </w:r>
      <w:r w:rsidR="008724ED">
        <w:t xml:space="preserve"> Reform. </w:t>
      </w:r>
    </w:p>
    <w:p w14:paraId="797555DD" w14:textId="719D3CEE" w:rsidR="00D47601" w:rsidRDefault="00D47601" w:rsidP="00982EA5">
      <w:pPr>
        <w:pStyle w:val="Heading2"/>
      </w:pPr>
      <w:bookmarkStart w:id="7" w:name="_Toc143510779"/>
      <w:r w:rsidRPr="00D47601">
        <w:lastRenderedPageBreak/>
        <w:t>Federal Reserve Act</w:t>
      </w:r>
      <w:bookmarkEnd w:id="7"/>
    </w:p>
    <w:p w14:paraId="71700519" w14:textId="77777777" w:rsidR="009F7CAC" w:rsidRPr="009F7CAC" w:rsidRDefault="009F7CAC" w:rsidP="009F7CAC">
      <w:pPr>
        <w:rPr>
          <w:b/>
          <w:bCs/>
          <w:i/>
          <w:iCs/>
        </w:rPr>
      </w:pPr>
      <w:r w:rsidRPr="009F7CAC">
        <w:rPr>
          <w:b/>
          <w:bCs/>
          <w:i/>
          <w:iCs/>
        </w:rPr>
        <w:t>Impact on business model and performance</w:t>
      </w:r>
    </w:p>
    <w:p w14:paraId="0EE86F5B" w14:textId="266EF31C" w:rsidR="00836E4A" w:rsidRPr="00C46BB7" w:rsidRDefault="00C46BB7" w:rsidP="00C46BB7">
      <w:r>
        <w:t xml:space="preserve">Another reform which significantly </w:t>
      </w:r>
      <w:r w:rsidR="00940CF7">
        <w:t>influenced</w:t>
      </w:r>
      <w:r>
        <w:t xml:space="preserve"> the </w:t>
      </w:r>
      <w:r w:rsidRPr="00660450">
        <w:t>JPMorgan Chase</w:t>
      </w:r>
      <w:r w:rsidR="0010390B">
        <w:t xml:space="preserve"> is the Federal Reserve Act. During the financial crises of 2008, many small banks and other financial institutions of the US were in deep debt. </w:t>
      </w:r>
      <w:r w:rsidR="00EF696F">
        <w:t xml:space="preserve">In order to restore the </w:t>
      </w:r>
      <w:r w:rsidR="005726B9">
        <w:t>trust</w:t>
      </w:r>
      <w:r w:rsidR="00EF696F">
        <w:t xml:space="preserve"> of </w:t>
      </w:r>
      <w:r w:rsidR="00CC370F">
        <w:t>the people of the US, the US government used its Federal Reserve Act to create reserves, so that, such banks can be saved</w:t>
      </w:r>
      <w:r w:rsidR="008603F0">
        <w:t xml:space="preserve"> </w:t>
      </w:r>
      <w:r w:rsidR="00836E4A">
        <w:rPr>
          <w:lang w:val="en-US"/>
        </w:rPr>
        <w:t>(</w:t>
      </w:r>
      <w:r w:rsidR="00836E4A" w:rsidRPr="001A5731">
        <w:rPr>
          <w:lang w:val="en-US"/>
        </w:rPr>
        <w:t>Weinberg</w:t>
      </w:r>
      <w:r w:rsidR="00836E4A">
        <w:rPr>
          <w:lang w:val="en-US"/>
        </w:rPr>
        <w:t>, 2009)</w:t>
      </w:r>
      <w:r w:rsidR="00CC370F">
        <w:t xml:space="preserve">. </w:t>
      </w:r>
      <w:r w:rsidR="00593DD0">
        <w:t>In addition to this, large banks w</w:t>
      </w:r>
      <w:r w:rsidR="008603F0">
        <w:t>ere</w:t>
      </w:r>
      <w:r w:rsidR="00593DD0">
        <w:t xml:space="preserve"> advised to acquire or merge with such banks. </w:t>
      </w:r>
      <w:r w:rsidR="008603F0">
        <w:t xml:space="preserve">According to the Financial Stability Oversight Council, </w:t>
      </w:r>
      <w:r w:rsidR="008603F0" w:rsidRPr="00660450">
        <w:t>JPMorgan Chase</w:t>
      </w:r>
      <w:r w:rsidR="008603F0">
        <w:t xml:space="preserve"> was the second largest banking institution of the US in terms of assets and if </w:t>
      </w:r>
      <w:r w:rsidR="008603F0" w:rsidRPr="00660450">
        <w:t>JPMorgan Chase</w:t>
      </w:r>
      <w:r w:rsidR="008603F0">
        <w:t xml:space="preserve"> can merge with US Bancorp, which is the 10</w:t>
      </w:r>
      <w:r w:rsidR="008603F0" w:rsidRPr="008603F0">
        <w:rPr>
          <w:vertAlign w:val="superscript"/>
        </w:rPr>
        <w:t>th</w:t>
      </w:r>
      <w:r w:rsidR="008603F0">
        <w:t xml:space="preserve"> largest lender of the US, the </w:t>
      </w:r>
      <w:r w:rsidR="008603F0" w:rsidRPr="00660450">
        <w:t>JPMorgan Chase</w:t>
      </w:r>
      <w:r w:rsidR="008603F0">
        <w:t xml:space="preserve"> would still be under the limit (</w:t>
      </w:r>
      <w:r w:rsidR="00E02A49" w:rsidRPr="001A5731">
        <w:rPr>
          <w:lang w:val="en-US"/>
        </w:rPr>
        <w:t>Murdock</w:t>
      </w:r>
      <w:r w:rsidR="00E02A49">
        <w:rPr>
          <w:lang w:val="en-US"/>
        </w:rPr>
        <w:t>, 2011</w:t>
      </w:r>
      <w:r w:rsidR="008603F0">
        <w:t xml:space="preserve">). Considering such reform under the Federal Reserve Act, </w:t>
      </w:r>
      <w:r w:rsidR="008603F0" w:rsidRPr="00660450">
        <w:t>JPMorgan Chase</w:t>
      </w:r>
      <w:r w:rsidR="008603F0">
        <w:t xml:space="preserve"> decided to merge with </w:t>
      </w:r>
      <w:r w:rsidR="008603F0" w:rsidRPr="008603F0">
        <w:t>Bear Stearns</w:t>
      </w:r>
      <w:r w:rsidR="00BF0C88">
        <w:t xml:space="preserve">. In order to save </w:t>
      </w:r>
      <w:r w:rsidR="00BF0C88" w:rsidRPr="008603F0">
        <w:t>Bear Stearns</w:t>
      </w:r>
      <w:r w:rsidR="00BF0C88">
        <w:t xml:space="preserve">, </w:t>
      </w:r>
      <w:r w:rsidR="00BF0C88" w:rsidRPr="00660450">
        <w:t>JPMorgan Chase</w:t>
      </w:r>
      <w:r w:rsidR="00BF0C88">
        <w:t xml:space="preserve"> agreed to pay just $2 per share. This deal was considered as the watershed deal to save </w:t>
      </w:r>
      <w:r w:rsidR="00BF0C88" w:rsidRPr="008603F0">
        <w:t>Bear Stearns</w:t>
      </w:r>
      <w:r w:rsidR="00BF0C88">
        <w:t xml:space="preserve"> </w:t>
      </w:r>
      <w:r w:rsidR="00836E4A">
        <w:rPr>
          <w:lang w:val="en-US"/>
        </w:rPr>
        <w:t>(Sorkin, 2008)</w:t>
      </w:r>
      <w:r w:rsidR="00BF0C88">
        <w:rPr>
          <w:lang w:val="en-US"/>
        </w:rPr>
        <w:t xml:space="preserve">. </w:t>
      </w:r>
    </w:p>
    <w:p w14:paraId="5921A28B" w14:textId="77777777" w:rsidR="00C46BB7" w:rsidRPr="00530646" w:rsidRDefault="00C46BB7" w:rsidP="00C46BB7">
      <w:pPr>
        <w:rPr>
          <w:b/>
          <w:bCs/>
          <w:i/>
          <w:iCs/>
        </w:rPr>
      </w:pPr>
      <w:r w:rsidRPr="00530646">
        <w:rPr>
          <w:b/>
          <w:bCs/>
          <w:i/>
          <w:iCs/>
        </w:rPr>
        <w:t xml:space="preserve">Compliance of the reform </w:t>
      </w:r>
    </w:p>
    <w:p w14:paraId="49D1D3FB" w14:textId="6DA8B5FF" w:rsidR="00982EA5" w:rsidRPr="00982EA5" w:rsidRDefault="00DC1036" w:rsidP="00982EA5">
      <w:r>
        <w:t xml:space="preserve">When compared to the </w:t>
      </w:r>
      <w:r w:rsidRPr="00DF28A5">
        <w:t>Dodd-Frank Wall Street Reform</w:t>
      </w:r>
      <w:r>
        <w:t xml:space="preserve">, it can be said that the compliance of </w:t>
      </w:r>
      <w:r w:rsidRPr="00660450">
        <w:t>JPMorgan Chase</w:t>
      </w:r>
      <w:r>
        <w:t xml:space="preserve"> for the reform by the </w:t>
      </w:r>
      <w:r w:rsidRPr="00DC1036">
        <w:t>Federal Reserve Act</w:t>
      </w:r>
      <w:r>
        <w:t xml:space="preserve"> was low. This is because</w:t>
      </w:r>
      <w:r w:rsidR="00085020">
        <w:t xml:space="preserve">, </w:t>
      </w:r>
      <w:r w:rsidR="00FB7705" w:rsidRPr="00660450">
        <w:t>JPMorgan Chase</w:t>
      </w:r>
      <w:r w:rsidR="00FB7705">
        <w:t xml:space="preserve"> does agree to buy </w:t>
      </w:r>
      <w:r w:rsidR="00FB7705" w:rsidRPr="008603F0">
        <w:t>Bear Stearns</w:t>
      </w:r>
      <w:r w:rsidR="00FB7705">
        <w:t xml:space="preserve"> to save the company but it only paid one tenth of the firm’s market price. </w:t>
      </w:r>
      <w:r w:rsidR="00FB7705" w:rsidRPr="00660450">
        <w:t>JPMorgan Chase</w:t>
      </w:r>
      <w:r w:rsidR="00FB7705">
        <w:t xml:space="preserve"> complied with the </w:t>
      </w:r>
      <w:r w:rsidR="00FB7705" w:rsidRPr="00DC1036">
        <w:t>Federal Reserve</w:t>
      </w:r>
      <w:r w:rsidR="00FB7705">
        <w:t xml:space="preserve"> and guarantee t</w:t>
      </w:r>
      <w:r w:rsidR="00B110B8">
        <w:t xml:space="preserve">o save the troubled firm which was about to be bankrupt. </w:t>
      </w:r>
      <w:r w:rsidR="004C34DA">
        <w:t xml:space="preserve">In summary, </w:t>
      </w:r>
      <w:r w:rsidR="004C34DA" w:rsidRPr="00660450">
        <w:t>JPMorgan Chase</w:t>
      </w:r>
      <w:r w:rsidR="004C34DA">
        <w:t xml:space="preserve"> only paid $270 million in stock for the </w:t>
      </w:r>
      <w:r w:rsidR="004C34DA" w:rsidRPr="008603F0">
        <w:t>Bear Stearns</w:t>
      </w:r>
      <w:r w:rsidR="0030211C">
        <w:t xml:space="preserve"> </w:t>
      </w:r>
      <w:r w:rsidR="0030211C">
        <w:rPr>
          <w:lang w:val="en-US"/>
        </w:rPr>
        <w:t>(Sorkin, 2008)</w:t>
      </w:r>
      <w:r w:rsidR="004C34DA">
        <w:t xml:space="preserve">. The </w:t>
      </w:r>
      <w:r w:rsidR="004C34DA" w:rsidRPr="008603F0">
        <w:t>Bear Stearns</w:t>
      </w:r>
      <w:r w:rsidR="004C34DA">
        <w:t xml:space="preserve"> was struggling to survive as it had large losses on investments linked with real estate mortgages and by buying </w:t>
      </w:r>
      <w:r w:rsidR="004C34DA" w:rsidRPr="008603F0">
        <w:t>Bear Stearns</w:t>
      </w:r>
      <w:r w:rsidR="004C34DA">
        <w:t xml:space="preserve">’ stocks, not only </w:t>
      </w:r>
      <w:r w:rsidR="004C34DA" w:rsidRPr="00660450">
        <w:t>JPMorgan Chase</w:t>
      </w:r>
      <w:r w:rsidR="004C34DA">
        <w:t xml:space="preserve"> saved the company but also showed compliance with the </w:t>
      </w:r>
      <w:r w:rsidR="004C34DA" w:rsidRPr="00DC1036">
        <w:t>Federal Reserve Act</w:t>
      </w:r>
      <w:r w:rsidR="004C34DA">
        <w:t xml:space="preserve">. </w:t>
      </w:r>
    </w:p>
    <w:p w14:paraId="70FCE2D6" w14:textId="0170C9CF" w:rsidR="00982EA5" w:rsidRDefault="0042698B" w:rsidP="00AB26EE">
      <w:pPr>
        <w:pStyle w:val="Heading2"/>
      </w:pPr>
      <w:bookmarkStart w:id="8" w:name="_Hlk143500215"/>
      <w:bookmarkStart w:id="9" w:name="_Toc143510780"/>
      <w:r w:rsidRPr="0042698B">
        <w:t xml:space="preserve">Emergency Economic Stabilization Act of 2008 </w:t>
      </w:r>
      <w:bookmarkEnd w:id="8"/>
      <w:r w:rsidRPr="0042698B">
        <w:t>and Troubled Asset Relief Program (TARP)</w:t>
      </w:r>
      <w:bookmarkEnd w:id="9"/>
    </w:p>
    <w:p w14:paraId="0145E508" w14:textId="77777777" w:rsidR="009F7CAC" w:rsidRPr="009F7CAC" w:rsidRDefault="009F7CAC" w:rsidP="009F7CAC">
      <w:pPr>
        <w:rPr>
          <w:b/>
          <w:bCs/>
          <w:i/>
          <w:iCs/>
        </w:rPr>
      </w:pPr>
      <w:r w:rsidRPr="009F7CAC">
        <w:rPr>
          <w:b/>
          <w:bCs/>
          <w:i/>
          <w:iCs/>
        </w:rPr>
        <w:t>Impact on business model and performance</w:t>
      </w:r>
    </w:p>
    <w:p w14:paraId="375A8FF1" w14:textId="1790008F" w:rsidR="0016033B" w:rsidRDefault="00F936F5" w:rsidP="00652C31">
      <w:r>
        <w:t xml:space="preserve">In year 2008, the </w:t>
      </w:r>
      <w:r w:rsidRPr="00F936F5">
        <w:t>Emergency Economic Stabilization Act</w:t>
      </w:r>
      <w:r>
        <w:t xml:space="preserve"> was initiated. Under this act, government provided funds to banking and other financial institutions to stabilise their </w:t>
      </w:r>
      <w:r>
        <w:lastRenderedPageBreak/>
        <w:t xml:space="preserve">business; one of those significant funds was the </w:t>
      </w:r>
      <w:r w:rsidRPr="00F936F5">
        <w:t>Troubled Asset Relief Program (TARP)</w:t>
      </w:r>
      <w:r w:rsidR="00D430A9">
        <w:t xml:space="preserve">. </w:t>
      </w:r>
      <w:r w:rsidR="00A84BEA">
        <w:t>Under TARP, US Treasury ought to buy troubled assets of the banking institutions, so that, financial market of the US can be stabilised and</w:t>
      </w:r>
      <w:r w:rsidR="001B5BD5">
        <w:t xml:space="preserve"> the confidence in financial markets can be restored. </w:t>
      </w:r>
      <w:r w:rsidR="006E25A8">
        <w:t xml:space="preserve">TARP bought troubled assets of </w:t>
      </w:r>
      <w:r w:rsidR="006E25A8" w:rsidRPr="00660450">
        <w:t>JPMorgan Chase</w:t>
      </w:r>
      <w:r w:rsidR="006E25A8">
        <w:t xml:space="preserve"> which allowed the company to maintain its survival within the market. Besides, </w:t>
      </w:r>
      <w:r w:rsidR="006E25A8" w:rsidRPr="006E25A8">
        <w:t>Troubled Asset Relief Program</w:t>
      </w:r>
      <w:r w:rsidR="006E25A8">
        <w:t xml:space="preserve"> (TARP), there was another program under this act i.e., </w:t>
      </w:r>
      <w:r w:rsidR="006E25A8" w:rsidRPr="006E25A8">
        <w:t>Capital Purchase Program</w:t>
      </w:r>
      <w:r w:rsidR="006E25A8">
        <w:t xml:space="preserve"> (CPP). According to CPP, US Treasury ought to buy direct from the equity of banking and other financial institutions</w:t>
      </w:r>
      <w:r w:rsidR="006C2B43">
        <w:t xml:space="preserve"> </w:t>
      </w:r>
      <w:r w:rsidR="006C2B43">
        <w:rPr>
          <w:lang w:val="en-US"/>
        </w:rPr>
        <w:t>(Webel and Murphy, 2008)</w:t>
      </w:r>
      <w:r w:rsidR="006E25A8">
        <w:t xml:space="preserve">. </w:t>
      </w:r>
      <w:r w:rsidR="00BD7646">
        <w:t xml:space="preserve">The support from this act continued in 2009 and even continued for few years, so that, in the aftermath of the financial crises, the smooth functioning of the financial markets can be ensured. </w:t>
      </w:r>
    </w:p>
    <w:p w14:paraId="7630083A" w14:textId="297F0664" w:rsidR="00A56A72" w:rsidRDefault="0016033B" w:rsidP="00652C31">
      <w:r>
        <w:t xml:space="preserve">In 2008, </w:t>
      </w:r>
      <w:r w:rsidRPr="00660450">
        <w:t>JPMorgan Chase</w:t>
      </w:r>
      <w:r>
        <w:t xml:space="preserve"> allowed US Treasury to buy directly from the equity of the company under the adherence to </w:t>
      </w:r>
      <w:r w:rsidRPr="0016033B">
        <w:t>Emergency Economic Stabilization Act of 2008</w:t>
      </w:r>
      <w:r>
        <w:t xml:space="preserve">. </w:t>
      </w:r>
      <w:r w:rsidR="00BD3BCD">
        <w:t xml:space="preserve">The purpose behind such capital purchase was to stabilise the stock prices of </w:t>
      </w:r>
      <w:r w:rsidR="00BD3BCD" w:rsidRPr="00660450">
        <w:t>JPMorgan Chase</w:t>
      </w:r>
      <w:r w:rsidR="00BD3BCD">
        <w:t xml:space="preserve">. </w:t>
      </w:r>
      <w:r w:rsidR="00F65E11">
        <w:t xml:space="preserve">Even after various efforts of the US Treasury under this act, the financial performance of </w:t>
      </w:r>
      <w:r w:rsidR="00F65E11" w:rsidRPr="00660450">
        <w:t>JPMorgan Chase</w:t>
      </w:r>
      <w:r w:rsidR="00F65E11">
        <w:t xml:space="preserve"> was significantly influenced. A pair of graphs is attached below highlighting the </w:t>
      </w:r>
      <w:r w:rsidR="00A56A72">
        <w:t xml:space="preserve">net income and net revenue of the </w:t>
      </w:r>
      <w:r w:rsidR="00A56A72" w:rsidRPr="00660450">
        <w:t>JPMorgan Chase</w:t>
      </w:r>
      <w:r w:rsidR="00A56A72">
        <w:t xml:space="preserve"> for five years until 2008</w:t>
      </w:r>
      <w:r w:rsidR="00D20FFE">
        <w:rPr>
          <w:shd w:val="clear" w:color="auto" w:fill="FFFFFF"/>
        </w:rPr>
        <w:t xml:space="preserve"> (Cecchetti, 2008)</w:t>
      </w:r>
      <w:r w:rsidR="00A56A72">
        <w:t xml:space="preserve">. </w:t>
      </w:r>
    </w:p>
    <w:p w14:paraId="39CEB834" w14:textId="77777777" w:rsidR="00487C6E" w:rsidRDefault="00F65E11" w:rsidP="00487C6E">
      <w:pPr>
        <w:keepNext/>
      </w:pPr>
      <w:r>
        <w:t xml:space="preserve"> </w:t>
      </w:r>
      <w:r w:rsidR="00A56A72" w:rsidRPr="00A84BEA">
        <w:rPr>
          <w:noProof/>
        </w:rPr>
        <w:drawing>
          <wp:inline distT="0" distB="0" distL="0" distR="0" wp14:anchorId="1AA2F123" wp14:editId="777A623F">
            <wp:extent cx="5624047" cy="2423370"/>
            <wp:effectExtent l="19050" t="19050" r="15240" b="15240"/>
            <wp:docPr id="1057759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759573" name=""/>
                    <pic:cNvPicPr/>
                  </pic:nvPicPr>
                  <pic:blipFill>
                    <a:blip r:embed="rId12"/>
                    <a:stretch>
                      <a:fillRect/>
                    </a:stretch>
                  </pic:blipFill>
                  <pic:spPr>
                    <a:xfrm>
                      <a:off x="0" y="0"/>
                      <a:ext cx="5624047" cy="2423370"/>
                    </a:xfrm>
                    <a:prstGeom prst="rect">
                      <a:avLst/>
                    </a:prstGeom>
                    <a:ln>
                      <a:solidFill>
                        <a:schemeClr val="tx1"/>
                      </a:solidFill>
                    </a:ln>
                  </pic:spPr>
                </pic:pic>
              </a:graphicData>
            </a:graphic>
          </wp:inline>
        </w:drawing>
      </w:r>
    </w:p>
    <w:p w14:paraId="0C80BDEF" w14:textId="2C6AED35" w:rsidR="00652C31" w:rsidRDefault="00487C6E" w:rsidP="00487C6E">
      <w:pPr>
        <w:pStyle w:val="Caption"/>
      </w:pPr>
      <w:r>
        <w:t xml:space="preserve">Figure </w:t>
      </w:r>
      <w:r>
        <w:fldChar w:fldCharType="begin"/>
      </w:r>
      <w:r>
        <w:instrText xml:space="preserve"> SEQ Figure \* ARABIC </w:instrText>
      </w:r>
      <w:r>
        <w:fldChar w:fldCharType="separate"/>
      </w:r>
      <w:r w:rsidR="00AA55E1">
        <w:rPr>
          <w:noProof/>
        </w:rPr>
        <w:t>4</w:t>
      </w:r>
      <w:r>
        <w:fldChar w:fldCharType="end"/>
      </w:r>
      <w:r>
        <w:t>: Net revenue and income of</w:t>
      </w:r>
      <w:r w:rsidRPr="00487C6E">
        <w:t xml:space="preserve"> JPMorgan Chase &amp; Co.</w:t>
      </w:r>
    </w:p>
    <w:p w14:paraId="7960575D" w14:textId="5339F80A" w:rsidR="00874BFF" w:rsidRDefault="00874BFF" w:rsidP="00652C31">
      <w:r>
        <w:t xml:space="preserve">(Source: </w:t>
      </w:r>
      <w:r w:rsidR="00487C6E" w:rsidRPr="00660450">
        <w:t>JPMorgan Chase</w:t>
      </w:r>
      <w:r w:rsidR="00487C6E">
        <w:t xml:space="preserve"> &amp; Co., 2008</w:t>
      </w:r>
      <w:r>
        <w:t>)</w:t>
      </w:r>
    </w:p>
    <w:p w14:paraId="289F0B28" w14:textId="16D6487E" w:rsidR="00487C6E" w:rsidRPr="00652C31" w:rsidRDefault="00D56CBA" w:rsidP="00652C31">
      <w:r>
        <w:t xml:space="preserve">The above pair of graphs shows that how </w:t>
      </w:r>
      <w:r w:rsidRPr="00660450">
        <w:t>JPMorgan Chase</w:t>
      </w:r>
      <w:r>
        <w:t xml:space="preserve"> &amp; Co. was a growing company having net income doubling in just three years. In 2008, when the real estate bubble </w:t>
      </w:r>
      <w:proofErr w:type="spellStart"/>
      <w:r>
        <w:t>bursed</w:t>
      </w:r>
      <w:proofErr w:type="spellEnd"/>
      <w:r>
        <w:t xml:space="preserve">, it was discovered that the many banking and other financial institutions of the US has made bad </w:t>
      </w:r>
      <w:r>
        <w:lastRenderedPageBreak/>
        <w:t xml:space="preserve">decisions for providing real estate mortgages which has impact their investment banking activities. The </w:t>
      </w:r>
      <w:r w:rsidRPr="00D56CBA">
        <w:t>Emergency Economic Stabilization Act of 2008</w:t>
      </w:r>
      <w:r>
        <w:t xml:space="preserve"> used TARP and CPP as its tools to support banking institutions but </w:t>
      </w:r>
      <w:r w:rsidR="00C41CF5">
        <w:t xml:space="preserve">the financial performance of banks including </w:t>
      </w:r>
      <w:r w:rsidR="00C41CF5" w:rsidRPr="00660450">
        <w:t>JPMorgan Cha</w:t>
      </w:r>
      <w:r w:rsidR="00C41CF5">
        <w:t xml:space="preserve">se was significantly lower in 2008. </w:t>
      </w:r>
    </w:p>
    <w:p w14:paraId="42032642" w14:textId="77777777" w:rsidR="00652C31" w:rsidRPr="00530646" w:rsidRDefault="00652C31" w:rsidP="00652C31">
      <w:pPr>
        <w:rPr>
          <w:b/>
          <w:bCs/>
          <w:i/>
          <w:iCs/>
        </w:rPr>
      </w:pPr>
      <w:r w:rsidRPr="00530646">
        <w:rPr>
          <w:b/>
          <w:bCs/>
          <w:i/>
          <w:iCs/>
        </w:rPr>
        <w:t xml:space="preserve">Compliance of the reform </w:t>
      </w:r>
    </w:p>
    <w:p w14:paraId="0DDF80CE" w14:textId="5FC04504" w:rsidR="00652C31" w:rsidRPr="00652C31" w:rsidRDefault="00281F2B" w:rsidP="00652C31">
      <w:r w:rsidRPr="00660450">
        <w:t>JPMorgan Chase</w:t>
      </w:r>
      <w:r>
        <w:t xml:space="preserve"> has sufficiently complied with the </w:t>
      </w:r>
      <w:r w:rsidRPr="00D56CBA">
        <w:t>Emergency Economic Stabilization Act of 2008</w:t>
      </w:r>
      <w:r>
        <w:t xml:space="preserve">. The proof of this compliance is the agreement of </w:t>
      </w:r>
      <w:r w:rsidRPr="00660450">
        <w:t>JPMorgan Chase</w:t>
      </w:r>
      <w:r>
        <w:t xml:space="preserve"> for the US Treasury to buy into the equity capital of the company. Under this act, </w:t>
      </w:r>
      <w:r w:rsidRPr="00660450">
        <w:t>JPMorgan Chase</w:t>
      </w:r>
      <w:r>
        <w:t xml:space="preserve"> allowed US Treasury to buy $25 billion capital investment under CPP</w:t>
      </w:r>
      <w:r w:rsidR="006C2B43">
        <w:t xml:space="preserve"> </w:t>
      </w:r>
      <w:r w:rsidR="006C2B43">
        <w:rPr>
          <w:lang w:val="en-US"/>
        </w:rPr>
        <w:t>(Webel and Murphy, 2008)</w:t>
      </w:r>
      <w:r>
        <w:t xml:space="preserve">. </w:t>
      </w:r>
    </w:p>
    <w:p w14:paraId="085B242C" w14:textId="77777777" w:rsidR="00652C31" w:rsidRDefault="00652C31" w:rsidP="00652C31">
      <w:pPr>
        <w:pStyle w:val="Heading2"/>
      </w:pPr>
      <w:bookmarkStart w:id="10" w:name="_Toc143510781"/>
      <w:r>
        <w:t>Monetary policy and fiscal policy</w:t>
      </w:r>
      <w:bookmarkEnd w:id="10"/>
    </w:p>
    <w:p w14:paraId="2B8767EE" w14:textId="77777777" w:rsidR="00652C31" w:rsidRPr="009F7CAC" w:rsidRDefault="00652C31" w:rsidP="009F7CAC">
      <w:pPr>
        <w:rPr>
          <w:b/>
          <w:bCs/>
          <w:i/>
          <w:iCs/>
        </w:rPr>
      </w:pPr>
      <w:r w:rsidRPr="009F7CAC">
        <w:rPr>
          <w:b/>
          <w:bCs/>
          <w:i/>
          <w:iCs/>
        </w:rPr>
        <w:t>Impact on business model and performance</w:t>
      </w:r>
    </w:p>
    <w:p w14:paraId="1CFB7FB5" w14:textId="769F838B" w:rsidR="00C62191" w:rsidRDefault="006C2B43" w:rsidP="00652C31">
      <w:r>
        <w:t xml:space="preserve">The fiscal policy of 2009 helped the taxpayers of the US by increasing the expenditures by the government. Under monetary policy, the </w:t>
      </w:r>
      <w:r w:rsidR="00632F4E">
        <w:t>rules for the banking institutions tightened, so that, any further financial crises can be eliminated in future. Before the financial crises, the mortgage credit growth increased by 45% and the “too big to fail” companies were thriving in the market by providing mortgages to weak borrowers</w:t>
      </w:r>
      <w:r w:rsidR="004D00E2">
        <w:t xml:space="preserve"> </w:t>
      </w:r>
      <w:r w:rsidR="004D00E2">
        <w:rPr>
          <w:lang w:val="en-US"/>
        </w:rPr>
        <w:t>(</w:t>
      </w:r>
      <w:r w:rsidR="004D00E2" w:rsidRPr="00660450">
        <w:t>JPMorgan Chase</w:t>
      </w:r>
      <w:r w:rsidR="004D00E2">
        <w:t xml:space="preserve"> &amp; Co., 2020)</w:t>
      </w:r>
      <w:r w:rsidR="00632F4E">
        <w:t>. These were the results of the not so strong monetary policy of the US. After the financial crises, the US government adopted the approach of unconventional monetary policy</w:t>
      </w:r>
      <w:r w:rsidR="001173D1">
        <w:t xml:space="preserve">. </w:t>
      </w:r>
      <w:r w:rsidR="006D07C6">
        <w:t xml:space="preserve">Under this policy, the growth of the banking institutions </w:t>
      </w:r>
      <w:r w:rsidR="00CC7EF5">
        <w:t>was</w:t>
      </w:r>
      <w:r w:rsidR="006D07C6">
        <w:t xml:space="preserve"> not only measured through their ability to increase annual turnover or net profitability but also through</w:t>
      </w:r>
      <w:r w:rsidR="00CC7EF5">
        <w:t xml:space="preserve"> their liquidity and capital ratios. Under this monetary policy, banks were required to face complex and harsh stress tests annually to test their solvency and capital adequacy, so that, the position of financial crises can never be faced in future.  </w:t>
      </w:r>
    </w:p>
    <w:p w14:paraId="7748B2C5" w14:textId="60865E6F" w:rsidR="006D07C6" w:rsidRDefault="00704C5F" w:rsidP="00652C31">
      <w:r>
        <w:t xml:space="preserve">The above stated monetary and fiscal policy had a significant impact on </w:t>
      </w:r>
      <w:r w:rsidRPr="00660450">
        <w:t>JPMorgan Chase</w:t>
      </w:r>
      <w:r>
        <w:t>, but there were certain areas which were largely impact</w:t>
      </w:r>
      <w:r w:rsidR="006077F2">
        <w:t xml:space="preserve">ed, these areas were credit, uncertainty, asset prices and consumer confidence. The monetary policy is said to played a significant role in the transmission of </w:t>
      </w:r>
      <w:r w:rsidR="00B24DCC">
        <w:t>financial crises</w:t>
      </w:r>
      <w:r w:rsidR="004D00E2">
        <w:t xml:space="preserve"> (</w:t>
      </w:r>
      <w:r w:rsidR="004D00E2">
        <w:rPr>
          <w:shd w:val="clear" w:color="auto" w:fill="FFFFFF"/>
        </w:rPr>
        <w:t xml:space="preserve">Jannsen, </w:t>
      </w:r>
      <w:proofErr w:type="spellStart"/>
      <w:r w:rsidR="004D00E2">
        <w:rPr>
          <w:shd w:val="clear" w:color="auto" w:fill="FFFFFF"/>
        </w:rPr>
        <w:t>Potjagailo</w:t>
      </w:r>
      <w:proofErr w:type="spellEnd"/>
      <w:r w:rsidR="004D00E2">
        <w:rPr>
          <w:shd w:val="clear" w:color="auto" w:fill="FFFFFF"/>
        </w:rPr>
        <w:t xml:space="preserve"> and Wolters, 2015)</w:t>
      </w:r>
      <w:r w:rsidR="006077F2">
        <w:t>.</w:t>
      </w:r>
      <w:r w:rsidR="00B24DCC">
        <w:t xml:space="preserve"> </w:t>
      </w:r>
      <w:r w:rsidR="00B24DCC" w:rsidRPr="00660450">
        <w:t>JPMorgan Chase</w:t>
      </w:r>
      <w:r w:rsidR="00B24DCC">
        <w:t xml:space="preserve"> had to lower its interest rates due to the monetary policy which not only mitigated the biggest drop in the output but also helped </w:t>
      </w:r>
      <w:r w:rsidR="00B24DCC" w:rsidRPr="00660450">
        <w:t>JPMorgan Chase</w:t>
      </w:r>
      <w:r w:rsidR="00B24DCC">
        <w:t xml:space="preserve"> to grow in terms of profitability. It is said that monetary policy was highly effective for financial and banking institutions during </w:t>
      </w:r>
      <w:r w:rsidR="00326F89">
        <w:t xml:space="preserve">the financial </w:t>
      </w:r>
      <w:r w:rsidR="00326F89">
        <w:lastRenderedPageBreak/>
        <w:t xml:space="preserve">crises, but its impact </w:t>
      </w:r>
      <w:r w:rsidR="0018774A">
        <w:t>began</w:t>
      </w:r>
      <w:r w:rsidR="00326F89">
        <w:t xml:space="preserve"> to lower after few years of financial crises. To evident this impact, the net profit margin for </w:t>
      </w:r>
      <w:r w:rsidR="00326F89" w:rsidRPr="00660450">
        <w:t>JPMorgan Chase</w:t>
      </w:r>
      <w:r w:rsidR="00326F89">
        <w:t xml:space="preserve"> is calculated for six years and a table with line graph is attached below:</w:t>
      </w:r>
    </w:p>
    <w:p w14:paraId="39C4CBC3" w14:textId="745DB15A" w:rsidR="006D07C6" w:rsidRDefault="006D07C6" w:rsidP="00D20FFE">
      <w:pPr>
        <w:pStyle w:val="Caption"/>
        <w:keepNext/>
        <w:spacing w:line="360" w:lineRule="auto"/>
      </w:pPr>
      <w:r>
        <w:t xml:space="preserve">Table </w:t>
      </w:r>
      <w:r>
        <w:fldChar w:fldCharType="begin"/>
      </w:r>
      <w:r>
        <w:instrText xml:space="preserve"> SEQ Table \* ARABIC </w:instrText>
      </w:r>
      <w:r>
        <w:fldChar w:fldCharType="separate"/>
      </w:r>
      <w:r>
        <w:rPr>
          <w:noProof/>
        </w:rPr>
        <w:t>1</w:t>
      </w:r>
      <w:r>
        <w:fldChar w:fldCharType="end"/>
      </w:r>
      <w:r>
        <w:t xml:space="preserve">: </w:t>
      </w:r>
      <w:r w:rsidRPr="008D769F">
        <w:t>Net profit margin of JPMorgan Chase</w:t>
      </w:r>
    </w:p>
    <w:tbl>
      <w:tblPr>
        <w:tblW w:w="9002" w:type="dxa"/>
        <w:tblLook w:val="04A0" w:firstRow="1" w:lastRow="0" w:firstColumn="1" w:lastColumn="0" w:noHBand="0" w:noVBand="1"/>
      </w:tblPr>
      <w:tblGrid>
        <w:gridCol w:w="2402"/>
        <w:gridCol w:w="1100"/>
        <w:gridCol w:w="1100"/>
        <w:gridCol w:w="1100"/>
        <w:gridCol w:w="1100"/>
        <w:gridCol w:w="1100"/>
        <w:gridCol w:w="1100"/>
      </w:tblGrid>
      <w:tr w:rsidR="009A10FD" w:rsidRPr="009A10FD" w14:paraId="54A16A57" w14:textId="77777777" w:rsidTr="00D20FFE">
        <w:trPr>
          <w:trHeight w:val="285"/>
        </w:trPr>
        <w:tc>
          <w:tcPr>
            <w:tcW w:w="240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1660E9" w14:textId="77777777" w:rsidR="009A10FD" w:rsidRPr="009A10FD" w:rsidRDefault="009A10FD" w:rsidP="00D20FFE">
            <w:pPr>
              <w:spacing w:before="0" w:after="0"/>
              <w:jc w:val="left"/>
              <w:rPr>
                <w:rFonts w:eastAsia="Times New Roman"/>
                <w:b/>
                <w:bCs/>
                <w:color w:val="000000"/>
                <w:lang w:val="en-IN" w:eastAsia="en-IN"/>
              </w:rPr>
            </w:pPr>
            <w:r w:rsidRPr="009A10FD">
              <w:rPr>
                <w:rFonts w:eastAsia="Times New Roman"/>
                <w:b/>
                <w:bCs/>
                <w:color w:val="000000"/>
                <w:lang w:val="en-IN" w:eastAsia="en-IN"/>
              </w:rPr>
              <w:t> </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3D90BC89" w14:textId="77777777" w:rsidR="009A10FD" w:rsidRPr="009A10FD" w:rsidRDefault="009A10FD" w:rsidP="00D20FFE">
            <w:pPr>
              <w:spacing w:before="0" w:after="0"/>
              <w:jc w:val="right"/>
              <w:rPr>
                <w:rFonts w:eastAsia="Times New Roman"/>
                <w:b/>
                <w:bCs/>
                <w:color w:val="000000"/>
                <w:lang w:val="en-IN" w:eastAsia="en-IN"/>
              </w:rPr>
            </w:pPr>
            <w:r w:rsidRPr="009A10FD">
              <w:rPr>
                <w:rFonts w:eastAsia="Times New Roman"/>
                <w:b/>
                <w:bCs/>
                <w:color w:val="000000"/>
                <w:lang w:val="en-IN" w:eastAsia="en-IN"/>
              </w:rPr>
              <w:t>2008</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749DB134" w14:textId="77777777" w:rsidR="009A10FD" w:rsidRPr="009A10FD" w:rsidRDefault="009A10FD" w:rsidP="00D20FFE">
            <w:pPr>
              <w:spacing w:before="0" w:after="0"/>
              <w:jc w:val="right"/>
              <w:rPr>
                <w:rFonts w:eastAsia="Times New Roman"/>
                <w:b/>
                <w:bCs/>
                <w:color w:val="000000"/>
                <w:lang w:val="en-IN" w:eastAsia="en-IN"/>
              </w:rPr>
            </w:pPr>
            <w:r w:rsidRPr="009A10FD">
              <w:rPr>
                <w:rFonts w:eastAsia="Times New Roman"/>
                <w:b/>
                <w:bCs/>
                <w:color w:val="000000"/>
                <w:lang w:val="en-IN" w:eastAsia="en-IN"/>
              </w:rPr>
              <w:t>2009</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60A40522" w14:textId="77777777" w:rsidR="009A10FD" w:rsidRPr="009A10FD" w:rsidRDefault="009A10FD" w:rsidP="00D20FFE">
            <w:pPr>
              <w:spacing w:before="0" w:after="0"/>
              <w:jc w:val="right"/>
              <w:rPr>
                <w:rFonts w:eastAsia="Times New Roman"/>
                <w:b/>
                <w:bCs/>
                <w:color w:val="000000"/>
                <w:lang w:val="en-IN" w:eastAsia="en-IN"/>
              </w:rPr>
            </w:pPr>
            <w:r w:rsidRPr="009A10FD">
              <w:rPr>
                <w:rFonts w:eastAsia="Times New Roman"/>
                <w:b/>
                <w:bCs/>
                <w:color w:val="000000"/>
                <w:lang w:val="en-IN" w:eastAsia="en-IN"/>
              </w:rPr>
              <w:t>2010</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0F65E343" w14:textId="77777777" w:rsidR="009A10FD" w:rsidRPr="009A10FD" w:rsidRDefault="009A10FD" w:rsidP="00D20FFE">
            <w:pPr>
              <w:spacing w:before="0" w:after="0"/>
              <w:jc w:val="right"/>
              <w:rPr>
                <w:rFonts w:eastAsia="Times New Roman"/>
                <w:b/>
                <w:bCs/>
                <w:color w:val="000000"/>
                <w:lang w:val="en-IN" w:eastAsia="en-IN"/>
              </w:rPr>
            </w:pPr>
            <w:r w:rsidRPr="009A10FD">
              <w:rPr>
                <w:rFonts w:eastAsia="Times New Roman"/>
                <w:b/>
                <w:bCs/>
                <w:color w:val="000000"/>
                <w:lang w:val="en-IN" w:eastAsia="en-IN"/>
              </w:rPr>
              <w:t>2011</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52CC491F" w14:textId="77777777" w:rsidR="009A10FD" w:rsidRPr="009A10FD" w:rsidRDefault="009A10FD" w:rsidP="00D20FFE">
            <w:pPr>
              <w:spacing w:before="0" w:after="0"/>
              <w:jc w:val="right"/>
              <w:rPr>
                <w:rFonts w:eastAsia="Times New Roman"/>
                <w:b/>
                <w:bCs/>
                <w:color w:val="000000"/>
                <w:lang w:val="en-IN" w:eastAsia="en-IN"/>
              </w:rPr>
            </w:pPr>
            <w:r w:rsidRPr="009A10FD">
              <w:rPr>
                <w:rFonts w:eastAsia="Times New Roman"/>
                <w:b/>
                <w:bCs/>
                <w:color w:val="000000"/>
                <w:lang w:val="en-IN" w:eastAsia="en-IN"/>
              </w:rPr>
              <w:t>2012</w:t>
            </w:r>
          </w:p>
        </w:tc>
        <w:tc>
          <w:tcPr>
            <w:tcW w:w="1100" w:type="dxa"/>
            <w:tcBorders>
              <w:top w:val="single" w:sz="4" w:space="0" w:color="auto"/>
              <w:left w:val="nil"/>
              <w:bottom w:val="single" w:sz="4" w:space="0" w:color="auto"/>
              <w:right w:val="single" w:sz="4" w:space="0" w:color="auto"/>
            </w:tcBorders>
            <w:shd w:val="clear" w:color="auto" w:fill="auto"/>
            <w:noWrap/>
            <w:vAlign w:val="bottom"/>
            <w:hideMark/>
          </w:tcPr>
          <w:p w14:paraId="021E048E" w14:textId="77777777" w:rsidR="009A10FD" w:rsidRPr="009A10FD" w:rsidRDefault="009A10FD" w:rsidP="00D20FFE">
            <w:pPr>
              <w:spacing w:before="0" w:after="0"/>
              <w:jc w:val="right"/>
              <w:rPr>
                <w:rFonts w:eastAsia="Times New Roman"/>
                <w:b/>
                <w:bCs/>
                <w:color w:val="000000"/>
                <w:lang w:val="en-IN" w:eastAsia="en-IN"/>
              </w:rPr>
            </w:pPr>
            <w:r w:rsidRPr="009A10FD">
              <w:rPr>
                <w:rFonts w:eastAsia="Times New Roman"/>
                <w:b/>
                <w:bCs/>
                <w:color w:val="000000"/>
                <w:lang w:val="en-IN" w:eastAsia="en-IN"/>
              </w:rPr>
              <w:t>2013</w:t>
            </w:r>
          </w:p>
        </w:tc>
      </w:tr>
      <w:tr w:rsidR="009A10FD" w:rsidRPr="009A10FD" w14:paraId="3F236693" w14:textId="77777777" w:rsidTr="00D20FFE">
        <w:trPr>
          <w:trHeight w:val="285"/>
        </w:trPr>
        <w:tc>
          <w:tcPr>
            <w:tcW w:w="2402" w:type="dxa"/>
            <w:tcBorders>
              <w:top w:val="nil"/>
              <w:left w:val="single" w:sz="4" w:space="0" w:color="auto"/>
              <w:bottom w:val="single" w:sz="4" w:space="0" w:color="auto"/>
              <w:right w:val="single" w:sz="4" w:space="0" w:color="auto"/>
            </w:tcBorders>
            <w:shd w:val="clear" w:color="auto" w:fill="auto"/>
            <w:noWrap/>
            <w:vAlign w:val="bottom"/>
            <w:hideMark/>
          </w:tcPr>
          <w:p w14:paraId="4F7972A2"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w:t>
            </w:r>
          </w:p>
        </w:tc>
        <w:tc>
          <w:tcPr>
            <w:tcW w:w="1100" w:type="dxa"/>
            <w:tcBorders>
              <w:top w:val="nil"/>
              <w:left w:val="nil"/>
              <w:bottom w:val="single" w:sz="4" w:space="0" w:color="auto"/>
              <w:right w:val="single" w:sz="4" w:space="0" w:color="auto"/>
            </w:tcBorders>
            <w:shd w:val="clear" w:color="auto" w:fill="auto"/>
            <w:noWrap/>
            <w:vAlign w:val="bottom"/>
            <w:hideMark/>
          </w:tcPr>
          <w:p w14:paraId="012F9855"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million</w:t>
            </w:r>
          </w:p>
        </w:tc>
        <w:tc>
          <w:tcPr>
            <w:tcW w:w="1100" w:type="dxa"/>
            <w:tcBorders>
              <w:top w:val="nil"/>
              <w:left w:val="nil"/>
              <w:bottom w:val="single" w:sz="4" w:space="0" w:color="auto"/>
              <w:right w:val="single" w:sz="4" w:space="0" w:color="auto"/>
            </w:tcBorders>
            <w:shd w:val="clear" w:color="auto" w:fill="auto"/>
            <w:noWrap/>
            <w:vAlign w:val="bottom"/>
            <w:hideMark/>
          </w:tcPr>
          <w:p w14:paraId="19F3A270"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million</w:t>
            </w:r>
          </w:p>
        </w:tc>
        <w:tc>
          <w:tcPr>
            <w:tcW w:w="1100" w:type="dxa"/>
            <w:tcBorders>
              <w:top w:val="nil"/>
              <w:left w:val="nil"/>
              <w:bottom w:val="single" w:sz="4" w:space="0" w:color="auto"/>
              <w:right w:val="single" w:sz="4" w:space="0" w:color="auto"/>
            </w:tcBorders>
            <w:shd w:val="clear" w:color="auto" w:fill="auto"/>
            <w:noWrap/>
            <w:vAlign w:val="bottom"/>
            <w:hideMark/>
          </w:tcPr>
          <w:p w14:paraId="32AB66F3"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million</w:t>
            </w:r>
          </w:p>
        </w:tc>
        <w:tc>
          <w:tcPr>
            <w:tcW w:w="1100" w:type="dxa"/>
            <w:tcBorders>
              <w:top w:val="nil"/>
              <w:left w:val="nil"/>
              <w:bottom w:val="single" w:sz="4" w:space="0" w:color="auto"/>
              <w:right w:val="single" w:sz="4" w:space="0" w:color="auto"/>
            </w:tcBorders>
            <w:shd w:val="clear" w:color="auto" w:fill="auto"/>
            <w:noWrap/>
            <w:vAlign w:val="bottom"/>
            <w:hideMark/>
          </w:tcPr>
          <w:p w14:paraId="74994976"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million</w:t>
            </w:r>
          </w:p>
        </w:tc>
        <w:tc>
          <w:tcPr>
            <w:tcW w:w="1100" w:type="dxa"/>
            <w:tcBorders>
              <w:top w:val="nil"/>
              <w:left w:val="nil"/>
              <w:bottom w:val="single" w:sz="4" w:space="0" w:color="auto"/>
              <w:right w:val="single" w:sz="4" w:space="0" w:color="auto"/>
            </w:tcBorders>
            <w:shd w:val="clear" w:color="auto" w:fill="auto"/>
            <w:noWrap/>
            <w:vAlign w:val="bottom"/>
            <w:hideMark/>
          </w:tcPr>
          <w:p w14:paraId="37A41982"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million</w:t>
            </w:r>
          </w:p>
        </w:tc>
        <w:tc>
          <w:tcPr>
            <w:tcW w:w="1100" w:type="dxa"/>
            <w:tcBorders>
              <w:top w:val="nil"/>
              <w:left w:val="nil"/>
              <w:bottom w:val="single" w:sz="4" w:space="0" w:color="auto"/>
              <w:right w:val="single" w:sz="4" w:space="0" w:color="auto"/>
            </w:tcBorders>
            <w:shd w:val="clear" w:color="auto" w:fill="auto"/>
            <w:noWrap/>
            <w:vAlign w:val="bottom"/>
            <w:hideMark/>
          </w:tcPr>
          <w:p w14:paraId="2D73662C"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 million</w:t>
            </w:r>
          </w:p>
        </w:tc>
      </w:tr>
      <w:tr w:rsidR="009A10FD" w:rsidRPr="009A10FD" w14:paraId="08E985A1" w14:textId="77777777" w:rsidTr="00D20FFE">
        <w:trPr>
          <w:trHeight w:val="285"/>
        </w:trPr>
        <w:tc>
          <w:tcPr>
            <w:tcW w:w="2402" w:type="dxa"/>
            <w:tcBorders>
              <w:top w:val="nil"/>
              <w:left w:val="single" w:sz="4" w:space="0" w:color="auto"/>
              <w:bottom w:val="single" w:sz="4" w:space="0" w:color="auto"/>
              <w:right w:val="single" w:sz="4" w:space="0" w:color="auto"/>
            </w:tcBorders>
            <w:shd w:val="clear" w:color="auto" w:fill="auto"/>
            <w:noWrap/>
            <w:vAlign w:val="bottom"/>
            <w:hideMark/>
          </w:tcPr>
          <w:p w14:paraId="4C22DEE8"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Total net revenue</w:t>
            </w:r>
          </w:p>
        </w:tc>
        <w:tc>
          <w:tcPr>
            <w:tcW w:w="1100" w:type="dxa"/>
            <w:tcBorders>
              <w:top w:val="nil"/>
              <w:left w:val="nil"/>
              <w:bottom w:val="single" w:sz="4" w:space="0" w:color="auto"/>
              <w:right w:val="single" w:sz="4" w:space="0" w:color="auto"/>
            </w:tcBorders>
            <w:shd w:val="clear" w:color="auto" w:fill="auto"/>
            <w:noWrap/>
            <w:vAlign w:val="bottom"/>
            <w:hideMark/>
          </w:tcPr>
          <w:p w14:paraId="70CE4B63"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67252</w:t>
            </w:r>
          </w:p>
        </w:tc>
        <w:tc>
          <w:tcPr>
            <w:tcW w:w="1100" w:type="dxa"/>
            <w:tcBorders>
              <w:top w:val="nil"/>
              <w:left w:val="nil"/>
              <w:bottom w:val="single" w:sz="4" w:space="0" w:color="auto"/>
              <w:right w:val="single" w:sz="4" w:space="0" w:color="auto"/>
            </w:tcBorders>
            <w:shd w:val="clear" w:color="auto" w:fill="auto"/>
            <w:noWrap/>
            <w:vAlign w:val="bottom"/>
            <w:hideMark/>
          </w:tcPr>
          <w:p w14:paraId="352EFE64"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100434</w:t>
            </w:r>
          </w:p>
        </w:tc>
        <w:tc>
          <w:tcPr>
            <w:tcW w:w="1100" w:type="dxa"/>
            <w:tcBorders>
              <w:top w:val="nil"/>
              <w:left w:val="nil"/>
              <w:bottom w:val="single" w:sz="4" w:space="0" w:color="auto"/>
              <w:right w:val="single" w:sz="4" w:space="0" w:color="auto"/>
            </w:tcBorders>
            <w:shd w:val="clear" w:color="auto" w:fill="auto"/>
            <w:noWrap/>
            <w:vAlign w:val="bottom"/>
            <w:hideMark/>
          </w:tcPr>
          <w:p w14:paraId="66E20BAE"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102694</w:t>
            </w:r>
          </w:p>
        </w:tc>
        <w:tc>
          <w:tcPr>
            <w:tcW w:w="1100" w:type="dxa"/>
            <w:tcBorders>
              <w:top w:val="nil"/>
              <w:left w:val="nil"/>
              <w:bottom w:val="single" w:sz="4" w:space="0" w:color="auto"/>
              <w:right w:val="single" w:sz="4" w:space="0" w:color="auto"/>
            </w:tcBorders>
            <w:shd w:val="clear" w:color="auto" w:fill="auto"/>
            <w:noWrap/>
            <w:vAlign w:val="bottom"/>
            <w:hideMark/>
          </w:tcPr>
          <w:p w14:paraId="08E70BC0"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97234</w:t>
            </w:r>
          </w:p>
        </w:tc>
        <w:tc>
          <w:tcPr>
            <w:tcW w:w="1100" w:type="dxa"/>
            <w:tcBorders>
              <w:top w:val="nil"/>
              <w:left w:val="nil"/>
              <w:bottom w:val="single" w:sz="4" w:space="0" w:color="auto"/>
              <w:right w:val="single" w:sz="4" w:space="0" w:color="auto"/>
            </w:tcBorders>
            <w:shd w:val="clear" w:color="auto" w:fill="auto"/>
            <w:noWrap/>
            <w:vAlign w:val="bottom"/>
            <w:hideMark/>
          </w:tcPr>
          <w:p w14:paraId="22BA69B1"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97031</w:t>
            </w:r>
          </w:p>
        </w:tc>
        <w:tc>
          <w:tcPr>
            <w:tcW w:w="1100" w:type="dxa"/>
            <w:tcBorders>
              <w:top w:val="nil"/>
              <w:left w:val="nil"/>
              <w:bottom w:val="single" w:sz="4" w:space="0" w:color="auto"/>
              <w:right w:val="single" w:sz="4" w:space="0" w:color="auto"/>
            </w:tcBorders>
            <w:shd w:val="clear" w:color="auto" w:fill="auto"/>
            <w:noWrap/>
            <w:vAlign w:val="bottom"/>
            <w:hideMark/>
          </w:tcPr>
          <w:p w14:paraId="647573D4"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96606</w:t>
            </w:r>
          </w:p>
        </w:tc>
      </w:tr>
      <w:tr w:rsidR="009A10FD" w:rsidRPr="009A10FD" w14:paraId="1FECE59C" w14:textId="77777777" w:rsidTr="00D20FFE">
        <w:trPr>
          <w:trHeight w:val="285"/>
        </w:trPr>
        <w:tc>
          <w:tcPr>
            <w:tcW w:w="2402" w:type="dxa"/>
            <w:tcBorders>
              <w:top w:val="nil"/>
              <w:left w:val="single" w:sz="4" w:space="0" w:color="auto"/>
              <w:bottom w:val="single" w:sz="4" w:space="0" w:color="auto"/>
              <w:right w:val="single" w:sz="4" w:space="0" w:color="auto"/>
            </w:tcBorders>
            <w:shd w:val="clear" w:color="auto" w:fill="auto"/>
            <w:noWrap/>
            <w:vAlign w:val="bottom"/>
            <w:hideMark/>
          </w:tcPr>
          <w:p w14:paraId="01B81D67"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Net income</w:t>
            </w:r>
          </w:p>
        </w:tc>
        <w:tc>
          <w:tcPr>
            <w:tcW w:w="1100" w:type="dxa"/>
            <w:tcBorders>
              <w:top w:val="nil"/>
              <w:left w:val="nil"/>
              <w:bottom w:val="single" w:sz="4" w:space="0" w:color="auto"/>
              <w:right w:val="single" w:sz="4" w:space="0" w:color="auto"/>
            </w:tcBorders>
            <w:shd w:val="clear" w:color="auto" w:fill="auto"/>
            <w:noWrap/>
            <w:vAlign w:val="bottom"/>
            <w:hideMark/>
          </w:tcPr>
          <w:p w14:paraId="0F4C9678"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5605</w:t>
            </w:r>
          </w:p>
        </w:tc>
        <w:tc>
          <w:tcPr>
            <w:tcW w:w="1100" w:type="dxa"/>
            <w:tcBorders>
              <w:top w:val="nil"/>
              <w:left w:val="nil"/>
              <w:bottom w:val="single" w:sz="4" w:space="0" w:color="auto"/>
              <w:right w:val="single" w:sz="4" w:space="0" w:color="auto"/>
            </w:tcBorders>
            <w:shd w:val="clear" w:color="auto" w:fill="auto"/>
            <w:noWrap/>
            <w:vAlign w:val="bottom"/>
            <w:hideMark/>
          </w:tcPr>
          <w:p w14:paraId="083526DB"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11728</w:t>
            </w:r>
          </w:p>
        </w:tc>
        <w:tc>
          <w:tcPr>
            <w:tcW w:w="1100" w:type="dxa"/>
            <w:tcBorders>
              <w:top w:val="nil"/>
              <w:left w:val="nil"/>
              <w:bottom w:val="single" w:sz="4" w:space="0" w:color="auto"/>
              <w:right w:val="single" w:sz="4" w:space="0" w:color="auto"/>
            </w:tcBorders>
            <w:shd w:val="clear" w:color="auto" w:fill="auto"/>
            <w:noWrap/>
            <w:vAlign w:val="bottom"/>
            <w:hideMark/>
          </w:tcPr>
          <w:p w14:paraId="7A205EF2"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17370</w:t>
            </w:r>
          </w:p>
        </w:tc>
        <w:tc>
          <w:tcPr>
            <w:tcW w:w="1100" w:type="dxa"/>
            <w:tcBorders>
              <w:top w:val="nil"/>
              <w:left w:val="nil"/>
              <w:bottom w:val="single" w:sz="4" w:space="0" w:color="auto"/>
              <w:right w:val="single" w:sz="4" w:space="0" w:color="auto"/>
            </w:tcBorders>
            <w:shd w:val="clear" w:color="auto" w:fill="auto"/>
            <w:noWrap/>
            <w:vAlign w:val="bottom"/>
            <w:hideMark/>
          </w:tcPr>
          <w:p w14:paraId="46E75D61"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18976</w:t>
            </w:r>
          </w:p>
        </w:tc>
        <w:tc>
          <w:tcPr>
            <w:tcW w:w="1100" w:type="dxa"/>
            <w:tcBorders>
              <w:top w:val="nil"/>
              <w:left w:val="nil"/>
              <w:bottom w:val="single" w:sz="4" w:space="0" w:color="auto"/>
              <w:right w:val="single" w:sz="4" w:space="0" w:color="auto"/>
            </w:tcBorders>
            <w:shd w:val="clear" w:color="auto" w:fill="auto"/>
            <w:noWrap/>
            <w:vAlign w:val="bottom"/>
            <w:hideMark/>
          </w:tcPr>
          <w:p w14:paraId="34F628A2"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21284</w:t>
            </w:r>
          </w:p>
        </w:tc>
        <w:tc>
          <w:tcPr>
            <w:tcW w:w="1100" w:type="dxa"/>
            <w:tcBorders>
              <w:top w:val="nil"/>
              <w:left w:val="nil"/>
              <w:bottom w:val="single" w:sz="4" w:space="0" w:color="auto"/>
              <w:right w:val="single" w:sz="4" w:space="0" w:color="auto"/>
            </w:tcBorders>
            <w:shd w:val="clear" w:color="auto" w:fill="auto"/>
            <w:noWrap/>
            <w:vAlign w:val="bottom"/>
            <w:hideMark/>
          </w:tcPr>
          <w:p w14:paraId="628192E2"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17923</w:t>
            </w:r>
          </w:p>
        </w:tc>
      </w:tr>
      <w:tr w:rsidR="009A10FD" w:rsidRPr="009A10FD" w14:paraId="2E1B3CA1" w14:textId="77777777" w:rsidTr="00D20FFE">
        <w:trPr>
          <w:trHeight w:val="285"/>
        </w:trPr>
        <w:tc>
          <w:tcPr>
            <w:tcW w:w="2402" w:type="dxa"/>
            <w:tcBorders>
              <w:top w:val="nil"/>
              <w:left w:val="single" w:sz="4" w:space="0" w:color="auto"/>
              <w:bottom w:val="single" w:sz="4" w:space="0" w:color="auto"/>
              <w:right w:val="single" w:sz="4" w:space="0" w:color="auto"/>
            </w:tcBorders>
            <w:shd w:val="clear" w:color="auto" w:fill="auto"/>
            <w:noWrap/>
            <w:vAlign w:val="bottom"/>
            <w:hideMark/>
          </w:tcPr>
          <w:p w14:paraId="5E314EA9" w14:textId="77777777" w:rsidR="009A10FD" w:rsidRPr="009A10FD" w:rsidRDefault="009A10FD" w:rsidP="00D20FFE">
            <w:pPr>
              <w:spacing w:before="0" w:after="0"/>
              <w:jc w:val="left"/>
              <w:rPr>
                <w:rFonts w:eastAsia="Times New Roman"/>
                <w:color w:val="000000"/>
                <w:lang w:val="en-IN" w:eastAsia="en-IN"/>
              </w:rPr>
            </w:pPr>
            <w:r w:rsidRPr="009A10FD">
              <w:rPr>
                <w:rFonts w:eastAsia="Times New Roman"/>
                <w:color w:val="000000"/>
                <w:lang w:val="en-IN" w:eastAsia="en-IN"/>
              </w:rPr>
              <w:t>Net profit margin</w:t>
            </w:r>
          </w:p>
        </w:tc>
        <w:tc>
          <w:tcPr>
            <w:tcW w:w="1100" w:type="dxa"/>
            <w:tcBorders>
              <w:top w:val="nil"/>
              <w:left w:val="nil"/>
              <w:bottom w:val="single" w:sz="4" w:space="0" w:color="auto"/>
              <w:right w:val="single" w:sz="4" w:space="0" w:color="auto"/>
            </w:tcBorders>
            <w:shd w:val="clear" w:color="auto" w:fill="auto"/>
            <w:noWrap/>
            <w:vAlign w:val="bottom"/>
            <w:hideMark/>
          </w:tcPr>
          <w:p w14:paraId="24A3A40E"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8.33%</w:t>
            </w:r>
          </w:p>
        </w:tc>
        <w:tc>
          <w:tcPr>
            <w:tcW w:w="1100" w:type="dxa"/>
            <w:tcBorders>
              <w:top w:val="nil"/>
              <w:left w:val="nil"/>
              <w:bottom w:val="single" w:sz="4" w:space="0" w:color="auto"/>
              <w:right w:val="single" w:sz="4" w:space="0" w:color="auto"/>
            </w:tcBorders>
            <w:shd w:val="clear" w:color="auto" w:fill="auto"/>
            <w:noWrap/>
            <w:vAlign w:val="bottom"/>
            <w:hideMark/>
          </w:tcPr>
          <w:p w14:paraId="34D96DD3"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11.68%</w:t>
            </w:r>
          </w:p>
        </w:tc>
        <w:tc>
          <w:tcPr>
            <w:tcW w:w="1100" w:type="dxa"/>
            <w:tcBorders>
              <w:top w:val="nil"/>
              <w:left w:val="nil"/>
              <w:bottom w:val="single" w:sz="4" w:space="0" w:color="auto"/>
              <w:right w:val="single" w:sz="4" w:space="0" w:color="auto"/>
            </w:tcBorders>
            <w:shd w:val="clear" w:color="auto" w:fill="auto"/>
            <w:noWrap/>
            <w:vAlign w:val="bottom"/>
            <w:hideMark/>
          </w:tcPr>
          <w:p w14:paraId="14570F19"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16.91%</w:t>
            </w:r>
          </w:p>
        </w:tc>
        <w:tc>
          <w:tcPr>
            <w:tcW w:w="1100" w:type="dxa"/>
            <w:tcBorders>
              <w:top w:val="nil"/>
              <w:left w:val="nil"/>
              <w:bottom w:val="single" w:sz="4" w:space="0" w:color="auto"/>
              <w:right w:val="single" w:sz="4" w:space="0" w:color="auto"/>
            </w:tcBorders>
            <w:shd w:val="clear" w:color="auto" w:fill="auto"/>
            <w:noWrap/>
            <w:vAlign w:val="bottom"/>
            <w:hideMark/>
          </w:tcPr>
          <w:p w14:paraId="6AEAE495"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19.52%</w:t>
            </w:r>
          </w:p>
        </w:tc>
        <w:tc>
          <w:tcPr>
            <w:tcW w:w="1100" w:type="dxa"/>
            <w:tcBorders>
              <w:top w:val="nil"/>
              <w:left w:val="nil"/>
              <w:bottom w:val="single" w:sz="4" w:space="0" w:color="auto"/>
              <w:right w:val="single" w:sz="4" w:space="0" w:color="auto"/>
            </w:tcBorders>
            <w:shd w:val="clear" w:color="auto" w:fill="auto"/>
            <w:noWrap/>
            <w:vAlign w:val="bottom"/>
            <w:hideMark/>
          </w:tcPr>
          <w:p w14:paraId="5050124D" w14:textId="77777777" w:rsidR="009A10FD" w:rsidRPr="009A10FD" w:rsidRDefault="009A10FD" w:rsidP="00D20FFE">
            <w:pPr>
              <w:spacing w:before="0" w:after="0"/>
              <w:jc w:val="right"/>
              <w:rPr>
                <w:rFonts w:eastAsia="Times New Roman"/>
                <w:color w:val="000000"/>
                <w:lang w:val="en-IN" w:eastAsia="en-IN"/>
              </w:rPr>
            </w:pPr>
            <w:r w:rsidRPr="009A10FD">
              <w:rPr>
                <w:rFonts w:eastAsia="Times New Roman"/>
                <w:color w:val="000000"/>
                <w:lang w:val="en-IN" w:eastAsia="en-IN"/>
              </w:rPr>
              <w:t>21.94%</w:t>
            </w:r>
          </w:p>
        </w:tc>
        <w:tc>
          <w:tcPr>
            <w:tcW w:w="1100" w:type="dxa"/>
            <w:tcBorders>
              <w:top w:val="nil"/>
              <w:left w:val="nil"/>
              <w:bottom w:val="single" w:sz="4" w:space="0" w:color="auto"/>
              <w:right w:val="single" w:sz="4" w:space="0" w:color="auto"/>
            </w:tcBorders>
            <w:shd w:val="clear" w:color="auto" w:fill="auto"/>
            <w:noWrap/>
            <w:vAlign w:val="bottom"/>
            <w:hideMark/>
          </w:tcPr>
          <w:p w14:paraId="2ADAFCA6" w14:textId="77777777" w:rsidR="009A10FD" w:rsidRPr="009A10FD" w:rsidRDefault="009A10FD" w:rsidP="00D20FFE">
            <w:pPr>
              <w:keepNext/>
              <w:spacing w:before="0" w:after="0"/>
              <w:jc w:val="right"/>
              <w:rPr>
                <w:rFonts w:eastAsia="Times New Roman"/>
                <w:color w:val="000000"/>
                <w:lang w:val="en-IN" w:eastAsia="en-IN"/>
              </w:rPr>
            </w:pPr>
            <w:r w:rsidRPr="009A10FD">
              <w:rPr>
                <w:rFonts w:eastAsia="Times New Roman"/>
                <w:color w:val="000000"/>
                <w:lang w:val="en-IN" w:eastAsia="en-IN"/>
              </w:rPr>
              <w:t>18.55%</w:t>
            </w:r>
          </w:p>
        </w:tc>
      </w:tr>
    </w:tbl>
    <w:p w14:paraId="3AE0566E" w14:textId="77777777" w:rsidR="006D07C6" w:rsidRDefault="006D07C6" w:rsidP="006D07C6">
      <w:pPr>
        <w:keepNext/>
      </w:pPr>
      <w:r>
        <w:rPr>
          <w:noProof/>
        </w:rPr>
        <w:drawing>
          <wp:inline distT="0" distB="0" distL="0" distR="0" wp14:anchorId="6611953B" wp14:editId="4B96E993">
            <wp:extent cx="4572000" cy="2743200"/>
            <wp:effectExtent l="0" t="0" r="0" b="0"/>
            <wp:docPr id="285877869" name="Chart 1">
              <a:extLst xmlns:a="http://schemas.openxmlformats.org/drawingml/2006/main">
                <a:ext uri="{FF2B5EF4-FFF2-40B4-BE49-F238E27FC236}">
                  <a16:creationId xmlns:a16="http://schemas.microsoft.com/office/drawing/2014/main" id="{7087F0B0-B3F4-86D8-2BB8-0DB092560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4AAD4EE" w14:textId="145ED140" w:rsidR="00652C31" w:rsidRDefault="006D07C6" w:rsidP="006D07C6">
      <w:pPr>
        <w:pStyle w:val="Caption"/>
      </w:pPr>
      <w:r>
        <w:t xml:space="preserve">Figure </w:t>
      </w:r>
      <w:r>
        <w:fldChar w:fldCharType="begin"/>
      </w:r>
      <w:r>
        <w:instrText xml:space="preserve"> SEQ Figure \* ARABIC </w:instrText>
      </w:r>
      <w:r>
        <w:fldChar w:fldCharType="separate"/>
      </w:r>
      <w:r w:rsidR="00AA55E1">
        <w:rPr>
          <w:noProof/>
        </w:rPr>
        <w:t>5</w:t>
      </w:r>
      <w:r>
        <w:fldChar w:fldCharType="end"/>
      </w:r>
      <w:r>
        <w:t xml:space="preserve">: Line graph for </w:t>
      </w:r>
      <w:r w:rsidRPr="009348D2">
        <w:t>Net profit margin of JPMorgan Chase</w:t>
      </w:r>
    </w:p>
    <w:p w14:paraId="71E062EA" w14:textId="5A7726EA" w:rsidR="00F2773F" w:rsidRPr="00F2773F" w:rsidRDefault="00F2773F" w:rsidP="00F2773F">
      <w:r>
        <w:t>(Author: Self created)</w:t>
      </w:r>
    </w:p>
    <w:p w14:paraId="675B207F" w14:textId="7D42E79C" w:rsidR="004A3323" w:rsidRPr="004A3323" w:rsidRDefault="004A3323" w:rsidP="004A3323">
      <w:r>
        <w:t xml:space="preserve">According to the above table and graph, it is clear that how for few years into the financial crises, monetary policy helped </w:t>
      </w:r>
      <w:r w:rsidRPr="00660450">
        <w:t>JPMorgan Chase</w:t>
      </w:r>
      <w:r>
        <w:t xml:space="preserve"> to increase its net profitability but such impact beg</w:t>
      </w:r>
      <w:r w:rsidR="002E1E32">
        <w:t>a</w:t>
      </w:r>
      <w:r>
        <w:t>n to decline in 2013</w:t>
      </w:r>
      <w:r w:rsidR="00F2773F">
        <w:t xml:space="preserve"> (</w:t>
      </w:r>
      <w:r w:rsidR="00F2773F" w:rsidRPr="00660450">
        <w:t>JPMorgan Chase</w:t>
      </w:r>
      <w:r w:rsidR="00F2773F">
        <w:t xml:space="preserve"> &amp; Co., 2010) (</w:t>
      </w:r>
      <w:r w:rsidR="00F2773F" w:rsidRPr="00660450">
        <w:t>JPMorgan Chase</w:t>
      </w:r>
      <w:r w:rsidR="00F2773F">
        <w:t xml:space="preserve"> &amp; Co., 2013)</w:t>
      </w:r>
      <w:r>
        <w:t xml:space="preserve">, when </w:t>
      </w:r>
      <w:r w:rsidRPr="00660450">
        <w:t>JPMorgan Chase</w:t>
      </w:r>
      <w:r>
        <w:t xml:space="preserve"> recovered from the financial crises and didn’t needed support to surv</w:t>
      </w:r>
      <w:r w:rsidR="00D71597">
        <w:t>i</w:t>
      </w:r>
      <w:r>
        <w:t xml:space="preserve">ve in the market. </w:t>
      </w:r>
    </w:p>
    <w:p w14:paraId="28B75C2B" w14:textId="77777777" w:rsidR="00652C31" w:rsidRPr="00530646" w:rsidRDefault="00652C31" w:rsidP="00652C31">
      <w:pPr>
        <w:rPr>
          <w:b/>
          <w:bCs/>
          <w:i/>
          <w:iCs/>
        </w:rPr>
      </w:pPr>
      <w:r w:rsidRPr="00530646">
        <w:rPr>
          <w:b/>
          <w:bCs/>
          <w:i/>
          <w:iCs/>
        </w:rPr>
        <w:t xml:space="preserve">Compliance of the reform </w:t>
      </w:r>
    </w:p>
    <w:p w14:paraId="404A95A1" w14:textId="1DE1BABE" w:rsidR="00652C31" w:rsidRPr="00652C31" w:rsidRDefault="00745BC6" w:rsidP="00652C31">
      <w:r w:rsidRPr="00660450">
        <w:t>JPMorgan Chase</w:t>
      </w:r>
      <w:r>
        <w:t xml:space="preserve"> effectively complied with the monetary policy and fiscal policy. The evidence of such compliance is the lowered interest rates by the company in order to adhere the monetary </w:t>
      </w:r>
      <w:r>
        <w:lastRenderedPageBreak/>
        <w:t xml:space="preserve">policy. Also, for the purpose of </w:t>
      </w:r>
      <w:r w:rsidR="00286366">
        <w:t xml:space="preserve">complying with monetary policy, </w:t>
      </w:r>
      <w:r w:rsidR="00286366" w:rsidRPr="00660450">
        <w:t>JPMorgan Chase</w:t>
      </w:r>
      <w:r w:rsidR="00286366">
        <w:t xml:space="preserve"> also increased its capital under capital adequacy requirements</w:t>
      </w:r>
      <w:r w:rsidR="004D00E2">
        <w:t xml:space="preserve"> (</w:t>
      </w:r>
      <w:r w:rsidR="004D00E2">
        <w:rPr>
          <w:shd w:val="clear" w:color="auto" w:fill="FFFFFF"/>
        </w:rPr>
        <w:t xml:space="preserve">Jannsen, </w:t>
      </w:r>
      <w:proofErr w:type="spellStart"/>
      <w:r w:rsidR="004D00E2">
        <w:rPr>
          <w:shd w:val="clear" w:color="auto" w:fill="FFFFFF"/>
        </w:rPr>
        <w:t>Potjagailo</w:t>
      </w:r>
      <w:proofErr w:type="spellEnd"/>
      <w:r w:rsidR="004D00E2">
        <w:rPr>
          <w:shd w:val="clear" w:color="auto" w:fill="FFFFFF"/>
        </w:rPr>
        <w:t xml:space="preserve"> and Wolters, 2015)</w:t>
      </w:r>
      <w:r w:rsidR="00286366">
        <w:t xml:space="preserve">. </w:t>
      </w:r>
    </w:p>
    <w:p w14:paraId="2E4A7A11" w14:textId="77777777" w:rsidR="00C51075" w:rsidRDefault="00C51075" w:rsidP="00AD60EC">
      <w:pPr>
        <w:pStyle w:val="Heading2"/>
      </w:pPr>
      <w:bookmarkStart w:id="11" w:name="_Toc143510782"/>
      <w:r w:rsidRPr="00C51075">
        <w:t>Volcker Rule</w:t>
      </w:r>
      <w:bookmarkEnd w:id="11"/>
    </w:p>
    <w:p w14:paraId="325D9989" w14:textId="0BBEB5A0" w:rsidR="00AD60EC" w:rsidRPr="00C51075" w:rsidRDefault="00AD60EC" w:rsidP="00C51075">
      <w:pPr>
        <w:rPr>
          <w:b/>
          <w:bCs/>
          <w:i/>
          <w:iCs/>
        </w:rPr>
      </w:pPr>
      <w:r w:rsidRPr="00C51075">
        <w:rPr>
          <w:b/>
          <w:bCs/>
          <w:i/>
          <w:iCs/>
        </w:rPr>
        <w:t>Impact on business model and performance</w:t>
      </w:r>
    </w:p>
    <w:p w14:paraId="441587A1" w14:textId="68FB4347" w:rsidR="00A33636" w:rsidRDefault="006753F2" w:rsidP="00AD60EC">
      <w:r>
        <w:t xml:space="preserve">The </w:t>
      </w:r>
      <w:r w:rsidRPr="006753F2">
        <w:t>Volcker Rule</w:t>
      </w:r>
      <w:r>
        <w:t xml:space="preserve"> </w:t>
      </w:r>
      <w:r w:rsidR="00ED692B">
        <w:t xml:space="preserve">is a rule under the </w:t>
      </w:r>
      <w:r w:rsidR="00ED692B" w:rsidRPr="00F473AC">
        <w:t>Dodd-Frank Wall Street Reform</w:t>
      </w:r>
      <w:r w:rsidR="00ED692B">
        <w:t xml:space="preserve">. According to this rule, </w:t>
      </w:r>
      <w:r w:rsidR="00EC0A61">
        <w:t>the investment banks were banned to use the money from their retail operations for their investment operations</w:t>
      </w:r>
      <w:r w:rsidR="002E5560">
        <w:t xml:space="preserve"> </w:t>
      </w:r>
      <w:r w:rsidR="002E5560">
        <w:rPr>
          <w:lang w:val="en-US"/>
        </w:rPr>
        <w:t>(</w:t>
      </w:r>
      <w:r w:rsidR="002E5560" w:rsidRPr="006915EE">
        <w:rPr>
          <w:color w:val="222222"/>
          <w:shd w:val="clear" w:color="auto" w:fill="FFFFFF"/>
        </w:rPr>
        <w:t>Whitehead, 2011</w:t>
      </w:r>
      <w:r w:rsidR="002E5560">
        <w:rPr>
          <w:color w:val="222222"/>
          <w:shd w:val="clear" w:color="auto" w:fill="FFFFFF"/>
        </w:rPr>
        <w:t>)</w:t>
      </w:r>
      <w:r w:rsidR="00EC0A61">
        <w:t xml:space="preserve">. The reason </w:t>
      </w:r>
      <w:r w:rsidR="003456CA">
        <w:t>to</w:t>
      </w:r>
      <w:r w:rsidR="00EC0A61">
        <w:t xml:space="preserve"> implement this rule was to make sure that such real estate fall down can be mitigated for future. </w:t>
      </w:r>
      <w:r w:rsidR="00913D0E">
        <w:t>T</w:t>
      </w:r>
      <w:r w:rsidR="00D96D18">
        <w:t>he</w:t>
      </w:r>
      <w:r w:rsidR="00913D0E">
        <w:t xml:space="preserve"> situation of</w:t>
      </w:r>
      <w:r w:rsidR="00D96D18">
        <w:t xml:space="preserve"> financial crises</w:t>
      </w:r>
      <w:r w:rsidR="00913D0E">
        <w:t xml:space="preserve"> raised when</w:t>
      </w:r>
      <w:r w:rsidR="00D96D18">
        <w:t xml:space="preserve"> the </w:t>
      </w:r>
      <w:r w:rsidR="00913D0E">
        <w:t>banking institutions were using money of the customers from retail operations for providing mortgages</w:t>
      </w:r>
      <w:r w:rsidR="002E5560">
        <w:rPr>
          <w:color w:val="222222"/>
          <w:shd w:val="clear" w:color="auto" w:fill="FFFFFF"/>
        </w:rPr>
        <w:t xml:space="preserve"> (</w:t>
      </w:r>
      <w:r w:rsidR="002E5560" w:rsidRPr="006915EE">
        <w:rPr>
          <w:color w:val="222222"/>
          <w:shd w:val="clear" w:color="auto" w:fill="FFFFFF"/>
        </w:rPr>
        <w:t>Thakor, 2012</w:t>
      </w:r>
      <w:r w:rsidR="002E5560">
        <w:rPr>
          <w:color w:val="222222"/>
          <w:shd w:val="clear" w:color="auto" w:fill="FFFFFF"/>
        </w:rPr>
        <w:t>)</w:t>
      </w:r>
      <w:r w:rsidR="00913D0E">
        <w:t xml:space="preserve">. The </w:t>
      </w:r>
      <w:r w:rsidR="00913D0E" w:rsidRPr="006753F2">
        <w:t>Volcker Rule</w:t>
      </w:r>
      <w:r w:rsidR="00913D0E">
        <w:t xml:space="preserve"> significantly impacted the business model of the </w:t>
      </w:r>
      <w:r w:rsidRPr="00660450">
        <w:t>JPMorgan Chase</w:t>
      </w:r>
      <w:r w:rsidR="00913D0E">
        <w:t xml:space="preserve">. Before the </w:t>
      </w:r>
      <w:r w:rsidR="00913D0E" w:rsidRPr="006753F2">
        <w:t>Volcker Rule</w:t>
      </w:r>
      <w:r w:rsidR="00913D0E">
        <w:t xml:space="preserve">, </w:t>
      </w:r>
      <w:r w:rsidR="00913D0E" w:rsidRPr="00660450">
        <w:t>JPMorgan Chase</w:t>
      </w:r>
      <w:r w:rsidR="00913D0E">
        <w:t xml:space="preserve"> used to utilise the funds received from retail banking operations for its investment banking operations. But after the Volcker Rule, </w:t>
      </w:r>
      <w:r w:rsidR="00913D0E" w:rsidRPr="00660450">
        <w:t>JPMorgan Chase</w:t>
      </w:r>
      <w:r w:rsidR="00913D0E">
        <w:t xml:space="preserve"> had to change its organisational structure. The new structure of </w:t>
      </w:r>
      <w:r w:rsidR="00913D0E" w:rsidRPr="00660450">
        <w:t>JPMorgan Chase</w:t>
      </w:r>
      <w:r w:rsidR="00913D0E">
        <w:t xml:space="preserve"> which was created in alignment of the Volcker Rule </w:t>
      </w:r>
      <w:r w:rsidR="00A33636">
        <w:t>is attached below:</w:t>
      </w:r>
    </w:p>
    <w:p w14:paraId="54007E6B" w14:textId="77777777" w:rsidR="00AA55E1" w:rsidRDefault="00AA55E1" w:rsidP="00AA55E1">
      <w:pPr>
        <w:keepNext/>
      </w:pPr>
      <w:r w:rsidRPr="00AA55E1">
        <w:rPr>
          <w:noProof/>
        </w:rPr>
        <w:drawing>
          <wp:inline distT="0" distB="0" distL="0" distR="0" wp14:anchorId="7C359D24" wp14:editId="55A9FFDB">
            <wp:extent cx="5731510" cy="3086100"/>
            <wp:effectExtent l="19050" t="19050" r="21590" b="19050"/>
            <wp:docPr id="1646519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19882" name=""/>
                    <pic:cNvPicPr/>
                  </pic:nvPicPr>
                  <pic:blipFill>
                    <a:blip r:embed="rId14"/>
                    <a:stretch>
                      <a:fillRect/>
                    </a:stretch>
                  </pic:blipFill>
                  <pic:spPr>
                    <a:xfrm>
                      <a:off x="0" y="0"/>
                      <a:ext cx="5731510" cy="3086100"/>
                    </a:xfrm>
                    <a:prstGeom prst="rect">
                      <a:avLst/>
                    </a:prstGeom>
                    <a:ln>
                      <a:solidFill>
                        <a:schemeClr val="tx1"/>
                      </a:solidFill>
                    </a:ln>
                  </pic:spPr>
                </pic:pic>
              </a:graphicData>
            </a:graphic>
          </wp:inline>
        </w:drawing>
      </w:r>
    </w:p>
    <w:p w14:paraId="31FEACC2" w14:textId="0A2BCA99" w:rsidR="00AA55E1" w:rsidRDefault="00AA55E1" w:rsidP="00AA55E1">
      <w:pPr>
        <w:pStyle w:val="Caption"/>
      </w:pPr>
      <w:r>
        <w:t xml:space="preserve">Figure </w:t>
      </w:r>
      <w:r>
        <w:fldChar w:fldCharType="begin"/>
      </w:r>
      <w:r>
        <w:instrText xml:space="preserve"> SEQ Figure \* ARABIC </w:instrText>
      </w:r>
      <w:r>
        <w:fldChar w:fldCharType="separate"/>
      </w:r>
      <w:r>
        <w:rPr>
          <w:noProof/>
        </w:rPr>
        <w:t>6</w:t>
      </w:r>
      <w:r>
        <w:fldChar w:fldCharType="end"/>
      </w:r>
      <w:r>
        <w:t>: Organisational structure of</w:t>
      </w:r>
      <w:r w:rsidRPr="00AA55E1">
        <w:t xml:space="preserve"> </w:t>
      </w:r>
      <w:r w:rsidRPr="00660450">
        <w:t>JPMorgan Chase</w:t>
      </w:r>
    </w:p>
    <w:p w14:paraId="1A69CC57" w14:textId="4B75B901" w:rsidR="006753F2" w:rsidRDefault="00913D0E" w:rsidP="00AD60EC">
      <w:r>
        <w:t xml:space="preserve"> </w:t>
      </w:r>
      <w:r w:rsidR="00893BAF">
        <w:t xml:space="preserve">(Source: </w:t>
      </w:r>
      <w:r w:rsidR="00893BAF" w:rsidRPr="00660450">
        <w:t>JPMorgan Chase</w:t>
      </w:r>
      <w:r w:rsidR="00893BAF">
        <w:t xml:space="preserve"> &amp; Co., 2008)</w:t>
      </w:r>
    </w:p>
    <w:p w14:paraId="5AB2143F" w14:textId="54A0A4C6" w:rsidR="002E5560" w:rsidRPr="00B465B8" w:rsidRDefault="007C0F64" w:rsidP="00AD60EC">
      <w:r>
        <w:lastRenderedPageBreak/>
        <w:t xml:space="preserve">The above figure shows that how </w:t>
      </w:r>
      <w:r w:rsidRPr="00660450">
        <w:t>JPMorgan Chase</w:t>
      </w:r>
      <w:r w:rsidR="003F6491">
        <w:t xml:space="preserve"> had to change its functional structure by separating its activities, so that, the demise of one function cannot impact the other functions of the bank. </w:t>
      </w:r>
      <w:r w:rsidR="00D46291">
        <w:t xml:space="preserve">In addition to this, the </w:t>
      </w:r>
      <w:r w:rsidR="00D46291" w:rsidRPr="006753F2">
        <w:t>Volcker Rule</w:t>
      </w:r>
      <w:r w:rsidR="00D46291">
        <w:t xml:space="preserve"> also restricted </w:t>
      </w:r>
      <w:r w:rsidR="00D46291" w:rsidRPr="00660450">
        <w:t>JPMorgan Chase</w:t>
      </w:r>
      <w:r w:rsidR="00D46291">
        <w:t xml:space="preserve"> from carrying out the shadow banking. </w:t>
      </w:r>
      <w:r w:rsidR="009A7767">
        <w:t xml:space="preserve">The term of shadow banking is used for activities that go largely unregulated. The </w:t>
      </w:r>
      <w:r w:rsidR="009A7767" w:rsidRPr="006753F2">
        <w:t>Volcker Rule</w:t>
      </w:r>
      <w:r w:rsidR="009A7767">
        <w:t xml:space="preserve"> restricted to carry out these activities with the intention to ensure high regulation of </w:t>
      </w:r>
      <w:r w:rsidR="009A7767" w:rsidRPr="00660450">
        <w:t>JPMorgan Chase</w:t>
      </w:r>
      <w:r w:rsidR="009A7767">
        <w:t xml:space="preserve"> </w:t>
      </w:r>
      <w:r w:rsidR="002E5560">
        <w:rPr>
          <w:color w:val="222222"/>
          <w:shd w:val="clear" w:color="auto" w:fill="FFFFFF"/>
        </w:rPr>
        <w:t>(</w:t>
      </w:r>
      <w:r w:rsidR="002E5560">
        <w:rPr>
          <w:lang w:val="en-US"/>
        </w:rPr>
        <w:t>Wilkes, 2016)</w:t>
      </w:r>
      <w:r w:rsidR="009A7767">
        <w:rPr>
          <w:lang w:val="en-US"/>
        </w:rPr>
        <w:t xml:space="preserve">. </w:t>
      </w:r>
    </w:p>
    <w:p w14:paraId="4BD7D81D" w14:textId="03480136" w:rsidR="00AD60EC" w:rsidRDefault="00AD60EC" w:rsidP="00AD60EC">
      <w:pPr>
        <w:rPr>
          <w:b/>
          <w:bCs/>
          <w:i/>
          <w:iCs/>
        </w:rPr>
      </w:pPr>
      <w:r w:rsidRPr="00530646">
        <w:rPr>
          <w:b/>
          <w:bCs/>
          <w:i/>
          <w:iCs/>
        </w:rPr>
        <w:t>Compliance of the reform</w:t>
      </w:r>
    </w:p>
    <w:p w14:paraId="01B88166" w14:textId="6AE694E7" w:rsidR="00C51075" w:rsidRPr="00530646" w:rsidRDefault="00DF159F" w:rsidP="00E94A15">
      <w:r w:rsidRPr="00660450">
        <w:t>JPMorgan Chase</w:t>
      </w:r>
      <w:r>
        <w:t xml:space="preserve"> has effectively complied with the </w:t>
      </w:r>
      <w:r w:rsidRPr="006753F2">
        <w:t>Volcker Rule</w:t>
      </w:r>
      <w:r>
        <w:t xml:space="preserve"> and the evidence of such compliance is the changed organisational structure of the company as shown in figure 6, that allowed the company to separate its investment banking activities from its retail banking activities.  </w:t>
      </w:r>
    </w:p>
    <w:p w14:paraId="71F1A049" w14:textId="59A2FAC6" w:rsidR="00AD60EC" w:rsidRPr="00AD60EC" w:rsidRDefault="00C51075" w:rsidP="00E94A15">
      <w:r>
        <w:t>Other</w:t>
      </w:r>
      <w:r w:rsidR="00E94A15">
        <w:t xml:space="preserve"> reforms stated in this report such as Housing Economic Recovery Act of 2008 and Financial Reconstruction has significantly played a role in stabilising the financial market of the US but has not particularly impacted </w:t>
      </w:r>
      <w:r w:rsidR="00E94A15" w:rsidRPr="00660450">
        <w:t>JPMorgan Chase</w:t>
      </w:r>
      <w:r w:rsidR="00E94A15">
        <w:t xml:space="preserve">. </w:t>
      </w:r>
    </w:p>
    <w:p w14:paraId="11A7B993" w14:textId="14405E14" w:rsidR="00C457A9" w:rsidRDefault="00DA43B1" w:rsidP="002C106A">
      <w:pPr>
        <w:pStyle w:val="Heading1"/>
      </w:pPr>
      <w:bookmarkStart w:id="12" w:name="_Toc143510783"/>
      <w:r>
        <w:t>Conclusion</w:t>
      </w:r>
      <w:bookmarkEnd w:id="12"/>
    </w:p>
    <w:p w14:paraId="2BF7BFC0" w14:textId="669375E5" w:rsidR="00C457A9" w:rsidRPr="00C457A9" w:rsidRDefault="00CB433F" w:rsidP="00D661D7">
      <w:r>
        <w:t xml:space="preserve">From the above </w:t>
      </w:r>
      <w:r w:rsidR="00556B9F">
        <w:t xml:space="preserve">report, it has concluded that the financial crises of 2008 significantly impacted the baking arena of the US. For controlling the financial crises, the US government initiated various reforms to support banking and ither financial institutions, so that the financial market can be stabilised and confidence of people in the financial market of the US can be restored. These reforms are </w:t>
      </w:r>
      <w:r w:rsidR="00E83599">
        <w:t xml:space="preserve">concluded to be </w:t>
      </w:r>
      <w:r w:rsidR="00D661D7">
        <w:t xml:space="preserve">Dodd-Frank Wall Street Reform and Consumer Protection Act, Emergency Economic Stabilization Act of 2008, Federal Reserve Act, Troubled Asset Relief Program, Housing Economic Recovery Act of 2008, Monetary policy, Fiscal policy and Financial Reconstruction. All such reforms </w:t>
      </w:r>
      <w:r w:rsidR="00C85AEA">
        <w:t>have</w:t>
      </w:r>
      <w:r w:rsidR="00D661D7">
        <w:t xml:space="preserve"> concluded to significantly contributed towards stabilising the financial market. </w:t>
      </w:r>
      <w:r w:rsidR="00C85AEA">
        <w:t xml:space="preserve">This report has also used </w:t>
      </w:r>
      <w:r w:rsidR="00C85AEA" w:rsidRPr="00660450">
        <w:t>JPMorgan Chase</w:t>
      </w:r>
      <w:r w:rsidR="00C85AEA">
        <w:t xml:space="preserve"> as the US banking institution to analyse the impact of reforms on the banking institutions. From such case analysis, it is concluded that </w:t>
      </w:r>
      <w:r w:rsidR="006316DA">
        <w:t xml:space="preserve">the reforms have positively influenced the business model and business performance of the company. Also, </w:t>
      </w:r>
      <w:r w:rsidR="006316DA" w:rsidRPr="00660450">
        <w:t>JPMorgan Chase</w:t>
      </w:r>
      <w:r w:rsidR="006316DA">
        <w:t xml:space="preserve"> has concluded to comply with all the identified reforms, policies and rules. </w:t>
      </w:r>
    </w:p>
    <w:p w14:paraId="21410D38" w14:textId="1C3D40E9" w:rsidR="00D13CC5" w:rsidRDefault="00D13CC5">
      <w:r>
        <w:br w:type="page"/>
      </w:r>
    </w:p>
    <w:p w14:paraId="74EFE922" w14:textId="16F848FD" w:rsidR="00D13CC5" w:rsidRPr="00D13CC5" w:rsidRDefault="00D13CC5" w:rsidP="00D13CC5">
      <w:pPr>
        <w:pStyle w:val="Heading1"/>
      </w:pPr>
      <w:bookmarkStart w:id="13" w:name="_Toc143510784"/>
      <w:r>
        <w:lastRenderedPageBreak/>
        <w:t>Reference</w:t>
      </w:r>
      <w:r w:rsidR="00DA43B1">
        <w:t>s</w:t>
      </w:r>
      <w:bookmarkEnd w:id="13"/>
    </w:p>
    <w:p w14:paraId="4955F00F" w14:textId="77777777" w:rsidR="00BD351B" w:rsidRPr="00F960CC" w:rsidRDefault="00BD351B" w:rsidP="00BD351B">
      <w:pPr>
        <w:rPr>
          <w:color w:val="222222"/>
          <w:shd w:val="clear" w:color="auto" w:fill="FFFFFF"/>
        </w:rPr>
      </w:pPr>
      <w:r w:rsidRPr="00F960CC">
        <w:rPr>
          <w:color w:val="222222"/>
          <w:shd w:val="clear" w:color="auto" w:fill="FFFFFF"/>
        </w:rPr>
        <w:t xml:space="preserve">Arthur, B., 2009. </w:t>
      </w:r>
      <w:r>
        <w:rPr>
          <w:color w:val="222222"/>
          <w:shd w:val="clear" w:color="auto" w:fill="FFFFFF"/>
        </w:rPr>
        <w:t>‘</w:t>
      </w:r>
      <w:r w:rsidRPr="00F960CC">
        <w:rPr>
          <w:color w:val="222222"/>
          <w:shd w:val="clear" w:color="auto" w:fill="FFFFFF"/>
        </w:rPr>
        <w:t>Housing and economic recovery act of 2008</w:t>
      </w:r>
      <w:r>
        <w:rPr>
          <w:color w:val="222222"/>
          <w:shd w:val="clear" w:color="auto" w:fill="FFFFFF"/>
        </w:rPr>
        <w:t>’</w:t>
      </w:r>
      <w:r w:rsidRPr="00F960CC">
        <w:rPr>
          <w:color w:val="222222"/>
          <w:shd w:val="clear" w:color="auto" w:fill="FFFFFF"/>
        </w:rPr>
        <w:t>. </w:t>
      </w:r>
      <w:r w:rsidRPr="00F960CC">
        <w:rPr>
          <w:i/>
          <w:iCs/>
          <w:color w:val="222222"/>
          <w:shd w:val="clear" w:color="auto" w:fill="FFFFFF"/>
        </w:rPr>
        <w:t>Harv. J. on Legis.</w:t>
      </w:r>
      <w:r w:rsidRPr="00F960CC">
        <w:rPr>
          <w:color w:val="222222"/>
          <w:shd w:val="clear" w:color="auto" w:fill="FFFFFF"/>
        </w:rPr>
        <w:t>, </w:t>
      </w:r>
      <w:r w:rsidRPr="00F960CC">
        <w:rPr>
          <w:i/>
          <w:iCs/>
          <w:color w:val="222222"/>
          <w:shd w:val="clear" w:color="auto" w:fill="FFFFFF"/>
        </w:rPr>
        <w:t>46</w:t>
      </w:r>
      <w:r w:rsidRPr="00F960CC">
        <w:rPr>
          <w:color w:val="222222"/>
          <w:shd w:val="clear" w:color="auto" w:fill="FFFFFF"/>
        </w:rPr>
        <w:t>, p.585.</w:t>
      </w:r>
    </w:p>
    <w:p w14:paraId="00E75907" w14:textId="77777777" w:rsidR="00BD351B" w:rsidRDefault="00BD351B" w:rsidP="006D5AF2">
      <w:pPr>
        <w:rPr>
          <w:lang w:val="en-US"/>
        </w:rPr>
      </w:pPr>
      <w:r>
        <w:rPr>
          <w:lang w:val="en-US"/>
        </w:rPr>
        <w:t>Authenticated U.S. Government Information GPO, 2008. ‘</w:t>
      </w:r>
      <w:r w:rsidRPr="006D5AF2">
        <w:rPr>
          <w:lang w:val="en-US"/>
        </w:rPr>
        <w:t>HOUSING AND ECONOMIC RECOVERY ACT</w:t>
      </w:r>
      <w:r>
        <w:rPr>
          <w:lang w:val="en-US"/>
        </w:rPr>
        <w:t xml:space="preserve"> </w:t>
      </w:r>
      <w:r w:rsidRPr="006D5AF2">
        <w:rPr>
          <w:lang w:val="en-US"/>
        </w:rPr>
        <w:t>OF 200</w:t>
      </w:r>
      <w:r>
        <w:rPr>
          <w:lang w:val="en-US"/>
        </w:rPr>
        <w:t xml:space="preserve">8’. </w:t>
      </w:r>
      <w:hyperlink r:id="rId15" w:history="1">
        <w:r w:rsidRPr="00120D40">
          <w:rPr>
            <w:rStyle w:val="Hyperlink"/>
            <w:lang w:val="en-US"/>
          </w:rPr>
          <w:t>https://www.congress.gov/110/plaws/publ289/PLAW-110publ289.pdf</w:t>
        </w:r>
      </w:hyperlink>
      <w:r>
        <w:rPr>
          <w:lang w:val="en-US"/>
        </w:rPr>
        <w:t xml:space="preserve"> [Accessed 13 August, 2023]</w:t>
      </w:r>
    </w:p>
    <w:p w14:paraId="464F1265" w14:textId="77777777" w:rsidR="00BD351B" w:rsidRDefault="00BD351B" w:rsidP="00E11926">
      <w:pPr>
        <w:rPr>
          <w:lang w:val="en-US"/>
        </w:rPr>
      </w:pPr>
      <w:r>
        <w:rPr>
          <w:lang w:val="en-US"/>
        </w:rPr>
        <w:t>Berman, N., 2023. ‘</w:t>
      </w:r>
      <w:r w:rsidRPr="00427F37">
        <w:rPr>
          <w:lang w:val="en-US"/>
        </w:rPr>
        <w:t>What Is the Dodd-Frank Act?</w:t>
      </w:r>
      <w:r>
        <w:rPr>
          <w:lang w:val="en-US"/>
        </w:rPr>
        <w:t xml:space="preserve">’ </w:t>
      </w:r>
      <w:hyperlink r:id="rId16" w:history="1">
        <w:r w:rsidRPr="00575F53">
          <w:rPr>
            <w:rStyle w:val="Hyperlink"/>
            <w:lang w:val="en-US"/>
          </w:rPr>
          <w:t>https://www.cfr.org/backgrounder/what-dodd-frank-act</w:t>
        </w:r>
      </w:hyperlink>
      <w:r>
        <w:rPr>
          <w:lang w:val="en-US"/>
        </w:rPr>
        <w:t xml:space="preserve"> [Accessed 17 August, 2023]</w:t>
      </w:r>
    </w:p>
    <w:p w14:paraId="62819704" w14:textId="77777777" w:rsidR="00BD351B" w:rsidRDefault="00BD351B" w:rsidP="00773DF0">
      <w:pPr>
        <w:rPr>
          <w:lang w:val="en-US"/>
        </w:rPr>
      </w:pPr>
      <w:r w:rsidRPr="008610CD">
        <w:rPr>
          <w:lang w:val="en-US"/>
        </w:rPr>
        <w:t>Bosworth</w:t>
      </w:r>
      <w:r>
        <w:rPr>
          <w:lang w:val="en-US"/>
        </w:rPr>
        <w:t>, B.,</w:t>
      </w:r>
      <w:r w:rsidRPr="008610CD">
        <w:rPr>
          <w:lang w:val="en-US"/>
        </w:rPr>
        <w:t xml:space="preserve"> and</w:t>
      </w:r>
      <w:r>
        <w:rPr>
          <w:lang w:val="en-US"/>
        </w:rPr>
        <w:t xml:space="preserve"> </w:t>
      </w:r>
      <w:proofErr w:type="spellStart"/>
      <w:r w:rsidRPr="008610CD">
        <w:rPr>
          <w:lang w:val="en-US"/>
        </w:rPr>
        <w:t>Flaaen</w:t>
      </w:r>
      <w:proofErr w:type="spellEnd"/>
      <w:r>
        <w:rPr>
          <w:lang w:val="en-US"/>
        </w:rPr>
        <w:t>, A., 2009. ‘</w:t>
      </w:r>
      <w:r w:rsidRPr="00342455">
        <w:rPr>
          <w:lang w:val="en-US"/>
        </w:rPr>
        <w:t>America’s Financial Crisis: The End of an Era</w:t>
      </w:r>
      <w:r>
        <w:rPr>
          <w:lang w:val="en-US"/>
        </w:rPr>
        <w:t>’</w:t>
      </w:r>
      <w:r w:rsidRPr="008610CD">
        <w:rPr>
          <w:i/>
          <w:iCs/>
          <w:lang w:val="en-US"/>
        </w:rPr>
        <w:t>.</w:t>
      </w:r>
      <w:r>
        <w:rPr>
          <w:lang w:val="en-US"/>
        </w:rPr>
        <w:t xml:space="preserve"> </w:t>
      </w:r>
      <w:hyperlink r:id="rId17" w:history="1">
        <w:r w:rsidRPr="00FB7A3E">
          <w:rPr>
            <w:rStyle w:val="Hyperlink"/>
            <w:lang w:val="en-US"/>
          </w:rPr>
          <w:t>https://www.adb.org/sites/default/files/publication/155997/adbi-wp142.pdf</w:t>
        </w:r>
      </w:hyperlink>
      <w:r>
        <w:rPr>
          <w:lang w:val="en-US"/>
        </w:rPr>
        <w:t xml:space="preserve"> [Accessed 24 July, 2023]</w:t>
      </w:r>
    </w:p>
    <w:p w14:paraId="208B5018" w14:textId="77777777" w:rsidR="00BD351B" w:rsidRDefault="00BD351B" w:rsidP="00823B77">
      <w:pPr>
        <w:rPr>
          <w:lang w:val="en-US"/>
        </w:rPr>
      </w:pPr>
      <w:r>
        <w:t>Britannica, 2023. ‘</w:t>
      </w:r>
      <w:r w:rsidRPr="00342455">
        <w:t>Kenneth Chenault</w:t>
      </w:r>
      <w:r>
        <w:t xml:space="preserve">’. </w:t>
      </w:r>
      <w:hyperlink r:id="rId18" w:anchor="ref1083426" w:history="1">
        <w:r w:rsidRPr="00120D40">
          <w:rPr>
            <w:rStyle w:val="Hyperlink"/>
          </w:rPr>
          <w:t>https://www.britannica.com/biography/Kenneth-Chenault#ref1083426</w:t>
        </w:r>
      </w:hyperlink>
      <w:r>
        <w:t xml:space="preserve"> </w:t>
      </w:r>
      <w:r>
        <w:rPr>
          <w:lang w:val="en-US"/>
        </w:rPr>
        <w:t>[Accessed 12 August, 2023]</w:t>
      </w:r>
    </w:p>
    <w:p w14:paraId="1B8C61D1" w14:textId="77777777" w:rsidR="00BD351B" w:rsidRDefault="00BD351B" w:rsidP="00BD351B">
      <w:r>
        <w:rPr>
          <w:shd w:val="clear" w:color="auto" w:fill="FFFFFF"/>
        </w:rPr>
        <w:t>Cecchetti, S.G., 2008. ‘</w:t>
      </w:r>
      <w:r w:rsidRPr="00F960CC">
        <w:rPr>
          <w:shd w:val="clear" w:color="auto" w:fill="FFFFFF"/>
        </w:rPr>
        <w:t>Crisis and responses: the Federal Reserve and the financial crisis of 2007-2008’</w:t>
      </w:r>
      <w:r>
        <w:rPr>
          <w:shd w:val="clear" w:color="auto" w:fill="FFFFFF"/>
        </w:rPr>
        <w:t xml:space="preserve"> (No. w14134). </w:t>
      </w:r>
      <w:r w:rsidRPr="00F960CC">
        <w:rPr>
          <w:i/>
          <w:iCs/>
          <w:shd w:val="clear" w:color="auto" w:fill="FFFFFF"/>
        </w:rPr>
        <w:t>National Bureau of Economic Research</w:t>
      </w:r>
      <w:r>
        <w:rPr>
          <w:shd w:val="clear" w:color="auto" w:fill="FFFFFF"/>
        </w:rPr>
        <w:t>.</w:t>
      </w:r>
    </w:p>
    <w:p w14:paraId="73915222" w14:textId="77777777" w:rsidR="00BD351B" w:rsidRDefault="00BD351B" w:rsidP="00773DF0">
      <w:pPr>
        <w:rPr>
          <w:lang w:val="en-US"/>
        </w:rPr>
      </w:pPr>
      <w:r>
        <w:rPr>
          <w:lang w:val="en-US"/>
        </w:rPr>
        <w:t>CFTC, 2023. ‘</w:t>
      </w:r>
      <w:r w:rsidRPr="00342455">
        <w:rPr>
          <w:lang w:val="en-US"/>
        </w:rPr>
        <w:t>Dodd-Frank Act</w:t>
      </w:r>
      <w:r>
        <w:rPr>
          <w:lang w:val="en-US"/>
        </w:rPr>
        <w:t xml:space="preserve">’. </w:t>
      </w:r>
      <w:hyperlink r:id="rId19" w:history="1">
        <w:r w:rsidRPr="00FB7A3E">
          <w:rPr>
            <w:rStyle w:val="Hyperlink"/>
            <w:lang w:val="en-US"/>
          </w:rPr>
          <w:t>https://www.cftc.gov/LawRegulation/DoddFrankAct/index.htm</w:t>
        </w:r>
      </w:hyperlink>
      <w:r>
        <w:rPr>
          <w:lang w:val="en-US"/>
        </w:rPr>
        <w:t xml:space="preserve"> [Accessed 23 July, 2023]</w:t>
      </w:r>
    </w:p>
    <w:p w14:paraId="2908DFEF" w14:textId="77777777" w:rsidR="00BD351B" w:rsidRPr="00F960CC" w:rsidRDefault="00BD351B" w:rsidP="00BD351B">
      <w:pPr>
        <w:rPr>
          <w:color w:val="222222"/>
          <w:shd w:val="clear" w:color="auto" w:fill="FFFFFF"/>
        </w:rPr>
      </w:pPr>
      <w:r w:rsidRPr="00F960CC">
        <w:rPr>
          <w:color w:val="222222"/>
          <w:shd w:val="clear" w:color="auto" w:fill="FFFFFF"/>
        </w:rPr>
        <w:t xml:space="preserve">Congress, U.S., 2010. </w:t>
      </w:r>
      <w:r>
        <w:rPr>
          <w:color w:val="222222"/>
          <w:shd w:val="clear" w:color="auto" w:fill="FFFFFF"/>
        </w:rPr>
        <w:t>‘</w:t>
      </w:r>
      <w:r w:rsidRPr="00F960CC">
        <w:rPr>
          <w:color w:val="222222"/>
          <w:shd w:val="clear" w:color="auto" w:fill="FFFFFF"/>
        </w:rPr>
        <w:t>Dodd-Frank Wall Street reform and consumer protection act</w:t>
      </w:r>
      <w:r>
        <w:rPr>
          <w:color w:val="222222"/>
          <w:shd w:val="clear" w:color="auto" w:fill="FFFFFF"/>
        </w:rPr>
        <w:t>’</w:t>
      </w:r>
    </w:p>
    <w:p w14:paraId="548397C9" w14:textId="77777777" w:rsidR="00BD351B" w:rsidRDefault="00BD351B" w:rsidP="00773DF0">
      <w:pPr>
        <w:rPr>
          <w:lang w:val="en-US"/>
        </w:rPr>
      </w:pPr>
      <w:r>
        <w:rPr>
          <w:lang w:val="en-US"/>
        </w:rPr>
        <w:t xml:space="preserve">Congressional Research Service, 2023.’ </w:t>
      </w:r>
      <w:r w:rsidRPr="00342455">
        <w:rPr>
          <w:lang w:val="en-US"/>
        </w:rPr>
        <w:t>Introduction to Financial Services: The Consumer Financial Protection Bureau (CFPB)’</w:t>
      </w:r>
      <w:r>
        <w:rPr>
          <w:lang w:val="en-US"/>
        </w:rPr>
        <w:t xml:space="preserve">. </w:t>
      </w:r>
      <w:hyperlink r:id="rId20" w:history="1">
        <w:r w:rsidRPr="00FB7A3E">
          <w:rPr>
            <w:rStyle w:val="Hyperlink"/>
            <w:lang w:val="en-US"/>
          </w:rPr>
          <w:t>https://sgp.fas.org/crs/misc/IF10031.pdf</w:t>
        </w:r>
      </w:hyperlink>
      <w:r>
        <w:rPr>
          <w:lang w:val="en-US"/>
        </w:rPr>
        <w:t xml:space="preserve"> [Accessed 23 July, 2023]</w:t>
      </w:r>
    </w:p>
    <w:p w14:paraId="5762CA31" w14:textId="77777777" w:rsidR="00BD351B" w:rsidRDefault="00BD351B" w:rsidP="002E1055">
      <w:pPr>
        <w:rPr>
          <w:lang w:val="en-US"/>
        </w:rPr>
      </w:pPr>
      <w:r>
        <w:rPr>
          <w:lang w:val="en-US"/>
        </w:rPr>
        <w:t xml:space="preserve">Council on Foreign Relations, </w:t>
      </w:r>
      <w:r w:rsidRPr="008B4A1B">
        <w:rPr>
          <w:lang w:val="en-US"/>
        </w:rPr>
        <w:t xml:space="preserve">2023. </w:t>
      </w:r>
      <w:r>
        <w:rPr>
          <w:lang w:val="en-US"/>
        </w:rPr>
        <w:t>‘</w:t>
      </w:r>
      <w:r w:rsidRPr="008B4A1B">
        <w:rPr>
          <w:lang w:val="en-US"/>
        </w:rPr>
        <w:t>1992 – 2018 The U.S. Financial Crisis</w:t>
      </w:r>
      <w:r>
        <w:rPr>
          <w:lang w:val="en-US"/>
        </w:rPr>
        <w:t xml:space="preserve">’ </w:t>
      </w:r>
      <w:hyperlink r:id="rId21" w:history="1">
        <w:r w:rsidRPr="009C66D4">
          <w:rPr>
            <w:rStyle w:val="Hyperlink"/>
            <w:lang w:val="en-US"/>
          </w:rPr>
          <w:t>https://www.cfr.org/timeline/us-financial-crisis</w:t>
        </w:r>
      </w:hyperlink>
      <w:r>
        <w:rPr>
          <w:lang w:val="en-US"/>
        </w:rPr>
        <w:t xml:space="preserve"> </w:t>
      </w:r>
      <w:r>
        <w:t>[</w:t>
      </w:r>
      <w:r>
        <w:rPr>
          <w:lang w:val="en-US"/>
        </w:rPr>
        <w:t>Accessed 24 July, 2023]</w:t>
      </w:r>
    </w:p>
    <w:p w14:paraId="03F3A148" w14:textId="77777777" w:rsidR="00BD351B" w:rsidRPr="00F960CC" w:rsidRDefault="00BD351B" w:rsidP="00BD351B">
      <w:r w:rsidRPr="00F960CC">
        <w:rPr>
          <w:color w:val="222222"/>
          <w:shd w:val="clear" w:color="auto" w:fill="FFFFFF"/>
        </w:rPr>
        <w:t xml:space="preserve">Emerson, C.D., 2008. </w:t>
      </w:r>
      <w:r>
        <w:rPr>
          <w:color w:val="222222"/>
          <w:shd w:val="clear" w:color="auto" w:fill="FFFFFF"/>
        </w:rPr>
        <w:t>‘</w:t>
      </w:r>
      <w:r w:rsidRPr="00F960CC">
        <w:rPr>
          <w:color w:val="222222"/>
          <w:shd w:val="clear" w:color="auto" w:fill="FFFFFF"/>
        </w:rPr>
        <w:t>A Troubled House of Cards: Examining How the Housing and Economic Recovery Act of 2008 Fails to Resolve the Foreclosure Crisis</w:t>
      </w:r>
      <w:r>
        <w:rPr>
          <w:color w:val="222222"/>
          <w:shd w:val="clear" w:color="auto" w:fill="FFFFFF"/>
        </w:rPr>
        <w:t>’</w:t>
      </w:r>
      <w:r w:rsidRPr="00F960CC">
        <w:rPr>
          <w:color w:val="222222"/>
          <w:shd w:val="clear" w:color="auto" w:fill="FFFFFF"/>
        </w:rPr>
        <w:t>. </w:t>
      </w:r>
      <w:r w:rsidRPr="00F960CC">
        <w:rPr>
          <w:i/>
          <w:iCs/>
          <w:color w:val="222222"/>
          <w:shd w:val="clear" w:color="auto" w:fill="FFFFFF"/>
        </w:rPr>
        <w:t>Okla. L. Rev.</w:t>
      </w:r>
      <w:r w:rsidRPr="00F960CC">
        <w:rPr>
          <w:color w:val="222222"/>
          <w:shd w:val="clear" w:color="auto" w:fill="FFFFFF"/>
        </w:rPr>
        <w:t>, </w:t>
      </w:r>
      <w:r w:rsidRPr="00F960CC">
        <w:rPr>
          <w:i/>
          <w:iCs/>
          <w:color w:val="222222"/>
          <w:shd w:val="clear" w:color="auto" w:fill="FFFFFF"/>
        </w:rPr>
        <w:t>61</w:t>
      </w:r>
      <w:r w:rsidRPr="00F960CC">
        <w:rPr>
          <w:color w:val="222222"/>
          <w:shd w:val="clear" w:color="auto" w:fill="FFFFFF"/>
        </w:rPr>
        <w:t>, p.561.</w:t>
      </w:r>
    </w:p>
    <w:p w14:paraId="347EF4B7" w14:textId="77777777" w:rsidR="00BD351B" w:rsidRDefault="00BD351B" w:rsidP="00773DF0">
      <w:pPr>
        <w:rPr>
          <w:lang w:val="en-US"/>
        </w:rPr>
      </w:pPr>
      <w:r>
        <w:rPr>
          <w:lang w:val="en-US"/>
        </w:rPr>
        <w:lastRenderedPageBreak/>
        <w:t>Federal Reserve History, 2013. ‘</w:t>
      </w:r>
      <w:r w:rsidRPr="00342455">
        <w:rPr>
          <w:lang w:val="en-US"/>
        </w:rPr>
        <w:t>The Great Recession and Its Aftermath</w:t>
      </w:r>
      <w:r>
        <w:rPr>
          <w:lang w:val="en-US"/>
        </w:rPr>
        <w:t xml:space="preserve">’. </w:t>
      </w:r>
      <w:hyperlink r:id="rId22" w:anchor=":~:text=But%20in%20October%202008%2C%20the,with%20reductions%20in%20other%20assets" w:history="1">
        <w:r w:rsidRPr="009C66D4">
          <w:rPr>
            <w:rStyle w:val="Hyperlink"/>
            <w:lang w:val="en-US"/>
          </w:rPr>
          <w:t>https://www.federalreservehistory.org/essays/great-recession-and-its-aftermath#:~:text=But%20in%20October%202008%2C%20the,with%20reductions%20in%20other%20assets</w:t>
        </w:r>
      </w:hyperlink>
      <w:r w:rsidRPr="008610CD">
        <w:rPr>
          <w:lang w:val="en-US"/>
        </w:rPr>
        <w:t>.</w:t>
      </w:r>
      <w:r>
        <w:rPr>
          <w:lang w:val="en-US"/>
        </w:rPr>
        <w:t xml:space="preserve"> [Accessed 24 July, 2023]</w:t>
      </w:r>
    </w:p>
    <w:p w14:paraId="057ED4BE" w14:textId="77777777" w:rsidR="00BD351B" w:rsidRDefault="00BD351B" w:rsidP="002E1055">
      <w:pPr>
        <w:rPr>
          <w:lang w:val="en-US"/>
        </w:rPr>
      </w:pPr>
      <w:r>
        <w:rPr>
          <w:lang w:val="en-US"/>
        </w:rPr>
        <w:t>Financial Stability Board, 2022. ‘</w:t>
      </w:r>
      <w:r w:rsidRPr="008B4A1B">
        <w:rPr>
          <w:lang w:val="en-US"/>
        </w:rPr>
        <w:t>Post-2008 financial crisis reforms</w:t>
      </w:r>
      <w:r>
        <w:rPr>
          <w:lang w:val="en-US"/>
        </w:rPr>
        <w:t xml:space="preserve">’ </w:t>
      </w:r>
      <w:hyperlink r:id="rId23" w:history="1">
        <w:r w:rsidRPr="009C66D4">
          <w:rPr>
            <w:rStyle w:val="Hyperlink"/>
            <w:lang w:val="en-US"/>
          </w:rPr>
          <w:t>https://www.fsb.org/work-of-the-fsb/market-and-institutional-resilience/post-2008-financial-crisis-reforms/</w:t>
        </w:r>
      </w:hyperlink>
      <w:r>
        <w:rPr>
          <w:lang w:val="en-US"/>
        </w:rPr>
        <w:t xml:space="preserve"> </w:t>
      </w:r>
      <w:r>
        <w:t>[</w:t>
      </w:r>
      <w:r>
        <w:rPr>
          <w:lang w:val="en-US"/>
        </w:rPr>
        <w:t>Accessed 24 July, 2023]</w:t>
      </w:r>
    </w:p>
    <w:p w14:paraId="6DB442B4" w14:textId="77777777" w:rsidR="00BD351B" w:rsidRDefault="00BD351B" w:rsidP="00773DF0">
      <w:pPr>
        <w:rPr>
          <w:lang w:val="en-US"/>
        </w:rPr>
      </w:pPr>
      <w:r>
        <w:rPr>
          <w:lang w:val="en-US"/>
        </w:rPr>
        <w:t>Guynn. R.D., and Wardwell LLP, 2010. ‘</w:t>
      </w:r>
      <w:r w:rsidRPr="00342455">
        <w:rPr>
          <w:lang w:val="en-US"/>
        </w:rPr>
        <w:t>The Financial Panic of 2008 and Financial Regulatory Reform</w:t>
      </w:r>
      <w:r>
        <w:rPr>
          <w:lang w:val="en-US"/>
        </w:rPr>
        <w:t xml:space="preserve">’. </w:t>
      </w:r>
      <w:hyperlink r:id="rId24" w:history="1">
        <w:r w:rsidRPr="00FB7A3E">
          <w:rPr>
            <w:rStyle w:val="Hyperlink"/>
            <w:lang w:val="en-US"/>
          </w:rPr>
          <w:t>https://corpgov.law.harvard.edu/2010/11/20/the-financial-panic-of-2008-and-financial-regulatory-reform/</w:t>
        </w:r>
      </w:hyperlink>
      <w:r>
        <w:rPr>
          <w:lang w:val="en-US"/>
        </w:rPr>
        <w:t xml:space="preserve"> [Accessed 23 July, 2023] </w:t>
      </w:r>
    </w:p>
    <w:p w14:paraId="376FF0BF" w14:textId="77777777" w:rsidR="00BD351B" w:rsidRDefault="00BD351B" w:rsidP="00BD351B">
      <w:pPr>
        <w:rPr>
          <w:shd w:val="clear" w:color="auto" w:fill="FFFFFF"/>
        </w:rPr>
      </w:pPr>
      <w:proofErr w:type="spellStart"/>
      <w:r>
        <w:rPr>
          <w:shd w:val="clear" w:color="auto" w:fill="FFFFFF"/>
        </w:rPr>
        <w:t>Hearit</w:t>
      </w:r>
      <w:proofErr w:type="spellEnd"/>
      <w:r>
        <w:rPr>
          <w:shd w:val="clear" w:color="auto" w:fill="FFFFFF"/>
        </w:rPr>
        <w:t>, L.B., 2018. ‘JPMorgan Chase, Bank of America, Wells Fargo, and the financial crisis of 2008’ </w:t>
      </w:r>
      <w:r>
        <w:rPr>
          <w:i/>
          <w:iCs/>
          <w:shd w:val="clear" w:color="auto" w:fill="FFFFFF"/>
        </w:rPr>
        <w:t>International Journal of Business Communication</w:t>
      </w:r>
      <w:r>
        <w:rPr>
          <w:shd w:val="clear" w:color="auto" w:fill="FFFFFF"/>
        </w:rPr>
        <w:t>, </w:t>
      </w:r>
      <w:r>
        <w:rPr>
          <w:i/>
          <w:iCs/>
          <w:shd w:val="clear" w:color="auto" w:fill="FFFFFF"/>
        </w:rPr>
        <w:t>55</w:t>
      </w:r>
      <w:r>
        <w:rPr>
          <w:shd w:val="clear" w:color="auto" w:fill="FFFFFF"/>
        </w:rPr>
        <w:t>(2), pp.237-260.</w:t>
      </w:r>
    </w:p>
    <w:p w14:paraId="5C73A4E1" w14:textId="77777777" w:rsidR="00BD351B" w:rsidRDefault="00BD351B" w:rsidP="00E11926">
      <w:pPr>
        <w:rPr>
          <w:lang w:val="en-US"/>
        </w:rPr>
      </w:pPr>
      <w:r w:rsidRPr="00427F37">
        <w:rPr>
          <w:lang w:val="en-US"/>
        </w:rPr>
        <w:t>Institutions</w:t>
      </w:r>
      <w:r>
        <w:rPr>
          <w:lang w:val="en-US"/>
        </w:rPr>
        <w:t xml:space="preserve">’ </w:t>
      </w:r>
      <w:hyperlink r:id="rId25" w:history="1">
        <w:r w:rsidRPr="00575F53">
          <w:rPr>
            <w:rStyle w:val="Hyperlink"/>
            <w:lang w:val="en-US"/>
          </w:rPr>
          <w:t>https://egrove.olemiss.edu/cgi/viewcontent.cgi?article=1066&amp;context=hon_thesis</w:t>
        </w:r>
      </w:hyperlink>
      <w:r>
        <w:rPr>
          <w:lang w:val="en-US"/>
        </w:rPr>
        <w:t xml:space="preserve"> [Accessed 15 August, 2023]</w:t>
      </w:r>
    </w:p>
    <w:p w14:paraId="5B892F3E" w14:textId="77777777" w:rsidR="00BD351B" w:rsidRDefault="00BD351B" w:rsidP="00E11926">
      <w:pPr>
        <w:rPr>
          <w:lang w:val="en-US"/>
        </w:rPr>
      </w:pPr>
      <w:r>
        <w:rPr>
          <w:shd w:val="clear" w:color="auto" w:fill="FFFFFF"/>
        </w:rPr>
        <w:t xml:space="preserve">Jannsen, N., </w:t>
      </w:r>
      <w:proofErr w:type="spellStart"/>
      <w:r>
        <w:rPr>
          <w:shd w:val="clear" w:color="auto" w:fill="FFFFFF"/>
        </w:rPr>
        <w:t>Potjagailo</w:t>
      </w:r>
      <w:proofErr w:type="spellEnd"/>
      <w:r>
        <w:rPr>
          <w:shd w:val="clear" w:color="auto" w:fill="FFFFFF"/>
        </w:rPr>
        <w:t>, G. and Wolters, M.H., 2015. </w:t>
      </w:r>
      <w:r>
        <w:rPr>
          <w:i/>
          <w:iCs/>
          <w:shd w:val="clear" w:color="auto" w:fill="FFFFFF"/>
        </w:rPr>
        <w:t>Monetary policy during financial crises: Is the transmission mechanism impaired?</w:t>
      </w:r>
      <w:r>
        <w:rPr>
          <w:shd w:val="clear" w:color="auto" w:fill="FFFFFF"/>
        </w:rPr>
        <w:t> (No. 2005). Kiel Working Paper.</w:t>
      </w:r>
    </w:p>
    <w:p w14:paraId="38E63FC1" w14:textId="77777777" w:rsidR="00BD351B" w:rsidRDefault="00BD351B" w:rsidP="00E11926">
      <w:pPr>
        <w:rPr>
          <w:lang w:val="en-US"/>
        </w:rPr>
      </w:pPr>
      <w:r w:rsidRPr="00660450">
        <w:t>JPMorgan Chase</w:t>
      </w:r>
      <w:r>
        <w:t xml:space="preserve"> &amp; Co., 2008. ‘</w:t>
      </w:r>
      <w:r w:rsidRPr="00B25970">
        <w:t>Annual Report 2008</w:t>
      </w:r>
      <w:r>
        <w:t xml:space="preserve">’ </w:t>
      </w:r>
      <w:hyperlink r:id="rId26" w:history="1">
        <w:r w:rsidRPr="00575F53">
          <w:rPr>
            <w:rStyle w:val="Hyperlink"/>
          </w:rPr>
          <w:t>https://www.jpmorganchase.com/content/dam/jpmc/jpmorgan-chase-and-co/investor-relations/documents/2008-AR-Complete-AR.pdf</w:t>
        </w:r>
      </w:hyperlink>
      <w:r>
        <w:t xml:space="preserve"> </w:t>
      </w:r>
      <w:r>
        <w:rPr>
          <w:lang w:val="en-US"/>
        </w:rPr>
        <w:t>[Accessed 19 August, 2023]</w:t>
      </w:r>
    </w:p>
    <w:p w14:paraId="7428ADF8" w14:textId="77777777" w:rsidR="00BD351B" w:rsidRDefault="00BD351B" w:rsidP="00E11926">
      <w:pPr>
        <w:rPr>
          <w:lang w:val="en-US"/>
        </w:rPr>
      </w:pPr>
      <w:r w:rsidRPr="00660450">
        <w:t>JPMorgan Chase</w:t>
      </w:r>
      <w:r>
        <w:t xml:space="preserve"> &amp; Co., 2010. ‘</w:t>
      </w:r>
      <w:r w:rsidRPr="00870786">
        <w:t>2010 Annual Report</w:t>
      </w:r>
      <w:r>
        <w:t xml:space="preserve">’ </w:t>
      </w:r>
      <w:hyperlink r:id="rId27" w:history="1">
        <w:r w:rsidRPr="00575F53">
          <w:rPr>
            <w:rStyle w:val="Hyperlink"/>
          </w:rPr>
          <w:t>https://www.jpmorganchase.com/content/dam/jpmc/jpmorgan-chase-and-co/investor-relations/documents/2010-JPMC-AnnualReport.pdf</w:t>
        </w:r>
      </w:hyperlink>
      <w:r>
        <w:t xml:space="preserve"> </w:t>
      </w:r>
      <w:r>
        <w:rPr>
          <w:lang w:val="en-US"/>
        </w:rPr>
        <w:t>[Accessed 20 August, 2023]</w:t>
      </w:r>
    </w:p>
    <w:p w14:paraId="57A701A6" w14:textId="77777777" w:rsidR="00BD351B" w:rsidRDefault="00BD351B" w:rsidP="00E11926">
      <w:pPr>
        <w:rPr>
          <w:lang w:val="en-US"/>
        </w:rPr>
      </w:pPr>
      <w:r w:rsidRPr="00660450">
        <w:t>JPMorgan Chase</w:t>
      </w:r>
      <w:r>
        <w:t xml:space="preserve"> &amp; Co., 2013. ‘</w:t>
      </w:r>
      <w:r w:rsidRPr="00870786">
        <w:t>Annual Report</w:t>
      </w:r>
      <w:r>
        <w:t xml:space="preserve"> 2013’ </w:t>
      </w:r>
      <w:hyperlink r:id="rId28" w:history="1">
        <w:r w:rsidRPr="00575F53">
          <w:rPr>
            <w:rStyle w:val="Hyperlink"/>
          </w:rPr>
          <w:t>https://www.jpmorganchase.com/content/dam/jpmc/jpmorgan-chase-and-co/investor-relations/documents/2013AR-FULL-09.pdf</w:t>
        </w:r>
      </w:hyperlink>
      <w:r>
        <w:t xml:space="preserve"> </w:t>
      </w:r>
      <w:r>
        <w:rPr>
          <w:lang w:val="en-US"/>
        </w:rPr>
        <w:t>[Accessed 20 August, 2023]</w:t>
      </w:r>
    </w:p>
    <w:p w14:paraId="3CF70F34" w14:textId="77777777" w:rsidR="00BD351B" w:rsidRDefault="00BD351B" w:rsidP="00E11926">
      <w:pPr>
        <w:rPr>
          <w:lang w:val="en-US"/>
        </w:rPr>
      </w:pPr>
      <w:r w:rsidRPr="00660450">
        <w:lastRenderedPageBreak/>
        <w:t>JPMorgan Chase</w:t>
      </w:r>
      <w:r>
        <w:t xml:space="preserve"> &amp; Co., 2020. ‘</w:t>
      </w:r>
      <w:r w:rsidRPr="00870786">
        <w:t>10 years after the financial crisis</w:t>
      </w:r>
      <w:r>
        <w:t xml:space="preserve">’ </w:t>
      </w:r>
      <w:hyperlink r:id="rId29" w:history="1">
        <w:r w:rsidRPr="00575F53">
          <w:rPr>
            <w:rStyle w:val="Hyperlink"/>
          </w:rPr>
          <w:t>https://www.jpmorgan.com/insights/current-events/global-financial-crisis/10-years-after-crisis</w:t>
        </w:r>
      </w:hyperlink>
      <w:r>
        <w:t xml:space="preserve"> </w:t>
      </w:r>
      <w:r>
        <w:rPr>
          <w:lang w:val="en-US"/>
        </w:rPr>
        <w:t>[Accessed 20 August, 2023]</w:t>
      </w:r>
    </w:p>
    <w:p w14:paraId="6D0F05D2" w14:textId="77777777" w:rsidR="00BD351B" w:rsidRDefault="00BD351B" w:rsidP="00E11926">
      <w:pPr>
        <w:rPr>
          <w:lang w:val="en-US"/>
        </w:rPr>
      </w:pPr>
      <w:r w:rsidRPr="00660450">
        <w:t>JPMorgan Chase</w:t>
      </w:r>
      <w:r>
        <w:t xml:space="preserve"> &amp; Co., 2023. ‘</w:t>
      </w:r>
      <w:r w:rsidRPr="00B25970">
        <w:t>Who We Are</w:t>
      </w:r>
      <w:r>
        <w:t xml:space="preserve">’ </w:t>
      </w:r>
      <w:hyperlink r:id="rId30" w:history="1">
        <w:r w:rsidRPr="00575F53">
          <w:rPr>
            <w:rStyle w:val="Hyperlink"/>
          </w:rPr>
          <w:t>https://www.jpmorganchase.com/about</w:t>
        </w:r>
      </w:hyperlink>
      <w:r>
        <w:t xml:space="preserve"> </w:t>
      </w:r>
      <w:r>
        <w:rPr>
          <w:lang w:val="en-US"/>
        </w:rPr>
        <w:t>[Accessed 19 August, 2023]</w:t>
      </w:r>
    </w:p>
    <w:p w14:paraId="745F3183" w14:textId="77777777" w:rsidR="00BD351B" w:rsidRPr="00F960CC" w:rsidRDefault="00BD351B" w:rsidP="00BD351B">
      <w:pPr>
        <w:rPr>
          <w:color w:val="222222"/>
          <w:shd w:val="clear" w:color="auto" w:fill="FFFFFF"/>
        </w:rPr>
      </w:pPr>
      <w:r w:rsidRPr="00F960CC">
        <w:rPr>
          <w:color w:val="222222"/>
          <w:shd w:val="clear" w:color="auto" w:fill="FFFFFF"/>
        </w:rPr>
        <w:t xml:space="preserve">Munir, K.A., 2011. </w:t>
      </w:r>
      <w:r>
        <w:rPr>
          <w:color w:val="222222"/>
          <w:shd w:val="clear" w:color="auto" w:fill="FFFFFF"/>
        </w:rPr>
        <w:t>‘</w:t>
      </w:r>
      <w:r w:rsidRPr="00F960CC">
        <w:rPr>
          <w:color w:val="222222"/>
          <w:shd w:val="clear" w:color="auto" w:fill="FFFFFF"/>
        </w:rPr>
        <w:t>Financial crisis 2008-2009: What does the silence of institutional theorists tell us?</w:t>
      </w:r>
      <w:r>
        <w:rPr>
          <w:color w:val="222222"/>
          <w:shd w:val="clear" w:color="auto" w:fill="FFFFFF"/>
        </w:rPr>
        <w:t>’</w:t>
      </w:r>
      <w:r w:rsidRPr="00F960CC">
        <w:rPr>
          <w:color w:val="222222"/>
          <w:shd w:val="clear" w:color="auto" w:fill="FFFFFF"/>
        </w:rPr>
        <w:t> </w:t>
      </w:r>
      <w:r w:rsidRPr="00F960CC">
        <w:rPr>
          <w:i/>
          <w:iCs/>
          <w:color w:val="222222"/>
          <w:shd w:val="clear" w:color="auto" w:fill="FFFFFF"/>
        </w:rPr>
        <w:t>Journal of Management inquiry</w:t>
      </w:r>
      <w:r w:rsidRPr="00F960CC">
        <w:rPr>
          <w:color w:val="222222"/>
          <w:shd w:val="clear" w:color="auto" w:fill="FFFFFF"/>
        </w:rPr>
        <w:t>, </w:t>
      </w:r>
      <w:r w:rsidRPr="00F960CC">
        <w:rPr>
          <w:i/>
          <w:iCs/>
          <w:color w:val="222222"/>
          <w:shd w:val="clear" w:color="auto" w:fill="FFFFFF"/>
        </w:rPr>
        <w:t>20</w:t>
      </w:r>
      <w:r w:rsidRPr="00F960CC">
        <w:rPr>
          <w:color w:val="222222"/>
          <w:shd w:val="clear" w:color="auto" w:fill="FFFFFF"/>
        </w:rPr>
        <w:t>(2), pp.114-117.</w:t>
      </w:r>
    </w:p>
    <w:p w14:paraId="02FB61E9" w14:textId="77777777" w:rsidR="00BD351B" w:rsidRDefault="00BD351B" w:rsidP="00E11926">
      <w:pPr>
        <w:rPr>
          <w:lang w:val="en-US"/>
        </w:rPr>
      </w:pPr>
      <w:r w:rsidRPr="001A5731">
        <w:rPr>
          <w:lang w:val="en-US"/>
        </w:rPr>
        <w:t>Murdock</w:t>
      </w:r>
      <w:r>
        <w:rPr>
          <w:lang w:val="en-US"/>
        </w:rPr>
        <w:t>, C. W., 2011. ‘</w:t>
      </w:r>
      <w:r w:rsidRPr="001A5731">
        <w:rPr>
          <w:lang w:val="en-US"/>
        </w:rPr>
        <w:t>The Dodd- Frank Wall Street Reform and</w:t>
      </w:r>
      <w:r>
        <w:rPr>
          <w:lang w:val="en-US"/>
        </w:rPr>
        <w:t xml:space="preserve"> </w:t>
      </w:r>
      <w:r w:rsidRPr="001A5731">
        <w:rPr>
          <w:lang w:val="en-US"/>
        </w:rPr>
        <w:t>Consumer Protection Act: What Caused the</w:t>
      </w:r>
      <w:r>
        <w:rPr>
          <w:lang w:val="en-US"/>
        </w:rPr>
        <w:t xml:space="preserve"> </w:t>
      </w:r>
      <w:r w:rsidRPr="001A5731">
        <w:rPr>
          <w:lang w:val="en-US"/>
        </w:rPr>
        <w:t>Financial Crisis and Will Dodd-Frank Succeed in</w:t>
      </w:r>
      <w:r>
        <w:rPr>
          <w:lang w:val="en-US"/>
        </w:rPr>
        <w:t xml:space="preserve"> </w:t>
      </w:r>
      <w:r w:rsidRPr="001A5731">
        <w:rPr>
          <w:lang w:val="en-US"/>
        </w:rPr>
        <w:t>Preventing Future Crises?</w:t>
      </w:r>
      <w:r>
        <w:rPr>
          <w:lang w:val="en-US"/>
        </w:rPr>
        <w:t xml:space="preserve">’ </w:t>
      </w:r>
      <w:hyperlink r:id="rId31" w:history="1">
        <w:r w:rsidRPr="00575F53">
          <w:rPr>
            <w:rStyle w:val="Hyperlink"/>
            <w:lang w:val="en-US"/>
          </w:rPr>
          <w:t>https://lawecommons.luc.edu/cgi/viewcontent.cgi?article=1178&amp;context=facpubs</w:t>
        </w:r>
      </w:hyperlink>
      <w:r>
        <w:rPr>
          <w:lang w:val="en-US"/>
        </w:rPr>
        <w:t xml:space="preserve"> [Accessed 18 August, 2023]</w:t>
      </w:r>
    </w:p>
    <w:p w14:paraId="00E7C9BE" w14:textId="77777777" w:rsidR="00BD351B" w:rsidRPr="00F960CC" w:rsidRDefault="00BD351B" w:rsidP="00BD351B">
      <w:pPr>
        <w:rPr>
          <w:color w:val="222222"/>
          <w:shd w:val="clear" w:color="auto" w:fill="FFFFFF"/>
        </w:rPr>
      </w:pPr>
      <w:r w:rsidRPr="00F960CC">
        <w:rPr>
          <w:color w:val="222222"/>
          <w:shd w:val="clear" w:color="auto" w:fill="FFFFFF"/>
        </w:rPr>
        <w:t xml:space="preserve">Murdock, C.W., 2011. </w:t>
      </w:r>
      <w:r>
        <w:rPr>
          <w:color w:val="222222"/>
          <w:shd w:val="clear" w:color="auto" w:fill="FFFFFF"/>
        </w:rPr>
        <w:t>‘</w:t>
      </w:r>
      <w:r w:rsidRPr="00F960CC">
        <w:rPr>
          <w:color w:val="222222"/>
          <w:shd w:val="clear" w:color="auto" w:fill="FFFFFF"/>
        </w:rPr>
        <w:t>The Dodd-Frank Wall Street reform and consumer protection act: What caused the financial crisis and will Dodd-Frank prevent future crises</w:t>
      </w:r>
      <w:r>
        <w:rPr>
          <w:color w:val="222222"/>
          <w:shd w:val="clear" w:color="auto" w:fill="FFFFFF"/>
        </w:rPr>
        <w:t>’</w:t>
      </w:r>
      <w:r w:rsidRPr="00F960CC">
        <w:rPr>
          <w:color w:val="222222"/>
          <w:shd w:val="clear" w:color="auto" w:fill="FFFFFF"/>
        </w:rPr>
        <w:t> </w:t>
      </w:r>
      <w:r w:rsidRPr="00F960CC">
        <w:rPr>
          <w:i/>
          <w:iCs/>
          <w:color w:val="222222"/>
          <w:shd w:val="clear" w:color="auto" w:fill="FFFFFF"/>
        </w:rPr>
        <w:t>SMUL Rev.</w:t>
      </w:r>
      <w:r w:rsidRPr="00F960CC">
        <w:rPr>
          <w:color w:val="222222"/>
          <w:shd w:val="clear" w:color="auto" w:fill="FFFFFF"/>
        </w:rPr>
        <w:t>, </w:t>
      </w:r>
      <w:r w:rsidRPr="00F960CC">
        <w:rPr>
          <w:i/>
          <w:iCs/>
          <w:color w:val="222222"/>
          <w:shd w:val="clear" w:color="auto" w:fill="FFFFFF"/>
        </w:rPr>
        <w:t>64</w:t>
      </w:r>
      <w:r w:rsidRPr="00F960CC">
        <w:rPr>
          <w:color w:val="222222"/>
          <w:shd w:val="clear" w:color="auto" w:fill="FFFFFF"/>
        </w:rPr>
        <w:t>, p.1243.</w:t>
      </w:r>
    </w:p>
    <w:p w14:paraId="573323F0" w14:textId="77777777" w:rsidR="00BD351B" w:rsidRPr="00F960CC" w:rsidRDefault="00BD351B" w:rsidP="00BD351B">
      <w:pPr>
        <w:rPr>
          <w:color w:val="222222"/>
          <w:shd w:val="clear" w:color="auto" w:fill="FFFFFF"/>
        </w:rPr>
      </w:pPr>
      <w:r w:rsidRPr="00F960CC">
        <w:rPr>
          <w:color w:val="222222"/>
          <w:shd w:val="clear" w:color="auto" w:fill="FFFFFF"/>
        </w:rPr>
        <w:t>Naudé, W., 2009. </w:t>
      </w:r>
      <w:r>
        <w:rPr>
          <w:color w:val="222222"/>
          <w:shd w:val="clear" w:color="auto" w:fill="FFFFFF"/>
        </w:rPr>
        <w:t>‘</w:t>
      </w:r>
      <w:r w:rsidRPr="00F960CC">
        <w:rPr>
          <w:color w:val="222222"/>
          <w:shd w:val="clear" w:color="auto" w:fill="FFFFFF"/>
        </w:rPr>
        <w:t>The financial crisis of 2008 and the developing countries’ (No. 2009/01). WIDER Discussion Paper.</w:t>
      </w:r>
    </w:p>
    <w:p w14:paraId="5FF69B93" w14:textId="77777777" w:rsidR="00BD351B" w:rsidRDefault="00BD351B" w:rsidP="00773DF0">
      <w:r>
        <w:t>Nolen, J.L., 2008. ‘</w:t>
      </w:r>
      <w:r w:rsidRPr="005844C7">
        <w:t>Emergency Economic Stabilization Act of 2008</w:t>
      </w:r>
      <w:r>
        <w:t xml:space="preserve">’. </w:t>
      </w:r>
      <w:hyperlink r:id="rId32" w:history="1">
        <w:r w:rsidRPr="00FB7A3E">
          <w:rPr>
            <w:rStyle w:val="Hyperlink"/>
          </w:rPr>
          <w:t>https://www.britannica.com/money/topic/Emergency-Economic-Stabilization-Act-of-2008</w:t>
        </w:r>
      </w:hyperlink>
      <w:r>
        <w:t xml:space="preserve"> </w:t>
      </w:r>
      <w:r>
        <w:rPr>
          <w:lang w:val="en-US"/>
        </w:rPr>
        <w:t>[Accessed 23 July, 2023]</w:t>
      </w:r>
    </w:p>
    <w:p w14:paraId="12BB4AFE" w14:textId="77777777" w:rsidR="00BD351B" w:rsidRDefault="00BD351B" w:rsidP="00E11926">
      <w:pPr>
        <w:rPr>
          <w:lang w:val="en-US"/>
        </w:rPr>
      </w:pPr>
      <w:r>
        <w:rPr>
          <w:lang w:val="en-US"/>
        </w:rPr>
        <w:t>Oran, O., 2016. ‘</w:t>
      </w:r>
      <w:r w:rsidRPr="00427F37">
        <w:rPr>
          <w:lang w:val="en-US"/>
        </w:rPr>
        <w:t>Big banks' relationship with Dodd-Frank: it's complicated</w:t>
      </w:r>
      <w:r>
        <w:rPr>
          <w:lang w:val="en-US"/>
        </w:rPr>
        <w:t xml:space="preserve">’ </w:t>
      </w:r>
      <w:hyperlink r:id="rId33" w:history="1">
        <w:r w:rsidRPr="00575F53">
          <w:rPr>
            <w:rStyle w:val="Hyperlink"/>
            <w:lang w:val="en-US"/>
          </w:rPr>
          <w:t>https://www.reuters.com/article/usa-trump-banks-idUSL1N1DO16K</w:t>
        </w:r>
      </w:hyperlink>
      <w:r>
        <w:rPr>
          <w:lang w:val="en-US"/>
        </w:rPr>
        <w:t xml:space="preserve"> [Accessed 15 August, 2023]</w:t>
      </w:r>
    </w:p>
    <w:p w14:paraId="3638BE07" w14:textId="77777777" w:rsidR="00BD351B" w:rsidRDefault="00BD351B" w:rsidP="00E11926">
      <w:pPr>
        <w:rPr>
          <w:lang w:val="en-US"/>
        </w:rPr>
      </w:pPr>
      <w:r>
        <w:rPr>
          <w:lang w:val="en-US"/>
        </w:rPr>
        <w:t>Sorkin, A. R., 2008. ‘</w:t>
      </w:r>
      <w:r w:rsidRPr="001A5731">
        <w:rPr>
          <w:lang w:val="en-US"/>
        </w:rPr>
        <w:t>JP Morgan Pays $2 a Share for Bear Stearns</w:t>
      </w:r>
      <w:r>
        <w:rPr>
          <w:lang w:val="en-US"/>
        </w:rPr>
        <w:t xml:space="preserve">’ </w:t>
      </w:r>
      <w:hyperlink r:id="rId34" w:history="1">
        <w:r w:rsidRPr="00575F53">
          <w:rPr>
            <w:rStyle w:val="Hyperlink"/>
            <w:lang w:val="en-US"/>
          </w:rPr>
          <w:t>https://www.nytimes.com/2008/03/17/business/17bear.html</w:t>
        </w:r>
      </w:hyperlink>
      <w:r>
        <w:rPr>
          <w:lang w:val="en-US"/>
        </w:rPr>
        <w:t xml:space="preserve"> [Accessed 18 August, 2023]</w:t>
      </w:r>
    </w:p>
    <w:p w14:paraId="39DEDE85" w14:textId="77777777" w:rsidR="00BD351B" w:rsidRPr="00F960CC" w:rsidRDefault="00BD351B" w:rsidP="00BD351B">
      <w:pPr>
        <w:rPr>
          <w:color w:val="222222"/>
          <w:shd w:val="clear" w:color="auto" w:fill="FFFFFF"/>
        </w:rPr>
      </w:pPr>
      <w:r w:rsidRPr="00F960CC">
        <w:rPr>
          <w:color w:val="222222"/>
          <w:shd w:val="clear" w:color="auto" w:fill="FFFFFF"/>
        </w:rPr>
        <w:t xml:space="preserve">Swedberg, R., 2013. </w:t>
      </w:r>
      <w:r>
        <w:rPr>
          <w:color w:val="222222"/>
          <w:shd w:val="clear" w:color="auto" w:fill="FFFFFF"/>
        </w:rPr>
        <w:t>‘</w:t>
      </w:r>
      <w:r w:rsidRPr="00F960CC">
        <w:rPr>
          <w:color w:val="222222"/>
          <w:shd w:val="clear" w:color="auto" w:fill="FFFFFF"/>
        </w:rPr>
        <w:t>The financial crisis in the US 2008–2009: losing and restoring confidence</w:t>
      </w:r>
      <w:r>
        <w:rPr>
          <w:color w:val="222222"/>
          <w:shd w:val="clear" w:color="auto" w:fill="FFFFFF"/>
        </w:rPr>
        <w:t>’</w:t>
      </w:r>
      <w:r w:rsidRPr="00F960CC">
        <w:rPr>
          <w:color w:val="222222"/>
          <w:shd w:val="clear" w:color="auto" w:fill="FFFFFF"/>
        </w:rPr>
        <w:t> </w:t>
      </w:r>
      <w:r w:rsidRPr="00F960CC">
        <w:rPr>
          <w:i/>
          <w:iCs/>
          <w:color w:val="222222"/>
          <w:shd w:val="clear" w:color="auto" w:fill="FFFFFF"/>
        </w:rPr>
        <w:t>Socio-Economic Review</w:t>
      </w:r>
      <w:r w:rsidRPr="00F960CC">
        <w:rPr>
          <w:color w:val="222222"/>
          <w:shd w:val="clear" w:color="auto" w:fill="FFFFFF"/>
        </w:rPr>
        <w:t>, </w:t>
      </w:r>
      <w:r w:rsidRPr="00F960CC">
        <w:rPr>
          <w:i/>
          <w:iCs/>
          <w:color w:val="222222"/>
          <w:shd w:val="clear" w:color="auto" w:fill="FFFFFF"/>
        </w:rPr>
        <w:t>11</w:t>
      </w:r>
      <w:r w:rsidRPr="00F960CC">
        <w:rPr>
          <w:color w:val="222222"/>
          <w:shd w:val="clear" w:color="auto" w:fill="FFFFFF"/>
        </w:rPr>
        <w:t>(3), pp.501-523.</w:t>
      </w:r>
    </w:p>
    <w:p w14:paraId="360B7533" w14:textId="77777777" w:rsidR="00BD351B" w:rsidRPr="006915EE" w:rsidRDefault="00BD351B" w:rsidP="00E11926">
      <w:r w:rsidRPr="006915EE">
        <w:rPr>
          <w:color w:val="222222"/>
          <w:shd w:val="clear" w:color="auto" w:fill="FFFFFF"/>
        </w:rPr>
        <w:t>Thakor, A.V., 2012. The economic consequences of the Volcker rule. </w:t>
      </w:r>
      <w:r w:rsidRPr="006915EE">
        <w:rPr>
          <w:i/>
          <w:iCs/>
          <w:color w:val="222222"/>
          <w:shd w:val="clear" w:color="auto" w:fill="FFFFFF"/>
        </w:rPr>
        <w:t xml:space="preserve">Report by the US chamber’s </w:t>
      </w:r>
      <w:proofErr w:type="spellStart"/>
      <w:r w:rsidRPr="006915EE">
        <w:rPr>
          <w:i/>
          <w:iCs/>
          <w:color w:val="222222"/>
          <w:shd w:val="clear" w:color="auto" w:fill="FFFFFF"/>
        </w:rPr>
        <w:t>center</w:t>
      </w:r>
      <w:proofErr w:type="spellEnd"/>
      <w:r w:rsidRPr="006915EE">
        <w:rPr>
          <w:i/>
          <w:iCs/>
          <w:color w:val="222222"/>
          <w:shd w:val="clear" w:color="auto" w:fill="FFFFFF"/>
        </w:rPr>
        <w:t xml:space="preserve"> for capital market competitiveness</w:t>
      </w:r>
      <w:r w:rsidRPr="006915EE">
        <w:rPr>
          <w:color w:val="222222"/>
          <w:shd w:val="clear" w:color="auto" w:fill="FFFFFF"/>
        </w:rPr>
        <w:t>, </w:t>
      </w:r>
      <w:r w:rsidRPr="006915EE">
        <w:rPr>
          <w:i/>
          <w:iCs/>
          <w:color w:val="222222"/>
          <w:shd w:val="clear" w:color="auto" w:fill="FFFFFF"/>
        </w:rPr>
        <w:t>20120</w:t>
      </w:r>
      <w:r w:rsidRPr="006915EE">
        <w:rPr>
          <w:color w:val="222222"/>
          <w:shd w:val="clear" w:color="auto" w:fill="FFFFFF"/>
        </w:rPr>
        <w:t>.</w:t>
      </w:r>
    </w:p>
    <w:p w14:paraId="709BFA0B" w14:textId="77777777" w:rsidR="00BD351B" w:rsidRDefault="00BD351B" w:rsidP="006D5AF2">
      <w:pPr>
        <w:rPr>
          <w:lang w:val="en-US"/>
        </w:rPr>
      </w:pPr>
      <w:r>
        <w:lastRenderedPageBreak/>
        <w:t>The White House, 2023. ‘</w:t>
      </w:r>
      <w:r w:rsidRPr="008B4A1B">
        <w:t>JOBS &amp; THE ECONOMY: PUTTING AMERICA BACK TO WORK</w:t>
      </w:r>
      <w:r>
        <w:t xml:space="preserve">’ </w:t>
      </w:r>
      <w:hyperlink r:id="rId35" w:history="1">
        <w:r w:rsidRPr="00384622">
          <w:rPr>
            <w:rStyle w:val="Hyperlink"/>
          </w:rPr>
          <w:t>https://obamawhitehouse.archives.gov/economy/middle-class/dodd-frank-wall-street-reform</w:t>
        </w:r>
      </w:hyperlink>
      <w:r>
        <w:t xml:space="preserve"> [</w:t>
      </w:r>
      <w:r>
        <w:rPr>
          <w:lang w:val="en-US"/>
        </w:rPr>
        <w:t>Accessed 15 August, 2023]</w:t>
      </w:r>
    </w:p>
    <w:p w14:paraId="2AD47401" w14:textId="77777777" w:rsidR="00BD351B" w:rsidRDefault="00BD351B" w:rsidP="00773DF0">
      <w:pPr>
        <w:rPr>
          <w:lang w:val="en-US"/>
        </w:rPr>
      </w:pPr>
      <w:r w:rsidRPr="005D5D46">
        <w:rPr>
          <w:lang w:val="en-US"/>
        </w:rPr>
        <w:t>U.S. DEPARTMENT OF THE TREASURY</w:t>
      </w:r>
      <w:r>
        <w:rPr>
          <w:lang w:val="en-US"/>
        </w:rPr>
        <w:t>, 2023. ‘</w:t>
      </w:r>
      <w:r w:rsidRPr="00342455">
        <w:rPr>
          <w:lang w:val="en-US"/>
        </w:rPr>
        <w:t>About FSOC</w:t>
      </w:r>
      <w:r>
        <w:rPr>
          <w:lang w:val="en-US"/>
        </w:rPr>
        <w:t xml:space="preserve">’. </w:t>
      </w:r>
      <w:hyperlink r:id="rId36" w:history="1">
        <w:r w:rsidRPr="00FB7A3E">
          <w:rPr>
            <w:rStyle w:val="Hyperlink"/>
            <w:lang w:val="en-US"/>
          </w:rPr>
          <w:t>https://home.treasury.gov/policy-issues/financial-markets-financial-institutions-and-fiscal-service/fsoc/about-fsoc</w:t>
        </w:r>
      </w:hyperlink>
      <w:r>
        <w:rPr>
          <w:lang w:val="en-US"/>
        </w:rPr>
        <w:t xml:space="preserve"> [Accessed 23 July, 2023]</w:t>
      </w:r>
    </w:p>
    <w:p w14:paraId="33731584" w14:textId="77777777" w:rsidR="00BD351B" w:rsidRDefault="00BD351B" w:rsidP="00E11926">
      <w:pPr>
        <w:rPr>
          <w:lang w:val="en-US"/>
        </w:rPr>
      </w:pPr>
      <w:r>
        <w:rPr>
          <w:lang w:val="en-US"/>
        </w:rPr>
        <w:t>Webel, B., and Murphy, E.V., 2008. ‘</w:t>
      </w:r>
      <w:r w:rsidRPr="00B25970">
        <w:rPr>
          <w:lang w:val="en-US"/>
        </w:rPr>
        <w:t>The Emergency Economic Stabilization Act and</w:t>
      </w:r>
      <w:r>
        <w:rPr>
          <w:lang w:val="en-US"/>
        </w:rPr>
        <w:t xml:space="preserve"> </w:t>
      </w:r>
      <w:r w:rsidRPr="00B25970">
        <w:rPr>
          <w:lang w:val="en-US"/>
        </w:rPr>
        <w:t>Current Financial Turmoil: Issues and Analysis</w:t>
      </w:r>
      <w:r>
        <w:rPr>
          <w:lang w:val="en-US"/>
        </w:rPr>
        <w:t xml:space="preserve">’ </w:t>
      </w:r>
      <w:hyperlink r:id="rId37" w:history="1">
        <w:r w:rsidRPr="00575F53">
          <w:rPr>
            <w:rStyle w:val="Hyperlink"/>
            <w:lang w:val="en-US"/>
          </w:rPr>
          <w:t>https://sgp.fas.org/crs/misc/RL34730.pdf</w:t>
        </w:r>
      </w:hyperlink>
      <w:r>
        <w:rPr>
          <w:lang w:val="en-US"/>
        </w:rPr>
        <w:t xml:space="preserve"> [Accessed 19 August, 2023]</w:t>
      </w:r>
    </w:p>
    <w:p w14:paraId="610D49E9" w14:textId="77777777" w:rsidR="00BD351B" w:rsidRDefault="00BD351B" w:rsidP="00E11926">
      <w:pPr>
        <w:rPr>
          <w:lang w:val="en-US"/>
        </w:rPr>
      </w:pPr>
      <w:r w:rsidRPr="001A5731">
        <w:rPr>
          <w:lang w:val="en-US"/>
        </w:rPr>
        <w:t>Weinberg</w:t>
      </w:r>
      <w:r>
        <w:rPr>
          <w:lang w:val="en-US"/>
        </w:rPr>
        <w:t>, J., 2009. ‘</w:t>
      </w:r>
      <w:r w:rsidRPr="001A5731">
        <w:rPr>
          <w:lang w:val="en-US"/>
        </w:rPr>
        <w:t>The Great Recession and Its Aftermath</w:t>
      </w:r>
      <w:r>
        <w:rPr>
          <w:lang w:val="en-US"/>
        </w:rPr>
        <w:t xml:space="preserve">’ </w:t>
      </w:r>
      <w:hyperlink r:id="rId38" w:history="1">
        <w:r w:rsidRPr="00575F53">
          <w:rPr>
            <w:rStyle w:val="Hyperlink"/>
            <w:lang w:val="en-US"/>
          </w:rPr>
          <w:t>https://www.federalreservehistory.org/essays/great-recession-and-its-aftermath</w:t>
        </w:r>
      </w:hyperlink>
      <w:r>
        <w:rPr>
          <w:lang w:val="en-US"/>
        </w:rPr>
        <w:t xml:space="preserve"> [Accessed 18 August, 2023]</w:t>
      </w:r>
    </w:p>
    <w:p w14:paraId="55D94B22" w14:textId="77777777" w:rsidR="00BD351B" w:rsidRPr="006915EE" w:rsidRDefault="00BD351B" w:rsidP="00E11926">
      <w:pPr>
        <w:rPr>
          <w:color w:val="222222"/>
          <w:shd w:val="clear" w:color="auto" w:fill="FFFFFF"/>
        </w:rPr>
      </w:pPr>
      <w:r w:rsidRPr="006915EE">
        <w:rPr>
          <w:color w:val="222222"/>
          <w:shd w:val="clear" w:color="auto" w:fill="FFFFFF"/>
        </w:rPr>
        <w:t>Whitehead, C.K., 2011. The Volcker Rule and evolving financial markets. </w:t>
      </w:r>
      <w:r w:rsidRPr="006915EE">
        <w:rPr>
          <w:i/>
          <w:iCs/>
          <w:color w:val="222222"/>
          <w:shd w:val="clear" w:color="auto" w:fill="FFFFFF"/>
        </w:rPr>
        <w:t>Harv. Bus. L. Rev.</w:t>
      </w:r>
      <w:r w:rsidRPr="006915EE">
        <w:rPr>
          <w:color w:val="222222"/>
          <w:shd w:val="clear" w:color="auto" w:fill="FFFFFF"/>
        </w:rPr>
        <w:t>, </w:t>
      </w:r>
      <w:r w:rsidRPr="006915EE">
        <w:rPr>
          <w:i/>
          <w:iCs/>
          <w:color w:val="222222"/>
          <w:shd w:val="clear" w:color="auto" w:fill="FFFFFF"/>
        </w:rPr>
        <w:t>1</w:t>
      </w:r>
      <w:r w:rsidRPr="006915EE">
        <w:rPr>
          <w:color w:val="222222"/>
          <w:shd w:val="clear" w:color="auto" w:fill="FFFFFF"/>
        </w:rPr>
        <w:t>, p.39.</w:t>
      </w:r>
    </w:p>
    <w:p w14:paraId="0C2428E1" w14:textId="77777777" w:rsidR="00BD351B" w:rsidRPr="00427F37" w:rsidRDefault="00BD351B" w:rsidP="00E11926">
      <w:pPr>
        <w:rPr>
          <w:lang w:val="en-US"/>
        </w:rPr>
      </w:pPr>
      <w:r>
        <w:rPr>
          <w:lang w:val="en-US"/>
        </w:rPr>
        <w:t>Wilkes, A., 2016. ‘</w:t>
      </w:r>
      <w:r w:rsidRPr="00427F37">
        <w:rPr>
          <w:lang w:val="en-US"/>
        </w:rPr>
        <w:t>The Dodd-Frank Act's Impact on Systemically Important Financial</w:t>
      </w:r>
    </w:p>
    <w:p w14:paraId="27C55BA8" w14:textId="77777777" w:rsidR="008B4A1B" w:rsidRDefault="008B4A1B" w:rsidP="006D5AF2"/>
    <w:sectPr w:rsidR="008B4A1B" w:rsidSect="00D65E38">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A6D37" w14:textId="77777777" w:rsidR="007343DE" w:rsidRDefault="007343DE" w:rsidP="00CA49CF">
      <w:pPr>
        <w:spacing w:before="0" w:after="0" w:line="240" w:lineRule="auto"/>
      </w:pPr>
      <w:r>
        <w:separator/>
      </w:r>
    </w:p>
  </w:endnote>
  <w:endnote w:type="continuationSeparator" w:id="0">
    <w:p w14:paraId="2810F488" w14:textId="77777777" w:rsidR="007343DE" w:rsidRDefault="007343DE" w:rsidP="00CA49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293C3" w14:textId="77777777" w:rsidR="007343DE" w:rsidRDefault="007343DE" w:rsidP="00CA49CF">
      <w:pPr>
        <w:spacing w:before="0" w:after="0" w:line="240" w:lineRule="auto"/>
      </w:pPr>
      <w:r>
        <w:separator/>
      </w:r>
    </w:p>
  </w:footnote>
  <w:footnote w:type="continuationSeparator" w:id="0">
    <w:p w14:paraId="4469191B" w14:textId="77777777" w:rsidR="007343DE" w:rsidRDefault="007343DE" w:rsidP="00CA49C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D45909" w14:textId="0EC3BBE1" w:rsidR="00D65E38" w:rsidRDefault="00D65E38">
    <w:pPr>
      <w:pStyle w:val="Header"/>
      <w:pBdr>
        <w:bottom w:val="single" w:sz="4" w:space="1" w:color="D9D9D9" w:themeColor="background1" w:themeShade="D9"/>
      </w:pBdr>
      <w:jc w:val="right"/>
      <w:rPr>
        <w:b/>
        <w:bCs/>
      </w:rPr>
    </w:pPr>
    <w:r>
      <w:rPr>
        <w:color w:val="808080" w:themeColor="background1" w:themeShade="80"/>
        <w:spacing w:val="60"/>
      </w:rPr>
      <w:tab/>
    </w:r>
    <w:r>
      <w:rPr>
        <w:color w:val="808080" w:themeColor="background1" w:themeShade="80"/>
        <w:spacing w:val="60"/>
      </w:rPr>
      <w:tab/>
    </w:r>
    <w:sdt>
      <w:sdtPr>
        <w:rPr>
          <w:color w:val="808080" w:themeColor="background1" w:themeShade="80"/>
          <w:spacing w:val="60"/>
        </w:rPr>
        <w:id w:val="229743386"/>
        <w:docPartObj>
          <w:docPartGallery w:val="Page Numbers (Top of Page)"/>
          <w:docPartUnique/>
        </w:docPartObj>
      </w:sdtPr>
      <w:sdtEndPr>
        <w:rPr>
          <w:b/>
          <w:bCs/>
          <w:noProof/>
          <w:color w:val="auto"/>
          <w:spacing w:val="0"/>
        </w:rPr>
      </w:sdtEndPr>
      <w:sdtContent>
        <w:r>
          <w:rPr>
            <w:color w:val="808080" w:themeColor="background1" w:themeShade="80"/>
            <w:spacing w:val="60"/>
          </w:rPr>
          <w:t>Page</w:t>
        </w:r>
        <w:r>
          <w:t xml:space="preserve"> | </w:t>
        </w:r>
        <w:r>
          <w:fldChar w:fldCharType="begin"/>
        </w:r>
        <w:r>
          <w:instrText xml:space="preserve"> PAGE   \* MERGEFORMAT </w:instrText>
        </w:r>
        <w:r>
          <w:fldChar w:fldCharType="separate"/>
        </w:r>
        <w:r w:rsidR="008B369D" w:rsidRPr="008B369D">
          <w:rPr>
            <w:b/>
            <w:bCs/>
            <w:noProof/>
          </w:rPr>
          <w:t>2</w:t>
        </w:r>
        <w:r>
          <w:rPr>
            <w:b/>
            <w:bCs/>
            <w:noProof/>
          </w:rPr>
          <w:fldChar w:fldCharType="end"/>
        </w:r>
      </w:sdtContent>
    </w:sdt>
  </w:p>
  <w:p w14:paraId="16688E68" w14:textId="77777777" w:rsidR="00CA49CF" w:rsidRDefault="00CA49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67B96"/>
    <w:multiLevelType w:val="hybridMultilevel"/>
    <w:tmpl w:val="EDDE0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6B3F9D"/>
    <w:multiLevelType w:val="hybridMultilevel"/>
    <w:tmpl w:val="54466A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E64B87"/>
    <w:multiLevelType w:val="hybridMultilevel"/>
    <w:tmpl w:val="A0927F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4497874"/>
    <w:multiLevelType w:val="hybridMultilevel"/>
    <w:tmpl w:val="7F904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8C6482E"/>
    <w:multiLevelType w:val="hybridMultilevel"/>
    <w:tmpl w:val="B5DEA0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6385564">
    <w:abstractNumId w:val="3"/>
  </w:num>
  <w:num w:numId="2" w16cid:durableId="1392532762">
    <w:abstractNumId w:val="4"/>
  </w:num>
  <w:num w:numId="3" w16cid:durableId="1769734513">
    <w:abstractNumId w:val="0"/>
  </w:num>
  <w:num w:numId="4" w16cid:durableId="2094663523">
    <w:abstractNumId w:val="1"/>
  </w:num>
  <w:num w:numId="5" w16cid:durableId="419065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U2MjcxsbC0NDUzNrVU0lEKTi0uzszPAykwtKgFAIR+O+0tAAAA"/>
  </w:docVars>
  <w:rsids>
    <w:rsidRoot w:val="00BC2607"/>
    <w:rsid w:val="00021833"/>
    <w:rsid w:val="00023707"/>
    <w:rsid w:val="000416FB"/>
    <w:rsid w:val="00060B85"/>
    <w:rsid w:val="0006783E"/>
    <w:rsid w:val="000802F6"/>
    <w:rsid w:val="000848D6"/>
    <w:rsid w:val="00085020"/>
    <w:rsid w:val="00092E5D"/>
    <w:rsid w:val="00092EEB"/>
    <w:rsid w:val="00095A58"/>
    <w:rsid w:val="000B4685"/>
    <w:rsid w:val="000C2F06"/>
    <w:rsid w:val="000C4B4D"/>
    <w:rsid w:val="000D1984"/>
    <w:rsid w:val="000D3273"/>
    <w:rsid w:val="000E4320"/>
    <w:rsid w:val="000E58B7"/>
    <w:rsid w:val="0010390B"/>
    <w:rsid w:val="00107639"/>
    <w:rsid w:val="00107BFA"/>
    <w:rsid w:val="00116F32"/>
    <w:rsid w:val="001173D1"/>
    <w:rsid w:val="0012075D"/>
    <w:rsid w:val="00121954"/>
    <w:rsid w:val="00142648"/>
    <w:rsid w:val="001428FF"/>
    <w:rsid w:val="001438B7"/>
    <w:rsid w:val="0016033B"/>
    <w:rsid w:val="00160999"/>
    <w:rsid w:val="00164C0C"/>
    <w:rsid w:val="00171E7A"/>
    <w:rsid w:val="00185967"/>
    <w:rsid w:val="0018774A"/>
    <w:rsid w:val="001925E3"/>
    <w:rsid w:val="0019351B"/>
    <w:rsid w:val="001A4923"/>
    <w:rsid w:val="001A5358"/>
    <w:rsid w:val="001B5BD5"/>
    <w:rsid w:val="001D7E80"/>
    <w:rsid w:val="001F1291"/>
    <w:rsid w:val="001F6D45"/>
    <w:rsid w:val="002000F7"/>
    <w:rsid w:val="00201745"/>
    <w:rsid w:val="00210408"/>
    <w:rsid w:val="00213B4C"/>
    <w:rsid w:val="002253FD"/>
    <w:rsid w:val="0022624C"/>
    <w:rsid w:val="002267EA"/>
    <w:rsid w:val="002372BB"/>
    <w:rsid w:val="00251D24"/>
    <w:rsid w:val="002522DA"/>
    <w:rsid w:val="00263AAB"/>
    <w:rsid w:val="00265B25"/>
    <w:rsid w:val="0027113C"/>
    <w:rsid w:val="00271372"/>
    <w:rsid w:val="00272D51"/>
    <w:rsid w:val="00281F2B"/>
    <w:rsid w:val="00286366"/>
    <w:rsid w:val="002869C6"/>
    <w:rsid w:val="002A6CD3"/>
    <w:rsid w:val="002B4B07"/>
    <w:rsid w:val="002C106A"/>
    <w:rsid w:val="002C4DB6"/>
    <w:rsid w:val="002C4E19"/>
    <w:rsid w:val="002D668B"/>
    <w:rsid w:val="002E1055"/>
    <w:rsid w:val="002E1E32"/>
    <w:rsid w:val="002E5560"/>
    <w:rsid w:val="002F01BE"/>
    <w:rsid w:val="002F18E3"/>
    <w:rsid w:val="0030211C"/>
    <w:rsid w:val="0032035F"/>
    <w:rsid w:val="003252EC"/>
    <w:rsid w:val="00326F89"/>
    <w:rsid w:val="00335A61"/>
    <w:rsid w:val="00342455"/>
    <w:rsid w:val="003456CA"/>
    <w:rsid w:val="0036034D"/>
    <w:rsid w:val="003650AD"/>
    <w:rsid w:val="0037187E"/>
    <w:rsid w:val="003952A4"/>
    <w:rsid w:val="003B3DD9"/>
    <w:rsid w:val="003B5252"/>
    <w:rsid w:val="003B688C"/>
    <w:rsid w:val="003C5832"/>
    <w:rsid w:val="003D14A0"/>
    <w:rsid w:val="003D4756"/>
    <w:rsid w:val="003F6491"/>
    <w:rsid w:val="00423715"/>
    <w:rsid w:val="0042698B"/>
    <w:rsid w:val="004356F2"/>
    <w:rsid w:val="00455598"/>
    <w:rsid w:val="0046470B"/>
    <w:rsid w:val="0046551E"/>
    <w:rsid w:val="00473303"/>
    <w:rsid w:val="00487301"/>
    <w:rsid w:val="00487C6E"/>
    <w:rsid w:val="004907D0"/>
    <w:rsid w:val="004979FC"/>
    <w:rsid w:val="004A3323"/>
    <w:rsid w:val="004C0B53"/>
    <w:rsid w:val="004C22C5"/>
    <w:rsid w:val="004C34DA"/>
    <w:rsid w:val="004C579B"/>
    <w:rsid w:val="004D00E2"/>
    <w:rsid w:val="004D2A94"/>
    <w:rsid w:val="004F4894"/>
    <w:rsid w:val="00507F9C"/>
    <w:rsid w:val="00516131"/>
    <w:rsid w:val="00525C04"/>
    <w:rsid w:val="00530646"/>
    <w:rsid w:val="0053657A"/>
    <w:rsid w:val="005420AC"/>
    <w:rsid w:val="00550204"/>
    <w:rsid w:val="00556B9F"/>
    <w:rsid w:val="00565A2A"/>
    <w:rsid w:val="0057267A"/>
    <w:rsid w:val="005726B9"/>
    <w:rsid w:val="005758D8"/>
    <w:rsid w:val="005805E6"/>
    <w:rsid w:val="00581583"/>
    <w:rsid w:val="00581711"/>
    <w:rsid w:val="00586691"/>
    <w:rsid w:val="0058779B"/>
    <w:rsid w:val="005879F2"/>
    <w:rsid w:val="00593DD0"/>
    <w:rsid w:val="005A268E"/>
    <w:rsid w:val="005A36E8"/>
    <w:rsid w:val="005A7A9A"/>
    <w:rsid w:val="005B7C21"/>
    <w:rsid w:val="005C64E0"/>
    <w:rsid w:val="005D5167"/>
    <w:rsid w:val="005D5DD6"/>
    <w:rsid w:val="005E1AB9"/>
    <w:rsid w:val="005E1F60"/>
    <w:rsid w:val="005E472A"/>
    <w:rsid w:val="006077F2"/>
    <w:rsid w:val="00612890"/>
    <w:rsid w:val="00614F8C"/>
    <w:rsid w:val="006249AB"/>
    <w:rsid w:val="006259A4"/>
    <w:rsid w:val="00626EA0"/>
    <w:rsid w:val="00630A04"/>
    <w:rsid w:val="006311E4"/>
    <w:rsid w:val="006316DA"/>
    <w:rsid w:val="00632F4E"/>
    <w:rsid w:val="00641887"/>
    <w:rsid w:val="00652C31"/>
    <w:rsid w:val="00654AAF"/>
    <w:rsid w:val="00660450"/>
    <w:rsid w:val="0066046D"/>
    <w:rsid w:val="006646A3"/>
    <w:rsid w:val="00666565"/>
    <w:rsid w:val="006753F2"/>
    <w:rsid w:val="006B2144"/>
    <w:rsid w:val="006B3DCD"/>
    <w:rsid w:val="006B6637"/>
    <w:rsid w:val="006C2B43"/>
    <w:rsid w:val="006C452C"/>
    <w:rsid w:val="006D07C6"/>
    <w:rsid w:val="006D3BD1"/>
    <w:rsid w:val="006D5AF2"/>
    <w:rsid w:val="006E25A8"/>
    <w:rsid w:val="006E27EC"/>
    <w:rsid w:val="006E5E16"/>
    <w:rsid w:val="006E6607"/>
    <w:rsid w:val="006F1152"/>
    <w:rsid w:val="00701BF4"/>
    <w:rsid w:val="00704C5F"/>
    <w:rsid w:val="00707839"/>
    <w:rsid w:val="00715246"/>
    <w:rsid w:val="0072094B"/>
    <w:rsid w:val="00724974"/>
    <w:rsid w:val="00726216"/>
    <w:rsid w:val="00726B50"/>
    <w:rsid w:val="00733A55"/>
    <w:rsid w:val="007343DE"/>
    <w:rsid w:val="00745BC6"/>
    <w:rsid w:val="00753A20"/>
    <w:rsid w:val="00773DF0"/>
    <w:rsid w:val="00792511"/>
    <w:rsid w:val="00792E36"/>
    <w:rsid w:val="007B75E8"/>
    <w:rsid w:val="007C0F64"/>
    <w:rsid w:val="007D520B"/>
    <w:rsid w:val="007D66FD"/>
    <w:rsid w:val="007D75DA"/>
    <w:rsid w:val="007E29BB"/>
    <w:rsid w:val="007E401D"/>
    <w:rsid w:val="007F4BAF"/>
    <w:rsid w:val="00800C21"/>
    <w:rsid w:val="00801C3D"/>
    <w:rsid w:val="00807486"/>
    <w:rsid w:val="0081061B"/>
    <w:rsid w:val="0081134E"/>
    <w:rsid w:val="00813D75"/>
    <w:rsid w:val="00823B77"/>
    <w:rsid w:val="00824FEE"/>
    <w:rsid w:val="00834982"/>
    <w:rsid w:val="00836E4A"/>
    <w:rsid w:val="008524F3"/>
    <w:rsid w:val="0085252B"/>
    <w:rsid w:val="00853B83"/>
    <w:rsid w:val="008603F0"/>
    <w:rsid w:val="00863143"/>
    <w:rsid w:val="00871C5E"/>
    <w:rsid w:val="008724ED"/>
    <w:rsid w:val="00874BFF"/>
    <w:rsid w:val="008920B3"/>
    <w:rsid w:val="0089268D"/>
    <w:rsid w:val="008938F9"/>
    <w:rsid w:val="00893A52"/>
    <w:rsid w:val="00893BAF"/>
    <w:rsid w:val="008A0740"/>
    <w:rsid w:val="008B369D"/>
    <w:rsid w:val="008B3B7B"/>
    <w:rsid w:val="008B4A1B"/>
    <w:rsid w:val="008B5136"/>
    <w:rsid w:val="008B70A2"/>
    <w:rsid w:val="008E0DC6"/>
    <w:rsid w:val="008E38EB"/>
    <w:rsid w:val="008F553D"/>
    <w:rsid w:val="00913D0E"/>
    <w:rsid w:val="00922E38"/>
    <w:rsid w:val="00935928"/>
    <w:rsid w:val="00935EAF"/>
    <w:rsid w:val="00940CF7"/>
    <w:rsid w:val="00943CB1"/>
    <w:rsid w:val="009519D7"/>
    <w:rsid w:val="00953DEB"/>
    <w:rsid w:val="009558DA"/>
    <w:rsid w:val="0096456B"/>
    <w:rsid w:val="0097152F"/>
    <w:rsid w:val="00982EA5"/>
    <w:rsid w:val="0098369F"/>
    <w:rsid w:val="0099778F"/>
    <w:rsid w:val="009A10FD"/>
    <w:rsid w:val="009A5747"/>
    <w:rsid w:val="009A7767"/>
    <w:rsid w:val="009C3B98"/>
    <w:rsid w:val="009D037D"/>
    <w:rsid w:val="009D5395"/>
    <w:rsid w:val="009E1718"/>
    <w:rsid w:val="009E212C"/>
    <w:rsid w:val="009F2C5A"/>
    <w:rsid w:val="009F7CAC"/>
    <w:rsid w:val="00A21E37"/>
    <w:rsid w:val="00A33636"/>
    <w:rsid w:val="00A4279D"/>
    <w:rsid w:val="00A442D3"/>
    <w:rsid w:val="00A56A72"/>
    <w:rsid w:val="00A66E2E"/>
    <w:rsid w:val="00A71662"/>
    <w:rsid w:val="00A802D9"/>
    <w:rsid w:val="00A84BEA"/>
    <w:rsid w:val="00A90BD9"/>
    <w:rsid w:val="00A91A04"/>
    <w:rsid w:val="00AA2601"/>
    <w:rsid w:val="00AA331C"/>
    <w:rsid w:val="00AA55E1"/>
    <w:rsid w:val="00AB26EE"/>
    <w:rsid w:val="00AB5101"/>
    <w:rsid w:val="00AC2D76"/>
    <w:rsid w:val="00AD4DFD"/>
    <w:rsid w:val="00AD60EC"/>
    <w:rsid w:val="00AE40B3"/>
    <w:rsid w:val="00AE44B7"/>
    <w:rsid w:val="00AE461D"/>
    <w:rsid w:val="00AF6D17"/>
    <w:rsid w:val="00AF7607"/>
    <w:rsid w:val="00B110B8"/>
    <w:rsid w:val="00B146E9"/>
    <w:rsid w:val="00B20A16"/>
    <w:rsid w:val="00B20F8D"/>
    <w:rsid w:val="00B24DCC"/>
    <w:rsid w:val="00B2610B"/>
    <w:rsid w:val="00B330A2"/>
    <w:rsid w:val="00B465B8"/>
    <w:rsid w:val="00B54664"/>
    <w:rsid w:val="00B54720"/>
    <w:rsid w:val="00B62822"/>
    <w:rsid w:val="00B638F1"/>
    <w:rsid w:val="00B762B0"/>
    <w:rsid w:val="00B779F4"/>
    <w:rsid w:val="00B83B20"/>
    <w:rsid w:val="00BA7908"/>
    <w:rsid w:val="00BB0C30"/>
    <w:rsid w:val="00BC2607"/>
    <w:rsid w:val="00BC3790"/>
    <w:rsid w:val="00BC3BD2"/>
    <w:rsid w:val="00BC5395"/>
    <w:rsid w:val="00BD351B"/>
    <w:rsid w:val="00BD3BCD"/>
    <w:rsid w:val="00BD68A2"/>
    <w:rsid w:val="00BD7646"/>
    <w:rsid w:val="00BF0C88"/>
    <w:rsid w:val="00BF326A"/>
    <w:rsid w:val="00BF3C49"/>
    <w:rsid w:val="00BF3F15"/>
    <w:rsid w:val="00BF6AB4"/>
    <w:rsid w:val="00C34AEB"/>
    <w:rsid w:val="00C41CF5"/>
    <w:rsid w:val="00C457A9"/>
    <w:rsid w:val="00C46BB7"/>
    <w:rsid w:val="00C51075"/>
    <w:rsid w:val="00C53A8B"/>
    <w:rsid w:val="00C55B5A"/>
    <w:rsid w:val="00C62191"/>
    <w:rsid w:val="00C7762C"/>
    <w:rsid w:val="00C85AEA"/>
    <w:rsid w:val="00CA49CF"/>
    <w:rsid w:val="00CB433F"/>
    <w:rsid w:val="00CB5F48"/>
    <w:rsid w:val="00CB6461"/>
    <w:rsid w:val="00CC0ECB"/>
    <w:rsid w:val="00CC22FB"/>
    <w:rsid w:val="00CC249B"/>
    <w:rsid w:val="00CC370F"/>
    <w:rsid w:val="00CC7EF5"/>
    <w:rsid w:val="00D13CC5"/>
    <w:rsid w:val="00D20FFE"/>
    <w:rsid w:val="00D23C9F"/>
    <w:rsid w:val="00D3794A"/>
    <w:rsid w:val="00D430A9"/>
    <w:rsid w:val="00D43701"/>
    <w:rsid w:val="00D46291"/>
    <w:rsid w:val="00D47601"/>
    <w:rsid w:val="00D53DC6"/>
    <w:rsid w:val="00D56CBA"/>
    <w:rsid w:val="00D63364"/>
    <w:rsid w:val="00D65E38"/>
    <w:rsid w:val="00D661D7"/>
    <w:rsid w:val="00D71597"/>
    <w:rsid w:val="00D914C8"/>
    <w:rsid w:val="00D93733"/>
    <w:rsid w:val="00D93C8A"/>
    <w:rsid w:val="00D96D18"/>
    <w:rsid w:val="00DA06A5"/>
    <w:rsid w:val="00DA43B1"/>
    <w:rsid w:val="00DB15A2"/>
    <w:rsid w:val="00DC082D"/>
    <w:rsid w:val="00DC1036"/>
    <w:rsid w:val="00DC333E"/>
    <w:rsid w:val="00DD2822"/>
    <w:rsid w:val="00DD32EE"/>
    <w:rsid w:val="00DD3A7A"/>
    <w:rsid w:val="00DF159F"/>
    <w:rsid w:val="00DF28A5"/>
    <w:rsid w:val="00E02A49"/>
    <w:rsid w:val="00E077C2"/>
    <w:rsid w:val="00E07A08"/>
    <w:rsid w:val="00E11926"/>
    <w:rsid w:val="00E13F3E"/>
    <w:rsid w:val="00E20D4D"/>
    <w:rsid w:val="00E32E5C"/>
    <w:rsid w:val="00E34E2F"/>
    <w:rsid w:val="00E43BF7"/>
    <w:rsid w:val="00E43ED3"/>
    <w:rsid w:val="00E50E03"/>
    <w:rsid w:val="00E6715A"/>
    <w:rsid w:val="00E6774D"/>
    <w:rsid w:val="00E73BDD"/>
    <w:rsid w:val="00E83599"/>
    <w:rsid w:val="00E84648"/>
    <w:rsid w:val="00E94A15"/>
    <w:rsid w:val="00E94ADD"/>
    <w:rsid w:val="00E9511A"/>
    <w:rsid w:val="00E95EC4"/>
    <w:rsid w:val="00EA560E"/>
    <w:rsid w:val="00EA5D01"/>
    <w:rsid w:val="00EA7077"/>
    <w:rsid w:val="00EC0A61"/>
    <w:rsid w:val="00EC1A66"/>
    <w:rsid w:val="00EC2A9B"/>
    <w:rsid w:val="00ED023C"/>
    <w:rsid w:val="00ED1550"/>
    <w:rsid w:val="00ED692B"/>
    <w:rsid w:val="00EF207C"/>
    <w:rsid w:val="00EF5646"/>
    <w:rsid w:val="00EF696F"/>
    <w:rsid w:val="00F003B4"/>
    <w:rsid w:val="00F034FE"/>
    <w:rsid w:val="00F11450"/>
    <w:rsid w:val="00F15A40"/>
    <w:rsid w:val="00F15E92"/>
    <w:rsid w:val="00F2773F"/>
    <w:rsid w:val="00F3484B"/>
    <w:rsid w:val="00F45BA2"/>
    <w:rsid w:val="00F473AC"/>
    <w:rsid w:val="00F556EA"/>
    <w:rsid w:val="00F56F12"/>
    <w:rsid w:val="00F6231A"/>
    <w:rsid w:val="00F65E11"/>
    <w:rsid w:val="00F87685"/>
    <w:rsid w:val="00F936F5"/>
    <w:rsid w:val="00FA4124"/>
    <w:rsid w:val="00FA4A7A"/>
    <w:rsid w:val="00FB04FD"/>
    <w:rsid w:val="00FB2F89"/>
    <w:rsid w:val="00FB7705"/>
    <w:rsid w:val="00FC24EA"/>
    <w:rsid w:val="00FC722D"/>
    <w:rsid w:val="00FC75EB"/>
    <w:rsid w:val="00FD47D6"/>
    <w:rsid w:val="00FF0A4E"/>
  </w:rsids>
  <m:mathPr>
    <m:mathFont m:val="Cambria Math"/>
    <m:brkBin m:val="before"/>
    <m:brkBinSub m:val="--"/>
    <m:smallFrac m:val="0"/>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B55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IN"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303"/>
    <w:rPr>
      <w:lang w:val="en-GB"/>
    </w:rPr>
  </w:style>
  <w:style w:type="paragraph" w:styleId="Heading1">
    <w:name w:val="heading 1"/>
    <w:basedOn w:val="Normal"/>
    <w:next w:val="Normal"/>
    <w:link w:val="Heading1Char"/>
    <w:uiPriority w:val="9"/>
    <w:qFormat/>
    <w:rsid w:val="00DA43B1"/>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B2F89"/>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semiHidden/>
    <w:unhideWhenUsed/>
    <w:qFormat/>
    <w:rsid w:val="00525C04"/>
    <w:pPr>
      <w:keepNext/>
      <w:keepLines/>
      <w:spacing w:before="200" w:after="0"/>
      <w:outlineLvl w:val="2"/>
    </w:pPr>
    <w:rPr>
      <w:rFonts w:eastAsiaTheme="majorEastAsia" w:cstheme="majorBidi"/>
      <w:b/>
      <w:bCs/>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3B1"/>
    <w:rPr>
      <w:rFonts w:eastAsiaTheme="majorEastAsia"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B2F89"/>
    <w:rPr>
      <w:rFonts w:eastAsiaTheme="majorEastAsia" w:cstheme="majorBidi"/>
      <w:b/>
      <w:bCs/>
      <w:szCs w:val="26"/>
    </w:rPr>
  </w:style>
  <w:style w:type="paragraph" w:styleId="Title">
    <w:name w:val="Title"/>
    <w:basedOn w:val="Normal"/>
    <w:next w:val="Normal"/>
    <w:link w:val="TitleChar"/>
    <w:uiPriority w:val="10"/>
    <w:qFormat/>
    <w:rsid w:val="00FB2F89"/>
    <w:pPr>
      <w:pBdr>
        <w:bottom w:val="single" w:sz="8" w:space="4" w:color="4F81BD" w:themeColor="accent1"/>
      </w:pBdr>
      <w:spacing w:before="0"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FB2F89"/>
    <w:rPr>
      <w:rFonts w:eastAsiaTheme="majorEastAsia" w:cstheme="majorBidi"/>
      <w:spacing w:val="5"/>
      <w:kern w:val="28"/>
      <w:sz w:val="52"/>
      <w:szCs w:val="52"/>
    </w:rPr>
  </w:style>
  <w:style w:type="paragraph" w:styleId="Header">
    <w:name w:val="header"/>
    <w:basedOn w:val="Normal"/>
    <w:link w:val="HeaderChar"/>
    <w:uiPriority w:val="99"/>
    <w:unhideWhenUsed/>
    <w:rsid w:val="00CA49C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A49CF"/>
  </w:style>
  <w:style w:type="paragraph" w:styleId="Footer">
    <w:name w:val="footer"/>
    <w:basedOn w:val="Normal"/>
    <w:link w:val="FooterChar"/>
    <w:uiPriority w:val="99"/>
    <w:unhideWhenUsed/>
    <w:rsid w:val="00CA49C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A49CF"/>
  </w:style>
  <w:style w:type="character" w:customStyle="1" w:styleId="Heading3Char">
    <w:name w:val="Heading 3 Char"/>
    <w:basedOn w:val="DefaultParagraphFont"/>
    <w:link w:val="Heading3"/>
    <w:uiPriority w:val="9"/>
    <w:semiHidden/>
    <w:rsid w:val="00525C04"/>
    <w:rPr>
      <w:rFonts w:eastAsiaTheme="majorEastAsia" w:cstheme="majorBidi"/>
      <w:b/>
      <w:bCs/>
      <w:i/>
      <w:color w:val="000000" w:themeColor="text1"/>
    </w:rPr>
  </w:style>
  <w:style w:type="table" w:styleId="TableGrid">
    <w:name w:val="Table Grid"/>
    <w:basedOn w:val="TableNormal"/>
    <w:uiPriority w:val="39"/>
    <w:rsid w:val="005A268E"/>
    <w:pPr>
      <w:spacing w:before="0" w:after="0" w:line="240" w:lineRule="auto"/>
      <w:jc w:val="left"/>
    </w:pPr>
    <w:rPr>
      <w:rFonts w:cstheme="minorBidi"/>
      <w:szCs w:val="22"/>
      <w:lang w:val="en-C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5A268E"/>
    <w:pPr>
      <w:spacing w:before="0" w:after="200"/>
      <w:ind w:left="720"/>
      <w:contextualSpacing/>
    </w:pPr>
    <w:rPr>
      <w:rFonts w:eastAsia="Cambria"/>
      <w:lang w:val="en-US"/>
    </w:rPr>
  </w:style>
  <w:style w:type="paragraph" w:styleId="TOCHeading">
    <w:name w:val="TOC Heading"/>
    <w:basedOn w:val="Heading1"/>
    <w:next w:val="Normal"/>
    <w:uiPriority w:val="39"/>
    <w:unhideWhenUsed/>
    <w:qFormat/>
    <w:rsid w:val="00D13CC5"/>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D13CC5"/>
    <w:pPr>
      <w:spacing w:after="100"/>
    </w:pPr>
  </w:style>
  <w:style w:type="character" w:styleId="Hyperlink">
    <w:name w:val="Hyperlink"/>
    <w:basedOn w:val="DefaultParagraphFont"/>
    <w:uiPriority w:val="99"/>
    <w:unhideWhenUsed/>
    <w:rsid w:val="00D13CC5"/>
    <w:rPr>
      <w:color w:val="0000FF" w:themeColor="hyperlink"/>
      <w:u w:val="single"/>
    </w:rPr>
  </w:style>
  <w:style w:type="paragraph" w:styleId="Caption">
    <w:name w:val="caption"/>
    <w:basedOn w:val="Normal"/>
    <w:next w:val="Normal"/>
    <w:uiPriority w:val="35"/>
    <w:unhideWhenUsed/>
    <w:qFormat/>
    <w:rsid w:val="000D1984"/>
    <w:pPr>
      <w:spacing w:before="0" w:after="200" w:line="240" w:lineRule="auto"/>
    </w:pPr>
    <w:rPr>
      <w:i/>
      <w:iCs/>
      <w:color w:val="1F497D" w:themeColor="text2"/>
      <w:sz w:val="18"/>
      <w:szCs w:val="18"/>
    </w:rPr>
  </w:style>
  <w:style w:type="paragraph" w:styleId="TOC2">
    <w:name w:val="toc 2"/>
    <w:basedOn w:val="Normal"/>
    <w:next w:val="Normal"/>
    <w:autoRedefine/>
    <w:uiPriority w:val="39"/>
    <w:unhideWhenUsed/>
    <w:rsid w:val="00B762B0"/>
    <w:pPr>
      <w:spacing w:after="100"/>
      <w:ind w:left="240"/>
    </w:pPr>
  </w:style>
  <w:style w:type="character" w:styleId="UnresolvedMention">
    <w:name w:val="Unresolved Mention"/>
    <w:basedOn w:val="DefaultParagraphFont"/>
    <w:uiPriority w:val="99"/>
    <w:semiHidden/>
    <w:unhideWhenUsed/>
    <w:rsid w:val="00823B77"/>
    <w:rPr>
      <w:color w:val="605E5C"/>
      <w:shd w:val="clear" w:color="auto" w:fill="E1DFDD"/>
    </w:rPr>
  </w:style>
  <w:style w:type="character" w:styleId="FollowedHyperlink">
    <w:name w:val="FollowedHyperlink"/>
    <w:basedOn w:val="DefaultParagraphFont"/>
    <w:uiPriority w:val="99"/>
    <w:semiHidden/>
    <w:unhideWhenUsed/>
    <w:rsid w:val="00922E3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064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britannica.com/biography/Kenneth-Chenault" TargetMode="External"/><Relationship Id="rId26" Type="http://schemas.openxmlformats.org/officeDocument/2006/relationships/hyperlink" Target="https://www.jpmorganchase.com/content/dam/jpmc/jpmorgan-chase-and-co/investor-relations/documents/2008-AR-Complete-AR.pdf" TargetMode="External"/><Relationship Id="rId39" Type="http://schemas.openxmlformats.org/officeDocument/2006/relationships/header" Target="header1.xml"/><Relationship Id="rId21" Type="http://schemas.openxmlformats.org/officeDocument/2006/relationships/hyperlink" Target="https://www.cfr.org/timeline/us-financial-crisis" TargetMode="External"/><Relationship Id="rId34" Type="http://schemas.openxmlformats.org/officeDocument/2006/relationships/hyperlink" Target="https://www.nytimes.com/2008/03/17/business/17bear.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fr.org/backgrounder/what-dodd-frank-act" TargetMode="External"/><Relationship Id="rId20" Type="http://schemas.openxmlformats.org/officeDocument/2006/relationships/hyperlink" Target="https://sgp.fas.org/crs/misc/IF10031.pdf" TargetMode="External"/><Relationship Id="rId29" Type="http://schemas.openxmlformats.org/officeDocument/2006/relationships/hyperlink" Target="https://www.jpmorgan.com/insights/current-events/global-financial-crisis/10-years-after-crisi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corpgov.law.harvard.edu/2010/11/20/the-financial-panic-of-2008-and-financial-regulatory-reform/" TargetMode="External"/><Relationship Id="rId32" Type="http://schemas.openxmlformats.org/officeDocument/2006/relationships/hyperlink" Target="https://www.britannica.com/money/topic/Emergency-Economic-Stabilization-Act-of-2008" TargetMode="External"/><Relationship Id="rId37" Type="http://schemas.openxmlformats.org/officeDocument/2006/relationships/hyperlink" Target="https://sgp.fas.org/crs/misc/RL34730.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ongress.gov/110/plaws/publ289/PLAW-110publ289.pdf" TargetMode="External"/><Relationship Id="rId23" Type="http://schemas.openxmlformats.org/officeDocument/2006/relationships/hyperlink" Target="https://www.fsb.org/work-of-the-fsb/market-and-institutional-resilience/post-2008-financial-crisis-reforms/" TargetMode="External"/><Relationship Id="rId28" Type="http://schemas.openxmlformats.org/officeDocument/2006/relationships/hyperlink" Target="https://www.jpmorganchase.com/content/dam/jpmc/jpmorgan-chase-and-co/investor-relations/documents/2013AR-FULL-09.pdf" TargetMode="External"/><Relationship Id="rId36" Type="http://schemas.openxmlformats.org/officeDocument/2006/relationships/hyperlink" Target="https://home.treasury.gov/policy-issues/financial-markets-financial-institutions-and-fiscal-service/fsoc/about-fsoc" TargetMode="External"/><Relationship Id="rId10" Type="http://schemas.openxmlformats.org/officeDocument/2006/relationships/image" Target="media/image3.png"/><Relationship Id="rId19" Type="http://schemas.openxmlformats.org/officeDocument/2006/relationships/hyperlink" Target="https://www.cftc.gov/LawRegulation/DoddFrankAct/index.htm" TargetMode="External"/><Relationship Id="rId31" Type="http://schemas.openxmlformats.org/officeDocument/2006/relationships/hyperlink" Target="https://lawecommons.luc.edu/cgi/viewcontent.cgi?article=1178&amp;context=facpub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federalreservehistory.org/essays/great-recession-and-its-aftermath" TargetMode="External"/><Relationship Id="rId27" Type="http://schemas.openxmlformats.org/officeDocument/2006/relationships/hyperlink" Target="https://www.jpmorganchase.com/content/dam/jpmc/jpmorgan-chase-and-co/investor-relations/documents/2010-JPMC-AnnualReport.pdf" TargetMode="External"/><Relationship Id="rId30" Type="http://schemas.openxmlformats.org/officeDocument/2006/relationships/hyperlink" Target="https://www.jpmorganchase.com/about" TargetMode="External"/><Relationship Id="rId35" Type="http://schemas.openxmlformats.org/officeDocument/2006/relationships/hyperlink" Target="https://obamawhitehouse.archives.gov/economy/middle-class/dodd-frank-wall-street-reform"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db.org/sites/default/files/publication/155997/adbi-wp142.pdf" TargetMode="External"/><Relationship Id="rId25" Type="http://schemas.openxmlformats.org/officeDocument/2006/relationships/hyperlink" Target="https://egrove.olemiss.edu/cgi/viewcontent.cgi?article=1066&amp;context=hon_thesis" TargetMode="External"/><Relationship Id="rId33" Type="http://schemas.openxmlformats.org/officeDocument/2006/relationships/hyperlink" Target="https://www.reuters.com/article/usa-trump-banks-idUSL1N1DO16K" TargetMode="External"/><Relationship Id="rId38" Type="http://schemas.openxmlformats.org/officeDocument/2006/relationships/hyperlink" Target="https://www.federalreservehistory.org/essays/great-recession-and-its-aftermath"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Sheet1!$B$7</c:f>
              <c:strCache>
                <c:ptCount val="1"/>
                <c:pt idx="0">
                  <c:v>Net profit margin</c:v>
                </c:pt>
              </c:strCache>
            </c:strRef>
          </c:tx>
          <c:spPr>
            <a:ln w="28575" cap="rnd">
              <a:solidFill>
                <a:schemeClr val="accent1"/>
              </a:solidFill>
              <a:round/>
            </a:ln>
            <a:effectLst/>
          </c:spPr>
          <c:marker>
            <c:symbol val="none"/>
          </c:marker>
          <c:cat>
            <c:numRef>
              <c:f>Sheet1!$C$3:$H$3</c:f>
              <c:numCache>
                <c:formatCode>General</c:formatCode>
                <c:ptCount val="6"/>
                <c:pt idx="0">
                  <c:v>2008</c:v>
                </c:pt>
                <c:pt idx="1">
                  <c:v>2009</c:v>
                </c:pt>
                <c:pt idx="2">
                  <c:v>2010</c:v>
                </c:pt>
                <c:pt idx="3">
                  <c:v>2011</c:v>
                </c:pt>
                <c:pt idx="4">
                  <c:v>2012</c:v>
                </c:pt>
                <c:pt idx="5">
                  <c:v>2013</c:v>
                </c:pt>
              </c:numCache>
            </c:numRef>
          </c:cat>
          <c:val>
            <c:numRef>
              <c:f>Sheet1!$C$7:$H$7</c:f>
              <c:numCache>
                <c:formatCode>0.00%</c:formatCode>
                <c:ptCount val="6"/>
                <c:pt idx="0">
                  <c:v>8.3343246297507875E-2</c:v>
                </c:pt>
                <c:pt idx="1">
                  <c:v>0.11677320429336679</c:v>
                </c:pt>
                <c:pt idx="2">
                  <c:v>0.16914328003583462</c:v>
                </c:pt>
                <c:pt idx="3">
                  <c:v>0.19515807227924389</c:v>
                </c:pt>
                <c:pt idx="4">
                  <c:v>0.21935257804206904</c:v>
                </c:pt>
                <c:pt idx="5">
                  <c:v>0.18552677887501812</c:v>
                </c:pt>
              </c:numCache>
            </c:numRef>
          </c:val>
          <c:smooth val="0"/>
          <c:extLst>
            <c:ext xmlns:c16="http://schemas.microsoft.com/office/drawing/2014/chart" uri="{C3380CC4-5D6E-409C-BE32-E72D297353CC}">
              <c16:uniqueId val="{00000000-F260-49CC-AEDA-28B741C34000}"/>
            </c:ext>
          </c:extLst>
        </c:ser>
        <c:dLbls>
          <c:showLegendKey val="0"/>
          <c:showVal val="0"/>
          <c:showCatName val="0"/>
          <c:showSerName val="0"/>
          <c:showPercent val="0"/>
          <c:showBubbleSize val="0"/>
        </c:dLbls>
        <c:smooth val="0"/>
        <c:axId val="58114975"/>
        <c:axId val="625329087"/>
      </c:lineChart>
      <c:catAx>
        <c:axId val="581149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5329087"/>
        <c:crosses val="autoZero"/>
        <c:auto val="1"/>
        <c:lblAlgn val="ctr"/>
        <c:lblOffset val="100"/>
        <c:noMultiLvlLbl val="0"/>
      </c:catAx>
      <c:valAx>
        <c:axId val="6253290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1149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0C816-DDE7-448D-95B2-B74A82148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6183</Words>
  <Characters>35247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2023-08-20T11:10:00Z</dcterms:created>
  <dcterms:modified xsi:type="dcterms:W3CDTF">2023-08-21T13:37:00Z</dcterms:modified>
</cp:coreProperties>
</file>