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6A5544" w14:textId="77777777" w:rsidR="00304546" w:rsidRDefault="00304546"/>
    <w:p w14:paraId="26EFE94E" w14:textId="77777777" w:rsidR="001C4D25" w:rsidRDefault="001C4D25"/>
    <w:p w14:paraId="1A73215B" w14:textId="77777777" w:rsidR="001C4D25" w:rsidRDefault="001C4D25"/>
    <w:p w14:paraId="439F4DBF" w14:textId="77777777" w:rsidR="001C4D25" w:rsidRDefault="001C4D25"/>
    <w:p w14:paraId="4756B4C3" w14:textId="77777777" w:rsidR="001C4D25" w:rsidRDefault="001C4D25"/>
    <w:p w14:paraId="0348BD2D" w14:textId="77777777" w:rsidR="001C4D25" w:rsidRPr="001C4D25" w:rsidRDefault="001C4D25" w:rsidP="001C4D25">
      <w:pPr>
        <w:jc w:val="center"/>
        <w:rPr>
          <w:b/>
          <w:bCs/>
        </w:rPr>
      </w:pPr>
      <w:r w:rsidRPr="001C4D25">
        <w:rPr>
          <w:b/>
          <w:bCs/>
        </w:rPr>
        <w:t>Assignment Title:</w:t>
      </w:r>
    </w:p>
    <w:p w14:paraId="714525AA" w14:textId="77777777" w:rsidR="00B215DC" w:rsidRDefault="001C4D25" w:rsidP="001C4D25">
      <w:pPr>
        <w:jc w:val="center"/>
        <w:rPr>
          <w:b/>
          <w:bCs/>
        </w:rPr>
      </w:pPr>
      <w:r w:rsidRPr="001C4D25">
        <w:rPr>
          <w:b/>
          <w:bCs/>
        </w:rPr>
        <w:t>Case Study: Mrs Thompson – Communication</w:t>
      </w:r>
    </w:p>
    <w:p w14:paraId="188E1881" w14:textId="40ED78EE" w:rsidR="001C4D25" w:rsidRDefault="001C4D25" w:rsidP="001C4D25">
      <w:pPr>
        <w:jc w:val="center"/>
        <w:rPr>
          <w:b/>
          <w:bCs/>
        </w:rPr>
      </w:pPr>
      <w:r w:rsidRPr="001C4D25">
        <w:rPr>
          <w:b/>
          <w:bCs/>
        </w:rPr>
        <w:t>, Administration and Multi-Agency Working in Health and Social Care Practice</w:t>
      </w:r>
    </w:p>
    <w:p w14:paraId="267FF838" w14:textId="569432F1" w:rsidR="001C4D25" w:rsidRDefault="001C4D25" w:rsidP="001C4D25">
      <w:pPr>
        <w:jc w:val="center"/>
        <w:rPr>
          <w:b/>
          <w:bCs/>
        </w:rPr>
      </w:pPr>
      <w:r>
        <w:rPr>
          <w:b/>
          <w:bCs/>
        </w:rPr>
        <w:t>Student ID</w:t>
      </w:r>
      <w:r w:rsidR="00E075E1">
        <w:rPr>
          <w:b/>
          <w:bCs/>
        </w:rPr>
        <w:t>:2525288</w:t>
      </w:r>
    </w:p>
    <w:p w14:paraId="37D031AC" w14:textId="02F371C9" w:rsidR="001C4D25" w:rsidRDefault="001C4D25" w:rsidP="001C4D25">
      <w:pPr>
        <w:jc w:val="center"/>
        <w:rPr>
          <w:b/>
          <w:bCs/>
        </w:rPr>
      </w:pPr>
      <w:r>
        <w:rPr>
          <w:b/>
          <w:bCs/>
        </w:rPr>
        <w:t>Student Name</w:t>
      </w:r>
      <w:r w:rsidR="00E075E1">
        <w:rPr>
          <w:b/>
          <w:bCs/>
        </w:rPr>
        <w:t xml:space="preserve">:Mehvish </w:t>
      </w:r>
      <w:proofErr w:type="spellStart"/>
      <w:r w:rsidR="00E075E1">
        <w:rPr>
          <w:b/>
          <w:bCs/>
        </w:rPr>
        <w:t>Matloob</w:t>
      </w:r>
      <w:proofErr w:type="spellEnd"/>
      <w:r w:rsidR="00E075E1">
        <w:rPr>
          <w:b/>
          <w:bCs/>
        </w:rPr>
        <w:t xml:space="preserve"> </w:t>
      </w:r>
    </w:p>
    <w:p w14:paraId="0A228AB4" w14:textId="57D93804" w:rsidR="001C4D25" w:rsidRDefault="001C4D25" w:rsidP="001C4D25">
      <w:pPr>
        <w:jc w:val="center"/>
        <w:rPr>
          <w:b/>
          <w:bCs/>
        </w:rPr>
      </w:pPr>
      <w:r>
        <w:rPr>
          <w:b/>
          <w:bCs/>
        </w:rPr>
        <w:t>Module Leader</w:t>
      </w:r>
      <w:r w:rsidR="004F35DB">
        <w:rPr>
          <w:b/>
          <w:bCs/>
        </w:rPr>
        <w:t xml:space="preserve"> </w:t>
      </w:r>
      <w:r w:rsidR="00681C3F">
        <w:rPr>
          <w:b/>
          <w:bCs/>
        </w:rPr>
        <w:t>:</w:t>
      </w:r>
      <w:r w:rsidR="004F35DB">
        <w:rPr>
          <w:b/>
          <w:bCs/>
        </w:rPr>
        <w:t xml:space="preserve">Farah Islam </w:t>
      </w:r>
    </w:p>
    <w:p w14:paraId="4762D036" w14:textId="7DFD0114" w:rsidR="001C4D25" w:rsidRDefault="001C4D25" w:rsidP="004F35DB">
      <w:pPr>
        <w:rPr>
          <w:b/>
          <w:bCs/>
        </w:rPr>
      </w:pPr>
    </w:p>
    <w:p w14:paraId="62B94BCB" w14:textId="77777777" w:rsidR="001C4D25" w:rsidRDefault="001C4D25" w:rsidP="001C4D25"/>
    <w:p w14:paraId="2CE2A9EC" w14:textId="77777777" w:rsidR="001C4D25" w:rsidRDefault="001C4D25" w:rsidP="001C4D25"/>
    <w:p w14:paraId="4CC3A526" w14:textId="77777777" w:rsidR="001C4D25" w:rsidRDefault="001C4D25" w:rsidP="001C4D25"/>
    <w:p w14:paraId="00CF7030" w14:textId="77777777" w:rsidR="001C4D25" w:rsidRDefault="001C4D25" w:rsidP="001C4D25"/>
    <w:p w14:paraId="401B0C4C" w14:textId="77777777" w:rsidR="001C4D25" w:rsidRDefault="001C4D25" w:rsidP="001C4D25"/>
    <w:p w14:paraId="4F3919B8" w14:textId="77777777" w:rsidR="001C4D25" w:rsidRDefault="001C4D25" w:rsidP="001C4D25"/>
    <w:p w14:paraId="7E13469E" w14:textId="77777777" w:rsidR="001C4D25" w:rsidRDefault="001C4D25" w:rsidP="001C4D25"/>
    <w:p w14:paraId="5B4AF0D0" w14:textId="77777777" w:rsidR="001C4D25" w:rsidRDefault="001C4D25" w:rsidP="001C4D25"/>
    <w:p w14:paraId="1390E596" w14:textId="77777777" w:rsidR="001C4D25" w:rsidRDefault="001C4D25" w:rsidP="001C4D25"/>
    <w:p w14:paraId="5FD84923" w14:textId="77777777" w:rsidR="001C4D25" w:rsidRDefault="001C4D25" w:rsidP="001C4D25"/>
    <w:p w14:paraId="069EFAE4" w14:textId="77777777" w:rsidR="001C4D25" w:rsidRDefault="001C4D25" w:rsidP="001C4D25"/>
    <w:p w14:paraId="06B11AEF" w14:textId="77777777" w:rsidR="001C4D25" w:rsidRDefault="001C4D25" w:rsidP="001C4D25"/>
    <w:p w14:paraId="18DCFF23" w14:textId="77777777" w:rsidR="001C4D25" w:rsidRDefault="001C4D25" w:rsidP="001C4D25"/>
    <w:p w14:paraId="091B6CAD" w14:textId="77777777" w:rsidR="001C4D25" w:rsidRDefault="001C4D25" w:rsidP="001C4D25"/>
    <w:p w14:paraId="2E2FB1E6" w14:textId="77777777" w:rsidR="00931E8D" w:rsidRDefault="00931E8D" w:rsidP="00931E8D">
      <w:pPr>
        <w:pStyle w:val="Heading1"/>
      </w:pPr>
      <w:r>
        <w:t>Introduction</w:t>
      </w:r>
    </w:p>
    <w:p w14:paraId="048EF2A0" w14:textId="1A8CF6F8" w:rsidR="00931E8D" w:rsidRDefault="00931E8D" w:rsidP="00931E8D">
      <w:pPr>
        <w:jc w:val="both"/>
      </w:pPr>
      <w:r>
        <w:t xml:space="preserve">This report explores the case of Mrs Thompson, an </w:t>
      </w:r>
      <w:r w:rsidR="00566B0E">
        <w:t>84-year-old</w:t>
      </w:r>
      <w:r>
        <w:t xml:space="preserve"> woman with mild dementia who has recently been discharged from hospital with pneumonia who is receiving twice-daily domiciliary care. These concerns, along with a </w:t>
      </w:r>
      <w:r w:rsidR="00566B0E">
        <w:t>two-day</w:t>
      </w:r>
      <w:r>
        <w:t xml:space="preserve"> missed medication review and finding her outside without appropriate clothing in cold weather, have led to a review of the incident internally, a medication review and a safeguarding review by the local council. Good communication, good administration and true inter-agency working is therefore vital in support of Mrs Thompson's wellbeing, while maintaining respect for her dignity and autonomy. This report therefore focuses on three aspects of care: the importance of effective communication with Mrs Thompson and her family (in the context of the Equality Act 2010); the importance of good administrative skills/record keeping (in the context of the Data Protection Act 2018); and the value of collaborative working by the range of professionals involved in supporting her</w:t>
      </w:r>
      <w:r w:rsidR="003F22D2">
        <w:t xml:space="preserve">. </w:t>
      </w:r>
    </w:p>
    <w:p w14:paraId="7AFE8CCF" w14:textId="77777777" w:rsidR="00931E8D" w:rsidRDefault="00931E8D" w:rsidP="00931E8D">
      <w:pPr>
        <w:pStyle w:val="Heading1"/>
      </w:pPr>
      <w:r>
        <w:t>Why effective communication is important for Mrs Thompson's care?</w:t>
      </w:r>
    </w:p>
    <w:p w14:paraId="6526D4BC" w14:textId="4C0AB898" w:rsidR="00A51CCC" w:rsidRDefault="00A51CCC" w:rsidP="00EF030D">
      <w:pPr>
        <w:jc w:val="both"/>
      </w:pPr>
      <w:r>
        <w:t>Mrs Thompson's care relies on multiple people passing along the correct information at the appropriate moment, and this is a real danger due to poor communication. Failure to record or verify medicines over a 2 day period is indicative of inadequate recording, handover or escalation of information about medicines administration. This failure is particularly worrying in a person with mild dementia as Mrs Thompson might not be able to remember taking her medicines or describe how she feels. Poor communication can, as a consequence, lead to duplicated dosage, missed treatment, treatment deterioration, and unnecessary hospital admissions, as well as losing the client's confidence in the care provided.</w:t>
      </w:r>
    </w:p>
    <w:p w14:paraId="554D4AD0" w14:textId="3C4F5F60" w:rsidR="00A51CCC" w:rsidRDefault="00A51CCC" w:rsidP="00EF030D">
      <w:pPr>
        <w:jc w:val="both"/>
      </w:pPr>
      <w:r>
        <w:t xml:space="preserve">Another common communication misstep is a lack of documentation. Medication, behaviour, mood, location and emerging safety concerns of Mrs Thompson should be recorded in care records. Where there are gaps in the record, staff making later visits may not know what has occurred or what action is needed. Accurate and timely record keeping are crucial to continuity of care and professional accountability, according to </w:t>
      </w:r>
      <w:proofErr w:type="spellStart"/>
      <w:r>
        <w:t>Dowie</w:t>
      </w:r>
      <w:proofErr w:type="spellEnd"/>
      <w:r>
        <w:t xml:space="preserve"> (2024). In Mrs Thompson's case, 'being out of doors during the cold weather' should have been noted, passed to the care coordinator and linked to the care plan as a safeguarding matter, not just a blip.</w:t>
      </w:r>
    </w:p>
    <w:p w14:paraId="42D5A455" w14:textId="4B594F98" w:rsidR="00A51CCC" w:rsidRDefault="00A51CCC" w:rsidP="00EF030D">
      <w:pPr>
        <w:jc w:val="both"/>
      </w:pPr>
      <w:r>
        <w:t xml:space="preserve">Communication between professionals can also contribute to poor communication, which can result in fragmented care. </w:t>
      </w:r>
      <w:proofErr w:type="spellStart"/>
      <w:r>
        <w:t>Santomauro</w:t>
      </w:r>
      <w:proofErr w:type="spellEnd"/>
      <w:r>
        <w:t xml:space="preserve"> et al. (2025) cite lack of shared information and unclear roles as coordination challenges within older adult care. If there is a lack of information sharing between the GP, community nurse, the domiciliary carers and the safeguarding team, then each professional might only be working on half the issue. For instance, the GP might see a list of medicines without being aware that Mrs Thompson is becoming more confused, and the carers may have been continuing to visit her regularly without realising the nature of the safeguarding concern. Similarly, Brooks and </w:t>
      </w:r>
      <w:proofErr w:type="spellStart"/>
      <w:r>
        <w:t>Gillon</w:t>
      </w:r>
      <w:proofErr w:type="spellEnd"/>
      <w:r>
        <w:t xml:space="preserve"> (2025) point out that unhelpful relationships and poor </w:t>
      </w:r>
      <w:proofErr w:type="spellStart"/>
      <w:r>
        <w:t>interprofessional</w:t>
      </w:r>
      <w:proofErr w:type="spellEnd"/>
      <w:r>
        <w:t xml:space="preserve"> communication can cause delays in coordinated responses.</w:t>
      </w:r>
    </w:p>
    <w:p w14:paraId="5B416A34" w14:textId="190E1930" w:rsidR="00A51CCC" w:rsidRPr="00A51CCC" w:rsidRDefault="00A51CCC" w:rsidP="00EF030D">
      <w:pPr>
        <w:jc w:val="both"/>
      </w:pPr>
      <w:r>
        <w:t xml:space="preserve">Care must also be taken in communicating with family and Mrs Thompson. Staff should avoid speaking to relatives only and should not make decisions without consulting her as this may affect her dignity and independence. But if the family is not included in the relevant discussion, they may not be able to provide relevant information on changes she may have in memory, </w:t>
      </w:r>
      <w:proofErr w:type="spellStart"/>
      <w:r>
        <w:t>behavior</w:t>
      </w:r>
      <w:proofErr w:type="spellEnd"/>
      <w:r>
        <w:t>, and daily habits. Clear explanations, simple language, adequate time to respond, listening and checking understanding (O'Rourke et al., 2022) are essential to a person centred approach. Information sharing should be based on consent, confidentiality and safeguarding. In summary, failure to communicate is not just a problem in administration, it poses a direct risk to Mrs Thompson's safety, independence and quality of care.</w:t>
      </w:r>
    </w:p>
    <w:p w14:paraId="24282445" w14:textId="77777777" w:rsidR="00931E8D" w:rsidRDefault="00931E8D" w:rsidP="00931E8D">
      <w:pPr>
        <w:pStyle w:val="Heading1"/>
      </w:pPr>
      <w:r>
        <w:t>The importance of good administrative skills in Mrs Thompson's care.</w:t>
      </w:r>
    </w:p>
    <w:p w14:paraId="3304426F" w14:textId="77777777" w:rsidR="00931E8D" w:rsidRDefault="00931E8D" w:rsidP="00931E8D">
      <w:pPr>
        <w:jc w:val="both"/>
      </w:pPr>
      <w:r>
        <w:t xml:space="preserve">The same is true of good administrative practice and accurate record keeping in particular which are essential to Mrs Thompson's safety and continuity of care. As she has two twice-daily domiciliary visits, usually by more than one member of staff, her communication with staff is largely through clear and contemporary records, which include details of what has been taken as medication, her mood and any concerns that have been noted. Importantly, the difference in medication was only found because her two days off had been documented via the services incident process, highlighting the importance of accurate documentation and the risk associated with medication being not recorded. </w:t>
      </w:r>
      <w:proofErr w:type="spellStart"/>
      <w:r>
        <w:t>Dowie</w:t>
      </w:r>
      <w:proofErr w:type="spellEnd"/>
      <w:r>
        <w:t xml:space="preserve"> (2024) believes that community-based practitioners have a professional and legal responsibility to maintain detailed, accurate and timely records as failing to do so could lead to patient harm and result in liability for the community practitioner or organisation if the care they provide is subsequently questioned.</w:t>
      </w:r>
    </w:p>
    <w:p w14:paraId="45756E39" w14:textId="5516A21C" w:rsidR="00931E8D" w:rsidRDefault="00931E8D" w:rsidP="00931E8D">
      <w:pPr>
        <w:jc w:val="both"/>
      </w:pPr>
      <w:r>
        <w:t>The Data Protection Act 2018, which incorporates the principles of the GDPR, also applies to the record keeping system in Mrs Thompson's case, covering the collection, storage and sharing of her personal and special category data, such as her health information, (</w:t>
      </w:r>
      <w:proofErr w:type="spellStart"/>
      <w:r>
        <w:t>Dowie</w:t>
      </w:r>
      <w:proofErr w:type="spellEnd"/>
      <w:r>
        <w:t>, 2024). The Act must have the following purposes: to be processed lawfully, fairly and transparently; to be processed only if it is really necessary; to be accurate, kept up to date, and not kept longer than is necessary; and to be stored securely, and not accessed by anyone who does not have a legitimate interest in it. This means that any entries made concerning Mrs Thompson's medication, mental state and the recent safeguarding concerns must be factual, up to date and not contain unnecessary personal opinion and must be recorded on secure systems and not shared informally between agencies unless there is appropriate justification for this.</w:t>
      </w:r>
    </w:p>
    <w:p w14:paraId="74CE24ED" w14:textId="6055FFC9" w:rsidR="00931E8D" w:rsidRDefault="00931E8D" w:rsidP="00931E8D">
      <w:pPr>
        <w:jc w:val="both"/>
      </w:pPr>
      <w:r>
        <w:t xml:space="preserve">In addition to legislation, guidance should also be drawn from existing policy documents that are relevant to the professional and organisation context, such as the NHS Records Management Code of Practice, which outlines the standards for the creation, retention and secure disposal of health and care records, and the fundamental standards set by the Care Quality Commission which require providers to maintain accurate, comprehensive and </w:t>
      </w:r>
      <w:proofErr w:type="spellStart"/>
      <w:r>
        <w:t>contemporised</w:t>
      </w:r>
      <w:proofErr w:type="spellEnd"/>
      <w:r>
        <w:t xml:space="preserve"> records of all those who use their services. The frameworks would be implemented in Mrs Thompson's care by making sure that her care plan is updated as soon as something else major happens in it, such as a missed dose of medication or a change of where she is located, so that all staff who work with her have the necessary and accurate up to date information. Further, the subject access rights provided by the Data Protection Act 2018 give Mrs Thompson (or a person acting on her behalf with appropriate authority) a right to access her records, which also highlights the importance of using language that is professional, respectful and factually accurate at all times.</w:t>
      </w:r>
    </w:p>
    <w:p w14:paraId="236B7FE0" w14:textId="77777777" w:rsidR="00931E8D" w:rsidRDefault="00931E8D" w:rsidP="00931E8D">
      <w:pPr>
        <w:pStyle w:val="Heading1"/>
      </w:pPr>
      <w:r>
        <w:t>Mrs Thompson's Care is writing about Multi Agency Working and its importance.</w:t>
      </w:r>
    </w:p>
    <w:p w14:paraId="6E157DE1" w14:textId="77777777" w:rsidR="00931E8D" w:rsidRDefault="00931E8D" w:rsidP="00931E8D">
      <w:pPr>
        <w:jc w:val="both"/>
      </w:pPr>
      <w:r>
        <w:t xml:space="preserve">There is no single professional who can deliver the best care for Mrs Thompson and effective outcomes are achieved through working collaboratively with other agencies including her GP, her community nurse, domiciliary care workers and the local authority safeguarding team. The lack of documentation and confusion of roles, reported by </w:t>
      </w:r>
      <w:proofErr w:type="spellStart"/>
      <w:r>
        <w:t>Santomauro</w:t>
      </w:r>
      <w:proofErr w:type="spellEnd"/>
      <w:r>
        <w:t xml:space="preserve"> et al. (2025) as one of the biggest challenges to effective collaborative care for older people, may lead to important pieces of information, like Mrs Thompson's missed medication, being lost from the view of other professionals involved in her care.</w:t>
      </w:r>
    </w:p>
    <w:p w14:paraId="498B01D8" w14:textId="77777777" w:rsidR="00931E8D" w:rsidRDefault="00931E8D" w:rsidP="00931E8D">
      <w:pPr>
        <w:jc w:val="both"/>
      </w:pPr>
      <w:r>
        <w:t xml:space="preserve">Effective strategies that facilitate effective collaboration involve regular multidisciplinary meeting or case conferences and/or shared or interoperable care documentation and/or clear escalation pathways so that any member of the multidisciplinary team who </w:t>
      </w:r>
      <w:proofErr w:type="spellStart"/>
      <w:r>
        <w:t>recognizes</w:t>
      </w:r>
      <w:proofErr w:type="spellEnd"/>
      <w:r>
        <w:t xml:space="preserve"> a concern, such as a community nurse who observes increased confusion, will know exactly how and when to alert the rest of the team promptly. Interdisciplinary working in community and intermediate care services has been identified as an area of good practice: joint visits and the use of shared records are well recognised as facilitating good collaborative practice, and unclear role expectations and limited </w:t>
      </w:r>
      <w:proofErr w:type="spellStart"/>
      <w:r>
        <w:t>interprofessional</w:t>
      </w:r>
      <w:proofErr w:type="spellEnd"/>
      <w:r>
        <w:t xml:space="preserve"> training are barriers common to many services (Brooks and </w:t>
      </w:r>
      <w:proofErr w:type="spellStart"/>
      <w:r>
        <w:t>Gillon</w:t>
      </w:r>
      <w:proofErr w:type="spellEnd"/>
      <w:r>
        <w:t>, 2025). So, if these strategies were implemented in Mrs Thompson's case, the GP, community nurse and domiciliary care team will have a shared understanding of her baseline condition and any deterioration, whether due to medication, confusion or safety issues, such as being found outside in the cold, will be recognised quickly and dealt with co-ordinated rather than by one agency working independently.</w:t>
      </w:r>
    </w:p>
    <w:p w14:paraId="74D2A4E4" w14:textId="77777777" w:rsidR="00931E8D" w:rsidRDefault="00931E8D" w:rsidP="00931E8D"/>
    <w:p w14:paraId="500CAE78" w14:textId="77777777" w:rsidR="00931E8D" w:rsidRDefault="00931E8D" w:rsidP="00931E8D">
      <w:pPr>
        <w:pStyle w:val="Heading1"/>
      </w:pPr>
      <w:r>
        <w:t>Conclusion</w:t>
      </w:r>
    </w:p>
    <w:p w14:paraId="4ECA117C" w14:textId="118E2450" w:rsidR="001C4D25" w:rsidRDefault="00931E8D" w:rsidP="00931E8D">
      <w:pPr>
        <w:jc w:val="both"/>
      </w:pPr>
      <w:r>
        <w:t>To conclude, the issues in Mrs Thompson's case highlight the importance of the interrelated aspects of communication, multi-agency working and administrative practice for the provision of safe person-centred care for older people with a dementia. The use of a structured model of communication with Mrs Thompson and her family, combined with the principles of the Equality Act 2010, ensure that Mrs Thompson is communicated to with respect and inclusiveness, and that the information in her care is accurate and secure, which is vital to the ongoing care provided for Mrs Thompson. In addition, it is extremely important that she receives regular multi-agency liaison from her GP, community nurse and domiciliary care team, to ensure that any early indicators are picked up and acted upon quickly, for example missing medicines or being found outside the home dressed inappropriately. Finally, to ensure Mrs Thompson's safety and dignity and to maintain her right to live as independently as possible in her own home would be assisted by embedding these principles into practicing day to day.</w:t>
      </w:r>
    </w:p>
    <w:p w14:paraId="318E7672" w14:textId="77777777" w:rsidR="001C4D25" w:rsidRDefault="001C4D25" w:rsidP="001C4D25"/>
    <w:p w14:paraId="033E6CC2" w14:textId="77777777" w:rsidR="001C4D25" w:rsidRPr="001C4D25" w:rsidRDefault="001C4D25" w:rsidP="001C4D25"/>
    <w:p w14:paraId="42E51449" w14:textId="77777777" w:rsidR="001C4D25" w:rsidRPr="001C4D25" w:rsidRDefault="001C4D25" w:rsidP="001C4D25">
      <w:pPr>
        <w:jc w:val="center"/>
        <w:rPr>
          <w:b/>
          <w:bCs/>
        </w:rPr>
      </w:pPr>
    </w:p>
    <w:p w14:paraId="080D5A2A" w14:textId="77777777" w:rsidR="001C4D25" w:rsidRDefault="001C4D25"/>
    <w:p w14:paraId="707E9E92" w14:textId="77777777" w:rsidR="00931E8D" w:rsidRDefault="00931E8D"/>
    <w:p w14:paraId="51ED81A7" w14:textId="77777777" w:rsidR="00931E8D" w:rsidRDefault="00931E8D"/>
    <w:p w14:paraId="02559057" w14:textId="77777777" w:rsidR="00931E8D" w:rsidRDefault="00931E8D"/>
    <w:p w14:paraId="3814F7DC" w14:textId="77777777" w:rsidR="00931E8D" w:rsidRDefault="00931E8D"/>
    <w:p w14:paraId="154993A2" w14:textId="77777777" w:rsidR="00931E8D" w:rsidRDefault="00931E8D"/>
    <w:p w14:paraId="2BB01104" w14:textId="77777777" w:rsidR="00931E8D" w:rsidRDefault="00931E8D"/>
    <w:p w14:paraId="626AA1DF" w14:textId="77777777" w:rsidR="00931E8D" w:rsidRDefault="00931E8D"/>
    <w:p w14:paraId="7875852C" w14:textId="77777777" w:rsidR="00931E8D" w:rsidRDefault="00931E8D"/>
    <w:p w14:paraId="6B137560" w14:textId="77777777" w:rsidR="00931E8D" w:rsidRDefault="00931E8D"/>
    <w:p w14:paraId="3A57BEBF" w14:textId="77777777" w:rsidR="00931E8D" w:rsidRDefault="00931E8D"/>
    <w:p w14:paraId="794F455A" w14:textId="77777777" w:rsidR="00931E8D" w:rsidRDefault="00931E8D"/>
    <w:p w14:paraId="2078F858" w14:textId="77777777" w:rsidR="00931E8D" w:rsidRDefault="00931E8D"/>
    <w:p w14:paraId="235AFE4B" w14:textId="237A90BF" w:rsidR="00931E8D" w:rsidRDefault="00931E8D" w:rsidP="00931E8D">
      <w:pPr>
        <w:pStyle w:val="Heading1"/>
      </w:pPr>
      <w:r>
        <w:t xml:space="preserve">References </w:t>
      </w:r>
    </w:p>
    <w:p w14:paraId="1D31EA37" w14:textId="77777777" w:rsidR="00931E8D" w:rsidRPr="00F75D2B" w:rsidRDefault="00931E8D" w:rsidP="00931E8D">
      <w:pPr>
        <w:ind w:left="720" w:hanging="720"/>
        <w:jc w:val="both"/>
        <w:rPr>
          <w:color w:val="222222"/>
          <w:szCs w:val="22"/>
          <w:shd w:val="clear" w:color="auto" w:fill="FFFFFF"/>
        </w:rPr>
      </w:pPr>
      <w:r w:rsidRPr="00F75D2B">
        <w:rPr>
          <w:rFonts w:cs="Arial"/>
          <w:color w:val="222222"/>
          <w:szCs w:val="22"/>
          <w:shd w:val="clear" w:color="auto" w:fill="FFFFFF"/>
        </w:rPr>
        <w:t xml:space="preserve">Brooks, A. and </w:t>
      </w:r>
      <w:proofErr w:type="spellStart"/>
      <w:r w:rsidRPr="00F75D2B">
        <w:rPr>
          <w:rFonts w:cs="Arial"/>
          <w:color w:val="222222"/>
          <w:szCs w:val="22"/>
          <w:shd w:val="clear" w:color="auto" w:fill="FFFFFF"/>
        </w:rPr>
        <w:t>Gillon</w:t>
      </w:r>
      <w:proofErr w:type="spellEnd"/>
      <w:r w:rsidRPr="00F75D2B">
        <w:rPr>
          <w:rFonts w:cs="Arial"/>
          <w:color w:val="222222"/>
          <w:szCs w:val="22"/>
          <w:shd w:val="clear" w:color="auto" w:fill="FFFFFF"/>
        </w:rPr>
        <w:t>, U.</w:t>
      </w:r>
      <w:r>
        <w:rPr>
          <w:color w:val="222222"/>
          <w:shd w:val="clear" w:color="auto" w:fill="FFFFFF"/>
        </w:rPr>
        <w:t xml:space="preserve"> (</w:t>
      </w:r>
      <w:r w:rsidRPr="00F75D2B">
        <w:rPr>
          <w:rFonts w:cs="Arial"/>
          <w:color w:val="222222"/>
          <w:szCs w:val="22"/>
          <w:shd w:val="clear" w:color="auto" w:fill="FFFFFF"/>
        </w:rPr>
        <w:t>2025</w:t>
      </w:r>
      <w:r>
        <w:rPr>
          <w:color w:val="222222"/>
          <w:shd w:val="clear" w:color="auto" w:fill="FFFFFF"/>
        </w:rPr>
        <w:t>) ‘</w:t>
      </w:r>
      <w:r w:rsidRPr="00F75D2B">
        <w:rPr>
          <w:rFonts w:cs="Arial"/>
          <w:color w:val="222222"/>
          <w:szCs w:val="22"/>
          <w:shd w:val="clear" w:color="auto" w:fill="FFFFFF"/>
        </w:rPr>
        <w:t>Interdisciplinary working within urgent community response and intermediate care services</w:t>
      </w:r>
      <w:r>
        <w:rPr>
          <w:color w:val="222222"/>
          <w:shd w:val="clear" w:color="auto" w:fill="FFFFFF"/>
        </w:rPr>
        <w:t>’,</w:t>
      </w:r>
      <w:r w:rsidRPr="00F75D2B">
        <w:rPr>
          <w:rFonts w:cs="Arial"/>
          <w:color w:val="222222"/>
          <w:szCs w:val="22"/>
          <w:shd w:val="clear" w:color="auto" w:fill="FFFFFF"/>
        </w:rPr>
        <w:t> </w:t>
      </w:r>
      <w:r w:rsidRPr="00F75D2B">
        <w:rPr>
          <w:rFonts w:cs="Arial"/>
          <w:i/>
          <w:iCs/>
          <w:color w:val="222222"/>
          <w:szCs w:val="22"/>
          <w:shd w:val="clear" w:color="auto" w:fill="FFFFFF"/>
        </w:rPr>
        <w:t>British Journal of Community Nursing</w:t>
      </w:r>
      <w:r w:rsidRPr="00F75D2B">
        <w:rPr>
          <w:rFonts w:cs="Arial"/>
          <w:color w:val="222222"/>
          <w:szCs w:val="22"/>
          <w:shd w:val="clear" w:color="auto" w:fill="FFFFFF"/>
        </w:rPr>
        <w:t>, </w:t>
      </w:r>
      <w:r w:rsidRPr="00F75D2B">
        <w:rPr>
          <w:rFonts w:cs="Arial"/>
          <w:i/>
          <w:iCs/>
          <w:color w:val="222222"/>
          <w:szCs w:val="22"/>
          <w:shd w:val="clear" w:color="auto" w:fill="FFFFFF"/>
        </w:rPr>
        <w:t>30</w:t>
      </w:r>
      <w:r w:rsidRPr="00F75D2B">
        <w:rPr>
          <w:rFonts w:cs="Arial"/>
          <w:color w:val="222222"/>
          <w:szCs w:val="22"/>
          <w:shd w:val="clear" w:color="auto" w:fill="FFFFFF"/>
        </w:rPr>
        <w:t>(11), pp.524-536.</w:t>
      </w:r>
    </w:p>
    <w:p w14:paraId="1EF2F602" w14:textId="77777777" w:rsidR="00931E8D" w:rsidRPr="00B258DB" w:rsidRDefault="00931E8D" w:rsidP="00931E8D">
      <w:pPr>
        <w:ind w:left="720" w:hanging="720"/>
        <w:rPr>
          <w:color w:val="222222"/>
          <w:szCs w:val="22"/>
          <w:shd w:val="clear" w:color="auto" w:fill="FFFFFF"/>
        </w:rPr>
      </w:pPr>
      <w:proofErr w:type="spellStart"/>
      <w:r w:rsidRPr="00B258DB">
        <w:rPr>
          <w:rFonts w:cs="Arial"/>
          <w:color w:val="222222"/>
          <w:szCs w:val="22"/>
          <w:shd w:val="clear" w:color="auto" w:fill="FFFFFF"/>
        </w:rPr>
        <w:t>Dowie</w:t>
      </w:r>
      <w:proofErr w:type="spellEnd"/>
      <w:r w:rsidRPr="00B258DB">
        <w:rPr>
          <w:rFonts w:cs="Arial"/>
          <w:color w:val="222222"/>
          <w:szCs w:val="22"/>
          <w:shd w:val="clear" w:color="auto" w:fill="FFFFFF"/>
        </w:rPr>
        <w:t>, I.</w:t>
      </w:r>
      <w:r>
        <w:rPr>
          <w:color w:val="222222"/>
          <w:shd w:val="clear" w:color="auto" w:fill="FFFFFF"/>
        </w:rPr>
        <w:t xml:space="preserve"> (</w:t>
      </w:r>
      <w:r w:rsidRPr="00B258DB">
        <w:rPr>
          <w:rFonts w:cs="Arial"/>
          <w:color w:val="222222"/>
          <w:szCs w:val="22"/>
          <w:shd w:val="clear" w:color="auto" w:fill="FFFFFF"/>
        </w:rPr>
        <w:t>2024</w:t>
      </w:r>
      <w:r>
        <w:rPr>
          <w:color w:val="222222"/>
          <w:shd w:val="clear" w:color="auto" w:fill="FFFFFF"/>
        </w:rPr>
        <w:t>)</w:t>
      </w:r>
      <w:r w:rsidRPr="00B258DB">
        <w:rPr>
          <w:rFonts w:cs="Arial"/>
          <w:color w:val="222222"/>
          <w:szCs w:val="22"/>
          <w:shd w:val="clear" w:color="auto" w:fill="FFFFFF"/>
        </w:rPr>
        <w:t xml:space="preserve"> </w:t>
      </w:r>
      <w:r>
        <w:rPr>
          <w:color w:val="222222"/>
          <w:shd w:val="clear" w:color="auto" w:fill="FFFFFF"/>
        </w:rPr>
        <w:t>‘</w:t>
      </w:r>
      <w:r w:rsidRPr="00B258DB">
        <w:rPr>
          <w:rFonts w:cs="Arial"/>
          <w:color w:val="222222"/>
          <w:szCs w:val="22"/>
          <w:shd w:val="clear" w:color="auto" w:fill="FFFFFF"/>
        </w:rPr>
        <w:t>Record keeping and the community nurse</w:t>
      </w:r>
      <w:r>
        <w:rPr>
          <w:color w:val="222222"/>
          <w:shd w:val="clear" w:color="auto" w:fill="FFFFFF"/>
        </w:rPr>
        <w:t xml:space="preserve">’, </w:t>
      </w:r>
      <w:r w:rsidRPr="00B258DB">
        <w:rPr>
          <w:rFonts w:cs="Arial"/>
          <w:i/>
          <w:iCs/>
          <w:color w:val="222222"/>
          <w:szCs w:val="22"/>
          <w:shd w:val="clear" w:color="auto" w:fill="FFFFFF"/>
        </w:rPr>
        <w:t>British Journal of Community Nursing</w:t>
      </w:r>
      <w:r w:rsidRPr="00B258DB">
        <w:rPr>
          <w:rFonts w:cs="Arial"/>
          <w:color w:val="222222"/>
          <w:szCs w:val="22"/>
          <w:shd w:val="clear" w:color="auto" w:fill="FFFFFF"/>
        </w:rPr>
        <w:t>, </w:t>
      </w:r>
      <w:r w:rsidRPr="00B258DB">
        <w:rPr>
          <w:rFonts w:cs="Arial"/>
          <w:i/>
          <w:iCs/>
          <w:color w:val="222222"/>
          <w:szCs w:val="22"/>
          <w:shd w:val="clear" w:color="auto" w:fill="FFFFFF"/>
        </w:rPr>
        <w:t>29</w:t>
      </w:r>
      <w:r w:rsidRPr="00B258DB">
        <w:rPr>
          <w:rFonts w:cs="Arial"/>
          <w:color w:val="222222"/>
          <w:szCs w:val="22"/>
          <w:shd w:val="clear" w:color="auto" w:fill="FFFFFF"/>
        </w:rPr>
        <w:t>(2), pp.58-59.</w:t>
      </w:r>
    </w:p>
    <w:p w14:paraId="69D45CC7" w14:textId="77777777" w:rsidR="00931E8D" w:rsidRPr="00B258DB" w:rsidRDefault="00931E8D" w:rsidP="00931E8D">
      <w:pPr>
        <w:ind w:left="720" w:hanging="720"/>
        <w:rPr>
          <w:color w:val="222222"/>
          <w:szCs w:val="22"/>
          <w:shd w:val="clear" w:color="auto" w:fill="FFFFFF"/>
        </w:rPr>
      </w:pPr>
      <w:proofErr w:type="spellStart"/>
      <w:r w:rsidRPr="00B258DB">
        <w:rPr>
          <w:rFonts w:cs="Arial"/>
          <w:color w:val="222222"/>
          <w:szCs w:val="22"/>
          <w:shd w:val="clear" w:color="auto" w:fill="FFFFFF"/>
        </w:rPr>
        <w:t>Dowie</w:t>
      </w:r>
      <w:proofErr w:type="spellEnd"/>
      <w:r w:rsidRPr="00B258DB">
        <w:rPr>
          <w:rFonts w:cs="Arial"/>
          <w:color w:val="222222"/>
          <w:szCs w:val="22"/>
          <w:shd w:val="clear" w:color="auto" w:fill="FFFFFF"/>
        </w:rPr>
        <w:t>, I.</w:t>
      </w:r>
      <w:r>
        <w:rPr>
          <w:color w:val="222222"/>
          <w:shd w:val="clear" w:color="auto" w:fill="FFFFFF"/>
        </w:rPr>
        <w:t xml:space="preserve"> (</w:t>
      </w:r>
      <w:r w:rsidRPr="00B258DB">
        <w:rPr>
          <w:rFonts w:cs="Arial"/>
          <w:color w:val="222222"/>
          <w:szCs w:val="22"/>
          <w:shd w:val="clear" w:color="auto" w:fill="FFFFFF"/>
        </w:rPr>
        <w:t>2024</w:t>
      </w:r>
      <w:r>
        <w:rPr>
          <w:color w:val="222222"/>
          <w:shd w:val="clear" w:color="auto" w:fill="FFFFFF"/>
        </w:rPr>
        <w:t>) ‘</w:t>
      </w:r>
      <w:r w:rsidRPr="00B258DB">
        <w:rPr>
          <w:rFonts w:cs="Arial"/>
          <w:color w:val="222222"/>
          <w:szCs w:val="22"/>
          <w:shd w:val="clear" w:color="auto" w:fill="FFFFFF"/>
        </w:rPr>
        <w:t>The Equality Act 2010 and the community nurse</w:t>
      </w:r>
      <w:r>
        <w:rPr>
          <w:color w:val="222222"/>
          <w:shd w:val="clear" w:color="auto" w:fill="FFFFFF"/>
        </w:rPr>
        <w:t>’,</w:t>
      </w:r>
      <w:r w:rsidRPr="00B258DB">
        <w:rPr>
          <w:rFonts w:cs="Arial"/>
          <w:color w:val="222222"/>
          <w:szCs w:val="22"/>
          <w:shd w:val="clear" w:color="auto" w:fill="FFFFFF"/>
        </w:rPr>
        <w:t> </w:t>
      </w:r>
      <w:r w:rsidRPr="00B258DB">
        <w:rPr>
          <w:rFonts w:cs="Arial"/>
          <w:i/>
          <w:iCs/>
          <w:color w:val="222222"/>
          <w:szCs w:val="22"/>
          <w:shd w:val="clear" w:color="auto" w:fill="FFFFFF"/>
        </w:rPr>
        <w:t>British Journal of Community Nursing</w:t>
      </w:r>
      <w:r w:rsidRPr="00B258DB">
        <w:rPr>
          <w:rFonts w:cs="Arial"/>
          <w:color w:val="222222"/>
          <w:szCs w:val="22"/>
          <w:shd w:val="clear" w:color="auto" w:fill="FFFFFF"/>
        </w:rPr>
        <w:t>, </w:t>
      </w:r>
      <w:r w:rsidRPr="00B258DB">
        <w:rPr>
          <w:rFonts w:cs="Arial"/>
          <w:i/>
          <w:iCs/>
          <w:color w:val="222222"/>
          <w:szCs w:val="22"/>
          <w:shd w:val="clear" w:color="auto" w:fill="FFFFFF"/>
        </w:rPr>
        <w:t>29</w:t>
      </w:r>
      <w:r w:rsidRPr="00B258DB">
        <w:rPr>
          <w:rFonts w:cs="Arial"/>
          <w:color w:val="222222"/>
          <w:szCs w:val="22"/>
          <w:shd w:val="clear" w:color="auto" w:fill="FFFFFF"/>
        </w:rPr>
        <w:t>(12), pp.563-564.</w:t>
      </w:r>
    </w:p>
    <w:p w14:paraId="12F82506" w14:textId="77777777" w:rsidR="00931E8D" w:rsidRPr="009B306E" w:rsidRDefault="00931E8D" w:rsidP="00931E8D">
      <w:pPr>
        <w:ind w:left="720" w:hanging="720"/>
        <w:jc w:val="both"/>
        <w:rPr>
          <w:rFonts w:cs="Arial"/>
          <w:color w:val="222222"/>
          <w:szCs w:val="22"/>
          <w:shd w:val="clear" w:color="auto" w:fill="FFFFFF"/>
        </w:rPr>
      </w:pPr>
      <w:proofErr w:type="spellStart"/>
      <w:r w:rsidRPr="009B306E">
        <w:rPr>
          <w:rFonts w:cs="Arial"/>
          <w:color w:val="222222"/>
          <w:szCs w:val="22"/>
          <w:shd w:val="clear" w:color="auto" w:fill="FFFFFF"/>
        </w:rPr>
        <w:t>Expósito</w:t>
      </w:r>
      <w:r w:rsidRPr="009B306E">
        <w:rPr>
          <w:rFonts w:ascii="Cambria Math" w:hAnsi="Cambria Math" w:cs="Cambria Math"/>
          <w:color w:val="222222"/>
          <w:szCs w:val="22"/>
          <w:shd w:val="clear" w:color="auto" w:fill="FFFFFF"/>
        </w:rPr>
        <w:t>‐</w:t>
      </w:r>
      <w:r w:rsidRPr="009B306E">
        <w:rPr>
          <w:rFonts w:cs="Arial"/>
          <w:color w:val="222222"/>
          <w:szCs w:val="22"/>
          <w:shd w:val="clear" w:color="auto" w:fill="FFFFFF"/>
        </w:rPr>
        <w:t>Jiménez</w:t>
      </w:r>
      <w:proofErr w:type="spellEnd"/>
      <w:r w:rsidRPr="009B306E">
        <w:rPr>
          <w:rFonts w:cs="Arial"/>
          <w:color w:val="222222"/>
          <w:szCs w:val="22"/>
          <w:shd w:val="clear" w:color="auto" w:fill="FFFFFF"/>
        </w:rPr>
        <w:t xml:space="preserve">, A., </w:t>
      </w:r>
      <w:proofErr w:type="spellStart"/>
      <w:r w:rsidRPr="009B306E">
        <w:rPr>
          <w:rFonts w:cs="Arial"/>
          <w:color w:val="222222"/>
          <w:szCs w:val="22"/>
          <w:shd w:val="clear" w:color="auto" w:fill="FFFFFF"/>
        </w:rPr>
        <w:t>Alcaide</w:t>
      </w:r>
      <w:r w:rsidRPr="009B306E">
        <w:rPr>
          <w:rFonts w:ascii="Cambria Math" w:hAnsi="Cambria Math" w:cs="Cambria Math"/>
          <w:color w:val="222222"/>
          <w:szCs w:val="22"/>
          <w:shd w:val="clear" w:color="auto" w:fill="FFFFFF"/>
        </w:rPr>
        <w:t>‐</w:t>
      </w:r>
      <w:r w:rsidRPr="009B306E">
        <w:rPr>
          <w:rFonts w:cs="Arial"/>
          <w:color w:val="222222"/>
          <w:szCs w:val="22"/>
          <w:shd w:val="clear" w:color="auto" w:fill="FFFFFF"/>
        </w:rPr>
        <w:t>Leyva</w:t>
      </w:r>
      <w:proofErr w:type="spellEnd"/>
      <w:r w:rsidRPr="009B306E">
        <w:rPr>
          <w:rFonts w:cs="Arial"/>
          <w:color w:val="222222"/>
          <w:szCs w:val="22"/>
          <w:shd w:val="clear" w:color="auto" w:fill="FFFFFF"/>
        </w:rPr>
        <w:t>, J.M., Jiménez</w:t>
      </w:r>
      <w:r w:rsidRPr="009B306E">
        <w:rPr>
          <w:rFonts w:ascii="Cambria Math" w:hAnsi="Cambria Math" w:cs="Cambria Math"/>
          <w:color w:val="222222"/>
          <w:szCs w:val="22"/>
          <w:shd w:val="clear" w:color="auto" w:fill="FFFFFF"/>
        </w:rPr>
        <w:t>‐</w:t>
      </w:r>
      <w:r w:rsidRPr="009B306E">
        <w:rPr>
          <w:rFonts w:cs="Arial"/>
          <w:color w:val="222222"/>
          <w:szCs w:val="22"/>
          <w:shd w:val="clear" w:color="auto" w:fill="FFFFFF"/>
        </w:rPr>
        <w:t xml:space="preserve">Mérida, M.D.R. and </w:t>
      </w:r>
      <w:proofErr w:type="spellStart"/>
      <w:r w:rsidRPr="009B306E">
        <w:rPr>
          <w:rFonts w:cs="Arial"/>
          <w:color w:val="222222"/>
          <w:szCs w:val="22"/>
          <w:shd w:val="clear" w:color="auto" w:fill="FFFFFF"/>
        </w:rPr>
        <w:t>Martínez</w:t>
      </w:r>
      <w:r w:rsidRPr="009B306E">
        <w:rPr>
          <w:rFonts w:ascii="Cambria Math" w:hAnsi="Cambria Math" w:cs="Cambria Math"/>
          <w:color w:val="222222"/>
          <w:szCs w:val="22"/>
          <w:shd w:val="clear" w:color="auto" w:fill="FFFFFF"/>
        </w:rPr>
        <w:t>‐</w:t>
      </w:r>
      <w:r w:rsidRPr="009B306E">
        <w:rPr>
          <w:rFonts w:cs="Arial"/>
          <w:color w:val="222222"/>
          <w:szCs w:val="22"/>
          <w:shd w:val="clear" w:color="auto" w:fill="FFFFFF"/>
        </w:rPr>
        <w:t>Angulo</w:t>
      </w:r>
      <w:proofErr w:type="spellEnd"/>
      <w:r w:rsidRPr="009B306E">
        <w:rPr>
          <w:rFonts w:cs="Arial"/>
          <w:color w:val="222222"/>
          <w:szCs w:val="22"/>
          <w:shd w:val="clear" w:color="auto" w:fill="FFFFFF"/>
        </w:rPr>
        <w:t>, P.</w:t>
      </w:r>
      <w:r>
        <w:rPr>
          <w:color w:val="222222"/>
          <w:shd w:val="clear" w:color="auto" w:fill="FFFFFF"/>
        </w:rPr>
        <w:t xml:space="preserve"> (</w:t>
      </w:r>
      <w:r w:rsidRPr="009B306E">
        <w:rPr>
          <w:rFonts w:cs="Arial"/>
          <w:color w:val="222222"/>
          <w:szCs w:val="22"/>
          <w:shd w:val="clear" w:color="auto" w:fill="FFFFFF"/>
        </w:rPr>
        <w:t>2024</w:t>
      </w:r>
      <w:r>
        <w:rPr>
          <w:color w:val="222222"/>
          <w:shd w:val="clear" w:color="auto" w:fill="FFFFFF"/>
        </w:rPr>
        <w:t>) ‘</w:t>
      </w:r>
      <w:r w:rsidRPr="009B306E">
        <w:rPr>
          <w:rFonts w:cs="Arial"/>
          <w:color w:val="222222"/>
          <w:szCs w:val="22"/>
          <w:shd w:val="clear" w:color="auto" w:fill="FFFFFF"/>
        </w:rPr>
        <w:t>Health communication and shared decision</w:t>
      </w:r>
      <w:r w:rsidRPr="009B306E">
        <w:rPr>
          <w:rFonts w:ascii="Cambria Math" w:hAnsi="Cambria Math" w:cs="Cambria Math"/>
          <w:color w:val="222222"/>
          <w:szCs w:val="22"/>
          <w:shd w:val="clear" w:color="auto" w:fill="FFFFFF"/>
        </w:rPr>
        <w:t>‐</w:t>
      </w:r>
      <w:r w:rsidRPr="009B306E">
        <w:rPr>
          <w:rFonts w:cs="Arial"/>
          <w:color w:val="222222"/>
          <w:szCs w:val="22"/>
          <w:shd w:val="clear" w:color="auto" w:fill="FFFFFF"/>
        </w:rPr>
        <w:t>making between nurses and older adults in community setting: An integrative review</w:t>
      </w:r>
      <w:r>
        <w:rPr>
          <w:color w:val="222222"/>
          <w:shd w:val="clear" w:color="auto" w:fill="FFFFFF"/>
        </w:rPr>
        <w:t>’,</w:t>
      </w:r>
      <w:r w:rsidRPr="009B306E">
        <w:rPr>
          <w:rFonts w:cs="Arial"/>
          <w:color w:val="222222"/>
          <w:szCs w:val="22"/>
          <w:shd w:val="clear" w:color="auto" w:fill="FFFFFF"/>
        </w:rPr>
        <w:t> </w:t>
      </w:r>
      <w:r w:rsidRPr="009B306E">
        <w:rPr>
          <w:rFonts w:cs="Arial"/>
          <w:i/>
          <w:iCs/>
          <w:color w:val="222222"/>
          <w:szCs w:val="22"/>
          <w:shd w:val="clear" w:color="auto" w:fill="FFFFFF"/>
        </w:rPr>
        <w:t>Journal of Clinical Nursing</w:t>
      </w:r>
      <w:r w:rsidRPr="009B306E">
        <w:rPr>
          <w:rFonts w:cs="Arial"/>
          <w:color w:val="222222"/>
          <w:szCs w:val="22"/>
          <w:shd w:val="clear" w:color="auto" w:fill="FFFFFF"/>
        </w:rPr>
        <w:t>, </w:t>
      </w:r>
      <w:r w:rsidRPr="009B306E">
        <w:rPr>
          <w:rFonts w:cs="Arial"/>
          <w:i/>
          <w:iCs/>
          <w:color w:val="222222"/>
          <w:szCs w:val="22"/>
          <w:shd w:val="clear" w:color="auto" w:fill="FFFFFF"/>
        </w:rPr>
        <w:t>33</w:t>
      </w:r>
      <w:r w:rsidRPr="009B306E">
        <w:rPr>
          <w:rFonts w:cs="Arial"/>
          <w:color w:val="222222"/>
          <w:szCs w:val="22"/>
          <w:shd w:val="clear" w:color="auto" w:fill="FFFFFF"/>
        </w:rPr>
        <w:t>(8), pp.2922-2935.</w:t>
      </w:r>
    </w:p>
    <w:p w14:paraId="54B10BC7" w14:textId="77777777" w:rsidR="00931E8D" w:rsidRDefault="00931E8D" w:rsidP="00931E8D">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GOV.UK (2010). </w:t>
      </w:r>
      <w:r>
        <w:rPr>
          <w:rFonts w:ascii="Arial" w:hAnsi="Arial" w:cs="Arial"/>
          <w:i/>
          <w:iCs/>
          <w:sz w:val="22"/>
          <w:szCs w:val="22"/>
        </w:rPr>
        <w:t>Equality Act 2010</w:t>
      </w:r>
      <w:r>
        <w:rPr>
          <w:rFonts w:ascii="Arial" w:hAnsi="Arial" w:cs="Arial"/>
          <w:sz w:val="22"/>
          <w:szCs w:val="22"/>
        </w:rPr>
        <w:t>. [online] Available at: https://www.legislation.gov.uk/ukpga/2010/15/pdfs/ukpga_20100015_en.pdf [Accessed 10 July 2026].</w:t>
      </w:r>
    </w:p>
    <w:p w14:paraId="271DBEC4" w14:textId="77777777" w:rsidR="00931E8D" w:rsidRDefault="00931E8D" w:rsidP="00931E8D">
      <w:pPr>
        <w:pStyle w:val="NormalWeb"/>
        <w:spacing w:before="0" w:beforeAutospacing="0" w:after="240" w:afterAutospacing="0" w:line="360" w:lineRule="auto"/>
        <w:ind w:left="720" w:hanging="720"/>
        <w:rPr>
          <w:rFonts w:ascii="Arial" w:hAnsi="Arial" w:cs="Arial"/>
          <w:sz w:val="22"/>
          <w:szCs w:val="22"/>
        </w:rPr>
      </w:pPr>
      <w:r>
        <w:rPr>
          <w:rFonts w:ascii="Arial" w:hAnsi="Arial" w:cs="Arial"/>
          <w:sz w:val="22"/>
          <w:szCs w:val="22"/>
        </w:rPr>
        <w:t xml:space="preserve">Legislation.gov.uk (2018) </w:t>
      </w:r>
      <w:r>
        <w:rPr>
          <w:rFonts w:ascii="Arial" w:hAnsi="Arial" w:cs="Arial"/>
          <w:i/>
          <w:iCs/>
          <w:sz w:val="22"/>
          <w:szCs w:val="22"/>
        </w:rPr>
        <w:t>Data Protection Act 2018 (c. 12)</w:t>
      </w:r>
      <w:r>
        <w:rPr>
          <w:rFonts w:ascii="Arial" w:hAnsi="Arial" w:cs="Arial"/>
          <w:sz w:val="22"/>
          <w:szCs w:val="22"/>
        </w:rPr>
        <w:t>. [online] Legislation.gov.uk. Available at: https://www.legislation.gov.uk/ukpga/2018/12/enacted/data.xht?view=snippet&amp;wrap=true [Accessed 10 July 2026].</w:t>
      </w:r>
    </w:p>
    <w:p w14:paraId="3B2C2724" w14:textId="77777777" w:rsidR="00931E8D" w:rsidRPr="009B306E" w:rsidRDefault="00931E8D" w:rsidP="00931E8D">
      <w:pPr>
        <w:ind w:left="720" w:hanging="720"/>
        <w:jc w:val="both"/>
        <w:rPr>
          <w:color w:val="222222"/>
          <w:szCs w:val="22"/>
          <w:shd w:val="clear" w:color="auto" w:fill="FFFFFF"/>
        </w:rPr>
      </w:pPr>
      <w:r w:rsidRPr="009B306E">
        <w:rPr>
          <w:rFonts w:cs="Arial"/>
          <w:color w:val="222222"/>
          <w:szCs w:val="22"/>
          <w:shd w:val="clear" w:color="auto" w:fill="FFFFFF"/>
        </w:rPr>
        <w:t xml:space="preserve">O’Rourke, D.J., </w:t>
      </w:r>
      <w:proofErr w:type="spellStart"/>
      <w:r w:rsidRPr="009B306E">
        <w:rPr>
          <w:rFonts w:cs="Arial"/>
          <w:color w:val="222222"/>
          <w:szCs w:val="22"/>
          <w:shd w:val="clear" w:color="auto" w:fill="FFFFFF"/>
        </w:rPr>
        <w:t>Lobchuk</w:t>
      </w:r>
      <w:proofErr w:type="spellEnd"/>
      <w:r w:rsidRPr="009B306E">
        <w:rPr>
          <w:rFonts w:cs="Arial"/>
          <w:color w:val="222222"/>
          <w:szCs w:val="22"/>
          <w:shd w:val="clear" w:color="auto" w:fill="FFFFFF"/>
        </w:rPr>
        <w:t xml:space="preserve">, M.M., Thompson, G.N. and </w:t>
      </w:r>
      <w:proofErr w:type="spellStart"/>
      <w:r w:rsidRPr="009B306E">
        <w:rPr>
          <w:rFonts w:cs="Arial"/>
          <w:color w:val="222222"/>
          <w:szCs w:val="22"/>
          <w:shd w:val="clear" w:color="auto" w:fill="FFFFFF"/>
        </w:rPr>
        <w:t>Lengyel</w:t>
      </w:r>
      <w:proofErr w:type="spellEnd"/>
      <w:r w:rsidRPr="009B306E">
        <w:rPr>
          <w:rFonts w:cs="Arial"/>
          <w:color w:val="222222"/>
          <w:szCs w:val="22"/>
          <w:shd w:val="clear" w:color="auto" w:fill="FFFFFF"/>
        </w:rPr>
        <w:t>, C.</w:t>
      </w:r>
      <w:r>
        <w:rPr>
          <w:color w:val="222222"/>
          <w:shd w:val="clear" w:color="auto" w:fill="FFFFFF"/>
        </w:rPr>
        <w:t xml:space="preserve"> (</w:t>
      </w:r>
      <w:r w:rsidRPr="009B306E">
        <w:rPr>
          <w:rFonts w:cs="Arial"/>
          <w:color w:val="222222"/>
          <w:szCs w:val="22"/>
          <w:shd w:val="clear" w:color="auto" w:fill="FFFFFF"/>
        </w:rPr>
        <w:t>2022</w:t>
      </w:r>
      <w:r>
        <w:rPr>
          <w:color w:val="222222"/>
          <w:shd w:val="clear" w:color="auto" w:fill="FFFFFF"/>
        </w:rPr>
        <w:t>) ‘</w:t>
      </w:r>
      <w:r w:rsidRPr="009B306E">
        <w:rPr>
          <w:rFonts w:cs="Arial"/>
          <w:color w:val="222222"/>
          <w:szCs w:val="22"/>
          <w:shd w:val="clear" w:color="auto" w:fill="FFFFFF"/>
        </w:rPr>
        <w:t>Expanding the conversation: A person-centred communication enhancement model</w:t>
      </w:r>
      <w:r>
        <w:rPr>
          <w:color w:val="222222"/>
          <w:shd w:val="clear" w:color="auto" w:fill="FFFFFF"/>
        </w:rPr>
        <w:t xml:space="preserve">’, </w:t>
      </w:r>
      <w:r w:rsidRPr="009B306E">
        <w:rPr>
          <w:rFonts w:cs="Arial"/>
          <w:i/>
          <w:iCs/>
          <w:color w:val="222222"/>
          <w:szCs w:val="22"/>
          <w:shd w:val="clear" w:color="auto" w:fill="FFFFFF"/>
        </w:rPr>
        <w:t>Dementia</w:t>
      </w:r>
      <w:r w:rsidRPr="009B306E">
        <w:rPr>
          <w:rFonts w:cs="Arial"/>
          <w:color w:val="222222"/>
          <w:szCs w:val="22"/>
          <w:shd w:val="clear" w:color="auto" w:fill="FFFFFF"/>
        </w:rPr>
        <w:t>, </w:t>
      </w:r>
      <w:r w:rsidRPr="009B306E">
        <w:rPr>
          <w:rFonts w:cs="Arial"/>
          <w:i/>
          <w:iCs/>
          <w:color w:val="222222"/>
          <w:szCs w:val="22"/>
          <w:shd w:val="clear" w:color="auto" w:fill="FFFFFF"/>
        </w:rPr>
        <w:t>21</w:t>
      </w:r>
      <w:r w:rsidRPr="009B306E">
        <w:rPr>
          <w:rFonts w:cs="Arial"/>
          <w:color w:val="222222"/>
          <w:szCs w:val="22"/>
          <w:shd w:val="clear" w:color="auto" w:fill="FFFFFF"/>
        </w:rPr>
        <w:t>(5), pp.1596-1617.</w:t>
      </w:r>
    </w:p>
    <w:p w14:paraId="27E663ED" w14:textId="77777777" w:rsidR="00931E8D" w:rsidRPr="00023B0D" w:rsidRDefault="00931E8D" w:rsidP="00931E8D">
      <w:pPr>
        <w:ind w:left="720" w:hanging="720"/>
        <w:jc w:val="both"/>
        <w:rPr>
          <w:color w:val="222222"/>
          <w:szCs w:val="22"/>
          <w:shd w:val="clear" w:color="auto" w:fill="FFFFFF"/>
        </w:rPr>
      </w:pPr>
      <w:r w:rsidRPr="00023B0D">
        <w:rPr>
          <w:rFonts w:cs="Arial"/>
          <w:color w:val="222222"/>
          <w:szCs w:val="22"/>
          <w:shd w:val="clear" w:color="auto" w:fill="FFFFFF"/>
        </w:rPr>
        <w:t xml:space="preserve">Pepper, A. and </w:t>
      </w:r>
      <w:proofErr w:type="spellStart"/>
      <w:r w:rsidRPr="00023B0D">
        <w:rPr>
          <w:rFonts w:cs="Arial"/>
          <w:color w:val="222222"/>
          <w:szCs w:val="22"/>
          <w:shd w:val="clear" w:color="auto" w:fill="FFFFFF"/>
        </w:rPr>
        <w:t>Dening</w:t>
      </w:r>
      <w:proofErr w:type="spellEnd"/>
      <w:r w:rsidRPr="00023B0D">
        <w:rPr>
          <w:rFonts w:cs="Arial"/>
          <w:color w:val="222222"/>
          <w:szCs w:val="22"/>
          <w:shd w:val="clear" w:color="auto" w:fill="FFFFFF"/>
        </w:rPr>
        <w:t>, K.H.</w:t>
      </w:r>
      <w:r>
        <w:rPr>
          <w:color w:val="222222"/>
          <w:shd w:val="clear" w:color="auto" w:fill="FFFFFF"/>
        </w:rPr>
        <w:t xml:space="preserve"> (</w:t>
      </w:r>
      <w:r w:rsidRPr="00023B0D">
        <w:rPr>
          <w:rFonts w:cs="Arial"/>
          <w:color w:val="222222"/>
          <w:szCs w:val="22"/>
          <w:shd w:val="clear" w:color="auto" w:fill="FFFFFF"/>
        </w:rPr>
        <w:t>2025</w:t>
      </w:r>
      <w:r>
        <w:rPr>
          <w:color w:val="222222"/>
          <w:shd w:val="clear" w:color="auto" w:fill="FFFFFF"/>
        </w:rPr>
        <w:t>) ‘</w:t>
      </w:r>
      <w:r w:rsidRPr="00023B0D">
        <w:rPr>
          <w:rFonts w:cs="Arial"/>
          <w:color w:val="222222"/>
          <w:szCs w:val="22"/>
          <w:shd w:val="clear" w:color="auto" w:fill="FFFFFF"/>
        </w:rPr>
        <w:t>Person-centred communication with people with dementia</w:t>
      </w:r>
      <w:r>
        <w:rPr>
          <w:color w:val="222222"/>
          <w:shd w:val="clear" w:color="auto" w:fill="FFFFFF"/>
        </w:rPr>
        <w:t>’,</w:t>
      </w:r>
      <w:r w:rsidRPr="00023B0D">
        <w:rPr>
          <w:rFonts w:cs="Arial"/>
          <w:color w:val="222222"/>
          <w:szCs w:val="22"/>
          <w:shd w:val="clear" w:color="auto" w:fill="FFFFFF"/>
        </w:rPr>
        <w:t> </w:t>
      </w:r>
      <w:r w:rsidRPr="00023B0D">
        <w:rPr>
          <w:rFonts w:cs="Arial"/>
          <w:i/>
          <w:iCs/>
          <w:color w:val="222222"/>
          <w:szCs w:val="22"/>
          <w:shd w:val="clear" w:color="auto" w:fill="FFFFFF"/>
        </w:rPr>
        <w:t>Nursing Older People</w:t>
      </w:r>
      <w:r w:rsidRPr="00023B0D">
        <w:rPr>
          <w:rFonts w:cs="Arial"/>
          <w:color w:val="222222"/>
          <w:szCs w:val="22"/>
          <w:shd w:val="clear" w:color="auto" w:fill="FFFFFF"/>
        </w:rPr>
        <w:t>, </w:t>
      </w:r>
      <w:r w:rsidRPr="00023B0D">
        <w:rPr>
          <w:rFonts w:cs="Arial"/>
          <w:i/>
          <w:iCs/>
          <w:color w:val="222222"/>
          <w:szCs w:val="22"/>
          <w:shd w:val="clear" w:color="auto" w:fill="FFFFFF"/>
        </w:rPr>
        <w:t>37</w:t>
      </w:r>
      <w:r w:rsidRPr="00023B0D">
        <w:rPr>
          <w:rFonts w:cs="Arial"/>
          <w:color w:val="222222"/>
          <w:szCs w:val="22"/>
          <w:shd w:val="clear" w:color="auto" w:fill="FFFFFF"/>
        </w:rPr>
        <w:t>(6).</w:t>
      </w:r>
    </w:p>
    <w:p w14:paraId="4C943863" w14:textId="77777777" w:rsidR="00931E8D" w:rsidRPr="00023B0D" w:rsidRDefault="00931E8D" w:rsidP="00931E8D">
      <w:pPr>
        <w:ind w:left="720" w:hanging="720"/>
        <w:jc w:val="both"/>
        <w:rPr>
          <w:szCs w:val="22"/>
        </w:rPr>
      </w:pPr>
      <w:proofErr w:type="spellStart"/>
      <w:r w:rsidRPr="00023B0D">
        <w:rPr>
          <w:rFonts w:cs="Arial"/>
          <w:color w:val="222222"/>
          <w:szCs w:val="22"/>
          <w:shd w:val="clear" w:color="auto" w:fill="FFFFFF"/>
        </w:rPr>
        <w:t>Santomauro</w:t>
      </w:r>
      <w:proofErr w:type="spellEnd"/>
      <w:r w:rsidRPr="00023B0D">
        <w:rPr>
          <w:rFonts w:cs="Arial"/>
          <w:color w:val="222222"/>
          <w:szCs w:val="22"/>
          <w:shd w:val="clear" w:color="auto" w:fill="FFFFFF"/>
        </w:rPr>
        <w:t xml:space="preserve">, I., Bassi, E., </w:t>
      </w:r>
      <w:proofErr w:type="spellStart"/>
      <w:r w:rsidRPr="00023B0D">
        <w:rPr>
          <w:rFonts w:cs="Arial"/>
          <w:color w:val="222222"/>
          <w:szCs w:val="22"/>
          <w:shd w:val="clear" w:color="auto" w:fill="FFFFFF"/>
        </w:rPr>
        <w:t>Busca</w:t>
      </w:r>
      <w:proofErr w:type="spellEnd"/>
      <w:r w:rsidRPr="00023B0D">
        <w:rPr>
          <w:rFonts w:cs="Arial"/>
          <w:color w:val="222222"/>
          <w:szCs w:val="22"/>
          <w:shd w:val="clear" w:color="auto" w:fill="FFFFFF"/>
        </w:rPr>
        <w:t xml:space="preserve">, E., Basso, I., </w:t>
      </w:r>
      <w:proofErr w:type="spellStart"/>
      <w:r w:rsidRPr="00023B0D">
        <w:rPr>
          <w:rFonts w:cs="Arial"/>
          <w:color w:val="222222"/>
          <w:szCs w:val="22"/>
          <w:shd w:val="clear" w:color="auto" w:fill="FFFFFF"/>
        </w:rPr>
        <w:t>Ambrosi</w:t>
      </w:r>
      <w:proofErr w:type="spellEnd"/>
      <w:r w:rsidRPr="00023B0D">
        <w:rPr>
          <w:rFonts w:cs="Arial"/>
          <w:color w:val="222222"/>
          <w:szCs w:val="22"/>
          <w:shd w:val="clear" w:color="auto" w:fill="FFFFFF"/>
        </w:rPr>
        <w:t xml:space="preserve">, E., </w:t>
      </w:r>
      <w:proofErr w:type="spellStart"/>
      <w:r w:rsidRPr="00023B0D">
        <w:rPr>
          <w:rFonts w:cs="Arial"/>
          <w:color w:val="222222"/>
          <w:szCs w:val="22"/>
          <w:shd w:val="clear" w:color="auto" w:fill="FFFFFF"/>
        </w:rPr>
        <w:t>Stedile</w:t>
      </w:r>
      <w:proofErr w:type="spellEnd"/>
      <w:r w:rsidRPr="00023B0D">
        <w:rPr>
          <w:rFonts w:cs="Arial"/>
          <w:color w:val="222222"/>
          <w:szCs w:val="22"/>
          <w:shd w:val="clear" w:color="auto" w:fill="FFFFFF"/>
        </w:rPr>
        <w:t xml:space="preserve">, M., Durante, A. and Dal </w:t>
      </w:r>
      <w:proofErr w:type="spellStart"/>
      <w:r w:rsidRPr="00023B0D">
        <w:rPr>
          <w:rFonts w:cs="Arial"/>
          <w:color w:val="222222"/>
          <w:szCs w:val="22"/>
          <w:shd w:val="clear" w:color="auto" w:fill="FFFFFF"/>
        </w:rPr>
        <w:t>Molin</w:t>
      </w:r>
      <w:proofErr w:type="spellEnd"/>
      <w:r w:rsidRPr="00023B0D">
        <w:rPr>
          <w:rFonts w:cs="Arial"/>
          <w:color w:val="222222"/>
          <w:szCs w:val="22"/>
          <w:shd w:val="clear" w:color="auto" w:fill="FFFFFF"/>
        </w:rPr>
        <w:t>, A.</w:t>
      </w:r>
      <w:r>
        <w:rPr>
          <w:color w:val="222222"/>
          <w:shd w:val="clear" w:color="auto" w:fill="FFFFFF"/>
        </w:rPr>
        <w:t xml:space="preserve"> (</w:t>
      </w:r>
      <w:r w:rsidRPr="00023B0D">
        <w:rPr>
          <w:rFonts w:cs="Arial"/>
          <w:color w:val="222222"/>
          <w:szCs w:val="22"/>
          <w:shd w:val="clear" w:color="auto" w:fill="FFFFFF"/>
        </w:rPr>
        <w:t>2025</w:t>
      </w:r>
      <w:r>
        <w:rPr>
          <w:color w:val="222222"/>
          <w:shd w:val="clear" w:color="auto" w:fill="FFFFFF"/>
        </w:rPr>
        <w:t>)</w:t>
      </w:r>
      <w:r w:rsidRPr="00023B0D">
        <w:rPr>
          <w:rFonts w:cs="Arial"/>
          <w:color w:val="222222"/>
          <w:szCs w:val="22"/>
          <w:shd w:val="clear" w:color="auto" w:fill="FFFFFF"/>
        </w:rPr>
        <w:t xml:space="preserve"> </w:t>
      </w:r>
      <w:r>
        <w:rPr>
          <w:color w:val="222222"/>
          <w:shd w:val="clear" w:color="auto" w:fill="FFFFFF"/>
        </w:rPr>
        <w:t>‘</w:t>
      </w:r>
      <w:r w:rsidRPr="00023B0D">
        <w:rPr>
          <w:rFonts w:cs="Arial"/>
          <w:color w:val="222222"/>
          <w:szCs w:val="22"/>
          <w:shd w:val="clear" w:color="auto" w:fill="FFFFFF"/>
        </w:rPr>
        <w:t>Perceived barriers and facilitators to family and community nurses’ care for older adults: a descriptive qualitative study</w:t>
      </w:r>
      <w:r>
        <w:rPr>
          <w:color w:val="222222"/>
          <w:shd w:val="clear" w:color="auto" w:fill="FFFFFF"/>
        </w:rPr>
        <w:t>’,</w:t>
      </w:r>
      <w:r w:rsidRPr="00023B0D">
        <w:rPr>
          <w:rFonts w:cs="Arial"/>
          <w:color w:val="222222"/>
          <w:szCs w:val="22"/>
          <w:shd w:val="clear" w:color="auto" w:fill="FFFFFF"/>
        </w:rPr>
        <w:t> </w:t>
      </w:r>
      <w:r w:rsidRPr="00023B0D">
        <w:rPr>
          <w:rFonts w:cs="Arial"/>
          <w:i/>
          <w:iCs/>
          <w:color w:val="222222"/>
          <w:szCs w:val="22"/>
          <w:shd w:val="clear" w:color="auto" w:fill="FFFFFF"/>
        </w:rPr>
        <w:t>BMC nursing</w:t>
      </w:r>
      <w:r w:rsidRPr="00023B0D">
        <w:rPr>
          <w:rFonts w:cs="Arial"/>
          <w:color w:val="222222"/>
          <w:szCs w:val="22"/>
          <w:shd w:val="clear" w:color="auto" w:fill="FFFFFF"/>
        </w:rPr>
        <w:t>, </w:t>
      </w:r>
      <w:r w:rsidRPr="00023B0D">
        <w:rPr>
          <w:rFonts w:cs="Arial"/>
          <w:i/>
          <w:iCs/>
          <w:color w:val="222222"/>
          <w:szCs w:val="22"/>
          <w:shd w:val="clear" w:color="auto" w:fill="FFFFFF"/>
        </w:rPr>
        <w:t>24</w:t>
      </w:r>
      <w:r w:rsidRPr="00023B0D">
        <w:rPr>
          <w:rFonts w:cs="Arial"/>
          <w:color w:val="222222"/>
          <w:szCs w:val="22"/>
          <w:shd w:val="clear" w:color="auto" w:fill="FFFFFF"/>
        </w:rPr>
        <w:t>(1), p.1259.</w:t>
      </w:r>
    </w:p>
    <w:p w14:paraId="64B97501" w14:textId="77777777" w:rsidR="00931E8D" w:rsidRDefault="00931E8D"/>
    <w:p w14:paraId="73B9DA22" w14:textId="77777777" w:rsidR="00931E8D" w:rsidRDefault="00931E8D"/>
    <w:sectPr w:rsidR="00931E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62929E" w14:textId="77777777" w:rsidR="00B01254" w:rsidRDefault="00B01254" w:rsidP="00931E8D">
      <w:pPr>
        <w:spacing w:after="0" w:line="240" w:lineRule="auto"/>
      </w:pPr>
      <w:r>
        <w:separator/>
      </w:r>
    </w:p>
  </w:endnote>
  <w:endnote w:type="continuationSeparator" w:id="0">
    <w:p w14:paraId="4C35AC27" w14:textId="77777777" w:rsidR="00B01254" w:rsidRDefault="00B01254" w:rsidP="00931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E4F504" w14:textId="77777777" w:rsidR="00B01254" w:rsidRDefault="00B01254" w:rsidP="00931E8D">
      <w:pPr>
        <w:spacing w:after="0" w:line="240" w:lineRule="auto"/>
      </w:pPr>
      <w:r>
        <w:separator/>
      </w:r>
    </w:p>
  </w:footnote>
  <w:footnote w:type="continuationSeparator" w:id="0">
    <w:p w14:paraId="691C629F" w14:textId="77777777" w:rsidR="00B01254" w:rsidRDefault="00B01254" w:rsidP="00931E8D">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CwNLE0NTE2NzA1szBT0lEKTi0uzszPAykwrAUAppXlWiwAAAA="/>
  </w:docVars>
  <w:rsids>
    <w:rsidRoot w:val="00F62686"/>
    <w:rsid w:val="001C4D25"/>
    <w:rsid w:val="001E4476"/>
    <w:rsid w:val="0021511D"/>
    <w:rsid w:val="00304546"/>
    <w:rsid w:val="003F22D2"/>
    <w:rsid w:val="00433D75"/>
    <w:rsid w:val="004F35DB"/>
    <w:rsid w:val="0055422D"/>
    <w:rsid w:val="00566B0E"/>
    <w:rsid w:val="00655598"/>
    <w:rsid w:val="006819C7"/>
    <w:rsid w:val="00681C3F"/>
    <w:rsid w:val="00794652"/>
    <w:rsid w:val="007F2969"/>
    <w:rsid w:val="0087708F"/>
    <w:rsid w:val="008D1D1C"/>
    <w:rsid w:val="00931E8D"/>
    <w:rsid w:val="00A51CCC"/>
    <w:rsid w:val="00B01254"/>
    <w:rsid w:val="00B215DC"/>
    <w:rsid w:val="00BE5A9F"/>
    <w:rsid w:val="00E075E1"/>
    <w:rsid w:val="00EF030D"/>
    <w:rsid w:val="00F62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D8A83"/>
  <w15:chartTrackingRefBased/>
  <w15:docId w15:val="{1E81CD32-8393-4248-BD88-C71B8E59B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686"/>
    <w:pPr>
      <w:spacing w:line="360" w:lineRule="auto"/>
    </w:pPr>
    <w:rPr>
      <w:rFonts w:ascii="Arial" w:hAnsi="Arial"/>
      <w:sz w:val="22"/>
    </w:rPr>
  </w:style>
  <w:style w:type="paragraph" w:styleId="Heading1">
    <w:name w:val="heading 1"/>
    <w:basedOn w:val="Normal"/>
    <w:next w:val="Normal"/>
    <w:link w:val="Heading1Char"/>
    <w:uiPriority w:val="9"/>
    <w:qFormat/>
    <w:rsid w:val="00F6268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F2969"/>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F626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26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26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2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2969"/>
    <w:rPr>
      <w:rFonts w:ascii="Arial" w:eastAsiaTheme="majorEastAsia" w:hAnsi="Arial" w:cstheme="majorBidi"/>
      <w:b/>
      <w:i/>
      <w:sz w:val="22"/>
      <w:szCs w:val="32"/>
    </w:rPr>
  </w:style>
  <w:style w:type="character" w:customStyle="1" w:styleId="Heading1Char">
    <w:name w:val="Heading 1 Char"/>
    <w:basedOn w:val="DefaultParagraphFont"/>
    <w:link w:val="Heading1"/>
    <w:uiPriority w:val="9"/>
    <w:rsid w:val="00F62686"/>
    <w:rPr>
      <w:rFonts w:ascii="Arial" w:eastAsiaTheme="majorEastAsia" w:hAnsi="Arial" w:cstheme="majorBidi"/>
      <w:b/>
      <w:sz w:val="22"/>
      <w:szCs w:val="40"/>
    </w:rPr>
  </w:style>
  <w:style w:type="character" w:customStyle="1" w:styleId="Heading3Char">
    <w:name w:val="Heading 3 Char"/>
    <w:basedOn w:val="DefaultParagraphFont"/>
    <w:link w:val="Heading3"/>
    <w:uiPriority w:val="9"/>
    <w:semiHidden/>
    <w:rsid w:val="00F626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26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26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2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686"/>
    <w:rPr>
      <w:rFonts w:eastAsiaTheme="majorEastAsia" w:cstheme="majorBidi"/>
      <w:color w:val="272727" w:themeColor="text1" w:themeTint="D8"/>
    </w:rPr>
  </w:style>
  <w:style w:type="paragraph" w:styleId="Title">
    <w:name w:val="Title"/>
    <w:basedOn w:val="Normal"/>
    <w:next w:val="Normal"/>
    <w:link w:val="TitleChar"/>
    <w:uiPriority w:val="10"/>
    <w:qFormat/>
    <w:rsid w:val="00F62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686"/>
    <w:pPr>
      <w:spacing w:before="160"/>
      <w:jc w:val="center"/>
    </w:pPr>
    <w:rPr>
      <w:i/>
      <w:iCs/>
      <w:color w:val="404040" w:themeColor="text1" w:themeTint="BF"/>
    </w:rPr>
  </w:style>
  <w:style w:type="character" w:customStyle="1" w:styleId="QuoteChar">
    <w:name w:val="Quote Char"/>
    <w:basedOn w:val="DefaultParagraphFont"/>
    <w:link w:val="Quote"/>
    <w:uiPriority w:val="29"/>
    <w:rsid w:val="00F62686"/>
    <w:rPr>
      <w:i/>
      <w:iCs/>
      <w:color w:val="404040" w:themeColor="text1" w:themeTint="BF"/>
    </w:rPr>
  </w:style>
  <w:style w:type="paragraph" w:styleId="ListParagraph">
    <w:name w:val="List Paragraph"/>
    <w:basedOn w:val="Normal"/>
    <w:uiPriority w:val="34"/>
    <w:qFormat/>
    <w:rsid w:val="00F62686"/>
    <w:pPr>
      <w:ind w:left="720"/>
      <w:contextualSpacing/>
    </w:pPr>
  </w:style>
  <w:style w:type="character" w:styleId="IntenseEmphasis">
    <w:name w:val="Intense Emphasis"/>
    <w:basedOn w:val="DefaultParagraphFont"/>
    <w:uiPriority w:val="21"/>
    <w:qFormat/>
    <w:rsid w:val="00F62686"/>
    <w:rPr>
      <w:i/>
      <w:iCs/>
      <w:color w:val="2F5496" w:themeColor="accent1" w:themeShade="BF"/>
    </w:rPr>
  </w:style>
  <w:style w:type="paragraph" w:styleId="IntenseQuote">
    <w:name w:val="Intense Quote"/>
    <w:basedOn w:val="Normal"/>
    <w:next w:val="Normal"/>
    <w:link w:val="IntenseQuoteChar"/>
    <w:uiPriority w:val="30"/>
    <w:qFormat/>
    <w:rsid w:val="00F626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2686"/>
    <w:rPr>
      <w:i/>
      <w:iCs/>
      <w:color w:val="2F5496" w:themeColor="accent1" w:themeShade="BF"/>
    </w:rPr>
  </w:style>
  <w:style w:type="character" w:styleId="IntenseReference">
    <w:name w:val="Intense Reference"/>
    <w:basedOn w:val="DefaultParagraphFont"/>
    <w:uiPriority w:val="32"/>
    <w:qFormat/>
    <w:rsid w:val="00F62686"/>
    <w:rPr>
      <w:b/>
      <w:bCs/>
      <w:smallCaps/>
      <w:color w:val="2F5496" w:themeColor="accent1" w:themeShade="BF"/>
      <w:spacing w:val="5"/>
    </w:rPr>
  </w:style>
  <w:style w:type="paragraph" w:styleId="Header">
    <w:name w:val="header"/>
    <w:basedOn w:val="Normal"/>
    <w:link w:val="HeaderChar"/>
    <w:uiPriority w:val="99"/>
    <w:unhideWhenUsed/>
    <w:rsid w:val="00931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E8D"/>
    <w:rPr>
      <w:rFonts w:ascii="Arial" w:hAnsi="Arial"/>
      <w:sz w:val="22"/>
    </w:rPr>
  </w:style>
  <w:style w:type="paragraph" w:styleId="Footer">
    <w:name w:val="footer"/>
    <w:basedOn w:val="Normal"/>
    <w:link w:val="FooterChar"/>
    <w:uiPriority w:val="99"/>
    <w:unhideWhenUsed/>
    <w:rsid w:val="00931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E8D"/>
    <w:rPr>
      <w:rFonts w:ascii="Arial" w:hAnsi="Arial"/>
      <w:sz w:val="22"/>
    </w:rPr>
  </w:style>
  <w:style w:type="paragraph" w:styleId="NormalWeb">
    <w:name w:val="Normal (Web)"/>
    <w:basedOn w:val="Normal"/>
    <w:uiPriority w:val="99"/>
    <w:semiHidden/>
    <w:unhideWhenUsed/>
    <w:rsid w:val="00931E8D"/>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1795</Words>
  <Characters>10236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Mehvish Matloob (2525288)</cp:lastModifiedBy>
  <cp:revision>6</cp:revision>
  <dcterms:created xsi:type="dcterms:W3CDTF">2026-07-23T21:05:00Z</dcterms:created>
  <dcterms:modified xsi:type="dcterms:W3CDTF">2026-07-23T21:09:00Z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20bec694-5df5-48ac-9b82-97e010eac92b</vt:lpwstr>
  </property>
</Properties>
</file>