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CFD377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E0BCB" w:rsidRPr="000E0BCB">
              <w:rPr>
                <w:rFonts w:ascii="Times New Roman" w:hAnsi="Times New Roman" w:cs="Times New Roman"/>
                <w:b/>
                <w:color w:val="auto"/>
                <w:sz w:val="48"/>
              </w:rPr>
              <w:t>Ann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8CF0C76" w:rsidR="009C337F" w:rsidRDefault="009C337F" w:rsidP="000E0BCB">
            <w:pPr>
              <w:tabs>
                <w:tab w:val="left" w:pos="3960"/>
              </w:tabs>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E0BCB">
              <w:rPr>
                <w:rFonts w:ascii="Times New Roman" w:hAnsi="Times New Roman" w:cs="Times New Roman"/>
                <w:b/>
                <w:color w:val="auto"/>
                <w:sz w:val="48"/>
              </w:rPr>
              <w:tab/>
            </w:r>
            <w:hyperlink r:id="rId11" w:history="1">
              <w:r w:rsidR="000E0BCB" w:rsidRPr="00C67F8B">
                <w:rPr>
                  <w:rStyle w:val="Hyperlink"/>
                  <w:rFonts w:ascii="Segoe UI" w:hAnsi="Segoe UI" w:cs="Segoe UI"/>
                  <w:sz w:val="23"/>
                  <w:szCs w:val="23"/>
                  <w:shd w:val="clear" w:color="auto" w:fill="FFFFFF"/>
                </w:rPr>
                <w:t>2316679@student.uwtsd.ac.uk</w:t>
              </w:r>
            </w:hyperlink>
            <w:r w:rsidR="000E0BCB">
              <w:rPr>
                <w:rFonts w:ascii="Segoe UI" w:hAnsi="Segoe UI" w:cs="Segoe UI"/>
                <w:color w:val="1D2125"/>
                <w:sz w:val="23"/>
                <w:szCs w:val="23"/>
                <w:shd w:val="clear" w:color="auto" w:fill="FFFFFF"/>
              </w:rPr>
              <w:t> </w:t>
            </w:r>
            <w:r w:rsidR="000E0BCB">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726BF6B" w14:textId="77777777" w:rsidR="000E0BCB" w:rsidRDefault="000E0BCB" w:rsidP="000E0BC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2316679</w:t>
            </w:r>
          </w:p>
          <w:p w14:paraId="4008438E" w14:textId="77777777" w:rsidR="000E0BCB" w:rsidRDefault="000E0BCB" w:rsidP="005D3F07">
            <w:pPr>
              <w:overflowPunct/>
              <w:autoSpaceDE/>
              <w:autoSpaceDN/>
              <w:adjustRightInd/>
              <w:ind w:right="-957"/>
              <w:textAlignment w:val="auto"/>
              <w:rPr>
                <w:rFonts w:ascii="Times New Roman" w:hAnsi="Times New Roman" w:cs="Times New Roman"/>
                <w:b/>
                <w:color w:val="auto"/>
                <w:sz w:val="48"/>
              </w:rPr>
            </w:pPr>
          </w:p>
          <w:p w14:paraId="5F84129B" w14:textId="600F24E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1E22720A" w14:textId="77777777" w:rsidR="00AF15CC" w:rsidRDefault="00012B16" w:rsidP="00AF15CC">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2FADB098" w14:textId="77777777" w:rsidR="00AF15CC" w:rsidRDefault="00AF15CC" w:rsidP="00AF15CC">
      <w:pPr>
        <w:ind w:left="-90"/>
        <w:jc w:val="both"/>
        <w:rPr>
          <w:i/>
          <w:iCs/>
          <w:sz w:val="24"/>
          <w:szCs w:val="24"/>
        </w:rPr>
      </w:pP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556E6FDC" w14:textId="77777777" w:rsidR="00934DE3" w:rsidRPr="005D6002" w:rsidRDefault="00934DE3" w:rsidP="00934DE3">
            <w:pPr>
              <w:jc w:val="both"/>
              <w:rPr>
                <w:bCs/>
                <w:sz w:val="24"/>
                <w:szCs w:val="24"/>
              </w:rPr>
            </w:pPr>
            <w:r w:rsidRPr="005D6002">
              <w:rPr>
                <w:bCs/>
                <w:sz w:val="24"/>
                <w:szCs w:val="24"/>
              </w:rPr>
              <w:t>Question a:</w:t>
            </w:r>
          </w:p>
          <w:p w14:paraId="31809A07" w14:textId="77777777" w:rsidR="00934DE3" w:rsidRPr="005D6002" w:rsidRDefault="00934DE3" w:rsidP="00934DE3">
            <w:pPr>
              <w:jc w:val="both"/>
              <w:rPr>
                <w:bCs/>
                <w:sz w:val="24"/>
                <w:szCs w:val="24"/>
              </w:rPr>
            </w:pPr>
            <w:r w:rsidRPr="005D6002">
              <w:rPr>
                <w:bCs/>
                <w:sz w:val="24"/>
                <w:szCs w:val="24"/>
              </w:rPr>
              <w:t>In an area that is not your main focus of work (see guidance above), explain the relevant legislation, and the national, local and organisational policies and procedures for safeguarding.</w:t>
            </w:r>
          </w:p>
          <w:p w14:paraId="010EFE74" w14:textId="77777777" w:rsidR="005D6002" w:rsidRPr="00AF15CC" w:rsidRDefault="005D6002" w:rsidP="00934DE3">
            <w:pPr>
              <w:jc w:val="both"/>
              <w:rPr>
                <w:b/>
                <w:sz w:val="24"/>
                <w:szCs w:val="24"/>
              </w:rPr>
            </w:pPr>
          </w:p>
          <w:p w14:paraId="1F6816C8" w14:textId="77777777" w:rsidR="005D6002" w:rsidRDefault="005D6002" w:rsidP="005D6002">
            <w:pPr>
              <w:jc w:val="both"/>
              <w:rPr>
                <w:sz w:val="24"/>
                <w:szCs w:val="24"/>
              </w:rPr>
            </w:pPr>
            <w:r w:rsidRPr="001844E9">
              <w:rPr>
                <w:i/>
                <w:sz w:val="24"/>
                <w:szCs w:val="24"/>
              </w:rPr>
              <w:t>500 words</w:t>
            </w:r>
            <w:r w:rsidRPr="001844E9">
              <w:rPr>
                <w:sz w:val="24"/>
                <w:szCs w:val="24"/>
              </w:rPr>
              <w:t xml:space="preserve"> (+/- 10%: include your actual word count at the end of each section).</w:t>
            </w:r>
          </w:p>
          <w:p w14:paraId="3BDD9755" w14:textId="77777777" w:rsidR="005D6002" w:rsidRDefault="005D6002" w:rsidP="005D6002">
            <w:pPr>
              <w:jc w:val="both"/>
              <w:rPr>
                <w:sz w:val="24"/>
                <w:szCs w:val="24"/>
              </w:rPr>
            </w:pPr>
          </w:p>
          <w:p w14:paraId="4B400DC2" w14:textId="436E3542" w:rsidR="005D6002" w:rsidRDefault="005D6002" w:rsidP="005D6002">
            <w:pPr>
              <w:jc w:val="both"/>
              <w:rPr>
                <w:bCs/>
                <w:sz w:val="24"/>
                <w:szCs w:val="24"/>
              </w:rPr>
            </w:pPr>
            <w:r w:rsidRPr="00FA4263">
              <w:rPr>
                <w:bCs/>
                <w:sz w:val="24"/>
                <w:szCs w:val="24"/>
              </w:rPr>
              <w:t>Social Care Wales Codes of Professional Practice (2019) (SCW COPP 2019)</w:t>
            </w:r>
            <w:r>
              <w:rPr>
                <w:bCs/>
                <w:sz w:val="24"/>
                <w:szCs w:val="24"/>
              </w:rPr>
              <w:t xml:space="preserve"> guides practitioners to work in a person-centred manner to promote the voice and control and safety of individuals and/or others. The </w:t>
            </w:r>
            <w:r w:rsidRPr="001844E9">
              <w:rPr>
                <w:bCs/>
                <w:sz w:val="24"/>
                <w:szCs w:val="24"/>
              </w:rPr>
              <w:t>main legislation for working with children in Wales is the Social Service and Wellbeing (Wales) Act 2014 (SSWBWA 2014)</w:t>
            </w:r>
            <w:r>
              <w:rPr>
                <w:bCs/>
                <w:sz w:val="24"/>
                <w:szCs w:val="24"/>
              </w:rPr>
              <w:t xml:space="preserve"> </w:t>
            </w:r>
            <w:r w:rsidRPr="00FA4263">
              <w:rPr>
                <w:bCs/>
                <w:sz w:val="24"/>
                <w:szCs w:val="24"/>
              </w:rPr>
              <w:t>and Children Act 1989</w:t>
            </w:r>
            <w:r w:rsidR="00636702">
              <w:rPr>
                <w:bCs/>
                <w:sz w:val="24"/>
                <w:szCs w:val="24"/>
              </w:rPr>
              <w:t>,</w:t>
            </w:r>
            <w:r w:rsidRPr="001844E9">
              <w:rPr>
                <w:bCs/>
                <w:sz w:val="24"/>
                <w:szCs w:val="24"/>
              </w:rPr>
              <w:t xml:space="preserve"> </w:t>
            </w:r>
            <w:r>
              <w:rPr>
                <w:bCs/>
                <w:sz w:val="24"/>
                <w:szCs w:val="24"/>
              </w:rPr>
              <w:t xml:space="preserve">SWWBWA (2014) </w:t>
            </w:r>
            <w:r w:rsidRPr="001844E9">
              <w:rPr>
                <w:bCs/>
                <w:sz w:val="24"/>
                <w:szCs w:val="24"/>
              </w:rPr>
              <w:t xml:space="preserve">defines a ‘child’ as a person who is aged under 18. </w:t>
            </w:r>
          </w:p>
          <w:p w14:paraId="735C9F18" w14:textId="6E2D9483" w:rsidR="005D6002" w:rsidRPr="00B7601B" w:rsidRDefault="005D6002" w:rsidP="005D6002">
            <w:pPr>
              <w:jc w:val="both"/>
              <w:rPr>
                <w:bCs/>
                <w:sz w:val="24"/>
                <w:szCs w:val="24"/>
              </w:rPr>
            </w:pPr>
            <w:r w:rsidRPr="00B7601B">
              <w:rPr>
                <w:bCs/>
                <w:sz w:val="24"/>
                <w:szCs w:val="24"/>
              </w:rPr>
              <w:t xml:space="preserve">Part 7 of the act gives guidance on how to safeguard children, s.130 (1) places a duty on all relevant partners whether they are a paid employee, or volunteer, to report the local authority if they suspect a child is at risk, with or without parental consent. Members of the public unlike professionals are able to make the report anonymously. S.130 (4) of the act defines a child at risk to be a child who is experiencing or at risk of experiencing neglect, abuse, harm or needs care and support. </w:t>
            </w:r>
          </w:p>
          <w:p w14:paraId="435050D5" w14:textId="77777777" w:rsidR="005D6002" w:rsidRPr="00B7601B" w:rsidRDefault="005D6002" w:rsidP="005D6002">
            <w:pPr>
              <w:jc w:val="both"/>
              <w:rPr>
                <w:sz w:val="24"/>
                <w:szCs w:val="24"/>
              </w:rPr>
            </w:pPr>
            <w:r w:rsidRPr="00B7601B">
              <w:rPr>
                <w:bCs/>
                <w:sz w:val="24"/>
                <w:szCs w:val="24"/>
              </w:rPr>
              <w:t xml:space="preserve">The Wales Safeguarding Procedures (2019) gives further guidance on safeguarding children in Wales, it defines ‘at risk’ as a child experiencing or are at risk of harm abuse or neglect. The term ‘harm’ is defined as neglect </w:t>
            </w:r>
            <w:r w:rsidRPr="00B7601B">
              <w:rPr>
                <w:sz w:val="24"/>
                <w:szCs w:val="24"/>
              </w:rPr>
              <w:t xml:space="preserve">where failure to meet basic physical, which now includes </w:t>
            </w:r>
            <w:r w:rsidRPr="00B7601B">
              <w:rPr>
                <w:bCs/>
                <w:sz w:val="24"/>
                <w:szCs w:val="24"/>
              </w:rPr>
              <w:t>hitting, and slapping, (</w:t>
            </w:r>
            <w:r w:rsidRPr="00B7601B">
              <w:rPr>
                <w:sz w:val="24"/>
                <w:szCs w:val="24"/>
              </w:rPr>
              <w:t>Children Abolition of Defence of Reasonable Punishment) (Wales) Act 2020, psychological or emotional needs that could result in the child’s health or development being impaired whether this is directly or from</w:t>
            </w:r>
            <w:r w:rsidRPr="00B7601B">
              <w:rPr>
                <w:bCs/>
                <w:sz w:val="24"/>
                <w:szCs w:val="24"/>
              </w:rPr>
              <w:t xml:space="preserve"> seeing or hearing another person mistreated or abused</w:t>
            </w:r>
            <w:r w:rsidRPr="00B7601B">
              <w:rPr>
                <w:sz w:val="24"/>
                <w:szCs w:val="24"/>
              </w:rPr>
              <w:t xml:space="preserve">. (Maslow, 1968) </w:t>
            </w:r>
          </w:p>
          <w:p w14:paraId="7B39D19E" w14:textId="77777777" w:rsidR="005D6002" w:rsidRPr="001844E9" w:rsidRDefault="005D6002" w:rsidP="005D6002">
            <w:pPr>
              <w:jc w:val="both"/>
              <w:rPr>
                <w:sz w:val="24"/>
                <w:szCs w:val="24"/>
              </w:rPr>
            </w:pPr>
            <w:r w:rsidRPr="007E31AD">
              <w:rPr>
                <w:sz w:val="24"/>
                <w:szCs w:val="24"/>
              </w:rPr>
              <w:t>Indications of such abuse may be change in child’s behaviour, which is different to a child of a similar age, e.g. become withdrawn, display distress/aggression, or be fearful/have low self-esteem.</w:t>
            </w:r>
          </w:p>
          <w:p w14:paraId="742B9D38" w14:textId="77777777" w:rsidR="005D6002" w:rsidRPr="001844E9" w:rsidRDefault="005D6002" w:rsidP="005D6002">
            <w:pPr>
              <w:jc w:val="both"/>
              <w:rPr>
                <w:sz w:val="24"/>
                <w:szCs w:val="24"/>
              </w:rPr>
            </w:pPr>
            <w:r w:rsidRPr="001844E9">
              <w:rPr>
                <w:sz w:val="24"/>
                <w:szCs w:val="24"/>
              </w:rPr>
              <w:t>Once a report of abuse is filed the Local Authority (LA) must check the evidence and validity of the concerns (s</w:t>
            </w:r>
            <w:r w:rsidRPr="001844E9">
              <w:rPr>
                <w:bCs/>
                <w:sz w:val="24"/>
                <w:szCs w:val="24"/>
              </w:rPr>
              <w:t xml:space="preserve">.130(6) </w:t>
            </w:r>
            <w:r w:rsidRPr="001844E9">
              <w:rPr>
                <w:sz w:val="24"/>
                <w:szCs w:val="24"/>
              </w:rPr>
              <w:t xml:space="preserve">SSWBWA, 2014) and whether the concerns reach child protection threshold for significant harm, LA will determine whether it requires a strategy discussion with the police and further investigation </w:t>
            </w:r>
            <w:r w:rsidRPr="001844E9">
              <w:rPr>
                <w:bCs/>
                <w:sz w:val="24"/>
                <w:szCs w:val="24"/>
              </w:rPr>
              <w:t>using s.47 powers of the Children Act (19</w:t>
            </w:r>
            <w:r>
              <w:rPr>
                <w:bCs/>
                <w:sz w:val="24"/>
                <w:szCs w:val="24"/>
              </w:rPr>
              <w:t>8</w:t>
            </w:r>
            <w:r w:rsidRPr="001844E9">
              <w:rPr>
                <w:bCs/>
                <w:sz w:val="24"/>
                <w:szCs w:val="24"/>
              </w:rPr>
              <w:t xml:space="preserve">9). Practitioners will consider consent and who will be told of the report, the rights of the child under UN </w:t>
            </w:r>
            <w:r w:rsidRPr="001844E9">
              <w:rPr>
                <w:bCs/>
                <w:sz w:val="24"/>
                <w:szCs w:val="24"/>
              </w:rPr>
              <w:lastRenderedPageBreak/>
              <w:t xml:space="preserve">convention of the rights of the child (UNCRC, 2022) such as being anti discriminatory (Article 2), work in the child’s best interest (Article 3), and in accordance to their right ot life, survival and development (Article 6) and their right to be heard (Article 12). </w:t>
            </w:r>
          </w:p>
          <w:p w14:paraId="483B733E" w14:textId="77777777" w:rsidR="005D6002" w:rsidRPr="001844E9" w:rsidRDefault="005D6002" w:rsidP="005D6002">
            <w:pPr>
              <w:jc w:val="both"/>
              <w:rPr>
                <w:bCs/>
                <w:sz w:val="24"/>
                <w:szCs w:val="24"/>
              </w:rPr>
            </w:pPr>
            <w:r w:rsidRPr="001844E9">
              <w:rPr>
                <w:bCs/>
                <w:sz w:val="24"/>
                <w:szCs w:val="24"/>
              </w:rPr>
              <w:t xml:space="preserve">The outcome of the investigation could be that the child is in need of immediate protection, a child protection plan to support keeping the child safe, a care and support to address unmet needs such as early intervention work or no further action. </w:t>
            </w:r>
          </w:p>
          <w:p w14:paraId="2BC0DBC7" w14:textId="77777777" w:rsidR="005D6002" w:rsidRPr="001844E9" w:rsidRDefault="005D6002" w:rsidP="005D6002">
            <w:pPr>
              <w:jc w:val="both"/>
              <w:rPr>
                <w:bCs/>
                <w:sz w:val="24"/>
                <w:szCs w:val="24"/>
              </w:rPr>
            </w:pPr>
            <w:r w:rsidRPr="001844E9">
              <w:rPr>
                <w:bCs/>
                <w:sz w:val="24"/>
                <w:szCs w:val="24"/>
              </w:rPr>
              <w:t>If the child is at risk of significant harm, then a strategy meeting would be held with all parties involved to discuss whether the situation meets threshold for a child protection conference</w:t>
            </w:r>
            <w:r>
              <w:rPr>
                <w:bCs/>
                <w:sz w:val="24"/>
                <w:szCs w:val="24"/>
              </w:rPr>
              <w:t>,</w:t>
            </w:r>
            <w:r w:rsidRPr="001844E9">
              <w:rPr>
                <w:bCs/>
                <w:sz w:val="24"/>
                <w:szCs w:val="24"/>
              </w:rPr>
              <w:t xml:space="preserve"> whereby a multi-agency approach would determine the next steps in safeguarding the child. </w:t>
            </w:r>
            <w:r>
              <w:rPr>
                <w:bCs/>
                <w:sz w:val="24"/>
                <w:szCs w:val="24"/>
              </w:rPr>
              <w:t xml:space="preserve">If the child is on a </w:t>
            </w:r>
            <w:r w:rsidRPr="001844E9">
              <w:rPr>
                <w:bCs/>
                <w:sz w:val="24"/>
                <w:szCs w:val="24"/>
              </w:rPr>
              <w:t xml:space="preserve">Child protection plan or care and support plan these would need to be reviewed on a regular basis </w:t>
            </w:r>
            <w:proofErr w:type="gramStart"/>
            <w:r w:rsidRPr="001844E9">
              <w:rPr>
                <w:bCs/>
                <w:sz w:val="24"/>
                <w:szCs w:val="24"/>
              </w:rPr>
              <w:t>in order to</w:t>
            </w:r>
            <w:proofErr w:type="gramEnd"/>
            <w:r w:rsidRPr="001844E9">
              <w:rPr>
                <w:bCs/>
                <w:sz w:val="24"/>
                <w:szCs w:val="24"/>
              </w:rPr>
              <w:t xml:space="preserve"> continue safeguarding the child.</w:t>
            </w:r>
          </w:p>
          <w:p w14:paraId="20BC3B5C" w14:textId="5F78541F" w:rsidR="005D6002" w:rsidRPr="001844E9" w:rsidRDefault="005D6002" w:rsidP="005D6002">
            <w:pPr>
              <w:jc w:val="both"/>
              <w:rPr>
                <w:bCs/>
                <w:sz w:val="24"/>
                <w:szCs w:val="24"/>
              </w:rPr>
            </w:pPr>
            <w:r w:rsidRPr="001844E9">
              <w:rPr>
                <w:bCs/>
                <w:sz w:val="24"/>
                <w:szCs w:val="24"/>
              </w:rPr>
              <w:t xml:space="preserve">If the individual, </w:t>
            </w:r>
            <w:r w:rsidR="00636702" w:rsidRPr="001844E9">
              <w:rPr>
                <w:bCs/>
                <w:sz w:val="24"/>
                <w:szCs w:val="24"/>
              </w:rPr>
              <w:t>family,</w:t>
            </w:r>
            <w:r w:rsidRPr="001844E9">
              <w:rPr>
                <w:bCs/>
                <w:sz w:val="24"/>
                <w:szCs w:val="24"/>
              </w:rPr>
              <w:t xml:space="preserve"> or practitioner were unhappy with the outcome the Welsh Regional Safeguarding Board, Cysur has guidance and protocols on how to resolve any issues.</w:t>
            </w:r>
            <w:r>
              <w:rPr>
                <w:bCs/>
                <w:sz w:val="24"/>
                <w:szCs w:val="24"/>
              </w:rPr>
              <w:t xml:space="preserve"> (s.134 SSWBWA 2014)</w:t>
            </w:r>
          </w:p>
          <w:p w14:paraId="703DF8A2" w14:textId="77777777" w:rsidR="005D6002" w:rsidRDefault="005D6002" w:rsidP="005D6002"/>
          <w:p w14:paraId="1478523E" w14:textId="77777777" w:rsidR="005D6002" w:rsidRPr="00A31CF8" w:rsidRDefault="005D6002" w:rsidP="005D6002">
            <w:pPr>
              <w:rPr>
                <w:sz w:val="24"/>
                <w:szCs w:val="24"/>
              </w:rPr>
            </w:pPr>
            <w:r w:rsidRPr="00A31CF8">
              <w:rPr>
                <w:sz w:val="24"/>
                <w:szCs w:val="24"/>
              </w:rPr>
              <w:t xml:space="preserve">Word Count 548  </w:t>
            </w:r>
          </w:p>
          <w:p w14:paraId="03BD6D93" w14:textId="709B8353" w:rsidR="00AF15CC" w:rsidRPr="008B28E7" w:rsidRDefault="00AF15CC" w:rsidP="001844E9">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305BB8F9" w14:textId="215AD321" w:rsidR="00E310D9" w:rsidRDefault="00FC0334" w:rsidP="00E3665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A47C27">
              <w:rPr>
                <w:sz w:val="24"/>
                <w:szCs w:val="24"/>
              </w:rPr>
              <w:t>.</w:t>
            </w:r>
          </w:p>
          <w:p w14:paraId="58106122" w14:textId="77777777" w:rsidR="00E213DA" w:rsidRDefault="00E213DA" w:rsidP="00E36654">
            <w:pPr>
              <w:jc w:val="both"/>
              <w:rPr>
                <w:sz w:val="24"/>
                <w:szCs w:val="24"/>
              </w:rPr>
            </w:pPr>
          </w:p>
          <w:p w14:paraId="07B5ECB6" w14:textId="77777777" w:rsidR="00E213DA" w:rsidRDefault="00E213DA" w:rsidP="00E213DA">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3EBC8D9F" w14:textId="40F9D0A0" w:rsidR="00E36654" w:rsidRDefault="00E36654" w:rsidP="00E36654">
            <w:pPr>
              <w:jc w:val="both"/>
              <w:rPr>
                <w:sz w:val="24"/>
                <w:szCs w:val="24"/>
              </w:rPr>
            </w:pPr>
          </w:p>
          <w:p w14:paraId="15AD7215" w14:textId="77777777" w:rsidR="00E213DA" w:rsidRDefault="00E213DA" w:rsidP="00E213DA">
            <w:pPr>
              <w:jc w:val="both"/>
              <w:rPr>
                <w:sz w:val="24"/>
                <w:szCs w:val="24"/>
              </w:rPr>
            </w:pPr>
            <w:r w:rsidRPr="00060F89">
              <w:rPr>
                <w:sz w:val="24"/>
                <w:szCs w:val="24"/>
              </w:rPr>
              <w:t>Both adult and children are safeguarded through using legislation and guidance such as Social Service and Wellbeing (Wales) Act 2014 Part 7, (SSWBWA, 2014), Wales Safeguarding Procedures (2019), and Social Care Wales Codes of Professional practice (2017) (</w:t>
            </w:r>
            <w:proofErr w:type="gramStart"/>
            <w:r w:rsidRPr="00060F89">
              <w:rPr>
                <w:sz w:val="24"/>
                <w:szCs w:val="24"/>
              </w:rPr>
              <w:t>SCW,COPP</w:t>
            </w:r>
            <w:proofErr w:type="gramEnd"/>
            <w:r w:rsidRPr="00060F89">
              <w:rPr>
                <w:sz w:val="24"/>
                <w:szCs w:val="24"/>
              </w:rPr>
              <w:t xml:space="preserve"> 2017). However, there are also differences due to factors such as the law which I shall describe below.</w:t>
            </w:r>
          </w:p>
          <w:p w14:paraId="1904C586" w14:textId="64F441A5" w:rsidR="00472757" w:rsidRDefault="00E213DA" w:rsidP="00E213DA">
            <w:pPr>
              <w:jc w:val="both"/>
              <w:rPr>
                <w:sz w:val="24"/>
                <w:szCs w:val="24"/>
              </w:rPr>
            </w:pPr>
            <w:r>
              <w:rPr>
                <w:sz w:val="24"/>
                <w:szCs w:val="24"/>
              </w:rPr>
              <w:t xml:space="preserve">One of the main differences between the two is that adults are able to self-determine whether they act to protect themselves. For example, an adult can make unwise decisions under the Mental Capacity Act (2005) (3) (MCA, 2005) </w:t>
            </w:r>
            <w:proofErr w:type="gramStart"/>
            <w:r>
              <w:rPr>
                <w:sz w:val="24"/>
                <w:szCs w:val="24"/>
              </w:rPr>
              <w:t>as long as</w:t>
            </w:r>
            <w:proofErr w:type="gramEnd"/>
            <w:r>
              <w:rPr>
                <w:sz w:val="24"/>
                <w:szCs w:val="24"/>
              </w:rPr>
              <w:t xml:space="preserve"> they are deemed to have capacity to make the decision, which must be presumed unless otherwise evidenced (MCA, 2005 ,1). For children the Mental Capacity Act 2005, does not apply unless they are over 16 years old, the main legislation for children under 18 is the Children Act (1989) where section 47 of the act applies to support practitioners in gaining information and the child’s views, which can be done by the practitioner or via advocacy.  </w:t>
            </w:r>
            <w:r w:rsidR="00D41B81">
              <w:rPr>
                <w:sz w:val="24"/>
                <w:szCs w:val="24"/>
              </w:rPr>
              <w:t xml:space="preserve">The police have powers under s,46 of the Children Act (1989) to remove the child if they are at immediate risk of serious harm. </w:t>
            </w:r>
          </w:p>
          <w:p w14:paraId="6BF6823E" w14:textId="671A6657" w:rsidR="00E213DA" w:rsidRDefault="00E213DA" w:rsidP="00E213DA">
            <w:pPr>
              <w:jc w:val="both"/>
              <w:rPr>
                <w:sz w:val="24"/>
                <w:szCs w:val="24"/>
              </w:rPr>
            </w:pPr>
            <w:r>
              <w:rPr>
                <w:sz w:val="24"/>
                <w:szCs w:val="24"/>
              </w:rPr>
              <w:t>This is not the same for adults, practitioners are able to talk to adult by applying to the courts for an Adult protection and support order (2017), but practitioners would not be able to remove an adult unless they lacked capacity to make decisions or had a Mental health diagnosis under the Mental Health Act (2007).</w:t>
            </w:r>
          </w:p>
          <w:p w14:paraId="6AEF7EA7" w14:textId="77777777" w:rsidR="00E213DA" w:rsidRDefault="00E213DA" w:rsidP="00E213DA">
            <w:pPr>
              <w:jc w:val="both"/>
              <w:rPr>
                <w:sz w:val="24"/>
                <w:szCs w:val="24"/>
              </w:rPr>
            </w:pPr>
            <w:r>
              <w:rPr>
                <w:sz w:val="24"/>
                <w:szCs w:val="24"/>
              </w:rPr>
              <w:t xml:space="preserve">Additionally, practitioners would consider the balance of listening to a child under 16’s wishes with the responsibility to keep them safe through considering whether they were deemed </w:t>
            </w:r>
            <w:r>
              <w:rPr>
                <w:sz w:val="24"/>
                <w:szCs w:val="24"/>
              </w:rPr>
              <w:lastRenderedPageBreak/>
              <w:t>Gillick competent under the Fraser guidelines to make decisions without parental consent to keep themselves safe. (Mental Capacity 2022)</w:t>
            </w:r>
          </w:p>
          <w:p w14:paraId="00DACFDF" w14:textId="77777777" w:rsidR="00E213DA" w:rsidRDefault="00E213DA" w:rsidP="00E213DA">
            <w:pPr>
              <w:jc w:val="both"/>
              <w:rPr>
                <w:sz w:val="24"/>
                <w:szCs w:val="24"/>
              </w:rPr>
            </w:pPr>
            <w:r>
              <w:rPr>
                <w:sz w:val="24"/>
                <w:szCs w:val="24"/>
              </w:rPr>
              <w:t xml:space="preserve">Another difference is that an adult </w:t>
            </w:r>
            <w:proofErr w:type="gramStart"/>
            <w:r>
              <w:rPr>
                <w:sz w:val="24"/>
                <w:szCs w:val="24"/>
              </w:rPr>
              <w:t>is able to</w:t>
            </w:r>
            <w:proofErr w:type="gramEnd"/>
            <w:r>
              <w:rPr>
                <w:sz w:val="24"/>
                <w:szCs w:val="24"/>
              </w:rPr>
              <w:t xml:space="preserve"> consent to declining or accepting support again if they are deemed to have the capacity to do so as outlined above. the consent to report a risk should be sourced and an adult must be informed of any Safeguarding concern that has been submitted unless it is deemed unsafe or impractical to do so. However, when safeguarding a child, it would be consent of the person with parental responsibility for the child that would need to be sourced, and although better child centred outcomes maybe gained through the participation and engagement of the child parent/guardian consent this is not always necessary if this is deemed more harmful for the child as the welfare of the child is paramount during safeguarding procedures.(Wales Safeguarding Procedures, 2019).</w:t>
            </w:r>
          </w:p>
          <w:p w14:paraId="65655395" w14:textId="77777777" w:rsidR="00E213DA" w:rsidRDefault="00E213DA" w:rsidP="00E213DA">
            <w:pPr>
              <w:jc w:val="both"/>
              <w:rPr>
                <w:sz w:val="24"/>
                <w:szCs w:val="24"/>
              </w:rPr>
            </w:pPr>
          </w:p>
          <w:p w14:paraId="7B447675" w14:textId="21ED003A" w:rsidR="00E213DA" w:rsidRPr="000C7FE0" w:rsidRDefault="00E213DA" w:rsidP="00E213DA">
            <w:pPr>
              <w:rPr>
                <w:sz w:val="24"/>
                <w:szCs w:val="24"/>
              </w:rPr>
            </w:pPr>
            <w:r w:rsidRPr="000C7FE0">
              <w:rPr>
                <w:sz w:val="24"/>
                <w:szCs w:val="24"/>
              </w:rPr>
              <w:t>Word count 4</w:t>
            </w:r>
            <w:r w:rsidR="000C7FE0">
              <w:rPr>
                <w:sz w:val="24"/>
                <w:szCs w:val="24"/>
              </w:rPr>
              <w:t>32</w:t>
            </w:r>
            <w:r w:rsidRPr="000C7FE0">
              <w:rPr>
                <w:sz w:val="24"/>
                <w:szCs w:val="24"/>
              </w:rPr>
              <w:t>.</w:t>
            </w:r>
          </w:p>
          <w:p w14:paraId="08760B3D" w14:textId="3C8A9196" w:rsidR="00FC0334" w:rsidRPr="00CA5B70" w:rsidRDefault="00FC0334" w:rsidP="00CA5B70">
            <w:pPr>
              <w:jc w:val="both"/>
              <w:rPr>
                <w:sz w:val="22"/>
                <w:szCs w:val="22"/>
              </w:rPr>
            </w:pPr>
          </w:p>
        </w:tc>
      </w:tr>
    </w:tbl>
    <w:p w14:paraId="76FCF233" w14:textId="77777777" w:rsidR="00FC0334" w:rsidRDefault="00FC0334" w:rsidP="00AD4B22">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9711A0" w14:textId="77777777" w:rsidR="000C29C0" w:rsidRDefault="000C29C0">
      <w:r>
        <w:separator/>
      </w:r>
    </w:p>
  </w:endnote>
  <w:endnote w:type="continuationSeparator" w:id="0">
    <w:p w14:paraId="249E687D" w14:textId="77777777" w:rsidR="000C29C0" w:rsidRDefault="000C29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D0F00F" w14:textId="77777777" w:rsidR="000C29C0" w:rsidRDefault="000C29C0">
      <w:r>
        <w:separator/>
      </w:r>
    </w:p>
  </w:footnote>
  <w:footnote w:type="continuationSeparator" w:id="0">
    <w:p w14:paraId="637D1FE7" w14:textId="77777777" w:rsidR="000C29C0" w:rsidRDefault="000C29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2E263F"/>
    <w:multiLevelType w:val="multilevel"/>
    <w:tmpl w:val="E8BAC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AE5117"/>
    <w:multiLevelType w:val="hybridMultilevel"/>
    <w:tmpl w:val="35DA77A4"/>
    <w:lvl w:ilvl="0" w:tplc="6706C104">
      <w:start w:val="1"/>
      <w:numFmt w:val="bullet"/>
      <w:lvlText w:val="•"/>
      <w:lvlJc w:val="left"/>
      <w:pPr>
        <w:tabs>
          <w:tab w:val="num" w:pos="720"/>
        </w:tabs>
        <w:ind w:left="720" w:hanging="360"/>
      </w:pPr>
      <w:rPr>
        <w:rFonts w:ascii="Arial" w:hAnsi="Arial" w:hint="default"/>
      </w:rPr>
    </w:lvl>
    <w:lvl w:ilvl="1" w:tplc="71A68DEA">
      <w:start w:val="1"/>
      <w:numFmt w:val="bullet"/>
      <w:lvlText w:val="•"/>
      <w:lvlJc w:val="left"/>
      <w:pPr>
        <w:tabs>
          <w:tab w:val="num" w:pos="1440"/>
        </w:tabs>
        <w:ind w:left="1440" w:hanging="360"/>
      </w:pPr>
      <w:rPr>
        <w:rFonts w:ascii="Arial" w:hAnsi="Arial" w:hint="default"/>
      </w:rPr>
    </w:lvl>
    <w:lvl w:ilvl="2" w:tplc="D924F5B8" w:tentative="1">
      <w:start w:val="1"/>
      <w:numFmt w:val="bullet"/>
      <w:lvlText w:val="•"/>
      <w:lvlJc w:val="left"/>
      <w:pPr>
        <w:tabs>
          <w:tab w:val="num" w:pos="2160"/>
        </w:tabs>
        <w:ind w:left="2160" w:hanging="360"/>
      </w:pPr>
      <w:rPr>
        <w:rFonts w:ascii="Arial" w:hAnsi="Arial" w:hint="default"/>
      </w:rPr>
    </w:lvl>
    <w:lvl w:ilvl="3" w:tplc="5CF0F8A8" w:tentative="1">
      <w:start w:val="1"/>
      <w:numFmt w:val="bullet"/>
      <w:lvlText w:val="•"/>
      <w:lvlJc w:val="left"/>
      <w:pPr>
        <w:tabs>
          <w:tab w:val="num" w:pos="2880"/>
        </w:tabs>
        <w:ind w:left="2880" w:hanging="360"/>
      </w:pPr>
      <w:rPr>
        <w:rFonts w:ascii="Arial" w:hAnsi="Arial" w:hint="default"/>
      </w:rPr>
    </w:lvl>
    <w:lvl w:ilvl="4" w:tplc="E3EA0D32" w:tentative="1">
      <w:start w:val="1"/>
      <w:numFmt w:val="bullet"/>
      <w:lvlText w:val="•"/>
      <w:lvlJc w:val="left"/>
      <w:pPr>
        <w:tabs>
          <w:tab w:val="num" w:pos="3600"/>
        </w:tabs>
        <w:ind w:left="3600" w:hanging="360"/>
      </w:pPr>
      <w:rPr>
        <w:rFonts w:ascii="Arial" w:hAnsi="Arial" w:hint="default"/>
      </w:rPr>
    </w:lvl>
    <w:lvl w:ilvl="5" w:tplc="8CBA4A42" w:tentative="1">
      <w:start w:val="1"/>
      <w:numFmt w:val="bullet"/>
      <w:lvlText w:val="•"/>
      <w:lvlJc w:val="left"/>
      <w:pPr>
        <w:tabs>
          <w:tab w:val="num" w:pos="4320"/>
        </w:tabs>
        <w:ind w:left="4320" w:hanging="360"/>
      </w:pPr>
      <w:rPr>
        <w:rFonts w:ascii="Arial" w:hAnsi="Arial" w:hint="default"/>
      </w:rPr>
    </w:lvl>
    <w:lvl w:ilvl="6" w:tplc="4BA08CF4" w:tentative="1">
      <w:start w:val="1"/>
      <w:numFmt w:val="bullet"/>
      <w:lvlText w:val="•"/>
      <w:lvlJc w:val="left"/>
      <w:pPr>
        <w:tabs>
          <w:tab w:val="num" w:pos="5040"/>
        </w:tabs>
        <w:ind w:left="5040" w:hanging="360"/>
      </w:pPr>
      <w:rPr>
        <w:rFonts w:ascii="Arial" w:hAnsi="Arial" w:hint="default"/>
      </w:rPr>
    </w:lvl>
    <w:lvl w:ilvl="7" w:tplc="D1845FEC" w:tentative="1">
      <w:start w:val="1"/>
      <w:numFmt w:val="bullet"/>
      <w:lvlText w:val="•"/>
      <w:lvlJc w:val="left"/>
      <w:pPr>
        <w:tabs>
          <w:tab w:val="num" w:pos="5760"/>
        </w:tabs>
        <w:ind w:left="5760" w:hanging="360"/>
      </w:pPr>
      <w:rPr>
        <w:rFonts w:ascii="Arial" w:hAnsi="Arial" w:hint="default"/>
      </w:rPr>
    </w:lvl>
    <w:lvl w:ilvl="8" w:tplc="5FB4FA30" w:tentative="1">
      <w:start w:val="1"/>
      <w:numFmt w:val="bullet"/>
      <w:lvlText w:val="•"/>
      <w:lvlJc w:val="left"/>
      <w:pPr>
        <w:tabs>
          <w:tab w:val="num" w:pos="6480"/>
        </w:tabs>
        <w:ind w:left="6480" w:hanging="360"/>
      </w:pPr>
      <w:rPr>
        <w:rFonts w:ascii="Arial" w:hAnsi="Arial" w:hint="default"/>
      </w:rPr>
    </w:lvl>
  </w:abstractNum>
  <w:num w:numId="1" w16cid:durableId="1699971041">
    <w:abstractNumId w:val="1"/>
  </w:num>
  <w:num w:numId="2" w16cid:durableId="220411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4E4"/>
    <w:rsid w:val="000A4240"/>
    <w:rsid w:val="000A469A"/>
    <w:rsid w:val="000A584A"/>
    <w:rsid w:val="000A6458"/>
    <w:rsid w:val="000B7A5E"/>
    <w:rsid w:val="000C29C0"/>
    <w:rsid w:val="000C378F"/>
    <w:rsid w:val="000C6892"/>
    <w:rsid w:val="000C6FFE"/>
    <w:rsid w:val="000C7FE0"/>
    <w:rsid w:val="000D0BB6"/>
    <w:rsid w:val="000D2ED2"/>
    <w:rsid w:val="000D6653"/>
    <w:rsid w:val="000E0BCB"/>
    <w:rsid w:val="000E0D51"/>
    <w:rsid w:val="000E26B0"/>
    <w:rsid w:val="000E37C2"/>
    <w:rsid w:val="000E38C3"/>
    <w:rsid w:val="000E7CEF"/>
    <w:rsid w:val="000F1599"/>
    <w:rsid w:val="000F1769"/>
    <w:rsid w:val="000F1A97"/>
    <w:rsid w:val="000F42AE"/>
    <w:rsid w:val="000F6196"/>
    <w:rsid w:val="000F6BC3"/>
    <w:rsid w:val="001011F2"/>
    <w:rsid w:val="0010312C"/>
    <w:rsid w:val="00105026"/>
    <w:rsid w:val="0010662B"/>
    <w:rsid w:val="00106DC7"/>
    <w:rsid w:val="00112391"/>
    <w:rsid w:val="00114F52"/>
    <w:rsid w:val="00116429"/>
    <w:rsid w:val="00130119"/>
    <w:rsid w:val="00132812"/>
    <w:rsid w:val="001347F8"/>
    <w:rsid w:val="001359EE"/>
    <w:rsid w:val="00137BB5"/>
    <w:rsid w:val="00137E05"/>
    <w:rsid w:val="001447F6"/>
    <w:rsid w:val="00147DE3"/>
    <w:rsid w:val="00150794"/>
    <w:rsid w:val="00151DA6"/>
    <w:rsid w:val="001608C4"/>
    <w:rsid w:val="00164832"/>
    <w:rsid w:val="0017041A"/>
    <w:rsid w:val="00171418"/>
    <w:rsid w:val="0017431B"/>
    <w:rsid w:val="001769A5"/>
    <w:rsid w:val="001772BF"/>
    <w:rsid w:val="001772DE"/>
    <w:rsid w:val="00181909"/>
    <w:rsid w:val="001844E9"/>
    <w:rsid w:val="0019496C"/>
    <w:rsid w:val="001961CF"/>
    <w:rsid w:val="00197C1C"/>
    <w:rsid w:val="001A59BB"/>
    <w:rsid w:val="001A607E"/>
    <w:rsid w:val="001A6A51"/>
    <w:rsid w:val="001A79C4"/>
    <w:rsid w:val="001B331A"/>
    <w:rsid w:val="001C0237"/>
    <w:rsid w:val="001C0E74"/>
    <w:rsid w:val="001C4DB8"/>
    <w:rsid w:val="001C50B8"/>
    <w:rsid w:val="001C7A16"/>
    <w:rsid w:val="001D0743"/>
    <w:rsid w:val="001D229F"/>
    <w:rsid w:val="001E2EB6"/>
    <w:rsid w:val="001F4552"/>
    <w:rsid w:val="002019EB"/>
    <w:rsid w:val="00204B58"/>
    <w:rsid w:val="00205051"/>
    <w:rsid w:val="00211F65"/>
    <w:rsid w:val="00214047"/>
    <w:rsid w:val="00216563"/>
    <w:rsid w:val="0021792F"/>
    <w:rsid w:val="00220D06"/>
    <w:rsid w:val="002246A0"/>
    <w:rsid w:val="00225F40"/>
    <w:rsid w:val="00227DEE"/>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B22"/>
    <w:rsid w:val="00295CA1"/>
    <w:rsid w:val="002A0E51"/>
    <w:rsid w:val="002A1A44"/>
    <w:rsid w:val="002A291A"/>
    <w:rsid w:val="002A2C54"/>
    <w:rsid w:val="002A4E2E"/>
    <w:rsid w:val="002A5604"/>
    <w:rsid w:val="002B1701"/>
    <w:rsid w:val="002B23C3"/>
    <w:rsid w:val="002B2D2E"/>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2B23"/>
    <w:rsid w:val="002F4F6E"/>
    <w:rsid w:val="002F72A0"/>
    <w:rsid w:val="003015C3"/>
    <w:rsid w:val="00302C41"/>
    <w:rsid w:val="00304F07"/>
    <w:rsid w:val="003106DB"/>
    <w:rsid w:val="0031350A"/>
    <w:rsid w:val="00315992"/>
    <w:rsid w:val="00316815"/>
    <w:rsid w:val="003168CA"/>
    <w:rsid w:val="00317F34"/>
    <w:rsid w:val="00321255"/>
    <w:rsid w:val="0032230D"/>
    <w:rsid w:val="00322A0B"/>
    <w:rsid w:val="00330881"/>
    <w:rsid w:val="00331CD2"/>
    <w:rsid w:val="00332426"/>
    <w:rsid w:val="00333775"/>
    <w:rsid w:val="00335C41"/>
    <w:rsid w:val="00335FC5"/>
    <w:rsid w:val="0033771E"/>
    <w:rsid w:val="00337FEF"/>
    <w:rsid w:val="00354B6D"/>
    <w:rsid w:val="00355210"/>
    <w:rsid w:val="00355CFD"/>
    <w:rsid w:val="00365DF9"/>
    <w:rsid w:val="0037066E"/>
    <w:rsid w:val="00372DB4"/>
    <w:rsid w:val="00373A36"/>
    <w:rsid w:val="0037419E"/>
    <w:rsid w:val="00374A85"/>
    <w:rsid w:val="00375AF5"/>
    <w:rsid w:val="00375D0F"/>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1CC9"/>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3F7F9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757"/>
    <w:rsid w:val="00473153"/>
    <w:rsid w:val="0047350F"/>
    <w:rsid w:val="004743AF"/>
    <w:rsid w:val="00482ACB"/>
    <w:rsid w:val="00482C17"/>
    <w:rsid w:val="00484CE3"/>
    <w:rsid w:val="0048768C"/>
    <w:rsid w:val="004911B4"/>
    <w:rsid w:val="0049196A"/>
    <w:rsid w:val="004923DA"/>
    <w:rsid w:val="00492EEB"/>
    <w:rsid w:val="00493434"/>
    <w:rsid w:val="0049374F"/>
    <w:rsid w:val="00494BFD"/>
    <w:rsid w:val="004968E2"/>
    <w:rsid w:val="004A2A49"/>
    <w:rsid w:val="004A5A64"/>
    <w:rsid w:val="004A755A"/>
    <w:rsid w:val="004A7B95"/>
    <w:rsid w:val="004B1167"/>
    <w:rsid w:val="004B5553"/>
    <w:rsid w:val="004B600B"/>
    <w:rsid w:val="004B6822"/>
    <w:rsid w:val="004B69F6"/>
    <w:rsid w:val="004C2D3A"/>
    <w:rsid w:val="004C718D"/>
    <w:rsid w:val="004D03C4"/>
    <w:rsid w:val="004D0BF1"/>
    <w:rsid w:val="004D0F4E"/>
    <w:rsid w:val="004D3278"/>
    <w:rsid w:val="004D35A4"/>
    <w:rsid w:val="004D445F"/>
    <w:rsid w:val="004E087B"/>
    <w:rsid w:val="004E2A5A"/>
    <w:rsid w:val="004E44A4"/>
    <w:rsid w:val="004E7B8B"/>
    <w:rsid w:val="004E7BDD"/>
    <w:rsid w:val="004F1966"/>
    <w:rsid w:val="004F1E21"/>
    <w:rsid w:val="004F2542"/>
    <w:rsid w:val="004F4E33"/>
    <w:rsid w:val="004F6B1B"/>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5755"/>
    <w:rsid w:val="005A188C"/>
    <w:rsid w:val="005A1B4C"/>
    <w:rsid w:val="005A3B3D"/>
    <w:rsid w:val="005A545C"/>
    <w:rsid w:val="005B271A"/>
    <w:rsid w:val="005B3A2D"/>
    <w:rsid w:val="005C1567"/>
    <w:rsid w:val="005C28D3"/>
    <w:rsid w:val="005C6CE5"/>
    <w:rsid w:val="005D3F07"/>
    <w:rsid w:val="005D4A1E"/>
    <w:rsid w:val="005D4F72"/>
    <w:rsid w:val="005D6002"/>
    <w:rsid w:val="005E13EA"/>
    <w:rsid w:val="005E17F1"/>
    <w:rsid w:val="005F64AA"/>
    <w:rsid w:val="005F6D9E"/>
    <w:rsid w:val="005F7851"/>
    <w:rsid w:val="00606E27"/>
    <w:rsid w:val="006108C9"/>
    <w:rsid w:val="00614DF7"/>
    <w:rsid w:val="006179BB"/>
    <w:rsid w:val="0062158D"/>
    <w:rsid w:val="006223FD"/>
    <w:rsid w:val="00624A8D"/>
    <w:rsid w:val="006326D1"/>
    <w:rsid w:val="00632E0A"/>
    <w:rsid w:val="00633165"/>
    <w:rsid w:val="00636702"/>
    <w:rsid w:val="006428FB"/>
    <w:rsid w:val="006447DE"/>
    <w:rsid w:val="00644889"/>
    <w:rsid w:val="0065276E"/>
    <w:rsid w:val="00654329"/>
    <w:rsid w:val="00654CEC"/>
    <w:rsid w:val="00655507"/>
    <w:rsid w:val="006579FD"/>
    <w:rsid w:val="006635E3"/>
    <w:rsid w:val="00663D51"/>
    <w:rsid w:val="006669F3"/>
    <w:rsid w:val="006712A7"/>
    <w:rsid w:val="00672CED"/>
    <w:rsid w:val="00674FC2"/>
    <w:rsid w:val="00676E35"/>
    <w:rsid w:val="00677E42"/>
    <w:rsid w:val="00682334"/>
    <w:rsid w:val="00684732"/>
    <w:rsid w:val="00684B16"/>
    <w:rsid w:val="00687016"/>
    <w:rsid w:val="006872A0"/>
    <w:rsid w:val="0069625A"/>
    <w:rsid w:val="00696A88"/>
    <w:rsid w:val="00696C23"/>
    <w:rsid w:val="00696F65"/>
    <w:rsid w:val="00697572"/>
    <w:rsid w:val="006A719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06C49"/>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827"/>
    <w:rsid w:val="00763B2D"/>
    <w:rsid w:val="00764C84"/>
    <w:rsid w:val="007710AD"/>
    <w:rsid w:val="00772924"/>
    <w:rsid w:val="00774423"/>
    <w:rsid w:val="00774F3B"/>
    <w:rsid w:val="0078112D"/>
    <w:rsid w:val="007872F2"/>
    <w:rsid w:val="007873F9"/>
    <w:rsid w:val="007908E0"/>
    <w:rsid w:val="00793EB3"/>
    <w:rsid w:val="00794205"/>
    <w:rsid w:val="0079422A"/>
    <w:rsid w:val="00796872"/>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24A2"/>
    <w:rsid w:val="007F10BD"/>
    <w:rsid w:val="007F12FA"/>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751"/>
    <w:rsid w:val="00846D84"/>
    <w:rsid w:val="00850233"/>
    <w:rsid w:val="0085027F"/>
    <w:rsid w:val="0085230E"/>
    <w:rsid w:val="008550A1"/>
    <w:rsid w:val="00861038"/>
    <w:rsid w:val="00861705"/>
    <w:rsid w:val="00864DFF"/>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41A8"/>
    <w:rsid w:val="008B67F6"/>
    <w:rsid w:val="008C0D25"/>
    <w:rsid w:val="008C14C7"/>
    <w:rsid w:val="008C15D2"/>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3FE1"/>
    <w:rsid w:val="009079BD"/>
    <w:rsid w:val="00912BD9"/>
    <w:rsid w:val="00916FB2"/>
    <w:rsid w:val="00920E5B"/>
    <w:rsid w:val="00921F64"/>
    <w:rsid w:val="00924252"/>
    <w:rsid w:val="00926436"/>
    <w:rsid w:val="00926C53"/>
    <w:rsid w:val="0093018C"/>
    <w:rsid w:val="00934DE3"/>
    <w:rsid w:val="0094495F"/>
    <w:rsid w:val="009544C0"/>
    <w:rsid w:val="00954FA4"/>
    <w:rsid w:val="00956AE9"/>
    <w:rsid w:val="00964CC6"/>
    <w:rsid w:val="00967BFA"/>
    <w:rsid w:val="00974D80"/>
    <w:rsid w:val="0098262C"/>
    <w:rsid w:val="0098427C"/>
    <w:rsid w:val="00986B43"/>
    <w:rsid w:val="00986C0B"/>
    <w:rsid w:val="00986D46"/>
    <w:rsid w:val="009911B7"/>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F7A"/>
    <w:rsid w:val="009E122F"/>
    <w:rsid w:val="009E1982"/>
    <w:rsid w:val="009E4D2C"/>
    <w:rsid w:val="009F0978"/>
    <w:rsid w:val="009F3AEC"/>
    <w:rsid w:val="009F6801"/>
    <w:rsid w:val="00A00081"/>
    <w:rsid w:val="00A06422"/>
    <w:rsid w:val="00A10D56"/>
    <w:rsid w:val="00A12AAE"/>
    <w:rsid w:val="00A12F22"/>
    <w:rsid w:val="00A15C68"/>
    <w:rsid w:val="00A16DD1"/>
    <w:rsid w:val="00A22441"/>
    <w:rsid w:val="00A23F3B"/>
    <w:rsid w:val="00A24406"/>
    <w:rsid w:val="00A24DB0"/>
    <w:rsid w:val="00A25F64"/>
    <w:rsid w:val="00A275F6"/>
    <w:rsid w:val="00A303B9"/>
    <w:rsid w:val="00A31CF8"/>
    <w:rsid w:val="00A323A9"/>
    <w:rsid w:val="00A3421A"/>
    <w:rsid w:val="00A3643A"/>
    <w:rsid w:val="00A37416"/>
    <w:rsid w:val="00A377C3"/>
    <w:rsid w:val="00A40ED6"/>
    <w:rsid w:val="00A47621"/>
    <w:rsid w:val="00A479CD"/>
    <w:rsid w:val="00A47C27"/>
    <w:rsid w:val="00A50CFC"/>
    <w:rsid w:val="00A54D67"/>
    <w:rsid w:val="00A55A3F"/>
    <w:rsid w:val="00A5656A"/>
    <w:rsid w:val="00A60103"/>
    <w:rsid w:val="00A652F6"/>
    <w:rsid w:val="00A65861"/>
    <w:rsid w:val="00A724B7"/>
    <w:rsid w:val="00A732EA"/>
    <w:rsid w:val="00A7489E"/>
    <w:rsid w:val="00A771FD"/>
    <w:rsid w:val="00A8015F"/>
    <w:rsid w:val="00A85039"/>
    <w:rsid w:val="00A865ED"/>
    <w:rsid w:val="00A906AA"/>
    <w:rsid w:val="00A94C5E"/>
    <w:rsid w:val="00AA252C"/>
    <w:rsid w:val="00AA666E"/>
    <w:rsid w:val="00AA7960"/>
    <w:rsid w:val="00AB4B91"/>
    <w:rsid w:val="00AB5518"/>
    <w:rsid w:val="00AC3A0E"/>
    <w:rsid w:val="00AC4A04"/>
    <w:rsid w:val="00AC5679"/>
    <w:rsid w:val="00AC62FF"/>
    <w:rsid w:val="00AD336F"/>
    <w:rsid w:val="00AD4B22"/>
    <w:rsid w:val="00AE134C"/>
    <w:rsid w:val="00AE1868"/>
    <w:rsid w:val="00AE2564"/>
    <w:rsid w:val="00AE301F"/>
    <w:rsid w:val="00AE3302"/>
    <w:rsid w:val="00AE4C34"/>
    <w:rsid w:val="00AE5BA6"/>
    <w:rsid w:val="00AE6231"/>
    <w:rsid w:val="00AE7077"/>
    <w:rsid w:val="00AF15CC"/>
    <w:rsid w:val="00AF61C2"/>
    <w:rsid w:val="00AF6774"/>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2378"/>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2C9C"/>
    <w:rsid w:val="00BB3B56"/>
    <w:rsid w:val="00BB5EAA"/>
    <w:rsid w:val="00BB5F11"/>
    <w:rsid w:val="00BB6638"/>
    <w:rsid w:val="00BB7FD2"/>
    <w:rsid w:val="00BC04FA"/>
    <w:rsid w:val="00BC1C22"/>
    <w:rsid w:val="00BC378F"/>
    <w:rsid w:val="00BC460B"/>
    <w:rsid w:val="00BC4ED3"/>
    <w:rsid w:val="00BC5725"/>
    <w:rsid w:val="00BD10F1"/>
    <w:rsid w:val="00BD30B1"/>
    <w:rsid w:val="00BE0F7B"/>
    <w:rsid w:val="00BE10C2"/>
    <w:rsid w:val="00BE5AE6"/>
    <w:rsid w:val="00BF0D6C"/>
    <w:rsid w:val="00BF1339"/>
    <w:rsid w:val="00C01D14"/>
    <w:rsid w:val="00C01D97"/>
    <w:rsid w:val="00C025B4"/>
    <w:rsid w:val="00C029EC"/>
    <w:rsid w:val="00C111A0"/>
    <w:rsid w:val="00C161FD"/>
    <w:rsid w:val="00C17C9F"/>
    <w:rsid w:val="00C23F17"/>
    <w:rsid w:val="00C246F2"/>
    <w:rsid w:val="00C26D0D"/>
    <w:rsid w:val="00C27C95"/>
    <w:rsid w:val="00C300D2"/>
    <w:rsid w:val="00C3270F"/>
    <w:rsid w:val="00C3278B"/>
    <w:rsid w:val="00C33375"/>
    <w:rsid w:val="00C34C23"/>
    <w:rsid w:val="00C368FA"/>
    <w:rsid w:val="00C42005"/>
    <w:rsid w:val="00C427AB"/>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B70"/>
    <w:rsid w:val="00CA7E6A"/>
    <w:rsid w:val="00CB258E"/>
    <w:rsid w:val="00CB3C8F"/>
    <w:rsid w:val="00CC02F1"/>
    <w:rsid w:val="00CC0AD4"/>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1B81"/>
    <w:rsid w:val="00D44B67"/>
    <w:rsid w:val="00D44F8E"/>
    <w:rsid w:val="00D51FD5"/>
    <w:rsid w:val="00D55DE0"/>
    <w:rsid w:val="00D607EF"/>
    <w:rsid w:val="00D60F88"/>
    <w:rsid w:val="00D643AE"/>
    <w:rsid w:val="00D646BD"/>
    <w:rsid w:val="00D65558"/>
    <w:rsid w:val="00D71201"/>
    <w:rsid w:val="00D720C7"/>
    <w:rsid w:val="00D84841"/>
    <w:rsid w:val="00D876E6"/>
    <w:rsid w:val="00D90958"/>
    <w:rsid w:val="00D918BB"/>
    <w:rsid w:val="00DA1025"/>
    <w:rsid w:val="00DA22EC"/>
    <w:rsid w:val="00DA5682"/>
    <w:rsid w:val="00DA5860"/>
    <w:rsid w:val="00DA5C0C"/>
    <w:rsid w:val="00DB2767"/>
    <w:rsid w:val="00DB61DE"/>
    <w:rsid w:val="00DC1B10"/>
    <w:rsid w:val="00DC20F8"/>
    <w:rsid w:val="00DC2924"/>
    <w:rsid w:val="00DC4729"/>
    <w:rsid w:val="00DC635D"/>
    <w:rsid w:val="00DD31C5"/>
    <w:rsid w:val="00DD5020"/>
    <w:rsid w:val="00DD63BE"/>
    <w:rsid w:val="00DE4296"/>
    <w:rsid w:val="00DF2469"/>
    <w:rsid w:val="00DF7899"/>
    <w:rsid w:val="00E0524C"/>
    <w:rsid w:val="00E15751"/>
    <w:rsid w:val="00E17160"/>
    <w:rsid w:val="00E17D41"/>
    <w:rsid w:val="00E213DA"/>
    <w:rsid w:val="00E220D7"/>
    <w:rsid w:val="00E231D1"/>
    <w:rsid w:val="00E310D9"/>
    <w:rsid w:val="00E3288D"/>
    <w:rsid w:val="00E34160"/>
    <w:rsid w:val="00E35112"/>
    <w:rsid w:val="00E35BEC"/>
    <w:rsid w:val="00E36654"/>
    <w:rsid w:val="00E41A6A"/>
    <w:rsid w:val="00E42820"/>
    <w:rsid w:val="00E50821"/>
    <w:rsid w:val="00E51F91"/>
    <w:rsid w:val="00E5498A"/>
    <w:rsid w:val="00E559CE"/>
    <w:rsid w:val="00E60F42"/>
    <w:rsid w:val="00E6746C"/>
    <w:rsid w:val="00E7046D"/>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B7371"/>
    <w:rsid w:val="00EC3A85"/>
    <w:rsid w:val="00EC4B89"/>
    <w:rsid w:val="00EC50A2"/>
    <w:rsid w:val="00EC59A5"/>
    <w:rsid w:val="00EC6E15"/>
    <w:rsid w:val="00ED1B30"/>
    <w:rsid w:val="00ED5D03"/>
    <w:rsid w:val="00EE01ED"/>
    <w:rsid w:val="00EE1AC1"/>
    <w:rsid w:val="00EE39D6"/>
    <w:rsid w:val="00EE52AD"/>
    <w:rsid w:val="00EE5BC3"/>
    <w:rsid w:val="00EE6FAB"/>
    <w:rsid w:val="00EF2154"/>
    <w:rsid w:val="00EF328C"/>
    <w:rsid w:val="00EF68BB"/>
    <w:rsid w:val="00F01F92"/>
    <w:rsid w:val="00F030D4"/>
    <w:rsid w:val="00F04053"/>
    <w:rsid w:val="00F06573"/>
    <w:rsid w:val="00F1070F"/>
    <w:rsid w:val="00F10A08"/>
    <w:rsid w:val="00F15354"/>
    <w:rsid w:val="00F22AC5"/>
    <w:rsid w:val="00F254D1"/>
    <w:rsid w:val="00F32B82"/>
    <w:rsid w:val="00F34C86"/>
    <w:rsid w:val="00F4043E"/>
    <w:rsid w:val="00F41795"/>
    <w:rsid w:val="00F41BBC"/>
    <w:rsid w:val="00F43962"/>
    <w:rsid w:val="00F444F0"/>
    <w:rsid w:val="00F446FF"/>
    <w:rsid w:val="00F45521"/>
    <w:rsid w:val="00F50847"/>
    <w:rsid w:val="00F51E61"/>
    <w:rsid w:val="00F53F27"/>
    <w:rsid w:val="00F546D1"/>
    <w:rsid w:val="00F60281"/>
    <w:rsid w:val="00F66272"/>
    <w:rsid w:val="00F709C0"/>
    <w:rsid w:val="00F81FEC"/>
    <w:rsid w:val="00F927A1"/>
    <w:rsid w:val="00F92E4D"/>
    <w:rsid w:val="00F95D08"/>
    <w:rsid w:val="00FA0497"/>
    <w:rsid w:val="00FA23BD"/>
    <w:rsid w:val="00FA3764"/>
    <w:rsid w:val="00FA41C7"/>
    <w:rsid w:val="00FA4263"/>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BED"/>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legclearfix">
    <w:name w:val="legclearfix"/>
    <w:basedOn w:val="Normal"/>
    <w:rsid w:val="00494B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494BFD"/>
  </w:style>
  <w:style w:type="paragraph" w:styleId="NormalWeb">
    <w:name w:val="Normal (Web)"/>
    <w:basedOn w:val="Normal"/>
    <w:uiPriority w:val="99"/>
    <w:unhideWhenUsed/>
    <w:rsid w:val="00BB2C9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gkelc">
    <w:name w:val="hgkelc"/>
    <w:basedOn w:val="DefaultParagraphFont"/>
    <w:rsid w:val="001769A5"/>
  </w:style>
  <w:style w:type="character" w:customStyle="1" w:styleId="kx21rb">
    <w:name w:val="kx21rb"/>
    <w:basedOn w:val="DefaultParagraphFont"/>
    <w:rsid w:val="001769A5"/>
  </w:style>
  <w:style w:type="paragraph" w:customStyle="1" w:styleId="pf0">
    <w:name w:val="pf0"/>
    <w:basedOn w:val="Normal"/>
    <w:rsid w:val="009E0F7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f01">
    <w:name w:val="cf01"/>
    <w:basedOn w:val="DefaultParagraphFont"/>
    <w:rsid w:val="009E0F7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770592">
      <w:bodyDiv w:val="1"/>
      <w:marLeft w:val="0"/>
      <w:marRight w:val="0"/>
      <w:marTop w:val="0"/>
      <w:marBottom w:val="0"/>
      <w:divBdr>
        <w:top w:val="none" w:sz="0" w:space="0" w:color="auto"/>
        <w:left w:val="none" w:sz="0" w:space="0" w:color="auto"/>
        <w:bottom w:val="none" w:sz="0" w:space="0" w:color="auto"/>
        <w:right w:val="none" w:sz="0" w:space="0" w:color="auto"/>
      </w:divBdr>
    </w:div>
    <w:div w:id="184563927">
      <w:bodyDiv w:val="1"/>
      <w:marLeft w:val="0"/>
      <w:marRight w:val="0"/>
      <w:marTop w:val="0"/>
      <w:marBottom w:val="0"/>
      <w:divBdr>
        <w:top w:val="none" w:sz="0" w:space="0" w:color="auto"/>
        <w:left w:val="none" w:sz="0" w:space="0" w:color="auto"/>
        <w:bottom w:val="none" w:sz="0" w:space="0" w:color="auto"/>
        <w:right w:val="none" w:sz="0" w:space="0" w:color="auto"/>
      </w:divBdr>
    </w:div>
    <w:div w:id="248316785">
      <w:bodyDiv w:val="1"/>
      <w:marLeft w:val="0"/>
      <w:marRight w:val="0"/>
      <w:marTop w:val="0"/>
      <w:marBottom w:val="0"/>
      <w:divBdr>
        <w:top w:val="none" w:sz="0" w:space="0" w:color="auto"/>
        <w:left w:val="none" w:sz="0" w:space="0" w:color="auto"/>
        <w:bottom w:val="none" w:sz="0" w:space="0" w:color="auto"/>
        <w:right w:val="none" w:sz="0" w:space="0" w:color="auto"/>
      </w:divBdr>
      <w:divsChild>
        <w:div w:id="1911883872">
          <w:marLeft w:val="562"/>
          <w:marRight w:val="0"/>
          <w:marTop w:val="100"/>
          <w:marBottom w:val="0"/>
          <w:divBdr>
            <w:top w:val="none" w:sz="0" w:space="0" w:color="auto"/>
            <w:left w:val="none" w:sz="0" w:space="0" w:color="auto"/>
            <w:bottom w:val="none" w:sz="0" w:space="0" w:color="auto"/>
            <w:right w:val="none" w:sz="0" w:space="0" w:color="auto"/>
          </w:divBdr>
        </w:div>
        <w:div w:id="1366830989">
          <w:marLeft w:val="562"/>
          <w:marRight w:val="0"/>
          <w:marTop w:val="100"/>
          <w:marBottom w:val="0"/>
          <w:divBdr>
            <w:top w:val="none" w:sz="0" w:space="0" w:color="auto"/>
            <w:left w:val="none" w:sz="0" w:space="0" w:color="auto"/>
            <w:bottom w:val="none" w:sz="0" w:space="0" w:color="auto"/>
            <w:right w:val="none" w:sz="0" w:space="0" w:color="auto"/>
          </w:divBdr>
        </w:div>
        <w:div w:id="1774086176">
          <w:marLeft w:val="562"/>
          <w:marRight w:val="0"/>
          <w:marTop w:val="100"/>
          <w:marBottom w:val="0"/>
          <w:divBdr>
            <w:top w:val="none" w:sz="0" w:space="0" w:color="auto"/>
            <w:left w:val="none" w:sz="0" w:space="0" w:color="auto"/>
            <w:bottom w:val="none" w:sz="0" w:space="0" w:color="auto"/>
            <w:right w:val="none" w:sz="0" w:space="0" w:color="auto"/>
          </w:divBdr>
        </w:div>
        <w:div w:id="337773213">
          <w:marLeft w:val="562"/>
          <w:marRight w:val="0"/>
          <w:marTop w:val="100"/>
          <w:marBottom w:val="0"/>
          <w:divBdr>
            <w:top w:val="none" w:sz="0" w:space="0" w:color="auto"/>
            <w:left w:val="none" w:sz="0" w:space="0" w:color="auto"/>
            <w:bottom w:val="none" w:sz="0" w:space="0" w:color="auto"/>
            <w:right w:val="none" w:sz="0" w:space="0" w:color="auto"/>
          </w:divBdr>
        </w:div>
        <w:div w:id="1980958061">
          <w:marLeft w:val="562"/>
          <w:marRight w:val="0"/>
          <w:marTop w:val="100"/>
          <w:marBottom w:val="0"/>
          <w:divBdr>
            <w:top w:val="none" w:sz="0" w:space="0" w:color="auto"/>
            <w:left w:val="none" w:sz="0" w:space="0" w:color="auto"/>
            <w:bottom w:val="none" w:sz="0" w:space="0" w:color="auto"/>
            <w:right w:val="none" w:sz="0" w:space="0" w:color="auto"/>
          </w:divBdr>
        </w:div>
        <w:div w:id="1532110071">
          <w:marLeft w:val="562"/>
          <w:marRight w:val="0"/>
          <w:marTop w:val="100"/>
          <w:marBottom w:val="0"/>
          <w:divBdr>
            <w:top w:val="none" w:sz="0" w:space="0" w:color="auto"/>
            <w:left w:val="none" w:sz="0" w:space="0" w:color="auto"/>
            <w:bottom w:val="none" w:sz="0" w:space="0" w:color="auto"/>
            <w:right w:val="none" w:sz="0" w:space="0" w:color="auto"/>
          </w:divBdr>
        </w:div>
        <w:div w:id="1651709408">
          <w:marLeft w:val="562"/>
          <w:marRight w:val="0"/>
          <w:marTop w:val="100"/>
          <w:marBottom w:val="0"/>
          <w:divBdr>
            <w:top w:val="none" w:sz="0" w:space="0" w:color="auto"/>
            <w:left w:val="none" w:sz="0" w:space="0" w:color="auto"/>
            <w:bottom w:val="none" w:sz="0" w:space="0" w:color="auto"/>
            <w:right w:val="none" w:sz="0" w:space="0" w:color="auto"/>
          </w:divBdr>
        </w:div>
        <w:div w:id="1561401219">
          <w:marLeft w:val="562"/>
          <w:marRight w:val="0"/>
          <w:marTop w:val="100"/>
          <w:marBottom w:val="0"/>
          <w:divBdr>
            <w:top w:val="none" w:sz="0" w:space="0" w:color="auto"/>
            <w:left w:val="none" w:sz="0" w:space="0" w:color="auto"/>
            <w:bottom w:val="none" w:sz="0" w:space="0" w:color="auto"/>
            <w:right w:val="none" w:sz="0" w:space="0" w:color="auto"/>
          </w:divBdr>
        </w:div>
      </w:divsChild>
    </w:div>
    <w:div w:id="287787782">
      <w:bodyDiv w:val="1"/>
      <w:marLeft w:val="0"/>
      <w:marRight w:val="0"/>
      <w:marTop w:val="0"/>
      <w:marBottom w:val="0"/>
      <w:divBdr>
        <w:top w:val="none" w:sz="0" w:space="0" w:color="auto"/>
        <w:left w:val="none" w:sz="0" w:space="0" w:color="auto"/>
        <w:bottom w:val="none" w:sz="0" w:space="0" w:color="auto"/>
        <w:right w:val="none" w:sz="0" w:space="0" w:color="auto"/>
      </w:divBdr>
    </w:div>
    <w:div w:id="445320913">
      <w:bodyDiv w:val="1"/>
      <w:marLeft w:val="0"/>
      <w:marRight w:val="0"/>
      <w:marTop w:val="0"/>
      <w:marBottom w:val="0"/>
      <w:divBdr>
        <w:top w:val="none" w:sz="0" w:space="0" w:color="auto"/>
        <w:left w:val="none" w:sz="0" w:space="0" w:color="auto"/>
        <w:bottom w:val="none" w:sz="0" w:space="0" w:color="auto"/>
        <w:right w:val="none" w:sz="0" w:space="0" w:color="auto"/>
      </w:divBdr>
    </w:div>
    <w:div w:id="458912525">
      <w:bodyDiv w:val="1"/>
      <w:marLeft w:val="0"/>
      <w:marRight w:val="0"/>
      <w:marTop w:val="0"/>
      <w:marBottom w:val="0"/>
      <w:divBdr>
        <w:top w:val="none" w:sz="0" w:space="0" w:color="auto"/>
        <w:left w:val="none" w:sz="0" w:space="0" w:color="auto"/>
        <w:bottom w:val="none" w:sz="0" w:space="0" w:color="auto"/>
        <w:right w:val="none" w:sz="0" w:space="0" w:color="auto"/>
      </w:divBdr>
    </w:div>
    <w:div w:id="508059485">
      <w:bodyDiv w:val="1"/>
      <w:marLeft w:val="0"/>
      <w:marRight w:val="0"/>
      <w:marTop w:val="0"/>
      <w:marBottom w:val="0"/>
      <w:divBdr>
        <w:top w:val="none" w:sz="0" w:space="0" w:color="auto"/>
        <w:left w:val="none" w:sz="0" w:space="0" w:color="auto"/>
        <w:bottom w:val="none" w:sz="0" w:space="0" w:color="auto"/>
        <w:right w:val="none" w:sz="0" w:space="0" w:color="auto"/>
      </w:divBdr>
      <w:divsChild>
        <w:div w:id="1135760828">
          <w:marLeft w:val="274"/>
          <w:marRight w:val="0"/>
          <w:marTop w:val="150"/>
          <w:marBottom w:val="0"/>
          <w:divBdr>
            <w:top w:val="none" w:sz="0" w:space="0" w:color="auto"/>
            <w:left w:val="none" w:sz="0" w:space="0" w:color="auto"/>
            <w:bottom w:val="none" w:sz="0" w:space="0" w:color="auto"/>
            <w:right w:val="none" w:sz="0" w:space="0" w:color="auto"/>
          </w:divBdr>
        </w:div>
        <w:div w:id="1971788305">
          <w:marLeft w:val="274"/>
          <w:marRight w:val="0"/>
          <w:marTop w:val="150"/>
          <w:marBottom w:val="0"/>
          <w:divBdr>
            <w:top w:val="none" w:sz="0" w:space="0" w:color="auto"/>
            <w:left w:val="none" w:sz="0" w:space="0" w:color="auto"/>
            <w:bottom w:val="none" w:sz="0" w:space="0" w:color="auto"/>
            <w:right w:val="none" w:sz="0" w:space="0" w:color="auto"/>
          </w:divBdr>
        </w:div>
        <w:div w:id="1296717134">
          <w:marLeft w:val="274"/>
          <w:marRight w:val="0"/>
          <w:marTop w:val="150"/>
          <w:marBottom w:val="0"/>
          <w:divBdr>
            <w:top w:val="none" w:sz="0" w:space="0" w:color="auto"/>
            <w:left w:val="none" w:sz="0" w:space="0" w:color="auto"/>
            <w:bottom w:val="none" w:sz="0" w:space="0" w:color="auto"/>
            <w:right w:val="none" w:sz="0" w:space="0" w:color="auto"/>
          </w:divBdr>
        </w:div>
        <w:div w:id="174852280">
          <w:marLeft w:val="274"/>
          <w:marRight w:val="0"/>
          <w:marTop w:val="150"/>
          <w:marBottom w:val="0"/>
          <w:divBdr>
            <w:top w:val="none" w:sz="0" w:space="0" w:color="auto"/>
            <w:left w:val="none" w:sz="0" w:space="0" w:color="auto"/>
            <w:bottom w:val="none" w:sz="0" w:space="0" w:color="auto"/>
            <w:right w:val="none" w:sz="0" w:space="0" w:color="auto"/>
          </w:divBdr>
        </w:div>
        <w:div w:id="534926306">
          <w:marLeft w:val="274"/>
          <w:marRight w:val="0"/>
          <w:marTop w:val="150"/>
          <w:marBottom w:val="0"/>
          <w:divBdr>
            <w:top w:val="none" w:sz="0" w:space="0" w:color="auto"/>
            <w:left w:val="none" w:sz="0" w:space="0" w:color="auto"/>
            <w:bottom w:val="none" w:sz="0" w:space="0" w:color="auto"/>
            <w:right w:val="none" w:sz="0" w:space="0" w:color="auto"/>
          </w:divBdr>
        </w:div>
      </w:divsChild>
    </w:div>
    <w:div w:id="662898332">
      <w:bodyDiv w:val="1"/>
      <w:marLeft w:val="0"/>
      <w:marRight w:val="0"/>
      <w:marTop w:val="0"/>
      <w:marBottom w:val="0"/>
      <w:divBdr>
        <w:top w:val="none" w:sz="0" w:space="0" w:color="auto"/>
        <w:left w:val="none" w:sz="0" w:space="0" w:color="auto"/>
        <w:bottom w:val="none" w:sz="0" w:space="0" w:color="auto"/>
        <w:right w:val="none" w:sz="0" w:space="0" w:color="auto"/>
      </w:divBdr>
    </w:div>
    <w:div w:id="669260153">
      <w:bodyDiv w:val="1"/>
      <w:marLeft w:val="0"/>
      <w:marRight w:val="0"/>
      <w:marTop w:val="0"/>
      <w:marBottom w:val="0"/>
      <w:divBdr>
        <w:top w:val="none" w:sz="0" w:space="0" w:color="auto"/>
        <w:left w:val="none" w:sz="0" w:space="0" w:color="auto"/>
        <w:bottom w:val="none" w:sz="0" w:space="0" w:color="auto"/>
        <w:right w:val="none" w:sz="0" w:space="0" w:color="auto"/>
      </w:divBdr>
    </w:div>
    <w:div w:id="911157972">
      <w:bodyDiv w:val="1"/>
      <w:marLeft w:val="0"/>
      <w:marRight w:val="0"/>
      <w:marTop w:val="0"/>
      <w:marBottom w:val="0"/>
      <w:divBdr>
        <w:top w:val="none" w:sz="0" w:space="0" w:color="auto"/>
        <w:left w:val="none" w:sz="0" w:space="0" w:color="auto"/>
        <w:bottom w:val="none" w:sz="0" w:space="0" w:color="auto"/>
        <w:right w:val="none" w:sz="0" w:space="0" w:color="auto"/>
      </w:divBdr>
    </w:div>
    <w:div w:id="95374833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755900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731514">
      <w:bodyDiv w:val="1"/>
      <w:marLeft w:val="0"/>
      <w:marRight w:val="0"/>
      <w:marTop w:val="0"/>
      <w:marBottom w:val="0"/>
      <w:divBdr>
        <w:top w:val="none" w:sz="0" w:space="0" w:color="auto"/>
        <w:left w:val="none" w:sz="0" w:space="0" w:color="auto"/>
        <w:bottom w:val="none" w:sz="0" w:space="0" w:color="auto"/>
        <w:right w:val="none" w:sz="0" w:space="0" w:color="auto"/>
      </w:divBdr>
    </w:div>
    <w:div w:id="1226839887">
      <w:bodyDiv w:val="1"/>
      <w:marLeft w:val="0"/>
      <w:marRight w:val="0"/>
      <w:marTop w:val="0"/>
      <w:marBottom w:val="0"/>
      <w:divBdr>
        <w:top w:val="none" w:sz="0" w:space="0" w:color="auto"/>
        <w:left w:val="none" w:sz="0" w:space="0" w:color="auto"/>
        <w:bottom w:val="none" w:sz="0" w:space="0" w:color="auto"/>
        <w:right w:val="none" w:sz="0" w:space="0" w:color="auto"/>
      </w:divBdr>
    </w:div>
    <w:div w:id="1245725566">
      <w:bodyDiv w:val="1"/>
      <w:marLeft w:val="0"/>
      <w:marRight w:val="0"/>
      <w:marTop w:val="0"/>
      <w:marBottom w:val="0"/>
      <w:divBdr>
        <w:top w:val="none" w:sz="0" w:space="0" w:color="auto"/>
        <w:left w:val="none" w:sz="0" w:space="0" w:color="auto"/>
        <w:bottom w:val="none" w:sz="0" w:space="0" w:color="auto"/>
        <w:right w:val="none" w:sz="0" w:space="0" w:color="auto"/>
      </w:divBdr>
    </w:div>
    <w:div w:id="1248341795">
      <w:bodyDiv w:val="1"/>
      <w:marLeft w:val="0"/>
      <w:marRight w:val="0"/>
      <w:marTop w:val="0"/>
      <w:marBottom w:val="0"/>
      <w:divBdr>
        <w:top w:val="none" w:sz="0" w:space="0" w:color="auto"/>
        <w:left w:val="none" w:sz="0" w:space="0" w:color="auto"/>
        <w:bottom w:val="none" w:sz="0" w:space="0" w:color="auto"/>
        <w:right w:val="none" w:sz="0" w:space="0" w:color="auto"/>
      </w:divBdr>
    </w:div>
    <w:div w:id="1318413790">
      <w:bodyDiv w:val="1"/>
      <w:marLeft w:val="0"/>
      <w:marRight w:val="0"/>
      <w:marTop w:val="0"/>
      <w:marBottom w:val="0"/>
      <w:divBdr>
        <w:top w:val="none" w:sz="0" w:space="0" w:color="auto"/>
        <w:left w:val="none" w:sz="0" w:space="0" w:color="auto"/>
        <w:bottom w:val="none" w:sz="0" w:space="0" w:color="auto"/>
        <w:right w:val="none" w:sz="0" w:space="0" w:color="auto"/>
      </w:divBdr>
    </w:div>
    <w:div w:id="1489903615">
      <w:bodyDiv w:val="1"/>
      <w:marLeft w:val="0"/>
      <w:marRight w:val="0"/>
      <w:marTop w:val="0"/>
      <w:marBottom w:val="0"/>
      <w:divBdr>
        <w:top w:val="none" w:sz="0" w:space="0" w:color="auto"/>
        <w:left w:val="none" w:sz="0" w:space="0" w:color="auto"/>
        <w:bottom w:val="none" w:sz="0" w:space="0" w:color="auto"/>
        <w:right w:val="none" w:sz="0" w:space="0" w:color="auto"/>
      </w:divBdr>
    </w:div>
    <w:div w:id="1523083775">
      <w:bodyDiv w:val="1"/>
      <w:marLeft w:val="0"/>
      <w:marRight w:val="0"/>
      <w:marTop w:val="0"/>
      <w:marBottom w:val="0"/>
      <w:divBdr>
        <w:top w:val="none" w:sz="0" w:space="0" w:color="auto"/>
        <w:left w:val="none" w:sz="0" w:space="0" w:color="auto"/>
        <w:bottom w:val="none" w:sz="0" w:space="0" w:color="auto"/>
        <w:right w:val="none" w:sz="0" w:space="0" w:color="auto"/>
      </w:divBdr>
    </w:div>
    <w:div w:id="1827548763">
      <w:bodyDiv w:val="1"/>
      <w:marLeft w:val="0"/>
      <w:marRight w:val="0"/>
      <w:marTop w:val="0"/>
      <w:marBottom w:val="0"/>
      <w:divBdr>
        <w:top w:val="none" w:sz="0" w:space="0" w:color="auto"/>
        <w:left w:val="none" w:sz="0" w:space="0" w:color="auto"/>
        <w:bottom w:val="none" w:sz="0" w:space="0" w:color="auto"/>
        <w:right w:val="none" w:sz="0" w:space="0" w:color="auto"/>
      </w:divBdr>
    </w:div>
    <w:div w:id="1834107296">
      <w:bodyDiv w:val="1"/>
      <w:marLeft w:val="0"/>
      <w:marRight w:val="0"/>
      <w:marTop w:val="0"/>
      <w:marBottom w:val="0"/>
      <w:divBdr>
        <w:top w:val="none" w:sz="0" w:space="0" w:color="auto"/>
        <w:left w:val="none" w:sz="0" w:space="0" w:color="auto"/>
        <w:bottom w:val="none" w:sz="0" w:space="0" w:color="auto"/>
        <w:right w:val="none" w:sz="0" w:space="0" w:color="auto"/>
      </w:divBdr>
    </w:div>
    <w:div w:id="192502096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16679@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4</Pages>
  <Words>1186</Words>
  <Characters>6176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 Hughes</cp:lastModifiedBy>
  <cp:revision>35</cp:revision>
  <cp:lastPrinted>2020-02-11T19:20:00Z</cp:lastPrinted>
  <dcterms:created xsi:type="dcterms:W3CDTF">2024-07-31T13:15:00Z</dcterms:created>
  <dcterms:modified xsi:type="dcterms:W3CDTF">2024-09-27T15:43:00Z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