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E62F0E">
        <w:trPr>
          <w:trHeight w:val="3968"/>
        </w:trPr>
        <w:tc>
          <w:tcPr>
            <w:tcW w:w="10368" w:type="dxa"/>
          </w:tcPr>
          <w:p w14:paraId="605F9338" w14:textId="77777777" w:rsidR="00E62F0E" w:rsidRDefault="00E62F0E" w:rsidP="00E62F0E">
            <w:pPr>
              <w:ind w:right="-957"/>
              <w:rPr>
                <w:rFonts w:ascii="Times New Roman" w:hAnsi="Times New Roman" w:cs="Times New Roman"/>
                <w:b/>
                <w:sz w:val="48"/>
              </w:rPr>
            </w:pPr>
            <w:r>
              <w:rPr>
                <w:rFonts w:ascii="Times New Roman" w:hAnsi="Times New Roman" w:cs="Times New Roman"/>
                <w:b/>
                <w:sz w:val="48"/>
              </w:rPr>
              <w:t xml:space="preserve">Learner’s name: Catrin Owen </w:t>
            </w:r>
          </w:p>
          <w:p w14:paraId="4D9FAF4C" w14:textId="77777777" w:rsidR="00E62F0E" w:rsidRDefault="00E62F0E" w:rsidP="00E62F0E">
            <w:pPr>
              <w:ind w:right="-957"/>
              <w:rPr>
                <w:rFonts w:ascii="Times New Roman" w:hAnsi="Times New Roman" w:cs="Times New Roman"/>
                <w:b/>
                <w:sz w:val="48"/>
              </w:rPr>
            </w:pPr>
          </w:p>
          <w:p w14:paraId="0214DC4B" w14:textId="77777777" w:rsidR="00E62F0E" w:rsidRDefault="00E62F0E" w:rsidP="00E62F0E">
            <w:pPr>
              <w:ind w:right="-957"/>
              <w:rPr>
                <w:rFonts w:ascii="Times New Roman" w:hAnsi="Times New Roman" w:cs="Times New Roman"/>
                <w:b/>
                <w:sz w:val="48"/>
              </w:rPr>
            </w:pPr>
            <w:r>
              <w:rPr>
                <w:rFonts w:ascii="Times New Roman" w:hAnsi="Times New Roman" w:cs="Times New Roman"/>
                <w:b/>
                <w:sz w:val="48"/>
              </w:rPr>
              <w:t xml:space="preserve">Email address: </w:t>
            </w:r>
            <w:hyperlink r:id="rId11" w:history="1">
              <w:r w:rsidRPr="00440F60">
                <w:rPr>
                  <w:rStyle w:val="Hyperlink"/>
                  <w:rFonts w:ascii="Times New Roman" w:hAnsi="Times New Roman" w:cs="Times New Roman"/>
                  <w:b/>
                  <w:sz w:val="48"/>
                </w:rPr>
                <w:t>2434455@student.uwtsd.ac.uk</w:t>
              </w:r>
            </w:hyperlink>
            <w:r>
              <w:rPr>
                <w:rFonts w:ascii="Times New Roman" w:hAnsi="Times New Roman" w:cs="Times New Roman"/>
                <w:b/>
                <w:sz w:val="48"/>
              </w:rPr>
              <w:t xml:space="preserve"> / </w:t>
            </w:r>
            <w:hyperlink r:id="rId12" w:history="1">
              <w:r w:rsidRPr="00440F60">
                <w:rPr>
                  <w:rStyle w:val="Hyperlink"/>
                  <w:rFonts w:ascii="Times New Roman" w:hAnsi="Times New Roman" w:cs="Times New Roman"/>
                  <w:b/>
                  <w:sz w:val="48"/>
                </w:rPr>
                <w:t>Catrinhaf5@hotmail.co.uk</w:t>
              </w:r>
            </w:hyperlink>
            <w:r>
              <w:rPr>
                <w:rFonts w:ascii="Times New Roman" w:hAnsi="Times New Roman" w:cs="Times New Roman"/>
                <w:b/>
                <w:sz w:val="48"/>
              </w:rPr>
              <w:t xml:space="preserve"> </w:t>
            </w:r>
          </w:p>
          <w:p w14:paraId="7553C903" w14:textId="77777777" w:rsidR="00E62F0E" w:rsidRDefault="00E62F0E" w:rsidP="00E62F0E">
            <w:pPr>
              <w:ind w:right="-957"/>
              <w:rPr>
                <w:rFonts w:ascii="Times New Roman" w:hAnsi="Times New Roman" w:cs="Times New Roman"/>
                <w:b/>
                <w:sz w:val="48"/>
              </w:rPr>
            </w:pPr>
          </w:p>
          <w:p w14:paraId="2A5378E5" w14:textId="77777777" w:rsidR="00E62F0E" w:rsidRDefault="00E62F0E" w:rsidP="00E62F0E">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5F51BCE2" w14:textId="77777777" w:rsidR="00E62F0E" w:rsidRPr="005D3F07" w:rsidRDefault="00E62F0E" w:rsidP="00E62F0E">
            <w:pPr>
              <w:ind w:right="-957"/>
              <w:rPr>
                <w:rFonts w:ascii="Times New Roman" w:hAnsi="Times New Roman" w:cs="Times New Roman"/>
                <w:b/>
                <w:sz w:val="48"/>
              </w:rPr>
            </w:pPr>
            <w:r>
              <w:rPr>
                <w:rFonts w:ascii="Times New Roman" w:hAnsi="Times New Roman" w:cs="Times New Roman"/>
                <w:b/>
                <w:sz w:val="48"/>
              </w:rPr>
              <w:t>2434455</w:t>
            </w:r>
          </w:p>
          <w:p w14:paraId="5DC8262E" w14:textId="77777777" w:rsidR="00E62F0E" w:rsidRPr="005D3F07" w:rsidRDefault="00E62F0E" w:rsidP="00E62F0E">
            <w:pPr>
              <w:ind w:right="-957"/>
              <w:rPr>
                <w:rFonts w:ascii="Times New Roman" w:hAnsi="Times New Roman" w:cs="Times New Roman"/>
                <w:b/>
                <w:sz w:val="48"/>
              </w:rPr>
            </w:pPr>
          </w:p>
          <w:p w14:paraId="5F84129B" w14:textId="626DAB1E" w:rsidR="0085230E" w:rsidRPr="005D3F07" w:rsidRDefault="00E62F0E" w:rsidP="00E62F0E">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389D3C4" w14:textId="77777777" w:rsidR="00E62F0E" w:rsidRDefault="00E62F0E" w:rsidP="00E62F0E">
      <w:pPr>
        <w:rPr>
          <w:rFonts w:ascii="Times New Roman" w:hAnsi="Times New Roman" w:cs="Times New Roman"/>
          <w:b/>
          <w:color w:val="auto"/>
          <w:sz w:val="48"/>
        </w:rPr>
      </w:pPr>
    </w:p>
    <w:p w14:paraId="5A670606" w14:textId="324DF3AC" w:rsidR="00F546D1" w:rsidRPr="00E62F0E" w:rsidRDefault="007374EF" w:rsidP="00E62F0E">
      <w:pPr>
        <w:jc w:val="center"/>
        <w:rPr>
          <w:b/>
          <w:sz w:val="24"/>
          <w:szCs w:val="24"/>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28B73B0F" w14:textId="68D8353B" w:rsidR="00605025" w:rsidRDefault="000A584A" w:rsidP="00064063">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w:t>
            </w: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41A5F30" w14:textId="77777777" w:rsidR="00605025" w:rsidRPr="000E1668" w:rsidRDefault="00605025" w:rsidP="00605025">
            <w:pPr>
              <w:rPr>
                <w:b/>
                <w:bCs/>
                <w:sz w:val="22"/>
                <w:szCs w:val="22"/>
              </w:rPr>
            </w:pPr>
          </w:p>
          <w:p w14:paraId="29D1B4B4" w14:textId="77777777" w:rsidR="00605025" w:rsidRPr="000E1668" w:rsidRDefault="00605025" w:rsidP="00D34405">
            <w:pPr>
              <w:spacing w:line="360" w:lineRule="auto"/>
              <w:jc w:val="both"/>
              <w:rPr>
                <w:sz w:val="22"/>
                <w:szCs w:val="22"/>
              </w:rPr>
            </w:pPr>
            <w:r w:rsidRPr="000E1668">
              <w:rPr>
                <w:sz w:val="22"/>
                <w:szCs w:val="22"/>
              </w:rPr>
              <w:t xml:space="preserve">This essay aims to critically reflect on my practice working with a family, The family resided in a small Welsh village which did have some local amenities and transport links. The child who was 9 years old at the time will be referred to as Child 1 throughout this essay. Child 1 lived in a household with her mother who will be referred to as Mother 1 throughout this essay. </w:t>
            </w:r>
          </w:p>
          <w:p w14:paraId="284C62DD" w14:textId="77777777" w:rsidR="00605025" w:rsidRPr="000E1668" w:rsidRDefault="00605025" w:rsidP="00D34405">
            <w:pPr>
              <w:spacing w:line="360" w:lineRule="auto"/>
              <w:jc w:val="both"/>
              <w:rPr>
                <w:sz w:val="22"/>
                <w:szCs w:val="22"/>
              </w:rPr>
            </w:pPr>
          </w:p>
          <w:p w14:paraId="6D0E2864" w14:textId="77777777" w:rsidR="00605025" w:rsidRPr="000E1668" w:rsidRDefault="00605025" w:rsidP="00D34405">
            <w:pPr>
              <w:spacing w:line="360" w:lineRule="auto"/>
              <w:jc w:val="both"/>
              <w:rPr>
                <w:sz w:val="22"/>
                <w:szCs w:val="22"/>
              </w:rPr>
            </w:pPr>
            <w:r w:rsidRPr="000E1668">
              <w:rPr>
                <w:sz w:val="22"/>
                <w:szCs w:val="22"/>
              </w:rPr>
              <w:t xml:space="preserve">A referral was received to the department in relation to concerns raised by a member of the public that mother 1 has started a new relationship and this was developing quickly for example the new partner was staying at the address, had been introduced to her child and had become very comfortable very quickly in a period of less than 6 weeks. From reviewing the file it was clear there has been a history of the mother entering into relationships with high-risk perpetrators of domestic abuse. I do consider it’s important to note her previous relationship did result in a significant incident where Child 1 witnesses verbal abuse and threats of physical abuse which resulted in her having to call for support. Following this the preparator was arrested and it did result in a prison sentence. However, during previous involvement it was recognised that mother had been seen to have been acting appropriately in safeguarding her daughter through ending the relationships and working with domestic abuse services as well as pursuing a police complaint. </w:t>
            </w:r>
          </w:p>
          <w:p w14:paraId="729FF60A" w14:textId="77777777" w:rsidR="00605025" w:rsidRPr="000E1668" w:rsidRDefault="00605025" w:rsidP="00D34405">
            <w:pPr>
              <w:spacing w:line="360" w:lineRule="auto"/>
              <w:jc w:val="both"/>
              <w:rPr>
                <w:b/>
                <w:bCs/>
                <w:sz w:val="22"/>
                <w:szCs w:val="22"/>
              </w:rPr>
            </w:pPr>
          </w:p>
          <w:p w14:paraId="4DA18FCE" w14:textId="77777777" w:rsidR="00605025" w:rsidRPr="000E1668" w:rsidRDefault="00605025" w:rsidP="00D34405">
            <w:pPr>
              <w:spacing w:line="360" w:lineRule="auto"/>
              <w:jc w:val="both"/>
              <w:rPr>
                <w:sz w:val="22"/>
                <w:szCs w:val="22"/>
              </w:rPr>
            </w:pPr>
            <w:r w:rsidRPr="000E1668">
              <w:rPr>
                <w:sz w:val="22"/>
                <w:szCs w:val="22"/>
              </w:rPr>
              <w:t>Given the level of concern surrounding Mother 1’s new relationship, a strategy discussion was convened. A strategy discussion is a formal meeting between social services and the police in which information is shared and decisions are made regarding whether to initiate Section 47 enquiries, which determine whether a child is suffering or is at risk of suffering significant harm (Home Office, 1998). Section 47 enquiries form part of the Children Act 1989, and although Wales now operates under the Social Services and Well-being (Wales) Act 2014 (SSWBA) as its primary social care legislation, the SSWBA did not alter the purpose or function of Section 47 duties within Wales.</w:t>
            </w:r>
          </w:p>
          <w:p w14:paraId="4A16AB26" w14:textId="77777777" w:rsidR="00605025" w:rsidRPr="000E1668" w:rsidRDefault="00605025" w:rsidP="00D34405">
            <w:pPr>
              <w:spacing w:line="360" w:lineRule="auto"/>
              <w:jc w:val="both"/>
              <w:rPr>
                <w:sz w:val="22"/>
                <w:szCs w:val="22"/>
              </w:rPr>
            </w:pPr>
            <w:r w:rsidRPr="000E1668">
              <w:rPr>
                <w:sz w:val="22"/>
                <w:szCs w:val="22"/>
              </w:rPr>
              <w:t>Wales is the first UK nation to introduce a single, overarching piece of legislation covering social care: the Social Services and Well-being (Wales) Act 2014. This Act underpins all work with both adults and children and is rooted in the principles of the United Nations Convention on the Rights of the Child (UNCRC, 1989). These principles emphasise the protection of children from harm, the importance of listening to their voices, and the duty to ensure access to appropriate care and support.</w:t>
            </w:r>
          </w:p>
          <w:p w14:paraId="428D0885" w14:textId="77777777" w:rsidR="00605025" w:rsidRPr="000E1668" w:rsidRDefault="00605025" w:rsidP="00D34405">
            <w:pPr>
              <w:spacing w:line="360" w:lineRule="auto"/>
              <w:jc w:val="both"/>
              <w:rPr>
                <w:sz w:val="22"/>
                <w:szCs w:val="22"/>
              </w:rPr>
            </w:pPr>
          </w:p>
          <w:p w14:paraId="62B0BE6C" w14:textId="77777777" w:rsidR="00605025" w:rsidRPr="000E1668" w:rsidRDefault="00605025" w:rsidP="00D34405">
            <w:pPr>
              <w:spacing w:line="360" w:lineRule="auto"/>
              <w:jc w:val="both"/>
              <w:rPr>
                <w:sz w:val="22"/>
                <w:szCs w:val="22"/>
              </w:rPr>
            </w:pPr>
            <w:r w:rsidRPr="000E1668">
              <w:rPr>
                <w:sz w:val="22"/>
                <w:szCs w:val="22"/>
              </w:rPr>
              <w:t xml:space="preserve">The strategy discussion took place within one working day of the initial request, in accordance with safeguarding procedures. During this meeting, professionals shared the family’s circumstances, and the police provided relevant information about Mother 1’s new partner. This confirmed that he had a significant history of domestic abuse and criminal behaviour. Based on the information shared, agencies agreed that the threshold for a Section 47 enquiry had been met. In line with statutory safeguarding requirements, the Section 47 assessment was required to be completed within 10 working days of the strategy meeting. </w:t>
            </w:r>
          </w:p>
          <w:p w14:paraId="6A9B8E55" w14:textId="77777777" w:rsidR="00605025" w:rsidRPr="000E1668" w:rsidRDefault="00605025" w:rsidP="00D34405">
            <w:pPr>
              <w:spacing w:line="360" w:lineRule="auto"/>
              <w:jc w:val="both"/>
              <w:rPr>
                <w:sz w:val="22"/>
                <w:szCs w:val="22"/>
              </w:rPr>
            </w:pPr>
          </w:p>
          <w:p w14:paraId="31862B79" w14:textId="40E7C995" w:rsidR="00605025" w:rsidRPr="000E1668" w:rsidRDefault="00605025" w:rsidP="00D34405">
            <w:pPr>
              <w:spacing w:line="360" w:lineRule="auto"/>
              <w:jc w:val="both"/>
              <w:rPr>
                <w:sz w:val="22"/>
                <w:szCs w:val="22"/>
              </w:rPr>
            </w:pPr>
            <w:r w:rsidRPr="000E1668">
              <w:rPr>
                <w:sz w:val="22"/>
                <w:szCs w:val="22"/>
              </w:rPr>
              <w:t xml:space="preserve">A Section 47 enquiry involves assessing whether a child is suffering, or is likely to suffer, significant harm. Under Section 31 of the Children Act 1989, </w:t>
            </w:r>
            <w:r w:rsidRPr="000E1668">
              <w:rPr>
                <w:i/>
                <w:iCs/>
                <w:sz w:val="22"/>
                <w:szCs w:val="22"/>
              </w:rPr>
              <w:t>significant harm</w:t>
            </w:r>
            <w:r w:rsidRPr="000E1668">
              <w:rPr>
                <w:sz w:val="22"/>
                <w:szCs w:val="22"/>
              </w:rPr>
              <w:t xml:space="preserve"> is defined as ill</w:t>
            </w:r>
            <w:r w:rsidRPr="000E1668">
              <w:rPr>
                <w:sz w:val="22"/>
                <w:szCs w:val="22"/>
              </w:rPr>
              <w:noBreakHyphen/>
              <w:t>treatment or the impairment of a child’s health or development, with the threshold of “significant” determined by comparing the child’s health and development with what could reasonably be expected of a similar child of the same age (Home Office, 1989). This definition underpins the purpose of Section 47 enquiries, which remain unchanged in Wales despite the introduction of the Social Services and Well-being (Wales) Act 2014. Within the wider safeguarding process, this enquiry forms a crucial part of determining whether statutory intervention is required to protect a child from harm or potential harm, ensuring that decisions are informed by clear legislative criteria and a detailed analysis of the child’s lived experience and level of risk</w:t>
            </w:r>
            <w:r w:rsidR="00FA0888">
              <w:rPr>
                <w:sz w:val="22"/>
                <w:szCs w:val="22"/>
              </w:rPr>
              <w:t xml:space="preserve"> (Social Care Wales, 2019)</w:t>
            </w:r>
            <w:r w:rsidRPr="000E1668">
              <w:rPr>
                <w:sz w:val="22"/>
                <w:szCs w:val="22"/>
              </w:rPr>
              <w:t>.</w:t>
            </w:r>
          </w:p>
          <w:p w14:paraId="033E8C90" w14:textId="77777777" w:rsidR="00605025" w:rsidRPr="000E1668" w:rsidRDefault="00605025" w:rsidP="00D34405">
            <w:pPr>
              <w:spacing w:line="360" w:lineRule="auto"/>
              <w:jc w:val="both"/>
              <w:rPr>
                <w:sz w:val="22"/>
                <w:szCs w:val="22"/>
              </w:rPr>
            </w:pPr>
          </w:p>
          <w:p w14:paraId="11A32E5B" w14:textId="77777777" w:rsidR="00605025" w:rsidRPr="000E1668" w:rsidRDefault="00605025" w:rsidP="00D34405">
            <w:pPr>
              <w:spacing w:line="360" w:lineRule="auto"/>
              <w:jc w:val="both"/>
              <w:rPr>
                <w:sz w:val="22"/>
                <w:szCs w:val="22"/>
              </w:rPr>
            </w:pPr>
            <w:r w:rsidRPr="001018E5">
              <w:rPr>
                <w:sz w:val="22"/>
                <w:szCs w:val="22"/>
              </w:rPr>
              <w:lastRenderedPageBreak/>
              <w:t>An unannounced visit was undertaken, during which both Mother 1 and Child 1 were spoken to individually. During the visit, the perpetrator was also present at the property and was asked to leave the room to ensure privacy and facilitate confidential discussions. On reflection, I recognise that requesting the perpetrator to leave may have heightened tensions within the household and had the potential to escalate conflict. However, on balance, this action was necessary to create a safe space in which an open and honest conversation with Mother 1 could take place. Reflecting further, I acknowledge that visiting Child 1 in school would have offered a more neutral and emotionally safe environment, potentially enabling her to share information more freely. I was conscious during the home visit that Child 1 may have moderated her responses due to concerns about being overheard by her mother, which may have limited the depth and accuracy of the disclosures obtained.</w:t>
            </w:r>
            <w:r w:rsidRPr="000E1668">
              <w:rPr>
                <w:sz w:val="22"/>
                <w:szCs w:val="22"/>
              </w:rPr>
              <w:t xml:space="preserve"> </w:t>
            </w:r>
          </w:p>
          <w:p w14:paraId="3C361BD3" w14:textId="58F5CFDF" w:rsidR="00605025" w:rsidRPr="000E1668" w:rsidRDefault="00605025" w:rsidP="00D34405">
            <w:pPr>
              <w:spacing w:line="360" w:lineRule="auto"/>
              <w:jc w:val="both"/>
              <w:rPr>
                <w:sz w:val="22"/>
                <w:szCs w:val="22"/>
              </w:rPr>
            </w:pPr>
            <w:r w:rsidRPr="000E1668">
              <w:rPr>
                <w:sz w:val="22"/>
                <w:szCs w:val="22"/>
              </w:rPr>
              <w:t>During the initial discussion the ‘Active offer was provided to the family, and it was established the family were first language Welsh and wanted to the Section 47 enquiry to be carried out in Welsh as this was the family’s first language, they felt comfortable discussing the concerns in Welsh. However, they asked for any letters or reports to be in English. This was accommodated.  Welsh Government (2022) states families should not have to ask for a service through Welsh. It highlights the importance of being sensitive when using language and how using their preferred language can make individual feel more able to express their wishes and feelings, using their first language can also create an environment where individuals feel empowered and confident (Care Inspector Wales, 2025). Child 1 was able to articulate her wishes and feeling really well and was able to disclosure how she is hearing arguments, she was spending less time with mum, the partner was always at the address and had broken the TV. I do consider the use of the active offer and culturally sensitive communication, including completing parts of the assessment in Welsh, reflects the Code of professional practice ’s requirement to respect diversity and uphold the individual’s language needs, supporting equality and non-discrimination (Social Care Wales,</w:t>
            </w:r>
            <w:r w:rsidR="00133BCA">
              <w:rPr>
                <w:sz w:val="22"/>
                <w:szCs w:val="22"/>
              </w:rPr>
              <w:t xml:space="preserve"> </w:t>
            </w:r>
            <w:r w:rsidRPr="000E1668">
              <w:rPr>
                <w:sz w:val="22"/>
                <w:szCs w:val="22"/>
              </w:rPr>
              <w:t xml:space="preserve">2017). </w:t>
            </w:r>
          </w:p>
          <w:p w14:paraId="64F277DF" w14:textId="77777777" w:rsidR="00605025" w:rsidRPr="000E1668" w:rsidRDefault="00605025" w:rsidP="00D34405">
            <w:pPr>
              <w:spacing w:line="360" w:lineRule="auto"/>
              <w:jc w:val="both"/>
              <w:rPr>
                <w:sz w:val="22"/>
                <w:szCs w:val="22"/>
              </w:rPr>
            </w:pPr>
          </w:p>
          <w:p w14:paraId="02D63211" w14:textId="77777777" w:rsidR="00605025" w:rsidRPr="000E1668" w:rsidRDefault="00605025" w:rsidP="00D34405">
            <w:pPr>
              <w:spacing w:line="360" w:lineRule="auto"/>
              <w:jc w:val="both"/>
              <w:rPr>
                <w:sz w:val="22"/>
                <w:szCs w:val="22"/>
              </w:rPr>
            </w:pPr>
            <w:r w:rsidRPr="000E1668">
              <w:rPr>
                <w:sz w:val="22"/>
                <w:szCs w:val="22"/>
              </w:rPr>
              <w:t xml:space="preserve">During the enquiry, agency checks were completed with all professionals involved with the family, including education, police, domestic abuse services and health. These checks identified that Mother 1 had not been fully honest about her new relationship and had not taken steps to safeguard her child, such as requesting a Claire’s Law disclosure, despite having been advised to do so on several previous occasions. Claire’s Law, formally known as the Domestic Violence Disclosure Scheme (DVDS), was introduced following the death of a woman named Claire, who had been in a relationship with a partner who had a significant history of domestic abuse. After their relationship ended, Claire was stalked, raped and murdered (Barlow et al., 2024). The purpose of the DVDS is to provide individuals who may be at risk with a formal route to request information about a partner’s history, </w:t>
            </w:r>
            <w:r w:rsidRPr="000E1668">
              <w:rPr>
                <w:sz w:val="22"/>
                <w:szCs w:val="22"/>
              </w:rPr>
              <w:lastRenderedPageBreak/>
              <w:t>enabling them to make informed decisions about the relationship (</w:t>
            </w:r>
            <w:proofErr w:type="spellStart"/>
            <w:r w:rsidRPr="000E1668">
              <w:rPr>
                <w:sz w:val="22"/>
                <w:szCs w:val="22"/>
              </w:rPr>
              <w:t>Hadjimatheou</w:t>
            </w:r>
            <w:proofErr w:type="spellEnd"/>
            <w:r w:rsidRPr="000E1668">
              <w:rPr>
                <w:sz w:val="22"/>
                <w:szCs w:val="22"/>
              </w:rPr>
              <w:t xml:space="preserve">, 2022). Following further advice, Mother 1 did request a Claire’s Law disclosure. This confirmed that her new partner had a significant history of domestic abuse and had previously served a prison sentence for violent behaviour. Despite this information, Mother 1 did not consider his history to be concerning and stated that she wished to continue the relationship. </w:t>
            </w:r>
          </w:p>
          <w:p w14:paraId="6E4B636E" w14:textId="77777777" w:rsidR="00605025" w:rsidRPr="000E1668" w:rsidRDefault="00605025" w:rsidP="00D34405">
            <w:pPr>
              <w:spacing w:line="360" w:lineRule="auto"/>
              <w:jc w:val="both"/>
              <w:rPr>
                <w:sz w:val="22"/>
                <w:szCs w:val="22"/>
              </w:rPr>
            </w:pPr>
            <w:r w:rsidRPr="000E1668">
              <w:rPr>
                <w:sz w:val="22"/>
                <w:szCs w:val="22"/>
              </w:rPr>
              <w:t>Effective safeguarding practice relies heavily on strong multi</w:t>
            </w:r>
            <w:r w:rsidRPr="000E1668">
              <w:rPr>
                <w:sz w:val="22"/>
                <w:szCs w:val="22"/>
              </w:rPr>
              <w:noBreakHyphen/>
              <w:t>agency collaboration, and in this case, partnership working was central to the Section 47 process. Throughout the enquiry, all professionals involved including police, education, health, and domestic abuse services shared information openly and worked cohesively towards a clear, child</w:t>
            </w:r>
            <w:r w:rsidRPr="000E1668">
              <w:rPr>
                <w:sz w:val="22"/>
                <w:szCs w:val="22"/>
              </w:rPr>
              <w:noBreakHyphen/>
              <w:t>centred goal (Ball et al, 2024). Although no professional conflict arose during this case, I recognise that multi</w:t>
            </w:r>
            <w:r w:rsidRPr="000E1668">
              <w:rPr>
                <w:sz w:val="22"/>
                <w:szCs w:val="22"/>
              </w:rPr>
              <w:noBreakHyphen/>
              <w:t>agency work can often present challenges, particularly where agencies hold different thresholds, priorities, or interpretations of risk (Gardner, 2024). These potential tensions require practitioners to communicate clearly, show professional curiosity, and maintain mutual respect to ensure decisions remain focussed on the child’s safety and wellbeing. In this instance, consistent communication and timely information</w:t>
            </w:r>
            <w:r w:rsidRPr="000E1668">
              <w:rPr>
                <w:sz w:val="22"/>
                <w:szCs w:val="22"/>
              </w:rPr>
              <w:noBreakHyphen/>
              <w:t>sharing meant that the assessment benefitted from a shared understanding of the risks associated with Mother 1’s new relationship. This collaborative approach strengthened the quality of the analysis and ensured the resulting safeguarding plan was informed, balanced and well</w:t>
            </w:r>
            <w:r w:rsidRPr="000E1668">
              <w:rPr>
                <w:sz w:val="22"/>
                <w:szCs w:val="22"/>
              </w:rPr>
              <w:noBreakHyphen/>
              <w:t xml:space="preserve">supported across agencies (Purcell et al, 2025). I do consider this practice aligns with the core of professional practice as the code highlights the importance of partnership working in safeguarding and recognises professional integrity and accountability are further demonstrated through transparent communication (Social Care Wales, 2017). </w:t>
            </w:r>
          </w:p>
          <w:p w14:paraId="11E47103" w14:textId="77777777" w:rsidR="00605025" w:rsidRPr="000E1668" w:rsidRDefault="00605025" w:rsidP="00D34405">
            <w:pPr>
              <w:spacing w:line="360" w:lineRule="auto"/>
              <w:jc w:val="both"/>
              <w:rPr>
                <w:sz w:val="22"/>
                <w:szCs w:val="22"/>
              </w:rPr>
            </w:pPr>
          </w:p>
          <w:p w14:paraId="5D326813" w14:textId="77777777" w:rsidR="00605025" w:rsidRPr="000E1668" w:rsidRDefault="00605025" w:rsidP="00D34405">
            <w:pPr>
              <w:spacing w:line="360" w:lineRule="auto"/>
              <w:jc w:val="both"/>
              <w:rPr>
                <w:sz w:val="22"/>
                <w:szCs w:val="22"/>
              </w:rPr>
            </w:pPr>
            <w:r w:rsidRPr="000E1668">
              <w:rPr>
                <w:sz w:val="22"/>
                <w:szCs w:val="22"/>
              </w:rPr>
              <w:t xml:space="preserve">The Section 47 enquiry concluded that child1 is at risk of significant harm in relation to her emotional and physical wellbeing. Child 1 was able to share her experiences at home disclosing she would hear her parent and their new partner arguing to a level which had made her feel uncomfortable. She clearly shared how much she wanted to protect her mother and how she missed spending time with her.  Although mother had been provided with the relevant information regarding the risks associated to her new partner in order to be able to make an informed decision going forward, mother 1 was unable to recognise the risk associated and made decision to continue the relationship. It was also noted how chid 1’s </w:t>
            </w:r>
            <w:proofErr w:type="spellStart"/>
            <w:r w:rsidRPr="000E1668">
              <w:rPr>
                <w:sz w:val="22"/>
                <w:szCs w:val="22"/>
              </w:rPr>
              <w:t>pervious</w:t>
            </w:r>
            <w:proofErr w:type="spellEnd"/>
            <w:r w:rsidRPr="000E1668">
              <w:rPr>
                <w:sz w:val="22"/>
                <w:szCs w:val="22"/>
              </w:rPr>
              <w:t xml:space="preserve"> experience of witnessing a significant event which had a traumatic impact on her wellbeing was not taken into consideration by her mother. </w:t>
            </w:r>
          </w:p>
          <w:p w14:paraId="11F07B7F" w14:textId="77777777" w:rsidR="00605025" w:rsidRPr="000E1668" w:rsidRDefault="00605025" w:rsidP="00D34405">
            <w:pPr>
              <w:spacing w:line="360" w:lineRule="auto"/>
              <w:jc w:val="both"/>
              <w:rPr>
                <w:sz w:val="22"/>
                <w:szCs w:val="22"/>
              </w:rPr>
            </w:pPr>
          </w:p>
          <w:p w14:paraId="71CF8E12" w14:textId="77777777" w:rsidR="00605025" w:rsidRPr="000E1668" w:rsidRDefault="00605025" w:rsidP="00D34405">
            <w:pPr>
              <w:spacing w:line="360" w:lineRule="auto"/>
              <w:jc w:val="both"/>
              <w:rPr>
                <w:sz w:val="22"/>
                <w:szCs w:val="22"/>
              </w:rPr>
            </w:pPr>
            <w:r w:rsidRPr="000E1668">
              <w:rPr>
                <w:sz w:val="22"/>
                <w:szCs w:val="22"/>
              </w:rPr>
              <w:t xml:space="preserve">Wales Safeguarding Procedures highlighted any decision made from a Section 47 enquiry should be child-focused, the multi-agency context has been obtained and focused on and is aimed to ensure the </w:t>
            </w:r>
            <w:r w:rsidRPr="000E1668">
              <w:rPr>
                <w:sz w:val="22"/>
                <w:szCs w:val="22"/>
              </w:rPr>
              <w:lastRenderedPageBreak/>
              <w:t>child’s safety needs are met. The section 47 enquiry outcomes could be (1) concerns have not been substantiated (2) concerns substantiated but child is not considered to be at risk of harm and has care and support needs. (3) concerns have been substantiated and the child is considered to be at risk of harm, and a child protection conference should take place (</w:t>
            </w:r>
            <w:r w:rsidRPr="000E1668">
              <w:rPr>
                <w:sz w:val="22"/>
                <w:szCs w:val="22"/>
                <w:lang w:val="en-US"/>
              </w:rPr>
              <w:t>Wales Safeguarding Procedures Project Board</w:t>
            </w:r>
            <w:r w:rsidRPr="000E1668">
              <w:rPr>
                <w:sz w:val="22"/>
                <w:szCs w:val="22"/>
              </w:rPr>
              <w:t xml:space="preserve">, </w:t>
            </w:r>
            <w:r w:rsidRPr="000E1668">
              <w:rPr>
                <w:sz w:val="22"/>
                <w:szCs w:val="22"/>
                <w:lang w:val="en-US"/>
              </w:rPr>
              <w:t>2019</w:t>
            </w:r>
            <w:r w:rsidRPr="000E1668">
              <w:rPr>
                <w:sz w:val="22"/>
                <w:szCs w:val="22"/>
              </w:rPr>
              <w:t xml:space="preserve">). </w:t>
            </w:r>
          </w:p>
          <w:p w14:paraId="20AA88E9" w14:textId="77777777" w:rsidR="00605025" w:rsidRPr="000E1668" w:rsidRDefault="00605025" w:rsidP="00D34405">
            <w:pPr>
              <w:spacing w:line="360" w:lineRule="auto"/>
              <w:jc w:val="both"/>
              <w:rPr>
                <w:sz w:val="22"/>
                <w:szCs w:val="22"/>
              </w:rPr>
            </w:pPr>
          </w:p>
          <w:p w14:paraId="428A3B54" w14:textId="3A48B9F1" w:rsidR="00605025" w:rsidRPr="000E1668" w:rsidRDefault="00605025" w:rsidP="00D34405">
            <w:pPr>
              <w:spacing w:line="360" w:lineRule="auto"/>
              <w:jc w:val="both"/>
              <w:rPr>
                <w:sz w:val="22"/>
                <w:szCs w:val="22"/>
              </w:rPr>
            </w:pPr>
            <w:r w:rsidRPr="000E1668">
              <w:rPr>
                <w:sz w:val="22"/>
                <w:szCs w:val="22"/>
              </w:rPr>
              <w:t>In this case the section 47 enquiry concluded the concerns were substantiated and it was considered the child remained at risk of significant harm and to was agreed with management that an Initial Child Protection Case Conference was required for further decision to be made on actions to protect the child from harm. A key element of effective safeguarding is ensuring that practice remains both child</w:t>
            </w:r>
            <w:r w:rsidRPr="000E1668">
              <w:rPr>
                <w:sz w:val="22"/>
                <w:szCs w:val="22"/>
              </w:rPr>
              <w:noBreakHyphen/>
              <w:t>centred and person</w:t>
            </w:r>
            <w:r w:rsidRPr="000E1668">
              <w:rPr>
                <w:sz w:val="22"/>
                <w:szCs w:val="22"/>
              </w:rPr>
              <w:noBreakHyphen/>
              <w:t>centred, with the child’s safety and wellbeing at the forefront of all decision</w:t>
            </w:r>
            <w:r w:rsidRPr="000E1668">
              <w:rPr>
                <w:sz w:val="22"/>
                <w:szCs w:val="22"/>
              </w:rPr>
              <w:noBreakHyphen/>
              <w:t>making. In this case, Child 1’s voice played a crucial role in shaping my enquiry. Her disclosures about feeling unsafe, missing time with her mother, and feeling responsible for protecting her were central to establishing the level of risk and understanding her lived experience. A child</w:t>
            </w:r>
            <w:r w:rsidRPr="000E1668">
              <w:rPr>
                <w:sz w:val="22"/>
                <w:szCs w:val="22"/>
              </w:rPr>
              <w:noBreakHyphen/>
              <w:t>centred approach recognises that children are active participants in the safeguarding process and that their views, wishes and feelings must meaningfully influence professional judgement. At the same time, a person</w:t>
            </w:r>
            <w:r w:rsidRPr="000E1668">
              <w:rPr>
                <w:sz w:val="22"/>
                <w:szCs w:val="22"/>
              </w:rPr>
              <w:noBreakHyphen/>
              <w:t>centred approach acknowledges the mother’s experiences, emotional needs and potential trauma history, ensuring that support is offered in a non</w:t>
            </w:r>
            <w:r w:rsidRPr="000E1668">
              <w:rPr>
                <w:sz w:val="22"/>
                <w:szCs w:val="22"/>
              </w:rPr>
              <w:noBreakHyphen/>
              <w:t xml:space="preserve">judgemental and empowering way. This case study clearly reflects the core values underpinning social work practice in Wales and aligns closely with the Social Care Wales </w:t>
            </w:r>
            <w:r w:rsidRPr="000E1668">
              <w:rPr>
                <w:i/>
                <w:iCs/>
                <w:sz w:val="22"/>
                <w:szCs w:val="22"/>
              </w:rPr>
              <w:t>Code of Professional Practice</w:t>
            </w:r>
            <w:r w:rsidRPr="000E1668">
              <w:rPr>
                <w:sz w:val="22"/>
                <w:szCs w:val="22"/>
              </w:rPr>
              <w:t>. The emphasis on child</w:t>
            </w:r>
            <w:r w:rsidRPr="000E1668">
              <w:rPr>
                <w:sz w:val="22"/>
                <w:szCs w:val="22"/>
              </w:rPr>
              <w:noBreakHyphen/>
              <w:t>centred and person</w:t>
            </w:r>
            <w:r w:rsidRPr="000E1668">
              <w:rPr>
                <w:sz w:val="22"/>
                <w:szCs w:val="22"/>
              </w:rPr>
              <w:noBreakHyphen/>
              <w:t xml:space="preserve">centred practice such as ensuring Child 1’s voice shaped the Section 47 enquiry and recognising the mother’s emotional needs demonstrates a commitment to promoting rights, wellbeing and dignity, which are central expectations within the Code. </w:t>
            </w:r>
          </w:p>
          <w:p w14:paraId="2CF57D16" w14:textId="77777777" w:rsidR="00605025" w:rsidRPr="000E1668" w:rsidRDefault="00605025" w:rsidP="00D34405">
            <w:pPr>
              <w:spacing w:line="360" w:lineRule="auto"/>
              <w:jc w:val="both"/>
              <w:rPr>
                <w:sz w:val="22"/>
                <w:szCs w:val="22"/>
              </w:rPr>
            </w:pPr>
          </w:p>
          <w:p w14:paraId="4C12E9D8" w14:textId="77777777" w:rsidR="00605025" w:rsidRPr="000E1668" w:rsidRDefault="00605025" w:rsidP="00D34405">
            <w:pPr>
              <w:spacing w:line="360" w:lineRule="auto"/>
              <w:jc w:val="both"/>
              <w:rPr>
                <w:sz w:val="22"/>
                <w:szCs w:val="22"/>
              </w:rPr>
            </w:pPr>
            <w:r w:rsidRPr="000E1668">
              <w:rPr>
                <w:sz w:val="22"/>
                <w:szCs w:val="22"/>
              </w:rPr>
              <w:t>My professional judgement during the Section 47 enquiry was strongly informed by research demonstrating the significant and long</w:t>
            </w:r>
            <w:r w:rsidRPr="000E1668">
              <w:rPr>
                <w:sz w:val="22"/>
                <w:szCs w:val="22"/>
              </w:rPr>
              <w:noBreakHyphen/>
              <w:t>term harm experienced by children exposed to domestic abuse. Evidence consistently shows that witnessing domestic abuse places children at increased risk of developing anxiety, depression and poorer outcomes in their adulthood, with long</w:t>
            </w:r>
            <w:r w:rsidRPr="000E1668">
              <w:rPr>
                <w:sz w:val="22"/>
                <w:szCs w:val="22"/>
              </w:rPr>
              <w:noBreakHyphen/>
              <w:t>lasting effects on their emotional and psychological development (</w:t>
            </w:r>
            <w:proofErr w:type="spellStart"/>
            <w:r w:rsidRPr="000E1668">
              <w:rPr>
                <w:sz w:val="22"/>
                <w:szCs w:val="22"/>
              </w:rPr>
              <w:t>Doroudchi</w:t>
            </w:r>
            <w:proofErr w:type="spellEnd"/>
            <w:r w:rsidRPr="000E1668">
              <w:rPr>
                <w:sz w:val="22"/>
                <w:szCs w:val="22"/>
              </w:rPr>
              <w:t xml:space="preserve"> et al, 2023). Research further highlights that children who grow up in homes where domestic violence occurs are more likely to experience mental health disorders, insecure attachment patterns, substance misuse and difficulties forming healthy adult relationships in later life. In this case, Child 1’s disclosures of feeling unsafe, withdrawing from the home environment and attempting to protect her mother reflected clear trauma</w:t>
            </w:r>
            <w:r w:rsidRPr="000E1668">
              <w:rPr>
                <w:sz w:val="22"/>
                <w:szCs w:val="22"/>
              </w:rPr>
              <w:noBreakHyphen/>
              <w:t xml:space="preserve">related responses. These indicators strengthened my professional view that the threshold for significant harm </w:t>
            </w:r>
            <w:r w:rsidRPr="000E1668">
              <w:rPr>
                <w:sz w:val="22"/>
                <w:szCs w:val="22"/>
              </w:rPr>
              <w:lastRenderedPageBreak/>
              <w:t>had been met. Drawing on this evidence base supported a child</w:t>
            </w:r>
            <w:r w:rsidRPr="000E1668">
              <w:rPr>
                <w:sz w:val="22"/>
                <w:szCs w:val="22"/>
              </w:rPr>
              <w:noBreakHyphen/>
              <w:t>centred approach and justified the need for further safeguarding measures, ensuring decisions were grounded not only in observed risk but in a well</w:t>
            </w:r>
            <w:r w:rsidRPr="000E1668">
              <w:rPr>
                <w:sz w:val="22"/>
                <w:szCs w:val="22"/>
              </w:rPr>
              <w:noBreakHyphen/>
              <w:t>established understanding of the long</w:t>
            </w:r>
            <w:r w:rsidRPr="000E1668">
              <w:rPr>
                <w:sz w:val="22"/>
                <w:szCs w:val="22"/>
              </w:rPr>
              <w:noBreakHyphen/>
              <w:t>term developmental consequences of exposure to domestic abuse.</w:t>
            </w:r>
          </w:p>
          <w:p w14:paraId="0CA1E5A1" w14:textId="190A6994" w:rsidR="00605025" w:rsidRPr="000E1668" w:rsidRDefault="00605025" w:rsidP="00D34405">
            <w:pPr>
              <w:spacing w:line="360" w:lineRule="auto"/>
              <w:jc w:val="both"/>
              <w:rPr>
                <w:sz w:val="22"/>
                <w:szCs w:val="22"/>
              </w:rPr>
            </w:pPr>
            <w:r w:rsidRPr="000E1668">
              <w:rPr>
                <w:sz w:val="22"/>
                <w:szCs w:val="22"/>
              </w:rPr>
              <w:t>The Wales Safeguarding Procedures clearly share the Initial Child Protection Case Conference should be carried out 15 working days of the strategy</w:t>
            </w:r>
            <w:r w:rsidR="008C3923">
              <w:rPr>
                <w:sz w:val="22"/>
                <w:szCs w:val="22"/>
              </w:rPr>
              <w:t xml:space="preserve"> (</w:t>
            </w:r>
            <w:r w:rsidR="008C3923" w:rsidRPr="00300901">
              <w:rPr>
                <w:sz w:val="22"/>
                <w:szCs w:val="22"/>
                <w:lang w:val="en-US"/>
              </w:rPr>
              <w:t>Wales Safeguarding Procedures Project Board</w:t>
            </w:r>
            <w:r w:rsidR="008C3923">
              <w:rPr>
                <w:sz w:val="22"/>
                <w:szCs w:val="22"/>
                <w:lang w:val="en-US"/>
              </w:rPr>
              <w:t>, 2</w:t>
            </w:r>
            <w:r w:rsidR="008C3923" w:rsidRPr="00300901">
              <w:rPr>
                <w:sz w:val="22"/>
                <w:szCs w:val="22"/>
                <w:lang w:val="en-US"/>
              </w:rPr>
              <w:t>019)</w:t>
            </w:r>
            <w:r w:rsidRPr="000E1668">
              <w:rPr>
                <w:sz w:val="22"/>
                <w:szCs w:val="22"/>
              </w:rPr>
              <w:t>. The conference brings together the family members and practitioners working with the family to make a decision regarding the child’s wellbeing, development and safety. Prior to the meeting all professionals complete a report highlighting their involvement, recognises strengths and areas of concern. During this meeting all professionals listens to analyse the information shared by all members, considering strengths and areas of concerns and make a judgement about if a child is or there is a likelihood of a child suffering abuse or harm</w:t>
            </w:r>
            <w:r w:rsidR="00EF229C">
              <w:rPr>
                <w:sz w:val="22"/>
                <w:szCs w:val="22"/>
              </w:rPr>
              <w:t xml:space="preserve"> (Social Care Wales, 2019)</w:t>
            </w:r>
            <w:r w:rsidRPr="000E1668">
              <w:rPr>
                <w:sz w:val="22"/>
                <w:szCs w:val="22"/>
              </w:rPr>
              <w:t xml:space="preserve">. I was aware this meeting was going to particularly difficult for the family and was discussed with mother the best way for her to share her wishes and feeling, it was decided an independent advocate would be best place to share the mother’s views. Research from BASW (2025) recognise the role of advocacy supports families to be able to share parents views, often meetings can be intimidating and can impact the way parents share their views. However, having an advocate and support them to share their views and ensure they are involved in the decision-making process. </w:t>
            </w:r>
          </w:p>
          <w:p w14:paraId="39F30304" w14:textId="77777777" w:rsidR="00605025" w:rsidRPr="000E1668" w:rsidRDefault="00605025" w:rsidP="00D34405">
            <w:pPr>
              <w:spacing w:line="360" w:lineRule="auto"/>
              <w:jc w:val="both"/>
              <w:rPr>
                <w:sz w:val="22"/>
                <w:szCs w:val="22"/>
              </w:rPr>
            </w:pPr>
            <w:r w:rsidRPr="000E1668">
              <w:rPr>
                <w:sz w:val="22"/>
                <w:szCs w:val="22"/>
              </w:rPr>
              <w:t xml:space="preserve">The decision at the initial Child Protection Case Conference was that Child 1’s name will be placed on the Child Protection Register under category Emotional and Physical harm. </w:t>
            </w:r>
          </w:p>
          <w:p w14:paraId="14700CA7" w14:textId="4973225B" w:rsidR="00605025" w:rsidRPr="000E1668" w:rsidRDefault="00605025" w:rsidP="00D34405">
            <w:pPr>
              <w:spacing w:line="360" w:lineRule="auto"/>
              <w:jc w:val="both"/>
              <w:rPr>
                <w:b/>
                <w:bCs/>
                <w:sz w:val="22"/>
                <w:szCs w:val="22"/>
              </w:rPr>
            </w:pPr>
          </w:p>
          <w:p w14:paraId="29A22727" w14:textId="77777777" w:rsidR="00605025" w:rsidRPr="000E1668" w:rsidRDefault="00605025" w:rsidP="00D34405">
            <w:pPr>
              <w:spacing w:line="360" w:lineRule="auto"/>
              <w:jc w:val="both"/>
              <w:rPr>
                <w:sz w:val="22"/>
                <w:szCs w:val="22"/>
              </w:rPr>
            </w:pPr>
            <w:r w:rsidRPr="000E1668">
              <w:rPr>
                <w:sz w:val="22"/>
                <w:szCs w:val="22"/>
              </w:rPr>
              <w:t>Following the completion of the Section 47 enquiry, it was important to reflect on how anti</w:t>
            </w:r>
            <w:r w:rsidRPr="000E1668">
              <w:rPr>
                <w:sz w:val="22"/>
                <w:szCs w:val="22"/>
              </w:rPr>
              <w:noBreakHyphen/>
              <w:t>oppressive practice (AOP) guided my approach, particularly given the statutory powers involved and the potential for families to feel scrutinised or judged (Sinclair and Bernard, 2022). The decision to undertake an unannounced visit, although justified by safeguarding concerns, created an unavoidable power imbalance between professionals and the family. Unannounced visits can heighten feelings of fear, intrusion, or disempowerment, especially for individuals who have experienced trauma or previous negative involvement with services (Detjen,2024). Using an AOP lens required me to recognise how my role and the legal authority underpinning Section 47 could influence the family’s sense of control and autonomy. To help reduce this imbalance, I ensured that communication during and after the visit was transparent, respectful and culturally sensitive. Arranging an independent advocate for Mother 1 ahead of the Child Protection Conference further helped mitigate power imbalances by ensuring her voice was represented in a multi</w:t>
            </w:r>
            <w:r w:rsidRPr="000E1668">
              <w:rPr>
                <w:sz w:val="22"/>
                <w:szCs w:val="22"/>
              </w:rPr>
              <w:noBreakHyphen/>
              <w:t>agency environment. These actions reflect the Welsh trauma</w:t>
            </w:r>
            <w:r w:rsidRPr="000E1668">
              <w:rPr>
                <w:sz w:val="22"/>
                <w:szCs w:val="22"/>
              </w:rPr>
              <w:noBreakHyphen/>
              <w:t xml:space="preserve">informed policy commitment to promoting emotional safety and enabling families to make </w:t>
            </w:r>
            <w:r w:rsidRPr="000E1668">
              <w:rPr>
                <w:sz w:val="22"/>
                <w:szCs w:val="22"/>
              </w:rPr>
              <w:lastRenderedPageBreak/>
              <w:t>informed decisions within safeguarding processes. Through this approach, the assessment remained not only procedurally robust but also aligned with anti</w:t>
            </w:r>
            <w:r w:rsidRPr="000E1668">
              <w:rPr>
                <w:sz w:val="22"/>
                <w:szCs w:val="22"/>
              </w:rPr>
              <w:noBreakHyphen/>
              <w:t>oppressive, person</w:t>
            </w:r>
            <w:r w:rsidRPr="000E1668">
              <w:rPr>
                <w:sz w:val="22"/>
                <w:szCs w:val="22"/>
              </w:rPr>
              <w:noBreakHyphen/>
              <w:t xml:space="preserve">centred values that sought to work </w:t>
            </w:r>
            <w:r w:rsidRPr="000E1668">
              <w:rPr>
                <w:i/>
                <w:iCs/>
                <w:sz w:val="22"/>
                <w:szCs w:val="22"/>
              </w:rPr>
              <w:t>with</w:t>
            </w:r>
            <w:r w:rsidRPr="000E1668">
              <w:rPr>
                <w:sz w:val="22"/>
                <w:szCs w:val="22"/>
              </w:rPr>
              <w:t xml:space="preserve"> the family rather than </w:t>
            </w:r>
            <w:r w:rsidRPr="000E1668">
              <w:rPr>
                <w:i/>
                <w:iCs/>
                <w:sz w:val="22"/>
                <w:szCs w:val="22"/>
              </w:rPr>
              <w:t>on</w:t>
            </w:r>
            <w:r w:rsidRPr="000E1668">
              <w:rPr>
                <w:sz w:val="22"/>
                <w:szCs w:val="22"/>
              </w:rPr>
              <w:t xml:space="preserve"> them.</w:t>
            </w:r>
          </w:p>
          <w:p w14:paraId="30CEB05A" w14:textId="5BD9E402" w:rsidR="00605025" w:rsidRDefault="00605025" w:rsidP="00D34405">
            <w:pPr>
              <w:spacing w:line="360" w:lineRule="auto"/>
              <w:jc w:val="both"/>
              <w:rPr>
                <w:sz w:val="22"/>
                <w:szCs w:val="22"/>
              </w:rPr>
            </w:pPr>
            <w:r w:rsidRPr="000E1668">
              <w:rPr>
                <w:sz w:val="22"/>
                <w:szCs w:val="22"/>
              </w:rPr>
              <w:t xml:space="preserve">Providing the </w:t>
            </w:r>
            <w:r w:rsidRPr="000E1668">
              <w:rPr>
                <w:i/>
                <w:iCs/>
                <w:sz w:val="22"/>
                <w:szCs w:val="22"/>
              </w:rPr>
              <w:t>active offer</w:t>
            </w:r>
            <w:r w:rsidRPr="000E1668">
              <w:rPr>
                <w:sz w:val="22"/>
                <w:szCs w:val="22"/>
              </w:rPr>
              <w:t xml:space="preserve"> and completing parts of the Section 47 enquiry in Welsh further demonstrated person</w:t>
            </w:r>
            <w:r w:rsidRPr="000E1668">
              <w:rPr>
                <w:sz w:val="22"/>
                <w:szCs w:val="22"/>
              </w:rPr>
              <w:noBreakHyphen/>
              <w:t>centred, culturally sensitive practice, enabling both mother and child to communicate openly in the language they felt safest using. Although the primary focus remained on protecting Child 1, person</w:t>
            </w:r>
            <w:r w:rsidRPr="000E1668">
              <w:rPr>
                <w:sz w:val="22"/>
                <w:szCs w:val="22"/>
              </w:rPr>
              <w:noBreakHyphen/>
              <w:t>centred engagement with Mother 1 helped build trust, reduce defensiveness, and promote her involvement in developing a safe and supportive plan. Together, these approaches ensured that the assessment was holistic, respectful, and firmly grounded in the rights, dignity and individuality of each family member.</w:t>
            </w:r>
          </w:p>
          <w:p w14:paraId="7B87CC3D" w14:textId="77777777" w:rsidR="00D34405" w:rsidRPr="00D34405" w:rsidRDefault="00D34405" w:rsidP="00D34405">
            <w:pPr>
              <w:spacing w:line="360" w:lineRule="auto"/>
              <w:jc w:val="both"/>
              <w:rPr>
                <w:sz w:val="22"/>
                <w:szCs w:val="22"/>
              </w:rPr>
            </w:pPr>
          </w:p>
          <w:p w14:paraId="04503EAC" w14:textId="77777777" w:rsidR="00605025" w:rsidRPr="000E1668" w:rsidRDefault="00605025" w:rsidP="00D34405">
            <w:pPr>
              <w:spacing w:line="360" w:lineRule="auto"/>
              <w:jc w:val="both"/>
              <w:rPr>
                <w:sz w:val="22"/>
                <w:szCs w:val="22"/>
              </w:rPr>
            </w:pPr>
            <w:r w:rsidRPr="000E1668">
              <w:rPr>
                <w:sz w:val="22"/>
                <w:szCs w:val="22"/>
              </w:rPr>
              <w:t>This case has a strong connection to Attachment Theory, originally developed by Bowlby (1992). Although the theory was established over 30 years ago, its principles continue to be highly relevant to contemporary social work practice. Attachment Theory helps explain both Child 1’s relationship with her mother and the mother’s own attachment patterns, particularly in the context of her repeated involvement with partners who pose a risk of domestic abuse. The theory recognises that individuals are biologically driven to seek proximity, safety and emotional connection from their primary caregivers. Through ongoing interactions with caregivers, children develop an attachment style shaped by the caregiver’s ability to respond sensitively and consistently to their needs. When care is attuned and reliable, a secure attachment develops. In contrast, insensitive, inconsistent or neglectful caregiving can lead to insecure attachment styles, such as avoidant, anxious or disorganised patterns. These early attachment experiences can have long</w:t>
            </w:r>
            <w:r w:rsidRPr="000E1668">
              <w:rPr>
                <w:sz w:val="22"/>
                <w:szCs w:val="22"/>
              </w:rPr>
              <w:noBreakHyphen/>
              <w:t>lasting implications for emotional development and adult relationships (Ye et al., 2024).</w:t>
            </w:r>
          </w:p>
          <w:p w14:paraId="160D950F" w14:textId="77777777" w:rsidR="00605025" w:rsidRPr="000E1668" w:rsidRDefault="00605025" w:rsidP="00D34405">
            <w:pPr>
              <w:spacing w:line="360" w:lineRule="auto"/>
              <w:jc w:val="both"/>
              <w:rPr>
                <w:sz w:val="22"/>
                <w:szCs w:val="22"/>
              </w:rPr>
            </w:pPr>
          </w:p>
          <w:p w14:paraId="1580F506" w14:textId="77777777" w:rsidR="00605025" w:rsidRPr="000E1668" w:rsidRDefault="00605025" w:rsidP="00D34405">
            <w:pPr>
              <w:spacing w:line="360" w:lineRule="auto"/>
              <w:jc w:val="both"/>
              <w:rPr>
                <w:sz w:val="22"/>
                <w:szCs w:val="22"/>
              </w:rPr>
            </w:pPr>
            <w:r w:rsidRPr="000E1668">
              <w:rPr>
                <w:sz w:val="22"/>
                <w:szCs w:val="22"/>
              </w:rPr>
              <w:t>In this case, Child 1 appeared to have formed a secure attachment to her mother in early childhood, as no initial concerns were identified. However, her lived experiences of witnessing domestic abuse disrupted this attachment. Child 1 frequently felt responsible for protecting her mother, as seen when she intervened during her mother’s previous relationship. She also disclosed that the new relationship was negatively affecting their bond, leading her to spend more time outside the home and resulting in increased conflict between them. Ongoing exposure to domestic abuse compromised Child 1’s sense of safety, and although she attempted to express her concerns to her mother, these were not acknowledged. The aim moving forward is for the mother to work collaboratively with safeguarding services to restore a secure, stable environment in which Child 1’s attachment needs can be met.</w:t>
            </w:r>
          </w:p>
          <w:p w14:paraId="20B84E7D" w14:textId="77777777" w:rsidR="00605025" w:rsidRPr="000E1668" w:rsidRDefault="00605025" w:rsidP="00D34405">
            <w:pPr>
              <w:spacing w:line="360" w:lineRule="auto"/>
              <w:jc w:val="both"/>
              <w:rPr>
                <w:sz w:val="22"/>
                <w:szCs w:val="22"/>
              </w:rPr>
            </w:pPr>
          </w:p>
          <w:p w14:paraId="0F44A4ED" w14:textId="77777777" w:rsidR="00605025" w:rsidRPr="000E1668" w:rsidRDefault="00605025" w:rsidP="00D34405">
            <w:pPr>
              <w:spacing w:line="360" w:lineRule="auto"/>
              <w:jc w:val="both"/>
              <w:rPr>
                <w:sz w:val="22"/>
                <w:szCs w:val="22"/>
              </w:rPr>
            </w:pPr>
            <w:r w:rsidRPr="000E1668">
              <w:rPr>
                <w:sz w:val="22"/>
                <w:szCs w:val="22"/>
              </w:rPr>
              <w:lastRenderedPageBreak/>
              <w:t>Trauma</w:t>
            </w:r>
            <w:r w:rsidRPr="000E1668">
              <w:rPr>
                <w:sz w:val="22"/>
                <w:szCs w:val="22"/>
              </w:rPr>
              <w:noBreakHyphen/>
              <w:t>Informed Practice (TIP) is central to understanding both Child 1’s lived experiences and the mother’s responses throughout the assessment. TIP is grounded in the assumption that past trauma shapes current behaviour, emotional regulation, and decision-making (Lotty,2025). A child who has witnessed domestic abuse may experience heightened anxiety, hypervigilance, emotional dysregulation, and a strong desire to protect the non</w:t>
            </w:r>
            <w:r w:rsidRPr="000E1668">
              <w:rPr>
                <w:sz w:val="22"/>
                <w:szCs w:val="22"/>
              </w:rPr>
              <w:noBreakHyphen/>
              <w:t xml:space="preserve">abusive parent, particularly when they perceive them as vulnerable. In this case, Child 1 demonstrated clear features associated with trauma exposure: she described feeling uncomfortable during arguments, spending less time at home, and taking responsibility for protecting her mother. These behaviours align with the trauma response patterns commonly described as </w:t>
            </w:r>
            <w:r w:rsidRPr="000E1668">
              <w:rPr>
                <w:i/>
                <w:iCs/>
                <w:sz w:val="22"/>
                <w:szCs w:val="22"/>
              </w:rPr>
              <w:t>fight, flight, freeze, or fawn</w:t>
            </w:r>
            <w:r w:rsidRPr="000E1668">
              <w:rPr>
                <w:sz w:val="22"/>
                <w:szCs w:val="22"/>
              </w:rPr>
              <w:t>, with Child 1 appearing to move between protective (“fight”) and avoidant (“flight”) responses (Stahl, 2020).  From a trauma</w:t>
            </w:r>
            <w:r w:rsidRPr="000E1668">
              <w:rPr>
                <w:sz w:val="22"/>
                <w:szCs w:val="22"/>
              </w:rPr>
              <w:noBreakHyphen/>
              <w:t>informed perspective, the social work assessment needed to prioritise safety, trust, choice, collaboration and empowerment the five core principles of TIP (Bunting, 2019). This was reflected in the decision to conduct part of the Section 47 enquiry in Welsh, the family’s first language, enabling Child 1 to express her feelings safely and confidently. Providing the family with the active offer supported emotional safety and helped reduce power imbalances. It also demonstrated cultural sensitivity, which is essential in reducing re-traumatisation and ensuring the child feels heard and understood (Lotty, 2025).</w:t>
            </w:r>
          </w:p>
          <w:p w14:paraId="727A1AAB" w14:textId="77777777" w:rsidR="00605025" w:rsidRPr="000E1668" w:rsidRDefault="00605025" w:rsidP="00D34405">
            <w:pPr>
              <w:spacing w:line="360" w:lineRule="auto"/>
              <w:jc w:val="both"/>
              <w:rPr>
                <w:sz w:val="22"/>
                <w:szCs w:val="22"/>
              </w:rPr>
            </w:pPr>
          </w:p>
          <w:p w14:paraId="5777BEFC" w14:textId="77777777" w:rsidR="00605025" w:rsidRPr="000E1668" w:rsidRDefault="00605025" w:rsidP="00D34405">
            <w:pPr>
              <w:spacing w:line="360" w:lineRule="auto"/>
              <w:jc w:val="both"/>
              <w:rPr>
                <w:sz w:val="22"/>
                <w:szCs w:val="22"/>
              </w:rPr>
            </w:pPr>
            <w:r w:rsidRPr="000E1668">
              <w:rPr>
                <w:sz w:val="22"/>
                <w:szCs w:val="22"/>
              </w:rPr>
              <w:t>TIP also supports understanding the mother’s behaviour. Her repeated involvement with high</w:t>
            </w:r>
            <w:r w:rsidRPr="000E1668">
              <w:rPr>
                <w:sz w:val="22"/>
                <w:szCs w:val="22"/>
              </w:rPr>
              <w:noBreakHyphen/>
              <w:t>risk partners and her minimisation of danger are consistent with trauma responses often found in individuals with unresolved trauma histories. Trauma can impair a parent’s ability to accurately assess risk and may influence their attachment patterns and relational choices. Recognising this does not excuse harmful decisions but offers an explanation that helps inform strengths</w:t>
            </w:r>
            <w:r w:rsidRPr="000E1668">
              <w:rPr>
                <w:sz w:val="22"/>
                <w:szCs w:val="22"/>
              </w:rPr>
              <w:noBreakHyphen/>
              <w:t>based and supportive interventions. TIP therefore guided the practitioner’s professional judgement by encouraging empathy, reducing blame, and focusing on the need for coordinated support that acknowledges both mother and child as individuals impacted by trauma in different ways.</w:t>
            </w:r>
          </w:p>
          <w:p w14:paraId="4753E794" w14:textId="77777777" w:rsidR="00605025" w:rsidRPr="000E1668" w:rsidRDefault="00605025" w:rsidP="00D34405">
            <w:pPr>
              <w:spacing w:line="360" w:lineRule="auto"/>
              <w:jc w:val="both"/>
              <w:rPr>
                <w:sz w:val="22"/>
                <w:szCs w:val="22"/>
              </w:rPr>
            </w:pPr>
          </w:p>
          <w:p w14:paraId="27E6ADCD" w14:textId="77777777" w:rsidR="00605025" w:rsidRPr="000E1668" w:rsidRDefault="00605025" w:rsidP="00D34405">
            <w:pPr>
              <w:spacing w:line="360" w:lineRule="auto"/>
              <w:jc w:val="both"/>
              <w:rPr>
                <w:sz w:val="22"/>
                <w:szCs w:val="22"/>
              </w:rPr>
            </w:pPr>
            <w:r w:rsidRPr="000E1668">
              <w:rPr>
                <w:sz w:val="22"/>
                <w:szCs w:val="22"/>
              </w:rPr>
              <w:t>Applying TIP also strengthened the rationale for convening an Initial Child Protection Conference. Child 1’s disclosures indicated her emotional wellbeing was compromised, and her trauma response patterns highlighted that she felt unsafe within her home environment. TIP emphasises the importance of early intervention to prevent the compounding of trauma and to promote long</w:t>
            </w:r>
            <w:r w:rsidRPr="000E1668">
              <w:rPr>
                <w:sz w:val="22"/>
                <w:szCs w:val="22"/>
              </w:rPr>
              <w:noBreakHyphen/>
              <w:t>term resilience. Therefore, the use of TIP enriched the analysis and supported a child</w:t>
            </w:r>
            <w:r w:rsidRPr="000E1668">
              <w:rPr>
                <w:sz w:val="22"/>
                <w:szCs w:val="22"/>
              </w:rPr>
              <w:noBreakHyphen/>
              <w:t>centred, protective decision-making process.</w:t>
            </w:r>
          </w:p>
          <w:p w14:paraId="7D187E5E" w14:textId="77777777" w:rsidR="00605025" w:rsidRPr="000E1668" w:rsidRDefault="00605025" w:rsidP="00D34405">
            <w:pPr>
              <w:spacing w:line="360" w:lineRule="auto"/>
              <w:jc w:val="both"/>
              <w:rPr>
                <w:sz w:val="22"/>
                <w:szCs w:val="22"/>
              </w:rPr>
            </w:pPr>
          </w:p>
          <w:p w14:paraId="1837E388" w14:textId="77777777" w:rsidR="00D34405" w:rsidRDefault="00605025" w:rsidP="00D34405">
            <w:pPr>
              <w:spacing w:line="360" w:lineRule="auto"/>
              <w:jc w:val="both"/>
              <w:rPr>
                <w:sz w:val="22"/>
                <w:szCs w:val="22"/>
              </w:rPr>
            </w:pPr>
            <w:r w:rsidRPr="000E1668">
              <w:rPr>
                <w:sz w:val="22"/>
                <w:szCs w:val="22"/>
              </w:rPr>
              <w:lastRenderedPageBreak/>
              <w:t>Wales has developed its own national policy framework for trauma</w:t>
            </w:r>
            <w:r w:rsidRPr="000E1668">
              <w:rPr>
                <w:sz w:val="22"/>
                <w:szCs w:val="22"/>
              </w:rPr>
              <w:noBreakHyphen/>
              <w:t>informed practice, emphasising a whole</w:t>
            </w:r>
            <w:r w:rsidRPr="000E1668">
              <w:rPr>
                <w:sz w:val="22"/>
                <w:szCs w:val="22"/>
              </w:rPr>
              <w:noBreakHyphen/>
              <w:t>society approach to understanding, preventing and responding to trauma (Welsh Government, 2022). Welsh Government launched the Trauma</w:t>
            </w:r>
            <w:r w:rsidRPr="000E1668">
              <w:rPr>
                <w:sz w:val="22"/>
                <w:szCs w:val="22"/>
              </w:rPr>
              <w:noBreakHyphen/>
              <w:t>Informed Wales Framework, an all</w:t>
            </w:r>
            <w:r w:rsidRPr="000E1668">
              <w:rPr>
                <w:sz w:val="22"/>
                <w:szCs w:val="22"/>
              </w:rPr>
              <w:noBreakHyphen/>
              <w:t>age, all</w:t>
            </w:r>
            <w:r w:rsidRPr="000E1668">
              <w:rPr>
                <w:sz w:val="22"/>
                <w:szCs w:val="22"/>
              </w:rPr>
              <w:noBreakHyphen/>
              <w:t>society model designed to create consistent, evidence</w:t>
            </w:r>
            <w:r w:rsidRPr="000E1668">
              <w:rPr>
                <w:sz w:val="22"/>
                <w:szCs w:val="22"/>
              </w:rPr>
              <w:noBreakHyphen/>
              <w:t>based trauma</w:t>
            </w:r>
            <w:r w:rsidRPr="000E1668">
              <w:rPr>
                <w:sz w:val="22"/>
                <w:szCs w:val="22"/>
              </w:rPr>
              <w:noBreakHyphen/>
              <w:t>informed practice across public services, including social care and safeguarding (Welsh Government, 2022). The framework sets out how individuals, organisations and systems should recognise trauma, integrate trauma knowledge into policies and procedures, and work in ways that promote emotional safety, empowerment and trust. It outlines five core principles and four practice levels from universal awareness to specialist intervention to ensure that services across Wales respond to trauma safely and effectively (Social Care Wales, 2023). This national approach strengthens safeguarding practice by ensuring that assessments, decision</w:t>
            </w:r>
            <w:r w:rsidRPr="000E1668">
              <w:rPr>
                <w:sz w:val="22"/>
                <w:szCs w:val="22"/>
              </w:rPr>
              <w:noBreakHyphen/>
              <w:t>making, and multi</w:t>
            </w:r>
            <w:r w:rsidRPr="000E1668">
              <w:rPr>
                <w:sz w:val="22"/>
                <w:szCs w:val="22"/>
              </w:rPr>
              <w:noBreakHyphen/>
              <w:t>agency collaboration are grounded in a shared trauma</w:t>
            </w:r>
            <w:r w:rsidRPr="000E1668">
              <w:rPr>
                <w:sz w:val="22"/>
                <w:szCs w:val="22"/>
              </w:rPr>
              <w:noBreakHyphen/>
              <w:t>informed understanding. In this case, the Welsh policy context reinforces the importance of minimising re-traumatisation, working sensitively with families, and promoting child</w:t>
            </w:r>
            <w:r w:rsidRPr="000E1668">
              <w:rPr>
                <w:sz w:val="22"/>
                <w:szCs w:val="22"/>
              </w:rPr>
              <w:noBreakHyphen/>
              <w:t>centred, relationship</w:t>
            </w:r>
            <w:r w:rsidRPr="000E1668">
              <w:rPr>
                <w:sz w:val="22"/>
                <w:szCs w:val="22"/>
              </w:rPr>
              <w:noBreakHyphen/>
              <w:t xml:space="preserve">based practice throughout the Section 47 process. </w:t>
            </w:r>
          </w:p>
          <w:p w14:paraId="26A36B69" w14:textId="00E62576" w:rsidR="00605025" w:rsidRPr="00D34405" w:rsidRDefault="00605025" w:rsidP="00D34405">
            <w:pPr>
              <w:spacing w:line="360" w:lineRule="auto"/>
              <w:jc w:val="both"/>
              <w:rPr>
                <w:sz w:val="22"/>
                <w:szCs w:val="22"/>
              </w:rPr>
            </w:pPr>
            <w:r w:rsidRPr="000E1668">
              <w:rPr>
                <w:b/>
                <w:bCs/>
                <w:sz w:val="22"/>
                <w:szCs w:val="22"/>
              </w:rPr>
              <w:t xml:space="preserve"> </w:t>
            </w:r>
          </w:p>
          <w:p w14:paraId="665C50B7" w14:textId="77777777" w:rsidR="00605025" w:rsidRPr="000E1668" w:rsidRDefault="00605025" w:rsidP="00D34405">
            <w:pPr>
              <w:spacing w:line="360" w:lineRule="auto"/>
              <w:jc w:val="both"/>
              <w:rPr>
                <w:sz w:val="22"/>
                <w:szCs w:val="22"/>
              </w:rPr>
            </w:pPr>
            <w:r w:rsidRPr="000E1668">
              <w:rPr>
                <w:sz w:val="22"/>
                <w:szCs w:val="22"/>
              </w:rPr>
              <w:t>Following the Initial Child Protection Case Conference, my involvement as a social worker within the duty and assessment team came to an end, and responsibility for the family was transferred to a long</w:t>
            </w:r>
            <w:r w:rsidRPr="000E1668">
              <w:rPr>
                <w:sz w:val="22"/>
                <w:szCs w:val="22"/>
              </w:rPr>
              <w:noBreakHyphen/>
              <w:t>term social worker. To ensure a smooth transition and avoid the family having to repeat information, a structured handover was arranged. This included a joint visit to the family to introduce the new worker and support continuity of the relationship moving forward. The long</w:t>
            </w:r>
            <w:r w:rsidRPr="000E1668">
              <w:rPr>
                <w:sz w:val="22"/>
                <w:szCs w:val="22"/>
              </w:rPr>
              <w:noBreakHyphen/>
              <w:t>term social worker will now be responsible for developing a comprehensive Child Protection Plan and for monitoring the child’s safety, progress and outcomes over time, ensuring that the agreed safeguarding actions are implemented and reviewed in line with statutory guidance.</w:t>
            </w:r>
          </w:p>
          <w:p w14:paraId="0C1020FE" w14:textId="61CE561C" w:rsidR="00D3203C" w:rsidRDefault="00D3203C" w:rsidP="00FF7EBB">
            <w:pPr>
              <w:jc w:val="both"/>
              <w:rPr>
                <w:i/>
                <w:sz w:val="24"/>
                <w:szCs w:val="24"/>
              </w:rPr>
            </w:pPr>
          </w:p>
          <w:p w14:paraId="3204D2F8" w14:textId="5523DB52" w:rsidR="007A628F" w:rsidRDefault="000E1668" w:rsidP="00FF7EBB">
            <w:pPr>
              <w:jc w:val="both"/>
              <w:rPr>
                <w:i/>
                <w:sz w:val="24"/>
                <w:szCs w:val="24"/>
              </w:rPr>
            </w:pPr>
            <w:r>
              <w:rPr>
                <w:i/>
                <w:sz w:val="24"/>
                <w:szCs w:val="24"/>
              </w:rPr>
              <w:t>(Word court: 3,61</w:t>
            </w:r>
            <w:r w:rsidR="00EF229C">
              <w:rPr>
                <w:i/>
                <w:sz w:val="24"/>
                <w:szCs w:val="24"/>
              </w:rPr>
              <w:t>4</w:t>
            </w:r>
            <w:r>
              <w:rPr>
                <w:i/>
                <w:sz w:val="24"/>
                <w:szCs w:val="24"/>
              </w:rPr>
              <w:t xml:space="preserve">) </w:t>
            </w:r>
          </w:p>
          <w:p w14:paraId="47F21B6A" w14:textId="2AC23169" w:rsidR="006043A0" w:rsidRPr="006043A0" w:rsidRDefault="006043A0" w:rsidP="00FF7EBB">
            <w:pPr>
              <w:jc w:val="both"/>
              <w:rPr>
                <w:i/>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8EDDD" w14:textId="77777777" w:rsidR="009878DF" w:rsidRDefault="009878DF">
      <w:r>
        <w:separator/>
      </w:r>
    </w:p>
  </w:endnote>
  <w:endnote w:type="continuationSeparator" w:id="0">
    <w:p w14:paraId="0A8FD69A" w14:textId="77777777" w:rsidR="009878DF" w:rsidRDefault="009878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88664" w14:textId="77777777" w:rsidR="009878DF" w:rsidRDefault="009878DF">
      <w:r>
        <w:separator/>
      </w:r>
    </w:p>
  </w:footnote>
  <w:footnote w:type="continuationSeparator" w:id="0">
    <w:p w14:paraId="4053B3AC" w14:textId="77777777" w:rsidR="009878DF" w:rsidRDefault="009878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668"/>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3BCA"/>
    <w:rsid w:val="001347F8"/>
    <w:rsid w:val="001359EE"/>
    <w:rsid w:val="00137BB5"/>
    <w:rsid w:val="00137E05"/>
    <w:rsid w:val="001447F6"/>
    <w:rsid w:val="00147DE3"/>
    <w:rsid w:val="00150794"/>
    <w:rsid w:val="00151DA6"/>
    <w:rsid w:val="00155B6A"/>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43A0"/>
    <w:rsid w:val="00605025"/>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285F"/>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923"/>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878DF"/>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E99"/>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05"/>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2F0E"/>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229C"/>
    <w:rsid w:val="00EF328C"/>
    <w:rsid w:val="00EF68BB"/>
    <w:rsid w:val="00F01F92"/>
    <w:rsid w:val="00F030D4"/>
    <w:rsid w:val="00F04053"/>
    <w:rsid w:val="00F06573"/>
    <w:rsid w:val="00F10A08"/>
    <w:rsid w:val="00F15354"/>
    <w:rsid w:val="00F2089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88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Catrinhaf5@hotmail.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34455@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3817</Words>
  <Characters>22053</Characters>
  <Application>Microsoft Office Word</Application>
  <DocSecurity>0</DocSecurity>
  <Lines>339</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Owen</cp:lastModifiedBy>
  <cp:revision>11</cp:revision>
  <cp:lastPrinted>2020-02-11T19:20:00Z</cp:lastPrinted>
  <dcterms:created xsi:type="dcterms:W3CDTF">2026-02-12T12:31:00Z</dcterms:created>
  <dcterms:modified xsi:type="dcterms:W3CDTF">2026-02-24T15:30:00Z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