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Title"/>
        <w:spacing w:line="360" w:lineRule="auto"/>
      </w:pPr>
      <w:r>
        <w:rPr/>
        <w:t>BMIH5007:</w:t>
      </w:r>
      <w:r>
        <w:rPr>
          <w:spacing w:val="-10"/>
        </w:rPr>
        <w:t> </w:t>
      </w:r>
      <w:r>
        <w:rPr/>
        <w:t>FINANCIAL</w:t>
      </w:r>
      <w:r>
        <w:rPr>
          <w:spacing w:val="-14"/>
        </w:rPr>
        <w:t> </w:t>
      </w:r>
      <w:r>
        <w:rPr/>
        <w:t>MANAGEMENT</w:t>
      </w:r>
      <w:r>
        <w:rPr>
          <w:spacing w:val="-10"/>
        </w:rPr>
        <w:t> </w:t>
      </w:r>
      <w:r>
        <w:rPr/>
        <w:t>FOR THE HOTEL INDUSTRY: A2</w:t>
      </w: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ind w:left="0"/>
        <w:rPr>
          <w:b/>
          <w:sz w:val="20"/>
        </w:rPr>
      </w:pPr>
    </w:p>
    <w:p>
      <w:pPr>
        <w:pStyle w:val="BodyText"/>
        <w:spacing w:before="47"/>
        <w:ind w:left="0"/>
        <w:rPr>
          <w:b/>
          <w:sz w:val="20"/>
        </w:rPr>
      </w:pPr>
    </w:p>
    <w:p>
      <w:pPr>
        <w:spacing w:after="0"/>
        <w:rPr>
          <w:sz w:val="20"/>
        </w:rPr>
        <w:sectPr>
          <w:footerReference w:type="default" r:id="rId5"/>
          <w:type w:val="continuous"/>
          <w:pgSz w:w="11910" w:h="16840"/>
          <w:pgMar w:header="0" w:footer="957" w:top="1360" w:bottom="1140" w:left="1340" w:right="1320"/>
          <w:pgNumType w:start="1"/>
        </w:sectPr>
      </w:pPr>
    </w:p>
    <w:p>
      <w:pPr>
        <w:pStyle w:val="Heading3"/>
        <w:spacing w:before="90"/>
        <w:ind w:left="0" w:firstLine="0"/>
        <w:jc w:val="right"/>
      </w:pPr>
      <w:r>
        <w:rPr/>
        <w:t>Student</w:t>
      </w:r>
      <w:r>
        <w:rPr>
          <w:spacing w:val="-3"/>
        </w:rPr>
        <w:t> </w:t>
      </w:r>
      <w:r>
        <w:rPr>
          <w:spacing w:val="-4"/>
        </w:rPr>
        <w:t>name</w:t>
      </w:r>
    </w:p>
    <w:p>
      <w:pPr>
        <w:pStyle w:val="BodyText"/>
        <w:spacing w:before="167"/>
        <w:ind w:left="110"/>
        <w:rPr>
          <w:rFonts w:ascii="Arial"/>
        </w:rPr>
      </w:pPr>
      <w:r>
        <w:rPr/>
        <w:br w:type="column"/>
      </w:r>
      <w:r>
        <w:rPr>
          <w:rFonts w:ascii="Arial"/>
        </w:rPr>
        <w:t>Bruma Daniela </w:t>
      </w:r>
      <w:r>
        <w:rPr>
          <w:rFonts w:ascii="Arial"/>
          <w:spacing w:val="-2"/>
        </w:rPr>
        <w:t>Ionela</w:t>
      </w:r>
    </w:p>
    <w:p>
      <w:pPr>
        <w:spacing w:after="0"/>
        <w:rPr>
          <w:rFonts w:ascii="Arial"/>
        </w:rPr>
        <w:sectPr>
          <w:type w:val="continuous"/>
          <w:pgSz w:w="11910" w:h="16840"/>
          <w:pgMar w:header="0" w:footer="957" w:top="1360" w:bottom="1140" w:left="1340" w:right="1320"/>
          <w:cols w:num="2" w:equalWidth="0">
            <w:col w:w="5324" w:space="40"/>
            <w:col w:w="3886"/>
          </w:cols>
        </w:sectPr>
      </w:pPr>
    </w:p>
    <w:p>
      <w:pPr>
        <w:spacing w:before="63"/>
        <w:ind w:left="989" w:right="0" w:firstLine="0"/>
        <w:jc w:val="center"/>
        <w:rPr>
          <w:rFonts w:ascii="Arial"/>
          <w:sz w:val="24"/>
        </w:rPr>
      </w:pPr>
      <w:r>
        <w:rPr>
          <w:b/>
          <w:sz w:val="24"/>
        </w:rPr>
        <w:t>Student</w:t>
      </w:r>
      <w:r>
        <w:rPr>
          <w:b/>
          <w:spacing w:val="-2"/>
          <w:sz w:val="24"/>
        </w:rPr>
        <w:t> </w:t>
      </w:r>
      <w:r>
        <w:rPr>
          <w:b/>
          <w:sz w:val="24"/>
        </w:rPr>
        <w:t>id</w:t>
      </w:r>
      <w:r>
        <w:rPr>
          <w:b/>
          <w:spacing w:val="12"/>
          <w:sz w:val="24"/>
        </w:rPr>
        <w:t> </w:t>
      </w:r>
      <w:r>
        <w:rPr>
          <w:rFonts w:ascii="Arial"/>
          <w:spacing w:val="-2"/>
          <w:position w:val="-13"/>
          <w:sz w:val="24"/>
        </w:rPr>
        <w:t>2128799</w:t>
      </w:r>
    </w:p>
    <w:p>
      <w:pPr>
        <w:spacing w:after="0"/>
        <w:jc w:val="center"/>
        <w:rPr>
          <w:rFonts w:ascii="Arial"/>
          <w:sz w:val="24"/>
        </w:rPr>
        <w:sectPr>
          <w:type w:val="continuous"/>
          <w:pgSz w:w="11910" w:h="16840"/>
          <w:pgMar w:header="0" w:footer="957" w:top="1360" w:bottom="1140" w:left="1340" w:right="1320"/>
        </w:sectPr>
      </w:pPr>
    </w:p>
    <w:p>
      <w:pPr>
        <w:spacing w:before="61"/>
        <w:ind w:left="100" w:right="0" w:firstLine="0"/>
        <w:jc w:val="left"/>
        <w:rPr>
          <w:b/>
          <w:sz w:val="32"/>
        </w:rPr>
      </w:pPr>
      <w:r>
        <w:rPr>
          <w:b/>
          <w:sz w:val="32"/>
        </w:rPr>
        <w:t>Table</w:t>
      </w:r>
      <w:r>
        <w:rPr>
          <w:b/>
          <w:spacing w:val="-6"/>
          <w:sz w:val="32"/>
        </w:rPr>
        <w:t> </w:t>
      </w:r>
      <w:r>
        <w:rPr>
          <w:b/>
          <w:sz w:val="32"/>
        </w:rPr>
        <w:t>of</w:t>
      </w:r>
      <w:r>
        <w:rPr>
          <w:b/>
          <w:spacing w:val="-6"/>
          <w:sz w:val="32"/>
        </w:rPr>
        <w:t> </w:t>
      </w:r>
      <w:r>
        <w:rPr>
          <w:b/>
          <w:spacing w:val="-2"/>
          <w:sz w:val="32"/>
        </w:rPr>
        <w:t>Contents</w:t>
      </w:r>
    </w:p>
    <w:sdt>
      <w:sdtPr>
        <w:docPartObj>
          <w:docPartGallery w:val="Table of Contents"/>
          <w:docPartUnique/>
        </w:docPartObj>
      </w:sdtPr>
      <w:sdtEndPr/>
      <w:sdtContent>
        <w:p>
          <w:pPr>
            <w:pStyle w:val="TOC1"/>
            <w:tabs>
              <w:tab w:pos="9118" w:val="right" w:leader="dot"/>
            </w:tabs>
            <w:spacing w:before="184"/>
          </w:pPr>
          <w:r>
            <w:fldChar w:fldCharType="begin"/>
          </w:r>
          <w:r>
            <w:instrText>TOC \o "1-2" \h \z \u </w:instrText>
          </w:r>
          <w:r>
            <w:fldChar w:fldCharType="separate"/>
          </w:r>
          <w:hyperlink w:history="true" w:anchor="_bookmark0">
            <w:r>
              <w:rPr>
                <w:spacing w:val="-2"/>
              </w:rPr>
              <w:t>Introduction</w:t>
            </w:r>
            <w:r>
              <w:rPr/>
              <w:tab/>
            </w:r>
            <w:r>
              <w:rPr>
                <w:spacing w:val="-10"/>
              </w:rPr>
              <w:t>3</w:t>
            </w:r>
          </w:hyperlink>
        </w:p>
        <w:p>
          <w:pPr>
            <w:pStyle w:val="TOC1"/>
            <w:tabs>
              <w:tab w:pos="9118" w:val="right" w:leader="dot"/>
            </w:tabs>
          </w:pPr>
          <w:hyperlink w:history="true" w:anchor="_bookmark1">
            <w:r>
              <w:rPr/>
              <w:t>Market</w:t>
            </w:r>
            <w:r>
              <w:rPr>
                <w:spacing w:val="-3"/>
              </w:rPr>
              <w:t> </w:t>
            </w:r>
            <w:r>
              <w:rPr>
                <w:spacing w:val="-2"/>
              </w:rPr>
              <w:t>Analysis</w:t>
            </w:r>
            <w:r>
              <w:rPr/>
              <w:tab/>
            </w:r>
            <w:r>
              <w:rPr>
                <w:spacing w:val="-10"/>
              </w:rPr>
              <w:t>4</w:t>
            </w:r>
          </w:hyperlink>
        </w:p>
        <w:p>
          <w:pPr>
            <w:pStyle w:val="TOC1"/>
            <w:tabs>
              <w:tab w:pos="9118" w:val="right" w:leader="dot"/>
            </w:tabs>
            <w:spacing w:before="238"/>
          </w:pPr>
          <w:hyperlink w:history="true" w:anchor="_bookmark2">
            <w:r>
              <w:rPr/>
              <w:t>Objectives</w:t>
            </w:r>
            <w:r>
              <w:rPr>
                <w:spacing w:val="-3"/>
              </w:rPr>
              <w:t> </w:t>
            </w:r>
            <w:r>
              <w:rPr/>
              <w:t>and</w:t>
            </w:r>
            <w:r>
              <w:rPr>
                <w:spacing w:val="-2"/>
              </w:rPr>
              <w:t> </w:t>
            </w:r>
            <w:r>
              <w:rPr>
                <w:spacing w:val="-4"/>
              </w:rPr>
              <w:t>Scope</w:t>
            </w:r>
            <w:r>
              <w:rPr/>
              <w:tab/>
            </w:r>
            <w:r>
              <w:rPr>
                <w:spacing w:val="-10"/>
              </w:rPr>
              <w:t>4</w:t>
            </w:r>
          </w:hyperlink>
        </w:p>
        <w:p>
          <w:pPr>
            <w:pStyle w:val="TOC1"/>
            <w:tabs>
              <w:tab w:pos="9118" w:val="right" w:leader="dot"/>
            </w:tabs>
            <w:spacing w:before="238"/>
          </w:pPr>
          <w:hyperlink w:history="true" w:anchor="_bookmark3">
            <w:r>
              <w:rPr/>
              <w:t>Financial</w:t>
            </w:r>
            <w:r>
              <w:rPr>
                <w:spacing w:val="-4"/>
              </w:rPr>
              <w:t> </w:t>
            </w:r>
            <w:r>
              <w:rPr/>
              <w:t>Performance</w:t>
            </w:r>
            <w:r>
              <w:rPr>
                <w:spacing w:val="-3"/>
              </w:rPr>
              <w:t> </w:t>
            </w:r>
            <w:r>
              <w:rPr>
                <w:spacing w:val="-2"/>
              </w:rPr>
              <w:t>Evaluation</w:t>
            </w:r>
            <w:r>
              <w:rPr/>
              <w:tab/>
            </w:r>
            <w:r>
              <w:rPr>
                <w:spacing w:val="-10"/>
              </w:rPr>
              <w:t>4</w:t>
            </w:r>
          </w:hyperlink>
        </w:p>
        <w:p>
          <w:pPr>
            <w:pStyle w:val="TOC2"/>
            <w:tabs>
              <w:tab w:pos="9118" w:val="right" w:leader="dot"/>
            </w:tabs>
            <w:spacing w:before="240"/>
          </w:pPr>
          <w:hyperlink w:history="true" w:anchor="_bookmark4">
            <w:r>
              <w:rPr/>
              <w:t>Analysis</w:t>
            </w:r>
            <w:r>
              <w:rPr>
                <w:spacing w:val="-6"/>
              </w:rPr>
              <w:t> </w:t>
            </w:r>
            <w:r>
              <w:rPr/>
              <w:t>of</w:t>
            </w:r>
            <w:r>
              <w:rPr>
                <w:spacing w:val="-2"/>
              </w:rPr>
              <w:t> </w:t>
            </w:r>
            <w:r>
              <w:rPr/>
              <w:t>Income</w:t>
            </w:r>
            <w:r>
              <w:rPr>
                <w:spacing w:val="-4"/>
              </w:rPr>
              <w:t> </w:t>
            </w:r>
            <w:r>
              <w:rPr/>
              <w:t>Statements</w:t>
            </w:r>
            <w:r>
              <w:rPr>
                <w:spacing w:val="-4"/>
              </w:rPr>
              <w:t> </w:t>
            </w:r>
            <w:r>
              <w:rPr/>
              <w:t>(2020-</w:t>
            </w:r>
            <w:r>
              <w:rPr>
                <w:spacing w:val="-2"/>
              </w:rPr>
              <w:t>2022)</w:t>
            </w:r>
            <w:r>
              <w:rPr/>
              <w:tab/>
            </w:r>
            <w:r>
              <w:rPr>
                <w:spacing w:val="-10"/>
              </w:rPr>
              <w:t>4</w:t>
            </w:r>
          </w:hyperlink>
        </w:p>
        <w:p>
          <w:pPr>
            <w:pStyle w:val="TOC2"/>
            <w:tabs>
              <w:tab w:pos="9118" w:val="right" w:leader="dot"/>
            </w:tabs>
          </w:pPr>
          <w:hyperlink w:history="true" w:anchor="_bookmark5">
            <w:r>
              <w:rPr/>
              <w:t>Balance</w:t>
            </w:r>
            <w:r>
              <w:rPr>
                <w:spacing w:val="-4"/>
              </w:rPr>
              <w:t> </w:t>
            </w:r>
            <w:r>
              <w:rPr/>
              <w:t>Sheet</w:t>
            </w:r>
            <w:r>
              <w:rPr>
                <w:spacing w:val="-1"/>
              </w:rPr>
              <w:t> </w:t>
            </w:r>
            <w:r>
              <w:rPr/>
              <w:t>Analysis</w:t>
            </w:r>
            <w:r>
              <w:rPr>
                <w:spacing w:val="-1"/>
              </w:rPr>
              <w:t> </w:t>
            </w:r>
            <w:r>
              <w:rPr/>
              <w:t>(End</w:t>
            </w:r>
            <w:r>
              <w:rPr>
                <w:spacing w:val="-2"/>
              </w:rPr>
              <w:t> </w:t>
            </w:r>
            <w:r>
              <w:rPr/>
              <w:t>of</w:t>
            </w:r>
            <w:r>
              <w:rPr>
                <w:spacing w:val="-1"/>
              </w:rPr>
              <w:t> </w:t>
            </w:r>
            <w:r>
              <w:rPr>
                <w:spacing w:val="-2"/>
              </w:rPr>
              <w:t>2022)</w:t>
            </w:r>
            <w:r>
              <w:rPr/>
              <w:tab/>
            </w:r>
            <w:r>
              <w:rPr>
                <w:spacing w:val="-10"/>
              </w:rPr>
              <w:t>5</w:t>
            </w:r>
          </w:hyperlink>
        </w:p>
        <w:p>
          <w:pPr>
            <w:pStyle w:val="TOC2"/>
            <w:tabs>
              <w:tab w:pos="9118" w:val="right" w:leader="dot"/>
            </w:tabs>
            <w:spacing w:before="239"/>
          </w:pPr>
          <w:hyperlink w:history="true" w:anchor="_bookmark6">
            <w:r>
              <w:rPr/>
              <w:t>Analysis</w:t>
            </w:r>
            <w:r>
              <w:rPr>
                <w:spacing w:val="-4"/>
              </w:rPr>
              <w:t> </w:t>
            </w:r>
            <w:r>
              <w:rPr/>
              <w:t>of</w:t>
            </w:r>
            <w:r>
              <w:rPr>
                <w:spacing w:val="-3"/>
              </w:rPr>
              <w:t> </w:t>
            </w:r>
            <w:r>
              <w:rPr>
                <w:spacing w:val="-2"/>
              </w:rPr>
              <w:t>Ratios</w:t>
            </w:r>
            <w:r>
              <w:rPr/>
              <w:tab/>
            </w:r>
            <w:r>
              <w:rPr>
                <w:spacing w:val="-10"/>
              </w:rPr>
              <w:t>5</w:t>
            </w:r>
          </w:hyperlink>
        </w:p>
        <w:p>
          <w:pPr>
            <w:pStyle w:val="TOC2"/>
            <w:tabs>
              <w:tab w:pos="9118" w:val="right" w:leader="dot"/>
            </w:tabs>
          </w:pPr>
          <w:hyperlink w:history="true" w:anchor="_bookmark7">
            <w:r>
              <w:rPr/>
              <w:t>Cash</w:t>
            </w:r>
            <w:r>
              <w:rPr>
                <w:spacing w:val="-3"/>
              </w:rPr>
              <w:t> </w:t>
            </w:r>
            <w:r>
              <w:rPr/>
              <w:t>Flow</w:t>
            </w:r>
            <w:r>
              <w:rPr>
                <w:spacing w:val="-3"/>
              </w:rPr>
              <w:t> </w:t>
            </w:r>
            <w:r>
              <w:rPr/>
              <w:t>Analysis</w:t>
            </w:r>
            <w:r>
              <w:rPr>
                <w:spacing w:val="-3"/>
              </w:rPr>
              <w:t> </w:t>
            </w:r>
            <w:r>
              <w:rPr>
                <w:spacing w:val="-2"/>
              </w:rPr>
              <w:t>(2021):</w:t>
            </w:r>
            <w:r>
              <w:rPr/>
              <w:tab/>
            </w:r>
            <w:r>
              <w:rPr>
                <w:spacing w:val="-10"/>
              </w:rPr>
              <w:t>6</w:t>
            </w:r>
          </w:hyperlink>
        </w:p>
        <w:p>
          <w:pPr>
            <w:pStyle w:val="TOC2"/>
            <w:tabs>
              <w:tab w:pos="9118" w:val="right" w:leader="dot"/>
            </w:tabs>
            <w:spacing w:before="238"/>
          </w:pPr>
          <w:hyperlink w:history="true" w:anchor="_bookmark8">
            <w:r>
              <w:rPr/>
              <w:t>Additional</w:t>
            </w:r>
            <w:r>
              <w:rPr>
                <w:spacing w:val="-2"/>
              </w:rPr>
              <w:t> </w:t>
            </w:r>
            <w:r>
              <w:rPr/>
              <w:t>Financial</w:t>
            </w:r>
            <w:r>
              <w:rPr>
                <w:spacing w:val="-2"/>
              </w:rPr>
              <w:t> Details:</w:t>
            </w:r>
            <w:r>
              <w:rPr/>
              <w:tab/>
            </w:r>
            <w:r>
              <w:rPr>
                <w:spacing w:val="-10"/>
              </w:rPr>
              <w:t>6</w:t>
            </w:r>
          </w:hyperlink>
        </w:p>
        <w:p>
          <w:pPr>
            <w:pStyle w:val="TOC1"/>
            <w:tabs>
              <w:tab w:pos="9118" w:val="right" w:leader="dot"/>
            </w:tabs>
          </w:pPr>
          <w:hyperlink w:history="true" w:anchor="_bookmark9">
            <w:r>
              <w:rPr/>
              <w:t>Turnaround</w:t>
            </w:r>
            <w:r>
              <w:rPr>
                <w:spacing w:val="-3"/>
              </w:rPr>
              <w:t> </w:t>
            </w:r>
            <w:r>
              <w:rPr>
                <w:spacing w:val="-2"/>
              </w:rPr>
              <w:t>Strategy</w:t>
            </w:r>
            <w:r>
              <w:rPr/>
              <w:tab/>
            </w:r>
            <w:r>
              <w:rPr>
                <w:spacing w:val="-10"/>
              </w:rPr>
              <w:t>7</w:t>
            </w:r>
          </w:hyperlink>
        </w:p>
        <w:p>
          <w:pPr>
            <w:pStyle w:val="TOC1"/>
            <w:tabs>
              <w:tab w:pos="9118" w:val="right" w:leader="dot"/>
            </w:tabs>
            <w:spacing w:before="241"/>
          </w:pPr>
          <w:hyperlink w:history="true" w:anchor="_bookmark10">
            <w:r>
              <w:rPr>
                <w:spacing w:val="-2"/>
              </w:rPr>
              <w:t>Conclusion</w:t>
            </w:r>
            <w:r>
              <w:rPr/>
              <w:tab/>
            </w:r>
            <w:r>
              <w:rPr>
                <w:spacing w:val="-10"/>
              </w:rPr>
              <w:t>9</w:t>
            </w:r>
          </w:hyperlink>
        </w:p>
        <w:p>
          <w:pPr>
            <w:pStyle w:val="TOC1"/>
            <w:tabs>
              <w:tab w:pos="9118" w:val="right" w:leader="dot"/>
            </w:tabs>
          </w:pPr>
          <w:hyperlink w:history="true" w:anchor="_bookmark11">
            <w:r>
              <w:rPr>
                <w:spacing w:val="-2"/>
              </w:rPr>
              <w:t>Reference</w:t>
            </w:r>
            <w:r>
              <w:rPr/>
              <w:tab/>
            </w:r>
            <w:r>
              <w:rPr>
                <w:spacing w:val="-5"/>
              </w:rPr>
              <w:t>10</w:t>
            </w:r>
          </w:hyperlink>
        </w:p>
        <w:p>
          <w:pPr/>
          <w:r>
            <w:fldChar w:fldCharType="end"/>
          </w:r>
        </w:p>
      </w:sdtContent>
    </w:sdt>
    <w:p>
      <w:pPr>
        <w:spacing w:after="0"/>
        <w:sectPr>
          <w:pgSz w:w="11910" w:h="16840"/>
          <w:pgMar w:header="0" w:footer="957" w:top="1360" w:bottom="1140" w:left="1340" w:right="1320"/>
        </w:sectPr>
      </w:pPr>
    </w:p>
    <w:p>
      <w:pPr>
        <w:pStyle w:val="Heading1"/>
        <w:jc w:val="left"/>
      </w:pPr>
      <w:bookmarkStart w:name="Introduction" w:id="1"/>
      <w:bookmarkEnd w:id="1"/>
      <w:r>
        <w:rPr>
          <w:b w:val="0"/>
        </w:rPr>
      </w:r>
      <w:bookmarkStart w:name="_bookmark0" w:id="2"/>
      <w:bookmarkEnd w:id="2"/>
      <w:r>
        <w:rPr>
          <w:b w:val="0"/>
        </w:rPr>
      </w:r>
      <w:r>
        <w:rPr>
          <w:spacing w:val="-2"/>
        </w:rPr>
        <w:t>Introduction</w:t>
      </w:r>
    </w:p>
    <w:p>
      <w:pPr>
        <w:pStyle w:val="BodyText"/>
        <w:spacing w:line="360" w:lineRule="auto" w:before="159"/>
        <w:ind w:right="115"/>
        <w:jc w:val="both"/>
      </w:pPr>
      <w:r>
        <w:rPr/>
        <w:t>The Seaview Resort is at a crossroads amid dramatic developments in the hospitality sector. Formerly</w:t>
      </w:r>
      <w:r>
        <w:rPr>
          <w:spacing w:val="-10"/>
        </w:rPr>
        <w:t> </w:t>
      </w:r>
      <w:r>
        <w:rPr/>
        <w:t>a</w:t>
      </w:r>
      <w:r>
        <w:rPr>
          <w:spacing w:val="-8"/>
        </w:rPr>
        <w:t> </w:t>
      </w:r>
      <w:r>
        <w:rPr/>
        <w:t>beloved</w:t>
      </w:r>
      <w:r>
        <w:rPr>
          <w:spacing w:val="-8"/>
        </w:rPr>
        <w:t> </w:t>
      </w:r>
      <w:r>
        <w:rPr/>
        <w:t>vacation</w:t>
      </w:r>
      <w:r>
        <w:rPr>
          <w:spacing w:val="-7"/>
        </w:rPr>
        <w:t> </w:t>
      </w:r>
      <w:r>
        <w:rPr/>
        <w:t>destination,</w:t>
      </w:r>
      <w:r>
        <w:rPr>
          <w:spacing w:val="-7"/>
        </w:rPr>
        <w:t> </w:t>
      </w:r>
      <w:r>
        <w:rPr/>
        <w:t>it</w:t>
      </w:r>
      <w:r>
        <w:rPr>
          <w:spacing w:val="-7"/>
        </w:rPr>
        <w:t> </w:t>
      </w:r>
      <w:r>
        <w:rPr/>
        <w:t>now</w:t>
      </w:r>
      <w:r>
        <w:rPr>
          <w:spacing w:val="-8"/>
        </w:rPr>
        <w:t> </w:t>
      </w:r>
      <w:r>
        <w:rPr/>
        <w:t>faces</w:t>
      </w:r>
      <w:r>
        <w:rPr>
          <w:spacing w:val="-7"/>
        </w:rPr>
        <w:t> </w:t>
      </w:r>
      <w:r>
        <w:rPr/>
        <w:t>decreased</w:t>
      </w:r>
      <w:r>
        <w:rPr>
          <w:spacing w:val="-5"/>
        </w:rPr>
        <w:t> </w:t>
      </w:r>
      <w:r>
        <w:rPr/>
        <w:t>revenue,</w:t>
      </w:r>
      <w:r>
        <w:rPr>
          <w:spacing w:val="-7"/>
        </w:rPr>
        <w:t> </w:t>
      </w:r>
      <w:r>
        <w:rPr/>
        <w:t>declining</w:t>
      </w:r>
      <w:r>
        <w:rPr>
          <w:spacing w:val="-9"/>
        </w:rPr>
        <w:t> </w:t>
      </w:r>
      <w:r>
        <w:rPr/>
        <w:t>occupancy rates,</w:t>
      </w:r>
      <w:r>
        <w:rPr>
          <w:spacing w:val="-14"/>
        </w:rPr>
        <w:t> </w:t>
      </w:r>
      <w:r>
        <w:rPr/>
        <w:t>and</w:t>
      </w:r>
      <w:r>
        <w:rPr>
          <w:spacing w:val="-14"/>
        </w:rPr>
        <w:t> </w:t>
      </w:r>
      <w:r>
        <w:rPr/>
        <w:t>disgruntled</w:t>
      </w:r>
      <w:r>
        <w:rPr>
          <w:spacing w:val="-14"/>
        </w:rPr>
        <w:t> </w:t>
      </w:r>
      <w:r>
        <w:rPr/>
        <w:t>customers.</w:t>
      </w:r>
      <w:r>
        <w:rPr>
          <w:spacing w:val="-14"/>
        </w:rPr>
        <w:t> </w:t>
      </w:r>
      <w:r>
        <w:rPr/>
        <w:t>Recognizing</w:t>
      </w:r>
      <w:r>
        <w:rPr>
          <w:spacing w:val="-15"/>
        </w:rPr>
        <w:t> </w:t>
      </w:r>
      <w:r>
        <w:rPr/>
        <w:t>the</w:t>
      </w:r>
      <w:r>
        <w:rPr>
          <w:spacing w:val="-15"/>
        </w:rPr>
        <w:t> </w:t>
      </w:r>
      <w:r>
        <w:rPr/>
        <w:t>urgency,</w:t>
      </w:r>
      <w:r>
        <w:rPr>
          <w:spacing w:val="-14"/>
        </w:rPr>
        <w:t> </w:t>
      </w:r>
      <w:r>
        <w:rPr/>
        <w:t>owner</w:t>
      </w:r>
      <w:r>
        <w:rPr>
          <w:spacing w:val="-15"/>
        </w:rPr>
        <w:t> </w:t>
      </w:r>
      <w:r>
        <w:rPr/>
        <w:t>James</w:t>
      </w:r>
      <w:r>
        <w:rPr>
          <w:spacing w:val="-14"/>
        </w:rPr>
        <w:t> </w:t>
      </w:r>
      <w:r>
        <w:rPr/>
        <w:t>Henderson</w:t>
      </w:r>
      <w:r>
        <w:rPr>
          <w:spacing w:val="-15"/>
        </w:rPr>
        <w:t> </w:t>
      </w:r>
      <w:r>
        <w:rPr/>
        <w:t>has</w:t>
      </w:r>
      <w:r>
        <w:rPr>
          <w:spacing w:val="-14"/>
        </w:rPr>
        <w:t> </w:t>
      </w:r>
      <w:r>
        <w:rPr/>
        <w:t>wisely hired expert consultants to investigate the core issues and devise a comprehensive reform strategy. This comprehensive inquiry goes beyond a simple review of the resort's financial performance,</w:t>
      </w:r>
      <w:r>
        <w:rPr>
          <w:spacing w:val="-11"/>
        </w:rPr>
        <w:t> </w:t>
      </w:r>
      <w:r>
        <w:rPr/>
        <w:t>incorporating</w:t>
      </w:r>
      <w:r>
        <w:rPr>
          <w:spacing w:val="-13"/>
        </w:rPr>
        <w:t> </w:t>
      </w:r>
      <w:r>
        <w:rPr/>
        <w:t>a</w:t>
      </w:r>
      <w:r>
        <w:rPr>
          <w:spacing w:val="-9"/>
        </w:rPr>
        <w:t> </w:t>
      </w:r>
      <w:r>
        <w:rPr/>
        <w:t>complete</w:t>
      </w:r>
      <w:r>
        <w:rPr>
          <w:spacing w:val="-11"/>
        </w:rPr>
        <w:t> </w:t>
      </w:r>
      <w:r>
        <w:rPr/>
        <w:t>analysis</w:t>
      </w:r>
      <w:r>
        <w:rPr>
          <w:spacing w:val="-10"/>
        </w:rPr>
        <w:t> </w:t>
      </w:r>
      <w:r>
        <w:rPr/>
        <w:t>of</w:t>
      </w:r>
      <w:r>
        <w:rPr>
          <w:spacing w:val="-9"/>
        </w:rPr>
        <w:t> </w:t>
      </w:r>
      <w:r>
        <w:rPr/>
        <w:t>market</w:t>
      </w:r>
      <w:r>
        <w:rPr>
          <w:spacing w:val="-10"/>
        </w:rPr>
        <w:t> </w:t>
      </w:r>
      <w:r>
        <w:rPr/>
        <w:t>circumstances</w:t>
      </w:r>
      <w:r>
        <w:rPr>
          <w:spacing w:val="-8"/>
        </w:rPr>
        <w:t> </w:t>
      </w:r>
      <w:r>
        <w:rPr/>
        <w:t>to</w:t>
      </w:r>
      <w:r>
        <w:rPr>
          <w:spacing w:val="-9"/>
        </w:rPr>
        <w:t> </w:t>
      </w:r>
      <w:r>
        <w:rPr/>
        <w:t>identify</w:t>
      </w:r>
      <w:r>
        <w:rPr>
          <w:spacing w:val="-15"/>
        </w:rPr>
        <w:t> </w:t>
      </w:r>
      <w:r>
        <w:rPr/>
        <w:t>significant causes of its difficulties. The primary goal is to develop a strategy plan that tackles present issues while also positioning the resort for a revenue rebound and a return to its former prominence in the extremely competitive hospitality business.</w:t>
      </w:r>
    </w:p>
    <w:p>
      <w:pPr>
        <w:pStyle w:val="BodyText"/>
        <w:spacing w:line="360" w:lineRule="auto" w:before="2"/>
        <w:ind w:right="117"/>
        <w:jc w:val="both"/>
      </w:pPr>
      <w:r>
        <w:rPr/>
        <w:t>Ratio</w:t>
      </w:r>
      <w:r>
        <w:rPr>
          <w:spacing w:val="-9"/>
        </w:rPr>
        <w:t> </w:t>
      </w:r>
      <w:r>
        <w:rPr/>
        <w:t>analysis</w:t>
      </w:r>
      <w:r>
        <w:rPr>
          <w:spacing w:val="-9"/>
        </w:rPr>
        <w:t> </w:t>
      </w:r>
      <w:r>
        <w:rPr/>
        <w:t>of</w:t>
      </w:r>
      <w:r>
        <w:rPr>
          <w:spacing w:val="-10"/>
        </w:rPr>
        <w:t> </w:t>
      </w:r>
      <w:r>
        <w:rPr/>
        <w:t>important</w:t>
      </w:r>
      <w:r>
        <w:rPr>
          <w:spacing w:val="-9"/>
        </w:rPr>
        <w:t> </w:t>
      </w:r>
      <w:r>
        <w:rPr/>
        <w:t>financial</w:t>
      </w:r>
      <w:r>
        <w:rPr>
          <w:spacing w:val="-10"/>
        </w:rPr>
        <w:t> </w:t>
      </w:r>
      <w:r>
        <w:rPr/>
        <w:t>measures</w:t>
      </w:r>
      <w:r>
        <w:rPr>
          <w:spacing w:val="-7"/>
        </w:rPr>
        <w:t> </w:t>
      </w:r>
      <w:r>
        <w:rPr/>
        <w:t>such</w:t>
      </w:r>
      <w:r>
        <w:rPr>
          <w:spacing w:val="-10"/>
        </w:rPr>
        <w:t> </w:t>
      </w:r>
      <w:r>
        <w:rPr/>
        <w:t>as</w:t>
      </w:r>
      <w:r>
        <w:rPr>
          <w:spacing w:val="-9"/>
        </w:rPr>
        <w:t> </w:t>
      </w:r>
      <w:r>
        <w:rPr/>
        <w:t>the</w:t>
      </w:r>
      <w:r>
        <w:rPr>
          <w:spacing w:val="-10"/>
        </w:rPr>
        <w:t> </w:t>
      </w:r>
      <w:r>
        <w:rPr/>
        <w:t>quick</w:t>
      </w:r>
      <w:r>
        <w:rPr>
          <w:spacing w:val="-10"/>
        </w:rPr>
        <w:t> </w:t>
      </w:r>
      <w:r>
        <w:rPr/>
        <w:t>ratio,</w:t>
      </w:r>
      <w:r>
        <w:rPr>
          <w:spacing w:val="-10"/>
        </w:rPr>
        <w:t> </w:t>
      </w:r>
      <w:r>
        <w:rPr/>
        <w:t>debt-to-equity</w:t>
      </w:r>
      <w:r>
        <w:rPr>
          <w:spacing w:val="-12"/>
        </w:rPr>
        <w:t> </w:t>
      </w:r>
      <w:r>
        <w:rPr/>
        <w:t>ratio,</w:t>
      </w:r>
      <w:r>
        <w:rPr>
          <w:spacing w:val="-10"/>
        </w:rPr>
        <w:t> </w:t>
      </w:r>
      <w:r>
        <w:rPr/>
        <w:t>and return</w:t>
      </w:r>
      <w:r>
        <w:rPr>
          <w:spacing w:val="-1"/>
        </w:rPr>
        <w:t> </w:t>
      </w:r>
      <w:r>
        <w:rPr/>
        <w:t>on total assets is required in combination with this examination. These</w:t>
      </w:r>
      <w:r>
        <w:rPr>
          <w:spacing w:val="-1"/>
        </w:rPr>
        <w:t> </w:t>
      </w:r>
      <w:r>
        <w:rPr/>
        <w:t>ratios will serve as</w:t>
      </w:r>
      <w:r>
        <w:rPr>
          <w:spacing w:val="-7"/>
        </w:rPr>
        <w:t> </w:t>
      </w:r>
      <w:r>
        <w:rPr/>
        <w:t>critical</w:t>
      </w:r>
      <w:r>
        <w:rPr>
          <w:spacing w:val="-6"/>
        </w:rPr>
        <w:t> </w:t>
      </w:r>
      <w:r>
        <w:rPr/>
        <w:t>benchmarks</w:t>
      </w:r>
      <w:r>
        <w:rPr>
          <w:spacing w:val="-7"/>
        </w:rPr>
        <w:t> </w:t>
      </w:r>
      <w:r>
        <w:rPr/>
        <w:t>for</w:t>
      </w:r>
      <w:r>
        <w:rPr>
          <w:spacing w:val="-8"/>
        </w:rPr>
        <w:t> </w:t>
      </w:r>
      <w:r>
        <w:rPr/>
        <w:t>assessing</w:t>
      </w:r>
      <w:r>
        <w:rPr>
          <w:spacing w:val="-9"/>
        </w:rPr>
        <w:t> </w:t>
      </w:r>
      <w:r>
        <w:rPr/>
        <w:t>liquidity,</w:t>
      </w:r>
      <w:r>
        <w:rPr>
          <w:spacing w:val="-7"/>
        </w:rPr>
        <w:t> </w:t>
      </w:r>
      <w:r>
        <w:rPr/>
        <w:t>financial</w:t>
      </w:r>
      <w:r>
        <w:rPr>
          <w:spacing w:val="-7"/>
        </w:rPr>
        <w:t> </w:t>
      </w:r>
      <w:r>
        <w:rPr/>
        <w:t>leverage,</w:t>
      </w:r>
      <w:r>
        <w:rPr>
          <w:spacing w:val="-7"/>
        </w:rPr>
        <w:t> </w:t>
      </w:r>
      <w:r>
        <w:rPr/>
        <w:t>and</w:t>
      </w:r>
      <w:r>
        <w:rPr>
          <w:spacing w:val="-7"/>
        </w:rPr>
        <w:t> </w:t>
      </w:r>
      <w:r>
        <w:rPr/>
        <w:t>asset</w:t>
      </w:r>
      <w:r>
        <w:rPr>
          <w:spacing w:val="-7"/>
        </w:rPr>
        <w:t> </w:t>
      </w:r>
      <w:r>
        <w:rPr/>
        <w:t>profitability,</w:t>
      </w:r>
      <w:r>
        <w:rPr>
          <w:spacing w:val="-7"/>
        </w:rPr>
        <w:t> </w:t>
      </w:r>
      <w:r>
        <w:rPr/>
        <w:t>laying the groundwork for the strategic efforts indicated in the following sections.</w:t>
      </w:r>
    </w:p>
    <w:p>
      <w:pPr>
        <w:spacing w:after="0" w:line="360" w:lineRule="auto"/>
        <w:jc w:val="both"/>
        <w:sectPr>
          <w:pgSz w:w="11910" w:h="16840"/>
          <w:pgMar w:header="0" w:footer="957" w:top="1360" w:bottom="1140" w:left="1340" w:right="1320"/>
        </w:sectPr>
      </w:pPr>
    </w:p>
    <w:p>
      <w:pPr>
        <w:pStyle w:val="Heading1"/>
      </w:pPr>
      <w:bookmarkStart w:name="Market Analysis" w:id="3"/>
      <w:bookmarkEnd w:id="3"/>
      <w:r>
        <w:rPr>
          <w:b w:val="0"/>
        </w:rPr>
      </w:r>
      <w:bookmarkStart w:name="_bookmark1" w:id="4"/>
      <w:bookmarkEnd w:id="4"/>
      <w:r>
        <w:rPr>
          <w:b w:val="0"/>
        </w:rPr>
      </w:r>
      <w:r>
        <w:rPr/>
        <w:t>Market</w:t>
      </w:r>
      <w:r>
        <w:rPr>
          <w:spacing w:val="-8"/>
        </w:rPr>
        <w:t> </w:t>
      </w:r>
      <w:r>
        <w:rPr>
          <w:spacing w:val="-2"/>
        </w:rPr>
        <w:t>Analysis</w:t>
      </w:r>
    </w:p>
    <w:p>
      <w:pPr>
        <w:pStyle w:val="BodyText"/>
        <w:spacing w:line="360" w:lineRule="auto" w:before="159"/>
        <w:ind w:right="113"/>
        <w:jc w:val="both"/>
      </w:pPr>
      <w:r>
        <w:rPr/>
        <w:t>A thorough awareness of external issues is required to ensure The Seaview Resort's success. The emergence of modern resorts nearby has increased rivalry in the seashore economy. To meet this challenge, The Seaview Resort must change its products and differentiate itself. Furthermore, changing consumer tastes, as seen by an increase in interest in eco-friendly activities and experience tourism, constitute a substantial barrier (Giudici, Milne, and Vinogradov., 2020). Customer feedback highlights the resort's dire position, which includes diminishing</w:t>
      </w:r>
      <w:r>
        <w:rPr>
          <w:spacing w:val="-6"/>
        </w:rPr>
        <w:t> </w:t>
      </w:r>
      <w:r>
        <w:rPr/>
        <w:t>service</w:t>
      </w:r>
      <w:r>
        <w:rPr>
          <w:spacing w:val="-3"/>
        </w:rPr>
        <w:t> </w:t>
      </w:r>
      <w:r>
        <w:rPr/>
        <w:t>quality</w:t>
      </w:r>
      <w:r>
        <w:rPr>
          <w:spacing w:val="-6"/>
        </w:rPr>
        <w:t> </w:t>
      </w:r>
      <w:r>
        <w:rPr/>
        <w:t>and</w:t>
      </w:r>
      <w:r>
        <w:rPr>
          <w:spacing w:val="-4"/>
        </w:rPr>
        <w:t> </w:t>
      </w:r>
      <w:r>
        <w:rPr/>
        <w:t>antiquated</w:t>
      </w:r>
      <w:r>
        <w:rPr>
          <w:spacing w:val="-2"/>
        </w:rPr>
        <w:t> </w:t>
      </w:r>
      <w:r>
        <w:rPr/>
        <w:t>infrastructure.</w:t>
      </w:r>
      <w:r>
        <w:rPr>
          <w:spacing w:val="-4"/>
        </w:rPr>
        <w:t> </w:t>
      </w:r>
      <w:r>
        <w:rPr/>
        <w:t>This</w:t>
      </w:r>
      <w:r>
        <w:rPr>
          <w:spacing w:val="-2"/>
        </w:rPr>
        <w:t> </w:t>
      </w:r>
      <w:r>
        <w:rPr/>
        <w:t>finding</w:t>
      </w:r>
      <w:r>
        <w:rPr>
          <w:spacing w:val="-4"/>
        </w:rPr>
        <w:t> </w:t>
      </w:r>
      <w:r>
        <w:rPr/>
        <w:t>is</w:t>
      </w:r>
      <w:r>
        <w:rPr>
          <w:spacing w:val="-3"/>
        </w:rPr>
        <w:t> </w:t>
      </w:r>
      <w:r>
        <w:rPr/>
        <w:t>a</w:t>
      </w:r>
      <w:r>
        <w:rPr>
          <w:spacing w:val="-5"/>
        </w:rPr>
        <w:t> </w:t>
      </w:r>
      <w:r>
        <w:rPr/>
        <w:t>strong</w:t>
      </w:r>
      <w:r>
        <w:rPr>
          <w:spacing w:val="-7"/>
        </w:rPr>
        <w:t> </w:t>
      </w:r>
      <w:r>
        <w:rPr/>
        <w:t>indication</w:t>
      </w:r>
      <w:r>
        <w:rPr>
          <w:spacing w:val="-4"/>
        </w:rPr>
        <w:t> </w:t>
      </w:r>
      <w:r>
        <w:rPr/>
        <w:t>to realign strategy and rethink extensively to suit changing market expectations. A smart and comprehensive</w:t>
      </w:r>
      <w:r>
        <w:rPr>
          <w:spacing w:val="-2"/>
        </w:rPr>
        <w:t> </w:t>
      </w:r>
      <w:r>
        <w:rPr/>
        <w:t>reaction</w:t>
      </w:r>
      <w:r>
        <w:rPr>
          <w:spacing w:val="-5"/>
        </w:rPr>
        <w:t> </w:t>
      </w:r>
      <w:r>
        <w:rPr/>
        <w:t>is</w:t>
      </w:r>
      <w:r>
        <w:rPr>
          <w:spacing w:val="-4"/>
        </w:rPr>
        <w:t> </w:t>
      </w:r>
      <w:r>
        <w:rPr/>
        <w:t>required</w:t>
      </w:r>
      <w:r>
        <w:rPr>
          <w:spacing w:val="-5"/>
        </w:rPr>
        <w:t> </w:t>
      </w:r>
      <w:r>
        <w:rPr/>
        <w:t>for</w:t>
      </w:r>
      <w:r>
        <w:rPr>
          <w:spacing w:val="-6"/>
        </w:rPr>
        <w:t> </w:t>
      </w:r>
      <w:r>
        <w:rPr/>
        <w:t>The</w:t>
      </w:r>
      <w:r>
        <w:rPr>
          <w:spacing w:val="-6"/>
        </w:rPr>
        <w:t> </w:t>
      </w:r>
      <w:r>
        <w:rPr/>
        <w:t>Seaview</w:t>
      </w:r>
      <w:r>
        <w:rPr>
          <w:spacing w:val="-5"/>
        </w:rPr>
        <w:t> </w:t>
      </w:r>
      <w:r>
        <w:rPr/>
        <w:t>Resort</w:t>
      </w:r>
      <w:r>
        <w:rPr>
          <w:spacing w:val="-5"/>
        </w:rPr>
        <w:t> </w:t>
      </w:r>
      <w:r>
        <w:rPr/>
        <w:t>to</w:t>
      </w:r>
      <w:r>
        <w:rPr>
          <w:spacing w:val="-4"/>
        </w:rPr>
        <w:t> </w:t>
      </w:r>
      <w:r>
        <w:rPr/>
        <w:t>restore</w:t>
      </w:r>
      <w:r>
        <w:rPr>
          <w:spacing w:val="-6"/>
        </w:rPr>
        <w:t> </w:t>
      </w:r>
      <w:r>
        <w:rPr/>
        <w:t>its</w:t>
      </w:r>
      <w:r>
        <w:rPr>
          <w:spacing w:val="-5"/>
        </w:rPr>
        <w:t> </w:t>
      </w:r>
      <w:r>
        <w:rPr/>
        <w:t>competitive</w:t>
      </w:r>
      <w:r>
        <w:rPr>
          <w:spacing w:val="-5"/>
        </w:rPr>
        <w:t> </w:t>
      </w:r>
      <w:r>
        <w:rPr/>
        <w:t>edge</w:t>
      </w:r>
      <w:r>
        <w:rPr>
          <w:spacing w:val="-6"/>
        </w:rPr>
        <w:t> </w:t>
      </w:r>
      <w:r>
        <w:rPr/>
        <w:t>and lead the hospitality market again.</w:t>
      </w:r>
    </w:p>
    <w:p>
      <w:pPr>
        <w:pStyle w:val="Heading1"/>
        <w:spacing w:before="2"/>
      </w:pPr>
      <w:bookmarkStart w:name="Objectives and Scope" w:id="5"/>
      <w:bookmarkEnd w:id="5"/>
      <w:r>
        <w:rPr>
          <w:b w:val="0"/>
        </w:rPr>
      </w:r>
      <w:bookmarkStart w:name="_bookmark2" w:id="6"/>
      <w:bookmarkEnd w:id="6"/>
      <w:r>
        <w:rPr>
          <w:b w:val="0"/>
        </w:rPr>
      </w:r>
      <w:r>
        <w:rPr/>
        <w:t>Objectives</w:t>
      </w:r>
      <w:r>
        <w:rPr>
          <w:spacing w:val="-6"/>
        </w:rPr>
        <w:t> </w:t>
      </w:r>
      <w:r>
        <w:rPr/>
        <w:t>and</w:t>
      </w:r>
      <w:r>
        <w:rPr>
          <w:spacing w:val="-4"/>
        </w:rPr>
        <w:t> Scope</w:t>
      </w:r>
    </w:p>
    <w:p>
      <w:pPr>
        <w:pStyle w:val="BodyText"/>
        <w:spacing w:line="360" w:lineRule="auto" w:before="160"/>
        <w:ind w:right="117"/>
        <w:jc w:val="both"/>
      </w:pPr>
      <w:r>
        <w:rPr/>
        <w:t>This research focuses on evaluating</w:t>
      </w:r>
      <w:r>
        <w:rPr>
          <w:spacing w:val="-1"/>
        </w:rPr>
        <w:t> </w:t>
      </w:r>
      <w:r>
        <w:rPr/>
        <w:t>The Seaview Resort's financial performance over the last three years, with a particular emphasis on reversing a troubling drop in profitability. To discover the core reasons for the resort's financial difficulties, a detailed investigation of both qualitative and quantitative factors is required. The major aim is to develop a comprehensive plan that goes beyond surface-level fixes and addresses the underlying issues hurting the resort's financial health. The ultimate goal is to achieve financial stability and restore The Seaview Resort's image as a renowned holiday resort. Given the rising competition and the need for strategic realignment, the assessment seeks to develop a solid recovery strategy for the hotel industry (Komal, et al., 2020).</w:t>
      </w:r>
    </w:p>
    <w:p>
      <w:pPr>
        <w:pStyle w:val="Heading1"/>
        <w:spacing w:before="3"/>
      </w:pPr>
      <w:bookmarkStart w:name="Financial Performance Evaluation" w:id="7"/>
      <w:bookmarkEnd w:id="7"/>
      <w:r>
        <w:rPr>
          <w:b w:val="0"/>
        </w:rPr>
      </w:r>
      <w:bookmarkStart w:name="_bookmark3" w:id="8"/>
      <w:bookmarkEnd w:id="8"/>
      <w:r>
        <w:rPr>
          <w:b w:val="0"/>
        </w:rPr>
      </w:r>
      <w:r>
        <w:rPr/>
        <w:t>Financial</w:t>
      </w:r>
      <w:r>
        <w:rPr>
          <w:spacing w:val="-8"/>
        </w:rPr>
        <w:t> </w:t>
      </w:r>
      <w:r>
        <w:rPr/>
        <w:t>Performance</w:t>
      </w:r>
      <w:r>
        <w:rPr>
          <w:spacing w:val="-8"/>
        </w:rPr>
        <w:t> </w:t>
      </w:r>
      <w:r>
        <w:rPr>
          <w:spacing w:val="-2"/>
        </w:rPr>
        <w:t>Evaluation</w:t>
      </w:r>
    </w:p>
    <w:p>
      <w:pPr>
        <w:pStyle w:val="Heading2"/>
        <w:spacing w:before="162"/>
      </w:pPr>
      <w:bookmarkStart w:name="Analysis of Income Statements (2020-2022" w:id="9"/>
      <w:bookmarkEnd w:id="9"/>
      <w:r>
        <w:rPr>
          <w:b w:val="0"/>
        </w:rPr>
      </w:r>
      <w:bookmarkStart w:name="_bookmark4" w:id="10"/>
      <w:bookmarkEnd w:id="10"/>
      <w:r>
        <w:rPr>
          <w:b w:val="0"/>
        </w:rPr>
      </w:r>
      <w:r>
        <w:rPr/>
        <w:t>Analysis</w:t>
      </w:r>
      <w:r>
        <w:rPr>
          <w:spacing w:val="-10"/>
        </w:rPr>
        <w:t> </w:t>
      </w:r>
      <w:r>
        <w:rPr/>
        <w:t>of</w:t>
      </w:r>
      <w:r>
        <w:rPr>
          <w:spacing w:val="-10"/>
        </w:rPr>
        <w:t> </w:t>
      </w:r>
      <w:r>
        <w:rPr/>
        <w:t>Income</w:t>
      </w:r>
      <w:r>
        <w:rPr>
          <w:spacing w:val="-10"/>
        </w:rPr>
        <w:t> </w:t>
      </w:r>
      <w:r>
        <w:rPr/>
        <w:t>Statements</w:t>
      </w:r>
      <w:r>
        <w:rPr>
          <w:spacing w:val="-10"/>
        </w:rPr>
        <w:t> </w:t>
      </w:r>
      <w:r>
        <w:rPr/>
        <w:t>(2020-</w:t>
      </w:r>
      <w:r>
        <w:rPr>
          <w:spacing w:val="-2"/>
        </w:rPr>
        <w:t>2022):</w:t>
      </w:r>
    </w:p>
    <w:p>
      <w:pPr>
        <w:pStyle w:val="BodyText"/>
        <w:spacing w:line="360" w:lineRule="auto" w:before="147"/>
        <w:ind w:right="115"/>
        <w:jc w:val="both"/>
      </w:pPr>
      <w:r>
        <w:rPr/>
        <w:t>An in-depth examination of The Seaview Resort's revenue statement from 2020 to 2022 indicates</w:t>
      </w:r>
      <w:r>
        <w:rPr>
          <w:spacing w:val="-5"/>
        </w:rPr>
        <w:t> </w:t>
      </w:r>
      <w:r>
        <w:rPr/>
        <w:t>a</w:t>
      </w:r>
      <w:r>
        <w:rPr>
          <w:spacing w:val="-3"/>
        </w:rPr>
        <w:t> </w:t>
      </w:r>
      <w:r>
        <w:rPr/>
        <w:t>concerning</w:t>
      </w:r>
      <w:r>
        <w:rPr>
          <w:spacing w:val="-5"/>
        </w:rPr>
        <w:t> </w:t>
      </w:r>
      <w:r>
        <w:rPr/>
        <w:t>trend</w:t>
      </w:r>
      <w:r>
        <w:rPr>
          <w:spacing w:val="-5"/>
        </w:rPr>
        <w:t> </w:t>
      </w:r>
      <w:r>
        <w:rPr/>
        <w:t>in</w:t>
      </w:r>
      <w:r>
        <w:rPr>
          <w:spacing w:val="-4"/>
        </w:rPr>
        <w:t> </w:t>
      </w:r>
      <w:r>
        <w:rPr/>
        <w:t>key</w:t>
      </w:r>
      <w:r>
        <w:rPr>
          <w:spacing w:val="-10"/>
        </w:rPr>
        <w:t> </w:t>
      </w:r>
      <w:r>
        <w:rPr/>
        <w:t>financial</w:t>
      </w:r>
      <w:r>
        <w:rPr>
          <w:spacing w:val="-5"/>
        </w:rPr>
        <w:t> </w:t>
      </w:r>
      <w:r>
        <w:rPr/>
        <w:t>metrics.</w:t>
      </w:r>
      <w:r>
        <w:rPr>
          <w:spacing w:val="-5"/>
        </w:rPr>
        <w:t> </w:t>
      </w:r>
      <w:r>
        <w:rPr/>
        <w:t>Notably,</w:t>
      </w:r>
      <w:r>
        <w:rPr>
          <w:spacing w:val="-5"/>
        </w:rPr>
        <w:t> </w:t>
      </w:r>
      <w:r>
        <w:rPr/>
        <w:t>overall</w:t>
      </w:r>
      <w:r>
        <w:rPr>
          <w:spacing w:val="-4"/>
        </w:rPr>
        <w:t> </w:t>
      </w:r>
      <w:r>
        <w:rPr/>
        <w:t>income</w:t>
      </w:r>
      <w:r>
        <w:rPr>
          <w:spacing w:val="-5"/>
        </w:rPr>
        <w:t> </w:t>
      </w:r>
      <w:r>
        <w:rPr/>
        <w:t>has</w:t>
      </w:r>
      <w:r>
        <w:rPr>
          <w:spacing w:val="-5"/>
        </w:rPr>
        <w:t> </w:t>
      </w:r>
      <w:r>
        <w:rPr/>
        <w:t>consistently declined from £520,000 in 2020 to a troubling £430,000 in 2022, demonstrating the resort's financial</w:t>
      </w:r>
      <w:r>
        <w:rPr>
          <w:spacing w:val="-15"/>
        </w:rPr>
        <w:t> </w:t>
      </w:r>
      <w:r>
        <w:rPr/>
        <w:t>well-being.</w:t>
      </w:r>
      <w:r>
        <w:rPr>
          <w:spacing w:val="-15"/>
        </w:rPr>
        <w:t> </w:t>
      </w:r>
      <w:r>
        <w:rPr/>
        <w:t>This</w:t>
      </w:r>
      <w:r>
        <w:rPr>
          <w:spacing w:val="-13"/>
        </w:rPr>
        <w:t> </w:t>
      </w:r>
      <w:r>
        <w:rPr/>
        <w:t>significant</w:t>
      </w:r>
      <w:r>
        <w:rPr>
          <w:spacing w:val="-15"/>
        </w:rPr>
        <w:t> </w:t>
      </w:r>
      <w:r>
        <w:rPr/>
        <w:t>drop</w:t>
      </w:r>
      <w:r>
        <w:rPr>
          <w:spacing w:val="-15"/>
        </w:rPr>
        <w:t> </w:t>
      </w:r>
      <w:r>
        <w:rPr/>
        <w:t>in</w:t>
      </w:r>
      <w:r>
        <w:rPr>
          <w:spacing w:val="-15"/>
        </w:rPr>
        <w:t> </w:t>
      </w:r>
      <w:r>
        <w:rPr/>
        <w:t>revenue</w:t>
      </w:r>
      <w:r>
        <w:rPr>
          <w:spacing w:val="-15"/>
        </w:rPr>
        <w:t> </w:t>
      </w:r>
      <w:r>
        <w:rPr/>
        <w:t>highlights</w:t>
      </w:r>
      <w:r>
        <w:rPr>
          <w:spacing w:val="-15"/>
        </w:rPr>
        <w:t> </w:t>
      </w:r>
      <w:r>
        <w:rPr/>
        <w:t>a</w:t>
      </w:r>
      <w:r>
        <w:rPr>
          <w:spacing w:val="-15"/>
        </w:rPr>
        <w:t> </w:t>
      </w:r>
      <w:r>
        <w:rPr/>
        <w:t>significant</w:t>
      </w:r>
      <w:r>
        <w:rPr>
          <w:spacing w:val="-13"/>
        </w:rPr>
        <w:t> </w:t>
      </w:r>
      <w:r>
        <w:rPr/>
        <w:t>issue</w:t>
      </w:r>
      <w:r>
        <w:rPr>
          <w:spacing w:val="-15"/>
        </w:rPr>
        <w:t> </w:t>
      </w:r>
      <w:r>
        <w:rPr/>
        <w:t>that</w:t>
      </w:r>
      <w:r>
        <w:rPr>
          <w:spacing w:val="-15"/>
        </w:rPr>
        <w:t> </w:t>
      </w:r>
      <w:r>
        <w:rPr/>
        <w:t>requires immediate action (Chen, Z., 2021).</w:t>
      </w:r>
    </w:p>
    <w:p>
      <w:pPr>
        <w:pStyle w:val="BodyText"/>
        <w:spacing w:line="360" w:lineRule="auto"/>
        <w:ind w:right="118"/>
        <w:jc w:val="both"/>
      </w:pPr>
      <w:r>
        <w:rPr/>
        <w:t>The operational costs in 2020 will be £390,000. Worryingly, these expenditures will be scrutinized</w:t>
      </w:r>
      <w:r>
        <w:rPr>
          <w:spacing w:val="-7"/>
        </w:rPr>
        <w:t> </w:t>
      </w:r>
      <w:r>
        <w:rPr/>
        <w:t>by</w:t>
      </w:r>
      <w:r>
        <w:rPr>
          <w:spacing w:val="-12"/>
        </w:rPr>
        <w:t> </w:t>
      </w:r>
      <w:r>
        <w:rPr/>
        <w:t>2022,</w:t>
      </w:r>
      <w:r>
        <w:rPr>
          <w:spacing w:val="-5"/>
        </w:rPr>
        <w:t> </w:t>
      </w:r>
      <w:r>
        <w:rPr/>
        <w:t>reaching</w:t>
      </w:r>
      <w:r>
        <w:rPr>
          <w:spacing w:val="-9"/>
        </w:rPr>
        <w:t> </w:t>
      </w:r>
      <w:r>
        <w:rPr/>
        <w:t>£450,000.</w:t>
      </w:r>
      <w:r>
        <w:rPr>
          <w:spacing w:val="-7"/>
        </w:rPr>
        <w:t> </w:t>
      </w:r>
      <w:r>
        <w:rPr/>
        <w:t>This</w:t>
      </w:r>
      <w:r>
        <w:rPr>
          <w:spacing w:val="-7"/>
        </w:rPr>
        <w:t> </w:t>
      </w:r>
      <w:r>
        <w:rPr/>
        <w:t>increase</w:t>
      </w:r>
      <w:r>
        <w:rPr>
          <w:spacing w:val="-6"/>
        </w:rPr>
        <w:t> </w:t>
      </w:r>
      <w:r>
        <w:rPr/>
        <w:t>expects</w:t>
      </w:r>
      <w:r>
        <w:rPr>
          <w:spacing w:val="-7"/>
        </w:rPr>
        <w:t> </w:t>
      </w:r>
      <w:r>
        <w:rPr/>
        <w:t>that</w:t>
      </w:r>
      <w:r>
        <w:rPr>
          <w:spacing w:val="-7"/>
        </w:rPr>
        <w:t> </w:t>
      </w:r>
      <w:r>
        <w:rPr/>
        <w:t>the</w:t>
      </w:r>
      <w:r>
        <w:rPr>
          <w:spacing w:val="-8"/>
        </w:rPr>
        <w:t> </w:t>
      </w:r>
      <w:r>
        <w:rPr/>
        <w:t>resort's</w:t>
      </w:r>
      <w:r>
        <w:rPr>
          <w:spacing w:val="-5"/>
        </w:rPr>
        <w:t> </w:t>
      </w:r>
      <w:r>
        <w:rPr/>
        <w:t>gross</w:t>
      </w:r>
      <w:r>
        <w:rPr>
          <w:spacing w:val="-8"/>
        </w:rPr>
        <w:t> </w:t>
      </w:r>
      <w:r>
        <w:rPr/>
        <w:t>profit</w:t>
      </w:r>
      <w:r>
        <w:rPr>
          <w:spacing w:val="-7"/>
        </w:rPr>
        <w:t> </w:t>
      </w:r>
      <w:r>
        <w:rPr/>
        <w:t>will continue to drop. The expected negative gross profit in 2022 emphasizes the importance of taking proactive actions to reduce expenses and increase income </w:t>
      </w:r>
      <w:r>
        <w:rPr>
          <w:sz w:val="20"/>
        </w:rPr>
        <w:t>(</w:t>
      </w:r>
      <w:r>
        <w:rPr/>
        <w:t>Fridson, M.S. and Alvarez, F., 2022).</w:t>
      </w:r>
    </w:p>
    <w:p>
      <w:pPr>
        <w:spacing w:after="0" w:line="360" w:lineRule="auto"/>
        <w:jc w:val="both"/>
        <w:sectPr>
          <w:pgSz w:w="11910" w:h="16840"/>
          <w:pgMar w:header="0" w:footer="957" w:top="1360" w:bottom="1140" w:left="1340" w:right="1320"/>
        </w:sectPr>
      </w:pPr>
    </w:p>
    <w:p>
      <w:pPr>
        <w:pStyle w:val="BodyText"/>
        <w:spacing w:before="60"/>
        <w:jc w:val="both"/>
      </w:pPr>
      <w:r>
        <w:rPr/>
        <w:t>In</w:t>
      </w:r>
      <w:r>
        <w:rPr>
          <w:spacing w:val="1"/>
        </w:rPr>
        <w:t> </w:t>
      </w:r>
      <w:r>
        <w:rPr/>
        <w:t>2020, the</w:t>
      </w:r>
      <w:r>
        <w:rPr>
          <w:spacing w:val="-1"/>
        </w:rPr>
        <w:t> </w:t>
      </w:r>
      <w:r>
        <w:rPr/>
        <w:t>net profit</w:t>
      </w:r>
      <w:r>
        <w:rPr>
          <w:spacing w:val="1"/>
        </w:rPr>
        <w:t> </w:t>
      </w:r>
      <w:r>
        <w:rPr/>
        <w:t>margin</w:t>
      </w:r>
      <w:r>
        <w:rPr>
          <w:spacing w:val="1"/>
        </w:rPr>
        <w:t> </w:t>
      </w:r>
      <w:r>
        <w:rPr/>
        <w:t>was</w:t>
      </w:r>
      <w:r>
        <w:rPr>
          <w:spacing w:val="-1"/>
        </w:rPr>
        <w:t> </w:t>
      </w:r>
      <w:r>
        <w:rPr/>
        <w:t>a healthy</w:t>
      </w:r>
      <w:r>
        <w:rPr>
          <w:spacing w:val="-5"/>
        </w:rPr>
        <w:t> </w:t>
      </w:r>
      <w:r>
        <w:rPr/>
        <w:t>15%,</w:t>
      </w:r>
      <w:r>
        <w:rPr>
          <w:spacing w:val="4"/>
        </w:rPr>
        <w:t> </w:t>
      </w:r>
      <w:r>
        <w:rPr/>
        <w:t>but</w:t>
      </w:r>
      <w:r>
        <w:rPr>
          <w:spacing w:val="-1"/>
        </w:rPr>
        <w:t> </w:t>
      </w:r>
      <w:r>
        <w:rPr/>
        <w:t>by</w:t>
      </w:r>
      <w:r>
        <w:rPr>
          <w:spacing w:val="-5"/>
        </w:rPr>
        <w:t> </w:t>
      </w:r>
      <w:r>
        <w:rPr/>
        <w:t>2022,</w:t>
      </w:r>
      <w:r>
        <w:rPr>
          <w:spacing w:val="-1"/>
        </w:rPr>
        <w:t> </w:t>
      </w:r>
      <w:r>
        <w:rPr/>
        <w:t>it had dropped</w:t>
      </w:r>
      <w:r>
        <w:rPr>
          <w:spacing w:val="-1"/>
        </w:rPr>
        <w:t> </w:t>
      </w:r>
      <w:r>
        <w:rPr/>
        <w:t>to a</w:t>
      </w:r>
      <w:r>
        <w:rPr>
          <w:spacing w:val="1"/>
        </w:rPr>
        <w:t> </w:t>
      </w:r>
      <w:r>
        <w:rPr>
          <w:spacing w:val="-2"/>
        </w:rPr>
        <w:t>concerning</w:t>
      </w:r>
    </w:p>
    <w:p>
      <w:pPr>
        <w:pStyle w:val="BodyText"/>
        <w:spacing w:line="360" w:lineRule="auto" w:before="138"/>
        <w:ind w:right="115"/>
        <w:jc w:val="both"/>
      </w:pPr>
      <w:r>
        <w:rPr/>
        <w:t>-11%, indicating a crucial transition (Robinson, T.R., 2020). Swift and deliberate action is required to prevent the current financial catastrophe and pave the road for long-term profitability</w:t>
      </w:r>
      <w:r>
        <w:rPr>
          <w:spacing w:val="-12"/>
        </w:rPr>
        <w:t> </w:t>
      </w:r>
      <w:r>
        <w:rPr/>
        <w:t>and</w:t>
      </w:r>
      <w:r>
        <w:rPr>
          <w:spacing w:val="-10"/>
        </w:rPr>
        <w:t> </w:t>
      </w:r>
      <w:r>
        <w:rPr/>
        <w:t>market</w:t>
      </w:r>
      <w:r>
        <w:rPr>
          <w:spacing w:val="-9"/>
        </w:rPr>
        <w:t> </w:t>
      </w:r>
      <w:r>
        <w:rPr/>
        <w:t>resilience.</w:t>
      </w:r>
      <w:r>
        <w:rPr>
          <w:spacing w:val="-5"/>
        </w:rPr>
        <w:t> </w:t>
      </w:r>
      <w:r>
        <w:rPr/>
        <w:t>Immediate</w:t>
      </w:r>
      <w:r>
        <w:rPr>
          <w:spacing w:val="-8"/>
        </w:rPr>
        <w:t> </w:t>
      </w:r>
      <w:r>
        <w:rPr/>
        <w:t>action</w:t>
      </w:r>
      <w:r>
        <w:rPr>
          <w:spacing w:val="-10"/>
        </w:rPr>
        <w:t> </w:t>
      </w:r>
      <w:r>
        <w:rPr/>
        <w:t>is</w:t>
      </w:r>
      <w:r>
        <w:rPr>
          <w:spacing w:val="-9"/>
        </w:rPr>
        <w:t> </w:t>
      </w:r>
      <w:r>
        <w:rPr/>
        <w:t>required</w:t>
      </w:r>
      <w:r>
        <w:rPr>
          <w:spacing w:val="-10"/>
        </w:rPr>
        <w:t> </w:t>
      </w:r>
      <w:r>
        <w:rPr/>
        <w:t>for</w:t>
      </w:r>
      <w:r>
        <w:rPr>
          <w:spacing w:val="-10"/>
        </w:rPr>
        <w:t> </w:t>
      </w:r>
      <w:r>
        <w:rPr/>
        <w:t>the</w:t>
      </w:r>
      <w:r>
        <w:rPr>
          <w:spacing w:val="-8"/>
        </w:rPr>
        <w:t> </w:t>
      </w:r>
      <w:r>
        <w:rPr/>
        <w:t>resort's</w:t>
      </w:r>
      <w:r>
        <w:rPr>
          <w:spacing w:val="-9"/>
        </w:rPr>
        <w:t> </w:t>
      </w:r>
      <w:r>
        <w:rPr/>
        <w:t>management</w:t>
      </w:r>
      <w:r>
        <w:rPr>
          <w:spacing w:val="-9"/>
        </w:rPr>
        <w:t> </w:t>
      </w:r>
      <w:r>
        <w:rPr/>
        <w:t>to reverse this troubling economic trend, with an emphasis on quickly increasing income and decreasing expenditures for a long-term financial recovery.</w:t>
      </w:r>
    </w:p>
    <w:p>
      <w:pPr>
        <w:pStyle w:val="BodyText"/>
        <w:spacing w:before="1"/>
      </w:pPr>
      <w:r>
        <w:rPr/>
        <w:t>The net</w:t>
      </w:r>
      <w:r>
        <w:rPr>
          <w:spacing w:val="4"/>
        </w:rPr>
        <w:t> </w:t>
      </w:r>
      <w:r>
        <w:rPr/>
        <w:t>profit</w:t>
      </w:r>
      <w:r>
        <w:rPr>
          <w:spacing w:val="4"/>
        </w:rPr>
        <w:t> </w:t>
      </w:r>
      <w:r>
        <w:rPr/>
        <w:t>margin,</w:t>
      </w:r>
      <w:r>
        <w:rPr>
          <w:spacing w:val="4"/>
        </w:rPr>
        <w:t> </w:t>
      </w:r>
      <w:r>
        <w:rPr/>
        <w:t>a</w:t>
      </w:r>
      <w:r>
        <w:rPr>
          <w:spacing w:val="5"/>
        </w:rPr>
        <w:t> </w:t>
      </w:r>
      <w:r>
        <w:rPr/>
        <w:t>key</w:t>
      </w:r>
      <w:r>
        <w:rPr>
          <w:spacing w:val="-2"/>
        </w:rPr>
        <w:t> </w:t>
      </w:r>
      <w:r>
        <w:rPr/>
        <w:t>indicator</w:t>
      </w:r>
      <w:r>
        <w:rPr>
          <w:spacing w:val="3"/>
        </w:rPr>
        <w:t> </w:t>
      </w:r>
      <w:r>
        <w:rPr/>
        <w:t>of</w:t>
      </w:r>
      <w:r>
        <w:rPr>
          <w:spacing w:val="2"/>
        </w:rPr>
        <w:t> </w:t>
      </w:r>
      <w:r>
        <w:rPr/>
        <w:t>profitability,</w:t>
      </w:r>
      <w:r>
        <w:rPr>
          <w:spacing w:val="4"/>
        </w:rPr>
        <w:t> </w:t>
      </w:r>
      <w:r>
        <w:rPr/>
        <w:t>is</w:t>
      </w:r>
      <w:r>
        <w:rPr>
          <w:spacing w:val="4"/>
        </w:rPr>
        <w:t> </w:t>
      </w:r>
      <w:r>
        <w:rPr/>
        <w:t>expected</w:t>
      </w:r>
      <w:r>
        <w:rPr>
          <w:spacing w:val="3"/>
        </w:rPr>
        <w:t> </w:t>
      </w:r>
      <w:r>
        <w:rPr/>
        <w:t>to</w:t>
      </w:r>
      <w:r>
        <w:rPr>
          <w:spacing w:val="4"/>
        </w:rPr>
        <w:t> </w:t>
      </w:r>
      <w:r>
        <w:rPr/>
        <w:t>fall</w:t>
      </w:r>
      <w:r>
        <w:rPr>
          <w:spacing w:val="4"/>
        </w:rPr>
        <w:t> </w:t>
      </w:r>
      <w:r>
        <w:rPr/>
        <w:t>from</w:t>
      </w:r>
      <w:r>
        <w:rPr>
          <w:spacing w:val="4"/>
        </w:rPr>
        <w:t> </w:t>
      </w:r>
      <w:r>
        <w:rPr/>
        <w:t>15%</w:t>
      </w:r>
      <w:r>
        <w:rPr>
          <w:spacing w:val="2"/>
        </w:rPr>
        <w:t> </w:t>
      </w:r>
      <w:r>
        <w:rPr/>
        <w:t>in</w:t>
      </w:r>
      <w:r>
        <w:rPr>
          <w:spacing w:val="4"/>
        </w:rPr>
        <w:t> </w:t>
      </w:r>
      <w:r>
        <w:rPr/>
        <w:t>2020</w:t>
      </w:r>
      <w:r>
        <w:rPr>
          <w:spacing w:val="4"/>
        </w:rPr>
        <w:t> </w:t>
      </w:r>
      <w:r>
        <w:rPr>
          <w:spacing w:val="-5"/>
        </w:rPr>
        <w:t>to</w:t>
      </w:r>
    </w:p>
    <w:p>
      <w:pPr>
        <w:pStyle w:val="BodyText"/>
        <w:spacing w:before="137"/>
      </w:pPr>
      <w:r>
        <w:rPr/>
        <w:t>-11%</w:t>
      </w:r>
      <w:r>
        <w:rPr>
          <w:spacing w:val="-2"/>
        </w:rPr>
        <w:t> </w:t>
      </w:r>
      <w:r>
        <w:rPr/>
        <w:t>in</w:t>
      </w:r>
      <w:r>
        <w:rPr>
          <w:spacing w:val="-1"/>
        </w:rPr>
        <w:t> </w:t>
      </w:r>
      <w:r>
        <w:rPr/>
        <w:t>2022.</w:t>
      </w:r>
      <w:r>
        <w:rPr>
          <w:spacing w:val="-1"/>
        </w:rPr>
        <w:t> </w:t>
      </w:r>
      <w:r>
        <w:rPr/>
        <w:t>To</w:t>
      </w:r>
      <w:r>
        <w:rPr>
          <w:spacing w:val="-1"/>
        </w:rPr>
        <w:t> </w:t>
      </w:r>
      <w:r>
        <w:rPr/>
        <w:t>avoid</w:t>
      </w:r>
      <w:r>
        <w:rPr>
          <w:spacing w:val="-1"/>
        </w:rPr>
        <w:t> </w:t>
      </w:r>
      <w:r>
        <w:rPr/>
        <w:t>economic</w:t>
      </w:r>
      <w:r>
        <w:rPr>
          <w:spacing w:val="-1"/>
        </w:rPr>
        <w:t> </w:t>
      </w:r>
      <w:r>
        <w:rPr/>
        <w:t>collapse,</w:t>
      </w:r>
      <w:r>
        <w:rPr>
          <w:spacing w:val="-1"/>
        </w:rPr>
        <w:t> </w:t>
      </w:r>
      <w:r>
        <w:rPr/>
        <w:t>immediate</w:t>
      </w:r>
      <w:r>
        <w:rPr>
          <w:spacing w:val="-2"/>
        </w:rPr>
        <w:t> </w:t>
      </w:r>
      <w:r>
        <w:rPr/>
        <w:t>strategic</w:t>
      </w:r>
      <w:r>
        <w:rPr>
          <w:spacing w:val="-1"/>
        </w:rPr>
        <w:t> </w:t>
      </w:r>
      <w:r>
        <w:rPr/>
        <w:t>action</w:t>
      </w:r>
      <w:r>
        <w:rPr>
          <w:spacing w:val="-1"/>
        </w:rPr>
        <w:t> </w:t>
      </w:r>
      <w:r>
        <w:rPr/>
        <w:t>is </w:t>
      </w:r>
      <w:r>
        <w:rPr>
          <w:spacing w:val="-2"/>
        </w:rPr>
        <w:t>required.</w:t>
      </w:r>
    </w:p>
    <w:p>
      <w:pPr>
        <w:pStyle w:val="Heading2"/>
        <w:spacing w:before="142"/>
        <w:jc w:val="left"/>
      </w:pPr>
      <w:bookmarkStart w:name="Balance Sheet Analysis (End of 2022):" w:id="11"/>
      <w:bookmarkEnd w:id="11"/>
      <w:r>
        <w:rPr>
          <w:b w:val="0"/>
        </w:rPr>
      </w:r>
      <w:bookmarkStart w:name="_bookmark5" w:id="12"/>
      <w:bookmarkEnd w:id="12"/>
      <w:r>
        <w:rPr>
          <w:b w:val="0"/>
        </w:rPr>
      </w:r>
      <w:r>
        <w:rPr/>
        <w:t>Balance</w:t>
      </w:r>
      <w:r>
        <w:rPr>
          <w:spacing w:val="-8"/>
        </w:rPr>
        <w:t> </w:t>
      </w:r>
      <w:r>
        <w:rPr/>
        <w:t>Sheet</w:t>
      </w:r>
      <w:r>
        <w:rPr>
          <w:spacing w:val="-7"/>
        </w:rPr>
        <w:t> </w:t>
      </w:r>
      <w:r>
        <w:rPr/>
        <w:t>Analysis</w:t>
      </w:r>
      <w:r>
        <w:rPr>
          <w:spacing w:val="-7"/>
        </w:rPr>
        <w:t> </w:t>
      </w:r>
      <w:r>
        <w:rPr/>
        <w:t>(End</w:t>
      </w:r>
      <w:r>
        <w:rPr>
          <w:spacing w:val="-7"/>
        </w:rPr>
        <w:t> </w:t>
      </w:r>
      <w:r>
        <w:rPr/>
        <w:t>of</w:t>
      </w:r>
      <w:r>
        <w:rPr>
          <w:spacing w:val="-5"/>
        </w:rPr>
        <w:t> </w:t>
      </w:r>
      <w:r>
        <w:rPr>
          <w:spacing w:val="-2"/>
        </w:rPr>
        <w:t>2022):</w:t>
      </w:r>
    </w:p>
    <w:p>
      <w:pPr>
        <w:pStyle w:val="BodyText"/>
        <w:spacing w:line="360" w:lineRule="auto" w:before="148"/>
        <w:ind w:right="115"/>
        <w:jc w:val="both"/>
      </w:pPr>
      <w:r>
        <w:rPr/>
        <w:t>The financial situation of The Seaview Resort will be revealed by the end of 2022 after a comprehensive examination of its financial accounts. Its assets are valued at £1,030,000, including</w:t>
      </w:r>
      <w:r>
        <w:rPr>
          <w:spacing w:val="40"/>
        </w:rPr>
        <w:t> </w:t>
      </w:r>
      <w:r>
        <w:rPr/>
        <w:t>£250,000</w:t>
      </w:r>
      <w:r>
        <w:rPr>
          <w:spacing w:val="45"/>
        </w:rPr>
        <w:t> </w:t>
      </w:r>
      <w:r>
        <w:rPr/>
        <w:t>in</w:t>
      </w:r>
      <w:r>
        <w:rPr>
          <w:spacing w:val="44"/>
        </w:rPr>
        <w:t> </w:t>
      </w:r>
      <w:r>
        <w:rPr/>
        <w:t>operating</w:t>
      </w:r>
      <w:r>
        <w:rPr>
          <w:spacing w:val="42"/>
        </w:rPr>
        <w:t> </w:t>
      </w:r>
      <w:r>
        <w:rPr/>
        <w:t>assets,</w:t>
      </w:r>
      <w:r>
        <w:rPr>
          <w:spacing w:val="44"/>
        </w:rPr>
        <w:t> </w:t>
      </w:r>
      <w:r>
        <w:rPr/>
        <w:t>£630,000</w:t>
      </w:r>
      <w:r>
        <w:rPr>
          <w:spacing w:val="45"/>
        </w:rPr>
        <w:t> </w:t>
      </w:r>
      <w:r>
        <w:rPr/>
        <w:t>in</w:t>
      </w:r>
      <w:r>
        <w:rPr>
          <w:spacing w:val="44"/>
        </w:rPr>
        <w:t> </w:t>
      </w:r>
      <w:r>
        <w:rPr/>
        <w:t>property</w:t>
      </w:r>
      <w:r>
        <w:rPr>
          <w:spacing w:val="40"/>
        </w:rPr>
        <w:t> </w:t>
      </w:r>
      <w:r>
        <w:rPr/>
        <w:t>and</w:t>
      </w:r>
      <w:r>
        <w:rPr>
          <w:spacing w:val="44"/>
        </w:rPr>
        <w:t> </w:t>
      </w:r>
      <w:r>
        <w:rPr/>
        <w:t>equipment</w:t>
      </w:r>
      <w:r>
        <w:rPr>
          <w:spacing w:val="45"/>
        </w:rPr>
        <w:t> </w:t>
      </w:r>
      <w:r>
        <w:rPr/>
        <w:t>(including</w:t>
      </w:r>
      <w:r>
        <w:rPr>
          <w:spacing w:val="42"/>
        </w:rPr>
        <w:t> </w:t>
      </w:r>
      <w:r>
        <w:rPr>
          <w:spacing w:val="-10"/>
        </w:rPr>
        <w:t>a</w:t>
      </w:r>
    </w:p>
    <w:p>
      <w:pPr>
        <w:pStyle w:val="BodyText"/>
        <w:spacing w:line="360" w:lineRule="auto"/>
        <w:ind w:right="117"/>
        <w:jc w:val="both"/>
      </w:pPr>
      <w:r>
        <w:rPr/>
        <w:t>£100,000 inventory), and £150,000 in supplemental assets. This breakdown emphasizes the resort's extensive and diverse asset portfolio (Malloy, et al., 2022).</w:t>
      </w:r>
    </w:p>
    <w:p>
      <w:pPr>
        <w:pStyle w:val="BodyText"/>
        <w:jc w:val="both"/>
      </w:pPr>
      <w:r>
        <w:rPr/>
        <w:t>The</w:t>
      </w:r>
      <w:r>
        <w:rPr>
          <w:spacing w:val="14"/>
        </w:rPr>
        <w:t> </w:t>
      </w:r>
      <w:r>
        <w:rPr/>
        <w:t>company's</w:t>
      </w:r>
      <w:r>
        <w:rPr>
          <w:spacing w:val="18"/>
        </w:rPr>
        <w:t> </w:t>
      </w:r>
      <w:r>
        <w:rPr/>
        <w:t>assets</w:t>
      </w:r>
      <w:r>
        <w:rPr>
          <w:spacing w:val="18"/>
        </w:rPr>
        <w:t> </w:t>
      </w:r>
      <w:r>
        <w:rPr/>
        <w:t>amount</w:t>
      </w:r>
      <w:r>
        <w:rPr>
          <w:spacing w:val="21"/>
        </w:rPr>
        <w:t> </w:t>
      </w:r>
      <w:r>
        <w:rPr/>
        <w:t>to</w:t>
      </w:r>
      <w:r>
        <w:rPr>
          <w:spacing w:val="19"/>
        </w:rPr>
        <w:t> </w:t>
      </w:r>
      <w:r>
        <w:rPr/>
        <w:t>£580,000,</w:t>
      </w:r>
      <w:r>
        <w:rPr>
          <w:spacing w:val="17"/>
        </w:rPr>
        <w:t> </w:t>
      </w:r>
      <w:r>
        <w:rPr/>
        <w:t>which</w:t>
      </w:r>
      <w:r>
        <w:rPr>
          <w:spacing w:val="17"/>
        </w:rPr>
        <w:t> </w:t>
      </w:r>
      <w:r>
        <w:rPr/>
        <w:t>offset</w:t>
      </w:r>
      <w:r>
        <w:rPr>
          <w:spacing w:val="18"/>
        </w:rPr>
        <w:t> </w:t>
      </w:r>
      <w:r>
        <w:rPr/>
        <w:t>its</w:t>
      </w:r>
      <w:r>
        <w:rPr>
          <w:spacing w:val="19"/>
        </w:rPr>
        <w:t> </w:t>
      </w:r>
      <w:r>
        <w:rPr/>
        <w:t>liabilities,</w:t>
      </w:r>
      <w:r>
        <w:rPr>
          <w:spacing w:val="17"/>
        </w:rPr>
        <w:t> </w:t>
      </w:r>
      <w:r>
        <w:rPr/>
        <w:t>which</w:t>
      </w:r>
      <w:r>
        <w:rPr>
          <w:spacing w:val="17"/>
        </w:rPr>
        <w:t> </w:t>
      </w:r>
      <w:r>
        <w:rPr/>
        <w:t>include</w:t>
      </w:r>
      <w:r>
        <w:rPr>
          <w:spacing w:val="17"/>
        </w:rPr>
        <w:t> </w:t>
      </w:r>
      <w:r>
        <w:rPr/>
        <w:t>a</w:t>
      </w:r>
      <w:r>
        <w:rPr>
          <w:spacing w:val="18"/>
        </w:rPr>
        <w:t> </w:t>
      </w:r>
      <w:r>
        <w:rPr>
          <w:spacing w:val="-4"/>
        </w:rPr>
        <w:t>huge</w:t>
      </w:r>
    </w:p>
    <w:p>
      <w:pPr>
        <w:pStyle w:val="BodyText"/>
        <w:spacing w:line="360" w:lineRule="auto" w:before="138"/>
        <w:ind w:right="115"/>
      </w:pPr>
      <w:r>
        <w:rPr/>
        <w:t>£180,000</w:t>
      </w:r>
      <w:r>
        <w:rPr>
          <w:spacing w:val="78"/>
        </w:rPr>
        <w:t> </w:t>
      </w:r>
      <w:r>
        <w:rPr/>
        <w:t>in</w:t>
      </w:r>
      <w:r>
        <w:rPr>
          <w:spacing w:val="78"/>
        </w:rPr>
        <w:t> </w:t>
      </w:r>
      <w:r>
        <w:rPr/>
        <w:t>current</w:t>
      </w:r>
      <w:r>
        <w:rPr>
          <w:spacing w:val="78"/>
        </w:rPr>
        <w:t> </w:t>
      </w:r>
      <w:r>
        <w:rPr/>
        <w:t>commitments</w:t>
      </w:r>
      <w:r>
        <w:rPr>
          <w:spacing w:val="78"/>
        </w:rPr>
        <w:t> </w:t>
      </w:r>
      <w:r>
        <w:rPr/>
        <w:t>and</w:t>
      </w:r>
      <w:r>
        <w:rPr>
          <w:spacing w:val="78"/>
        </w:rPr>
        <w:t> </w:t>
      </w:r>
      <w:r>
        <w:rPr/>
        <w:t>a</w:t>
      </w:r>
      <w:r>
        <w:rPr>
          <w:spacing w:val="77"/>
        </w:rPr>
        <w:t> </w:t>
      </w:r>
      <w:r>
        <w:rPr/>
        <w:t>significant</w:t>
      </w:r>
      <w:r>
        <w:rPr>
          <w:spacing w:val="78"/>
        </w:rPr>
        <w:t> </w:t>
      </w:r>
      <w:r>
        <w:rPr/>
        <w:t>£400,000</w:t>
      </w:r>
      <w:r>
        <w:rPr>
          <w:spacing w:val="78"/>
        </w:rPr>
        <w:t> </w:t>
      </w:r>
      <w:r>
        <w:rPr/>
        <w:t>in</w:t>
      </w:r>
      <w:r>
        <w:rPr>
          <w:spacing w:val="78"/>
        </w:rPr>
        <w:t> </w:t>
      </w:r>
      <w:r>
        <w:rPr/>
        <w:t>long-term</w:t>
      </w:r>
      <w:r>
        <w:rPr>
          <w:spacing w:val="78"/>
        </w:rPr>
        <w:t> </w:t>
      </w:r>
      <w:r>
        <w:rPr/>
        <w:t>debt.</w:t>
      </w:r>
      <w:r>
        <w:rPr>
          <w:spacing w:val="78"/>
        </w:rPr>
        <w:t> </w:t>
      </w:r>
      <w:r>
        <w:rPr/>
        <w:t>This equilibrium indicates the owner's financial stake, which is represented by</w:t>
      </w:r>
      <w:r>
        <w:rPr>
          <w:spacing w:val="-2"/>
        </w:rPr>
        <w:t> </w:t>
      </w:r>
      <w:r>
        <w:rPr/>
        <w:t>£450,000 in equity. The Seaview Resort is</w:t>
      </w:r>
      <w:r>
        <w:rPr>
          <w:spacing w:val="23"/>
        </w:rPr>
        <w:t> </w:t>
      </w:r>
      <w:r>
        <w:rPr/>
        <w:t>in</w:t>
      </w:r>
      <w:r>
        <w:rPr>
          <w:spacing w:val="23"/>
        </w:rPr>
        <w:t> </w:t>
      </w:r>
      <w:r>
        <w:rPr/>
        <w:t>a serious liquidity state, as evidenced by its significant</w:t>
      </w:r>
      <w:r>
        <w:rPr>
          <w:spacing w:val="23"/>
        </w:rPr>
        <w:t> </w:t>
      </w:r>
      <w:r>
        <w:rPr/>
        <w:t>long-term</w:t>
      </w:r>
      <w:r>
        <w:rPr>
          <w:spacing w:val="40"/>
        </w:rPr>
        <w:t> </w:t>
      </w:r>
      <w:r>
        <w:rPr/>
        <w:t>debt. To</w:t>
      </w:r>
      <w:r>
        <w:rPr>
          <w:spacing w:val="-1"/>
        </w:rPr>
        <w:t> </w:t>
      </w:r>
      <w:r>
        <w:rPr/>
        <w:t>ease</w:t>
      </w:r>
      <w:r>
        <w:rPr>
          <w:spacing w:val="-1"/>
        </w:rPr>
        <w:t> </w:t>
      </w:r>
      <w:r>
        <w:rPr/>
        <w:t>this financial burden, immediate action is required, emphasizing</w:t>
      </w:r>
      <w:r>
        <w:rPr>
          <w:spacing w:val="-1"/>
        </w:rPr>
        <w:t> </w:t>
      </w:r>
      <w:r>
        <w:rPr/>
        <w:t>the importance of</w:t>
      </w:r>
      <w:r>
        <w:rPr>
          <w:spacing w:val="-15"/>
        </w:rPr>
        <w:t> </w:t>
      </w:r>
      <w:r>
        <w:rPr/>
        <w:t>a</w:t>
      </w:r>
      <w:r>
        <w:rPr>
          <w:spacing w:val="-14"/>
        </w:rPr>
        <w:t> </w:t>
      </w:r>
      <w:r>
        <w:rPr/>
        <w:t>thorough</w:t>
      </w:r>
      <w:r>
        <w:rPr>
          <w:spacing w:val="-14"/>
        </w:rPr>
        <w:t> </w:t>
      </w:r>
      <w:r>
        <w:rPr/>
        <w:t>turnaround</w:t>
      </w:r>
      <w:r>
        <w:rPr>
          <w:spacing w:val="-13"/>
        </w:rPr>
        <w:t> </w:t>
      </w:r>
      <w:r>
        <w:rPr/>
        <w:t>approach.</w:t>
      </w:r>
      <w:r>
        <w:rPr>
          <w:spacing w:val="-12"/>
        </w:rPr>
        <w:t> </w:t>
      </w:r>
      <w:r>
        <w:rPr/>
        <w:t>The</w:t>
      </w:r>
      <w:r>
        <w:rPr>
          <w:spacing w:val="-13"/>
        </w:rPr>
        <w:t> </w:t>
      </w:r>
      <w:r>
        <w:rPr/>
        <w:t>negative</w:t>
      </w:r>
      <w:r>
        <w:rPr>
          <w:spacing w:val="-15"/>
        </w:rPr>
        <w:t> </w:t>
      </w:r>
      <w:r>
        <w:rPr/>
        <w:t>net</w:t>
      </w:r>
      <w:r>
        <w:rPr>
          <w:spacing w:val="-14"/>
        </w:rPr>
        <w:t> </w:t>
      </w:r>
      <w:r>
        <w:rPr/>
        <w:t>profit</w:t>
      </w:r>
      <w:r>
        <w:rPr>
          <w:spacing w:val="-14"/>
        </w:rPr>
        <w:t> </w:t>
      </w:r>
      <w:r>
        <w:rPr/>
        <w:t>puts</w:t>
      </w:r>
      <w:r>
        <w:rPr>
          <w:spacing w:val="-11"/>
        </w:rPr>
        <w:t> </w:t>
      </w:r>
      <w:r>
        <w:rPr/>
        <w:t>equity</w:t>
      </w:r>
      <w:r>
        <w:rPr>
          <w:spacing w:val="-15"/>
        </w:rPr>
        <w:t> </w:t>
      </w:r>
      <w:r>
        <w:rPr/>
        <w:t>at</w:t>
      </w:r>
      <w:r>
        <w:rPr>
          <w:spacing w:val="-12"/>
        </w:rPr>
        <w:t> </w:t>
      </w:r>
      <w:r>
        <w:rPr/>
        <w:t>risk,</w:t>
      </w:r>
      <w:r>
        <w:rPr>
          <w:spacing w:val="-14"/>
        </w:rPr>
        <w:t> </w:t>
      </w:r>
      <w:r>
        <w:rPr/>
        <w:t>making</w:t>
      </w:r>
      <w:r>
        <w:rPr>
          <w:spacing w:val="-14"/>
        </w:rPr>
        <w:t> </w:t>
      </w:r>
      <w:r>
        <w:rPr/>
        <w:t>it</w:t>
      </w:r>
      <w:r>
        <w:rPr>
          <w:spacing w:val="-14"/>
        </w:rPr>
        <w:t> </w:t>
      </w:r>
      <w:r>
        <w:rPr/>
        <w:t>critical to</w:t>
      </w:r>
      <w:r>
        <w:rPr>
          <w:spacing w:val="40"/>
        </w:rPr>
        <w:t> </w:t>
      </w:r>
      <w:r>
        <w:rPr/>
        <w:t>protect</w:t>
      </w:r>
      <w:r>
        <w:rPr>
          <w:spacing w:val="40"/>
        </w:rPr>
        <w:t> </w:t>
      </w:r>
      <w:r>
        <w:rPr/>
        <w:t>Mr.</w:t>
      </w:r>
      <w:r>
        <w:rPr>
          <w:spacing w:val="40"/>
        </w:rPr>
        <w:t> </w:t>
      </w:r>
      <w:r>
        <w:rPr/>
        <w:t>James</w:t>
      </w:r>
      <w:r>
        <w:rPr>
          <w:spacing w:val="40"/>
        </w:rPr>
        <w:t> </w:t>
      </w:r>
      <w:r>
        <w:rPr/>
        <w:t>Henderson's</w:t>
      </w:r>
      <w:r>
        <w:rPr>
          <w:spacing w:val="40"/>
        </w:rPr>
        <w:t> </w:t>
      </w:r>
      <w:r>
        <w:rPr/>
        <w:t>investment</w:t>
      </w:r>
      <w:r>
        <w:rPr>
          <w:spacing w:val="40"/>
        </w:rPr>
        <w:t> </w:t>
      </w:r>
      <w:r>
        <w:rPr/>
        <w:t>(Hasanaj,</w:t>
      </w:r>
      <w:r>
        <w:rPr>
          <w:spacing w:val="40"/>
        </w:rPr>
        <w:t> </w:t>
      </w:r>
      <w:r>
        <w:rPr/>
        <w:t>P.</w:t>
      </w:r>
      <w:r>
        <w:rPr>
          <w:spacing w:val="40"/>
        </w:rPr>
        <w:t> </w:t>
      </w:r>
      <w:r>
        <w:rPr/>
        <w:t>and</w:t>
      </w:r>
      <w:r>
        <w:rPr>
          <w:spacing w:val="40"/>
        </w:rPr>
        <w:t> </w:t>
      </w:r>
      <w:r>
        <w:rPr/>
        <w:t>Kuqi,</w:t>
      </w:r>
      <w:r>
        <w:rPr>
          <w:spacing w:val="40"/>
        </w:rPr>
        <w:t> </w:t>
      </w:r>
      <w:r>
        <w:rPr/>
        <w:t>B.,</w:t>
      </w:r>
      <w:r>
        <w:rPr>
          <w:spacing w:val="40"/>
        </w:rPr>
        <w:t> </w:t>
      </w:r>
      <w:r>
        <w:rPr/>
        <w:t>2019).</w:t>
      </w:r>
      <w:r>
        <w:rPr>
          <w:spacing w:val="40"/>
        </w:rPr>
        <w:t> </w:t>
      </w:r>
      <w:r>
        <w:rPr/>
        <w:t>Precious preparation</w:t>
      </w:r>
      <w:r>
        <w:rPr>
          <w:spacing w:val="-10"/>
        </w:rPr>
        <w:t> </w:t>
      </w:r>
      <w:r>
        <w:rPr/>
        <w:t>is</w:t>
      </w:r>
      <w:r>
        <w:rPr>
          <w:spacing w:val="-10"/>
        </w:rPr>
        <w:t> </w:t>
      </w:r>
      <w:r>
        <w:rPr/>
        <w:t>required</w:t>
      </w:r>
      <w:r>
        <w:rPr>
          <w:spacing w:val="-11"/>
        </w:rPr>
        <w:t> </w:t>
      </w:r>
      <w:r>
        <w:rPr/>
        <w:t>to</w:t>
      </w:r>
      <w:r>
        <w:rPr>
          <w:spacing w:val="-10"/>
        </w:rPr>
        <w:t> </w:t>
      </w:r>
      <w:r>
        <w:rPr/>
        <w:t>save</w:t>
      </w:r>
      <w:r>
        <w:rPr>
          <w:spacing w:val="-12"/>
        </w:rPr>
        <w:t> </w:t>
      </w:r>
      <w:r>
        <w:rPr/>
        <w:t>both</w:t>
      </w:r>
      <w:r>
        <w:rPr>
          <w:spacing w:val="-10"/>
        </w:rPr>
        <w:t> </w:t>
      </w:r>
      <w:r>
        <w:rPr/>
        <w:t>his</w:t>
      </w:r>
      <w:r>
        <w:rPr>
          <w:spacing w:val="-10"/>
        </w:rPr>
        <w:t> </w:t>
      </w:r>
      <w:r>
        <w:rPr/>
        <w:t>existing</w:t>
      </w:r>
      <w:r>
        <w:rPr>
          <w:spacing w:val="-13"/>
        </w:rPr>
        <w:t> </w:t>
      </w:r>
      <w:r>
        <w:rPr/>
        <w:t>assets</w:t>
      </w:r>
      <w:r>
        <w:rPr>
          <w:spacing w:val="-10"/>
        </w:rPr>
        <w:t> </w:t>
      </w:r>
      <w:r>
        <w:rPr/>
        <w:t>and</w:t>
      </w:r>
      <w:r>
        <w:rPr>
          <w:spacing w:val="-11"/>
        </w:rPr>
        <w:t> </w:t>
      </w:r>
      <w:r>
        <w:rPr/>
        <w:t>prospective</w:t>
      </w:r>
      <w:r>
        <w:rPr>
          <w:spacing w:val="-12"/>
        </w:rPr>
        <w:t> </w:t>
      </w:r>
      <w:r>
        <w:rPr/>
        <w:t>profits.</w:t>
      </w:r>
      <w:r>
        <w:rPr>
          <w:spacing w:val="-10"/>
        </w:rPr>
        <w:t> </w:t>
      </w:r>
      <w:r>
        <w:rPr/>
        <w:t>Future</w:t>
      </w:r>
      <w:r>
        <w:rPr>
          <w:spacing w:val="-12"/>
        </w:rPr>
        <w:t> </w:t>
      </w:r>
      <w:r>
        <w:rPr/>
        <w:t>measures should not just address urgent financial issues, but should also provide the groundwork for</w:t>
      </w:r>
      <w:r>
        <w:rPr>
          <w:spacing w:val="80"/>
          <w:w w:val="150"/>
        </w:rPr>
        <w:t> </w:t>
      </w:r>
      <w:r>
        <w:rPr/>
        <w:t>long-term budgetary stability and health.</w:t>
      </w:r>
    </w:p>
    <w:p>
      <w:pPr>
        <w:pStyle w:val="Heading2"/>
        <w:jc w:val="left"/>
      </w:pPr>
      <w:bookmarkStart w:name="Analysis of Ratios" w:id="13"/>
      <w:bookmarkEnd w:id="13"/>
      <w:r>
        <w:rPr>
          <w:b w:val="0"/>
        </w:rPr>
      </w:r>
      <w:bookmarkStart w:name="_bookmark6" w:id="14"/>
      <w:bookmarkEnd w:id="14"/>
      <w:r>
        <w:rPr>
          <w:b w:val="0"/>
        </w:rPr>
      </w:r>
      <w:r>
        <w:rPr/>
        <w:t>Analysis</w:t>
      </w:r>
      <w:r>
        <w:rPr>
          <w:spacing w:val="-7"/>
        </w:rPr>
        <w:t> </w:t>
      </w:r>
      <w:r>
        <w:rPr/>
        <w:t>of</w:t>
      </w:r>
      <w:r>
        <w:rPr>
          <w:spacing w:val="-7"/>
        </w:rPr>
        <w:t> </w:t>
      </w:r>
      <w:r>
        <w:rPr>
          <w:spacing w:val="-2"/>
        </w:rPr>
        <w:t>Ratios</w:t>
      </w:r>
    </w:p>
    <w:p>
      <w:pPr>
        <w:pStyle w:val="Heading3"/>
        <w:numPr>
          <w:ilvl w:val="0"/>
          <w:numId w:val="1"/>
        </w:numPr>
        <w:tabs>
          <w:tab w:pos="306" w:val="left" w:leader="none"/>
        </w:tabs>
        <w:spacing w:line="240" w:lineRule="auto" w:before="147" w:after="0"/>
        <w:ind w:left="306" w:right="0" w:hanging="206"/>
        <w:jc w:val="left"/>
      </w:pPr>
      <w:r>
        <w:rPr/>
        <w:t>The</w:t>
      </w:r>
      <w:r>
        <w:rPr>
          <w:spacing w:val="-4"/>
        </w:rPr>
        <w:t> </w:t>
      </w:r>
      <w:r>
        <w:rPr/>
        <w:t>Quick Ratio</w:t>
      </w:r>
      <w:r>
        <w:rPr>
          <w:spacing w:val="-2"/>
        </w:rPr>
        <w:t> </w:t>
      </w:r>
      <w:r>
        <w:rPr/>
        <w:t>is</w:t>
      </w:r>
      <w:r>
        <w:rPr>
          <w:spacing w:val="-1"/>
        </w:rPr>
        <w:t> </w:t>
      </w:r>
      <w:r>
        <w:rPr>
          <w:spacing w:val="-4"/>
        </w:rPr>
        <w:t>0.83.</w:t>
      </w:r>
    </w:p>
    <w:p>
      <w:pPr>
        <w:pStyle w:val="BodyText"/>
        <w:spacing w:line="360" w:lineRule="auto" w:before="137"/>
        <w:ind w:right="116"/>
        <w:jc w:val="both"/>
      </w:pPr>
      <w:r>
        <w:rPr/>
        <w:t>The quick ratio is computed as (Current Assets - Inventory) / Current Liabilities, and it is a measure of short-term liquidity (Kumoro, et al., 2020). The Seaview Resort has a reasonably good</w:t>
      </w:r>
      <w:r>
        <w:rPr>
          <w:spacing w:val="-6"/>
        </w:rPr>
        <w:t> </w:t>
      </w:r>
      <w:r>
        <w:rPr/>
        <w:t>liquidity</w:t>
      </w:r>
      <w:r>
        <w:rPr>
          <w:spacing w:val="-11"/>
        </w:rPr>
        <w:t> </w:t>
      </w:r>
      <w:r>
        <w:rPr/>
        <w:t>situation,</w:t>
      </w:r>
      <w:r>
        <w:rPr>
          <w:spacing w:val="-4"/>
        </w:rPr>
        <w:t> </w:t>
      </w:r>
      <w:r>
        <w:rPr/>
        <w:t>with</w:t>
      </w:r>
      <w:r>
        <w:rPr>
          <w:spacing w:val="-6"/>
        </w:rPr>
        <w:t> </w:t>
      </w:r>
      <w:r>
        <w:rPr/>
        <w:t>a</w:t>
      </w:r>
      <w:r>
        <w:rPr>
          <w:spacing w:val="-7"/>
        </w:rPr>
        <w:t> </w:t>
      </w:r>
      <w:r>
        <w:rPr/>
        <w:t>value</w:t>
      </w:r>
      <w:r>
        <w:rPr>
          <w:spacing w:val="-7"/>
        </w:rPr>
        <w:t> </w:t>
      </w:r>
      <w:r>
        <w:rPr/>
        <w:t>of</w:t>
      </w:r>
      <w:r>
        <w:rPr>
          <w:spacing w:val="-7"/>
        </w:rPr>
        <w:t> </w:t>
      </w:r>
      <w:r>
        <w:rPr/>
        <w:t>0.83.</w:t>
      </w:r>
      <w:r>
        <w:rPr>
          <w:spacing w:val="-4"/>
        </w:rPr>
        <w:t> </w:t>
      </w:r>
      <w:r>
        <w:rPr/>
        <w:t>This</w:t>
      </w:r>
      <w:r>
        <w:rPr>
          <w:spacing w:val="-6"/>
        </w:rPr>
        <w:t> </w:t>
      </w:r>
      <w:r>
        <w:rPr/>
        <w:t>reflects</w:t>
      </w:r>
      <w:r>
        <w:rPr>
          <w:spacing w:val="-6"/>
        </w:rPr>
        <w:t> </w:t>
      </w:r>
      <w:r>
        <w:rPr/>
        <w:t>the</w:t>
      </w:r>
      <w:r>
        <w:rPr>
          <w:spacing w:val="-7"/>
        </w:rPr>
        <w:t> </w:t>
      </w:r>
      <w:r>
        <w:rPr/>
        <w:t>resort's</w:t>
      </w:r>
      <w:r>
        <w:rPr>
          <w:spacing w:val="-4"/>
        </w:rPr>
        <w:t> </w:t>
      </w:r>
      <w:r>
        <w:rPr/>
        <w:t>capacity</w:t>
      </w:r>
      <w:r>
        <w:rPr>
          <w:spacing w:val="-11"/>
        </w:rPr>
        <w:t> </w:t>
      </w:r>
      <w:r>
        <w:rPr/>
        <w:t>to</w:t>
      </w:r>
      <w:r>
        <w:rPr>
          <w:spacing w:val="-6"/>
        </w:rPr>
        <w:t> </w:t>
      </w:r>
      <w:r>
        <w:rPr/>
        <w:t>satisfy</w:t>
      </w:r>
      <w:r>
        <w:rPr>
          <w:spacing w:val="-11"/>
        </w:rPr>
        <w:t> </w:t>
      </w:r>
      <w:r>
        <w:rPr/>
        <w:t>short- term commitments with its fast assets, excluding inventories.</w:t>
      </w:r>
    </w:p>
    <w:p>
      <w:pPr>
        <w:pStyle w:val="Heading3"/>
        <w:numPr>
          <w:ilvl w:val="0"/>
          <w:numId w:val="1"/>
        </w:numPr>
        <w:tabs>
          <w:tab w:pos="372" w:val="left" w:leader="none"/>
        </w:tabs>
        <w:spacing w:line="240" w:lineRule="auto" w:before="1" w:after="0"/>
        <w:ind w:left="372" w:right="0" w:hanging="272"/>
        <w:jc w:val="both"/>
      </w:pPr>
      <w:r>
        <w:rPr/>
        <w:t>The</w:t>
      </w:r>
      <w:r>
        <w:rPr>
          <w:spacing w:val="-3"/>
        </w:rPr>
        <w:t> </w:t>
      </w:r>
      <w:r>
        <w:rPr/>
        <w:t>Debt</w:t>
      </w:r>
      <w:r>
        <w:rPr>
          <w:spacing w:val="-2"/>
        </w:rPr>
        <w:t> </w:t>
      </w:r>
      <w:r>
        <w:rPr/>
        <w:t>to</w:t>
      </w:r>
      <w:r>
        <w:rPr>
          <w:spacing w:val="-2"/>
        </w:rPr>
        <w:t> </w:t>
      </w:r>
      <w:r>
        <w:rPr/>
        <w:t>debt-equity</w:t>
      </w:r>
      <w:r>
        <w:rPr>
          <w:spacing w:val="-2"/>
        </w:rPr>
        <w:t> </w:t>
      </w:r>
      <w:r>
        <w:rPr/>
        <w:t>ratio</w:t>
      </w:r>
      <w:r>
        <w:rPr>
          <w:spacing w:val="-2"/>
        </w:rPr>
        <w:t> </w:t>
      </w:r>
      <w:r>
        <w:rPr/>
        <w:t>is </w:t>
      </w:r>
      <w:r>
        <w:rPr>
          <w:spacing w:val="-4"/>
        </w:rPr>
        <w:t>0.89</w:t>
      </w:r>
    </w:p>
    <w:p>
      <w:pPr>
        <w:pStyle w:val="BodyText"/>
        <w:spacing w:line="360" w:lineRule="auto" w:before="139"/>
        <w:ind w:right="119"/>
        <w:jc w:val="both"/>
      </w:pPr>
      <w:r>
        <w:rPr/>
        <w:t>Total Debt / Total Equity is the debt-to-equity ratio, which expresses the proportion of debt compared</w:t>
      </w:r>
      <w:r>
        <w:rPr>
          <w:spacing w:val="19"/>
        </w:rPr>
        <w:t> </w:t>
      </w:r>
      <w:r>
        <w:rPr/>
        <w:t>to</w:t>
      </w:r>
      <w:r>
        <w:rPr>
          <w:spacing w:val="20"/>
        </w:rPr>
        <w:t> </w:t>
      </w:r>
      <w:r>
        <w:rPr/>
        <w:t>equity.</w:t>
      </w:r>
      <w:r>
        <w:rPr>
          <w:spacing w:val="20"/>
        </w:rPr>
        <w:t> </w:t>
      </w:r>
      <w:r>
        <w:rPr/>
        <w:t>The</w:t>
      </w:r>
      <w:r>
        <w:rPr>
          <w:spacing w:val="20"/>
        </w:rPr>
        <w:t> </w:t>
      </w:r>
      <w:r>
        <w:rPr/>
        <w:t>Seaview</w:t>
      </w:r>
      <w:r>
        <w:rPr>
          <w:spacing w:val="19"/>
        </w:rPr>
        <w:t> </w:t>
      </w:r>
      <w:r>
        <w:rPr/>
        <w:t>Resort's</w:t>
      </w:r>
      <w:r>
        <w:rPr>
          <w:spacing w:val="20"/>
        </w:rPr>
        <w:t> </w:t>
      </w:r>
      <w:r>
        <w:rPr/>
        <w:t>financial</w:t>
      </w:r>
      <w:r>
        <w:rPr>
          <w:spacing w:val="20"/>
        </w:rPr>
        <w:t> </w:t>
      </w:r>
      <w:r>
        <w:rPr/>
        <w:t>structure</w:t>
      </w:r>
      <w:r>
        <w:rPr>
          <w:spacing w:val="18"/>
        </w:rPr>
        <w:t> </w:t>
      </w:r>
      <w:r>
        <w:rPr/>
        <w:t>is</w:t>
      </w:r>
      <w:r>
        <w:rPr>
          <w:spacing w:val="21"/>
        </w:rPr>
        <w:t> </w:t>
      </w:r>
      <w:r>
        <w:rPr/>
        <w:t>modestly</w:t>
      </w:r>
      <w:r>
        <w:rPr>
          <w:spacing w:val="17"/>
        </w:rPr>
        <w:t> </w:t>
      </w:r>
      <w:r>
        <w:rPr/>
        <w:t>leveraged</w:t>
      </w:r>
      <w:r>
        <w:rPr>
          <w:spacing w:val="20"/>
        </w:rPr>
        <w:t> </w:t>
      </w:r>
      <w:r>
        <w:rPr/>
        <w:t>at</w:t>
      </w:r>
      <w:r>
        <w:rPr>
          <w:spacing w:val="20"/>
        </w:rPr>
        <w:t> </w:t>
      </w:r>
      <w:r>
        <w:rPr>
          <w:spacing w:val="-2"/>
        </w:rPr>
        <w:t>0.89.</w:t>
      </w:r>
    </w:p>
    <w:p>
      <w:pPr>
        <w:spacing w:after="0" w:line="360" w:lineRule="auto"/>
        <w:jc w:val="both"/>
        <w:sectPr>
          <w:pgSz w:w="11910" w:h="16840"/>
          <w:pgMar w:header="0" w:footer="957" w:top="1360" w:bottom="1140" w:left="1340" w:right="1320"/>
        </w:sectPr>
      </w:pPr>
    </w:p>
    <w:p>
      <w:pPr>
        <w:pStyle w:val="BodyText"/>
        <w:spacing w:line="360" w:lineRule="auto" w:before="60"/>
        <w:ind w:right="116"/>
        <w:jc w:val="both"/>
      </w:pPr>
      <w:r>
        <w:rPr/>
        <w:t>This implies a prudent use of debt to fund activities, but careful management is required to avoid undue financial risk (Juwita, C.P. and Diana, N., 2020).</w:t>
      </w:r>
    </w:p>
    <w:p>
      <w:pPr>
        <w:pStyle w:val="Heading3"/>
        <w:numPr>
          <w:ilvl w:val="0"/>
          <w:numId w:val="1"/>
        </w:numPr>
        <w:tabs>
          <w:tab w:pos="439" w:val="left" w:leader="none"/>
        </w:tabs>
        <w:spacing w:line="240" w:lineRule="auto" w:before="1" w:after="0"/>
        <w:ind w:left="439" w:right="0" w:hanging="339"/>
        <w:jc w:val="both"/>
      </w:pPr>
      <w:r>
        <w:rPr/>
        <w:t>Return</w:t>
      </w:r>
      <w:r>
        <w:rPr>
          <w:spacing w:val="-4"/>
        </w:rPr>
        <w:t> </w:t>
      </w:r>
      <w:r>
        <w:rPr/>
        <w:t>on</w:t>
      </w:r>
      <w:r>
        <w:rPr>
          <w:spacing w:val="-2"/>
        </w:rPr>
        <w:t> </w:t>
      </w:r>
      <w:r>
        <w:rPr/>
        <w:t>Total</w:t>
      </w:r>
      <w:r>
        <w:rPr>
          <w:spacing w:val="-2"/>
        </w:rPr>
        <w:t> </w:t>
      </w:r>
      <w:r>
        <w:rPr/>
        <w:t>Assets:</w:t>
      </w:r>
      <w:r>
        <w:rPr>
          <w:spacing w:val="-2"/>
        </w:rPr>
        <w:t> </w:t>
      </w:r>
      <w:r>
        <w:rPr/>
        <w:t>-</w:t>
      </w:r>
      <w:r>
        <w:rPr>
          <w:spacing w:val="-2"/>
        </w:rPr>
        <w:t>4.61%</w:t>
      </w:r>
    </w:p>
    <w:p>
      <w:pPr>
        <w:pStyle w:val="BodyText"/>
        <w:spacing w:line="360" w:lineRule="auto" w:before="137"/>
        <w:ind w:right="114"/>
        <w:jc w:val="both"/>
      </w:pPr>
      <w:r>
        <w:rPr/>
        <w:t>The</w:t>
      </w:r>
      <w:r>
        <w:rPr>
          <w:spacing w:val="-13"/>
        </w:rPr>
        <w:t> </w:t>
      </w:r>
      <w:r>
        <w:rPr/>
        <w:t>return</w:t>
      </w:r>
      <w:r>
        <w:rPr>
          <w:spacing w:val="-13"/>
        </w:rPr>
        <w:t> </w:t>
      </w:r>
      <w:r>
        <w:rPr/>
        <w:t>on</w:t>
      </w:r>
      <w:r>
        <w:rPr>
          <w:spacing w:val="-13"/>
        </w:rPr>
        <w:t> </w:t>
      </w:r>
      <w:r>
        <w:rPr/>
        <w:t>total</w:t>
      </w:r>
      <w:r>
        <w:rPr>
          <w:spacing w:val="-13"/>
        </w:rPr>
        <w:t> </w:t>
      </w:r>
      <w:r>
        <w:rPr/>
        <w:t>assets</w:t>
      </w:r>
      <w:r>
        <w:rPr>
          <w:spacing w:val="-13"/>
        </w:rPr>
        <w:t> </w:t>
      </w:r>
      <w:r>
        <w:rPr/>
        <w:t>(Net</w:t>
      </w:r>
      <w:r>
        <w:rPr>
          <w:spacing w:val="-13"/>
        </w:rPr>
        <w:t> </w:t>
      </w:r>
      <w:r>
        <w:rPr/>
        <w:t>Profit</w:t>
      </w:r>
      <w:r>
        <w:rPr>
          <w:spacing w:val="-12"/>
        </w:rPr>
        <w:t> </w:t>
      </w:r>
      <w:r>
        <w:rPr/>
        <w:t>/</w:t>
      </w:r>
      <w:r>
        <w:rPr>
          <w:spacing w:val="-13"/>
        </w:rPr>
        <w:t> </w:t>
      </w:r>
      <w:r>
        <w:rPr/>
        <w:t>Total</w:t>
      </w:r>
      <w:r>
        <w:rPr>
          <w:spacing w:val="-13"/>
        </w:rPr>
        <w:t> </w:t>
      </w:r>
      <w:r>
        <w:rPr/>
        <w:t>Assets)</w:t>
      </w:r>
      <w:r>
        <w:rPr>
          <w:spacing w:val="-13"/>
        </w:rPr>
        <w:t> </w:t>
      </w:r>
      <w:r>
        <w:rPr/>
        <w:t>is</w:t>
      </w:r>
      <w:r>
        <w:rPr>
          <w:spacing w:val="-12"/>
        </w:rPr>
        <w:t> </w:t>
      </w:r>
      <w:r>
        <w:rPr/>
        <w:t>an</w:t>
      </w:r>
      <w:r>
        <w:rPr>
          <w:spacing w:val="-13"/>
        </w:rPr>
        <w:t> </w:t>
      </w:r>
      <w:r>
        <w:rPr/>
        <w:t>important</w:t>
      </w:r>
      <w:r>
        <w:rPr>
          <w:spacing w:val="-13"/>
        </w:rPr>
        <w:t> </w:t>
      </w:r>
      <w:r>
        <w:rPr/>
        <w:t>metric</w:t>
      </w:r>
      <w:r>
        <w:rPr>
          <w:spacing w:val="-13"/>
        </w:rPr>
        <w:t> </w:t>
      </w:r>
      <w:r>
        <w:rPr/>
        <w:t>of</w:t>
      </w:r>
      <w:r>
        <w:rPr>
          <w:spacing w:val="-15"/>
        </w:rPr>
        <w:t> </w:t>
      </w:r>
      <w:r>
        <w:rPr/>
        <w:t>asset</w:t>
      </w:r>
      <w:r>
        <w:rPr>
          <w:spacing w:val="-13"/>
        </w:rPr>
        <w:t> </w:t>
      </w:r>
      <w:r>
        <w:rPr/>
        <w:t>profitability. The</w:t>
      </w:r>
      <w:r>
        <w:rPr>
          <w:spacing w:val="-15"/>
        </w:rPr>
        <w:t> </w:t>
      </w:r>
      <w:r>
        <w:rPr/>
        <w:t>result</w:t>
      </w:r>
      <w:r>
        <w:rPr>
          <w:spacing w:val="-15"/>
        </w:rPr>
        <w:t> </w:t>
      </w:r>
      <w:r>
        <w:rPr/>
        <w:t>of</w:t>
      </w:r>
      <w:r>
        <w:rPr>
          <w:spacing w:val="-14"/>
        </w:rPr>
        <w:t> </w:t>
      </w:r>
      <w:r>
        <w:rPr/>
        <w:t>--4.61</w:t>
      </w:r>
      <w:r>
        <w:rPr>
          <w:spacing w:val="-14"/>
        </w:rPr>
        <w:t> </w:t>
      </w:r>
      <w:r>
        <w:rPr/>
        <w:t>%</w:t>
      </w:r>
      <w:r>
        <w:rPr>
          <w:spacing w:val="-15"/>
        </w:rPr>
        <w:t> </w:t>
      </w:r>
      <w:r>
        <w:rPr/>
        <w:t>indicates</w:t>
      </w:r>
      <w:r>
        <w:rPr>
          <w:spacing w:val="-15"/>
        </w:rPr>
        <w:t> </w:t>
      </w:r>
      <w:r>
        <w:rPr/>
        <w:t>a</w:t>
      </w:r>
      <w:r>
        <w:rPr>
          <w:spacing w:val="-15"/>
        </w:rPr>
        <w:t> </w:t>
      </w:r>
      <w:r>
        <w:rPr/>
        <w:t>worrying</w:t>
      </w:r>
      <w:r>
        <w:rPr>
          <w:spacing w:val="-15"/>
        </w:rPr>
        <w:t> </w:t>
      </w:r>
      <w:r>
        <w:rPr/>
        <w:t>fall,</w:t>
      </w:r>
      <w:r>
        <w:rPr>
          <w:spacing w:val="-14"/>
        </w:rPr>
        <w:t> </w:t>
      </w:r>
      <w:r>
        <w:rPr/>
        <w:t>indicating</w:t>
      </w:r>
      <w:r>
        <w:rPr>
          <w:spacing w:val="-14"/>
        </w:rPr>
        <w:t> </w:t>
      </w:r>
      <w:r>
        <w:rPr/>
        <w:t>a</w:t>
      </w:r>
      <w:r>
        <w:rPr>
          <w:spacing w:val="-15"/>
        </w:rPr>
        <w:t> </w:t>
      </w:r>
      <w:r>
        <w:rPr/>
        <w:t>downward</w:t>
      </w:r>
      <w:r>
        <w:rPr>
          <w:spacing w:val="-15"/>
        </w:rPr>
        <w:t> </w:t>
      </w:r>
      <w:r>
        <w:rPr/>
        <w:t>trend</w:t>
      </w:r>
      <w:r>
        <w:rPr>
          <w:spacing w:val="-12"/>
        </w:rPr>
        <w:t> </w:t>
      </w:r>
      <w:r>
        <w:rPr/>
        <w:t>in</w:t>
      </w:r>
      <w:r>
        <w:rPr>
          <w:spacing w:val="-14"/>
        </w:rPr>
        <w:t> </w:t>
      </w:r>
      <w:r>
        <w:rPr/>
        <w:t>asset</w:t>
      </w:r>
      <w:r>
        <w:rPr>
          <w:spacing w:val="-12"/>
        </w:rPr>
        <w:t> </w:t>
      </w:r>
      <w:r>
        <w:rPr/>
        <w:t>utilization to</w:t>
      </w:r>
      <w:r>
        <w:rPr>
          <w:spacing w:val="-14"/>
        </w:rPr>
        <w:t> </w:t>
      </w:r>
      <w:r>
        <w:rPr/>
        <w:t>create</w:t>
      </w:r>
      <w:r>
        <w:rPr>
          <w:spacing w:val="-15"/>
        </w:rPr>
        <w:t> </w:t>
      </w:r>
      <w:r>
        <w:rPr/>
        <w:t>profit.</w:t>
      </w:r>
      <w:r>
        <w:rPr>
          <w:spacing w:val="-14"/>
        </w:rPr>
        <w:t> </w:t>
      </w:r>
      <w:r>
        <w:rPr/>
        <w:t>Urgent</w:t>
      </w:r>
      <w:r>
        <w:rPr>
          <w:spacing w:val="-14"/>
        </w:rPr>
        <w:t> </w:t>
      </w:r>
      <w:r>
        <w:rPr/>
        <w:t>strategic</w:t>
      </w:r>
      <w:r>
        <w:rPr>
          <w:spacing w:val="-15"/>
        </w:rPr>
        <w:t> </w:t>
      </w:r>
      <w:r>
        <w:rPr/>
        <w:t>intervention</w:t>
      </w:r>
      <w:r>
        <w:rPr>
          <w:spacing w:val="-14"/>
        </w:rPr>
        <w:t> </w:t>
      </w:r>
      <w:r>
        <w:rPr/>
        <w:t>is</w:t>
      </w:r>
      <w:r>
        <w:rPr>
          <w:spacing w:val="-14"/>
        </w:rPr>
        <w:t> </w:t>
      </w:r>
      <w:r>
        <w:rPr/>
        <w:t>required</w:t>
      </w:r>
      <w:r>
        <w:rPr>
          <w:spacing w:val="-14"/>
        </w:rPr>
        <w:t> </w:t>
      </w:r>
      <w:r>
        <w:rPr/>
        <w:t>to</w:t>
      </w:r>
      <w:r>
        <w:rPr>
          <w:spacing w:val="-14"/>
        </w:rPr>
        <w:t> </w:t>
      </w:r>
      <w:r>
        <w:rPr/>
        <w:t>revert</w:t>
      </w:r>
      <w:r>
        <w:rPr>
          <w:spacing w:val="-15"/>
        </w:rPr>
        <w:t> </w:t>
      </w:r>
      <w:r>
        <w:rPr/>
        <w:t>this</w:t>
      </w:r>
      <w:r>
        <w:rPr>
          <w:spacing w:val="-14"/>
        </w:rPr>
        <w:t> </w:t>
      </w:r>
      <w:r>
        <w:rPr/>
        <w:t>trend</w:t>
      </w:r>
      <w:r>
        <w:rPr>
          <w:spacing w:val="-14"/>
        </w:rPr>
        <w:t> </w:t>
      </w:r>
      <w:r>
        <w:rPr/>
        <w:t>and</w:t>
      </w:r>
      <w:r>
        <w:rPr>
          <w:spacing w:val="-14"/>
        </w:rPr>
        <w:t> </w:t>
      </w:r>
      <w:r>
        <w:rPr/>
        <w:t>avoid</w:t>
      </w:r>
      <w:r>
        <w:rPr>
          <w:spacing w:val="-14"/>
        </w:rPr>
        <w:t> </w:t>
      </w:r>
      <w:r>
        <w:rPr/>
        <w:t>economic catastrophe </w:t>
      </w:r>
      <w:r>
        <w:rPr>
          <w:sz w:val="20"/>
        </w:rPr>
        <w:t>(</w:t>
      </w:r>
      <w:r>
        <w:rPr/>
        <w:t>Husna, A. and Satria, I., 2019).</w:t>
      </w:r>
    </w:p>
    <w:p>
      <w:pPr>
        <w:pStyle w:val="BodyText"/>
        <w:spacing w:line="360" w:lineRule="auto"/>
        <w:ind w:right="113"/>
        <w:jc w:val="both"/>
      </w:pPr>
      <w:r>
        <w:rPr/>
        <w:t>To boost asset profitability and overall financial health, the Seaview Resort must prioritize strategic actions. While liquidity and leverage appear to be somewhat balanced, the negative return on total assets suggests that quick and targeted measures are required. Proactive measures, such as implementing the recommended turnaround initiatives, are critical to the resort's resilience and long-term performance in the competitive hospitality market (Saputra, F., 2022).</w:t>
      </w:r>
    </w:p>
    <w:p>
      <w:pPr>
        <w:pStyle w:val="Heading2"/>
        <w:spacing w:before="4"/>
      </w:pPr>
      <w:bookmarkStart w:name="Cash Flow Analysis (2021):" w:id="15"/>
      <w:bookmarkEnd w:id="15"/>
      <w:r>
        <w:rPr>
          <w:b w:val="0"/>
        </w:rPr>
      </w:r>
      <w:bookmarkStart w:name="_bookmark7" w:id="16"/>
      <w:bookmarkEnd w:id="16"/>
      <w:r>
        <w:rPr>
          <w:b w:val="0"/>
        </w:rPr>
      </w:r>
      <w:r>
        <w:rPr/>
        <w:t>Cash</w:t>
      </w:r>
      <w:r>
        <w:rPr>
          <w:spacing w:val="-8"/>
        </w:rPr>
        <w:t> </w:t>
      </w:r>
      <w:r>
        <w:rPr/>
        <w:t>Flow</w:t>
      </w:r>
      <w:r>
        <w:rPr>
          <w:spacing w:val="-3"/>
        </w:rPr>
        <w:t> </w:t>
      </w:r>
      <w:r>
        <w:rPr/>
        <w:t>Analysis</w:t>
      </w:r>
      <w:r>
        <w:rPr>
          <w:spacing w:val="-8"/>
        </w:rPr>
        <w:t> </w:t>
      </w:r>
      <w:r>
        <w:rPr>
          <w:spacing w:val="-2"/>
        </w:rPr>
        <w:t>(2021):</w:t>
      </w:r>
    </w:p>
    <w:p>
      <w:pPr>
        <w:pStyle w:val="BodyText"/>
        <w:spacing w:line="360" w:lineRule="auto" w:before="147"/>
        <w:ind w:right="116"/>
        <w:jc w:val="both"/>
      </w:pPr>
      <w:r>
        <w:rPr/>
        <w:t>The cash flow study for the Seaview Resort in 2021 demonstrates financial stability. A significant</w:t>
      </w:r>
      <w:r>
        <w:rPr>
          <w:spacing w:val="-10"/>
        </w:rPr>
        <w:t> </w:t>
      </w:r>
      <w:r>
        <w:rPr/>
        <w:t>£80,000</w:t>
      </w:r>
      <w:r>
        <w:rPr>
          <w:spacing w:val="-11"/>
        </w:rPr>
        <w:t> </w:t>
      </w:r>
      <w:r>
        <w:rPr/>
        <w:t>negative</w:t>
      </w:r>
      <w:r>
        <w:rPr>
          <w:spacing w:val="-11"/>
        </w:rPr>
        <w:t> </w:t>
      </w:r>
      <w:r>
        <w:rPr/>
        <w:t>cash</w:t>
      </w:r>
      <w:r>
        <w:rPr>
          <w:spacing w:val="-10"/>
        </w:rPr>
        <w:t> </w:t>
      </w:r>
      <w:r>
        <w:rPr/>
        <w:t>flow</w:t>
      </w:r>
      <w:r>
        <w:rPr>
          <w:spacing w:val="-11"/>
        </w:rPr>
        <w:t> </w:t>
      </w:r>
      <w:r>
        <w:rPr/>
        <w:t>from</w:t>
      </w:r>
      <w:r>
        <w:rPr>
          <w:spacing w:val="-10"/>
        </w:rPr>
        <w:t> </w:t>
      </w:r>
      <w:r>
        <w:rPr/>
        <w:t>operations,</w:t>
      </w:r>
      <w:r>
        <w:rPr>
          <w:spacing w:val="-10"/>
        </w:rPr>
        <w:t> </w:t>
      </w:r>
      <w:r>
        <w:rPr/>
        <w:t>on</w:t>
      </w:r>
      <w:r>
        <w:rPr>
          <w:spacing w:val="-11"/>
        </w:rPr>
        <w:t> </w:t>
      </w:r>
      <w:r>
        <w:rPr/>
        <w:t>the</w:t>
      </w:r>
      <w:r>
        <w:rPr>
          <w:spacing w:val="-11"/>
        </w:rPr>
        <w:t> </w:t>
      </w:r>
      <w:r>
        <w:rPr/>
        <w:t>other</w:t>
      </w:r>
      <w:r>
        <w:rPr>
          <w:spacing w:val="-12"/>
        </w:rPr>
        <w:t> </w:t>
      </w:r>
      <w:r>
        <w:rPr/>
        <w:t>hand,</w:t>
      </w:r>
      <w:r>
        <w:rPr>
          <w:spacing w:val="-11"/>
        </w:rPr>
        <w:t> </w:t>
      </w:r>
      <w:r>
        <w:rPr/>
        <w:t>raises</w:t>
      </w:r>
      <w:r>
        <w:rPr>
          <w:spacing w:val="-11"/>
        </w:rPr>
        <w:t> </w:t>
      </w:r>
      <w:r>
        <w:rPr/>
        <w:t>worries</w:t>
      </w:r>
      <w:r>
        <w:rPr>
          <w:spacing w:val="-10"/>
        </w:rPr>
        <w:t> </w:t>
      </w:r>
      <w:r>
        <w:rPr/>
        <w:t>about covering</w:t>
      </w:r>
      <w:r>
        <w:rPr>
          <w:spacing w:val="-15"/>
        </w:rPr>
        <w:t> </w:t>
      </w:r>
      <w:r>
        <w:rPr/>
        <w:t>recurrent</w:t>
      </w:r>
      <w:r>
        <w:rPr>
          <w:spacing w:val="-15"/>
        </w:rPr>
        <w:t> </w:t>
      </w:r>
      <w:r>
        <w:rPr/>
        <w:t>costs.</w:t>
      </w:r>
      <w:r>
        <w:rPr>
          <w:spacing w:val="-15"/>
        </w:rPr>
        <w:t> </w:t>
      </w:r>
      <w:r>
        <w:rPr/>
        <w:t>This</w:t>
      </w:r>
      <w:r>
        <w:rPr>
          <w:spacing w:val="-15"/>
        </w:rPr>
        <w:t> </w:t>
      </w:r>
      <w:r>
        <w:rPr/>
        <w:t>necessitates</w:t>
      </w:r>
      <w:r>
        <w:rPr>
          <w:spacing w:val="-15"/>
        </w:rPr>
        <w:t> </w:t>
      </w:r>
      <w:r>
        <w:rPr/>
        <w:t>immediate</w:t>
      </w:r>
      <w:r>
        <w:rPr>
          <w:spacing w:val="-15"/>
        </w:rPr>
        <w:t> </w:t>
      </w:r>
      <w:r>
        <w:rPr/>
        <w:t>action</w:t>
      </w:r>
      <w:r>
        <w:rPr>
          <w:spacing w:val="-15"/>
        </w:rPr>
        <w:t> </w:t>
      </w:r>
      <w:r>
        <w:rPr/>
        <w:t>to</w:t>
      </w:r>
      <w:r>
        <w:rPr>
          <w:spacing w:val="-15"/>
        </w:rPr>
        <w:t> </w:t>
      </w:r>
      <w:r>
        <w:rPr/>
        <w:t>rectify</w:t>
      </w:r>
      <w:r>
        <w:rPr>
          <w:spacing w:val="-15"/>
        </w:rPr>
        <w:t> </w:t>
      </w:r>
      <w:r>
        <w:rPr/>
        <w:t>the</w:t>
      </w:r>
      <w:r>
        <w:rPr>
          <w:spacing w:val="-15"/>
        </w:rPr>
        <w:t> </w:t>
      </w:r>
      <w:r>
        <w:rPr/>
        <w:t>obvious</w:t>
      </w:r>
      <w:r>
        <w:rPr>
          <w:spacing w:val="-15"/>
        </w:rPr>
        <w:t> </w:t>
      </w:r>
      <w:r>
        <w:rPr/>
        <w:t>effectiveness difference (Sitompul, S. and Khadijah, S., 2020).</w:t>
      </w:r>
    </w:p>
    <w:p>
      <w:pPr>
        <w:pStyle w:val="BodyText"/>
        <w:spacing w:line="360" w:lineRule="auto"/>
        <w:ind w:right="117"/>
        <w:jc w:val="both"/>
      </w:pPr>
      <w:r>
        <w:rPr/>
        <w:t>With</w:t>
      </w:r>
      <w:r>
        <w:rPr>
          <w:spacing w:val="-15"/>
        </w:rPr>
        <w:t> </w:t>
      </w:r>
      <w:r>
        <w:rPr/>
        <w:t>£30,000</w:t>
      </w:r>
      <w:r>
        <w:rPr>
          <w:spacing w:val="-15"/>
        </w:rPr>
        <w:t> </w:t>
      </w:r>
      <w:r>
        <w:rPr/>
        <w:t>in</w:t>
      </w:r>
      <w:r>
        <w:rPr>
          <w:spacing w:val="-15"/>
        </w:rPr>
        <w:t> </w:t>
      </w:r>
      <w:r>
        <w:rPr/>
        <w:t>capital</w:t>
      </w:r>
      <w:r>
        <w:rPr>
          <w:spacing w:val="-13"/>
        </w:rPr>
        <w:t> </w:t>
      </w:r>
      <w:r>
        <w:rPr/>
        <w:t>expenditures,</w:t>
      </w:r>
      <w:r>
        <w:rPr>
          <w:spacing w:val="-13"/>
        </w:rPr>
        <w:t> </w:t>
      </w:r>
      <w:r>
        <w:rPr/>
        <w:t>the</w:t>
      </w:r>
      <w:r>
        <w:rPr>
          <w:spacing w:val="-14"/>
        </w:rPr>
        <w:t> </w:t>
      </w:r>
      <w:r>
        <w:rPr/>
        <w:t>company</w:t>
      </w:r>
      <w:r>
        <w:rPr>
          <w:spacing w:val="-15"/>
        </w:rPr>
        <w:t> </w:t>
      </w:r>
      <w:r>
        <w:rPr/>
        <w:t>faces</w:t>
      </w:r>
      <w:r>
        <w:rPr>
          <w:spacing w:val="-13"/>
        </w:rPr>
        <w:t> </w:t>
      </w:r>
      <w:r>
        <w:rPr/>
        <w:t>increased</w:t>
      </w:r>
      <w:r>
        <w:rPr>
          <w:spacing w:val="-13"/>
        </w:rPr>
        <w:t> </w:t>
      </w:r>
      <w:r>
        <w:rPr/>
        <w:t>financial</w:t>
      </w:r>
      <w:r>
        <w:rPr>
          <w:spacing w:val="-13"/>
        </w:rPr>
        <w:t> </w:t>
      </w:r>
      <w:r>
        <w:rPr/>
        <w:t>pressure,</w:t>
      </w:r>
      <w:r>
        <w:rPr>
          <w:spacing w:val="-13"/>
        </w:rPr>
        <w:t> </w:t>
      </w:r>
      <w:r>
        <w:rPr/>
        <w:t>resulting in</w:t>
      </w:r>
      <w:r>
        <w:rPr>
          <w:spacing w:val="-10"/>
        </w:rPr>
        <w:t> </w:t>
      </w:r>
      <w:r>
        <w:rPr/>
        <w:t>a</w:t>
      </w:r>
      <w:r>
        <w:rPr>
          <w:spacing w:val="-12"/>
        </w:rPr>
        <w:t> </w:t>
      </w:r>
      <w:r>
        <w:rPr/>
        <w:t>negative</w:t>
      </w:r>
      <w:r>
        <w:rPr>
          <w:spacing w:val="-12"/>
        </w:rPr>
        <w:t> </w:t>
      </w:r>
      <w:r>
        <w:rPr/>
        <w:t>net</w:t>
      </w:r>
      <w:r>
        <w:rPr>
          <w:spacing w:val="-10"/>
        </w:rPr>
        <w:t> </w:t>
      </w:r>
      <w:r>
        <w:rPr/>
        <w:t>cash</w:t>
      </w:r>
      <w:r>
        <w:rPr>
          <w:spacing w:val="-10"/>
        </w:rPr>
        <w:t> </w:t>
      </w:r>
      <w:r>
        <w:rPr/>
        <w:t>flow</w:t>
      </w:r>
      <w:r>
        <w:rPr>
          <w:spacing w:val="-11"/>
        </w:rPr>
        <w:t> </w:t>
      </w:r>
      <w:r>
        <w:rPr/>
        <w:t>and</w:t>
      </w:r>
      <w:r>
        <w:rPr>
          <w:spacing w:val="-11"/>
        </w:rPr>
        <w:t> </w:t>
      </w:r>
      <w:r>
        <w:rPr/>
        <w:t>a</w:t>
      </w:r>
      <w:r>
        <w:rPr>
          <w:spacing w:val="-12"/>
        </w:rPr>
        <w:t> </w:t>
      </w:r>
      <w:r>
        <w:rPr/>
        <w:t>£110,000</w:t>
      </w:r>
      <w:r>
        <w:rPr>
          <w:spacing w:val="-11"/>
        </w:rPr>
        <w:t> </w:t>
      </w:r>
      <w:r>
        <w:rPr/>
        <w:t>drop</w:t>
      </w:r>
      <w:r>
        <w:rPr>
          <w:spacing w:val="-11"/>
        </w:rPr>
        <w:t> </w:t>
      </w:r>
      <w:r>
        <w:rPr/>
        <w:t>in</w:t>
      </w:r>
      <w:r>
        <w:rPr>
          <w:spacing w:val="-13"/>
        </w:rPr>
        <w:t> </w:t>
      </w:r>
      <w:r>
        <w:rPr/>
        <w:t>available</w:t>
      </w:r>
      <w:r>
        <w:rPr>
          <w:spacing w:val="-11"/>
        </w:rPr>
        <w:t> </w:t>
      </w:r>
      <w:r>
        <w:rPr/>
        <w:t>funds.</w:t>
      </w:r>
      <w:r>
        <w:rPr>
          <w:spacing w:val="-11"/>
        </w:rPr>
        <w:t> </w:t>
      </w:r>
      <w:r>
        <w:rPr/>
        <w:t>Given</w:t>
      </w:r>
      <w:r>
        <w:rPr>
          <w:spacing w:val="-11"/>
        </w:rPr>
        <w:t> </w:t>
      </w:r>
      <w:r>
        <w:rPr/>
        <w:t>the</w:t>
      </w:r>
      <w:r>
        <w:rPr>
          <w:spacing w:val="-11"/>
        </w:rPr>
        <w:t> </w:t>
      </w:r>
      <w:r>
        <w:rPr/>
        <w:t>current</w:t>
      </w:r>
      <w:r>
        <w:rPr>
          <w:spacing w:val="-10"/>
        </w:rPr>
        <w:t> </w:t>
      </w:r>
      <w:r>
        <w:rPr/>
        <w:t>economic context, it is critical to maximize operating efficiency while exercising restraint in capital </w:t>
      </w:r>
      <w:r>
        <w:rPr>
          <w:spacing w:val="-2"/>
        </w:rPr>
        <w:t>expenditure.</w:t>
      </w:r>
    </w:p>
    <w:p>
      <w:pPr>
        <w:pStyle w:val="Heading2"/>
        <w:spacing w:before="3"/>
      </w:pPr>
      <w:bookmarkStart w:name="Additional Financial Details:" w:id="17"/>
      <w:bookmarkEnd w:id="17"/>
      <w:r>
        <w:rPr>
          <w:b w:val="0"/>
        </w:rPr>
      </w:r>
      <w:bookmarkStart w:name="_bookmark8" w:id="18"/>
      <w:bookmarkEnd w:id="18"/>
      <w:r>
        <w:rPr>
          <w:b w:val="0"/>
        </w:rPr>
      </w:r>
      <w:r>
        <w:rPr/>
        <w:t>Additional</w:t>
      </w:r>
      <w:r>
        <w:rPr>
          <w:spacing w:val="-11"/>
        </w:rPr>
        <w:t> </w:t>
      </w:r>
      <w:r>
        <w:rPr/>
        <w:t>Financial</w:t>
      </w:r>
      <w:r>
        <w:rPr>
          <w:spacing w:val="-10"/>
        </w:rPr>
        <w:t> </w:t>
      </w:r>
      <w:r>
        <w:rPr>
          <w:spacing w:val="-2"/>
        </w:rPr>
        <w:t>Details:</w:t>
      </w:r>
    </w:p>
    <w:p>
      <w:pPr>
        <w:pStyle w:val="BodyText"/>
        <w:spacing w:line="360" w:lineRule="auto" w:before="147"/>
        <w:ind w:right="118"/>
        <w:jc w:val="both"/>
      </w:pPr>
      <w:r>
        <w:rPr/>
        <w:t>Critical financial parameters determine the economic environment of the Seaview Resort. Because of pricing strategies, the average room rate (ARR) fell from £250 in 2020 to £210 in 2022, demonstrating the need for strategic price analysis in setting fair rates and ensuring </w:t>
      </w:r>
      <w:r>
        <w:rPr>
          <w:spacing w:val="-2"/>
        </w:rPr>
        <w:t>profitability.</w:t>
      </w:r>
    </w:p>
    <w:p>
      <w:pPr>
        <w:pStyle w:val="BodyText"/>
        <w:spacing w:line="360" w:lineRule="auto" w:before="1"/>
        <w:ind w:right="119"/>
        <w:jc w:val="both"/>
      </w:pPr>
      <w:r>
        <w:rPr/>
        <w:t>A decrease in occupancy from 70% in 2020 to 60% in 2022 indicates a larger problem with customer acquisition and retention. Firms should employ a smart strategy for marketing and service enhancement to address diminishing demand and increase occupancy.</w:t>
      </w:r>
    </w:p>
    <w:p>
      <w:pPr>
        <w:pStyle w:val="BodyText"/>
        <w:spacing w:line="360" w:lineRule="auto"/>
        <w:ind w:right="119"/>
        <w:jc w:val="both"/>
      </w:pPr>
      <w:r>
        <w:rPr/>
        <w:t>The Seaview Resort has complex financial issues, emphasizing the importance of a complete plan. A solution must address operational inefficiencies, optimize capital expenditures, and prioritize pricing and client retention (Krulicky, T. and Horak, J., 2021).</w:t>
      </w:r>
    </w:p>
    <w:p>
      <w:pPr>
        <w:spacing w:after="0" w:line="360" w:lineRule="auto"/>
        <w:jc w:val="both"/>
        <w:sectPr>
          <w:pgSz w:w="11910" w:h="16840"/>
          <w:pgMar w:header="0" w:footer="957" w:top="1360" w:bottom="1140" w:left="1340" w:right="1320"/>
        </w:sectPr>
      </w:pPr>
    </w:p>
    <w:p>
      <w:pPr>
        <w:pStyle w:val="Heading1"/>
      </w:pPr>
      <w:bookmarkStart w:name="Turnaround Strategy" w:id="19"/>
      <w:bookmarkEnd w:id="19"/>
      <w:r>
        <w:rPr>
          <w:b w:val="0"/>
        </w:rPr>
      </w:r>
      <w:bookmarkStart w:name="_bookmark9" w:id="20"/>
      <w:bookmarkEnd w:id="20"/>
      <w:r>
        <w:rPr>
          <w:b w:val="0"/>
        </w:rPr>
      </w:r>
      <w:r>
        <w:rPr/>
        <w:t>Turnaround</w:t>
      </w:r>
      <w:r>
        <w:rPr>
          <w:spacing w:val="-6"/>
        </w:rPr>
        <w:t> </w:t>
      </w:r>
      <w:r>
        <w:rPr>
          <w:spacing w:val="-2"/>
        </w:rPr>
        <w:t>Strategy</w:t>
      </w:r>
    </w:p>
    <w:p>
      <w:pPr>
        <w:pStyle w:val="BodyText"/>
        <w:spacing w:line="360" w:lineRule="auto" w:before="159"/>
        <w:ind w:right="117"/>
        <w:jc w:val="both"/>
      </w:pPr>
      <w:r>
        <w:rPr/>
        <w:t>Addressing The Seaview Resort's issues needs a smart recovery strategy (Tao, Xu, and Liu., 2020).</w:t>
      </w:r>
      <w:r>
        <w:rPr>
          <w:spacing w:val="-12"/>
        </w:rPr>
        <w:t> </w:t>
      </w:r>
      <w:r>
        <w:rPr/>
        <w:t>Examine</w:t>
      </w:r>
      <w:r>
        <w:rPr>
          <w:spacing w:val="-13"/>
        </w:rPr>
        <w:t> </w:t>
      </w:r>
      <w:r>
        <w:rPr/>
        <w:t>these</w:t>
      </w:r>
      <w:r>
        <w:rPr>
          <w:spacing w:val="-13"/>
        </w:rPr>
        <w:t> </w:t>
      </w:r>
      <w:r>
        <w:rPr/>
        <w:t>crucial</w:t>
      </w:r>
      <w:r>
        <w:rPr>
          <w:spacing w:val="-12"/>
        </w:rPr>
        <w:t> </w:t>
      </w:r>
      <w:r>
        <w:rPr/>
        <w:t>tips</w:t>
      </w:r>
      <w:r>
        <w:rPr>
          <w:spacing w:val="-12"/>
        </w:rPr>
        <w:t> </w:t>
      </w:r>
      <w:r>
        <w:rPr/>
        <w:t>for</w:t>
      </w:r>
      <w:r>
        <w:rPr>
          <w:spacing w:val="-14"/>
        </w:rPr>
        <w:t> </w:t>
      </w:r>
      <w:r>
        <w:rPr/>
        <w:t>increasing</w:t>
      </w:r>
      <w:r>
        <w:rPr>
          <w:spacing w:val="-14"/>
        </w:rPr>
        <w:t> </w:t>
      </w:r>
      <w:r>
        <w:rPr/>
        <w:t>income</w:t>
      </w:r>
      <w:r>
        <w:rPr>
          <w:spacing w:val="-13"/>
        </w:rPr>
        <w:t> </w:t>
      </w:r>
      <w:r>
        <w:rPr/>
        <w:t>and</w:t>
      </w:r>
      <w:r>
        <w:rPr>
          <w:spacing w:val="-12"/>
        </w:rPr>
        <w:t> </w:t>
      </w:r>
      <w:r>
        <w:rPr/>
        <w:t>reclaiming</w:t>
      </w:r>
      <w:r>
        <w:rPr>
          <w:spacing w:val="-14"/>
        </w:rPr>
        <w:t> </w:t>
      </w:r>
      <w:r>
        <w:rPr/>
        <w:t>the</w:t>
      </w:r>
      <w:r>
        <w:rPr>
          <w:spacing w:val="-13"/>
        </w:rPr>
        <w:t> </w:t>
      </w:r>
      <w:r>
        <w:rPr/>
        <w:t>top</w:t>
      </w:r>
      <w:r>
        <w:rPr>
          <w:spacing w:val="-12"/>
        </w:rPr>
        <w:t> </w:t>
      </w:r>
      <w:r>
        <w:rPr/>
        <w:t>spot</w:t>
      </w:r>
      <w:r>
        <w:rPr>
          <w:spacing w:val="-12"/>
        </w:rPr>
        <w:t> </w:t>
      </w:r>
      <w:r>
        <w:rPr/>
        <w:t>in</w:t>
      </w:r>
      <w:r>
        <w:rPr>
          <w:spacing w:val="-12"/>
        </w:rPr>
        <w:t> </w:t>
      </w:r>
      <w:r>
        <w:rPr/>
        <w:t>the</w:t>
      </w:r>
      <w:r>
        <w:rPr>
          <w:spacing w:val="-13"/>
        </w:rPr>
        <w:t> </w:t>
      </w:r>
      <w:r>
        <w:rPr/>
        <w:t>hotel </w:t>
      </w:r>
      <w:r>
        <w:rPr>
          <w:spacing w:val="-2"/>
        </w:rPr>
        <w:t>industry.</w:t>
      </w:r>
    </w:p>
    <w:p>
      <w:pPr>
        <w:pStyle w:val="Heading3"/>
        <w:numPr>
          <w:ilvl w:val="0"/>
          <w:numId w:val="2"/>
        </w:numPr>
        <w:tabs>
          <w:tab w:pos="340" w:val="left" w:leader="none"/>
        </w:tabs>
        <w:spacing w:line="240" w:lineRule="auto" w:before="2" w:after="0"/>
        <w:ind w:left="340" w:right="0" w:hanging="240"/>
        <w:jc w:val="both"/>
      </w:pPr>
      <w:r>
        <w:rPr/>
        <w:t>Improved</w:t>
      </w:r>
      <w:r>
        <w:rPr>
          <w:spacing w:val="-3"/>
        </w:rPr>
        <w:t> </w:t>
      </w:r>
      <w:r>
        <w:rPr/>
        <w:t>Customer</w:t>
      </w:r>
      <w:r>
        <w:rPr>
          <w:spacing w:val="-2"/>
        </w:rPr>
        <w:t> Experience:</w:t>
      </w:r>
    </w:p>
    <w:p>
      <w:pPr>
        <w:pStyle w:val="BodyText"/>
        <w:spacing w:line="360" w:lineRule="auto" w:before="136"/>
        <w:ind w:right="115"/>
        <w:jc w:val="both"/>
      </w:pPr>
      <w:r>
        <w:rPr/>
        <w:t>Survey clients regularly to discover and fix service concerns as soon as possible. Set aside a significant amount of money for intensive staff training in communication and customer service. Implement strategic facility</w:t>
      </w:r>
      <w:r>
        <w:rPr>
          <w:spacing w:val="-1"/>
        </w:rPr>
        <w:t> </w:t>
      </w:r>
      <w:r>
        <w:rPr/>
        <w:t>renovations to match current requirements, resulting in a better overall guest experience (Keiningham, et al., 2020).</w:t>
      </w:r>
    </w:p>
    <w:p>
      <w:pPr>
        <w:pStyle w:val="Heading3"/>
        <w:numPr>
          <w:ilvl w:val="0"/>
          <w:numId w:val="2"/>
        </w:numPr>
        <w:tabs>
          <w:tab w:pos="340" w:val="left" w:leader="none"/>
        </w:tabs>
        <w:spacing w:line="240" w:lineRule="auto" w:before="1" w:after="0"/>
        <w:ind w:left="340" w:right="0" w:hanging="240"/>
        <w:jc w:val="both"/>
      </w:pPr>
      <w:r>
        <w:rPr/>
        <w:t>Marketing</w:t>
      </w:r>
      <w:r>
        <w:rPr>
          <w:spacing w:val="-3"/>
        </w:rPr>
        <w:t> </w:t>
      </w:r>
      <w:r>
        <w:rPr>
          <w:spacing w:val="-4"/>
        </w:rPr>
        <w:t>Plan:</w:t>
      </w:r>
    </w:p>
    <w:p>
      <w:pPr>
        <w:pStyle w:val="BodyText"/>
        <w:spacing w:line="360" w:lineRule="auto" w:before="139"/>
        <w:ind w:right="118"/>
        <w:jc w:val="both"/>
      </w:pPr>
      <w:r>
        <w:rPr/>
        <w:t>To address increased customer demand for sustainable products, develop a strong marketing strategy emphasizing the resort's eco-friendly activities. Form alliances with local companies to</w:t>
      </w:r>
      <w:r>
        <w:rPr>
          <w:spacing w:val="-15"/>
        </w:rPr>
        <w:t> </w:t>
      </w:r>
      <w:r>
        <w:rPr/>
        <w:t>create</w:t>
      </w:r>
      <w:r>
        <w:rPr>
          <w:spacing w:val="-15"/>
        </w:rPr>
        <w:t> </w:t>
      </w:r>
      <w:r>
        <w:rPr/>
        <w:t>unique</w:t>
      </w:r>
      <w:r>
        <w:rPr>
          <w:spacing w:val="-15"/>
        </w:rPr>
        <w:t> </w:t>
      </w:r>
      <w:r>
        <w:rPr/>
        <w:t>vacation</w:t>
      </w:r>
      <w:r>
        <w:rPr>
          <w:spacing w:val="-14"/>
        </w:rPr>
        <w:t> </w:t>
      </w:r>
      <w:r>
        <w:rPr/>
        <w:t>packages</w:t>
      </w:r>
      <w:r>
        <w:rPr>
          <w:spacing w:val="-15"/>
        </w:rPr>
        <w:t> </w:t>
      </w:r>
      <w:r>
        <w:rPr/>
        <w:t>that</w:t>
      </w:r>
      <w:r>
        <w:rPr>
          <w:spacing w:val="-14"/>
        </w:rPr>
        <w:t> </w:t>
      </w:r>
      <w:r>
        <w:rPr/>
        <w:t>will</w:t>
      </w:r>
      <w:r>
        <w:rPr>
          <w:spacing w:val="-15"/>
        </w:rPr>
        <w:t> </w:t>
      </w:r>
      <w:r>
        <w:rPr/>
        <w:t>leave</w:t>
      </w:r>
      <w:r>
        <w:rPr>
          <w:spacing w:val="-15"/>
        </w:rPr>
        <w:t> </w:t>
      </w:r>
      <w:r>
        <w:rPr/>
        <w:t>travelers</w:t>
      </w:r>
      <w:r>
        <w:rPr>
          <w:spacing w:val="-14"/>
        </w:rPr>
        <w:t> </w:t>
      </w:r>
      <w:r>
        <w:rPr/>
        <w:t>with</w:t>
      </w:r>
      <w:r>
        <w:rPr>
          <w:spacing w:val="-15"/>
        </w:rPr>
        <w:t> </w:t>
      </w:r>
      <w:r>
        <w:rPr/>
        <w:t>unforgettable</w:t>
      </w:r>
      <w:r>
        <w:rPr>
          <w:spacing w:val="-15"/>
        </w:rPr>
        <w:t> </w:t>
      </w:r>
      <w:r>
        <w:rPr/>
        <w:t>experiences.</w:t>
      </w:r>
      <w:r>
        <w:rPr>
          <w:spacing w:val="-12"/>
        </w:rPr>
        <w:t> </w:t>
      </w:r>
      <w:r>
        <w:rPr/>
        <w:t>Use social media and digital marketing to connect with target groups and increase the resort's awareness (Doole, Lowe, and Kenyon., 2019).</w:t>
      </w:r>
    </w:p>
    <w:p>
      <w:pPr>
        <w:pStyle w:val="Heading3"/>
        <w:numPr>
          <w:ilvl w:val="0"/>
          <w:numId w:val="2"/>
        </w:numPr>
        <w:tabs>
          <w:tab w:pos="340" w:val="left" w:leader="none"/>
        </w:tabs>
        <w:spacing w:line="275" w:lineRule="exact" w:before="0" w:after="0"/>
        <w:ind w:left="340" w:right="0" w:hanging="240"/>
        <w:jc w:val="both"/>
      </w:pPr>
      <w:r>
        <w:rPr/>
        <w:t>Financial</w:t>
      </w:r>
      <w:r>
        <w:rPr>
          <w:spacing w:val="-5"/>
        </w:rPr>
        <w:t> </w:t>
      </w:r>
      <w:r>
        <w:rPr>
          <w:spacing w:val="-2"/>
        </w:rPr>
        <w:t>Restructuring:</w:t>
      </w:r>
    </w:p>
    <w:p>
      <w:pPr>
        <w:pStyle w:val="BodyText"/>
        <w:spacing w:line="360" w:lineRule="auto" w:before="140"/>
        <w:ind w:right="117"/>
        <w:jc w:val="both"/>
      </w:pPr>
      <w:r>
        <w:rPr/>
        <w:t>Engage in negotiations with suppliers to examine and revise contractual conditions, to reduce costs while maintaining high-quality</w:t>
      </w:r>
      <w:r>
        <w:rPr>
          <w:spacing w:val="-3"/>
        </w:rPr>
        <w:t> </w:t>
      </w:r>
      <w:r>
        <w:rPr/>
        <w:t>standards (Asonuma, et al., 2021). To reduce the burden of long-term debt, consider debt restructuring options such as renegotiation and refinancing. Use great judgment when applying cost-cutting strategies across the board without compromising service quality.</w:t>
      </w:r>
    </w:p>
    <w:p>
      <w:pPr>
        <w:pStyle w:val="Heading3"/>
        <w:numPr>
          <w:ilvl w:val="0"/>
          <w:numId w:val="2"/>
        </w:numPr>
        <w:tabs>
          <w:tab w:pos="340" w:val="left" w:leader="none"/>
        </w:tabs>
        <w:spacing w:line="275" w:lineRule="exact" w:before="0" w:after="0"/>
        <w:ind w:left="340" w:right="0" w:hanging="240"/>
        <w:jc w:val="both"/>
      </w:pPr>
      <w:r>
        <w:rPr/>
        <w:t>Technology</w:t>
      </w:r>
      <w:r>
        <w:rPr>
          <w:spacing w:val="-2"/>
        </w:rPr>
        <w:t> Integration:</w:t>
      </w:r>
    </w:p>
    <w:p>
      <w:pPr>
        <w:pStyle w:val="BodyText"/>
        <w:spacing w:line="360" w:lineRule="auto" w:before="136"/>
        <w:ind w:right="5"/>
      </w:pPr>
      <w:r>
        <w:rPr/>
        <w:t>It is strongly advised to use an advanced reservation system to improve both client happiness and operational efficiency.</w:t>
      </w:r>
    </w:p>
    <w:p>
      <w:pPr>
        <w:pStyle w:val="BodyText"/>
        <w:spacing w:line="360" w:lineRule="auto"/>
        <w:ind w:right="5"/>
      </w:pPr>
      <w:r>
        <w:rPr/>
        <w:t>Utilise</w:t>
      </w:r>
      <w:r>
        <w:rPr>
          <w:spacing w:val="-2"/>
        </w:rPr>
        <w:t> </w:t>
      </w:r>
      <w:r>
        <w:rPr/>
        <w:t>technology</w:t>
      </w:r>
      <w:r>
        <w:rPr>
          <w:spacing w:val="-6"/>
        </w:rPr>
        <w:t> </w:t>
      </w:r>
      <w:r>
        <w:rPr/>
        <w:t>to</w:t>
      </w:r>
      <w:r>
        <w:rPr>
          <w:spacing w:val="-1"/>
        </w:rPr>
        <w:t> </w:t>
      </w:r>
      <w:r>
        <w:rPr/>
        <w:t>conduct</w:t>
      </w:r>
      <w:r>
        <w:rPr>
          <w:spacing w:val="-1"/>
        </w:rPr>
        <w:t> </w:t>
      </w:r>
      <w:r>
        <w:rPr/>
        <w:t>thorough</w:t>
      </w:r>
      <w:r>
        <w:rPr>
          <w:spacing w:val="-1"/>
        </w:rPr>
        <w:t> </w:t>
      </w:r>
      <w:r>
        <w:rPr/>
        <w:t>data</w:t>
      </w:r>
      <w:r>
        <w:rPr>
          <w:spacing w:val="-2"/>
        </w:rPr>
        <w:t> </w:t>
      </w:r>
      <w:r>
        <w:rPr/>
        <w:t>analytics,</w:t>
      </w:r>
      <w:r>
        <w:rPr>
          <w:spacing w:val="-2"/>
        </w:rPr>
        <w:t> </w:t>
      </w:r>
      <w:r>
        <w:rPr/>
        <w:t>investigating</w:t>
      </w:r>
      <w:r>
        <w:rPr>
          <w:spacing w:val="-4"/>
        </w:rPr>
        <w:t> </w:t>
      </w:r>
      <w:r>
        <w:rPr/>
        <w:t>customer</w:t>
      </w:r>
      <w:r>
        <w:rPr>
          <w:spacing w:val="-2"/>
        </w:rPr>
        <w:t> </w:t>
      </w:r>
      <w:r>
        <w:rPr/>
        <w:t>preferences and behaviors to assist strategic decision-making (Sinsel, Riemke, and Hoffmann., 2020).</w:t>
      </w:r>
    </w:p>
    <w:p>
      <w:pPr>
        <w:pStyle w:val="BodyText"/>
        <w:spacing w:line="360" w:lineRule="auto" w:before="1"/>
      </w:pPr>
      <w:r>
        <w:rPr/>
        <w:t>Improve</w:t>
      </w:r>
      <w:r>
        <w:rPr>
          <w:spacing w:val="28"/>
        </w:rPr>
        <w:t> </w:t>
      </w:r>
      <w:r>
        <w:rPr/>
        <w:t>the</w:t>
      </w:r>
      <w:r>
        <w:rPr>
          <w:spacing w:val="28"/>
        </w:rPr>
        <w:t> </w:t>
      </w:r>
      <w:r>
        <w:rPr/>
        <w:t>resort's</w:t>
      </w:r>
      <w:r>
        <w:rPr>
          <w:spacing w:val="29"/>
        </w:rPr>
        <w:t> </w:t>
      </w:r>
      <w:r>
        <w:rPr/>
        <w:t>online</w:t>
      </w:r>
      <w:r>
        <w:rPr>
          <w:spacing w:val="28"/>
        </w:rPr>
        <w:t> </w:t>
      </w:r>
      <w:r>
        <w:rPr/>
        <w:t>presence</w:t>
      </w:r>
      <w:r>
        <w:rPr>
          <w:spacing w:val="28"/>
        </w:rPr>
        <w:t> </w:t>
      </w:r>
      <w:r>
        <w:rPr/>
        <w:t>by</w:t>
      </w:r>
      <w:r>
        <w:rPr>
          <w:spacing w:val="24"/>
        </w:rPr>
        <w:t> </w:t>
      </w:r>
      <w:r>
        <w:rPr/>
        <w:t>creating</w:t>
      </w:r>
      <w:r>
        <w:rPr>
          <w:spacing w:val="26"/>
        </w:rPr>
        <w:t> </w:t>
      </w:r>
      <w:r>
        <w:rPr/>
        <w:t>a</w:t>
      </w:r>
      <w:r>
        <w:rPr>
          <w:spacing w:val="28"/>
        </w:rPr>
        <w:t> </w:t>
      </w:r>
      <w:r>
        <w:rPr/>
        <w:t>mobile</w:t>
      </w:r>
      <w:r>
        <w:rPr>
          <w:spacing w:val="28"/>
        </w:rPr>
        <w:t> </w:t>
      </w:r>
      <w:r>
        <w:rPr/>
        <w:t>app</w:t>
      </w:r>
      <w:r>
        <w:rPr>
          <w:spacing w:val="28"/>
        </w:rPr>
        <w:t> </w:t>
      </w:r>
      <w:r>
        <w:rPr/>
        <w:t>and</w:t>
      </w:r>
      <w:r>
        <w:rPr>
          <w:spacing w:val="28"/>
        </w:rPr>
        <w:t> </w:t>
      </w:r>
      <w:r>
        <w:rPr/>
        <w:t>a</w:t>
      </w:r>
      <w:r>
        <w:rPr>
          <w:spacing w:val="28"/>
        </w:rPr>
        <w:t> </w:t>
      </w:r>
      <w:r>
        <w:rPr/>
        <w:t>user-friendly</w:t>
      </w:r>
      <w:r>
        <w:rPr>
          <w:spacing w:val="24"/>
        </w:rPr>
        <w:t> </w:t>
      </w:r>
      <w:r>
        <w:rPr/>
        <w:t>website, which will streamline the booking process and allow for seamless interactions.</w:t>
      </w:r>
    </w:p>
    <w:p>
      <w:pPr>
        <w:pStyle w:val="Heading3"/>
        <w:numPr>
          <w:ilvl w:val="0"/>
          <w:numId w:val="2"/>
        </w:numPr>
        <w:tabs>
          <w:tab w:pos="340" w:val="left" w:leader="none"/>
        </w:tabs>
        <w:spacing w:line="240" w:lineRule="auto" w:before="0" w:after="0"/>
        <w:ind w:left="340" w:right="0" w:hanging="240"/>
        <w:jc w:val="left"/>
      </w:pPr>
      <w:r>
        <w:rPr/>
        <w:t>Revenue</w:t>
      </w:r>
      <w:r>
        <w:rPr>
          <w:spacing w:val="-3"/>
        </w:rPr>
        <w:t> </w:t>
      </w:r>
      <w:r>
        <w:rPr/>
        <w:t>Stream</w:t>
      </w:r>
      <w:r>
        <w:rPr>
          <w:spacing w:val="-3"/>
        </w:rPr>
        <w:t> </w:t>
      </w:r>
      <w:r>
        <w:rPr>
          <w:spacing w:val="-2"/>
        </w:rPr>
        <w:t>Diversification:</w:t>
      </w:r>
    </w:p>
    <w:p>
      <w:pPr>
        <w:pStyle w:val="BodyText"/>
        <w:spacing w:line="360" w:lineRule="auto" w:before="139"/>
        <w:ind w:right="115"/>
      </w:pPr>
      <w:r>
        <w:rPr/>
        <w:t>Investigate</w:t>
      </w:r>
      <w:r>
        <w:rPr>
          <w:spacing w:val="-14"/>
        </w:rPr>
        <w:t> </w:t>
      </w:r>
      <w:r>
        <w:rPr/>
        <w:t>the</w:t>
      </w:r>
      <w:r>
        <w:rPr>
          <w:spacing w:val="-13"/>
        </w:rPr>
        <w:t> </w:t>
      </w:r>
      <w:r>
        <w:rPr/>
        <w:t>idea</w:t>
      </w:r>
      <w:r>
        <w:rPr>
          <w:spacing w:val="-13"/>
        </w:rPr>
        <w:t> </w:t>
      </w:r>
      <w:r>
        <w:rPr/>
        <w:t>of</w:t>
      </w:r>
      <w:r>
        <w:rPr>
          <w:spacing w:val="-13"/>
        </w:rPr>
        <w:t> </w:t>
      </w:r>
      <w:r>
        <w:rPr/>
        <w:t>increasing</w:t>
      </w:r>
      <w:r>
        <w:rPr>
          <w:spacing w:val="-14"/>
        </w:rPr>
        <w:t> </w:t>
      </w:r>
      <w:r>
        <w:rPr/>
        <w:t>the</w:t>
      </w:r>
      <w:r>
        <w:rPr>
          <w:spacing w:val="-10"/>
        </w:rPr>
        <w:t> </w:t>
      </w:r>
      <w:r>
        <w:rPr/>
        <w:t>resort's</w:t>
      </w:r>
      <w:r>
        <w:rPr>
          <w:spacing w:val="-12"/>
        </w:rPr>
        <w:t> </w:t>
      </w:r>
      <w:r>
        <w:rPr/>
        <w:t>offers</w:t>
      </w:r>
      <w:r>
        <w:rPr>
          <w:spacing w:val="-10"/>
        </w:rPr>
        <w:t> </w:t>
      </w:r>
      <w:r>
        <w:rPr/>
        <w:t>by</w:t>
      </w:r>
      <w:r>
        <w:rPr>
          <w:spacing w:val="-15"/>
        </w:rPr>
        <w:t> </w:t>
      </w:r>
      <w:r>
        <w:rPr/>
        <w:t>introducing</w:t>
      </w:r>
      <w:r>
        <w:rPr>
          <w:spacing w:val="-14"/>
        </w:rPr>
        <w:t> </w:t>
      </w:r>
      <w:r>
        <w:rPr/>
        <w:t>more</w:t>
      </w:r>
      <w:r>
        <w:rPr>
          <w:spacing w:val="-13"/>
        </w:rPr>
        <w:t> </w:t>
      </w:r>
      <w:r>
        <w:rPr/>
        <w:t>amenities</w:t>
      </w:r>
      <w:r>
        <w:rPr>
          <w:spacing w:val="-12"/>
        </w:rPr>
        <w:t> </w:t>
      </w:r>
      <w:r>
        <w:rPr/>
        <w:t>or</w:t>
      </w:r>
      <w:r>
        <w:rPr>
          <w:spacing w:val="-13"/>
        </w:rPr>
        <w:t> </w:t>
      </w:r>
      <w:r>
        <w:rPr/>
        <w:t>packages, to diversify its attractiveness and attract a larger variety of clients.</w:t>
      </w:r>
    </w:p>
    <w:p>
      <w:pPr>
        <w:spacing w:after="0" w:line="360" w:lineRule="auto"/>
        <w:sectPr>
          <w:pgSz w:w="11910" w:h="16840"/>
          <w:pgMar w:header="0" w:footer="957" w:top="1360" w:bottom="1140" w:left="1340" w:right="1320"/>
        </w:sectPr>
      </w:pPr>
    </w:p>
    <w:p>
      <w:pPr>
        <w:pStyle w:val="BodyText"/>
        <w:spacing w:line="360" w:lineRule="auto" w:before="60"/>
        <w:ind w:right="120"/>
        <w:jc w:val="both"/>
      </w:pPr>
      <w:r>
        <w:rPr/>
        <w:t>Collaborate strategically with local companies to select offerings that lead to a better overall tourist experience. Foster mutually beneficial connections to ensure that these services are seamlessly integrated into the resort's repertoire (Hung, C. and Hager, M.A., 2019).</w:t>
      </w:r>
    </w:p>
    <w:p>
      <w:pPr>
        <w:pStyle w:val="BodyText"/>
        <w:spacing w:line="360" w:lineRule="auto"/>
        <w:ind w:right="116"/>
        <w:jc w:val="both"/>
      </w:pPr>
      <w:r>
        <w:rPr/>
        <w:t>Consider organizing conferences or events to leverage the resort's capabilities effectively and develop extra revenue streams (Qu, H., 2019). This proactive strategy can help the overall performance and profitability of the resort.</w:t>
      </w:r>
    </w:p>
    <w:p>
      <w:pPr>
        <w:pStyle w:val="BodyText"/>
        <w:spacing w:line="360" w:lineRule="auto" w:before="1"/>
        <w:ind w:right="116"/>
        <w:jc w:val="both"/>
      </w:pPr>
      <w:r>
        <w:rPr/>
        <w:t>Through</w:t>
      </w:r>
      <w:r>
        <w:rPr>
          <w:spacing w:val="-15"/>
        </w:rPr>
        <w:t> </w:t>
      </w:r>
      <w:r>
        <w:rPr/>
        <w:t>the</w:t>
      </w:r>
      <w:r>
        <w:rPr>
          <w:spacing w:val="-15"/>
        </w:rPr>
        <w:t> </w:t>
      </w:r>
      <w:r>
        <w:rPr/>
        <w:t>adoption</w:t>
      </w:r>
      <w:r>
        <w:rPr>
          <w:spacing w:val="-15"/>
        </w:rPr>
        <w:t> </w:t>
      </w:r>
      <w:r>
        <w:rPr/>
        <w:t>of</w:t>
      </w:r>
      <w:r>
        <w:rPr>
          <w:spacing w:val="-15"/>
        </w:rPr>
        <w:t> </w:t>
      </w:r>
      <w:r>
        <w:rPr/>
        <w:t>these</w:t>
      </w:r>
      <w:r>
        <w:rPr>
          <w:spacing w:val="-15"/>
        </w:rPr>
        <w:t> </w:t>
      </w:r>
      <w:r>
        <w:rPr/>
        <w:t>measures,</w:t>
      </w:r>
      <w:r>
        <w:rPr>
          <w:spacing w:val="-15"/>
        </w:rPr>
        <w:t> </w:t>
      </w:r>
      <w:r>
        <w:rPr/>
        <w:t>the</w:t>
      </w:r>
      <w:r>
        <w:rPr>
          <w:spacing w:val="-15"/>
        </w:rPr>
        <w:t> </w:t>
      </w:r>
      <w:r>
        <w:rPr/>
        <w:t>Seaview</w:t>
      </w:r>
      <w:r>
        <w:rPr>
          <w:spacing w:val="-15"/>
        </w:rPr>
        <w:t> </w:t>
      </w:r>
      <w:r>
        <w:rPr/>
        <w:t>Resort</w:t>
      </w:r>
      <w:r>
        <w:rPr>
          <w:spacing w:val="-15"/>
        </w:rPr>
        <w:t> </w:t>
      </w:r>
      <w:r>
        <w:rPr/>
        <w:t>hopes</w:t>
      </w:r>
      <w:r>
        <w:rPr>
          <w:spacing w:val="-15"/>
        </w:rPr>
        <w:t> </w:t>
      </w:r>
      <w:r>
        <w:rPr/>
        <w:t>to</w:t>
      </w:r>
      <w:r>
        <w:rPr>
          <w:spacing w:val="-15"/>
        </w:rPr>
        <w:t> </w:t>
      </w:r>
      <w:r>
        <w:rPr/>
        <w:t>achieve</w:t>
      </w:r>
      <w:r>
        <w:rPr>
          <w:spacing w:val="-15"/>
        </w:rPr>
        <w:t> </w:t>
      </w:r>
      <w:r>
        <w:rPr/>
        <w:t>more</w:t>
      </w:r>
      <w:r>
        <w:rPr>
          <w:spacing w:val="-15"/>
        </w:rPr>
        <w:t> </w:t>
      </w:r>
      <w:r>
        <w:rPr/>
        <w:t>than</w:t>
      </w:r>
      <w:r>
        <w:rPr>
          <w:spacing w:val="-15"/>
        </w:rPr>
        <w:t> </w:t>
      </w:r>
      <w:r>
        <w:rPr/>
        <w:t>merely fixing its current financial issues and improving its industry status. This thorough turnaround strategy is reliant on management and stakeholders' willingness to accept change and implement these steps precisely. The successful implementation of these activities is critical for The Seaview Resort to successfully reinvent itself as a strong and appealing tourist destination in the hospitality sector.</w:t>
      </w:r>
    </w:p>
    <w:p>
      <w:pPr>
        <w:spacing w:after="0" w:line="360" w:lineRule="auto"/>
        <w:jc w:val="both"/>
        <w:sectPr>
          <w:pgSz w:w="11910" w:h="16840"/>
          <w:pgMar w:header="0" w:footer="957" w:top="1360" w:bottom="1140" w:left="1340" w:right="1320"/>
        </w:sectPr>
      </w:pPr>
    </w:p>
    <w:p>
      <w:pPr>
        <w:pStyle w:val="Heading1"/>
        <w:jc w:val="left"/>
      </w:pPr>
      <w:bookmarkStart w:name="Conclusion" w:id="21"/>
      <w:bookmarkEnd w:id="21"/>
      <w:r>
        <w:rPr>
          <w:b w:val="0"/>
        </w:rPr>
      </w:r>
      <w:bookmarkStart w:name="_bookmark10" w:id="22"/>
      <w:bookmarkEnd w:id="22"/>
      <w:r>
        <w:rPr>
          <w:b w:val="0"/>
        </w:rPr>
      </w:r>
      <w:r>
        <w:rPr>
          <w:spacing w:val="-2"/>
        </w:rPr>
        <w:t>Conclusion</w:t>
      </w:r>
    </w:p>
    <w:p>
      <w:pPr>
        <w:pStyle w:val="BodyText"/>
        <w:spacing w:line="360" w:lineRule="auto" w:before="159"/>
        <w:ind w:right="114"/>
        <w:jc w:val="both"/>
      </w:pPr>
      <w:r>
        <w:rPr/>
        <w:t>In the face of substantial problems, The Seaview Resort is embarking on a proactive and thorough turnaround strategy to chart its course to recovery. The strategic changes, which include careful evaluation of consumer input and the implementation of ecologically friendly practices, are intended to restore the resort's competitive position. The primary objective is to strengthen the resort's financial position and build a strong presence in the rapidly changing hospitality industry. This comprises implementing financial restructuring activities, introducing new technologies, and diversifying revenue streams.</w:t>
      </w:r>
    </w:p>
    <w:p>
      <w:pPr>
        <w:pStyle w:val="BodyText"/>
        <w:spacing w:line="360" w:lineRule="auto" w:before="2"/>
        <w:ind w:right="116"/>
        <w:jc w:val="both"/>
      </w:pPr>
      <w:r>
        <w:rPr/>
        <w:t>The</w:t>
      </w:r>
      <w:r>
        <w:rPr>
          <w:spacing w:val="-13"/>
        </w:rPr>
        <w:t> </w:t>
      </w:r>
      <w:r>
        <w:rPr/>
        <w:t>continuous</w:t>
      </w:r>
      <w:r>
        <w:rPr>
          <w:spacing w:val="-12"/>
        </w:rPr>
        <w:t> </w:t>
      </w:r>
      <w:r>
        <w:rPr/>
        <w:t>devotion</w:t>
      </w:r>
      <w:r>
        <w:rPr>
          <w:spacing w:val="-10"/>
        </w:rPr>
        <w:t> </w:t>
      </w:r>
      <w:r>
        <w:rPr/>
        <w:t>of</w:t>
      </w:r>
      <w:r>
        <w:rPr>
          <w:spacing w:val="-13"/>
        </w:rPr>
        <w:t> </w:t>
      </w:r>
      <w:r>
        <w:rPr/>
        <w:t>Mr.</w:t>
      </w:r>
      <w:r>
        <w:rPr>
          <w:spacing w:val="-13"/>
        </w:rPr>
        <w:t> </w:t>
      </w:r>
      <w:r>
        <w:rPr/>
        <w:t>James</w:t>
      </w:r>
      <w:r>
        <w:rPr>
          <w:spacing w:val="-12"/>
        </w:rPr>
        <w:t> </w:t>
      </w:r>
      <w:r>
        <w:rPr/>
        <w:t>Henderson,</w:t>
      </w:r>
      <w:r>
        <w:rPr>
          <w:spacing w:val="-10"/>
        </w:rPr>
        <w:t> </w:t>
      </w:r>
      <w:r>
        <w:rPr/>
        <w:t>proprietor</w:t>
      </w:r>
      <w:r>
        <w:rPr>
          <w:spacing w:val="-13"/>
        </w:rPr>
        <w:t> </w:t>
      </w:r>
      <w:r>
        <w:rPr/>
        <w:t>of</w:t>
      </w:r>
      <w:r>
        <w:rPr>
          <w:spacing w:val="-11"/>
        </w:rPr>
        <w:t> </w:t>
      </w:r>
      <w:r>
        <w:rPr/>
        <w:t>The</w:t>
      </w:r>
      <w:r>
        <w:rPr>
          <w:spacing w:val="-13"/>
        </w:rPr>
        <w:t> </w:t>
      </w:r>
      <w:r>
        <w:rPr/>
        <w:t>Seaview</w:t>
      </w:r>
      <w:r>
        <w:rPr>
          <w:spacing w:val="-13"/>
        </w:rPr>
        <w:t> </w:t>
      </w:r>
      <w:r>
        <w:rPr/>
        <w:t>Resort,</w:t>
      </w:r>
      <w:r>
        <w:rPr>
          <w:spacing w:val="-12"/>
        </w:rPr>
        <w:t> </w:t>
      </w:r>
      <w:r>
        <w:rPr/>
        <w:t>is</w:t>
      </w:r>
      <w:r>
        <w:rPr>
          <w:spacing w:val="-11"/>
        </w:rPr>
        <w:t> </w:t>
      </w:r>
      <w:r>
        <w:rPr/>
        <w:t>critical to the success of our endeavor. To overcome immediate issues, effective coordination among stakeholders is required. All components of the prescribed turnaround plan must be precisely implemented to ensure the smooth integration of changes throughout the full organizational </w:t>
      </w:r>
      <w:r>
        <w:rPr>
          <w:spacing w:val="-2"/>
        </w:rPr>
        <w:t>spectrum.</w:t>
      </w:r>
    </w:p>
    <w:p>
      <w:pPr>
        <w:pStyle w:val="BodyText"/>
        <w:spacing w:line="360" w:lineRule="auto"/>
        <w:ind w:right="118"/>
        <w:jc w:val="both"/>
      </w:pPr>
      <w:r>
        <w:rPr/>
        <w:t>The Seaview Resort strives to recover its prestigious standing as a prime holiday resort via precise implementation. The resort's well-planned strategic initiatives are expected to make it more robust in the face of market changes. To flourish in this new era of the diversified hospitality business, The Seaview Resort must reflect resilience, flexibility, and a proactive desire to accept change.</w:t>
      </w:r>
    </w:p>
    <w:p>
      <w:pPr>
        <w:spacing w:after="0" w:line="360" w:lineRule="auto"/>
        <w:jc w:val="both"/>
        <w:sectPr>
          <w:pgSz w:w="11910" w:h="16840"/>
          <w:pgMar w:header="0" w:footer="957" w:top="1360" w:bottom="1140" w:left="1340" w:right="1320"/>
        </w:sectPr>
      </w:pPr>
    </w:p>
    <w:p>
      <w:pPr>
        <w:pStyle w:val="Heading1"/>
        <w:spacing w:before="75"/>
        <w:jc w:val="left"/>
      </w:pPr>
      <w:bookmarkStart w:name="Reference" w:id="23"/>
      <w:bookmarkEnd w:id="23"/>
      <w:r>
        <w:rPr>
          <w:b w:val="0"/>
        </w:rPr>
      </w:r>
      <w:bookmarkStart w:name="_bookmark11" w:id="24"/>
      <w:bookmarkEnd w:id="24"/>
      <w:r>
        <w:rPr>
          <w:b w:val="0"/>
        </w:rPr>
      </w:r>
      <w:r>
        <w:rPr>
          <w:spacing w:val="-2"/>
        </w:rPr>
        <w:t>Reference</w:t>
      </w:r>
    </w:p>
    <w:p>
      <w:pPr>
        <w:pStyle w:val="BodyText"/>
        <w:spacing w:line="360" w:lineRule="auto" w:before="161"/>
        <w:ind w:right="382"/>
      </w:pPr>
      <w:r>
        <w:rPr>
          <w:color w:val="212121"/>
        </w:rPr>
        <w:t>Asonuma, T., Chamon, M., Erce,</w:t>
      </w:r>
      <w:r>
        <w:rPr>
          <w:color w:val="212121"/>
          <w:spacing w:val="-5"/>
        </w:rPr>
        <w:t> </w:t>
      </w:r>
      <w:r>
        <w:rPr>
          <w:color w:val="212121"/>
        </w:rPr>
        <w:t>A. and Sasahara,</w:t>
      </w:r>
      <w:r>
        <w:rPr>
          <w:color w:val="212121"/>
          <w:spacing w:val="-8"/>
        </w:rPr>
        <w:t> </w:t>
      </w:r>
      <w:r>
        <w:rPr>
          <w:color w:val="212121"/>
        </w:rPr>
        <w:t>A., 2021. Costs of sovereign defaults: Restructuring strategies and financial intermediation. </w:t>
      </w:r>
      <w:r>
        <w:rPr>
          <w:i/>
          <w:color w:val="212121"/>
        </w:rPr>
        <w:t>Available at SSRN 3851813</w:t>
      </w:r>
      <w:r>
        <w:rPr>
          <w:color w:val="212121"/>
        </w:rPr>
        <w:t>. </w:t>
      </w:r>
      <w:hyperlink r:id="rId6">
        <w:r>
          <w:rPr>
            <w:color w:val="0562C1"/>
            <w:spacing w:val="-2"/>
            <w:u w:val="single" w:color="0562C1"/>
          </w:rPr>
          <w:t>https://leap.luiss.it/wp-content/uploads/2022/09/WP10.21-Costs-of-Sovereign-Defaults.pdf</w:t>
        </w:r>
      </w:hyperlink>
    </w:p>
    <w:p>
      <w:pPr>
        <w:pStyle w:val="BodyText"/>
        <w:spacing w:line="360" w:lineRule="auto" w:before="160"/>
        <w:ind w:right="382"/>
      </w:pPr>
      <w:r>
        <w:rPr>
          <w:color w:val="212121"/>
        </w:rPr>
        <w:t>Chen,</w:t>
      </w:r>
      <w:r>
        <w:rPr>
          <w:color w:val="212121"/>
          <w:spacing w:val="-4"/>
        </w:rPr>
        <w:t> </w:t>
      </w:r>
      <w:r>
        <w:rPr>
          <w:color w:val="212121"/>
        </w:rPr>
        <w:t>Z.,</w:t>
      </w:r>
      <w:r>
        <w:rPr>
          <w:color w:val="212121"/>
          <w:spacing w:val="-4"/>
        </w:rPr>
        <w:t> </w:t>
      </w:r>
      <w:r>
        <w:rPr>
          <w:color w:val="212121"/>
        </w:rPr>
        <w:t>2021.</w:t>
      </w:r>
      <w:r>
        <w:rPr>
          <w:color w:val="212121"/>
          <w:spacing w:val="-4"/>
        </w:rPr>
        <w:t> </w:t>
      </w:r>
      <w:r>
        <w:rPr>
          <w:color w:val="212121"/>
        </w:rPr>
        <w:t>Research</w:t>
      </w:r>
      <w:r>
        <w:rPr>
          <w:color w:val="212121"/>
          <w:spacing w:val="-2"/>
        </w:rPr>
        <w:t> </w:t>
      </w:r>
      <w:r>
        <w:rPr>
          <w:color w:val="212121"/>
        </w:rPr>
        <w:t>on</w:t>
      </w:r>
      <w:r>
        <w:rPr>
          <w:color w:val="212121"/>
          <w:spacing w:val="-4"/>
        </w:rPr>
        <w:t> </w:t>
      </w:r>
      <w:r>
        <w:rPr>
          <w:color w:val="212121"/>
        </w:rPr>
        <w:t>accounting</w:t>
      </w:r>
      <w:r>
        <w:rPr>
          <w:color w:val="212121"/>
          <w:spacing w:val="-7"/>
        </w:rPr>
        <w:t> </w:t>
      </w:r>
      <w:r>
        <w:rPr>
          <w:color w:val="212121"/>
        </w:rPr>
        <w:t>intelligence</w:t>
      </w:r>
      <w:r>
        <w:rPr>
          <w:color w:val="212121"/>
          <w:spacing w:val="-5"/>
        </w:rPr>
        <w:t> </w:t>
      </w:r>
      <w:r>
        <w:rPr>
          <w:color w:val="212121"/>
        </w:rPr>
        <w:t>system</w:t>
      </w:r>
      <w:r>
        <w:rPr>
          <w:color w:val="212121"/>
          <w:spacing w:val="-4"/>
        </w:rPr>
        <w:t> </w:t>
      </w:r>
      <w:r>
        <w:rPr>
          <w:color w:val="212121"/>
        </w:rPr>
        <w:t>modeling</w:t>
      </w:r>
      <w:r>
        <w:rPr>
          <w:color w:val="212121"/>
          <w:spacing w:val="-7"/>
        </w:rPr>
        <w:t> </w:t>
      </w:r>
      <w:r>
        <w:rPr>
          <w:color w:val="212121"/>
        </w:rPr>
        <w:t>of</w:t>
      </w:r>
      <w:r>
        <w:rPr>
          <w:color w:val="212121"/>
          <w:spacing w:val="-4"/>
        </w:rPr>
        <w:t> </w:t>
      </w:r>
      <w:r>
        <w:rPr>
          <w:color w:val="212121"/>
        </w:rPr>
        <w:t>financial performance evaluation. </w:t>
      </w:r>
      <w:r>
        <w:rPr>
          <w:i/>
          <w:color w:val="212121"/>
        </w:rPr>
        <w:t>Security and communication networks</w:t>
      </w:r>
      <w:r>
        <w:rPr>
          <w:color w:val="212121"/>
        </w:rPr>
        <w:t>, </w:t>
      </w:r>
      <w:r>
        <w:rPr>
          <w:i/>
          <w:color w:val="212121"/>
        </w:rPr>
        <w:t>2021</w:t>
      </w:r>
      <w:r>
        <w:rPr>
          <w:color w:val="212121"/>
        </w:rPr>
        <w:t>, pp.1-9. </w:t>
      </w:r>
      <w:hyperlink r:id="rId7">
        <w:r>
          <w:rPr>
            <w:color w:val="0562C1"/>
            <w:spacing w:val="-2"/>
            <w:u w:val="single" w:color="0562C1"/>
          </w:rPr>
          <w:t>https://www.hindawi.com/journals/scn/2021/5550382/</w:t>
        </w:r>
      </w:hyperlink>
    </w:p>
    <w:p>
      <w:pPr>
        <w:spacing w:line="360" w:lineRule="auto" w:before="160"/>
        <w:ind w:left="100" w:right="280" w:firstLine="0"/>
        <w:jc w:val="left"/>
        <w:rPr>
          <w:sz w:val="24"/>
        </w:rPr>
      </w:pPr>
      <w:r>
        <w:rPr>
          <w:color w:val="212121"/>
          <w:sz w:val="24"/>
        </w:rPr>
        <w:t>Doole, I., Lowe, R. and Kenyon,</w:t>
      </w:r>
      <w:r>
        <w:rPr>
          <w:color w:val="212121"/>
          <w:spacing w:val="-6"/>
          <w:sz w:val="24"/>
        </w:rPr>
        <w:t> </w:t>
      </w:r>
      <w:r>
        <w:rPr>
          <w:color w:val="212121"/>
          <w:sz w:val="24"/>
        </w:rPr>
        <w:t>A., 2019. </w:t>
      </w:r>
      <w:r>
        <w:rPr>
          <w:i/>
          <w:color w:val="212121"/>
          <w:sz w:val="24"/>
        </w:rPr>
        <w:t>International marketing strategy: analysis,</w:t>
      </w:r>
      <w:r>
        <w:rPr>
          <w:i/>
          <w:color w:val="212121"/>
          <w:sz w:val="24"/>
        </w:rPr>
        <w:t> development and implementation</w:t>
      </w:r>
      <w:r>
        <w:rPr>
          <w:color w:val="212121"/>
          <w:sz w:val="24"/>
        </w:rPr>
        <w:t>. Cengage Learning. </w:t>
      </w:r>
      <w:hyperlink r:id="rId8">
        <w:r>
          <w:rPr>
            <w:color w:val="0562C1"/>
            <w:spacing w:val="-2"/>
            <w:sz w:val="24"/>
            <w:u w:val="single" w:color="0562C1"/>
          </w:rPr>
          <w:t>https://thuvienso.hoasen.edu.vn/bitstream/handle/123456789/12742/Contents.pdf?sequence=</w:t>
        </w:r>
      </w:hyperlink>
      <w:r>
        <w:rPr>
          <w:color w:val="0562C1"/>
          <w:spacing w:val="80"/>
          <w:sz w:val="24"/>
        </w:rPr>
        <w:t> </w:t>
      </w:r>
      <w:hyperlink r:id="rId8">
        <w:r>
          <w:rPr>
            <w:color w:val="0562C1"/>
            <w:spacing w:val="-10"/>
            <w:sz w:val="24"/>
            <w:u w:val="single" w:color="0562C1"/>
          </w:rPr>
          <w:t>5</w:t>
        </w:r>
      </w:hyperlink>
    </w:p>
    <w:p>
      <w:pPr>
        <w:spacing w:line="360" w:lineRule="auto" w:before="161"/>
        <w:ind w:left="100" w:right="280" w:firstLine="0"/>
        <w:jc w:val="left"/>
        <w:rPr>
          <w:sz w:val="24"/>
        </w:rPr>
      </w:pPr>
      <w:r>
        <w:rPr>
          <w:color w:val="212121"/>
          <w:sz w:val="24"/>
        </w:rPr>
        <w:t>Fridson, M.S. and</w:t>
      </w:r>
      <w:r>
        <w:rPr>
          <w:color w:val="212121"/>
          <w:spacing w:val="-7"/>
          <w:sz w:val="24"/>
        </w:rPr>
        <w:t> </w:t>
      </w:r>
      <w:r>
        <w:rPr>
          <w:color w:val="212121"/>
          <w:sz w:val="24"/>
        </w:rPr>
        <w:t>Alvarez, F., 2022. </w:t>
      </w:r>
      <w:r>
        <w:rPr>
          <w:i/>
          <w:color w:val="212121"/>
          <w:sz w:val="24"/>
        </w:rPr>
        <w:t>Financial statement analysis: a practitioner's guide</w:t>
      </w:r>
      <w:r>
        <w:rPr>
          <w:color w:val="212121"/>
          <w:sz w:val="24"/>
        </w:rPr>
        <w:t>. John Wiley &amp; Sons. </w:t>
      </w:r>
      <w:hyperlink r:id="rId9">
        <w:r>
          <w:rPr>
            <w:color w:val="0562C1"/>
            <w:spacing w:val="-2"/>
            <w:sz w:val="24"/>
            <w:u w:val="single" w:color="0562C1"/>
          </w:rPr>
          <w:t>https://thuvienso.hoasen.edu.vn/bitstream/handle/123456789/8423/Contents.pdf?sequence=4</w:t>
        </w:r>
      </w:hyperlink>
    </w:p>
    <w:p>
      <w:pPr>
        <w:spacing w:line="360" w:lineRule="auto" w:before="160"/>
        <w:ind w:left="100" w:right="700" w:firstLine="0"/>
        <w:jc w:val="left"/>
        <w:rPr>
          <w:sz w:val="24"/>
        </w:rPr>
      </w:pPr>
      <w:r>
        <w:rPr>
          <w:color w:val="212121"/>
          <w:sz w:val="24"/>
        </w:rPr>
        <w:t>Giudici,</w:t>
      </w:r>
      <w:r>
        <w:rPr>
          <w:color w:val="212121"/>
          <w:spacing w:val="-12"/>
          <w:sz w:val="24"/>
        </w:rPr>
        <w:t> </w:t>
      </w:r>
      <w:r>
        <w:rPr>
          <w:color w:val="212121"/>
          <w:sz w:val="24"/>
        </w:rPr>
        <w:t>G.,</w:t>
      </w:r>
      <w:r>
        <w:rPr>
          <w:color w:val="212121"/>
          <w:spacing w:val="-7"/>
          <w:sz w:val="24"/>
        </w:rPr>
        <w:t> </w:t>
      </w:r>
      <w:r>
        <w:rPr>
          <w:color w:val="212121"/>
          <w:sz w:val="24"/>
        </w:rPr>
        <w:t>Milne,</w:t>
      </w:r>
      <w:r>
        <w:rPr>
          <w:color w:val="212121"/>
          <w:spacing w:val="-15"/>
          <w:sz w:val="24"/>
        </w:rPr>
        <w:t> </w:t>
      </w:r>
      <w:r>
        <w:rPr>
          <w:color w:val="212121"/>
          <w:sz w:val="24"/>
        </w:rPr>
        <w:t>A.</w:t>
      </w:r>
      <w:r>
        <w:rPr>
          <w:color w:val="212121"/>
          <w:spacing w:val="-7"/>
          <w:sz w:val="24"/>
        </w:rPr>
        <w:t> </w:t>
      </w:r>
      <w:r>
        <w:rPr>
          <w:color w:val="212121"/>
          <w:sz w:val="24"/>
        </w:rPr>
        <w:t>and</w:t>
      </w:r>
      <w:r>
        <w:rPr>
          <w:color w:val="212121"/>
          <w:spacing w:val="-11"/>
          <w:sz w:val="24"/>
        </w:rPr>
        <w:t> </w:t>
      </w:r>
      <w:r>
        <w:rPr>
          <w:color w:val="212121"/>
          <w:sz w:val="24"/>
        </w:rPr>
        <w:t>Vinogradov,</w:t>
      </w:r>
      <w:r>
        <w:rPr>
          <w:color w:val="212121"/>
          <w:spacing w:val="-7"/>
          <w:sz w:val="24"/>
        </w:rPr>
        <w:t> </w:t>
      </w:r>
      <w:r>
        <w:rPr>
          <w:color w:val="212121"/>
          <w:sz w:val="24"/>
        </w:rPr>
        <w:t>D.,</w:t>
      </w:r>
      <w:r>
        <w:rPr>
          <w:color w:val="212121"/>
          <w:spacing w:val="-7"/>
          <w:sz w:val="24"/>
        </w:rPr>
        <w:t> </w:t>
      </w:r>
      <w:r>
        <w:rPr>
          <w:color w:val="212121"/>
          <w:sz w:val="24"/>
        </w:rPr>
        <w:t>2020.</w:t>
      </w:r>
      <w:r>
        <w:rPr>
          <w:color w:val="212121"/>
          <w:spacing w:val="-6"/>
          <w:sz w:val="24"/>
        </w:rPr>
        <w:t> </w:t>
      </w:r>
      <w:r>
        <w:rPr>
          <w:color w:val="212121"/>
          <w:sz w:val="24"/>
        </w:rPr>
        <w:t>Cryptocurrencies:</w:t>
      </w:r>
      <w:r>
        <w:rPr>
          <w:color w:val="212121"/>
          <w:spacing w:val="-5"/>
          <w:sz w:val="24"/>
        </w:rPr>
        <w:t> </w:t>
      </w:r>
      <w:r>
        <w:rPr>
          <w:color w:val="212121"/>
          <w:sz w:val="24"/>
        </w:rPr>
        <w:t>market</w:t>
      </w:r>
      <w:r>
        <w:rPr>
          <w:color w:val="212121"/>
          <w:spacing w:val="-5"/>
          <w:sz w:val="24"/>
        </w:rPr>
        <w:t> </w:t>
      </w:r>
      <w:r>
        <w:rPr>
          <w:color w:val="212121"/>
          <w:sz w:val="24"/>
        </w:rPr>
        <w:t>analysis</w:t>
      </w:r>
      <w:r>
        <w:rPr>
          <w:color w:val="212121"/>
          <w:spacing w:val="-5"/>
          <w:sz w:val="24"/>
        </w:rPr>
        <w:t> </w:t>
      </w:r>
      <w:r>
        <w:rPr>
          <w:color w:val="212121"/>
          <w:sz w:val="24"/>
        </w:rPr>
        <w:t>and perspectives. </w:t>
      </w:r>
      <w:r>
        <w:rPr>
          <w:i/>
          <w:color w:val="212121"/>
          <w:sz w:val="24"/>
        </w:rPr>
        <w:t>Journal of Industrial and Business Economics</w:t>
      </w:r>
      <w:r>
        <w:rPr>
          <w:color w:val="212121"/>
          <w:sz w:val="24"/>
        </w:rPr>
        <w:t>, </w:t>
      </w:r>
      <w:r>
        <w:rPr>
          <w:i/>
          <w:color w:val="212121"/>
          <w:sz w:val="24"/>
        </w:rPr>
        <w:t>47</w:t>
      </w:r>
      <w:r>
        <w:rPr>
          <w:color w:val="212121"/>
          <w:sz w:val="24"/>
        </w:rPr>
        <w:t>, pp.1-18. </w:t>
      </w:r>
      <w:hyperlink r:id="rId10">
        <w:r>
          <w:rPr>
            <w:color w:val="0562C1"/>
            <w:spacing w:val="-2"/>
            <w:sz w:val="24"/>
            <w:u w:val="single" w:color="0562C1"/>
          </w:rPr>
          <w:t>https://link.springer.com/article/10.1007/s40812-019-00138-6</w:t>
        </w:r>
      </w:hyperlink>
    </w:p>
    <w:p>
      <w:pPr>
        <w:spacing w:line="360" w:lineRule="auto" w:before="160"/>
        <w:ind w:left="100" w:right="115" w:firstLine="0"/>
        <w:jc w:val="left"/>
        <w:rPr>
          <w:sz w:val="24"/>
        </w:rPr>
      </w:pPr>
      <w:r>
        <w:rPr>
          <w:color w:val="212121"/>
          <w:sz w:val="24"/>
        </w:rPr>
        <w:t>Hasanaj,</w:t>
      </w:r>
      <w:r>
        <w:rPr>
          <w:color w:val="212121"/>
          <w:spacing w:val="-10"/>
          <w:sz w:val="24"/>
        </w:rPr>
        <w:t> </w:t>
      </w:r>
      <w:r>
        <w:rPr>
          <w:color w:val="212121"/>
          <w:sz w:val="24"/>
        </w:rPr>
        <w:t>P.</w:t>
      </w:r>
      <w:r>
        <w:rPr>
          <w:color w:val="212121"/>
          <w:spacing w:val="-6"/>
          <w:sz w:val="24"/>
        </w:rPr>
        <w:t> </w:t>
      </w:r>
      <w:r>
        <w:rPr>
          <w:color w:val="212121"/>
          <w:sz w:val="24"/>
        </w:rPr>
        <w:t>and</w:t>
      </w:r>
      <w:r>
        <w:rPr>
          <w:color w:val="212121"/>
          <w:spacing w:val="-6"/>
          <w:sz w:val="24"/>
        </w:rPr>
        <w:t> </w:t>
      </w:r>
      <w:r>
        <w:rPr>
          <w:color w:val="212121"/>
          <w:sz w:val="24"/>
        </w:rPr>
        <w:t>Kuqi,</w:t>
      </w:r>
      <w:r>
        <w:rPr>
          <w:color w:val="212121"/>
          <w:spacing w:val="-4"/>
          <w:sz w:val="24"/>
        </w:rPr>
        <w:t> </w:t>
      </w:r>
      <w:r>
        <w:rPr>
          <w:color w:val="212121"/>
          <w:sz w:val="24"/>
        </w:rPr>
        <w:t>B.,</w:t>
      </w:r>
      <w:r>
        <w:rPr>
          <w:color w:val="212121"/>
          <w:spacing w:val="-4"/>
          <w:sz w:val="24"/>
        </w:rPr>
        <w:t> </w:t>
      </w:r>
      <w:r>
        <w:rPr>
          <w:color w:val="212121"/>
          <w:sz w:val="24"/>
        </w:rPr>
        <w:t>2019.</w:t>
      </w:r>
      <w:r>
        <w:rPr>
          <w:color w:val="212121"/>
          <w:spacing w:val="-15"/>
          <w:sz w:val="24"/>
        </w:rPr>
        <w:t> </w:t>
      </w:r>
      <w:r>
        <w:rPr>
          <w:color w:val="212121"/>
          <w:sz w:val="24"/>
        </w:rPr>
        <w:t>Analysis</w:t>
      </w:r>
      <w:r>
        <w:rPr>
          <w:color w:val="212121"/>
          <w:spacing w:val="-6"/>
          <w:sz w:val="24"/>
        </w:rPr>
        <w:t> </w:t>
      </w:r>
      <w:r>
        <w:rPr>
          <w:color w:val="212121"/>
          <w:sz w:val="24"/>
        </w:rPr>
        <w:t>of</w:t>
      </w:r>
      <w:r>
        <w:rPr>
          <w:color w:val="212121"/>
          <w:spacing w:val="-6"/>
          <w:sz w:val="24"/>
        </w:rPr>
        <w:t> </w:t>
      </w:r>
      <w:r>
        <w:rPr>
          <w:color w:val="212121"/>
          <w:sz w:val="24"/>
        </w:rPr>
        <w:t>financial</w:t>
      </w:r>
      <w:r>
        <w:rPr>
          <w:color w:val="212121"/>
          <w:spacing w:val="-6"/>
          <w:sz w:val="24"/>
        </w:rPr>
        <w:t> </w:t>
      </w:r>
      <w:r>
        <w:rPr>
          <w:color w:val="212121"/>
          <w:sz w:val="24"/>
        </w:rPr>
        <w:t>statements.</w:t>
      </w:r>
      <w:r>
        <w:rPr>
          <w:color w:val="212121"/>
          <w:spacing w:val="-4"/>
          <w:sz w:val="24"/>
        </w:rPr>
        <w:t> </w:t>
      </w:r>
      <w:r>
        <w:rPr>
          <w:i/>
          <w:color w:val="212121"/>
          <w:sz w:val="24"/>
        </w:rPr>
        <w:t>Humanities</w:t>
      </w:r>
      <w:r>
        <w:rPr>
          <w:i/>
          <w:color w:val="212121"/>
          <w:spacing w:val="-7"/>
          <w:sz w:val="24"/>
        </w:rPr>
        <w:t> </w:t>
      </w:r>
      <w:r>
        <w:rPr>
          <w:i/>
          <w:color w:val="212121"/>
          <w:sz w:val="24"/>
        </w:rPr>
        <w:t>and</w:t>
      </w:r>
      <w:r>
        <w:rPr>
          <w:i/>
          <w:color w:val="212121"/>
          <w:spacing w:val="-6"/>
          <w:sz w:val="24"/>
        </w:rPr>
        <w:t> </w:t>
      </w:r>
      <w:r>
        <w:rPr>
          <w:i/>
          <w:color w:val="212121"/>
          <w:sz w:val="24"/>
        </w:rPr>
        <w:t>Social</w:t>
      </w:r>
      <w:r>
        <w:rPr>
          <w:i/>
          <w:color w:val="212121"/>
          <w:sz w:val="24"/>
        </w:rPr>
        <w:t> Science Research</w:t>
      </w:r>
      <w:r>
        <w:rPr>
          <w:color w:val="212121"/>
          <w:sz w:val="24"/>
        </w:rPr>
        <w:t>, </w:t>
      </w:r>
      <w:r>
        <w:rPr>
          <w:i/>
          <w:color w:val="212121"/>
          <w:sz w:val="24"/>
        </w:rPr>
        <w:t>2</w:t>
      </w:r>
      <w:r>
        <w:rPr>
          <w:color w:val="212121"/>
          <w:sz w:val="24"/>
        </w:rPr>
        <w:t>(2), pp.p17-p17. </w:t>
      </w:r>
      <w:hyperlink r:id="rId11">
        <w:r>
          <w:rPr>
            <w:color w:val="0562C1"/>
            <w:spacing w:val="-2"/>
            <w:sz w:val="24"/>
            <w:u w:val="single" w:color="0562C1"/>
          </w:rPr>
          <w:t>https://j.ideasspread.org/index.php/hssr/article/download/305/229</w:t>
        </w:r>
      </w:hyperlink>
    </w:p>
    <w:p>
      <w:pPr>
        <w:pStyle w:val="BodyText"/>
        <w:spacing w:line="360" w:lineRule="auto" w:before="160"/>
      </w:pPr>
      <w:r>
        <w:rPr>
          <w:color w:val="212121"/>
        </w:rPr>
        <w:t>Hung,</w:t>
      </w:r>
      <w:r>
        <w:rPr>
          <w:color w:val="212121"/>
          <w:spacing w:val="-4"/>
        </w:rPr>
        <w:t> </w:t>
      </w:r>
      <w:r>
        <w:rPr>
          <w:color w:val="212121"/>
        </w:rPr>
        <w:t>C.</w:t>
      </w:r>
      <w:r>
        <w:rPr>
          <w:color w:val="212121"/>
          <w:spacing w:val="-4"/>
        </w:rPr>
        <w:t> </w:t>
      </w:r>
      <w:r>
        <w:rPr>
          <w:color w:val="212121"/>
        </w:rPr>
        <w:t>and</w:t>
      </w:r>
      <w:r>
        <w:rPr>
          <w:color w:val="212121"/>
          <w:spacing w:val="-2"/>
        </w:rPr>
        <w:t> </w:t>
      </w:r>
      <w:r>
        <w:rPr>
          <w:color w:val="212121"/>
        </w:rPr>
        <w:t>Hager,</w:t>
      </w:r>
      <w:r>
        <w:rPr>
          <w:color w:val="212121"/>
          <w:spacing w:val="-4"/>
        </w:rPr>
        <w:t> </w:t>
      </w:r>
      <w:r>
        <w:rPr>
          <w:color w:val="212121"/>
        </w:rPr>
        <w:t>M.A.,</w:t>
      </w:r>
      <w:r>
        <w:rPr>
          <w:color w:val="212121"/>
          <w:spacing w:val="-4"/>
        </w:rPr>
        <w:t> </w:t>
      </w:r>
      <w:r>
        <w:rPr>
          <w:color w:val="212121"/>
        </w:rPr>
        <w:t>2019.</w:t>
      </w:r>
      <w:r>
        <w:rPr>
          <w:color w:val="212121"/>
          <w:spacing w:val="-10"/>
        </w:rPr>
        <w:t> </w:t>
      </w:r>
      <w:r>
        <w:rPr>
          <w:color w:val="212121"/>
        </w:rPr>
        <w:t>The</w:t>
      </w:r>
      <w:r>
        <w:rPr>
          <w:color w:val="212121"/>
          <w:spacing w:val="-6"/>
        </w:rPr>
        <w:t> </w:t>
      </w:r>
      <w:r>
        <w:rPr>
          <w:color w:val="212121"/>
        </w:rPr>
        <w:t>impact</w:t>
      </w:r>
      <w:r>
        <w:rPr>
          <w:color w:val="212121"/>
          <w:spacing w:val="-4"/>
        </w:rPr>
        <w:t> </w:t>
      </w:r>
      <w:r>
        <w:rPr>
          <w:color w:val="212121"/>
        </w:rPr>
        <w:t>of</w:t>
      </w:r>
      <w:r>
        <w:rPr>
          <w:color w:val="212121"/>
          <w:spacing w:val="-3"/>
        </w:rPr>
        <w:t> </w:t>
      </w:r>
      <w:r>
        <w:rPr>
          <w:color w:val="212121"/>
        </w:rPr>
        <w:t>revenue</w:t>
      </w:r>
      <w:r>
        <w:rPr>
          <w:color w:val="212121"/>
          <w:spacing w:val="-5"/>
        </w:rPr>
        <w:t> </w:t>
      </w:r>
      <w:r>
        <w:rPr>
          <w:color w:val="212121"/>
        </w:rPr>
        <w:t>diversification</w:t>
      </w:r>
      <w:r>
        <w:rPr>
          <w:color w:val="212121"/>
          <w:spacing w:val="-4"/>
        </w:rPr>
        <w:t> </w:t>
      </w:r>
      <w:r>
        <w:rPr>
          <w:color w:val="212121"/>
        </w:rPr>
        <w:t>on</w:t>
      </w:r>
      <w:r>
        <w:rPr>
          <w:color w:val="212121"/>
          <w:spacing w:val="-2"/>
        </w:rPr>
        <w:t> </w:t>
      </w:r>
      <w:r>
        <w:rPr>
          <w:color w:val="212121"/>
        </w:rPr>
        <w:t>nonprofit</w:t>
      </w:r>
      <w:r>
        <w:rPr>
          <w:color w:val="212121"/>
          <w:spacing w:val="-4"/>
        </w:rPr>
        <w:t> </w:t>
      </w:r>
      <w:r>
        <w:rPr>
          <w:color w:val="212121"/>
        </w:rPr>
        <w:t>financial health:</w:t>
      </w:r>
      <w:r>
        <w:rPr>
          <w:color w:val="212121"/>
          <w:spacing w:val="-3"/>
        </w:rPr>
        <w:t> </w:t>
      </w:r>
      <w:r>
        <w:rPr>
          <w:color w:val="212121"/>
        </w:rPr>
        <w:t>A</w:t>
      </w:r>
      <w:r>
        <w:rPr>
          <w:color w:val="212121"/>
          <w:spacing w:val="-4"/>
        </w:rPr>
        <w:t> </w:t>
      </w:r>
      <w:r>
        <w:rPr>
          <w:color w:val="212121"/>
        </w:rPr>
        <w:t>meta-analysis. </w:t>
      </w:r>
      <w:r>
        <w:rPr>
          <w:i/>
          <w:color w:val="212121"/>
        </w:rPr>
        <w:t>Nonprofit and voluntary sector quarterly</w:t>
      </w:r>
      <w:r>
        <w:rPr>
          <w:color w:val="212121"/>
        </w:rPr>
        <w:t>, </w:t>
      </w:r>
      <w:r>
        <w:rPr>
          <w:i/>
          <w:color w:val="212121"/>
        </w:rPr>
        <w:t>48</w:t>
      </w:r>
      <w:r>
        <w:rPr>
          <w:color w:val="212121"/>
        </w:rPr>
        <w:t>(1), pp.5-27. </w:t>
      </w:r>
      <w:hyperlink r:id="rId12">
        <w:r>
          <w:rPr>
            <w:color w:val="0562C1"/>
            <w:spacing w:val="-2"/>
            <w:u w:val="single" w:color="0562C1"/>
          </w:rPr>
          <w:t>https://journals.sagepub.com/doi/full/10.1177/0899764018807080</w:t>
        </w:r>
      </w:hyperlink>
    </w:p>
    <w:p>
      <w:pPr>
        <w:spacing w:line="360" w:lineRule="auto" w:before="160"/>
        <w:ind w:left="100" w:right="0" w:firstLine="0"/>
        <w:jc w:val="left"/>
        <w:rPr>
          <w:sz w:val="24"/>
        </w:rPr>
      </w:pPr>
      <w:r>
        <w:rPr>
          <w:color w:val="212121"/>
          <w:sz w:val="24"/>
        </w:rPr>
        <w:t>Husna,</w:t>
      </w:r>
      <w:r>
        <w:rPr>
          <w:color w:val="212121"/>
          <w:spacing w:val="-15"/>
          <w:sz w:val="24"/>
        </w:rPr>
        <w:t> </w:t>
      </w:r>
      <w:r>
        <w:rPr>
          <w:color w:val="212121"/>
          <w:sz w:val="24"/>
        </w:rPr>
        <w:t>A.</w:t>
      </w:r>
      <w:r>
        <w:rPr>
          <w:color w:val="212121"/>
          <w:spacing w:val="-4"/>
          <w:sz w:val="24"/>
        </w:rPr>
        <w:t> </w:t>
      </w:r>
      <w:r>
        <w:rPr>
          <w:color w:val="212121"/>
          <w:sz w:val="24"/>
        </w:rPr>
        <w:t>and</w:t>
      </w:r>
      <w:r>
        <w:rPr>
          <w:color w:val="212121"/>
          <w:spacing w:val="-3"/>
          <w:sz w:val="24"/>
        </w:rPr>
        <w:t> </w:t>
      </w:r>
      <w:r>
        <w:rPr>
          <w:color w:val="212121"/>
          <w:sz w:val="24"/>
        </w:rPr>
        <w:t>Satria,</w:t>
      </w:r>
      <w:r>
        <w:rPr>
          <w:color w:val="212121"/>
          <w:spacing w:val="-1"/>
          <w:sz w:val="24"/>
        </w:rPr>
        <w:t> </w:t>
      </w:r>
      <w:r>
        <w:rPr>
          <w:color w:val="212121"/>
          <w:sz w:val="24"/>
        </w:rPr>
        <w:t>I.,</w:t>
      </w:r>
      <w:r>
        <w:rPr>
          <w:color w:val="212121"/>
          <w:spacing w:val="-1"/>
          <w:sz w:val="24"/>
        </w:rPr>
        <w:t> </w:t>
      </w:r>
      <w:r>
        <w:rPr>
          <w:color w:val="212121"/>
          <w:sz w:val="24"/>
        </w:rPr>
        <w:t>2019.</w:t>
      </w:r>
      <w:r>
        <w:rPr>
          <w:color w:val="212121"/>
          <w:spacing w:val="-3"/>
          <w:sz w:val="24"/>
        </w:rPr>
        <w:t> </w:t>
      </w:r>
      <w:r>
        <w:rPr>
          <w:color w:val="212121"/>
          <w:sz w:val="24"/>
        </w:rPr>
        <w:t>Effects</w:t>
      </w:r>
      <w:r>
        <w:rPr>
          <w:color w:val="212121"/>
          <w:spacing w:val="-4"/>
          <w:sz w:val="24"/>
        </w:rPr>
        <w:t> </w:t>
      </w:r>
      <w:r>
        <w:rPr>
          <w:color w:val="212121"/>
          <w:sz w:val="24"/>
        </w:rPr>
        <w:t>of</w:t>
      </w:r>
      <w:r>
        <w:rPr>
          <w:color w:val="212121"/>
          <w:spacing w:val="-3"/>
          <w:sz w:val="24"/>
        </w:rPr>
        <w:t> </w:t>
      </w:r>
      <w:r>
        <w:rPr>
          <w:color w:val="212121"/>
          <w:sz w:val="24"/>
        </w:rPr>
        <w:t>return</w:t>
      </w:r>
      <w:r>
        <w:rPr>
          <w:color w:val="212121"/>
          <w:spacing w:val="-3"/>
          <w:sz w:val="24"/>
        </w:rPr>
        <w:t> </w:t>
      </w:r>
      <w:r>
        <w:rPr>
          <w:color w:val="212121"/>
          <w:sz w:val="24"/>
        </w:rPr>
        <w:t>on</w:t>
      </w:r>
      <w:r>
        <w:rPr>
          <w:color w:val="212121"/>
          <w:spacing w:val="-3"/>
          <w:sz w:val="24"/>
        </w:rPr>
        <w:t> </w:t>
      </w:r>
      <w:r>
        <w:rPr>
          <w:color w:val="212121"/>
          <w:sz w:val="24"/>
        </w:rPr>
        <w:t>asset,</w:t>
      </w:r>
      <w:r>
        <w:rPr>
          <w:color w:val="212121"/>
          <w:spacing w:val="-3"/>
          <w:sz w:val="24"/>
        </w:rPr>
        <w:t> </w:t>
      </w:r>
      <w:r>
        <w:rPr>
          <w:color w:val="212121"/>
          <w:sz w:val="24"/>
        </w:rPr>
        <w:t>debt</w:t>
      </w:r>
      <w:r>
        <w:rPr>
          <w:color w:val="212121"/>
          <w:spacing w:val="-3"/>
          <w:sz w:val="24"/>
        </w:rPr>
        <w:t> </w:t>
      </w:r>
      <w:r>
        <w:rPr>
          <w:color w:val="212121"/>
          <w:sz w:val="24"/>
        </w:rPr>
        <w:t>to</w:t>
      </w:r>
      <w:r>
        <w:rPr>
          <w:color w:val="212121"/>
          <w:spacing w:val="-3"/>
          <w:sz w:val="24"/>
        </w:rPr>
        <w:t> </w:t>
      </w:r>
      <w:r>
        <w:rPr>
          <w:color w:val="212121"/>
          <w:sz w:val="24"/>
        </w:rPr>
        <w:t>asset</w:t>
      </w:r>
      <w:r>
        <w:rPr>
          <w:color w:val="212121"/>
          <w:spacing w:val="-3"/>
          <w:sz w:val="24"/>
        </w:rPr>
        <w:t> </w:t>
      </w:r>
      <w:r>
        <w:rPr>
          <w:color w:val="212121"/>
          <w:sz w:val="24"/>
        </w:rPr>
        <w:t>ratio,</w:t>
      </w:r>
      <w:r>
        <w:rPr>
          <w:color w:val="212121"/>
          <w:spacing w:val="-3"/>
          <w:sz w:val="24"/>
        </w:rPr>
        <w:t> </w:t>
      </w:r>
      <w:r>
        <w:rPr>
          <w:color w:val="212121"/>
          <w:sz w:val="24"/>
        </w:rPr>
        <w:t>current</w:t>
      </w:r>
      <w:r>
        <w:rPr>
          <w:color w:val="212121"/>
          <w:spacing w:val="-3"/>
          <w:sz w:val="24"/>
        </w:rPr>
        <w:t> </w:t>
      </w:r>
      <w:r>
        <w:rPr>
          <w:color w:val="212121"/>
          <w:sz w:val="24"/>
        </w:rPr>
        <w:t>ratio,</w:t>
      </w:r>
      <w:r>
        <w:rPr>
          <w:color w:val="212121"/>
          <w:spacing w:val="-3"/>
          <w:sz w:val="24"/>
        </w:rPr>
        <w:t> </w:t>
      </w:r>
      <w:r>
        <w:rPr>
          <w:color w:val="212121"/>
          <w:sz w:val="24"/>
        </w:rPr>
        <w:t>firm size, and dividend payout ratio on firm value. </w:t>
      </w:r>
      <w:r>
        <w:rPr>
          <w:i/>
          <w:color w:val="212121"/>
          <w:sz w:val="24"/>
        </w:rPr>
        <w:t>International Journal of Economics and</w:t>
      </w:r>
      <w:r>
        <w:rPr>
          <w:i/>
          <w:color w:val="212121"/>
          <w:sz w:val="24"/>
        </w:rPr>
        <w:t> Financial Issues</w:t>
      </w:r>
      <w:r>
        <w:rPr>
          <w:color w:val="212121"/>
          <w:sz w:val="24"/>
        </w:rPr>
        <w:t>, </w:t>
      </w:r>
      <w:r>
        <w:rPr>
          <w:i/>
          <w:color w:val="212121"/>
          <w:sz w:val="24"/>
        </w:rPr>
        <w:t>9</w:t>
      </w:r>
      <w:r>
        <w:rPr>
          <w:color w:val="212121"/>
          <w:sz w:val="24"/>
        </w:rPr>
        <w:t>(5), pp.50-54. </w:t>
      </w:r>
      <w:hyperlink r:id="rId13">
        <w:r>
          <w:rPr>
            <w:color w:val="0562C1"/>
            <w:sz w:val="24"/>
            <w:u w:val="single" w:color="0562C1"/>
          </w:rPr>
          <w:t>https://www.academia.edu/download/72349718/pdf.pdf</w:t>
        </w:r>
      </w:hyperlink>
    </w:p>
    <w:p>
      <w:pPr>
        <w:pStyle w:val="BodyText"/>
        <w:spacing w:line="360" w:lineRule="auto" w:before="160"/>
      </w:pPr>
      <w:r>
        <w:rPr>
          <w:color w:val="212121"/>
        </w:rPr>
        <w:t>Juwita,</w:t>
      </w:r>
      <w:r>
        <w:rPr>
          <w:color w:val="212121"/>
          <w:spacing w:val="-4"/>
        </w:rPr>
        <w:t> </w:t>
      </w:r>
      <w:r>
        <w:rPr>
          <w:color w:val="212121"/>
        </w:rPr>
        <w:t>C.P.</w:t>
      </w:r>
      <w:r>
        <w:rPr>
          <w:color w:val="212121"/>
          <w:spacing w:val="-4"/>
        </w:rPr>
        <w:t> </w:t>
      </w:r>
      <w:r>
        <w:rPr>
          <w:color w:val="212121"/>
        </w:rPr>
        <w:t>and</w:t>
      </w:r>
      <w:r>
        <w:rPr>
          <w:color w:val="212121"/>
          <w:spacing w:val="-4"/>
        </w:rPr>
        <w:t> </w:t>
      </w:r>
      <w:r>
        <w:rPr>
          <w:color w:val="212121"/>
        </w:rPr>
        <w:t>Diana,</w:t>
      </w:r>
      <w:r>
        <w:rPr>
          <w:color w:val="212121"/>
          <w:spacing w:val="-2"/>
        </w:rPr>
        <w:t> </w:t>
      </w:r>
      <w:r>
        <w:rPr>
          <w:color w:val="212121"/>
        </w:rPr>
        <w:t>N.,</w:t>
      </w:r>
      <w:r>
        <w:rPr>
          <w:color w:val="212121"/>
          <w:spacing w:val="-4"/>
        </w:rPr>
        <w:t> </w:t>
      </w:r>
      <w:r>
        <w:rPr>
          <w:color w:val="212121"/>
        </w:rPr>
        <w:t>2020.</w:t>
      </w:r>
      <w:r>
        <w:rPr>
          <w:color w:val="212121"/>
          <w:spacing w:val="-10"/>
        </w:rPr>
        <w:t> </w:t>
      </w:r>
      <w:r>
        <w:rPr>
          <w:color w:val="212121"/>
        </w:rPr>
        <w:t>The</w:t>
      </w:r>
      <w:r>
        <w:rPr>
          <w:color w:val="212121"/>
          <w:spacing w:val="-6"/>
        </w:rPr>
        <w:t> </w:t>
      </w:r>
      <w:r>
        <w:rPr>
          <w:color w:val="212121"/>
        </w:rPr>
        <w:t>Effect</w:t>
      </w:r>
      <w:r>
        <w:rPr>
          <w:color w:val="212121"/>
          <w:spacing w:val="-4"/>
        </w:rPr>
        <w:t> </w:t>
      </w:r>
      <w:r>
        <w:rPr>
          <w:color w:val="212121"/>
        </w:rPr>
        <w:t>of</w:t>
      </w:r>
      <w:r>
        <w:rPr>
          <w:color w:val="212121"/>
          <w:spacing w:val="-3"/>
        </w:rPr>
        <w:t> </w:t>
      </w:r>
      <w:r>
        <w:rPr>
          <w:color w:val="212121"/>
        </w:rPr>
        <w:t>Debt</w:t>
      </w:r>
      <w:r>
        <w:rPr>
          <w:color w:val="212121"/>
          <w:spacing w:val="-4"/>
        </w:rPr>
        <w:t> </w:t>
      </w:r>
      <w:r>
        <w:rPr>
          <w:color w:val="212121"/>
        </w:rPr>
        <w:t>to</w:t>
      </w:r>
      <w:r>
        <w:rPr>
          <w:color w:val="212121"/>
          <w:spacing w:val="-4"/>
        </w:rPr>
        <w:t> </w:t>
      </w:r>
      <w:r>
        <w:rPr>
          <w:color w:val="212121"/>
        </w:rPr>
        <w:t>Equity</w:t>
      </w:r>
      <w:r>
        <w:rPr>
          <w:color w:val="212121"/>
          <w:spacing w:val="-9"/>
        </w:rPr>
        <w:t> </w:t>
      </w:r>
      <w:r>
        <w:rPr>
          <w:color w:val="212121"/>
        </w:rPr>
        <w:t>Ratio</w:t>
      </w:r>
      <w:r>
        <w:rPr>
          <w:color w:val="212121"/>
          <w:spacing w:val="-4"/>
        </w:rPr>
        <w:t> </w:t>
      </w:r>
      <w:r>
        <w:rPr>
          <w:color w:val="212121"/>
        </w:rPr>
        <w:t>and</w:t>
      </w:r>
      <w:r>
        <w:rPr>
          <w:color w:val="212121"/>
          <w:spacing w:val="-2"/>
        </w:rPr>
        <w:t> </w:t>
      </w:r>
      <w:r>
        <w:rPr>
          <w:color w:val="212121"/>
        </w:rPr>
        <w:t>Return</w:t>
      </w:r>
      <w:r>
        <w:rPr>
          <w:color w:val="212121"/>
          <w:spacing w:val="-4"/>
        </w:rPr>
        <w:t> </w:t>
      </w:r>
      <w:r>
        <w:rPr>
          <w:color w:val="212121"/>
        </w:rPr>
        <w:t>on</w:t>
      </w:r>
      <w:r>
        <w:rPr>
          <w:color w:val="212121"/>
          <w:spacing w:val="-4"/>
        </w:rPr>
        <w:t> </w:t>
      </w:r>
      <w:r>
        <w:rPr>
          <w:color w:val="212121"/>
        </w:rPr>
        <w:t>Equity</w:t>
      </w:r>
      <w:r>
        <w:rPr>
          <w:color w:val="212121"/>
          <w:spacing w:val="-9"/>
        </w:rPr>
        <w:t> </w:t>
      </w:r>
      <w:r>
        <w:rPr>
          <w:color w:val="212121"/>
        </w:rPr>
        <w:t>on Stock Price in Jakarta Islamic Index Companies on Indonesia Stock Exchange Period 2015-</w:t>
      </w:r>
    </w:p>
    <w:p>
      <w:pPr>
        <w:spacing w:after="0" w:line="360" w:lineRule="auto"/>
        <w:sectPr>
          <w:pgSz w:w="11910" w:h="16840"/>
          <w:pgMar w:header="0" w:footer="957" w:top="1760" w:bottom="1140" w:left="1340" w:right="1320"/>
        </w:sectPr>
      </w:pPr>
    </w:p>
    <w:p>
      <w:pPr>
        <w:spacing w:line="360" w:lineRule="auto" w:before="60"/>
        <w:ind w:left="100" w:right="0" w:firstLine="0"/>
        <w:jc w:val="left"/>
        <w:rPr>
          <w:sz w:val="24"/>
        </w:rPr>
      </w:pPr>
      <w:r>
        <w:rPr>
          <w:color w:val="212121"/>
          <w:sz w:val="24"/>
        </w:rPr>
        <w:t>2019. </w:t>
      </w:r>
      <w:r>
        <w:rPr>
          <w:i/>
          <w:color w:val="212121"/>
          <w:sz w:val="24"/>
        </w:rPr>
        <w:t>Management Analysis Journal</w:t>
      </w:r>
      <w:r>
        <w:rPr>
          <w:color w:val="212121"/>
          <w:sz w:val="24"/>
        </w:rPr>
        <w:t>, </w:t>
      </w:r>
      <w:r>
        <w:rPr>
          <w:i/>
          <w:color w:val="212121"/>
          <w:sz w:val="24"/>
        </w:rPr>
        <w:t>9</w:t>
      </w:r>
      <w:r>
        <w:rPr>
          <w:color w:val="212121"/>
          <w:sz w:val="24"/>
        </w:rPr>
        <w:t>(4), pp.434-441. </w:t>
      </w:r>
      <w:hyperlink r:id="rId14">
        <w:r>
          <w:rPr>
            <w:color w:val="0562C1"/>
            <w:spacing w:val="-2"/>
            <w:sz w:val="24"/>
            <w:u w:val="single" w:color="0562C1"/>
          </w:rPr>
          <w:t>https://journal.unnes.ac.id/sju/index.php/maj/article/view/41890/17774</w:t>
        </w:r>
      </w:hyperlink>
    </w:p>
    <w:p>
      <w:pPr>
        <w:pStyle w:val="BodyText"/>
        <w:spacing w:line="360" w:lineRule="auto" w:before="162"/>
        <w:ind w:right="271"/>
      </w:pPr>
      <w:r>
        <w:rPr>
          <w:color w:val="212121"/>
        </w:rPr>
        <w:t>Keiningham, T.,</w:t>
      </w:r>
      <w:r>
        <w:rPr>
          <w:color w:val="212121"/>
          <w:spacing w:val="-10"/>
        </w:rPr>
        <w:t> </w:t>
      </w:r>
      <w:r>
        <w:rPr>
          <w:color w:val="212121"/>
        </w:rPr>
        <w:t>Aksoy, L., Bruce, H.L., Cadet, F., Clennell, N., Hodgkinson, I.R. and Kearney, T., 2020. Customer experience driven business model innovation. </w:t>
      </w:r>
      <w:r>
        <w:rPr>
          <w:i/>
          <w:color w:val="212121"/>
        </w:rPr>
        <w:t>Journal of</w:t>
      </w:r>
      <w:r>
        <w:rPr>
          <w:i/>
          <w:color w:val="212121"/>
        </w:rPr>
        <w:t> Business</w:t>
      </w:r>
      <w:r>
        <w:rPr>
          <w:i/>
          <w:color w:val="212121"/>
          <w:spacing w:val="-15"/>
        </w:rPr>
        <w:t> </w:t>
      </w:r>
      <w:r>
        <w:rPr>
          <w:i/>
          <w:color w:val="212121"/>
        </w:rPr>
        <w:t>Research</w:t>
      </w:r>
      <w:r>
        <w:rPr>
          <w:color w:val="212121"/>
        </w:rPr>
        <w:t>,</w:t>
      </w:r>
      <w:r>
        <w:rPr>
          <w:color w:val="212121"/>
          <w:spacing w:val="-15"/>
        </w:rPr>
        <w:t> </w:t>
      </w:r>
      <w:r>
        <w:rPr>
          <w:i/>
          <w:color w:val="212121"/>
        </w:rPr>
        <w:t>116</w:t>
      </w:r>
      <w:r>
        <w:rPr>
          <w:color w:val="212121"/>
        </w:rPr>
        <w:t>,</w:t>
      </w:r>
      <w:r>
        <w:rPr>
          <w:color w:val="212121"/>
          <w:spacing w:val="-15"/>
        </w:rPr>
        <w:t> </w:t>
      </w:r>
      <w:r>
        <w:rPr>
          <w:color w:val="212121"/>
        </w:rPr>
        <w:t>pp.431-440.</w:t>
      </w:r>
      <w:r>
        <w:rPr>
          <w:color w:val="212121"/>
          <w:spacing w:val="-15"/>
        </w:rPr>
        <w:t> </w:t>
      </w:r>
      <w:hyperlink r:id="rId15">
        <w:r>
          <w:rPr>
            <w:color w:val="0562C1"/>
            <w:u w:val="single" w:color="0562C1"/>
          </w:rPr>
          <w:t>https://livrepository.liverpool.ac.uk/3053221/1/JBR-D-</w:t>
        </w:r>
      </w:hyperlink>
      <w:r>
        <w:rPr>
          <w:color w:val="0562C1"/>
        </w:rPr>
        <w:t> </w:t>
      </w:r>
      <w:hyperlink r:id="rId15">
        <w:r>
          <w:rPr>
            <w:color w:val="0562C1"/>
            <w:spacing w:val="-2"/>
            <w:u w:val="single" w:color="0562C1"/>
          </w:rPr>
          <w:t>19-00317R2%20AAM.pdf</w:t>
        </w:r>
      </w:hyperlink>
    </w:p>
    <w:p>
      <w:pPr>
        <w:pStyle w:val="BodyText"/>
        <w:spacing w:line="360" w:lineRule="auto" w:before="158"/>
        <w:ind w:right="5"/>
      </w:pPr>
      <w:r>
        <w:rPr>
          <w:color w:val="212121"/>
        </w:rPr>
        <w:t>Komal, B., Janjua, U.I.,</w:t>
      </w:r>
      <w:r>
        <w:rPr>
          <w:color w:val="212121"/>
          <w:spacing w:val="-8"/>
        </w:rPr>
        <w:t> </w:t>
      </w:r>
      <w:r>
        <w:rPr>
          <w:color w:val="212121"/>
        </w:rPr>
        <w:t>Anwar, F., Madni, T.M., Cheema, M.F., Malik, M.N. and Shahid, A.R.,</w:t>
      </w:r>
      <w:r>
        <w:rPr>
          <w:color w:val="212121"/>
          <w:spacing w:val="-4"/>
        </w:rPr>
        <w:t> </w:t>
      </w:r>
      <w:r>
        <w:rPr>
          <w:color w:val="212121"/>
        </w:rPr>
        <w:t>2020.</w:t>
      </w:r>
      <w:r>
        <w:rPr>
          <w:color w:val="212121"/>
          <w:spacing w:val="-8"/>
        </w:rPr>
        <w:t> </w:t>
      </w:r>
      <w:r>
        <w:rPr>
          <w:color w:val="212121"/>
        </w:rPr>
        <w:t>The</w:t>
      </w:r>
      <w:r>
        <w:rPr>
          <w:color w:val="212121"/>
          <w:spacing w:val="-5"/>
        </w:rPr>
        <w:t> </w:t>
      </w:r>
      <w:r>
        <w:rPr>
          <w:color w:val="212121"/>
        </w:rPr>
        <w:t>impact</w:t>
      </w:r>
      <w:r>
        <w:rPr>
          <w:color w:val="212121"/>
          <w:spacing w:val="-3"/>
        </w:rPr>
        <w:t> </w:t>
      </w:r>
      <w:r>
        <w:rPr>
          <w:color w:val="212121"/>
        </w:rPr>
        <w:t>of</w:t>
      </w:r>
      <w:r>
        <w:rPr>
          <w:color w:val="212121"/>
          <w:spacing w:val="-3"/>
        </w:rPr>
        <w:t> </w:t>
      </w:r>
      <w:r>
        <w:rPr>
          <w:color w:val="212121"/>
        </w:rPr>
        <w:t>scope</w:t>
      </w:r>
      <w:r>
        <w:rPr>
          <w:color w:val="212121"/>
          <w:spacing w:val="-4"/>
        </w:rPr>
        <w:t> </w:t>
      </w:r>
      <w:r>
        <w:rPr>
          <w:color w:val="212121"/>
        </w:rPr>
        <w:t>creep</w:t>
      </w:r>
      <w:r>
        <w:rPr>
          <w:color w:val="212121"/>
          <w:spacing w:val="-3"/>
        </w:rPr>
        <w:t> </w:t>
      </w:r>
      <w:r>
        <w:rPr>
          <w:color w:val="212121"/>
        </w:rPr>
        <w:t>on</w:t>
      </w:r>
      <w:r>
        <w:rPr>
          <w:color w:val="212121"/>
          <w:spacing w:val="-3"/>
        </w:rPr>
        <w:t> </w:t>
      </w:r>
      <w:r>
        <w:rPr>
          <w:color w:val="212121"/>
        </w:rPr>
        <w:t>project</w:t>
      </w:r>
      <w:r>
        <w:rPr>
          <w:color w:val="212121"/>
          <w:spacing w:val="-3"/>
        </w:rPr>
        <w:t> </w:t>
      </w:r>
      <w:r>
        <w:rPr>
          <w:color w:val="212121"/>
        </w:rPr>
        <w:t>success:</w:t>
      </w:r>
      <w:r>
        <w:rPr>
          <w:color w:val="212121"/>
          <w:spacing w:val="-15"/>
        </w:rPr>
        <w:t> </w:t>
      </w:r>
      <w:r>
        <w:rPr>
          <w:color w:val="212121"/>
        </w:rPr>
        <w:t>An</w:t>
      </w:r>
      <w:r>
        <w:rPr>
          <w:color w:val="212121"/>
          <w:spacing w:val="-3"/>
        </w:rPr>
        <w:t> </w:t>
      </w:r>
      <w:r>
        <w:rPr>
          <w:color w:val="212121"/>
        </w:rPr>
        <w:t>empirical</w:t>
      </w:r>
      <w:r>
        <w:rPr>
          <w:color w:val="212121"/>
          <w:spacing w:val="-3"/>
        </w:rPr>
        <w:t> </w:t>
      </w:r>
      <w:r>
        <w:rPr>
          <w:color w:val="212121"/>
        </w:rPr>
        <w:t>investigation.</w:t>
      </w:r>
      <w:r>
        <w:rPr>
          <w:color w:val="212121"/>
          <w:spacing w:val="-1"/>
        </w:rPr>
        <w:t> </w:t>
      </w:r>
      <w:r>
        <w:rPr>
          <w:i/>
          <w:color w:val="212121"/>
        </w:rPr>
        <w:t>IEEE</w:t>
      </w:r>
      <w:r>
        <w:rPr>
          <w:i/>
          <w:color w:val="212121"/>
        </w:rPr>
        <w:t> Access</w:t>
      </w:r>
      <w:r>
        <w:rPr>
          <w:color w:val="212121"/>
        </w:rPr>
        <w:t>, </w:t>
      </w:r>
      <w:r>
        <w:rPr>
          <w:i/>
          <w:color w:val="212121"/>
        </w:rPr>
        <w:t>8</w:t>
      </w:r>
      <w:r>
        <w:rPr>
          <w:color w:val="212121"/>
        </w:rPr>
        <w:t>, pp.125755-125775.</w:t>
      </w:r>
    </w:p>
    <w:p>
      <w:pPr>
        <w:pStyle w:val="BodyText"/>
        <w:spacing w:before="2"/>
      </w:pPr>
      <w:hyperlink r:id="rId16">
        <w:r>
          <w:rPr>
            <w:color w:val="0562C1"/>
            <w:spacing w:val="-2"/>
            <w:u w:val="single" w:color="0562C1"/>
          </w:rPr>
          <w:t>https://ieeexplore.ieee.org/iel7/6287639/8948470/09133081.pdf</w:t>
        </w:r>
      </w:hyperlink>
    </w:p>
    <w:p>
      <w:pPr>
        <w:pStyle w:val="BodyText"/>
        <w:spacing w:before="22"/>
        <w:ind w:left="0"/>
      </w:pPr>
    </w:p>
    <w:p>
      <w:pPr>
        <w:pStyle w:val="BodyText"/>
        <w:spacing w:line="360" w:lineRule="auto"/>
        <w:ind w:right="737"/>
      </w:pPr>
      <w:r>
        <w:rPr>
          <w:color w:val="212121"/>
        </w:rPr>
        <w:t>Krulicky,</w:t>
      </w:r>
      <w:r>
        <w:rPr>
          <w:color w:val="212121"/>
          <w:spacing w:val="-11"/>
        </w:rPr>
        <w:t> </w:t>
      </w:r>
      <w:r>
        <w:rPr>
          <w:color w:val="212121"/>
        </w:rPr>
        <w:t>T.</w:t>
      </w:r>
      <w:r>
        <w:rPr>
          <w:color w:val="212121"/>
          <w:spacing w:val="-7"/>
        </w:rPr>
        <w:t> </w:t>
      </w:r>
      <w:r>
        <w:rPr>
          <w:color w:val="212121"/>
        </w:rPr>
        <w:t>and</w:t>
      </w:r>
      <w:r>
        <w:rPr>
          <w:color w:val="212121"/>
          <w:spacing w:val="-7"/>
        </w:rPr>
        <w:t> </w:t>
      </w:r>
      <w:r>
        <w:rPr>
          <w:color w:val="212121"/>
        </w:rPr>
        <w:t>Horak,</w:t>
      </w:r>
      <w:r>
        <w:rPr>
          <w:color w:val="212121"/>
          <w:spacing w:val="-7"/>
        </w:rPr>
        <w:t> </w:t>
      </w:r>
      <w:r>
        <w:rPr>
          <w:color w:val="212121"/>
        </w:rPr>
        <w:t>J.,</w:t>
      </w:r>
      <w:r>
        <w:rPr>
          <w:color w:val="212121"/>
          <w:spacing w:val="-7"/>
        </w:rPr>
        <w:t> </w:t>
      </w:r>
      <w:r>
        <w:rPr>
          <w:color w:val="212121"/>
        </w:rPr>
        <w:t>2021.</w:t>
      </w:r>
      <w:r>
        <w:rPr>
          <w:color w:val="212121"/>
          <w:spacing w:val="-7"/>
        </w:rPr>
        <w:t> </w:t>
      </w:r>
      <w:r>
        <w:rPr>
          <w:color w:val="212121"/>
        </w:rPr>
        <w:t>Business</w:t>
      </w:r>
      <w:r>
        <w:rPr>
          <w:color w:val="212121"/>
          <w:spacing w:val="-7"/>
        </w:rPr>
        <w:t> </w:t>
      </w:r>
      <w:r>
        <w:rPr>
          <w:color w:val="212121"/>
        </w:rPr>
        <w:t>performance</w:t>
      </w:r>
      <w:r>
        <w:rPr>
          <w:color w:val="212121"/>
          <w:spacing w:val="-7"/>
        </w:rPr>
        <w:t> </w:t>
      </w:r>
      <w:r>
        <w:rPr>
          <w:color w:val="212121"/>
        </w:rPr>
        <w:t>and</w:t>
      </w:r>
      <w:r>
        <w:rPr>
          <w:color w:val="212121"/>
          <w:spacing w:val="-5"/>
        </w:rPr>
        <w:t> </w:t>
      </w:r>
      <w:r>
        <w:rPr>
          <w:color w:val="212121"/>
        </w:rPr>
        <w:t>financial</w:t>
      </w:r>
      <w:r>
        <w:rPr>
          <w:color w:val="212121"/>
          <w:spacing w:val="-7"/>
        </w:rPr>
        <w:t> </w:t>
      </w:r>
      <w:r>
        <w:rPr>
          <w:color w:val="212121"/>
        </w:rPr>
        <w:t>health</w:t>
      </w:r>
      <w:r>
        <w:rPr>
          <w:color w:val="212121"/>
          <w:spacing w:val="-7"/>
        </w:rPr>
        <w:t> </w:t>
      </w:r>
      <w:r>
        <w:rPr>
          <w:color w:val="212121"/>
        </w:rPr>
        <w:t>assessment through artificial intelligence. </w:t>
      </w:r>
      <w:r>
        <w:rPr>
          <w:i/>
          <w:color w:val="212121"/>
        </w:rPr>
        <w:t>Ekonomicko-manazerske spektrum</w:t>
      </w:r>
      <w:r>
        <w:rPr>
          <w:color w:val="212121"/>
        </w:rPr>
        <w:t>, </w:t>
      </w:r>
      <w:r>
        <w:rPr>
          <w:i/>
          <w:color w:val="212121"/>
        </w:rPr>
        <w:t>15</w:t>
      </w:r>
      <w:r>
        <w:rPr>
          <w:color w:val="212121"/>
        </w:rPr>
        <w:t>(2), pp.38-51. </w:t>
      </w:r>
      <w:hyperlink r:id="rId17">
        <w:r>
          <w:rPr>
            <w:color w:val="0562C1"/>
            <w:spacing w:val="-2"/>
            <w:u w:val="single" w:color="0562C1"/>
          </w:rPr>
          <w:t>https://ems.uniza.sk/wp-content/uploads/EMS_2_2021_04_Krulicky_Horak.pdf</w:t>
        </w:r>
      </w:hyperlink>
    </w:p>
    <w:p>
      <w:pPr>
        <w:pStyle w:val="BodyText"/>
        <w:spacing w:line="360" w:lineRule="auto" w:before="160"/>
        <w:ind w:right="5"/>
      </w:pPr>
      <w:r>
        <w:rPr>
          <w:color w:val="212121"/>
        </w:rPr>
        <w:t>Kumoro, D.F.C., Novitasari, D.,</w:t>
      </w:r>
      <w:r>
        <w:rPr>
          <w:color w:val="212121"/>
          <w:spacing w:val="-7"/>
        </w:rPr>
        <w:t> </w:t>
      </w:r>
      <w:r>
        <w:rPr>
          <w:color w:val="212121"/>
        </w:rPr>
        <w:t>Yuwono,</w:t>
      </w:r>
      <w:r>
        <w:rPr>
          <w:color w:val="212121"/>
          <w:spacing w:val="-1"/>
        </w:rPr>
        <w:t> </w:t>
      </w:r>
      <w:r>
        <w:rPr>
          <w:color w:val="212121"/>
        </w:rPr>
        <w:t>T. and</w:t>
      </w:r>
      <w:r>
        <w:rPr>
          <w:color w:val="212121"/>
          <w:spacing w:val="-12"/>
        </w:rPr>
        <w:t> </w:t>
      </w:r>
      <w:r>
        <w:rPr>
          <w:color w:val="212121"/>
        </w:rPr>
        <w:t>Asbari, M., 2020.</w:t>
      </w:r>
      <w:r>
        <w:rPr>
          <w:color w:val="212121"/>
          <w:spacing w:val="-12"/>
        </w:rPr>
        <w:t> </w:t>
      </w:r>
      <w:r>
        <w:rPr>
          <w:color w:val="212121"/>
        </w:rPr>
        <w:t>Analysis of the Effect of Quick Ratio (QR),</w:t>
      </w:r>
      <w:r>
        <w:rPr>
          <w:color w:val="212121"/>
          <w:spacing w:val="-3"/>
        </w:rPr>
        <w:t> </w:t>
      </w:r>
      <w:r>
        <w:rPr>
          <w:color w:val="212121"/>
        </w:rPr>
        <w:t>Total</w:t>
      </w:r>
      <w:r>
        <w:rPr>
          <w:color w:val="212121"/>
          <w:spacing w:val="-9"/>
        </w:rPr>
        <w:t> </w:t>
      </w:r>
      <w:r>
        <w:rPr>
          <w:color w:val="212121"/>
        </w:rPr>
        <w:t>Assets</w:t>
      </w:r>
      <w:r>
        <w:rPr>
          <w:color w:val="212121"/>
          <w:spacing w:val="-2"/>
        </w:rPr>
        <w:t> </w:t>
      </w:r>
      <w:r>
        <w:rPr>
          <w:color w:val="212121"/>
        </w:rPr>
        <w:t>Turn Over (TATO), and Debt</w:t>
      </w:r>
      <w:r>
        <w:rPr>
          <w:color w:val="212121"/>
          <w:spacing w:val="-2"/>
        </w:rPr>
        <w:t> </w:t>
      </w:r>
      <w:r>
        <w:rPr>
          <w:color w:val="212121"/>
        </w:rPr>
        <w:t>To Equity</w:t>
      </w:r>
      <w:r>
        <w:rPr>
          <w:color w:val="212121"/>
          <w:spacing w:val="-2"/>
        </w:rPr>
        <w:t> </w:t>
      </w:r>
      <w:r>
        <w:rPr>
          <w:color w:val="212121"/>
        </w:rPr>
        <w:t>Ratio (DER) on Return On Equity (ROE) at PT. XYZ. </w:t>
      </w:r>
      <w:r>
        <w:rPr>
          <w:i/>
          <w:color w:val="212121"/>
        </w:rPr>
        <w:t>Journal of Industrial Engineering &amp; Management</w:t>
      </w:r>
      <w:r>
        <w:rPr>
          <w:i/>
          <w:color w:val="212121"/>
        </w:rPr>
        <w:t> </w:t>
      </w:r>
      <w:r>
        <w:rPr>
          <w:i/>
          <w:color w:val="212121"/>
          <w:spacing w:val="-2"/>
        </w:rPr>
        <w:t>Research</w:t>
      </w:r>
      <w:r>
        <w:rPr>
          <w:color w:val="212121"/>
          <w:spacing w:val="-2"/>
        </w:rPr>
        <w:t>, </w:t>
      </w:r>
      <w:r>
        <w:rPr>
          <w:i/>
          <w:color w:val="212121"/>
          <w:spacing w:val="-2"/>
        </w:rPr>
        <w:t>1</w:t>
      </w:r>
      <w:r>
        <w:rPr>
          <w:color w:val="212121"/>
          <w:spacing w:val="-2"/>
        </w:rPr>
        <w:t>(3), pp.166-183. </w:t>
      </w:r>
      <w:hyperlink r:id="rId18">
        <w:r>
          <w:rPr>
            <w:color w:val="0562C1"/>
            <w:spacing w:val="-2"/>
            <w:u w:val="single" w:color="0562C1"/>
          </w:rPr>
          <w:t>https://www.jiemar.org/index.php/jiemar/article/download/77/55</w:t>
        </w:r>
      </w:hyperlink>
    </w:p>
    <w:p>
      <w:pPr>
        <w:pStyle w:val="BodyText"/>
        <w:spacing w:line="360" w:lineRule="auto" w:before="161"/>
        <w:ind w:right="115"/>
      </w:pPr>
      <w:r>
        <w:rPr>
          <w:color w:val="212121"/>
        </w:rPr>
        <w:t>Malloy,</w:t>
      </w:r>
      <w:r>
        <w:rPr>
          <w:color w:val="212121"/>
          <w:spacing w:val="-13"/>
        </w:rPr>
        <w:t> </w:t>
      </w:r>
      <w:r>
        <w:rPr>
          <w:color w:val="212121"/>
        </w:rPr>
        <w:t>M.,</w:t>
      </w:r>
      <w:r>
        <w:rPr>
          <w:color w:val="212121"/>
          <w:spacing w:val="-8"/>
        </w:rPr>
        <w:t> </w:t>
      </w:r>
      <w:r>
        <w:rPr>
          <w:color w:val="212121"/>
        </w:rPr>
        <w:t>Martinez,</w:t>
      </w:r>
      <w:r>
        <w:rPr>
          <w:color w:val="212121"/>
          <w:spacing w:val="-8"/>
        </w:rPr>
        <w:t> </w:t>
      </w:r>
      <w:r>
        <w:rPr>
          <w:color w:val="212121"/>
        </w:rPr>
        <w:t>F.,</w:t>
      </w:r>
      <w:r>
        <w:rPr>
          <w:color w:val="212121"/>
          <w:spacing w:val="-6"/>
        </w:rPr>
        <w:t> </w:t>
      </w:r>
      <w:r>
        <w:rPr>
          <w:color w:val="212121"/>
        </w:rPr>
        <w:t>Styczynski,</w:t>
      </w:r>
      <w:r>
        <w:rPr>
          <w:color w:val="212121"/>
          <w:spacing w:val="-8"/>
        </w:rPr>
        <w:t> </w:t>
      </w:r>
      <w:r>
        <w:rPr>
          <w:color w:val="212121"/>
        </w:rPr>
        <w:t>M.F.</w:t>
      </w:r>
      <w:r>
        <w:rPr>
          <w:color w:val="212121"/>
          <w:spacing w:val="-6"/>
        </w:rPr>
        <w:t> </w:t>
      </w:r>
      <w:r>
        <w:rPr>
          <w:color w:val="212121"/>
        </w:rPr>
        <w:t>and</w:t>
      </w:r>
      <w:r>
        <w:rPr>
          <w:color w:val="212121"/>
          <w:spacing w:val="-12"/>
        </w:rPr>
        <w:t> </w:t>
      </w:r>
      <w:r>
        <w:rPr>
          <w:color w:val="212121"/>
        </w:rPr>
        <w:t>Thorp,</w:t>
      </w:r>
      <w:r>
        <w:rPr>
          <w:color w:val="212121"/>
          <w:spacing w:val="-16"/>
        </w:rPr>
        <w:t> </w:t>
      </w:r>
      <w:r>
        <w:rPr>
          <w:color w:val="212121"/>
        </w:rPr>
        <w:t>A.,</w:t>
      </w:r>
      <w:r>
        <w:rPr>
          <w:color w:val="212121"/>
          <w:spacing w:val="-8"/>
        </w:rPr>
        <w:t> </w:t>
      </w:r>
      <w:r>
        <w:rPr>
          <w:color w:val="212121"/>
        </w:rPr>
        <w:t>2022.</w:t>
      </w:r>
      <w:r>
        <w:rPr>
          <w:color w:val="212121"/>
          <w:spacing w:val="-8"/>
        </w:rPr>
        <w:t> </w:t>
      </w:r>
      <w:r>
        <w:rPr>
          <w:color w:val="212121"/>
        </w:rPr>
        <w:t>Retail</w:t>
      </w:r>
      <w:r>
        <w:rPr>
          <w:color w:val="212121"/>
          <w:spacing w:val="-8"/>
        </w:rPr>
        <w:t> </w:t>
      </w:r>
      <w:r>
        <w:rPr>
          <w:color w:val="212121"/>
        </w:rPr>
        <w:t>CBDC</w:t>
      </w:r>
      <w:r>
        <w:rPr>
          <w:color w:val="212121"/>
          <w:spacing w:val="-8"/>
        </w:rPr>
        <w:t> </w:t>
      </w:r>
      <w:r>
        <w:rPr>
          <w:color w:val="212121"/>
        </w:rPr>
        <w:t>and</w:t>
      </w:r>
      <w:r>
        <w:rPr>
          <w:color w:val="212121"/>
          <w:spacing w:val="-8"/>
        </w:rPr>
        <w:t> </w:t>
      </w:r>
      <w:r>
        <w:rPr>
          <w:color w:val="212121"/>
        </w:rPr>
        <w:t>US monetary policy implementation: A stylized balance sheet analysis. </w:t>
      </w:r>
      <w:hyperlink r:id="rId19">
        <w:r>
          <w:rPr>
            <w:color w:val="0562C1"/>
            <w:spacing w:val="-2"/>
            <w:u w:val="single" w:color="0562C1"/>
          </w:rPr>
          <w:t>https://www.federalreserve.gov/econres/feds/files/2022032pap.pdf</w:t>
        </w:r>
      </w:hyperlink>
    </w:p>
    <w:p>
      <w:pPr>
        <w:pStyle w:val="BodyText"/>
        <w:spacing w:line="360" w:lineRule="auto" w:before="160"/>
        <w:ind w:right="518"/>
      </w:pPr>
      <w:r>
        <w:rPr>
          <w:color w:val="212121"/>
        </w:rPr>
        <w:t>Qu,</w:t>
      </w:r>
      <w:r>
        <w:rPr>
          <w:color w:val="212121"/>
          <w:spacing w:val="-5"/>
        </w:rPr>
        <w:t> </w:t>
      </w:r>
      <w:r>
        <w:rPr>
          <w:color w:val="212121"/>
        </w:rPr>
        <w:t>H.,</w:t>
      </w:r>
      <w:r>
        <w:rPr>
          <w:color w:val="212121"/>
          <w:spacing w:val="-3"/>
        </w:rPr>
        <w:t> </w:t>
      </w:r>
      <w:r>
        <w:rPr>
          <w:color w:val="212121"/>
        </w:rPr>
        <w:t>2019.</w:t>
      </w:r>
      <w:r>
        <w:rPr>
          <w:color w:val="212121"/>
          <w:spacing w:val="-4"/>
        </w:rPr>
        <w:t> </w:t>
      </w:r>
      <w:r>
        <w:rPr>
          <w:color w:val="212121"/>
        </w:rPr>
        <w:t>Risk</w:t>
      </w:r>
      <w:r>
        <w:rPr>
          <w:color w:val="212121"/>
          <w:spacing w:val="-3"/>
        </w:rPr>
        <w:t> </w:t>
      </w:r>
      <w:r>
        <w:rPr>
          <w:color w:val="212121"/>
        </w:rPr>
        <w:t>and</w:t>
      </w:r>
      <w:r>
        <w:rPr>
          <w:color w:val="212121"/>
          <w:spacing w:val="-4"/>
        </w:rPr>
        <w:t> </w:t>
      </w:r>
      <w:r>
        <w:rPr>
          <w:color w:val="212121"/>
        </w:rPr>
        <w:t>diversification</w:t>
      </w:r>
      <w:r>
        <w:rPr>
          <w:color w:val="212121"/>
          <w:spacing w:val="-3"/>
        </w:rPr>
        <w:t> </w:t>
      </w:r>
      <w:r>
        <w:rPr>
          <w:color w:val="212121"/>
        </w:rPr>
        <w:t>of</w:t>
      </w:r>
      <w:r>
        <w:rPr>
          <w:color w:val="212121"/>
          <w:spacing w:val="-4"/>
        </w:rPr>
        <w:t> </w:t>
      </w:r>
      <w:r>
        <w:rPr>
          <w:color w:val="212121"/>
        </w:rPr>
        <w:t>nonprofit</w:t>
      </w:r>
      <w:r>
        <w:rPr>
          <w:color w:val="212121"/>
          <w:spacing w:val="-3"/>
        </w:rPr>
        <w:t> </w:t>
      </w:r>
      <w:r>
        <w:rPr>
          <w:color w:val="212121"/>
        </w:rPr>
        <w:t>revenue</w:t>
      </w:r>
      <w:r>
        <w:rPr>
          <w:color w:val="212121"/>
          <w:spacing w:val="-4"/>
        </w:rPr>
        <w:t> </w:t>
      </w:r>
      <w:r>
        <w:rPr>
          <w:color w:val="212121"/>
        </w:rPr>
        <w:t>portfolios:</w:t>
      </w:r>
      <w:r>
        <w:rPr>
          <w:color w:val="212121"/>
          <w:spacing w:val="-15"/>
        </w:rPr>
        <w:t> </w:t>
      </w:r>
      <w:r>
        <w:rPr>
          <w:color w:val="212121"/>
        </w:rPr>
        <w:t>Applying</w:t>
      </w:r>
      <w:r>
        <w:rPr>
          <w:color w:val="212121"/>
          <w:spacing w:val="-6"/>
        </w:rPr>
        <w:t> </w:t>
      </w:r>
      <w:r>
        <w:rPr>
          <w:color w:val="212121"/>
        </w:rPr>
        <w:t>modern portfolio theory to nonprofit revenue management. </w:t>
      </w:r>
      <w:r>
        <w:rPr>
          <w:i/>
          <w:color w:val="212121"/>
        </w:rPr>
        <w:t>Nonprofit management and</w:t>
      </w:r>
      <w:r>
        <w:rPr>
          <w:i/>
          <w:color w:val="212121"/>
        </w:rPr>
        <w:t> leadership</w:t>
      </w:r>
      <w:r>
        <w:rPr>
          <w:color w:val="212121"/>
        </w:rPr>
        <w:t>, </w:t>
      </w:r>
      <w:r>
        <w:rPr>
          <w:i/>
          <w:color w:val="212121"/>
        </w:rPr>
        <w:t>30</w:t>
      </w:r>
      <w:r>
        <w:rPr>
          <w:color w:val="212121"/>
        </w:rPr>
        <w:t>(2), pp.193-212. </w:t>
      </w:r>
      <w:hyperlink r:id="rId20">
        <w:r>
          <w:rPr>
            <w:color w:val="0562C1"/>
            <w:u w:val="single" w:color="0562C1"/>
          </w:rPr>
          <w:t>https://www.researchgate.net/profile/Heng-</w:t>
        </w:r>
      </w:hyperlink>
    </w:p>
    <w:p>
      <w:pPr>
        <w:pStyle w:val="BodyText"/>
        <w:spacing w:line="360" w:lineRule="auto"/>
        <w:ind w:right="122"/>
      </w:pPr>
      <w:hyperlink r:id="rId20">
        <w:r>
          <w:rPr>
            <w:color w:val="0562C1"/>
            <w:spacing w:val="-2"/>
            <w:u w:val="single" w:color="0562C1"/>
          </w:rPr>
          <w:t>Qu/publication/334970816_Risk_and_diversification_of_nonprofit_revenue_portfolios_Appl</w:t>
        </w:r>
      </w:hyperlink>
      <w:r>
        <w:rPr>
          <w:color w:val="0562C1"/>
          <w:spacing w:val="-2"/>
        </w:rPr>
        <w:t> </w:t>
      </w:r>
      <w:hyperlink r:id="rId20">
        <w:r>
          <w:rPr>
            <w:color w:val="0562C1"/>
            <w:spacing w:val="-2"/>
            <w:u w:val="single" w:color="0562C1"/>
          </w:rPr>
          <w:t>ying_modern_portfolio_theory_to_nonprofit_revenue_management/links/62389bb938535a75</w:t>
        </w:r>
      </w:hyperlink>
      <w:r>
        <w:rPr>
          <w:color w:val="0562C1"/>
          <w:spacing w:val="-2"/>
        </w:rPr>
        <w:t> </w:t>
      </w:r>
      <w:hyperlink r:id="rId20">
        <w:r>
          <w:rPr>
            <w:color w:val="0562C1"/>
            <w:spacing w:val="-2"/>
            <w:u w:val="single" w:color="0562C1"/>
          </w:rPr>
          <w:t>7f5620c8/Risk-and-diversification-of-nonprofit-revenue-portfolios-Applying-modern-</w:t>
        </w:r>
      </w:hyperlink>
      <w:r>
        <w:rPr>
          <w:color w:val="0562C1"/>
          <w:spacing w:val="-2"/>
        </w:rPr>
        <w:t> </w:t>
      </w:r>
      <w:hyperlink r:id="rId20">
        <w:r>
          <w:rPr>
            <w:color w:val="0562C1"/>
            <w:spacing w:val="-2"/>
            <w:u w:val="single" w:color="0562C1"/>
          </w:rPr>
          <w:t>portfolio-theory-to-nonprofit-revenue-management.pdf</w:t>
        </w:r>
      </w:hyperlink>
    </w:p>
    <w:p>
      <w:pPr>
        <w:pStyle w:val="BodyText"/>
        <w:spacing w:line="360" w:lineRule="auto" w:before="160"/>
      </w:pPr>
      <w:r>
        <w:rPr>
          <w:color w:val="212121"/>
        </w:rPr>
        <w:t>Robinson, T.R., 2020. </w:t>
      </w:r>
      <w:r>
        <w:rPr>
          <w:i/>
          <w:color w:val="212121"/>
        </w:rPr>
        <w:t>International financial statement analysis</w:t>
      </w:r>
      <w:r>
        <w:rPr>
          <w:color w:val="212121"/>
        </w:rPr>
        <w:t>. John Wiley &amp; Sons. </w:t>
      </w:r>
      <w:hyperlink r:id="rId21">
        <w:r>
          <w:rPr>
            <w:color w:val="0562C1"/>
            <w:spacing w:val="-2"/>
            <w:u w:val="single" w:color="0562C1"/>
          </w:rPr>
          <w:t>http://www.ir.harambeeuniversity.edu.et/bitstream/handle/123456789/1336/International%20</w:t>
        </w:r>
      </w:hyperlink>
      <w:r>
        <w:rPr>
          <w:color w:val="0562C1"/>
          <w:spacing w:val="-2"/>
        </w:rPr>
        <w:t> </w:t>
      </w:r>
      <w:hyperlink r:id="rId21">
        <w:r>
          <w:rPr>
            <w:color w:val="0562C1"/>
            <w:spacing w:val="-2"/>
            <w:u w:val="single" w:color="0562C1"/>
          </w:rPr>
          <w:t>Financial%20Statement%20Analysis%20%28%20PDFDrive.com%20%29.pdf?sequence=1</w:t>
        </w:r>
      </w:hyperlink>
      <w:r>
        <w:rPr>
          <w:color w:val="0562C1"/>
          <w:spacing w:val="-2"/>
        </w:rPr>
        <w:t> </w:t>
      </w:r>
      <w:hyperlink r:id="rId21">
        <w:r>
          <w:rPr>
            <w:color w:val="0562C1"/>
            <w:spacing w:val="-2"/>
            <w:u w:val="single" w:color="0562C1"/>
          </w:rPr>
          <w:t>&amp;isAllowed=y</w:t>
        </w:r>
      </w:hyperlink>
    </w:p>
    <w:p>
      <w:pPr>
        <w:spacing w:after="0" w:line="360" w:lineRule="auto"/>
        <w:sectPr>
          <w:pgSz w:w="11910" w:h="16840"/>
          <w:pgMar w:header="0" w:footer="957" w:top="1360" w:bottom="1140" w:left="1340" w:right="1320"/>
        </w:sectPr>
      </w:pPr>
    </w:p>
    <w:p>
      <w:pPr>
        <w:pStyle w:val="BodyText"/>
        <w:spacing w:line="360" w:lineRule="auto" w:before="60"/>
        <w:ind w:right="280"/>
      </w:pPr>
      <w:r>
        <w:rPr>
          <w:color w:val="212121"/>
        </w:rPr>
        <w:t>Saputra, F., 2022.</w:t>
      </w:r>
      <w:r>
        <w:rPr>
          <w:color w:val="212121"/>
          <w:spacing w:val="-6"/>
        </w:rPr>
        <w:t> </w:t>
      </w:r>
      <w:r>
        <w:rPr>
          <w:color w:val="212121"/>
        </w:rPr>
        <w:t>Analysis Effect Return on</w:t>
      </w:r>
      <w:r>
        <w:rPr>
          <w:color w:val="212121"/>
          <w:spacing w:val="-6"/>
        </w:rPr>
        <w:t> </w:t>
      </w:r>
      <w:r>
        <w:rPr>
          <w:color w:val="212121"/>
        </w:rPr>
        <w:t>Assets (ROA), Return on Equity (ROE) and Price Earning Ratio (PER) on Stock Prices of Coal Companies in the Indonesia Stock Exchange</w:t>
      </w:r>
      <w:r>
        <w:rPr>
          <w:color w:val="212121"/>
          <w:spacing w:val="-3"/>
        </w:rPr>
        <w:t> </w:t>
      </w:r>
      <w:r>
        <w:rPr>
          <w:color w:val="212121"/>
        </w:rPr>
        <w:t>(IDX)</w:t>
      </w:r>
      <w:r>
        <w:rPr>
          <w:color w:val="212121"/>
          <w:spacing w:val="-4"/>
        </w:rPr>
        <w:t> </w:t>
      </w:r>
      <w:r>
        <w:rPr>
          <w:color w:val="212121"/>
        </w:rPr>
        <w:t>Period</w:t>
      </w:r>
      <w:r>
        <w:rPr>
          <w:color w:val="212121"/>
          <w:spacing w:val="-2"/>
        </w:rPr>
        <w:t> </w:t>
      </w:r>
      <w:r>
        <w:rPr>
          <w:color w:val="212121"/>
        </w:rPr>
        <w:t>2018-2021.</w:t>
      </w:r>
      <w:r>
        <w:rPr>
          <w:color w:val="212121"/>
          <w:spacing w:val="-4"/>
        </w:rPr>
        <w:t> </w:t>
      </w:r>
      <w:r>
        <w:rPr>
          <w:i/>
          <w:color w:val="212121"/>
        </w:rPr>
        <w:t>Dinasti</w:t>
      </w:r>
      <w:r>
        <w:rPr>
          <w:i/>
          <w:color w:val="212121"/>
          <w:spacing w:val="-4"/>
        </w:rPr>
        <w:t> </w:t>
      </w:r>
      <w:r>
        <w:rPr>
          <w:i/>
          <w:color w:val="212121"/>
        </w:rPr>
        <w:t>International</w:t>
      </w:r>
      <w:r>
        <w:rPr>
          <w:i/>
          <w:color w:val="212121"/>
          <w:spacing w:val="-4"/>
        </w:rPr>
        <w:t> </w:t>
      </w:r>
      <w:r>
        <w:rPr>
          <w:i/>
          <w:color w:val="212121"/>
        </w:rPr>
        <w:t>Journal</w:t>
      </w:r>
      <w:r>
        <w:rPr>
          <w:i/>
          <w:color w:val="212121"/>
          <w:spacing w:val="-4"/>
        </w:rPr>
        <w:t> </w:t>
      </w:r>
      <w:r>
        <w:rPr>
          <w:i/>
          <w:color w:val="212121"/>
        </w:rPr>
        <w:t>of</w:t>
      </w:r>
      <w:r>
        <w:rPr>
          <w:i/>
          <w:color w:val="212121"/>
          <w:spacing w:val="-4"/>
        </w:rPr>
        <w:t> </w:t>
      </w:r>
      <w:r>
        <w:rPr>
          <w:i/>
          <w:color w:val="212121"/>
        </w:rPr>
        <w:t>Economics,</w:t>
      </w:r>
      <w:r>
        <w:rPr>
          <w:i/>
          <w:color w:val="212121"/>
          <w:spacing w:val="-4"/>
        </w:rPr>
        <w:t> </w:t>
      </w:r>
      <w:r>
        <w:rPr>
          <w:i/>
          <w:color w:val="212121"/>
        </w:rPr>
        <w:t>Finance</w:t>
      </w:r>
      <w:r>
        <w:rPr>
          <w:i/>
          <w:color w:val="212121"/>
          <w:spacing w:val="-1"/>
        </w:rPr>
        <w:t> </w:t>
      </w:r>
      <w:r>
        <w:rPr>
          <w:i/>
          <w:color w:val="212121"/>
        </w:rPr>
        <w:t>&amp;</w:t>
      </w:r>
      <w:r>
        <w:rPr>
          <w:i/>
          <w:color w:val="212121"/>
        </w:rPr>
        <w:t> Accounting</w:t>
      </w:r>
      <w:r>
        <w:rPr>
          <w:color w:val="212121"/>
        </w:rPr>
        <w:t>,</w:t>
      </w:r>
      <w:r>
        <w:rPr>
          <w:color w:val="212121"/>
          <w:spacing w:val="-4"/>
        </w:rPr>
        <w:t> </w:t>
      </w:r>
      <w:r>
        <w:rPr>
          <w:i/>
          <w:color w:val="212121"/>
        </w:rPr>
        <w:t>3</w:t>
      </w:r>
      <w:r>
        <w:rPr>
          <w:color w:val="212121"/>
        </w:rPr>
        <w:t>(1),</w:t>
      </w:r>
      <w:r>
        <w:rPr>
          <w:color w:val="212121"/>
          <w:spacing w:val="-1"/>
        </w:rPr>
        <w:t> </w:t>
      </w:r>
      <w:r>
        <w:rPr>
          <w:color w:val="212121"/>
        </w:rPr>
        <w:t>pp.82-94.</w:t>
      </w:r>
      <w:r>
        <w:rPr>
          <w:color w:val="212121"/>
          <w:spacing w:val="-1"/>
        </w:rPr>
        <w:t> </w:t>
      </w:r>
      <w:hyperlink r:id="rId22">
        <w:r>
          <w:rPr>
            <w:color w:val="0562C1"/>
            <w:spacing w:val="-2"/>
            <w:u w:val="single" w:color="0562C1"/>
          </w:rPr>
          <w:t>https://www.dinastipub.org/DIJEFA/article/download/1238/847</w:t>
        </w:r>
      </w:hyperlink>
    </w:p>
    <w:p>
      <w:pPr>
        <w:pStyle w:val="BodyText"/>
        <w:spacing w:line="360" w:lineRule="auto" w:before="162"/>
        <w:ind w:right="136"/>
      </w:pPr>
      <w:r>
        <w:rPr>
          <w:color w:val="212121"/>
        </w:rPr>
        <w:t>Sinsel, S.R., Riemke, R.L. and Hoffmann, V.H., 2020. Challenges and solution technologies for the integration of variable renewable energy sources—a review. </w:t>
      </w:r>
      <w:r>
        <w:rPr>
          <w:i/>
          <w:color w:val="212121"/>
        </w:rPr>
        <w:t>renewable energy</w:t>
      </w:r>
      <w:r>
        <w:rPr>
          <w:color w:val="212121"/>
        </w:rPr>
        <w:t>, </w:t>
      </w:r>
      <w:r>
        <w:rPr>
          <w:i/>
          <w:color w:val="212121"/>
        </w:rPr>
        <w:t>145</w:t>
      </w:r>
      <w:r>
        <w:rPr>
          <w:color w:val="212121"/>
        </w:rPr>
        <w:t>, pp.2271-2285. </w:t>
      </w:r>
      <w:hyperlink r:id="rId23">
        <w:r>
          <w:rPr>
            <w:color w:val="0562C1"/>
            <w:u w:val="single" w:color="0562C1"/>
          </w:rPr>
          <w:t>https://www.research-</w:t>
        </w:r>
      </w:hyperlink>
      <w:r>
        <w:rPr>
          <w:color w:val="0562C1"/>
        </w:rPr>
        <w:t> </w:t>
      </w:r>
      <w:hyperlink r:id="rId23">
        <w:r>
          <w:rPr>
            <w:color w:val="0562C1"/>
            <w:spacing w:val="-2"/>
            <w:u w:val="single" w:color="0562C1"/>
          </w:rPr>
          <w:t>collection.ethz.ch/bitstream/handle/20.500.11850/373407/Sinsel_et_al_2019(1).pdf?sequence</w:t>
        </w:r>
      </w:hyperlink>
    </w:p>
    <w:p>
      <w:pPr>
        <w:pStyle w:val="BodyText"/>
      </w:pPr>
      <w:hyperlink r:id="rId23">
        <w:r>
          <w:rPr>
            <w:color w:val="0562C1"/>
            <w:spacing w:val="-5"/>
            <w:u w:val="single" w:color="0562C1"/>
          </w:rPr>
          <w:t>=4</w:t>
        </w:r>
      </w:hyperlink>
    </w:p>
    <w:p>
      <w:pPr>
        <w:pStyle w:val="BodyText"/>
        <w:spacing w:before="22"/>
        <w:ind w:left="0"/>
      </w:pPr>
    </w:p>
    <w:p>
      <w:pPr>
        <w:pStyle w:val="BodyText"/>
        <w:spacing w:line="360" w:lineRule="auto"/>
      </w:pPr>
      <w:r>
        <w:rPr>
          <w:color w:val="212121"/>
        </w:rPr>
        <w:t>Sitompul,</w:t>
      </w:r>
      <w:r>
        <w:rPr>
          <w:color w:val="212121"/>
          <w:spacing w:val="-10"/>
        </w:rPr>
        <w:t> </w:t>
      </w:r>
      <w:r>
        <w:rPr>
          <w:color w:val="212121"/>
        </w:rPr>
        <w:t>S.</w:t>
      </w:r>
      <w:r>
        <w:rPr>
          <w:color w:val="212121"/>
          <w:spacing w:val="-4"/>
        </w:rPr>
        <w:t> </w:t>
      </w:r>
      <w:r>
        <w:rPr>
          <w:color w:val="212121"/>
        </w:rPr>
        <w:t>and</w:t>
      </w:r>
      <w:r>
        <w:rPr>
          <w:color w:val="212121"/>
          <w:spacing w:val="-4"/>
        </w:rPr>
        <w:t> </w:t>
      </w:r>
      <w:r>
        <w:rPr>
          <w:color w:val="212121"/>
        </w:rPr>
        <w:t>Khadijah,</w:t>
      </w:r>
      <w:r>
        <w:rPr>
          <w:color w:val="212121"/>
          <w:spacing w:val="-4"/>
        </w:rPr>
        <w:t> </w:t>
      </w:r>
      <w:r>
        <w:rPr>
          <w:color w:val="212121"/>
        </w:rPr>
        <w:t>S.,</w:t>
      </w:r>
      <w:r>
        <w:rPr>
          <w:color w:val="212121"/>
          <w:spacing w:val="-4"/>
        </w:rPr>
        <w:t> </w:t>
      </w:r>
      <w:r>
        <w:rPr>
          <w:color w:val="212121"/>
        </w:rPr>
        <w:t>2020.</w:t>
      </w:r>
      <w:r>
        <w:rPr>
          <w:color w:val="212121"/>
          <w:spacing w:val="-15"/>
        </w:rPr>
        <w:t> </w:t>
      </w:r>
      <w:r>
        <w:rPr>
          <w:color w:val="212121"/>
        </w:rPr>
        <w:t>Analysis</w:t>
      </w:r>
      <w:r>
        <w:rPr>
          <w:color w:val="212121"/>
          <w:spacing w:val="-4"/>
        </w:rPr>
        <w:t> </w:t>
      </w:r>
      <w:r>
        <w:rPr>
          <w:color w:val="212121"/>
        </w:rPr>
        <w:t>Net</w:t>
      </w:r>
      <w:r>
        <w:rPr>
          <w:color w:val="212121"/>
          <w:spacing w:val="-2"/>
        </w:rPr>
        <w:t> </w:t>
      </w:r>
      <w:r>
        <w:rPr>
          <w:color w:val="212121"/>
        </w:rPr>
        <w:t>Profit,</w:t>
      </w:r>
      <w:r>
        <w:rPr>
          <w:color w:val="212121"/>
          <w:spacing w:val="-4"/>
        </w:rPr>
        <w:t> </w:t>
      </w:r>
      <w:r>
        <w:rPr>
          <w:color w:val="212121"/>
        </w:rPr>
        <w:t>Dividend,</w:t>
      </w:r>
      <w:r>
        <w:rPr>
          <w:color w:val="212121"/>
          <w:spacing w:val="-4"/>
        </w:rPr>
        <w:t> </w:t>
      </w:r>
      <w:r>
        <w:rPr>
          <w:color w:val="212121"/>
        </w:rPr>
        <w:t>Debt,</w:t>
      </w:r>
      <w:r>
        <w:rPr>
          <w:color w:val="212121"/>
          <w:spacing w:val="-4"/>
        </w:rPr>
        <w:t> </w:t>
      </w:r>
      <w:r>
        <w:rPr>
          <w:color w:val="212121"/>
        </w:rPr>
        <w:t>Cash</w:t>
      </w:r>
      <w:r>
        <w:rPr>
          <w:color w:val="212121"/>
          <w:spacing w:val="-4"/>
        </w:rPr>
        <w:t> </w:t>
      </w:r>
      <w:r>
        <w:rPr>
          <w:color w:val="212121"/>
        </w:rPr>
        <w:t>Flow,</w:t>
      </w:r>
      <w:r>
        <w:rPr>
          <w:color w:val="212121"/>
          <w:spacing w:val="-4"/>
        </w:rPr>
        <w:t> </w:t>
      </w:r>
      <w:r>
        <w:rPr>
          <w:color w:val="212121"/>
        </w:rPr>
        <w:t>and Capital Net Working That Influence Investment Decisions on Manufacturing</w:t>
      </w:r>
    </w:p>
    <w:p>
      <w:pPr>
        <w:spacing w:line="360" w:lineRule="auto" w:before="0"/>
        <w:ind w:left="100" w:right="766" w:firstLine="0"/>
        <w:jc w:val="left"/>
        <w:rPr>
          <w:sz w:val="24"/>
        </w:rPr>
      </w:pPr>
      <w:r>
        <w:rPr>
          <w:color w:val="212121"/>
          <w:sz w:val="24"/>
        </w:rPr>
        <w:t>Companies. </w:t>
      </w:r>
      <w:r>
        <w:rPr>
          <w:i/>
          <w:color w:val="212121"/>
          <w:sz w:val="24"/>
        </w:rPr>
        <w:t>International Journal of Research and Review</w:t>
      </w:r>
      <w:r>
        <w:rPr>
          <w:color w:val="212121"/>
          <w:sz w:val="24"/>
        </w:rPr>
        <w:t>, </w:t>
      </w:r>
      <w:r>
        <w:rPr>
          <w:i/>
          <w:color w:val="212121"/>
          <w:sz w:val="24"/>
        </w:rPr>
        <w:t>7</w:t>
      </w:r>
      <w:r>
        <w:rPr>
          <w:color w:val="212121"/>
          <w:sz w:val="24"/>
        </w:rPr>
        <w:t>(3), pp.1305-1312. </w:t>
      </w:r>
      <w:hyperlink r:id="rId24">
        <w:r>
          <w:rPr>
            <w:color w:val="0562C1"/>
            <w:spacing w:val="-2"/>
            <w:sz w:val="24"/>
            <w:u w:val="single" w:color="0562C1"/>
          </w:rPr>
          <w:t>https://www.academia.edu/download/63156701/IJRR00820200501-99769-1c2i699.pdf</w:t>
        </w:r>
      </w:hyperlink>
    </w:p>
    <w:p>
      <w:pPr>
        <w:pStyle w:val="BodyText"/>
        <w:spacing w:line="360" w:lineRule="auto" w:before="159"/>
        <w:ind w:right="150"/>
      </w:pPr>
      <w:r>
        <w:rPr>
          <w:color w:val="212121"/>
        </w:rPr>
        <w:t>Tao,</w:t>
      </w:r>
      <w:r>
        <w:rPr>
          <w:color w:val="212121"/>
          <w:spacing w:val="-4"/>
        </w:rPr>
        <w:t> </w:t>
      </w:r>
      <w:r>
        <w:rPr>
          <w:color w:val="212121"/>
        </w:rPr>
        <w:t>Y., Xu, G. and Liu, H., 2020. Compensation gap, retrenchment strategy and organizational turnaround: a configurational perspective. </w:t>
      </w:r>
      <w:r>
        <w:rPr>
          <w:i/>
          <w:color w:val="212121"/>
        </w:rPr>
        <w:t>Journal of Organizational Change</w:t>
      </w:r>
      <w:r>
        <w:rPr>
          <w:i/>
          <w:color w:val="212121"/>
        </w:rPr>
        <w:t> Management</w:t>
      </w:r>
      <w:r>
        <w:rPr>
          <w:color w:val="212121"/>
        </w:rPr>
        <w:t>, </w:t>
      </w:r>
      <w:r>
        <w:rPr>
          <w:i/>
          <w:color w:val="212121"/>
        </w:rPr>
        <w:t>33</w:t>
      </w:r>
      <w:r>
        <w:rPr>
          <w:color w:val="212121"/>
        </w:rPr>
        <w:t>(5), pp.925-939. </w:t>
      </w:r>
      <w:hyperlink r:id="rId25">
        <w:r>
          <w:rPr>
            <w:color w:val="0562C1"/>
            <w:u w:val="single" w:color="0562C1"/>
          </w:rPr>
          <w:t>https://www.researchgate.net/profile/Yan-Tao-</w:t>
        </w:r>
      </w:hyperlink>
      <w:r>
        <w:rPr>
          <w:color w:val="0562C1"/>
        </w:rPr>
        <w:t> </w:t>
      </w:r>
      <w:hyperlink r:id="rId25">
        <w:r>
          <w:rPr>
            <w:color w:val="0562C1"/>
            <w:spacing w:val="-2"/>
            <w:u w:val="single" w:color="0562C1"/>
          </w:rPr>
          <w:t>2/publication/342567164_Compensation_gap_retrenchment_strategy_and_organizational_tur</w:t>
        </w:r>
      </w:hyperlink>
      <w:r>
        <w:rPr>
          <w:color w:val="0562C1"/>
          <w:spacing w:val="-2"/>
        </w:rPr>
        <w:t> </w:t>
      </w:r>
      <w:hyperlink r:id="rId25">
        <w:r>
          <w:rPr>
            <w:color w:val="0562C1"/>
            <w:spacing w:val="-2"/>
            <w:u w:val="single" w:color="0562C1"/>
          </w:rPr>
          <w:t>naround_a_configurational_perspective/links/616e33f5b90c51266269e94a/Compensation-</w:t>
        </w:r>
      </w:hyperlink>
      <w:r>
        <w:rPr>
          <w:color w:val="0562C1"/>
          <w:spacing w:val="-2"/>
        </w:rPr>
        <w:t> </w:t>
      </w:r>
      <w:hyperlink r:id="rId25">
        <w:r>
          <w:rPr>
            <w:color w:val="0562C1"/>
            <w:spacing w:val="-2"/>
            <w:u w:val="single" w:color="0562C1"/>
          </w:rPr>
          <w:t>gap-retrenchment-strategy-and-organizational-turnaround-a-configurational-perspective.pdf</w:t>
        </w:r>
      </w:hyperlink>
    </w:p>
    <w:sectPr>
      <w:pgSz w:w="11910" w:h="16840"/>
      <w:pgMar w:header="0" w:footer="957" w:top="1360" w:bottom="1140" w:left="1340" w:right="132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rPr>
        <w:sz w:val="20"/>
      </w:rPr>
    </w:pPr>
    <w:r>
      <w:rPr/>
      <mc:AlternateContent>
        <mc:Choice Requires="wps">
          <w:drawing>
            <wp:anchor distT="0" distB="0" distL="0" distR="0" allowOverlap="1" layoutInCell="1" locked="0" behindDoc="1" simplePos="0" relativeHeight="487440384">
              <wp:simplePos x="0" y="0"/>
              <wp:positionH relativeFrom="page">
                <wp:posOffset>6482841</wp:posOffset>
              </wp:positionH>
              <wp:positionV relativeFrom="page">
                <wp:posOffset>9944868</wp:posOffset>
              </wp:positionV>
              <wp:extent cx="217170" cy="165735"/>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217170" cy="165735"/>
                      </a:xfrm>
                      <a:prstGeom prst="rect">
                        <a:avLst/>
                      </a:prstGeom>
                    </wps:spPr>
                    <wps:txbx>
                      <w:txbxContent>
                        <w:p>
                          <w:pPr>
                            <w:spacing w:before="10"/>
                            <w:ind w:left="6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10.459991pt;margin-top:783.060486pt;width:17.1pt;height:13.05pt;mso-position-horizontal-relative:page;mso-position-vertical-relative:page;z-index:-15876096" type="#_x0000_t202" id="docshape1" filled="false" stroked="false">
              <v:textbox inset="0,0,0,0">
                <w:txbxContent>
                  <w:p>
                    <w:pPr>
                      <w:spacing w:before="10"/>
                      <w:ind w:left="6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340" w:hanging="24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1230" w:hanging="240"/>
      </w:pPr>
      <w:rPr>
        <w:rFonts w:hint="default"/>
        <w:lang w:val="en-US" w:eastAsia="en-US" w:bidi="ar-SA"/>
      </w:rPr>
    </w:lvl>
    <w:lvl w:ilvl="2">
      <w:start w:val="0"/>
      <w:numFmt w:val="bullet"/>
      <w:lvlText w:val="•"/>
      <w:lvlJc w:val="left"/>
      <w:pPr>
        <w:ind w:left="2121" w:hanging="240"/>
      </w:pPr>
      <w:rPr>
        <w:rFonts w:hint="default"/>
        <w:lang w:val="en-US" w:eastAsia="en-US" w:bidi="ar-SA"/>
      </w:rPr>
    </w:lvl>
    <w:lvl w:ilvl="3">
      <w:start w:val="0"/>
      <w:numFmt w:val="bullet"/>
      <w:lvlText w:val="•"/>
      <w:lvlJc w:val="left"/>
      <w:pPr>
        <w:ind w:left="3011" w:hanging="240"/>
      </w:pPr>
      <w:rPr>
        <w:rFonts w:hint="default"/>
        <w:lang w:val="en-US" w:eastAsia="en-US" w:bidi="ar-SA"/>
      </w:rPr>
    </w:lvl>
    <w:lvl w:ilvl="4">
      <w:start w:val="0"/>
      <w:numFmt w:val="bullet"/>
      <w:lvlText w:val="•"/>
      <w:lvlJc w:val="left"/>
      <w:pPr>
        <w:ind w:left="3902" w:hanging="240"/>
      </w:pPr>
      <w:rPr>
        <w:rFonts w:hint="default"/>
        <w:lang w:val="en-US" w:eastAsia="en-US" w:bidi="ar-SA"/>
      </w:rPr>
    </w:lvl>
    <w:lvl w:ilvl="5">
      <w:start w:val="0"/>
      <w:numFmt w:val="bullet"/>
      <w:lvlText w:val="•"/>
      <w:lvlJc w:val="left"/>
      <w:pPr>
        <w:ind w:left="4793" w:hanging="240"/>
      </w:pPr>
      <w:rPr>
        <w:rFonts w:hint="default"/>
        <w:lang w:val="en-US" w:eastAsia="en-US" w:bidi="ar-SA"/>
      </w:rPr>
    </w:lvl>
    <w:lvl w:ilvl="6">
      <w:start w:val="0"/>
      <w:numFmt w:val="bullet"/>
      <w:lvlText w:val="•"/>
      <w:lvlJc w:val="left"/>
      <w:pPr>
        <w:ind w:left="5683" w:hanging="240"/>
      </w:pPr>
      <w:rPr>
        <w:rFonts w:hint="default"/>
        <w:lang w:val="en-US" w:eastAsia="en-US" w:bidi="ar-SA"/>
      </w:rPr>
    </w:lvl>
    <w:lvl w:ilvl="7">
      <w:start w:val="0"/>
      <w:numFmt w:val="bullet"/>
      <w:lvlText w:val="•"/>
      <w:lvlJc w:val="left"/>
      <w:pPr>
        <w:ind w:left="6574" w:hanging="240"/>
      </w:pPr>
      <w:rPr>
        <w:rFonts w:hint="default"/>
        <w:lang w:val="en-US" w:eastAsia="en-US" w:bidi="ar-SA"/>
      </w:rPr>
    </w:lvl>
    <w:lvl w:ilvl="8">
      <w:start w:val="0"/>
      <w:numFmt w:val="bullet"/>
      <w:lvlText w:val="•"/>
      <w:lvlJc w:val="left"/>
      <w:pPr>
        <w:ind w:left="7465" w:hanging="240"/>
      </w:pPr>
      <w:rPr>
        <w:rFonts w:hint="default"/>
        <w:lang w:val="en-US" w:eastAsia="en-US" w:bidi="ar-SA"/>
      </w:rPr>
    </w:lvl>
  </w:abstractNum>
  <w:abstractNum w:abstractNumId="0">
    <w:multiLevelType w:val="hybridMultilevel"/>
    <w:lvl w:ilvl="0">
      <w:start w:val="1"/>
      <w:numFmt w:val="lowerRoman"/>
      <w:lvlText w:val="%1)"/>
      <w:lvlJc w:val="left"/>
      <w:pPr>
        <w:ind w:left="307" w:hanging="207"/>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1194" w:hanging="207"/>
      </w:pPr>
      <w:rPr>
        <w:rFonts w:hint="default"/>
        <w:lang w:val="en-US" w:eastAsia="en-US" w:bidi="ar-SA"/>
      </w:rPr>
    </w:lvl>
    <w:lvl w:ilvl="2">
      <w:start w:val="0"/>
      <w:numFmt w:val="bullet"/>
      <w:lvlText w:val="•"/>
      <w:lvlJc w:val="left"/>
      <w:pPr>
        <w:ind w:left="2089" w:hanging="207"/>
      </w:pPr>
      <w:rPr>
        <w:rFonts w:hint="default"/>
        <w:lang w:val="en-US" w:eastAsia="en-US" w:bidi="ar-SA"/>
      </w:rPr>
    </w:lvl>
    <w:lvl w:ilvl="3">
      <w:start w:val="0"/>
      <w:numFmt w:val="bullet"/>
      <w:lvlText w:val="•"/>
      <w:lvlJc w:val="left"/>
      <w:pPr>
        <w:ind w:left="2983" w:hanging="207"/>
      </w:pPr>
      <w:rPr>
        <w:rFonts w:hint="default"/>
        <w:lang w:val="en-US" w:eastAsia="en-US" w:bidi="ar-SA"/>
      </w:rPr>
    </w:lvl>
    <w:lvl w:ilvl="4">
      <w:start w:val="0"/>
      <w:numFmt w:val="bullet"/>
      <w:lvlText w:val="•"/>
      <w:lvlJc w:val="left"/>
      <w:pPr>
        <w:ind w:left="3878" w:hanging="207"/>
      </w:pPr>
      <w:rPr>
        <w:rFonts w:hint="default"/>
        <w:lang w:val="en-US" w:eastAsia="en-US" w:bidi="ar-SA"/>
      </w:rPr>
    </w:lvl>
    <w:lvl w:ilvl="5">
      <w:start w:val="0"/>
      <w:numFmt w:val="bullet"/>
      <w:lvlText w:val="•"/>
      <w:lvlJc w:val="left"/>
      <w:pPr>
        <w:ind w:left="4773" w:hanging="207"/>
      </w:pPr>
      <w:rPr>
        <w:rFonts w:hint="default"/>
        <w:lang w:val="en-US" w:eastAsia="en-US" w:bidi="ar-SA"/>
      </w:rPr>
    </w:lvl>
    <w:lvl w:ilvl="6">
      <w:start w:val="0"/>
      <w:numFmt w:val="bullet"/>
      <w:lvlText w:val="•"/>
      <w:lvlJc w:val="left"/>
      <w:pPr>
        <w:ind w:left="5667" w:hanging="207"/>
      </w:pPr>
      <w:rPr>
        <w:rFonts w:hint="default"/>
        <w:lang w:val="en-US" w:eastAsia="en-US" w:bidi="ar-SA"/>
      </w:rPr>
    </w:lvl>
    <w:lvl w:ilvl="7">
      <w:start w:val="0"/>
      <w:numFmt w:val="bullet"/>
      <w:lvlText w:val="•"/>
      <w:lvlJc w:val="left"/>
      <w:pPr>
        <w:ind w:left="6562" w:hanging="207"/>
      </w:pPr>
      <w:rPr>
        <w:rFonts w:hint="default"/>
        <w:lang w:val="en-US" w:eastAsia="en-US" w:bidi="ar-SA"/>
      </w:rPr>
    </w:lvl>
    <w:lvl w:ilvl="8">
      <w:start w:val="0"/>
      <w:numFmt w:val="bullet"/>
      <w:lvlText w:val="•"/>
      <w:lvlJc w:val="left"/>
      <w:pPr>
        <w:ind w:left="7457" w:hanging="207"/>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237"/>
      <w:ind w:left="100"/>
    </w:pPr>
    <w:rPr>
      <w:rFonts w:ascii="Times New Roman" w:hAnsi="Times New Roman" w:eastAsia="Times New Roman" w:cs="Times New Roman"/>
      <w:sz w:val="24"/>
      <w:szCs w:val="24"/>
      <w:lang w:val="en-US" w:eastAsia="en-US" w:bidi="ar-SA"/>
    </w:rPr>
  </w:style>
  <w:style w:styleId="TOC2" w:type="paragraph">
    <w:name w:val="TOC 2"/>
    <w:basedOn w:val="Normal"/>
    <w:uiPriority w:val="1"/>
    <w:qFormat/>
    <w:pPr>
      <w:spacing w:before="237"/>
      <w:ind w:left="299"/>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ind w:left="100"/>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spacing w:before="62"/>
      <w:ind w:left="100"/>
      <w:jc w:val="both"/>
      <w:outlineLvl w:val="1"/>
    </w:pPr>
    <w:rPr>
      <w:rFonts w:ascii="Times New Roman" w:hAnsi="Times New Roman" w:eastAsia="Times New Roman" w:cs="Times New Roman"/>
      <w:b/>
      <w:bCs/>
      <w:sz w:val="28"/>
      <w:szCs w:val="28"/>
      <w:lang w:val="en-US" w:eastAsia="en-US" w:bidi="ar-SA"/>
    </w:rPr>
  </w:style>
  <w:style w:styleId="Heading2" w:type="paragraph">
    <w:name w:val="Heading 2"/>
    <w:basedOn w:val="Normal"/>
    <w:uiPriority w:val="1"/>
    <w:qFormat/>
    <w:pPr>
      <w:spacing w:before="2"/>
      <w:ind w:left="100"/>
      <w:jc w:val="both"/>
      <w:outlineLvl w:val="2"/>
    </w:pPr>
    <w:rPr>
      <w:rFonts w:ascii="Times New Roman" w:hAnsi="Times New Roman" w:eastAsia="Times New Roman" w:cs="Times New Roman"/>
      <w:b/>
      <w:bCs/>
      <w:sz w:val="26"/>
      <w:szCs w:val="26"/>
      <w:lang w:val="en-US" w:eastAsia="en-US" w:bidi="ar-SA"/>
    </w:rPr>
  </w:style>
  <w:style w:styleId="Heading3" w:type="paragraph">
    <w:name w:val="Heading 3"/>
    <w:basedOn w:val="Normal"/>
    <w:uiPriority w:val="1"/>
    <w:qFormat/>
    <w:pPr>
      <w:ind w:left="340" w:hanging="240"/>
      <w:jc w:val="both"/>
      <w:outlineLvl w:val="3"/>
    </w:pPr>
    <w:rPr>
      <w:rFonts w:ascii="Times New Roman" w:hAnsi="Times New Roman" w:eastAsia="Times New Roman" w:cs="Times New Roman"/>
      <w:b/>
      <w:bCs/>
      <w:sz w:val="24"/>
      <w:szCs w:val="24"/>
      <w:lang w:val="en-US" w:eastAsia="en-US" w:bidi="ar-SA"/>
    </w:rPr>
  </w:style>
  <w:style w:styleId="Title" w:type="paragraph">
    <w:name w:val="Title"/>
    <w:basedOn w:val="Normal"/>
    <w:uiPriority w:val="1"/>
    <w:qFormat/>
    <w:pPr>
      <w:spacing w:before="63"/>
      <w:ind w:left="1974" w:right="5" w:hanging="1601"/>
    </w:pPr>
    <w:rPr>
      <w:rFonts w:ascii="Times New Roman" w:hAnsi="Times New Roman" w:eastAsia="Times New Roman" w:cs="Times New Roman"/>
      <w:b/>
      <w:bCs/>
      <w:sz w:val="40"/>
      <w:szCs w:val="40"/>
      <w:lang w:val="en-US" w:eastAsia="en-US" w:bidi="ar-SA"/>
    </w:rPr>
  </w:style>
  <w:style w:styleId="ListParagraph" w:type="paragraph">
    <w:name w:val="List Paragraph"/>
    <w:basedOn w:val="Normal"/>
    <w:uiPriority w:val="1"/>
    <w:qFormat/>
    <w:pPr>
      <w:ind w:left="340" w:hanging="240"/>
      <w:jc w:val="both"/>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hyperlink" Target="https://leap.luiss.it/wp-content/uploads/2022/09/WP10.21-Costs-of-Sovereign-Defaults.pdf" TargetMode="External"/><Relationship Id="rId7" Type="http://schemas.openxmlformats.org/officeDocument/2006/relationships/hyperlink" Target="https://www.hindawi.com/journals/scn/2021/5550382/" TargetMode="External"/><Relationship Id="rId8" Type="http://schemas.openxmlformats.org/officeDocument/2006/relationships/hyperlink" Target="https://thuvienso.hoasen.edu.vn/bitstream/handle/123456789/12742/Contents.pdf?sequence=5" TargetMode="External"/><Relationship Id="rId9" Type="http://schemas.openxmlformats.org/officeDocument/2006/relationships/hyperlink" Target="https://thuvienso.hoasen.edu.vn/bitstream/handle/123456789/8423/Contents.pdf?sequence=4" TargetMode="External"/><Relationship Id="rId10" Type="http://schemas.openxmlformats.org/officeDocument/2006/relationships/hyperlink" Target="https://link.springer.com/article/10.1007/s40812-019-00138-6" TargetMode="External"/><Relationship Id="rId11" Type="http://schemas.openxmlformats.org/officeDocument/2006/relationships/hyperlink" Target="https://j.ideasspread.org/index.php/hssr/article/download/305/229" TargetMode="External"/><Relationship Id="rId12" Type="http://schemas.openxmlformats.org/officeDocument/2006/relationships/hyperlink" Target="https://journals.sagepub.com/doi/full/10.1177/0899764018807080" TargetMode="External"/><Relationship Id="rId13" Type="http://schemas.openxmlformats.org/officeDocument/2006/relationships/hyperlink" Target="https://www.academia.edu/download/72349718/pdf.pdf" TargetMode="External"/><Relationship Id="rId14" Type="http://schemas.openxmlformats.org/officeDocument/2006/relationships/hyperlink" Target="https://journal.unnes.ac.id/sju/index.php/maj/article/view/41890/17774" TargetMode="External"/><Relationship Id="rId15" Type="http://schemas.openxmlformats.org/officeDocument/2006/relationships/hyperlink" Target="https://livrepository.liverpool.ac.uk/3053221/1/JBR-D-19-00317R2%20AAM.pdf" TargetMode="External"/><Relationship Id="rId16" Type="http://schemas.openxmlformats.org/officeDocument/2006/relationships/hyperlink" Target="https://ieeexplore.ieee.org/iel7/6287639/8948470/09133081.pdf" TargetMode="External"/><Relationship Id="rId17" Type="http://schemas.openxmlformats.org/officeDocument/2006/relationships/hyperlink" Target="https://ems.uniza.sk/wp-content/uploads/EMS_2_2021_04_Krulicky_Horak.pdf" TargetMode="External"/><Relationship Id="rId18" Type="http://schemas.openxmlformats.org/officeDocument/2006/relationships/hyperlink" Target="https://www.jiemar.org/index.php/jiemar/article/download/77/55" TargetMode="External"/><Relationship Id="rId19" Type="http://schemas.openxmlformats.org/officeDocument/2006/relationships/hyperlink" Target="https://www.federalreserve.gov/econres/feds/files/2022032pap.pdf" TargetMode="External"/><Relationship Id="rId20" Type="http://schemas.openxmlformats.org/officeDocument/2006/relationships/hyperlink" Target="https://www.researchgate.net/profile/Heng-Qu/publication/334970816_Risk_and_diversification_of_nonprofit_revenue_portfolios_Applying_modern_portfolio_theory_to_nonprofit_revenue_management/links/62389bb938535a757f5620c8/Risk-and-diversification-of-nonprofit-revenue-portfolios-Applying-modern-portfolio-theory-to-nonprofit-revenue-management.pdf" TargetMode="External"/><Relationship Id="rId21" Type="http://schemas.openxmlformats.org/officeDocument/2006/relationships/hyperlink" Target="http://www.ir.harambeeuniversity.edu.et/bitstream/handle/123456789/1336/International%20Financial%20Statement%20Analysis%20%28%20PDFDrive.com%20%29.pdf?sequence=1&amp;isAllowed=y" TargetMode="External"/><Relationship Id="rId22" Type="http://schemas.openxmlformats.org/officeDocument/2006/relationships/hyperlink" Target="https://www.dinastipub.org/DIJEFA/article/download/1238/847" TargetMode="External"/><Relationship Id="rId23" Type="http://schemas.openxmlformats.org/officeDocument/2006/relationships/hyperlink" Target="https://www.research-collection.ethz.ch/bitstream/handle/20.500.11850/373407/Sinsel_et_al_2019(1).pdf?sequence=4" TargetMode="External"/><Relationship Id="rId24" Type="http://schemas.openxmlformats.org/officeDocument/2006/relationships/hyperlink" Target="https://www.academia.edu/download/63156701/IJRR00820200501-99769-1c2i699.pdf" TargetMode="External"/><Relationship Id="rId25" Type="http://schemas.openxmlformats.org/officeDocument/2006/relationships/hyperlink" Target="https://www.researchgate.net/profile/Yan-Tao-2/publication/342567164_Compensation_gap_retrenchment_strategy_and_organizational_turnaround_a_configurational_perspective/links/616e33f5b90c51266269e94a/Compensation-gap-retrenchment-strategy-and-organizational-turnaround-a-configurational-perspective.pdf" TargetMode="External"/><Relationship Id="rId2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2023-11-14T11:45:01Z</dcterms:created>
  <dcterms:modified xsi:type="dcterms:W3CDTF">2023-11-14T11:45:01Z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2023-11-14T00:00:00Z</vt:filetime>
  </property>
  <property fmtid="{D5CDD505-2E9C-101B-9397-08002B2CF9AE}" pid="3" name="Creator">
    <vt:lpwstr>Microsoft® Word 2019</vt:lpwstr>
  </property>
  <property fmtid="{D5CDD505-2E9C-101B-9397-08002B2CF9AE}" pid="4" name="LastSaved">
    <vt:filetime>2023-11-14T00:00:00Z</vt:filetime>
  </property>
  <property fmtid="{D5CDD505-2E9C-101B-9397-08002B2CF9AE}" pid="5" name="Producer">
    <vt:lpwstr>Adobe PDF Services</vt:lpwstr>
  </property>
</Properties>
</file>