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D85AD" w14:textId="77777777" w:rsidR="00052158" w:rsidRPr="00A12988" w:rsidRDefault="00052158" w:rsidP="00052158">
      <w:pPr>
        <w:jc w:val="center"/>
      </w:pPr>
      <w:r w:rsidRPr="00A12988">
        <w:rPr>
          <w:noProof/>
        </w:rPr>
        <w:drawing>
          <wp:inline distT="0" distB="0" distL="0" distR="0" wp14:anchorId="74B7709F" wp14:editId="51F9DA08">
            <wp:extent cx="3712395" cy="1485900"/>
            <wp:effectExtent l="0" t="0" r="254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51231" cy="1501444"/>
                    </a:xfrm>
                    <a:prstGeom prst="rect">
                      <a:avLst/>
                    </a:prstGeom>
                  </pic:spPr>
                </pic:pic>
              </a:graphicData>
            </a:graphic>
          </wp:inline>
        </w:drawing>
      </w:r>
    </w:p>
    <w:p w14:paraId="7CEE1463" w14:textId="77777777" w:rsidR="00052158" w:rsidRPr="00A12988" w:rsidRDefault="00052158" w:rsidP="00052158"/>
    <w:p w14:paraId="5491124C" w14:textId="77777777" w:rsidR="00052158" w:rsidRPr="00A12988" w:rsidRDefault="00052158" w:rsidP="00052158">
      <w:pPr>
        <w:jc w:val="right"/>
      </w:pPr>
    </w:p>
    <w:p w14:paraId="5C77E305" w14:textId="77777777" w:rsidR="00052158" w:rsidRPr="00A12988" w:rsidRDefault="00052158" w:rsidP="00052158">
      <w:pPr>
        <w:jc w:val="center"/>
      </w:pPr>
      <w:r w:rsidRPr="00A12988">
        <w:rPr>
          <w:sz w:val="40"/>
          <w:szCs w:val="40"/>
        </w:rPr>
        <w:t>Strategic Management (LCMB7003)</w:t>
      </w:r>
    </w:p>
    <w:p w14:paraId="7E4D28DB" w14:textId="77777777" w:rsidR="00052158" w:rsidRPr="00A12988" w:rsidRDefault="00052158" w:rsidP="00052158">
      <w:pPr>
        <w:jc w:val="right"/>
      </w:pPr>
    </w:p>
    <w:p w14:paraId="712544EE" w14:textId="6D47FA01" w:rsidR="00052158" w:rsidRPr="00A12988" w:rsidRDefault="00052158" w:rsidP="00052158">
      <w:pPr>
        <w:jc w:val="center"/>
        <w:rPr>
          <w:sz w:val="40"/>
          <w:szCs w:val="40"/>
        </w:rPr>
      </w:pPr>
      <w:r w:rsidRPr="00A12988">
        <w:rPr>
          <w:sz w:val="40"/>
          <w:szCs w:val="40"/>
        </w:rPr>
        <w:t xml:space="preserve">Strategic Analysis of  BMW  </w:t>
      </w:r>
    </w:p>
    <w:p w14:paraId="4675E052" w14:textId="788A1D2E" w:rsidR="00052158" w:rsidRPr="00A12988" w:rsidRDefault="00052158" w:rsidP="00052158">
      <w:pPr>
        <w:jc w:val="center"/>
        <w:rPr>
          <w:sz w:val="40"/>
          <w:szCs w:val="40"/>
        </w:rPr>
      </w:pPr>
      <w:r w:rsidRPr="00A12988">
        <w:rPr>
          <w:noProof/>
        </w:rPr>
        <w:drawing>
          <wp:inline distT="0" distB="0" distL="0" distR="0" wp14:anchorId="1C4138D1" wp14:editId="7BC61114">
            <wp:extent cx="2137410" cy="2137410"/>
            <wp:effectExtent l="0" t="0" r="0" b="0"/>
            <wp:docPr id="1843370618" name="Picture 7" descr="BMW Malaysia (@BMW.Malaysia)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MW Malaysia (@BMW.Malaysia) • Faceboo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7410" cy="2137410"/>
                    </a:xfrm>
                    <a:prstGeom prst="rect">
                      <a:avLst/>
                    </a:prstGeom>
                    <a:noFill/>
                    <a:ln>
                      <a:noFill/>
                    </a:ln>
                  </pic:spPr>
                </pic:pic>
              </a:graphicData>
            </a:graphic>
          </wp:inline>
        </w:drawing>
      </w:r>
    </w:p>
    <w:p w14:paraId="332B85CD" w14:textId="77777777" w:rsidR="00052158" w:rsidRPr="00A12988" w:rsidRDefault="00052158" w:rsidP="00052158">
      <w:pPr>
        <w:jc w:val="right"/>
      </w:pPr>
    </w:p>
    <w:p w14:paraId="27B8E569" w14:textId="77777777" w:rsidR="00052158" w:rsidRPr="00A12988" w:rsidRDefault="00052158" w:rsidP="00052158">
      <w:pPr>
        <w:jc w:val="right"/>
      </w:pPr>
    </w:p>
    <w:p w14:paraId="1FD1BB1A" w14:textId="77777777" w:rsidR="002B5340" w:rsidRPr="00A12988" w:rsidRDefault="002B5340" w:rsidP="002B5340">
      <w:pPr>
        <w:jc w:val="center"/>
        <w:rPr>
          <w:b/>
          <w:bCs/>
          <w:sz w:val="28"/>
        </w:rPr>
      </w:pPr>
      <w:r w:rsidRPr="00A12988">
        <w:rPr>
          <w:b/>
          <w:bCs/>
          <w:sz w:val="28"/>
        </w:rPr>
        <w:t xml:space="preserve">Student Name: Md. </w:t>
      </w:r>
      <w:proofErr w:type="spellStart"/>
      <w:r w:rsidRPr="00A12988">
        <w:rPr>
          <w:b/>
          <w:bCs/>
          <w:sz w:val="28"/>
        </w:rPr>
        <w:t>Habibur</w:t>
      </w:r>
      <w:proofErr w:type="spellEnd"/>
      <w:r w:rsidRPr="00A12988">
        <w:rPr>
          <w:b/>
          <w:bCs/>
          <w:sz w:val="28"/>
        </w:rPr>
        <w:t xml:space="preserve"> Rahman   </w:t>
      </w:r>
    </w:p>
    <w:p w14:paraId="4C0385E6" w14:textId="77777777" w:rsidR="002B5340" w:rsidRPr="00A12988" w:rsidRDefault="002B5340" w:rsidP="002B5340">
      <w:pPr>
        <w:jc w:val="center"/>
        <w:rPr>
          <w:b/>
          <w:bCs/>
          <w:sz w:val="28"/>
        </w:rPr>
      </w:pPr>
      <w:r w:rsidRPr="00A12988">
        <w:rPr>
          <w:b/>
          <w:bCs/>
          <w:sz w:val="28"/>
        </w:rPr>
        <w:t>Student ID: 2432474</w:t>
      </w:r>
    </w:p>
    <w:p w14:paraId="3E349DE6" w14:textId="77777777" w:rsidR="002B5340" w:rsidRPr="00A12988" w:rsidRDefault="002B5340" w:rsidP="002B5340">
      <w:pPr>
        <w:jc w:val="center"/>
        <w:rPr>
          <w:b/>
          <w:bCs/>
          <w:sz w:val="28"/>
        </w:rPr>
      </w:pPr>
    </w:p>
    <w:p w14:paraId="039A5620" w14:textId="2BC19FD8" w:rsidR="002B5340" w:rsidRPr="00A12988" w:rsidRDefault="002B5340" w:rsidP="002B5340">
      <w:pPr>
        <w:jc w:val="center"/>
        <w:rPr>
          <w:b/>
          <w:bCs/>
          <w:sz w:val="28"/>
        </w:rPr>
      </w:pPr>
      <w:r w:rsidRPr="00A12988">
        <w:rPr>
          <w:b/>
          <w:bCs/>
          <w:sz w:val="28"/>
        </w:rPr>
        <w:t xml:space="preserve">Lecturer: </w:t>
      </w:r>
      <w:r w:rsidR="00D722EF">
        <w:rPr>
          <w:b/>
          <w:bCs/>
          <w:sz w:val="28"/>
        </w:rPr>
        <w:t>Dr Hoang Dang Nguyen</w:t>
      </w:r>
    </w:p>
    <w:p w14:paraId="6EA0C063" w14:textId="77777777" w:rsidR="005B38CC" w:rsidRPr="00A12988" w:rsidRDefault="005B38CC" w:rsidP="002B5340">
      <w:pPr>
        <w:jc w:val="center"/>
        <w:rPr>
          <w:b/>
          <w:bCs/>
          <w:sz w:val="28"/>
        </w:rPr>
      </w:pPr>
    </w:p>
    <w:p w14:paraId="636ADFBE" w14:textId="77EF16C1" w:rsidR="00052158" w:rsidRPr="00A12988" w:rsidRDefault="00052158" w:rsidP="009F72D7">
      <w:pPr>
        <w:jc w:val="center"/>
        <w:rPr>
          <w:sz w:val="28"/>
          <w:szCs w:val="28"/>
        </w:rPr>
      </w:pPr>
      <w:r w:rsidRPr="00A12988">
        <w:rPr>
          <w:sz w:val="28"/>
          <w:szCs w:val="28"/>
        </w:rPr>
        <w:t>Word count: 5416</w:t>
      </w:r>
    </w:p>
    <w:p w14:paraId="422081E9" w14:textId="16E01C18" w:rsidR="00593451" w:rsidRPr="00A12988" w:rsidRDefault="00052158" w:rsidP="009F72D7">
      <w:pPr>
        <w:jc w:val="center"/>
        <w:rPr>
          <w:sz w:val="28"/>
          <w:szCs w:val="28"/>
        </w:rPr>
      </w:pPr>
      <w:r w:rsidRPr="00A12988">
        <w:rPr>
          <w:sz w:val="28"/>
          <w:szCs w:val="28"/>
        </w:rPr>
        <w:t xml:space="preserve">Submission Date: </w:t>
      </w:r>
      <w:r w:rsidR="00C456AD">
        <w:rPr>
          <w:sz w:val="28"/>
          <w:szCs w:val="28"/>
        </w:rPr>
        <w:t>01</w:t>
      </w:r>
      <w:r w:rsidR="009F72D7" w:rsidRPr="00A12988">
        <w:rPr>
          <w:sz w:val="28"/>
          <w:szCs w:val="28"/>
        </w:rPr>
        <w:t>-</w:t>
      </w:r>
      <w:r w:rsidR="00C456AD">
        <w:rPr>
          <w:sz w:val="28"/>
          <w:szCs w:val="28"/>
        </w:rPr>
        <w:t>05</w:t>
      </w:r>
      <w:r w:rsidR="009F72D7" w:rsidRPr="00A12988">
        <w:rPr>
          <w:sz w:val="28"/>
          <w:szCs w:val="28"/>
        </w:rPr>
        <w:t xml:space="preserve">-2026 </w:t>
      </w:r>
    </w:p>
    <w:p w14:paraId="3DA71475" w14:textId="77777777" w:rsidR="00593451" w:rsidRPr="00A12988" w:rsidRDefault="00593451">
      <w:pPr>
        <w:rPr>
          <w:sz w:val="28"/>
          <w:szCs w:val="28"/>
        </w:rPr>
      </w:pPr>
      <w:r w:rsidRPr="00A12988">
        <w:rPr>
          <w:sz w:val="28"/>
          <w:szCs w:val="28"/>
        </w:rPr>
        <w:br w:type="page"/>
      </w:r>
    </w:p>
    <w:p w14:paraId="5AE89EAC" w14:textId="77777777" w:rsidR="00A12988" w:rsidRPr="00A12988" w:rsidRDefault="00A12988" w:rsidP="00A12988">
      <w:pPr>
        <w:pStyle w:val="BodyText"/>
        <w:spacing w:before="180" w:line="254" w:lineRule="auto"/>
        <w:jc w:val="center"/>
        <w:rPr>
          <w:rFonts w:ascii="Arial" w:hAnsi="Arial" w:cs="Arial"/>
          <w:b/>
          <w:bCs/>
          <w:sz w:val="36"/>
          <w:szCs w:val="36"/>
          <w:lang w:val="en-GB"/>
        </w:rPr>
      </w:pPr>
      <w:r w:rsidRPr="00A12988">
        <w:rPr>
          <w:rFonts w:ascii="Arial" w:hAnsi="Arial" w:cs="Arial"/>
          <w:b/>
          <w:bCs/>
          <w:sz w:val="36"/>
          <w:szCs w:val="36"/>
          <w:lang w:val="en-GB"/>
        </w:rPr>
        <w:t>AI acknowledgement</w:t>
      </w:r>
    </w:p>
    <w:p w14:paraId="291C0B0C" w14:textId="77777777" w:rsidR="00A12988" w:rsidRPr="00A12988" w:rsidRDefault="00A12988" w:rsidP="00A12988">
      <w:pPr>
        <w:pStyle w:val="BodyText"/>
        <w:spacing w:before="4"/>
        <w:ind w:left="0"/>
        <w:rPr>
          <w:rFonts w:ascii="Arial" w:hAnsi="Arial" w:cs="Arial"/>
          <w:sz w:val="14"/>
          <w:lang w:val="en-GB"/>
        </w:rPr>
      </w:pP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A12988" w:rsidRPr="00A12988" w14:paraId="2918B127" w14:textId="77777777" w:rsidTr="00FF57EB">
        <w:trPr>
          <w:trHeight w:val="1516"/>
        </w:trPr>
        <w:tc>
          <w:tcPr>
            <w:tcW w:w="2122" w:type="dxa"/>
            <w:tcBorders>
              <w:top w:val="single" w:sz="4" w:space="0" w:color="000000"/>
              <w:left w:val="single" w:sz="4" w:space="0" w:color="000000"/>
              <w:bottom w:val="single" w:sz="4" w:space="0" w:color="000000"/>
              <w:right w:val="single" w:sz="4" w:space="0" w:color="000000"/>
            </w:tcBorders>
          </w:tcPr>
          <w:p w14:paraId="33E087AD" w14:textId="77777777" w:rsidR="00A12988" w:rsidRPr="00A12988" w:rsidRDefault="00A12988" w:rsidP="00FF57EB">
            <w:pPr>
              <w:pStyle w:val="TableParagraph"/>
              <w:spacing w:before="156"/>
              <w:ind w:left="0"/>
              <w:rPr>
                <w:rFonts w:ascii="Arial" w:hAnsi="Arial" w:cs="Arial"/>
                <w:sz w:val="24"/>
                <w:lang w:val="en-GB"/>
              </w:rPr>
            </w:pPr>
          </w:p>
          <w:p w14:paraId="47C1DA27" w14:textId="77777777" w:rsidR="00A12988" w:rsidRPr="00A12988" w:rsidRDefault="00A12988" w:rsidP="00FF57EB">
            <w:pPr>
              <w:pStyle w:val="TableParagraph"/>
              <w:rPr>
                <w:rFonts w:ascii="Arial" w:hAnsi="Arial" w:cs="Arial"/>
                <w:sz w:val="24"/>
                <w:lang w:val="en-GB"/>
              </w:rPr>
            </w:pPr>
            <w:r w:rsidRPr="00A12988">
              <w:rPr>
                <w:rFonts w:ascii="Arial" w:hAnsi="Arial" w:cs="Arial"/>
                <w:spacing w:val="-2"/>
                <w:w w:val="105"/>
                <w:sz w:val="24"/>
                <w:lang w:val="en-GB"/>
              </w:rPr>
              <w:t>RESEARCH</w:t>
            </w:r>
          </w:p>
        </w:tc>
        <w:tc>
          <w:tcPr>
            <w:tcW w:w="5530" w:type="dxa"/>
            <w:tcBorders>
              <w:top w:val="single" w:sz="4" w:space="0" w:color="000000"/>
              <w:left w:val="single" w:sz="4" w:space="0" w:color="000000"/>
              <w:bottom w:val="single" w:sz="4" w:space="0" w:color="000000"/>
              <w:right w:val="single" w:sz="4" w:space="0" w:color="000000"/>
            </w:tcBorders>
            <w:hideMark/>
          </w:tcPr>
          <w:p w14:paraId="72DAEFFE" w14:textId="77777777" w:rsidR="00A12988" w:rsidRPr="00A12988" w:rsidRDefault="00A12988" w:rsidP="00FF57EB">
            <w:pPr>
              <w:pStyle w:val="TableParagraph"/>
              <w:spacing w:line="286" w:lineRule="exact"/>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5435DDB5" w14:textId="77777777" w:rsidR="00A12988" w:rsidRPr="00A12988" w:rsidRDefault="00A12988" w:rsidP="00FF57EB">
            <w:pPr>
              <w:pStyle w:val="TableParagraph"/>
              <w:spacing w:before="19" w:line="252" w:lineRule="auto"/>
              <w:ind w:right="49"/>
              <w:rPr>
                <w:rFonts w:ascii="Arial" w:hAnsi="Arial" w:cs="Arial"/>
                <w:sz w:val="24"/>
                <w:lang w:val="en-GB"/>
              </w:rPr>
            </w:pPr>
            <w:r w:rsidRPr="00A12988">
              <w:rPr>
                <w:rFonts w:ascii="Arial" w:hAnsi="Arial" w:cs="Arial"/>
                <w:sz w:val="24"/>
                <w:lang w:val="en-GB"/>
              </w:rPr>
              <w:t>support</w:t>
            </w:r>
            <w:r w:rsidRPr="00A12988">
              <w:rPr>
                <w:rFonts w:ascii="Arial" w:hAnsi="Arial" w:cs="Arial"/>
                <w:spacing w:val="-14"/>
                <w:sz w:val="24"/>
                <w:lang w:val="en-GB"/>
              </w:rPr>
              <w:t xml:space="preserve"> </w:t>
            </w:r>
            <w:r w:rsidRPr="00A12988">
              <w:rPr>
                <w:rFonts w:ascii="Arial" w:hAnsi="Arial" w:cs="Arial"/>
                <w:sz w:val="24"/>
                <w:lang w:val="en-GB"/>
              </w:rPr>
              <w:t>you</w:t>
            </w:r>
            <w:r w:rsidRPr="00A12988">
              <w:rPr>
                <w:rFonts w:ascii="Arial" w:hAnsi="Arial" w:cs="Arial"/>
                <w:spacing w:val="-11"/>
                <w:sz w:val="24"/>
                <w:lang w:val="en-GB"/>
              </w:rPr>
              <w:t xml:space="preserve"> </w:t>
            </w:r>
            <w:r w:rsidRPr="00A12988">
              <w:rPr>
                <w:rFonts w:ascii="Arial" w:hAnsi="Arial" w:cs="Arial"/>
                <w:sz w:val="24"/>
                <w:lang w:val="en-GB"/>
              </w:rPr>
              <w:t>in</w:t>
            </w:r>
            <w:r w:rsidRPr="00A12988">
              <w:rPr>
                <w:rFonts w:ascii="Arial" w:hAnsi="Arial" w:cs="Arial"/>
                <w:spacing w:val="-11"/>
                <w:sz w:val="24"/>
                <w:lang w:val="en-GB"/>
              </w:rPr>
              <w:t xml:space="preserve"> </w:t>
            </w:r>
            <w:r w:rsidRPr="00A12988">
              <w:rPr>
                <w:rFonts w:ascii="Arial" w:hAnsi="Arial" w:cs="Arial"/>
                <w:sz w:val="24"/>
                <w:lang w:val="en-GB"/>
              </w:rPr>
              <w:t>research,</w:t>
            </w:r>
            <w:r w:rsidRPr="00A12988">
              <w:rPr>
                <w:rFonts w:ascii="Arial" w:hAnsi="Arial" w:cs="Arial"/>
                <w:spacing w:val="-11"/>
                <w:sz w:val="24"/>
                <w:lang w:val="en-GB"/>
              </w:rPr>
              <w:t xml:space="preserve"> </w:t>
            </w:r>
            <w:r w:rsidRPr="00A12988">
              <w:rPr>
                <w:rFonts w:ascii="Arial" w:hAnsi="Arial" w:cs="Arial"/>
                <w:sz w:val="24"/>
                <w:lang w:val="en-GB"/>
              </w:rPr>
              <w:t>including</w:t>
            </w:r>
            <w:r w:rsidRPr="00A12988">
              <w:rPr>
                <w:rFonts w:ascii="Arial" w:hAnsi="Arial" w:cs="Arial"/>
                <w:spacing w:val="-16"/>
                <w:sz w:val="24"/>
                <w:lang w:val="en-GB"/>
              </w:rPr>
              <w:t xml:space="preserve"> </w:t>
            </w:r>
            <w:r w:rsidRPr="00A12988">
              <w:rPr>
                <w:rFonts w:ascii="Arial" w:hAnsi="Arial" w:cs="Arial"/>
                <w:sz w:val="24"/>
                <w:lang w:val="en-GB"/>
              </w:rPr>
              <w:t>searching</w:t>
            </w:r>
            <w:r w:rsidRPr="00A12988">
              <w:rPr>
                <w:rFonts w:ascii="Arial" w:hAnsi="Arial" w:cs="Arial"/>
                <w:spacing w:val="-10"/>
                <w:sz w:val="24"/>
                <w:lang w:val="en-GB"/>
              </w:rPr>
              <w:t xml:space="preserve"> </w:t>
            </w:r>
            <w:r w:rsidRPr="00A12988">
              <w:rPr>
                <w:rFonts w:ascii="Arial" w:hAnsi="Arial" w:cs="Arial"/>
                <w:sz w:val="24"/>
                <w:lang w:val="en-GB"/>
              </w:rPr>
              <w:t xml:space="preserve">for </w:t>
            </w:r>
            <w:r w:rsidRPr="00A12988">
              <w:rPr>
                <w:rFonts w:ascii="Arial" w:hAnsi="Arial" w:cs="Arial"/>
                <w:spacing w:val="-2"/>
                <w:sz w:val="24"/>
                <w:lang w:val="en-GB"/>
              </w:rPr>
              <w:t>bibliography,</w:t>
            </w:r>
            <w:r w:rsidRPr="00A12988">
              <w:rPr>
                <w:rFonts w:ascii="Arial" w:hAnsi="Arial" w:cs="Arial"/>
                <w:spacing w:val="-17"/>
                <w:sz w:val="24"/>
                <w:lang w:val="en-GB"/>
              </w:rPr>
              <w:t xml:space="preserve"> </w:t>
            </w:r>
            <w:r w:rsidRPr="00A12988">
              <w:rPr>
                <w:rFonts w:ascii="Arial" w:hAnsi="Arial" w:cs="Arial"/>
                <w:spacing w:val="-2"/>
                <w:sz w:val="24"/>
                <w:lang w:val="en-GB"/>
              </w:rPr>
              <w:t>using</w:t>
            </w:r>
            <w:r w:rsidRPr="00A12988">
              <w:rPr>
                <w:rFonts w:ascii="Arial" w:hAnsi="Arial" w:cs="Arial"/>
                <w:spacing w:val="-21"/>
                <w:sz w:val="24"/>
                <w:lang w:val="en-GB"/>
              </w:rPr>
              <w:t xml:space="preserve"> </w:t>
            </w:r>
            <w:r w:rsidRPr="00A12988">
              <w:rPr>
                <w:rFonts w:ascii="Arial" w:hAnsi="Arial" w:cs="Arial"/>
                <w:spacing w:val="-2"/>
                <w:sz w:val="24"/>
                <w:lang w:val="en-GB"/>
              </w:rPr>
              <w:t>tools</w:t>
            </w:r>
            <w:r w:rsidRPr="00A12988">
              <w:rPr>
                <w:rFonts w:ascii="Arial" w:hAnsi="Arial" w:cs="Arial"/>
                <w:spacing w:val="-16"/>
                <w:sz w:val="24"/>
                <w:lang w:val="en-GB"/>
              </w:rPr>
              <w:t xml:space="preserve"> </w:t>
            </w:r>
            <w:r w:rsidRPr="00A12988">
              <w:rPr>
                <w:rFonts w:ascii="Arial" w:hAnsi="Arial" w:cs="Arial"/>
                <w:spacing w:val="-2"/>
                <w:sz w:val="24"/>
                <w:lang w:val="en-GB"/>
              </w:rPr>
              <w:t>to</w:t>
            </w:r>
            <w:r w:rsidRPr="00A12988">
              <w:rPr>
                <w:rFonts w:ascii="Arial" w:hAnsi="Arial" w:cs="Arial"/>
                <w:spacing w:val="-21"/>
                <w:sz w:val="24"/>
                <w:lang w:val="en-GB"/>
              </w:rPr>
              <w:t xml:space="preserve"> </w:t>
            </w:r>
            <w:r w:rsidRPr="00A12988">
              <w:rPr>
                <w:rFonts w:ascii="Arial" w:hAnsi="Arial" w:cs="Arial"/>
                <w:spacing w:val="-2"/>
                <w:sz w:val="24"/>
                <w:lang w:val="en-GB"/>
              </w:rPr>
              <w:t>summarise,</w:t>
            </w:r>
            <w:r w:rsidRPr="00A12988">
              <w:rPr>
                <w:rFonts w:ascii="Arial" w:hAnsi="Arial" w:cs="Arial"/>
                <w:spacing w:val="-17"/>
                <w:sz w:val="24"/>
                <w:lang w:val="en-GB"/>
              </w:rPr>
              <w:t xml:space="preserve"> </w:t>
            </w:r>
            <w:r w:rsidRPr="00A12988">
              <w:rPr>
                <w:rFonts w:ascii="Arial" w:hAnsi="Arial" w:cs="Arial"/>
                <w:spacing w:val="-2"/>
                <w:sz w:val="24"/>
                <w:lang w:val="en-GB"/>
              </w:rPr>
              <w:t xml:space="preserve">compare </w:t>
            </w:r>
            <w:r w:rsidRPr="00A12988">
              <w:rPr>
                <w:rFonts w:ascii="Arial" w:hAnsi="Arial" w:cs="Arial"/>
                <w:sz w:val="24"/>
                <w:lang w:val="en-GB"/>
              </w:rPr>
              <w:t>and interrogate materials.</w:t>
            </w:r>
          </w:p>
        </w:tc>
        <w:tc>
          <w:tcPr>
            <w:tcW w:w="1349" w:type="dxa"/>
            <w:tcBorders>
              <w:top w:val="single" w:sz="4" w:space="0" w:color="000000"/>
              <w:left w:val="single" w:sz="4" w:space="0" w:color="000000"/>
              <w:bottom w:val="single" w:sz="4" w:space="0" w:color="000000"/>
              <w:right w:val="single" w:sz="4" w:space="0" w:color="000000"/>
            </w:tcBorders>
          </w:tcPr>
          <w:p w14:paraId="31873B1A" w14:textId="77777777" w:rsidR="00A12988" w:rsidRPr="00A12988" w:rsidRDefault="00A12988" w:rsidP="00FF57EB">
            <w:pPr>
              <w:pStyle w:val="TableParagraph"/>
              <w:spacing w:before="156"/>
              <w:ind w:left="0"/>
              <w:rPr>
                <w:rFonts w:ascii="Arial" w:hAnsi="Arial" w:cs="Arial"/>
                <w:sz w:val="24"/>
                <w:lang w:val="en-GB"/>
              </w:rPr>
            </w:pPr>
          </w:p>
          <w:p w14:paraId="2BF31FD3" w14:textId="77777777" w:rsidR="00A12988" w:rsidRPr="00A12988" w:rsidRDefault="00A12988" w:rsidP="00FF57EB">
            <w:pPr>
              <w:pStyle w:val="TableParagraph"/>
              <w:ind w:left="0" w:right="9"/>
              <w:jc w:val="center"/>
              <w:rPr>
                <w:rFonts w:ascii="Arial" w:hAnsi="Arial" w:cs="Arial"/>
                <w:sz w:val="24"/>
                <w:lang w:val="en-GB"/>
              </w:rPr>
            </w:pPr>
            <w:r w:rsidRPr="00A12988">
              <w:rPr>
                <w:rFonts w:ascii="Arial" w:hAnsi="Arial" w:cs="Arial"/>
                <w:spacing w:val="-10"/>
                <w:sz w:val="24"/>
                <w:lang w:val="en-GB"/>
              </w:rPr>
              <w:t>No</w:t>
            </w:r>
            <w:r w:rsidRPr="00A12988">
              <w:rPr>
                <w:rFonts w:ascii="Arial" w:hAnsi="Arial" w:cs="Arial"/>
                <w:spacing w:val="-14"/>
                <w:sz w:val="24"/>
                <w:lang w:val="en-GB"/>
              </w:rPr>
              <w:t xml:space="preserve"> </w:t>
            </w:r>
          </w:p>
        </w:tc>
      </w:tr>
      <w:tr w:rsidR="00A12988" w:rsidRPr="00A12988" w14:paraId="5160396D" w14:textId="77777777" w:rsidTr="00FF57EB">
        <w:trPr>
          <w:trHeight w:val="1516"/>
        </w:trPr>
        <w:tc>
          <w:tcPr>
            <w:tcW w:w="2122" w:type="dxa"/>
            <w:tcBorders>
              <w:top w:val="single" w:sz="4" w:space="0" w:color="000000"/>
              <w:left w:val="single" w:sz="4" w:space="0" w:color="000000"/>
              <w:bottom w:val="single" w:sz="4" w:space="0" w:color="000000"/>
              <w:right w:val="single" w:sz="4" w:space="0" w:color="000000"/>
            </w:tcBorders>
          </w:tcPr>
          <w:p w14:paraId="3350F44B" w14:textId="77777777" w:rsidR="00A12988" w:rsidRPr="00A12988" w:rsidRDefault="00A12988" w:rsidP="00FF57EB">
            <w:pPr>
              <w:pStyle w:val="TableParagraph"/>
              <w:spacing w:before="156"/>
              <w:ind w:left="0"/>
              <w:rPr>
                <w:rFonts w:ascii="Arial" w:hAnsi="Arial" w:cs="Arial"/>
                <w:sz w:val="24"/>
                <w:lang w:val="en-GB"/>
              </w:rPr>
            </w:pPr>
          </w:p>
          <w:p w14:paraId="43B8B3E4" w14:textId="77777777" w:rsidR="00A12988" w:rsidRPr="00A12988" w:rsidRDefault="00A12988" w:rsidP="00FF57EB">
            <w:pPr>
              <w:pStyle w:val="TableParagraph"/>
              <w:rPr>
                <w:rFonts w:ascii="Arial" w:hAnsi="Arial" w:cs="Arial"/>
                <w:sz w:val="24"/>
                <w:lang w:val="en-GB"/>
              </w:rPr>
            </w:pPr>
            <w:r w:rsidRPr="00A12988">
              <w:rPr>
                <w:rFonts w:ascii="Arial" w:hAnsi="Arial" w:cs="Arial"/>
                <w:spacing w:val="-2"/>
                <w:sz w:val="24"/>
                <w:lang w:val="en-GB"/>
              </w:rPr>
              <w:t>STRUCTURE</w:t>
            </w:r>
          </w:p>
        </w:tc>
        <w:tc>
          <w:tcPr>
            <w:tcW w:w="5530" w:type="dxa"/>
            <w:tcBorders>
              <w:top w:val="single" w:sz="4" w:space="0" w:color="000000"/>
              <w:left w:val="single" w:sz="4" w:space="0" w:color="000000"/>
              <w:bottom w:val="single" w:sz="4" w:space="0" w:color="000000"/>
              <w:right w:val="single" w:sz="4" w:space="0" w:color="000000"/>
            </w:tcBorders>
            <w:hideMark/>
          </w:tcPr>
          <w:p w14:paraId="1FDA1915" w14:textId="77777777" w:rsidR="00A12988" w:rsidRPr="00A12988" w:rsidRDefault="00A12988" w:rsidP="00FF57EB">
            <w:pPr>
              <w:pStyle w:val="TableParagraph"/>
              <w:spacing w:line="286" w:lineRule="exact"/>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0D00F9A6" w14:textId="77777777" w:rsidR="00A12988" w:rsidRPr="00A12988" w:rsidRDefault="00A12988" w:rsidP="00FF57EB">
            <w:pPr>
              <w:pStyle w:val="TableParagraph"/>
              <w:spacing w:before="21" w:line="252" w:lineRule="auto"/>
              <w:ind w:right="754"/>
              <w:rPr>
                <w:rFonts w:ascii="Arial" w:hAnsi="Arial" w:cs="Arial"/>
                <w:sz w:val="24"/>
                <w:lang w:val="en-GB"/>
              </w:rPr>
            </w:pPr>
            <w:r w:rsidRPr="00A12988">
              <w:rPr>
                <w:rFonts w:ascii="Arial" w:hAnsi="Arial" w:cs="Arial"/>
                <w:sz w:val="24"/>
                <w:lang w:val="en-GB"/>
              </w:rPr>
              <w:t>support you in structuring</w:t>
            </w:r>
            <w:r w:rsidRPr="00A12988">
              <w:rPr>
                <w:rFonts w:ascii="Arial" w:hAnsi="Arial" w:cs="Arial"/>
                <w:spacing w:val="-2"/>
                <w:sz w:val="24"/>
                <w:lang w:val="en-GB"/>
              </w:rPr>
              <w:t xml:space="preserve"> </w:t>
            </w:r>
            <w:r w:rsidRPr="00A12988">
              <w:rPr>
                <w:rFonts w:ascii="Arial" w:hAnsi="Arial" w:cs="Arial"/>
                <w:sz w:val="24"/>
                <w:lang w:val="en-GB"/>
              </w:rPr>
              <w:t xml:space="preserve">your submission, </w:t>
            </w:r>
            <w:r w:rsidRPr="00A12988">
              <w:rPr>
                <w:rFonts w:ascii="Arial" w:hAnsi="Arial" w:cs="Arial"/>
                <w:spacing w:val="-2"/>
                <w:sz w:val="24"/>
                <w:lang w:val="en-GB"/>
              </w:rPr>
              <w:t>including</w:t>
            </w:r>
            <w:r w:rsidRPr="00A12988">
              <w:rPr>
                <w:rFonts w:ascii="Arial" w:hAnsi="Arial" w:cs="Arial"/>
                <w:spacing w:val="-21"/>
                <w:sz w:val="24"/>
                <w:lang w:val="en-GB"/>
              </w:rPr>
              <w:t xml:space="preserve"> </w:t>
            </w:r>
            <w:r w:rsidRPr="00A12988">
              <w:rPr>
                <w:rFonts w:ascii="Arial" w:hAnsi="Arial" w:cs="Arial"/>
                <w:spacing w:val="-2"/>
                <w:sz w:val="24"/>
                <w:lang w:val="en-GB"/>
              </w:rPr>
              <w:t>creating</w:t>
            </w:r>
            <w:r w:rsidRPr="00A12988">
              <w:rPr>
                <w:rFonts w:ascii="Arial" w:hAnsi="Arial" w:cs="Arial"/>
                <w:spacing w:val="-21"/>
                <w:sz w:val="24"/>
                <w:lang w:val="en-GB"/>
              </w:rPr>
              <w:t xml:space="preserve"> </w:t>
            </w:r>
            <w:r w:rsidRPr="00A12988">
              <w:rPr>
                <w:rFonts w:ascii="Arial" w:hAnsi="Arial" w:cs="Arial"/>
                <w:spacing w:val="-2"/>
                <w:sz w:val="24"/>
                <w:lang w:val="en-GB"/>
              </w:rPr>
              <w:t>a</w:t>
            </w:r>
            <w:r w:rsidRPr="00A12988">
              <w:rPr>
                <w:rFonts w:ascii="Arial" w:hAnsi="Arial" w:cs="Arial"/>
                <w:spacing w:val="-15"/>
                <w:sz w:val="24"/>
                <w:lang w:val="en-GB"/>
              </w:rPr>
              <w:t xml:space="preserve"> </w:t>
            </w:r>
            <w:r w:rsidRPr="00A12988">
              <w:rPr>
                <w:rFonts w:ascii="Arial" w:hAnsi="Arial" w:cs="Arial"/>
                <w:spacing w:val="-2"/>
                <w:sz w:val="24"/>
                <w:lang w:val="en-GB"/>
              </w:rPr>
              <w:t>draft</w:t>
            </w:r>
            <w:r w:rsidRPr="00A12988">
              <w:rPr>
                <w:rFonts w:ascii="Arial" w:hAnsi="Arial" w:cs="Arial"/>
                <w:spacing w:val="-17"/>
                <w:sz w:val="24"/>
                <w:lang w:val="en-GB"/>
              </w:rPr>
              <w:t xml:space="preserve"> </w:t>
            </w:r>
            <w:r w:rsidRPr="00A12988">
              <w:rPr>
                <w:rFonts w:ascii="Arial" w:hAnsi="Arial" w:cs="Arial"/>
                <w:spacing w:val="-2"/>
                <w:sz w:val="24"/>
                <w:lang w:val="en-GB"/>
              </w:rPr>
              <w:t>argument</w:t>
            </w:r>
            <w:r w:rsidRPr="00A12988">
              <w:rPr>
                <w:rFonts w:ascii="Arial" w:hAnsi="Arial" w:cs="Arial"/>
                <w:spacing w:val="-17"/>
                <w:sz w:val="24"/>
                <w:lang w:val="en-GB"/>
              </w:rPr>
              <w:t xml:space="preserve"> </w:t>
            </w:r>
            <w:r w:rsidRPr="00A12988">
              <w:rPr>
                <w:rFonts w:ascii="Arial" w:hAnsi="Arial" w:cs="Arial"/>
                <w:spacing w:val="-2"/>
                <w:sz w:val="24"/>
                <w:lang w:val="en-GB"/>
              </w:rPr>
              <w:t xml:space="preserve">structure, </w:t>
            </w:r>
            <w:r w:rsidRPr="00A12988">
              <w:rPr>
                <w:rFonts w:ascii="Arial" w:hAnsi="Arial" w:cs="Arial"/>
                <w:sz w:val="24"/>
                <w:lang w:val="en-GB"/>
              </w:rPr>
              <w:t>identifying parts and headings, etc.</w:t>
            </w:r>
          </w:p>
        </w:tc>
        <w:tc>
          <w:tcPr>
            <w:tcW w:w="1349" w:type="dxa"/>
            <w:tcBorders>
              <w:top w:val="single" w:sz="4" w:space="0" w:color="000000"/>
              <w:left w:val="single" w:sz="4" w:space="0" w:color="000000"/>
              <w:bottom w:val="single" w:sz="4" w:space="0" w:color="000000"/>
              <w:right w:val="single" w:sz="4" w:space="0" w:color="000000"/>
            </w:tcBorders>
          </w:tcPr>
          <w:p w14:paraId="7975FF90" w14:textId="77777777" w:rsidR="00A12988" w:rsidRPr="00A12988" w:rsidRDefault="00A12988" w:rsidP="00FF57EB">
            <w:pPr>
              <w:pStyle w:val="TableParagraph"/>
              <w:spacing w:before="156"/>
              <w:ind w:left="0"/>
              <w:rPr>
                <w:rFonts w:ascii="Arial" w:hAnsi="Arial" w:cs="Arial"/>
                <w:sz w:val="24"/>
                <w:lang w:val="en-GB"/>
              </w:rPr>
            </w:pPr>
          </w:p>
          <w:p w14:paraId="3EDA223C" w14:textId="77777777" w:rsidR="00A12988" w:rsidRPr="00A12988" w:rsidRDefault="00A12988" w:rsidP="00FF57EB">
            <w:pPr>
              <w:pStyle w:val="TableParagraph"/>
              <w:ind w:left="0" w:right="9"/>
              <w:jc w:val="center"/>
              <w:rPr>
                <w:rFonts w:ascii="Arial" w:hAnsi="Arial" w:cs="Arial"/>
                <w:sz w:val="24"/>
                <w:lang w:val="en-GB"/>
              </w:rPr>
            </w:pPr>
            <w:r w:rsidRPr="00A12988">
              <w:rPr>
                <w:rFonts w:ascii="Arial" w:hAnsi="Arial" w:cs="Arial"/>
                <w:spacing w:val="-10"/>
                <w:sz w:val="24"/>
                <w:lang w:val="en-GB"/>
              </w:rPr>
              <w:t>No</w:t>
            </w:r>
            <w:r w:rsidRPr="00A12988">
              <w:rPr>
                <w:rFonts w:ascii="Arial" w:hAnsi="Arial" w:cs="Arial"/>
                <w:spacing w:val="-14"/>
                <w:sz w:val="24"/>
                <w:lang w:val="en-GB"/>
              </w:rPr>
              <w:t xml:space="preserve"> </w:t>
            </w:r>
          </w:p>
        </w:tc>
      </w:tr>
      <w:tr w:rsidR="00A12988" w:rsidRPr="00A12988" w14:paraId="27A4A427" w14:textId="77777777" w:rsidTr="00FF57EB">
        <w:trPr>
          <w:trHeight w:val="1518"/>
        </w:trPr>
        <w:tc>
          <w:tcPr>
            <w:tcW w:w="2122" w:type="dxa"/>
            <w:tcBorders>
              <w:top w:val="single" w:sz="4" w:space="0" w:color="000000"/>
              <w:left w:val="single" w:sz="4" w:space="0" w:color="000000"/>
              <w:bottom w:val="single" w:sz="4" w:space="0" w:color="000000"/>
              <w:right w:val="single" w:sz="4" w:space="0" w:color="000000"/>
            </w:tcBorders>
          </w:tcPr>
          <w:p w14:paraId="7387FE6F" w14:textId="77777777" w:rsidR="00A12988" w:rsidRPr="00A12988" w:rsidRDefault="00A12988" w:rsidP="00FF57EB">
            <w:pPr>
              <w:pStyle w:val="TableParagraph"/>
              <w:spacing w:before="158"/>
              <w:ind w:left="0"/>
              <w:rPr>
                <w:rFonts w:ascii="Arial" w:hAnsi="Arial" w:cs="Arial"/>
                <w:sz w:val="24"/>
                <w:lang w:val="en-GB"/>
              </w:rPr>
            </w:pPr>
          </w:p>
          <w:p w14:paraId="4338E17C" w14:textId="77777777" w:rsidR="00A12988" w:rsidRPr="00A12988" w:rsidRDefault="00A12988" w:rsidP="00FF57EB">
            <w:pPr>
              <w:pStyle w:val="TableParagraph"/>
              <w:rPr>
                <w:rFonts w:ascii="Arial" w:hAnsi="Arial" w:cs="Arial"/>
                <w:sz w:val="24"/>
                <w:lang w:val="en-GB"/>
              </w:rPr>
            </w:pPr>
            <w:r w:rsidRPr="00A12988">
              <w:rPr>
                <w:rFonts w:ascii="Arial" w:hAnsi="Arial" w:cs="Arial"/>
                <w:spacing w:val="-2"/>
                <w:sz w:val="24"/>
                <w:lang w:val="en-GB"/>
              </w:rPr>
              <w:t>PROOFREADING</w:t>
            </w:r>
          </w:p>
        </w:tc>
        <w:tc>
          <w:tcPr>
            <w:tcW w:w="5530" w:type="dxa"/>
            <w:tcBorders>
              <w:top w:val="single" w:sz="4" w:space="0" w:color="000000"/>
              <w:left w:val="single" w:sz="4" w:space="0" w:color="000000"/>
              <w:bottom w:val="single" w:sz="4" w:space="0" w:color="000000"/>
              <w:right w:val="single" w:sz="4" w:space="0" w:color="000000"/>
            </w:tcBorders>
            <w:hideMark/>
          </w:tcPr>
          <w:p w14:paraId="782F20F1" w14:textId="77777777" w:rsidR="00A12988" w:rsidRPr="00A12988" w:rsidRDefault="00A12988" w:rsidP="00FF57EB">
            <w:pPr>
              <w:pStyle w:val="TableParagraph"/>
              <w:spacing w:line="288" w:lineRule="exact"/>
              <w:jc w:val="both"/>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430FC805" w14:textId="77777777" w:rsidR="00A12988" w:rsidRPr="00A12988" w:rsidRDefault="00A12988" w:rsidP="00FF57EB">
            <w:pPr>
              <w:pStyle w:val="TableParagraph"/>
              <w:spacing w:before="19" w:line="252" w:lineRule="auto"/>
              <w:ind w:right="319"/>
              <w:jc w:val="both"/>
              <w:rPr>
                <w:rFonts w:ascii="Arial" w:hAnsi="Arial" w:cs="Arial"/>
                <w:sz w:val="24"/>
                <w:lang w:val="en-GB"/>
              </w:rPr>
            </w:pPr>
            <w:r w:rsidRPr="00A12988">
              <w:rPr>
                <w:rFonts w:ascii="Arial" w:hAnsi="Arial" w:cs="Arial"/>
                <w:spacing w:val="-4"/>
                <w:sz w:val="24"/>
                <w:lang w:val="en-GB"/>
              </w:rPr>
              <w:t>check</w:t>
            </w:r>
            <w:r w:rsidRPr="00A12988">
              <w:rPr>
                <w:rFonts w:ascii="Arial" w:hAnsi="Arial" w:cs="Arial"/>
                <w:spacing w:val="-12"/>
                <w:sz w:val="24"/>
                <w:lang w:val="en-GB"/>
              </w:rPr>
              <w:t xml:space="preserve"> </w:t>
            </w:r>
            <w:r w:rsidRPr="00A12988">
              <w:rPr>
                <w:rFonts w:ascii="Arial" w:hAnsi="Arial" w:cs="Arial"/>
                <w:spacing w:val="-4"/>
                <w:sz w:val="24"/>
                <w:lang w:val="en-GB"/>
              </w:rPr>
              <w:t>your</w:t>
            </w:r>
            <w:r w:rsidRPr="00A12988">
              <w:rPr>
                <w:rFonts w:ascii="Arial" w:hAnsi="Arial" w:cs="Arial"/>
                <w:spacing w:val="-12"/>
                <w:sz w:val="24"/>
                <w:lang w:val="en-GB"/>
              </w:rPr>
              <w:t xml:space="preserve"> </w:t>
            </w:r>
            <w:r w:rsidRPr="00A12988">
              <w:rPr>
                <w:rFonts w:ascii="Arial" w:hAnsi="Arial" w:cs="Arial"/>
                <w:spacing w:val="-4"/>
                <w:sz w:val="24"/>
                <w:lang w:val="en-GB"/>
              </w:rPr>
              <w:t>own</w:t>
            </w:r>
            <w:r w:rsidRPr="00A12988">
              <w:rPr>
                <w:rFonts w:ascii="Arial" w:hAnsi="Arial" w:cs="Arial"/>
                <w:spacing w:val="-9"/>
                <w:sz w:val="24"/>
                <w:lang w:val="en-GB"/>
              </w:rPr>
              <w:t xml:space="preserve"> </w:t>
            </w:r>
            <w:r w:rsidRPr="00A12988">
              <w:rPr>
                <w:rFonts w:ascii="Arial" w:hAnsi="Arial" w:cs="Arial"/>
                <w:spacing w:val="-4"/>
                <w:sz w:val="24"/>
                <w:lang w:val="en-GB"/>
              </w:rPr>
              <w:t>text/creation</w:t>
            </w:r>
            <w:r w:rsidRPr="00A12988">
              <w:rPr>
                <w:rFonts w:ascii="Arial" w:hAnsi="Arial" w:cs="Arial"/>
                <w:spacing w:val="-9"/>
                <w:sz w:val="24"/>
                <w:lang w:val="en-GB"/>
              </w:rPr>
              <w:t xml:space="preserve"> </w:t>
            </w:r>
            <w:r w:rsidRPr="00A12988">
              <w:rPr>
                <w:rFonts w:ascii="Arial" w:hAnsi="Arial" w:cs="Arial"/>
                <w:spacing w:val="-4"/>
                <w:sz w:val="24"/>
                <w:lang w:val="en-GB"/>
              </w:rPr>
              <w:t>for</w:t>
            </w:r>
            <w:r w:rsidRPr="00A12988">
              <w:rPr>
                <w:rFonts w:ascii="Arial" w:hAnsi="Arial" w:cs="Arial"/>
                <w:spacing w:val="-13"/>
                <w:sz w:val="24"/>
                <w:lang w:val="en-GB"/>
              </w:rPr>
              <w:t xml:space="preserve"> </w:t>
            </w:r>
            <w:r w:rsidRPr="00A12988">
              <w:rPr>
                <w:rFonts w:ascii="Arial" w:hAnsi="Arial" w:cs="Arial"/>
                <w:spacing w:val="-4"/>
                <w:sz w:val="24"/>
                <w:lang w:val="en-GB"/>
              </w:rPr>
              <w:t>grammatical</w:t>
            </w:r>
            <w:r w:rsidRPr="00A12988">
              <w:rPr>
                <w:rFonts w:ascii="Arial" w:hAnsi="Arial" w:cs="Arial"/>
                <w:spacing w:val="-8"/>
                <w:sz w:val="24"/>
                <w:lang w:val="en-GB"/>
              </w:rPr>
              <w:t xml:space="preserve"> </w:t>
            </w:r>
            <w:r w:rsidRPr="00A12988">
              <w:rPr>
                <w:rFonts w:ascii="Arial" w:hAnsi="Arial" w:cs="Arial"/>
                <w:spacing w:val="-4"/>
                <w:sz w:val="24"/>
                <w:lang w:val="en-GB"/>
              </w:rPr>
              <w:t xml:space="preserve">and </w:t>
            </w:r>
            <w:r w:rsidRPr="00A12988">
              <w:rPr>
                <w:rFonts w:ascii="Arial" w:hAnsi="Arial" w:cs="Arial"/>
                <w:spacing w:val="-2"/>
                <w:sz w:val="24"/>
                <w:lang w:val="en-GB"/>
              </w:rPr>
              <w:t>syntactical</w:t>
            </w:r>
            <w:r w:rsidRPr="00A12988">
              <w:rPr>
                <w:rFonts w:ascii="Arial" w:hAnsi="Arial" w:cs="Arial"/>
                <w:spacing w:val="-13"/>
                <w:sz w:val="24"/>
                <w:lang w:val="en-GB"/>
              </w:rPr>
              <w:t xml:space="preserve"> </w:t>
            </w:r>
            <w:r w:rsidRPr="00A12988">
              <w:rPr>
                <w:rFonts w:ascii="Arial" w:hAnsi="Arial" w:cs="Arial"/>
                <w:spacing w:val="-2"/>
                <w:sz w:val="24"/>
                <w:lang w:val="en-GB"/>
              </w:rPr>
              <w:t>mistakes,</w:t>
            </w:r>
            <w:r w:rsidRPr="00A12988">
              <w:rPr>
                <w:rFonts w:ascii="Arial" w:hAnsi="Arial" w:cs="Arial"/>
                <w:spacing w:val="-8"/>
                <w:sz w:val="24"/>
                <w:lang w:val="en-GB"/>
              </w:rPr>
              <w:t xml:space="preserve"> </w:t>
            </w:r>
            <w:r w:rsidRPr="00A12988">
              <w:rPr>
                <w:rFonts w:ascii="Arial" w:hAnsi="Arial" w:cs="Arial"/>
                <w:spacing w:val="-2"/>
                <w:sz w:val="24"/>
                <w:lang w:val="en-GB"/>
              </w:rPr>
              <w:t>including</w:t>
            </w:r>
            <w:r w:rsidRPr="00A12988">
              <w:rPr>
                <w:rFonts w:ascii="Arial" w:hAnsi="Arial" w:cs="Arial"/>
                <w:spacing w:val="-13"/>
                <w:sz w:val="24"/>
                <w:lang w:val="en-GB"/>
              </w:rPr>
              <w:t xml:space="preserve"> </w:t>
            </w:r>
            <w:r w:rsidRPr="00A12988">
              <w:rPr>
                <w:rFonts w:ascii="Arial" w:hAnsi="Arial" w:cs="Arial"/>
                <w:spacing w:val="-2"/>
                <w:sz w:val="24"/>
                <w:lang w:val="en-GB"/>
              </w:rPr>
              <w:t>rephrasing</w:t>
            </w:r>
            <w:r w:rsidRPr="00A12988">
              <w:rPr>
                <w:rFonts w:ascii="Arial" w:hAnsi="Arial" w:cs="Arial"/>
                <w:spacing w:val="-8"/>
                <w:sz w:val="24"/>
                <w:lang w:val="en-GB"/>
              </w:rPr>
              <w:t xml:space="preserve"> </w:t>
            </w:r>
            <w:r w:rsidRPr="00A12988">
              <w:rPr>
                <w:rFonts w:ascii="Arial" w:hAnsi="Arial" w:cs="Arial"/>
                <w:spacing w:val="-2"/>
                <w:sz w:val="24"/>
                <w:lang w:val="en-GB"/>
              </w:rPr>
              <w:t>of</w:t>
            </w:r>
            <w:r w:rsidRPr="00A12988">
              <w:rPr>
                <w:rFonts w:ascii="Arial" w:hAnsi="Arial" w:cs="Arial"/>
                <w:spacing w:val="-8"/>
                <w:sz w:val="24"/>
                <w:lang w:val="en-GB"/>
              </w:rPr>
              <w:t xml:space="preserve"> </w:t>
            </w:r>
            <w:r w:rsidRPr="00A12988">
              <w:rPr>
                <w:rFonts w:ascii="Arial" w:hAnsi="Arial" w:cs="Arial"/>
                <w:spacing w:val="-2"/>
                <w:sz w:val="24"/>
                <w:lang w:val="en-GB"/>
              </w:rPr>
              <w:t xml:space="preserve">your </w:t>
            </w:r>
            <w:r w:rsidRPr="00A12988">
              <w:rPr>
                <w:rFonts w:ascii="Arial" w:hAnsi="Arial" w:cs="Arial"/>
                <w:sz w:val="24"/>
                <w:lang w:val="en-GB"/>
              </w:rPr>
              <w:t>own work within specific standards.</w:t>
            </w:r>
          </w:p>
        </w:tc>
        <w:tc>
          <w:tcPr>
            <w:tcW w:w="1349" w:type="dxa"/>
            <w:tcBorders>
              <w:top w:val="single" w:sz="4" w:space="0" w:color="000000"/>
              <w:left w:val="single" w:sz="4" w:space="0" w:color="000000"/>
              <w:bottom w:val="single" w:sz="4" w:space="0" w:color="000000"/>
              <w:right w:val="single" w:sz="4" w:space="0" w:color="000000"/>
            </w:tcBorders>
          </w:tcPr>
          <w:p w14:paraId="4F793511" w14:textId="77777777" w:rsidR="00A12988" w:rsidRPr="00A12988" w:rsidRDefault="00A12988" w:rsidP="00FF57EB">
            <w:pPr>
              <w:pStyle w:val="TableParagraph"/>
              <w:spacing w:before="158"/>
              <w:ind w:left="0"/>
              <w:rPr>
                <w:rFonts w:ascii="Arial" w:hAnsi="Arial" w:cs="Arial"/>
                <w:sz w:val="24"/>
                <w:lang w:val="en-GB"/>
              </w:rPr>
            </w:pPr>
          </w:p>
          <w:p w14:paraId="77F5B16D" w14:textId="77777777" w:rsidR="00A12988" w:rsidRPr="00A12988" w:rsidRDefault="00A12988" w:rsidP="00FF57EB">
            <w:pPr>
              <w:pStyle w:val="TableParagraph"/>
              <w:ind w:left="0" w:right="9"/>
              <w:jc w:val="center"/>
              <w:rPr>
                <w:rFonts w:ascii="Arial" w:hAnsi="Arial" w:cs="Arial"/>
                <w:sz w:val="24"/>
                <w:lang w:val="en-GB"/>
              </w:rPr>
            </w:pPr>
            <w:r w:rsidRPr="00A12988">
              <w:rPr>
                <w:rFonts w:ascii="Arial" w:hAnsi="Arial" w:cs="Arial"/>
                <w:spacing w:val="-10"/>
                <w:sz w:val="24"/>
                <w:lang w:val="en-GB"/>
              </w:rPr>
              <w:t>Yes</w:t>
            </w:r>
            <w:r w:rsidRPr="00A12988">
              <w:rPr>
                <w:rFonts w:ascii="Arial" w:hAnsi="Arial" w:cs="Arial"/>
                <w:spacing w:val="-15"/>
                <w:sz w:val="24"/>
                <w:lang w:val="en-GB"/>
              </w:rPr>
              <w:t xml:space="preserve"> </w:t>
            </w:r>
          </w:p>
        </w:tc>
      </w:tr>
      <w:tr w:rsidR="00A12988" w:rsidRPr="00A12988" w14:paraId="4A7CC479" w14:textId="77777777" w:rsidTr="00FF57EB">
        <w:trPr>
          <w:trHeight w:val="839"/>
        </w:trPr>
        <w:tc>
          <w:tcPr>
            <w:tcW w:w="2122" w:type="dxa"/>
            <w:tcBorders>
              <w:top w:val="single" w:sz="4" w:space="0" w:color="000000"/>
              <w:left w:val="single" w:sz="4" w:space="0" w:color="000000"/>
              <w:bottom w:val="single" w:sz="4" w:space="0" w:color="000000"/>
              <w:right w:val="single" w:sz="4" w:space="0" w:color="000000"/>
            </w:tcBorders>
            <w:hideMark/>
          </w:tcPr>
          <w:p w14:paraId="723A21E4" w14:textId="77777777" w:rsidR="00A12988" w:rsidRPr="00A12988" w:rsidRDefault="00A12988" w:rsidP="00FF57EB">
            <w:pPr>
              <w:pStyle w:val="TableParagraph"/>
              <w:spacing w:before="137"/>
              <w:rPr>
                <w:rFonts w:ascii="Arial" w:hAnsi="Arial" w:cs="Arial"/>
                <w:sz w:val="24"/>
                <w:lang w:val="en-GB"/>
              </w:rPr>
            </w:pPr>
            <w:r w:rsidRPr="00A12988">
              <w:rPr>
                <w:rFonts w:ascii="Arial" w:hAnsi="Arial" w:cs="Arial"/>
                <w:spacing w:val="-2"/>
                <w:sz w:val="24"/>
                <w:lang w:val="en-GB"/>
              </w:rPr>
              <w:t>WRITING</w:t>
            </w:r>
          </w:p>
        </w:tc>
        <w:tc>
          <w:tcPr>
            <w:tcW w:w="5530" w:type="dxa"/>
            <w:tcBorders>
              <w:top w:val="single" w:sz="4" w:space="0" w:color="000000"/>
              <w:left w:val="single" w:sz="4" w:space="0" w:color="000000"/>
              <w:bottom w:val="single" w:sz="4" w:space="0" w:color="000000"/>
              <w:right w:val="single" w:sz="4" w:space="0" w:color="000000"/>
            </w:tcBorders>
            <w:hideMark/>
          </w:tcPr>
          <w:p w14:paraId="3B330ABC" w14:textId="77777777" w:rsidR="00A12988" w:rsidRPr="00A12988" w:rsidRDefault="00A12988" w:rsidP="00FF57EB">
            <w:pPr>
              <w:pStyle w:val="TableParagraph"/>
              <w:spacing w:line="286" w:lineRule="exact"/>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302F9F25" w14:textId="77777777" w:rsidR="00A12988" w:rsidRPr="00A12988" w:rsidRDefault="00A12988" w:rsidP="00FF57EB">
            <w:pPr>
              <w:pStyle w:val="TableParagraph"/>
              <w:spacing w:before="19"/>
              <w:rPr>
                <w:rFonts w:ascii="Arial" w:hAnsi="Arial" w:cs="Arial"/>
                <w:sz w:val="24"/>
                <w:lang w:val="en-GB"/>
              </w:rPr>
            </w:pPr>
            <w:r w:rsidRPr="00A12988">
              <w:rPr>
                <w:rFonts w:ascii="Arial" w:hAnsi="Arial" w:cs="Arial"/>
                <w:spacing w:val="-4"/>
                <w:sz w:val="24"/>
                <w:lang w:val="en-GB"/>
              </w:rPr>
              <w:t>create</w:t>
            </w:r>
            <w:r w:rsidRPr="00A12988">
              <w:rPr>
                <w:rFonts w:ascii="Arial" w:hAnsi="Arial" w:cs="Arial"/>
                <w:spacing w:val="-11"/>
                <w:sz w:val="24"/>
                <w:lang w:val="en-GB"/>
              </w:rPr>
              <w:t xml:space="preserve"> </w:t>
            </w:r>
            <w:r w:rsidRPr="00A12988">
              <w:rPr>
                <w:rFonts w:ascii="Arial" w:hAnsi="Arial" w:cs="Arial"/>
                <w:spacing w:val="-4"/>
                <w:sz w:val="24"/>
                <w:lang w:val="en-GB"/>
              </w:rPr>
              <w:t>text</w:t>
            </w:r>
            <w:r w:rsidRPr="00A12988">
              <w:rPr>
                <w:rFonts w:ascii="Arial" w:hAnsi="Arial" w:cs="Arial"/>
                <w:spacing w:val="-13"/>
                <w:sz w:val="24"/>
                <w:lang w:val="en-GB"/>
              </w:rPr>
              <w:t xml:space="preserve"> </w:t>
            </w:r>
            <w:r w:rsidRPr="00A12988">
              <w:rPr>
                <w:rFonts w:ascii="Arial" w:hAnsi="Arial" w:cs="Arial"/>
                <w:spacing w:val="-4"/>
                <w:sz w:val="24"/>
                <w:lang w:val="en-GB"/>
              </w:rPr>
              <w:t>for</w:t>
            </w:r>
            <w:r w:rsidRPr="00A12988">
              <w:rPr>
                <w:rFonts w:ascii="Arial" w:hAnsi="Arial" w:cs="Arial"/>
                <w:spacing w:val="-9"/>
                <w:sz w:val="24"/>
                <w:lang w:val="en-GB"/>
              </w:rPr>
              <w:t xml:space="preserve"> </w:t>
            </w:r>
            <w:r w:rsidRPr="00A12988">
              <w:rPr>
                <w:rFonts w:ascii="Arial" w:hAnsi="Arial" w:cs="Arial"/>
                <w:spacing w:val="-4"/>
                <w:sz w:val="24"/>
                <w:lang w:val="en-GB"/>
              </w:rPr>
              <w:t>submission.</w:t>
            </w:r>
          </w:p>
        </w:tc>
        <w:tc>
          <w:tcPr>
            <w:tcW w:w="1349" w:type="dxa"/>
            <w:tcBorders>
              <w:top w:val="single" w:sz="4" w:space="0" w:color="000000"/>
              <w:left w:val="single" w:sz="4" w:space="0" w:color="000000"/>
              <w:bottom w:val="single" w:sz="4" w:space="0" w:color="000000"/>
              <w:right w:val="single" w:sz="4" w:space="0" w:color="000000"/>
            </w:tcBorders>
            <w:hideMark/>
          </w:tcPr>
          <w:p w14:paraId="2DF927E8" w14:textId="77777777" w:rsidR="00A12988" w:rsidRPr="00A12988" w:rsidRDefault="00A12988" w:rsidP="00FF57EB">
            <w:pPr>
              <w:pStyle w:val="TableParagraph"/>
              <w:spacing w:before="137"/>
              <w:ind w:left="0" w:right="9"/>
              <w:jc w:val="center"/>
              <w:rPr>
                <w:rFonts w:ascii="Arial" w:hAnsi="Arial" w:cs="Arial"/>
                <w:sz w:val="24"/>
                <w:lang w:val="en-GB"/>
              </w:rPr>
            </w:pPr>
            <w:r w:rsidRPr="00A12988">
              <w:rPr>
                <w:rFonts w:ascii="Arial" w:hAnsi="Arial" w:cs="Arial"/>
                <w:spacing w:val="-10"/>
                <w:sz w:val="24"/>
                <w:lang w:val="en-GB"/>
              </w:rPr>
              <w:t>No</w:t>
            </w:r>
            <w:r w:rsidRPr="00A12988">
              <w:rPr>
                <w:rFonts w:ascii="Arial" w:hAnsi="Arial" w:cs="Arial"/>
                <w:spacing w:val="-14"/>
                <w:sz w:val="24"/>
                <w:lang w:val="en-GB"/>
              </w:rPr>
              <w:t xml:space="preserve"> </w:t>
            </w:r>
          </w:p>
        </w:tc>
      </w:tr>
      <w:tr w:rsidR="00A12988" w:rsidRPr="00A12988" w14:paraId="7FE2B680" w14:textId="77777777" w:rsidTr="00FF57EB">
        <w:trPr>
          <w:trHeight w:val="837"/>
        </w:trPr>
        <w:tc>
          <w:tcPr>
            <w:tcW w:w="2122" w:type="dxa"/>
            <w:tcBorders>
              <w:top w:val="single" w:sz="4" w:space="0" w:color="000000"/>
              <w:left w:val="single" w:sz="4" w:space="0" w:color="000000"/>
              <w:bottom w:val="single" w:sz="4" w:space="0" w:color="000000"/>
              <w:right w:val="single" w:sz="4" w:space="0" w:color="000000"/>
            </w:tcBorders>
            <w:hideMark/>
          </w:tcPr>
          <w:p w14:paraId="2F8A43F4" w14:textId="77777777" w:rsidR="00A12988" w:rsidRPr="00A12988" w:rsidRDefault="00A12988" w:rsidP="00FF57EB">
            <w:pPr>
              <w:pStyle w:val="TableParagraph"/>
              <w:spacing w:before="134"/>
              <w:rPr>
                <w:rFonts w:ascii="Arial" w:hAnsi="Arial" w:cs="Arial"/>
                <w:sz w:val="24"/>
                <w:lang w:val="en-GB"/>
              </w:rPr>
            </w:pPr>
            <w:r w:rsidRPr="00A12988">
              <w:rPr>
                <w:rFonts w:ascii="Arial" w:hAnsi="Arial" w:cs="Arial"/>
                <w:spacing w:val="-2"/>
                <w:sz w:val="24"/>
                <w:lang w:val="en-GB"/>
              </w:rPr>
              <w:t>CREATIVE</w:t>
            </w:r>
          </w:p>
        </w:tc>
        <w:tc>
          <w:tcPr>
            <w:tcW w:w="5530" w:type="dxa"/>
            <w:tcBorders>
              <w:top w:val="single" w:sz="4" w:space="0" w:color="000000"/>
              <w:left w:val="single" w:sz="4" w:space="0" w:color="000000"/>
              <w:bottom w:val="single" w:sz="4" w:space="0" w:color="000000"/>
              <w:right w:val="single" w:sz="4" w:space="0" w:color="000000"/>
            </w:tcBorders>
            <w:hideMark/>
          </w:tcPr>
          <w:p w14:paraId="665DB3FE" w14:textId="77777777" w:rsidR="00A12988" w:rsidRPr="00A12988" w:rsidRDefault="00A12988" w:rsidP="00FF57EB">
            <w:pPr>
              <w:pStyle w:val="TableParagraph"/>
              <w:spacing w:line="286" w:lineRule="exact"/>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33CEF4A3" w14:textId="77777777" w:rsidR="00A12988" w:rsidRPr="00A12988" w:rsidRDefault="00A12988" w:rsidP="00FF57EB">
            <w:pPr>
              <w:pStyle w:val="TableParagraph"/>
              <w:spacing w:before="19"/>
              <w:rPr>
                <w:rFonts w:ascii="Arial" w:hAnsi="Arial" w:cs="Arial"/>
                <w:sz w:val="24"/>
                <w:lang w:val="en-GB"/>
              </w:rPr>
            </w:pPr>
            <w:r w:rsidRPr="00A12988">
              <w:rPr>
                <w:rFonts w:ascii="Arial" w:hAnsi="Arial" w:cs="Arial"/>
                <w:sz w:val="24"/>
                <w:lang w:val="en-GB"/>
              </w:rPr>
              <w:t>create</w:t>
            </w:r>
            <w:r w:rsidRPr="00A12988">
              <w:rPr>
                <w:rFonts w:ascii="Arial" w:hAnsi="Arial" w:cs="Arial"/>
                <w:spacing w:val="-8"/>
                <w:sz w:val="24"/>
                <w:lang w:val="en-GB"/>
              </w:rPr>
              <w:t xml:space="preserve"> </w:t>
            </w:r>
            <w:r w:rsidRPr="00A12988">
              <w:rPr>
                <w:rFonts w:ascii="Arial" w:hAnsi="Arial" w:cs="Arial"/>
                <w:sz w:val="24"/>
                <w:lang w:val="en-GB"/>
              </w:rPr>
              <w:t>creative</w:t>
            </w:r>
            <w:r w:rsidRPr="00A12988">
              <w:rPr>
                <w:rFonts w:ascii="Arial" w:hAnsi="Arial" w:cs="Arial"/>
                <w:spacing w:val="-4"/>
                <w:sz w:val="24"/>
                <w:lang w:val="en-GB"/>
              </w:rPr>
              <w:t xml:space="preserve"> </w:t>
            </w:r>
            <w:r w:rsidRPr="00A12988">
              <w:rPr>
                <w:rFonts w:ascii="Arial" w:hAnsi="Arial" w:cs="Arial"/>
                <w:sz w:val="24"/>
                <w:lang w:val="en-GB"/>
              </w:rPr>
              <w:t>materials,</w:t>
            </w:r>
            <w:r w:rsidRPr="00A12988">
              <w:rPr>
                <w:rFonts w:ascii="Arial" w:hAnsi="Arial" w:cs="Arial"/>
                <w:spacing w:val="-6"/>
                <w:sz w:val="24"/>
                <w:lang w:val="en-GB"/>
              </w:rPr>
              <w:t xml:space="preserve"> </w:t>
            </w:r>
            <w:r w:rsidRPr="00A12988">
              <w:rPr>
                <w:rFonts w:ascii="Arial" w:hAnsi="Arial" w:cs="Arial"/>
                <w:sz w:val="24"/>
                <w:lang w:val="en-GB"/>
              </w:rPr>
              <w:t>such</w:t>
            </w:r>
            <w:r w:rsidRPr="00A12988">
              <w:rPr>
                <w:rFonts w:ascii="Arial" w:hAnsi="Arial" w:cs="Arial"/>
                <w:spacing w:val="-5"/>
                <w:sz w:val="24"/>
                <w:lang w:val="en-GB"/>
              </w:rPr>
              <w:t xml:space="preserve"> </w:t>
            </w:r>
            <w:r w:rsidRPr="00A12988">
              <w:rPr>
                <w:rFonts w:ascii="Arial" w:hAnsi="Arial" w:cs="Arial"/>
                <w:sz w:val="24"/>
                <w:lang w:val="en-GB"/>
              </w:rPr>
              <w:t>as</w:t>
            </w:r>
            <w:r w:rsidRPr="00A12988">
              <w:rPr>
                <w:rFonts w:ascii="Arial" w:hAnsi="Arial" w:cs="Arial"/>
                <w:spacing w:val="-4"/>
                <w:sz w:val="24"/>
                <w:lang w:val="en-GB"/>
              </w:rPr>
              <w:t xml:space="preserve"> </w:t>
            </w:r>
            <w:r w:rsidRPr="00A12988">
              <w:rPr>
                <w:rFonts w:ascii="Arial" w:hAnsi="Arial" w:cs="Arial"/>
                <w:spacing w:val="-2"/>
                <w:sz w:val="24"/>
                <w:lang w:val="en-GB"/>
              </w:rPr>
              <w:t>images.</w:t>
            </w:r>
          </w:p>
        </w:tc>
        <w:tc>
          <w:tcPr>
            <w:tcW w:w="1349" w:type="dxa"/>
            <w:tcBorders>
              <w:top w:val="single" w:sz="4" w:space="0" w:color="000000"/>
              <w:left w:val="single" w:sz="4" w:space="0" w:color="000000"/>
              <w:bottom w:val="single" w:sz="4" w:space="0" w:color="000000"/>
              <w:right w:val="single" w:sz="4" w:space="0" w:color="000000"/>
            </w:tcBorders>
            <w:hideMark/>
          </w:tcPr>
          <w:p w14:paraId="258BD121" w14:textId="77777777" w:rsidR="00A12988" w:rsidRPr="00A12988" w:rsidRDefault="00A12988" w:rsidP="00FF57EB">
            <w:pPr>
              <w:pStyle w:val="TableParagraph"/>
              <w:spacing w:before="134"/>
              <w:ind w:left="0" w:right="9"/>
              <w:jc w:val="center"/>
              <w:rPr>
                <w:rFonts w:ascii="Arial" w:hAnsi="Arial" w:cs="Arial"/>
                <w:sz w:val="24"/>
                <w:lang w:val="en-GB"/>
              </w:rPr>
            </w:pPr>
            <w:r w:rsidRPr="00A12988">
              <w:rPr>
                <w:rFonts w:ascii="Arial" w:hAnsi="Arial" w:cs="Arial"/>
                <w:spacing w:val="-10"/>
                <w:sz w:val="24"/>
                <w:lang w:val="en-GB"/>
              </w:rPr>
              <w:t>Yes</w:t>
            </w:r>
          </w:p>
        </w:tc>
      </w:tr>
      <w:tr w:rsidR="00A12988" w:rsidRPr="00A12988" w14:paraId="74FEF75F" w14:textId="77777777" w:rsidTr="00FF57EB">
        <w:trPr>
          <w:trHeight w:val="839"/>
        </w:trPr>
        <w:tc>
          <w:tcPr>
            <w:tcW w:w="2122" w:type="dxa"/>
            <w:tcBorders>
              <w:top w:val="single" w:sz="4" w:space="0" w:color="000000"/>
              <w:left w:val="single" w:sz="4" w:space="0" w:color="000000"/>
              <w:bottom w:val="single" w:sz="4" w:space="0" w:color="000000"/>
              <w:right w:val="single" w:sz="4" w:space="0" w:color="000000"/>
            </w:tcBorders>
            <w:hideMark/>
          </w:tcPr>
          <w:p w14:paraId="378052B3" w14:textId="77777777" w:rsidR="00A12988" w:rsidRPr="00A12988" w:rsidRDefault="00A12988" w:rsidP="00FF57EB">
            <w:pPr>
              <w:pStyle w:val="TableParagraph"/>
              <w:spacing w:before="137"/>
              <w:rPr>
                <w:rFonts w:ascii="Arial" w:hAnsi="Arial" w:cs="Arial"/>
                <w:sz w:val="24"/>
                <w:lang w:val="en-GB"/>
              </w:rPr>
            </w:pPr>
            <w:r w:rsidRPr="00A12988">
              <w:rPr>
                <w:rFonts w:ascii="Arial" w:hAnsi="Arial" w:cs="Arial"/>
                <w:spacing w:val="-2"/>
                <w:sz w:val="24"/>
                <w:lang w:val="en-GB"/>
              </w:rPr>
              <w:t>PROGRAMMING</w:t>
            </w:r>
          </w:p>
        </w:tc>
        <w:tc>
          <w:tcPr>
            <w:tcW w:w="5530" w:type="dxa"/>
            <w:tcBorders>
              <w:top w:val="single" w:sz="4" w:space="0" w:color="000000"/>
              <w:left w:val="single" w:sz="4" w:space="0" w:color="000000"/>
              <w:bottom w:val="single" w:sz="4" w:space="0" w:color="000000"/>
              <w:right w:val="single" w:sz="4" w:space="0" w:color="000000"/>
            </w:tcBorders>
            <w:hideMark/>
          </w:tcPr>
          <w:p w14:paraId="50F15CCA" w14:textId="77777777" w:rsidR="00A12988" w:rsidRPr="00A12988" w:rsidRDefault="00A12988" w:rsidP="00FF57EB">
            <w:pPr>
              <w:pStyle w:val="TableParagraph"/>
              <w:spacing w:line="286" w:lineRule="exact"/>
              <w:rPr>
                <w:rFonts w:ascii="Arial" w:hAnsi="Arial" w:cs="Arial"/>
                <w:sz w:val="24"/>
                <w:lang w:val="en-GB"/>
              </w:rPr>
            </w:pPr>
            <w:r w:rsidRPr="00A12988">
              <w:rPr>
                <w:rFonts w:ascii="Arial" w:hAnsi="Arial" w:cs="Arial"/>
                <w:sz w:val="24"/>
                <w:lang w:val="en-GB"/>
              </w:rPr>
              <w:t>For</w:t>
            </w:r>
            <w:r w:rsidRPr="00A12988">
              <w:rPr>
                <w:rFonts w:ascii="Arial" w:hAnsi="Arial" w:cs="Arial"/>
                <w:spacing w:val="-20"/>
                <w:sz w:val="24"/>
                <w:lang w:val="en-GB"/>
              </w:rPr>
              <w:t xml:space="preserve"> </w:t>
            </w:r>
            <w:r w:rsidRPr="00A12988">
              <w:rPr>
                <w:rFonts w:ascii="Arial" w:hAnsi="Arial" w:cs="Arial"/>
                <w:sz w:val="24"/>
                <w:lang w:val="en-GB"/>
              </w:rPr>
              <w:t>this</w:t>
            </w:r>
            <w:r w:rsidRPr="00A12988">
              <w:rPr>
                <w:rFonts w:ascii="Arial" w:hAnsi="Arial" w:cs="Arial"/>
                <w:spacing w:val="-15"/>
                <w:sz w:val="24"/>
                <w:lang w:val="en-GB"/>
              </w:rPr>
              <w:t xml:space="preserve"> </w:t>
            </w:r>
            <w:r w:rsidRPr="00A12988">
              <w:rPr>
                <w:rFonts w:ascii="Arial" w:hAnsi="Arial" w:cs="Arial"/>
                <w:sz w:val="24"/>
                <w:lang w:val="en-GB"/>
              </w:rPr>
              <w:t>assessment,</w:t>
            </w:r>
            <w:r w:rsidRPr="00A12988">
              <w:rPr>
                <w:rFonts w:ascii="Arial" w:hAnsi="Arial" w:cs="Arial"/>
                <w:spacing w:val="-15"/>
                <w:sz w:val="24"/>
                <w:lang w:val="en-GB"/>
              </w:rPr>
              <w:t xml:space="preserve"> </w:t>
            </w:r>
            <w:r w:rsidRPr="00A12988">
              <w:rPr>
                <w:rFonts w:ascii="Arial" w:hAnsi="Arial" w:cs="Arial"/>
                <w:sz w:val="24"/>
                <w:lang w:val="en-GB"/>
              </w:rPr>
              <w:t>you</w:t>
            </w:r>
            <w:r w:rsidRPr="00A12988">
              <w:rPr>
                <w:rFonts w:ascii="Arial" w:hAnsi="Arial" w:cs="Arial"/>
                <w:spacing w:val="-16"/>
                <w:sz w:val="24"/>
                <w:lang w:val="en-GB"/>
              </w:rPr>
              <w:t xml:space="preserve"> </w:t>
            </w:r>
            <w:r w:rsidRPr="00A12988">
              <w:rPr>
                <w:rFonts w:ascii="Arial" w:hAnsi="Arial" w:cs="Arial"/>
                <w:sz w:val="24"/>
                <w:lang w:val="en-GB"/>
              </w:rPr>
              <w:t>can</w:t>
            </w:r>
            <w:r w:rsidRPr="00A12988">
              <w:rPr>
                <w:rFonts w:ascii="Arial" w:hAnsi="Arial" w:cs="Arial"/>
                <w:spacing w:val="-15"/>
                <w:sz w:val="24"/>
                <w:lang w:val="en-GB"/>
              </w:rPr>
              <w:t xml:space="preserve"> </w:t>
            </w:r>
            <w:r w:rsidRPr="00A12988">
              <w:rPr>
                <w:rFonts w:ascii="Arial" w:hAnsi="Arial" w:cs="Arial"/>
                <w:sz w:val="24"/>
                <w:lang w:val="en-GB"/>
              </w:rPr>
              <w:t>use</w:t>
            </w:r>
            <w:r w:rsidRPr="00A12988">
              <w:rPr>
                <w:rFonts w:ascii="Arial" w:hAnsi="Arial" w:cs="Arial"/>
                <w:spacing w:val="-15"/>
                <w:sz w:val="24"/>
                <w:lang w:val="en-GB"/>
              </w:rPr>
              <w:t xml:space="preserve"> </w:t>
            </w:r>
            <w:r w:rsidRPr="00A12988">
              <w:rPr>
                <w:rFonts w:ascii="Arial" w:hAnsi="Arial" w:cs="Arial"/>
                <w:sz w:val="24"/>
                <w:lang w:val="en-GB"/>
              </w:rPr>
              <w:t>Generative</w:t>
            </w:r>
            <w:r w:rsidRPr="00A12988">
              <w:rPr>
                <w:rFonts w:ascii="Arial" w:hAnsi="Arial" w:cs="Arial"/>
                <w:spacing w:val="-15"/>
                <w:sz w:val="24"/>
                <w:lang w:val="en-GB"/>
              </w:rPr>
              <w:t xml:space="preserve"> </w:t>
            </w:r>
            <w:r w:rsidRPr="00A12988">
              <w:rPr>
                <w:rFonts w:ascii="Arial" w:hAnsi="Arial" w:cs="Arial"/>
                <w:sz w:val="24"/>
                <w:lang w:val="en-GB"/>
              </w:rPr>
              <w:t>AI</w:t>
            </w:r>
            <w:r w:rsidRPr="00A12988">
              <w:rPr>
                <w:rFonts w:ascii="Arial" w:hAnsi="Arial" w:cs="Arial"/>
                <w:spacing w:val="-13"/>
                <w:sz w:val="24"/>
                <w:lang w:val="en-GB"/>
              </w:rPr>
              <w:t xml:space="preserve"> </w:t>
            </w:r>
            <w:r w:rsidRPr="00A12988">
              <w:rPr>
                <w:rFonts w:ascii="Arial" w:hAnsi="Arial" w:cs="Arial"/>
                <w:spacing w:val="-5"/>
                <w:sz w:val="24"/>
                <w:lang w:val="en-GB"/>
              </w:rPr>
              <w:t>to</w:t>
            </w:r>
          </w:p>
          <w:p w14:paraId="5681A153" w14:textId="77777777" w:rsidR="00A12988" w:rsidRPr="00A12988" w:rsidRDefault="00A12988" w:rsidP="00FF57EB">
            <w:pPr>
              <w:pStyle w:val="TableParagraph"/>
              <w:spacing w:before="21"/>
              <w:rPr>
                <w:rFonts w:ascii="Arial" w:hAnsi="Arial" w:cs="Arial"/>
                <w:sz w:val="24"/>
                <w:lang w:val="en-GB"/>
              </w:rPr>
            </w:pPr>
            <w:r w:rsidRPr="00A12988">
              <w:rPr>
                <w:rFonts w:ascii="Arial" w:hAnsi="Arial" w:cs="Arial"/>
                <w:sz w:val="24"/>
                <w:lang w:val="en-GB"/>
              </w:rPr>
              <w:t>create</w:t>
            </w:r>
            <w:r w:rsidRPr="00A12988">
              <w:rPr>
                <w:rFonts w:ascii="Arial" w:hAnsi="Arial" w:cs="Arial"/>
                <w:spacing w:val="-13"/>
                <w:sz w:val="24"/>
                <w:lang w:val="en-GB"/>
              </w:rPr>
              <w:t xml:space="preserve"> </w:t>
            </w:r>
            <w:r w:rsidRPr="00A12988">
              <w:rPr>
                <w:rFonts w:ascii="Arial" w:hAnsi="Arial" w:cs="Arial"/>
                <w:sz w:val="24"/>
                <w:lang w:val="en-GB"/>
              </w:rPr>
              <w:t>and</w:t>
            </w:r>
            <w:r w:rsidRPr="00A12988">
              <w:rPr>
                <w:rFonts w:ascii="Arial" w:hAnsi="Arial" w:cs="Arial"/>
                <w:spacing w:val="-11"/>
                <w:sz w:val="24"/>
                <w:lang w:val="en-GB"/>
              </w:rPr>
              <w:t xml:space="preserve"> </w:t>
            </w:r>
            <w:r w:rsidRPr="00A12988">
              <w:rPr>
                <w:rFonts w:ascii="Arial" w:hAnsi="Arial" w:cs="Arial"/>
                <w:sz w:val="24"/>
                <w:lang w:val="en-GB"/>
              </w:rPr>
              <w:t>check</w:t>
            </w:r>
            <w:r w:rsidRPr="00A12988">
              <w:rPr>
                <w:rFonts w:ascii="Arial" w:hAnsi="Arial" w:cs="Arial"/>
                <w:spacing w:val="-11"/>
                <w:sz w:val="24"/>
                <w:lang w:val="en-GB"/>
              </w:rPr>
              <w:t xml:space="preserve"> </w:t>
            </w:r>
            <w:r w:rsidRPr="00A12988">
              <w:rPr>
                <w:rFonts w:ascii="Arial" w:hAnsi="Arial" w:cs="Arial"/>
                <w:spacing w:val="-4"/>
                <w:sz w:val="24"/>
                <w:lang w:val="en-GB"/>
              </w:rPr>
              <w:t>code.</w:t>
            </w:r>
          </w:p>
        </w:tc>
        <w:tc>
          <w:tcPr>
            <w:tcW w:w="1349" w:type="dxa"/>
            <w:tcBorders>
              <w:top w:val="single" w:sz="4" w:space="0" w:color="000000"/>
              <w:left w:val="single" w:sz="4" w:space="0" w:color="000000"/>
              <w:bottom w:val="single" w:sz="4" w:space="0" w:color="000000"/>
              <w:right w:val="single" w:sz="4" w:space="0" w:color="000000"/>
            </w:tcBorders>
            <w:hideMark/>
          </w:tcPr>
          <w:p w14:paraId="4616D53A" w14:textId="77777777" w:rsidR="00A12988" w:rsidRPr="00A12988" w:rsidRDefault="00A12988" w:rsidP="00FF57EB">
            <w:pPr>
              <w:pStyle w:val="TableParagraph"/>
              <w:spacing w:before="137"/>
              <w:ind w:left="0" w:right="9"/>
              <w:jc w:val="center"/>
              <w:rPr>
                <w:rFonts w:ascii="Arial" w:hAnsi="Arial" w:cs="Arial"/>
                <w:sz w:val="24"/>
                <w:lang w:val="en-GB"/>
              </w:rPr>
            </w:pPr>
            <w:r w:rsidRPr="00A12988">
              <w:rPr>
                <w:rFonts w:ascii="Arial" w:hAnsi="Arial" w:cs="Arial"/>
                <w:spacing w:val="-10"/>
                <w:sz w:val="24"/>
                <w:lang w:val="en-GB"/>
              </w:rPr>
              <w:t>No</w:t>
            </w:r>
            <w:r w:rsidRPr="00A12988">
              <w:rPr>
                <w:rFonts w:ascii="Arial" w:hAnsi="Arial" w:cs="Arial"/>
                <w:spacing w:val="-14"/>
                <w:sz w:val="24"/>
                <w:lang w:val="en-GB"/>
              </w:rPr>
              <w:t xml:space="preserve"> </w:t>
            </w:r>
          </w:p>
        </w:tc>
      </w:tr>
      <w:tr w:rsidR="00A12988" w:rsidRPr="00A12988" w14:paraId="0E8BE208" w14:textId="77777777" w:rsidTr="00FF57EB">
        <w:trPr>
          <w:trHeight w:val="1516"/>
        </w:trPr>
        <w:tc>
          <w:tcPr>
            <w:tcW w:w="2122" w:type="dxa"/>
            <w:tcBorders>
              <w:top w:val="single" w:sz="4" w:space="0" w:color="000000"/>
              <w:left w:val="single" w:sz="4" w:space="0" w:color="000000"/>
              <w:bottom w:val="single" w:sz="4" w:space="0" w:color="000000"/>
              <w:right w:val="single" w:sz="4" w:space="0" w:color="000000"/>
            </w:tcBorders>
          </w:tcPr>
          <w:p w14:paraId="7464E787" w14:textId="77777777" w:rsidR="00A12988" w:rsidRPr="00A12988" w:rsidRDefault="00A12988" w:rsidP="00FF57EB">
            <w:pPr>
              <w:pStyle w:val="TableParagraph"/>
              <w:spacing w:before="156"/>
              <w:ind w:left="0"/>
              <w:rPr>
                <w:rFonts w:ascii="Arial" w:hAnsi="Arial" w:cs="Arial"/>
                <w:sz w:val="24"/>
                <w:lang w:val="en-GB"/>
              </w:rPr>
            </w:pPr>
          </w:p>
          <w:p w14:paraId="5E131529" w14:textId="77777777" w:rsidR="00A12988" w:rsidRPr="00A12988" w:rsidRDefault="00A12988" w:rsidP="00FF57EB">
            <w:pPr>
              <w:pStyle w:val="TableParagraph"/>
              <w:rPr>
                <w:rFonts w:ascii="Arial" w:hAnsi="Arial" w:cs="Arial"/>
                <w:sz w:val="24"/>
                <w:lang w:val="en-GB"/>
              </w:rPr>
            </w:pPr>
            <w:r w:rsidRPr="00A12988">
              <w:rPr>
                <w:rFonts w:ascii="Arial" w:hAnsi="Arial" w:cs="Arial"/>
                <w:spacing w:val="-4"/>
                <w:sz w:val="24"/>
                <w:lang w:val="en-GB"/>
              </w:rPr>
              <w:t>NONE</w:t>
            </w:r>
          </w:p>
        </w:tc>
        <w:tc>
          <w:tcPr>
            <w:tcW w:w="5530" w:type="dxa"/>
            <w:tcBorders>
              <w:top w:val="single" w:sz="4" w:space="0" w:color="000000"/>
              <w:left w:val="single" w:sz="4" w:space="0" w:color="000000"/>
              <w:bottom w:val="single" w:sz="4" w:space="0" w:color="000000"/>
              <w:right w:val="single" w:sz="4" w:space="0" w:color="000000"/>
            </w:tcBorders>
            <w:hideMark/>
          </w:tcPr>
          <w:p w14:paraId="1D1FAE1F" w14:textId="77777777" w:rsidR="00A12988" w:rsidRPr="00A12988" w:rsidRDefault="00A12988" w:rsidP="00FF57EB">
            <w:pPr>
              <w:pStyle w:val="TableParagraph"/>
              <w:spacing w:line="286" w:lineRule="exact"/>
              <w:rPr>
                <w:rFonts w:ascii="Arial" w:hAnsi="Arial" w:cs="Arial"/>
                <w:b/>
                <w:sz w:val="24"/>
                <w:lang w:val="en-GB"/>
              </w:rPr>
            </w:pPr>
            <w:r w:rsidRPr="00A12988">
              <w:rPr>
                <w:rFonts w:ascii="Arial" w:hAnsi="Arial" w:cs="Arial"/>
                <w:spacing w:val="-2"/>
                <w:sz w:val="24"/>
                <w:lang w:val="en-GB"/>
              </w:rPr>
              <w:t>For</w:t>
            </w:r>
            <w:r w:rsidRPr="00A12988">
              <w:rPr>
                <w:rFonts w:ascii="Arial" w:hAnsi="Arial" w:cs="Arial"/>
                <w:spacing w:val="-14"/>
                <w:sz w:val="24"/>
                <w:lang w:val="en-GB"/>
              </w:rPr>
              <w:t xml:space="preserve"> </w:t>
            </w:r>
            <w:r w:rsidRPr="00A12988">
              <w:rPr>
                <w:rFonts w:ascii="Arial" w:hAnsi="Arial" w:cs="Arial"/>
                <w:spacing w:val="-2"/>
                <w:sz w:val="24"/>
                <w:lang w:val="en-GB"/>
              </w:rPr>
              <w:t>this</w:t>
            </w:r>
            <w:r w:rsidRPr="00A12988">
              <w:rPr>
                <w:rFonts w:ascii="Arial" w:hAnsi="Arial" w:cs="Arial"/>
                <w:spacing w:val="-8"/>
                <w:sz w:val="24"/>
                <w:lang w:val="en-GB"/>
              </w:rPr>
              <w:t xml:space="preserve"> </w:t>
            </w:r>
            <w:r w:rsidRPr="00A12988">
              <w:rPr>
                <w:rFonts w:ascii="Arial" w:hAnsi="Arial" w:cs="Arial"/>
                <w:spacing w:val="-2"/>
                <w:sz w:val="24"/>
                <w:lang w:val="en-GB"/>
              </w:rPr>
              <w:t>assessment,</w:t>
            </w:r>
            <w:r w:rsidRPr="00A12988">
              <w:rPr>
                <w:rFonts w:ascii="Arial" w:hAnsi="Arial" w:cs="Arial"/>
                <w:spacing w:val="-9"/>
                <w:sz w:val="24"/>
                <w:lang w:val="en-GB"/>
              </w:rPr>
              <w:t xml:space="preserve"> </w:t>
            </w:r>
            <w:r w:rsidRPr="00A12988">
              <w:rPr>
                <w:rFonts w:ascii="Arial" w:hAnsi="Arial" w:cs="Arial"/>
                <w:spacing w:val="-2"/>
                <w:sz w:val="24"/>
                <w:lang w:val="en-GB"/>
              </w:rPr>
              <w:t>you</w:t>
            </w:r>
            <w:r w:rsidRPr="00A12988">
              <w:rPr>
                <w:rFonts w:ascii="Arial" w:hAnsi="Arial" w:cs="Arial"/>
                <w:spacing w:val="-9"/>
                <w:sz w:val="24"/>
                <w:lang w:val="en-GB"/>
              </w:rPr>
              <w:t xml:space="preserve"> </w:t>
            </w:r>
            <w:r w:rsidRPr="00A12988">
              <w:rPr>
                <w:rFonts w:ascii="Arial" w:hAnsi="Arial" w:cs="Arial"/>
                <w:spacing w:val="-2"/>
                <w:sz w:val="24"/>
                <w:lang w:val="en-GB"/>
              </w:rPr>
              <w:t>are</w:t>
            </w:r>
            <w:r w:rsidRPr="00A12988">
              <w:rPr>
                <w:rFonts w:ascii="Arial" w:hAnsi="Arial" w:cs="Arial"/>
                <w:spacing w:val="-8"/>
                <w:sz w:val="24"/>
                <w:lang w:val="en-GB"/>
              </w:rPr>
              <w:t xml:space="preserve"> </w:t>
            </w:r>
            <w:r w:rsidRPr="00A12988">
              <w:rPr>
                <w:rFonts w:ascii="Arial" w:hAnsi="Arial" w:cs="Arial"/>
                <w:spacing w:val="-2"/>
                <w:sz w:val="24"/>
                <w:lang w:val="en-GB"/>
              </w:rPr>
              <w:t>not</w:t>
            </w:r>
            <w:r w:rsidRPr="00A12988">
              <w:rPr>
                <w:rFonts w:ascii="Arial" w:hAnsi="Arial" w:cs="Arial"/>
                <w:spacing w:val="-14"/>
                <w:sz w:val="24"/>
                <w:lang w:val="en-GB"/>
              </w:rPr>
              <w:t xml:space="preserve"> </w:t>
            </w:r>
            <w:r w:rsidRPr="00A12988">
              <w:rPr>
                <w:rFonts w:ascii="Arial" w:hAnsi="Arial" w:cs="Arial"/>
                <w:spacing w:val="-2"/>
                <w:sz w:val="24"/>
                <w:lang w:val="en-GB"/>
              </w:rPr>
              <w:t>allowed</w:t>
            </w:r>
            <w:r w:rsidRPr="00A12988">
              <w:rPr>
                <w:rFonts w:ascii="Arial" w:hAnsi="Arial" w:cs="Arial"/>
                <w:spacing w:val="-9"/>
                <w:sz w:val="24"/>
                <w:lang w:val="en-GB"/>
              </w:rPr>
              <w:t xml:space="preserve"> </w:t>
            </w:r>
            <w:r w:rsidRPr="00A12988">
              <w:rPr>
                <w:rFonts w:ascii="Arial" w:hAnsi="Arial" w:cs="Arial"/>
                <w:spacing w:val="-2"/>
                <w:sz w:val="24"/>
                <w:lang w:val="en-GB"/>
              </w:rPr>
              <w:t>to</w:t>
            </w:r>
            <w:r w:rsidRPr="00A12988">
              <w:rPr>
                <w:rFonts w:ascii="Arial" w:hAnsi="Arial" w:cs="Arial"/>
                <w:spacing w:val="-9"/>
                <w:sz w:val="24"/>
                <w:lang w:val="en-GB"/>
              </w:rPr>
              <w:t xml:space="preserve"> </w:t>
            </w:r>
            <w:r w:rsidRPr="00A12988">
              <w:rPr>
                <w:rFonts w:ascii="Arial" w:hAnsi="Arial" w:cs="Arial"/>
                <w:spacing w:val="-2"/>
                <w:sz w:val="24"/>
                <w:lang w:val="en-GB"/>
              </w:rPr>
              <w:t>use</w:t>
            </w:r>
            <w:r w:rsidRPr="00A12988">
              <w:rPr>
                <w:rFonts w:ascii="Arial" w:hAnsi="Arial" w:cs="Arial"/>
                <w:spacing w:val="-7"/>
                <w:sz w:val="24"/>
                <w:lang w:val="en-GB"/>
              </w:rPr>
              <w:t xml:space="preserve"> </w:t>
            </w:r>
            <w:r w:rsidRPr="00A12988">
              <w:rPr>
                <w:rFonts w:ascii="Arial" w:hAnsi="Arial" w:cs="Arial"/>
                <w:b/>
                <w:spacing w:val="-5"/>
                <w:sz w:val="24"/>
                <w:lang w:val="en-GB"/>
              </w:rPr>
              <w:t>any</w:t>
            </w:r>
          </w:p>
          <w:p w14:paraId="6367A823" w14:textId="77777777" w:rsidR="00A12988" w:rsidRPr="00A12988" w:rsidRDefault="00A12988" w:rsidP="00FF57EB">
            <w:pPr>
              <w:pStyle w:val="TableParagraph"/>
              <w:spacing w:before="19" w:line="252" w:lineRule="auto"/>
              <w:rPr>
                <w:rFonts w:ascii="Arial" w:hAnsi="Arial" w:cs="Arial"/>
                <w:sz w:val="24"/>
                <w:lang w:val="en-GB"/>
              </w:rPr>
            </w:pPr>
            <w:r w:rsidRPr="00A12988">
              <w:rPr>
                <w:rFonts w:ascii="Arial" w:hAnsi="Arial" w:cs="Arial"/>
                <w:sz w:val="24"/>
                <w:lang w:val="en-GB"/>
              </w:rPr>
              <w:t>type of</w:t>
            </w:r>
            <w:r w:rsidRPr="00A12988">
              <w:rPr>
                <w:rFonts w:ascii="Arial" w:hAnsi="Arial" w:cs="Arial"/>
                <w:spacing w:val="-4"/>
                <w:sz w:val="24"/>
                <w:lang w:val="en-GB"/>
              </w:rPr>
              <w:t xml:space="preserve"> </w:t>
            </w:r>
            <w:r w:rsidRPr="00A12988">
              <w:rPr>
                <w:rFonts w:ascii="Arial" w:hAnsi="Arial" w:cs="Arial"/>
                <w:sz w:val="24"/>
                <w:lang w:val="en-GB"/>
              </w:rPr>
              <w:t xml:space="preserve">Generative AI support. This includes research support, structure support, </w:t>
            </w:r>
            <w:r w:rsidRPr="00A12988">
              <w:rPr>
                <w:rFonts w:ascii="Arial" w:hAnsi="Arial" w:cs="Arial"/>
                <w:spacing w:val="-4"/>
                <w:sz w:val="24"/>
                <w:lang w:val="en-GB"/>
              </w:rPr>
              <w:t>writing/proofreading</w:t>
            </w:r>
            <w:r w:rsidRPr="00A12988">
              <w:rPr>
                <w:rFonts w:ascii="Arial" w:hAnsi="Arial" w:cs="Arial"/>
                <w:spacing w:val="-17"/>
                <w:sz w:val="24"/>
                <w:lang w:val="en-GB"/>
              </w:rPr>
              <w:t xml:space="preserve"> </w:t>
            </w:r>
            <w:r w:rsidRPr="00A12988">
              <w:rPr>
                <w:rFonts w:ascii="Arial" w:hAnsi="Arial" w:cs="Arial"/>
                <w:spacing w:val="-4"/>
                <w:sz w:val="24"/>
                <w:lang w:val="en-GB"/>
              </w:rPr>
              <w:t>support</w:t>
            </w:r>
            <w:r w:rsidRPr="00A12988">
              <w:rPr>
                <w:rFonts w:ascii="Arial" w:hAnsi="Arial" w:cs="Arial"/>
                <w:spacing w:val="-17"/>
                <w:sz w:val="24"/>
                <w:lang w:val="en-GB"/>
              </w:rPr>
              <w:t xml:space="preserve"> </w:t>
            </w:r>
            <w:r w:rsidRPr="00A12988">
              <w:rPr>
                <w:rFonts w:ascii="Arial" w:hAnsi="Arial" w:cs="Arial"/>
                <w:spacing w:val="-4"/>
                <w:sz w:val="24"/>
                <w:lang w:val="en-GB"/>
              </w:rPr>
              <w:t>and</w:t>
            </w:r>
            <w:r w:rsidRPr="00A12988">
              <w:rPr>
                <w:rFonts w:ascii="Arial" w:hAnsi="Arial" w:cs="Arial"/>
                <w:spacing w:val="-16"/>
                <w:sz w:val="24"/>
                <w:lang w:val="en-GB"/>
              </w:rPr>
              <w:t xml:space="preserve"> </w:t>
            </w:r>
            <w:r w:rsidRPr="00A12988">
              <w:rPr>
                <w:rFonts w:ascii="Arial" w:hAnsi="Arial" w:cs="Arial"/>
                <w:spacing w:val="-4"/>
                <w:sz w:val="24"/>
                <w:lang w:val="en-GB"/>
              </w:rPr>
              <w:t>creative</w:t>
            </w:r>
            <w:r w:rsidRPr="00A12988">
              <w:rPr>
                <w:rFonts w:ascii="Arial" w:hAnsi="Arial" w:cs="Arial"/>
                <w:spacing w:val="-16"/>
                <w:sz w:val="24"/>
                <w:lang w:val="en-GB"/>
              </w:rPr>
              <w:t xml:space="preserve"> </w:t>
            </w:r>
            <w:r w:rsidRPr="00A12988">
              <w:rPr>
                <w:rFonts w:ascii="Arial" w:hAnsi="Arial" w:cs="Arial"/>
                <w:spacing w:val="-4"/>
                <w:sz w:val="24"/>
                <w:lang w:val="en-GB"/>
              </w:rPr>
              <w:t>support.</w:t>
            </w:r>
          </w:p>
        </w:tc>
        <w:tc>
          <w:tcPr>
            <w:tcW w:w="1349" w:type="dxa"/>
            <w:tcBorders>
              <w:top w:val="single" w:sz="4" w:space="0" w:color="000000"/>
              <w:left w:val="single" w:sz="4" w:space="0" w:color="000000"/>
              <w:bottom w:val="single" w:sz="4" w:space="0" w:color="000000"/>
              <w:right w:val="single" w:sz="4" w:space="0" w:color="000000"/>
            </w:tcBorders>
          </w:tcPr>
          <w:p w14:paraId="1AAA2E7E" w14:textId="77777777" w:rsidR="00A12988" w:rsidRPr="00A12988" w:rsidRDefault="00A12988" w:rsidP="00FF57EB">
            <w:pPr>
              <w:pStyle w:val="TableParagraph"/>
              <w:spacing w:before="156"/>
              <w:ind w:left="0"/>
              <w:rPr>
                <w:rFonts w:ascii="Arial" w:hAnsi="Arial" w:cs="Arial"/>
                <w:sz w:val="24"/>
                <w:lang w:val="en-GB"/>
              </w:rPr>
            </w:pPr>
          </w:p>
          <w:p w14:paraId="0DC66135" w14:textId="77777777" w:rsidR="00A12988" w:rsidRPr="00A12988" w:rsidRDefault="00A12988" w:rsidP="00FF57EB">
            <w:pPr>
              <w:pStyle w:val="TableParagraph"/>
              <w:ind w:left="0" w:right="9"/>
              <w:jc w:val="center"/>
              <w:rPr>
                <w:rFonts w:ascii="Arial" w:hAnsi="Arial" w:cs="Arial"/>
                <w:sz w:val="24"/>
                <w:lang w:val="en-GB"/>
              </w:rPr>
            </w:pPr>
            <w:r w:rsidRPr="00A12988">
              <w:rPr>
                <w:rFonts w:ascii="Arial" w:hAnsi="Arial" w:cs="Arial"/>
                <w:spacing w:val="-10"/>
                <w:sz w:val="24"/>
                <w:lang w:val="en-GB"/>
              </w:rPr>
              <w:t>No</w:t>
            </w:r>
          </w:p>
        </w:tc>
      </w:tr>
    </w:tbl>
    <w:p w14:paraId="276B1417" w14:textId="2577F88D" w:rsidR="00A12988" w:rsidRPr="00A12988" w:rsidRDefault="00A12988" w:rsidP="00A12988">
      <w:pPr>
        <w:pStyle w:val="BodyText"/>
        <w:spacing w:before="240"/>
        <w:rPr>
          <w:rFonts w:ascii="Arial" w:hAnsi="Arial" w:cs="Arial"/>
          <w:lang w:val="en-GB"/>
        </w:rPr>
      </w:pPr>
      <w:r w:rsidRPr="00A12988">
        <w:rPr>
          <w:rFonts w:ascii="Arial" w:hAnsi="Arial" w:cs="Arial"/>
          <w:b/>
          <w:bCs/>
          <w:lang w:val="en-GB"/>
        </w:rPr>
        <w:t xml:space="preserve">Expectations: </w:t>
      </w:r>
      <w:r w:rsidRPr="00A12988">
        <w:rPr>
          <w:rFonts w:ascii="Arial" w:hAnsi="Arial" w:cs="Arial"/>
          <w:lang w:val="en-GB"/>
        </w:rPr>
        <w:t xml:space="preserve">I acknowledge the use of </w:t>
      </w:r>
      <w:proofErr w:type="spellStart"/>
      <w:r w:rsidRPr="00A12988">
        <w:rPr>
          <w:rFonts w:ascii="Arial" w:hAnsi="Arial" w:cs="Arial"/>
          <w:lang w:val="en-GB"/>
        </w:rPr>
        <w:t>Grammarly</w:t>
      </w:r>
      <w:proofErr w:type="spellEnd"/>
      <w:r w:rsidRPr="00A12988">
        <w:rPr>
          <w:rFonts w:ascii="Arial" w:hAnsi="Arial" w:cs="Arial"/>
          <w:lang w:val="en-GB"/>
        </w:rPr>
        <w:t xml:space="preserve"> (https://www.grammarly.com/) on 25</w:t>
      </w:r>
      <w:r w:rsidRPr="00A12988">
        <w:rPr>
          <w:rFonts w:ascii="Arial" w:hAnsi="Arial" w:cs="Arial"/>
          <w:vertAlign w:val="superscript"/>
          <w:lang w:val="en-GB"/>
        </w:rPr>
        <w:t>th</w:t>
      </w:r>
      <w:r w:rsidRPr="00A12988">
        <w:rPr>
          <w:rFonts w:ascii="Arial" w:hAnsi="Arial" w:cs="Arial"/>
          <w:lang w:val="en-GB"/>
        </w:rPr>
        <w:t xml:space="preserve"> April 2026 to check my work using the prompt(s): 1. Please check the following text for readability, grammar and syntax. </w:t>
      </w:r>
    </w:p>
    <w:p w14:paraId="51EE7F43" w14:textId="77777777" w:rsidR="00A12988" w:rsidRPr="00A12988" w:rsidRDefault="00A12988" w:rsidP="00A12988">
      <w:pPr>
        <w:pStyle w:val="BodyText"/>
        <w:rPr>
          <w:rFonts w:ascii="Arial" w:hAnsi="Arial" w:cs="Arial"/>
          <w:lang w:val="en-GB"/>
        </w:rPr>
      </w:pPr>
    </w:p>
    <w:p w14:paraId="4594FD10" w14:textId="77777777" w:rsidR="00A12988" w:rsidRPr="00A12988" w:rsidRDefault="00A12988" w:rsidP="00A12988">
      <w:pPr>
        <w:pStyle w:val="BodyText"/>
        <w:rPr>
          <w:rFonts w:ascii="Arial" w:hAnsi="Arial" w:cs="Arial"/>
          <w:lang w:val="en-GB"/>
        </w:rPr>
      </w:pPr>
      <w:r w:rsidRPr="00A12988">
        <w:rPr>
          <w:rFonts w:ascii="Arial" w:hAnsi="Arial" w:cs="Arial"/>
          <w:lang w:val="en-GB"/>
        </w:rPr>
        <w:t xml:space="preserve">I confirm that I have not presented any AI generated text as my own work. I confirm I have copies of my drafts, notes, and other resources I used before, and after the use of AI tools which I may be asked to provide in evidence. </w:t>
      </w:r>
    </w:p>
    <w:p w14:paraId="0AE8BE1E" w14:textId="7424AA52" w:rsidR="006C137B" w:rsidRPr="00A12988" w:rsidRDefault="00052158" w:rsidP="009F72D7">
      <w:pPr>
        <w:jc w:val="center"/>
      </w:pPr>
      <w:r w:rsidRPr="00A12988">
        <w:br w:type="page"/>
      </w:r>
    </w:p>
    <w:bookmarkStart w:id="0" w:name="_netofyphrdke" w:colFirst="0" w:colLast="0" w:displacedByCustomXml="next"/>
    <w:bookmarkEnd w:id="0" w:displacedByCustomXml="next"/>
    <w:bookmarkStart w:id="1" w:name="_Toc228506442" w:displacedByCustomXml="next"/>
    <w:sdt>
      <w:sdtPr>
        <w:rPr>
          <w:b w:val="0"/>
          <w:bCs w:val="0"/>
          <w:color w:val="auto"/>
          <w:sz w:val="24"/>
          <w:szCs w:val="24"/>
        </w:rPr>
        <w:id w:val="-1947995975"/>
        <w:docPartObj>
          <w:docPartGallery w:val="Table of Contents"/>
          <w:docPartUnique/>
        </w:docPartObj>
      </w:sdtPr>
      <w:sdtEndPr>
        <w:rPr>
          <w:noProof/>
        </w:rPr>
      </w:sdtEndPr>
      <w:sdtContent>
        <w:p w14:paraId="4C48C05C" w14:textId="276E1A43" w:rsidR="00052158" w:rsidRPr="00A12988" w:rsidRDefault="00052158" w:rsidP="00052158">
          <w:pPr>
            <w:pStyle w:val="Heading1"/>
          </w:pPr>
          <w:r w:rsidRPr="00A12988">
            <w:t>Table of Contents</w:t>
          </w:r>
          <w:bookmarkEnd w:id="1"/>
        </w:p>
        <w:p w14:paraId="2B280F6A" w14:textId="6C387024" w:rsidR="00A12988" w:rsidRDefault="00052158">
          <w:pPr>
            <w:pStyle w:val="TOC1"/>
            <w:tabs>
              <w:tab w:val="right" w:leader="dot" w:pos="9016"/>
            </w:tabs>
            <w:rPr>
              <w:rFonts w:asciiTheme="minorHAnsi" w:eastAsiaTheme="minorEastAsia" w:hAnsiTheme="minorHAnsi" w:cstheme="minorBidi"/>
              <w:noProof/>
              <w:sz w:val="22"/>
              <w:szCs w:val="22"/>
            </w:rPr>
          </w:pPr>
          <w:r w:rsidRPr="00A12988">
            <w:fldChar w:fldCharType="begin"/>
          </w:r>
          <w:r w:rsidRPr="00A12988">
            <w:instrText xml:space="preserve"> TOC \o "1-3" \h \z \u </w:instrText>
          </w:r>
          <w:r w:rsidRPr="00A12988">
            <w:fldChar w:fldCharType="separate"/>
          </w:r>
          <w:hyperlink w:anchor="_Toc228506442" w:history="1"/>
        </w:p>
        <w:p w14:paraId="3AE41328" w14:textId="1B0E4939"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43" w:history="1">
            <w:r w:rsidRPr="00F3706C">
              <w:rPr>
                <w:rStyle w:val="Hyperlink"/>
                <w:noProof/>
              </w:rPr>
              <w:t>Introduction</w:t>
            </w:r>
            <w:r>
              <w:rPr>
                <w:noProof/>
                <w:webHidden/>
              </w:rPr>
              <w:tab/>
            </w:r>
            <w:r>
              <w:rPr>
                <w:noProof/>
                <w:webHidden/>
              </w:rPr>
              <w:fldChar w:fldCharType="begin"/>
            </w:r>
            <w:r>
              <w:rPr>
                <w:noProof/>
                <w:webHidden/>
              </w:rPr>
              <w:instrText xml:space="preserve"> PAGEREF _Toc228506443 \h </w:instrText>
            </w:r>
            <w:r>
              <w:rPr>
                <w:noProof/>
                <w:webHidden/>
              </w:rPr>
            </w:r>
            <w:r>
              <w:rPr>
                <w:noProof/>
                <w:webHidden/>
              </w:rPr>
              <w:fldChar w:fldCharType="separate"/>
            </w:r>
            <w:r>
              <w:rPr>
                <w:noProof/>
                <w:webHidden/>
              </w:rPr>
              <w:t>1</w:t>
            </w:r>
            <w:r>
              <w:rPr>
                <w:noProof/>
                <w:webHidden/>
              </w:rPr>
              <w:fldChar w:fldCharType="end"/>
            </w:r>
          </w:hyperlink>
        </w:p>
        <w:p w14:paraId="5ABFB3AE" w14:textId="6BCEE2D2"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44" w:history="1">
            <w:r w:rsidRPr="00F3706C">
              <w:rPr>
                <w:rStyle w:val="Hyperlink"/>
                <w:noProof/>
              </w:rPr>
              <w:t>BMW’s Background</w:t>
            </w:r>
            <w:r>
              <w:rPr>
                <w:noProof/>
                <w:webHidden/>
              </w:rPr>
              <w:tab/>
            </w:r>
            <w:r>
              <w:rPr>
                <w:noProof/>
                <w:webHidden/>
              </w:rPr>
              <w:fldChar w:fldCharType="begin"/>
            </w:r>
            <w:r>
              <w:rPr>
                <w:noProof/>
                <w:webHidden/>
              </w:rPr>
              <w:instrText xml:space="preserve"> PAGEREF _Toc228506444 \h </w:instrText>
            </w:r>
            <w:r>
              <w:rPr>
                <w:noProof/>
                <w:webHidden/>
              </w:rPr>
            </w:r>
            <w:r>
              <w:rPr>
                <w:noProof/>
                <w:webHidden/>
              </w:rPr>
              <w:fldChar w:fldCharType="separate"/>
            </w:r>
            <w:r>
              <w:rPr>
                <w:noProof/>
                <w:webHidden/>
              </w:rPr>
              <w:t>2</w:t>
            </w:r>
            <w:r>
              <w:rPr>
                <w:noProof/>
                <w:webHidden/>
              </w:rPr>
              <w:fldChar w:fldCharType="end"/>
            </w:r>
          </w:hyperlink>
        </w:p>
        <w:p w14:paraId="075D055D" w14:textId="21802731"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45" w:history="1">
            <w:r w:rsidRPr="00F3706C">
              <w:rPr>
                <w:rStyle w:val="Hyperlink"/>
                <w:noProof/>
              </w:rPr>
              <w:t>Mission and Objectives</w:t>
            </w:r>
            <w:r>
              <w:rPr>
                <w:noProof/>
                <w:webHidden/>
              </w:rPr>
              <w:tab/>
            </w:r>
            <w:r>
              <w:rPr>
                <w:noProof/>
                <w:webHidden/>
              </w:rPr>
              <w:fldChar w:fldCharType="begin"/>
            </w:r>
            <w:r>
              <w:rPr>
                <w:noProof/>
                <w:webHidden/>
              </w:rPr>
              <w:instrText xml:space="preserve"> PAGEREF _Toc228506445 \h </w:instrText>
            </w:r>
            <w:r>
              <w:rPr>
                <w:noProof/>
                <w:webHidden/>
              </w:rPr>
            </w:r>
            <w:r>
              <w:rPr>
                <w:noProof/>
                <w:webHidden/>
              </w:rPr>
              <w:fldChar w:fldCharType="separate"/>
            </w:r>
            <w:r>
              <w:rPr>
                <w:noProof/>
                <w:webHidden/>
              </w:rPr>
              <w:t>3</w:t>
            </w:r>
            <w:r>
              <w:rPr>
                <w:noProof/>
                <w:webHidden/>
              </w:rPr>
              <w:fldChar w:fldCharType="end"/>
            </w:r>
          </w:hyperlink>
        </w:p>
        <w:p w14:paraId="16A36A86" w14:textId="7E0FBE3D"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46" w:history="1">
            <w:r w:rsidRPr="00F3706C">
              <w:rPr>
                <w:rStyle w:val="Hyperlink"/>
                <w:noProof/>
              </w:rPr>
              <w:t>Macro-Environment Analysis</w:t>
            </w:r>
            <w:r>
              <w:rPr>
                <w:noProof/>
                <w:webHidden/>
              </w:rPr>
              <w:tab/>
            </w:r>
            <w:r>
              <w:rPr>
                <w:noProof/>
                <w:webHidden/>
              </w:rPr>
              <w:fldChar w:fldCharType="begin"/>
            </w:r>
            <w:r>
              <w:rPr>
                <w:noProof/>
                <w:webHidden/>
              </w:rPr>
              <w:instrText xml:space="preserve"> PAGEREF _Toc228506446 \h </w:instrText>
            </w:r>
            <w:r>
              <w:rPr>
                <w:noProof/>
                <w:webHidden/>
              </w:rPr>
            </w:r>
            <w:r>
              <w:rPr>
                <w:noProof/>
                <w:webHidden/>
              </w:rPr>
              <w:fldChar w:fldCharType="separate"/>
            </w:r>
            <w:r>
              <w:rPr>
                <w:noProof/>
                <w:webHidden/>
              </w:rPr>
              <w:t>4</w:t>
            </w:r>
            <w:r>
              <w:rPr>
                <w:noProof/>
                <w:webHidden/>
              </w:rPr>
              <w:fldChar w:fldCharType="end"/>
            </w:r>
          </w:hyperlink>
        </w:p>
        <w:p w14:paraId="163A50D4" w14:textId="5AE9FCCF"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47" w:history="1">
            <w:r w:rsidRPr="00F3706C">
              <w:rPr>
                <w:rStyle w:val="Hyperlink"/>
                <w:noProof/>
              </w:rPr>
              <w:t>PESTEL analysis</w:t>
            </w:r>
            <w:r>
              <w:rPr>
                <w:noProof/>
                <w:webHidden/>
              </w:rPr>
              <w:tab/>
            </w:r>
            <w:r>
              <w:rPr>
                <w:noProof/>
                <w:webHidden/>
              </w:rPr>
              <w:fldChar w:fldCharType="begin"/>
            </w:r>
            <w:r>
              <w:rPr>
                <w:noProof/>
                <w:webHidden/>
              </w:rPr>
              <w:instrText xml:space="preserve"> PAGEREF _Toc228506447 \h </w:instrText>
            </w:r>
            <w:r>
              <w:rPr>
                <w:noProof/>
                <w:webHidden/>
              </w:rPr>
            </w:r>
            <w:r>
              <w:rPr>
                <w:noProof/>
                <w:webHidden/>
              </w:rPr>
              <w:fldChar w:fldCharType="separate"/>
            </w:r>
            <w:r>
              <w:rPr>
                <w:noProof/>
                <w:webHidden/>
              </w:rPr>
              <w:t>4</w:t>
            </w:r>
            <w:r>
              <w:rPr>
                <w:noProof/>
                <w:webHidden/>
              </w:rPr>
              <w:fldChar w:fldCharType="end"/>
            </w:r>
          </w:hyperlink>
        </w:p>
        <w:p w14:paraId="563B86B1" w14:textId="0FB0AFE3"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48" w:history="1">
            <w:r w:rsidRPr="00F3706C">
              <w:rPr>
                <w:rStyle w:val="Hyperlink"/>
                <w:noProof/>
              </w:rPr>
              <w:t>Micro-Environment Analysis</w:t>
            </w:r>
            <w:r>
              <w:rPr>
                <w:noProof/>
                <w:webHidden/>
              </w:rPr>
              <w:tab/>
            </w:r>
            <w:r>
              <w:rPr>
                <w:noProof/>
                <w:webHidden/>
              </w:rPr>
              <w:fldChar w:fldCharType="begin"/>
            </w:r>
            <w:r>
              <w:rPr>
                <w:noProof/>
                <w:webHidden/>
              </w:rPr>
              <w:instrText xml:space="preserve"> PAGEREF _Toc228506448 \h </w:instrText>
            </w:r>
            <w:r>
              <w:rPr>
                <w:noProof/>
                <w:webHidden/>
              </w:rPr>
            </w:r>
            <w:r>
              <w:rPr>
                <w:noProof/>
                <w:webHidden/>
              </w:rPr>
              <w:fldChar w:fldCharType="separate"/>
            </w:r>
            <w:r>
              <w:rPr>
                <w:noProof/>
                <w:webHidden/>
              </w:rPr>
              <w:t>7</w:t>
            </w:r>
            <w:r>
              <w:rPr>
                <w:noProof/>
                <w:webHidden/>
              </w:rPr>
              <w:fldChar w:fldCharType="end"/>
            </w:r>
          </w:hyperlink>
        </w:p>
        <w:p w14:paraId="44AB1E8D" w14:textId="6CB2E29F"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49" w:history="1">
            <w:r w:rsidRPr="00F3706C">
              <w:rPr>
                <w:rStyle w:val="Hyperlink"/>
                <w:noProof/>
              </w:rPr>
              <w:t>Industry Life Cycle</w:t>
            </w:r>
            <w:r>
              <w:rPr>
                <w:noProof/>
                <w:webHidden/>
              </w:rPr>
              <w:tab/>
            </w:r>
            <w:r>
              <w:rPr>
                <w:noProof/>
                <w:webHidden/>
              </w:rPr>
              <w:fldChar w:fldCharType="begin"/>
            </w:r>
            <w:r>
              <w:rPr>
                <w:noProof/>
                <w:webHidden/>
              </w:rPr>
              <w:instrText xml:space="preserve"> PAGEREF _Toc228506449 \h </w:instrText>
            </w:r>
            <w:r>
              <w:rPr>
                <w:noProof/>
                <w:webHidden/>
              </w:rPr>
            </w:r>
            <w:r>
              <w:rPr>
                <w:noProof/>
                <w:webHidden/>
              </w:rPr>
              <w:fldChar w:fldCharType="separate"/>
            </w:r>
            <w:r>
              <w:rPr>
                <w:noProof/>
                <w:webHidden/>
              </w:rPr>
              <w:t>7</w:t>
            </w:r>
            <w:r>
              <w:rPr>
                <w:noProof/>
                <w:webHidden/>
              </w:rPr>
              <w:fldChar w:fldCharType="end"/>
            </w:r>
          </w:hyperlink>
        </w:p>
        <w:p w14:paraId="73BFD06D" w14:textId="2A9B87EC"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50" w:history="1">
            <w:r w:rsidRPr="00F3706C">
              <w:rPr>
                <w:rStyle w:val="Hyperlink"/>
                <w:noProof/>
              </w:rPr>
              <w:t>Porter’s Industry Five Forces Analysis</w:t>
            </w:r>
            <w:r>
              <w:rPr>
                <w:noProof/>
                <w:webHidden/>
              </w:rPr>
              <w:tab/>
            </w:r>
            <w:r>
              <w:rPr>
                <w:noProof/>
                <w:webHidden/>
              </w:rPr>
              <w:fldChar w:fldCharType="begin"/>
            </w:r>
            <w:r>
              <w:rPr>
                <w:noProof/>
                <w:webHidden/>
              </w:rPr>
              <w:instrText xml:space="preserve"> PAGEREF _Toc228506450 \h </w:instrText>
            </w:r>
            <w:r>
              <w:rPr>
                <w:noProof/>
                <w:webHidden/>
              </w:rPr>
            </w:r>
            <w:r>
              <w:rPr>
                <w:noProof/>
                <w:webHidden/>
              </w:rPr>
              <w:fldChar w:fldCharType="separate"/>
            </w:r>
            <w:r>
              <w:rPr>
                <w:noProof/>
                <w:webHidden/>
              </w:rPr>
              <w:t>8</w:t>
            </w:r>
            <w:r>
              <w:rPr>
                <w:noProof/>
                <w:webHidden/>
              </w:rPr>
              <w:fldChar w:fldCharType="end"/>
            </w:r>
          </w:hyperlink>
        </w:p>
        <w:p w14:paraId="20ABD132" w14:textId="7D3331AE"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51" w:history="1">
            <w:r w:rsidRPr="00F3706C">
              <w:rPr>
                <w:rStyle w:val="Hyperlink"/>
                <w:noProof/>
              </w:rPr>
              <w:t>Internal Analysis</w:t>
            </w:r>
            <w:r>
              <w:rPr>
                <w:noProof/>
                <w:webHidden/>
              </w:rPr>
              <w:tab/>
            </w:r>
            <w:r>
              <w:rPr>
                <w:noProof/>
                <w:webHidden/>
              </w:rPr>
              <w:fldChar w:fldCharType="begin"/>
            </w:r>
            <w:r>
              <w:rPr>
                <w:noProof/>
                <w:webHidden/>
              </w:rPr>
              <w:instrText xml:space="preserve"> PAGEREF _Toc228506451 \h </w:instrText>
            </w:r>
            <w:r>
              <w:rPr>
                <w:noProof/>
                <w:webHidden/>
              </w:rPr>
            </w:r>
            <w:r>
              <w:rPr>
                <w:noProof/>
                <w:webHidden/>
              </w:rPr>
              <w:fldChar w:fldCharType="separate"/>
            </w:r>
            <w:r>
              <w:rPr>
                <w:noProof/>
                <w:webHidden/>
              </w:rPr>
              <w:t>11</w:t>
            </w:r>
            <w:r>
              <w:rPr>
                <w:noProof/>
                <w:webHidden/>
              </w:rPr>
              <w:fldChar w:fldCharType="end"/>
            </w:r>
          </w:hyperlink>
        </w:p>
        <w:p w14:paraId="7A853EB5" w14:textId="760A6ACE"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52" w:history="1">
            <w:r w:rsidRPr="00F3706C">
              <w:rPr>
                <w:rStyle w:val="Hyperlink"/>
                <w:noProof/>
              </w:rPr>
              <w:t>BMW’s Strategic Resources and Capabilities</w:t>
            </w:r>
            <w:r>
              <w:rPr>
                <w:noProof/>
                <w:webHidden/>
              </w:rPr>
              <w:tab/>
            </w:r>
            <w:r>
              <w:rPr>
                <w:noProof/>
                <w:webHidden/>
              </w:rPr>
              <w:fldChar w:fldCharType="begin"/>
            </w:r>
            <w:r>
              <w:rPr>
                <w:noProof/>
                <w:webHidden/>
              </w:rPr>
              <w:instrText xml:space="preserve"> PAGEREF _Toc228506452 \h </w:instrText>
            </w:r>
            <w:r>
              <w:rPr>
                <w:noProof/>
                <w:webHidden/>
              </w:rPr>
            </w:r>
            <w:r>
              <w:rPr>
                <w:noProof/>
                <w:webHidden/>
              </w:rPr>
              <w:fldChar w:fldCharType="separate"/>
            </w:r>
            <w:r>
              <w:rPr>
                <w:noProof/>
                <w:webHidden/>
              </w:rPr>
              <w:t>11</w:t>
            </w:r>
            <w:r>
              <w:rPr>
                <w:noProof/>
                <w:webHidden/>
              </w:rPr>
              <w:fldChar w:fldCharType="end"/>
            </w:r>
          </w:hyperlink>
        </w:p>
        <w:p w14:paraId="64C393E6" w14:textId="736D39E0"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53" w:history="1">
            <w:r w:rsidRPr="00F3706C">
              <w:rPr>
                <w:rStyle w:val="Hyperlink"/>
                <w:noProof/>
              </w:rPr>
              <w:t>Value Chain Analysis</w:t>
            </w:r>
            <w:r>
              <w:rPr>
                <w:noProof/>
                <w:webHidden/>
              </w:rPr>
              <w:tab/>
            </w:r>
            <w:r>
              <w:rPr>
                <w:noProof/>
                <w:webHidden/>
              </w:rPr>
              <w:fldChar w:fldCharType="begin"/>
            </w:r>
            <w:r>
              <w:rPr>
                <w:noProof/>
                <w:webHidden/>
              </w:rPr>
              <w:instrText xml:space="preserve"> PAGEREF _Toc228506453 \h </w:instrText>
            </w:r>
            <w:r>
              <w:rPr>
                <w:noProof/>
                <w:webHidden/>
              </w:rPr>
            </w:r>
            <w:r>
              <w:rPr>
                <w:noProof/>
                <w:webHidden/>
              </w:rPr>
              <w:fldChar w:fldCharType="separate"/>
            </w:r>
            <w:r>
              <w:rPr>
                <w:noProof/>
                <w:webHidden/>
              </w:rPr>
              <w:t>12</w:t>
            </w:r>
            <w:r>
              <w:rPr>
                <w:noProof/>
                <w:webHidden/>
              </w:rPr>
              <w:fldChar w:fldCharType="end"/>
            </w:r>
          </w:hyperlink>
        </w:p>
        <w:p w14:paraId="3E0DB8FE" w14:textId="3B0D0552" w:rsidR="00A12988" w:rsidRDefault="00A12988">
          <w:pPr>
            <w:pStyle w:val="TOC3"/>
            <w:tabs>
              <w:tab w:val="right" w:leader="dot" w:pos="9016"/>
            </w:tabs>
            <w:rPr>
              <w:rFonts w:asciiTheme="minorHAnsi" w:eastAsiaTheme="minorEastAsia" w:hAnsiTheme="minorHAnsi" w:cstheme="minorBidi"/>
              <w:noProof/>
              <w:sz w:val="22"/>
              <w:szCs w:val="22"/>
            </w:rPr>
          </w:pPr>
          <w:hyperlink w:anchor="_Toc228506454" w:history="1">
            <w:r w:rsidRPr="00F3706C">
              <w:rPr>
                <w:rStyle w:val="Hyperlink"/>
                <w:noProof/>
              </w:rPr>
              <w:t>Primary Activities</w:t>
            </w:r>
            <w:r>
              <w:rPr>
                <w:noProof/>
                <w:webHidden/>
              </w:rPr>
              <w:tab/>
            </w:r>
            <w:r>
              <w:rPr>
                <w:noProof/>
                <w:webHidden/>
              </w:rPr>
              <w:fldChar w:fldCharType="begin"/>
            </w:r>
            <w:r>
              <w:rPr>
                <w:noProof/>
                <w:webHidden/>
              </w:rPr>
              <w:instrText xml:space="preserve"> PAGEREF _Toc228506454 \h </w:instrText>
            </w:r>
            <w:r>
              <w:rPr>
                <w:noProof/>
                <w:webHidden/>
              </w:rPr>
            </w:r>
            <w:r>
              <w:rPr>
                <w:noProof/>
                <w:webHidden/>
              </w:rPr>
              <w:fldChar w:fldCharType="separate"/>
            </w:r>
            <w:r>
              <w:rPr>
                <w:noProof/>
                <w:webHidden/>
              </w:rPr>
              <w:t>12</w:t>
            </w:r>
            <w:r>
              <w:rPr>
                <w:noProof/>
                <w:webHidden/>
              </w:rPr>
              <w:fldChar w:fldCharType="end"/>
            </w:r>
          </w:hyperlink>
        </w:p>
        <w:p w14:paraId="2F7ECB54" w14:textId="11AE6F3B" w:rsidR="00A12988" w:rsidRDefault="00A12988">
          <w:pPr>
            <w:pStyle w:val="TOC3"/>
            <w:tabs>
              <w:tab w:val="right" w:leader="dot" w:pos="9016"/>
            </w:tabs>
            <w:rPr>
              <w:rFonts w:asciiTheme="minorHAnsi" w:eastAsiaTheme="minorEastAsia" w:hAnsiTheme="minorHAnsi" w:cstheme="minorBidi"/>
              <w:noProof/>
              <w:sz w:val="22"/>
              <w:szCs w:val="22"/>
            </w:rPr>
          </w:pPr>
          <w:hyperlink w:anchor="_Toc228506455" w:history="1">
            <w:r w:rsidRPr="00F3706C">
              <w:rPr>
                <w:rStyle w:val="Hyperlink"/>
                <w:noProof/>
              </w:rPr>
              <w:t>Secondary Activities</w:t>
            </w:r>
            <w:r>
              <w:rPr>
                <w:noProof/>
                <w:webHidden/>
              </w:rPr>
              <w:tab/>
            </w:r>
            <w:r>
              <w:rPr>
                <w:noProof/>
                <w:webHidden/>
              </w:rPr>
              <w:fldChar w:fldCharType="begin"/>
            </w:r>
            <w:r>
              <w:rPr>
                <w:noProof/>
                <w:webHidden/>
              </w:rPr>
              <w:instrText xml:space="preserve"> PAGEREF _Toc228506455 \h </w:instrText>
            </w:r>
            <w:r>
              <w:rPr>
                <w:noProof/>
                <w:webHidden/>
              </w:rPr>
            </w:r>
            <w:r>
              <w:rPr>
                <w:noProof/>
                <w:webHidden/>
              </w:rPr>
              <w:fldChar w:fldCharType="separate"/>
            </w:r>
            <w:r>
              <w:rPr>
                <w:noProof/>
                <w:webHidden/>
              </w:rPr>
              <w:t>13</w:t>
            </w:r>
            <w:r>
              <w:rPr>
                <w:noProof/>
                <w:webHidden/>
              </w:rPr>
              <w:fldChar w:fldCharType="end"/>
            </w:r>
          </w:hyperlink>
        </w:p>
        <w:p w14:paraId="2E4B344D" w14:textId="5D6E76E2"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56" w:history="1">
            <w:r w:rsidRPr="00F3706C">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_Toc228506456 \h </w:instrText>
            </w:r>
            <w:r>
              <w:rPr>
                <w:noProof/>
                <w:webHidden/>
              </w:rPr>
            </w:r>
            <w:r>
              <w:rPr>
                <w:noProof/>
                <w:webHidden/>
              </w:rPr>
              <w:fldChar w:fldCharType="separate"/>
            </w:r>
            <w:r>
              <w:rPr>
                <w:noProof/>
                <w:webHidden/>
              </w:rPr>
              <w:t>14</w:t>
            </w:r>
            <w:r>
              <w:rPr>
                <w:noProof/>
                <w:webHidden/>
              </w:rPr>
              <w:fldChar w:fldCharType="end"/>
            </w:r>
          </w:hyperlink>
        </w:p>
        <w:p w14:paraId="16223F33" w14:textId="06F36BD8"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57" w:history="1">
            <w:r w:rsidRPr="00F3706C">
              <w:rPr>
                <w:rStyle w:val="Hyperlink"/>
                <w:noProof/>
              </w:rPr>
              <w:t>SWOT Analysis</w:t>
            </w:r>
            <w:r>
              <w:rPr>
                <w:noProof/>
                <w:webHidden/>
              </w:rPr>
              <w:tab/>
            </w:r>
            <w:r>
              <w:rPr>
                <w:noProof/>
                <w:webHidden/>
              </w:rPr>
              <w:fldChar w:fldCharType="begin"/>
            </w:r>
            <w:r>
              <w:rPr>
                <w:noProof/>
                <w:webHidden/>
              </w:rPr>
              <w:instrText xml:space="preserve"> PAGEREF _Toc228506457 \h </w:instrText>
            </w:r>
            <w:r>
              <w:rPr>
                <w:noProof/>
                <w:webHidden/>
              </w:rPr>
            </w:r>
            <w:r>
              <w:rPr>
                <w:noProof/>
                <w:webHidden/>
              </w:rPr>
              <w:fldChar w:fldCharType="separate"/>
            </w:r>
            <w:r>
              <w:rPr>
                <w:noProof/>
                <w:webHidden/>
              </w:rPr>
              <w:t>16</w:t>
            </w:r>
            <w:r>
              <w:rPr>
                <w:noProof/>
                <w:webHidden/>
              </w:rPr>
              <w:fldChar w:fldCharType="end"/>
            </w:r>
          </w:hyperlink>
        </w:p>
        <w:p w14:paraId="3ADF371C" w14:textId="155D5115"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58" w:history="1">
            <w:r w:rsidRPr="00F3706C">
              <w:rPr>
                <w:rStyle w:val="Hyperlink"/>
                <w:noProof/>
              </w:rPr>
              <w:t>Strategies to Sustain Competitive Advantage</w:t>
            </w:r>
            <w:r>
              <w:rPr>
                <w:noProof/>
                <w:webHidden/>
              </w:rPr>
              <w:tab/>
            </w:r>
            <w:r>
              <w:rPr>
                <w:noProof/>
                <w:webHidden/>
              </w:rPr>
              <w:fldChar w:fldCharType="begin"/>
            </w:r>
            <w:r>
              <w:rPr>
                <w:noProof/>
                <w:webHidden/>
              </w:rPr>
              <w:instrText xml:space="preserve"> PAGEREF _Toc228506458 \h </w:instrText>
            </w:r>
            <w:r>
              <w:rPr>
                <w:noProof/>
                <w:webHidden/>
              </w:rPr>
            </w:r>
            <w:r>
              <w:rPr>
                <w:noProof/>
                <w:webHidden/>
              </w:rPr>
              <w:fldChar w:fldCharType="separate"/>
            </w:r>
            <w:r>
              <w:rPr>
                <w:noProof/>
                <w:webHidden/>
              </w:rPr>
              <w:t>18</w:t>
            </w:r>
            <w:r>
              <w:rPr>
                <w:noProof/>
                <w:webHidden/>
              </w:rPr>
              <w:fldChar w:fldCharType="end"/>
            </w:r>
          </w:hyperlink>
        </w:p>
        <w:p w14:paraId="2051EDC3" w14:textId="48E1C537"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59" w:history="1">
            <w:r w:rsidRPr="00F3706C">
              <w:rPr>
                <w:rStyle w:val="Hyperlink"/>
                <w:noProof/>
              </w:rPr>
              <w:t>Growth Strategies</w:t>
            </w:r>
            <w:r>
              <w:rPr>
                <w:noProof/>
                <w:webHidden/>
              </w:rPr>
              <w:tab/>
            </w:r>
            <w:r>
              <w:rPr>
                <w:noProof/>
                <w:webHidden/>
              </w:rPr>
              <w:fldChar w:fldCharType="begin"/>
            </w:r>
            <w:r>
              <w:rPr>
                <w:noProof/>
                <w:webHidden/>
              </w:rPr>
              <w:instrText xml:space="preserve"> PAGEREF _Toc228506459 \h </w:instrText>
            </w:r>
            <w:r>
              <w:rPr>
                <w:noProof/>
                <w:webHidden/>
              </w:rPr>
            </w:r>
            <w:r>
              <w:rPr>
                <w:noProof/>
                <w:webHidden/>
              </w:rPr>
              <w:fldChar w:fldCharType="separate"/>
            </w:r>
            <w:r>
              <w:rPr>
                <w:noProof/>
                <w:webHidden/>
              </w:rPr>
              <w:t>20</w:t>
            </w:r>
            <w:r>
              <w:rPr>
                <w:noProof/>
                <w:webHidden/>
              </w:rPr>
              <w:fldChar w:fldCharType="end"/>
            </w:r>
          </w:hyperlink>
        </w:p>
        <w:p w14:paraId="021B1B59" w14:textId="77C4C9C2"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60" w:history="1">
            <w:r w:rsidRPr="00F3706C">
              <w:rPr>
                <w:rStyle w:val="Hyperlink"/>
                <w:noProof/>
              </w:rPr>
              <w:t>Green Strategy and CSR</w:t>
            </w:r>
            <w:r>
              <w:rPr>
                <w:noProof/>
                <w:webHidden/>
              </w:rPr>
              <w:tab/>
            </w:r>
            <w:r>
              <w:rPr>
                <w:noProof/>
                <w:webHidden/>
              </w:rPr>
              <w:fldChar w:fldCharType="begin"/>
            </w:r>
            <w:r>
              <w:rPr>
                <w:noProof/>
                <w:webHidden/>
              </w:rPr>
              <w:instrText xml:space="preserve"> PAGEREF _Toc228506460 \h </w:instrText>
            </w:r>
            <w:r>
              <w:rPr>
                <w:noProof/>
                <w:webHidden/>
              </w:rPr>
            </w:r>
            <w:r>
              <w:rPr>
                <w:noProof/>
                <w:webHidden/>
              </w:rPr>
              <w:fldChar w:fldCharType="separate"/>
            </w:r>
            <w:r>
              <w:rPr>
                <w:noProof/>
                <w:webHidden/>
              </w:rPr>
              <w:t>22</w:t>
            </w:r>
            <w:r>
              <w:rPr>
                <w:noProof/>
                <w:webHidden/>
              </w:rPr>
              <w:fldChar w:fldCharType="end"/>
            </w:r>
          </w:hyperlink>
        </w:p>
        <w:p w14:paraId="64F4E013" w14:textId="697C3EBE"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61" w:history="1">
            <w:r w:rsidRPr="00F3706C">
              <w:rPr>
                <w:rStyle w:val="Hyperlink"/>
                <w:noProof/>
              </w:rPr>
              <w:t>Conclusion</w:t>
            </w:r>
            <w:r>
              <w:rPr>
                <w:noProof/>
                <w:webHidden/>
              </w:rPr>
              <w:tab/>
            </w:r>
            <w:r>
              <w:rPr>
                <w:noProof/>
                <w:webHidden/>
              </w:rPr>
              <w:fldChar w:fldCharType="begin"/>
            </w:r>
            <w:r>
              <w:rPr>
                <w:noProof/>
                <w:webHidden/>
              </w:rPr>
              <w:instrText xml:space="preserve"> PAGEREF _Toc228506461 \h </w:instrText>
            </w:r>
            <w:r>
              <w:rPr>
                <w:noProof/>
                <w:webHidden/>
              </w:rPr>
            </w:r>
            <w:r>
              <w:rPr>
                <w:noProof/>
                <w:webHidden/>
              </w:rPr>
              <w:fldChar w:fldCharType="separate"/>
            </w:r>
            <w:r>
              <w:rPr>
                <w:noProof/>
                <w:webHidden/>
              </w:rPr>
              <w:t>23</w:t>
            </w:r>
            <w:r>
              <w:rPr>
                <w:noProof/>
                <w:webHidden/>
              </w:rPr>
              <w:fldChar w:fldCharType="end"/>
            </w:r>
          </w:hyperlink>
        </w:p>
        <w:p w14:paraId="21452255" w14:textId="3A561785"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62" w:history="1">
            <w:r w:rsidRPr="00F3706C">
              <w:rPr>
                <w:rStyle w:val="Hyperlink"/>
                <w:noProof/>
              </w:rPr>
              <w:t>Recommendation</w:t>
            </w:r>
            <w:r>
              <w:rPr>
                <w:noProof/>
                <w:webHidden/>
              </w:rPr>
              <w:tab/>
            </w:r>
            <w:r>
              <w:rPr>
                <w:noProof/>
                <w:webHidden/>
              </w:rPr>
              <w:fldChar w:fldCharType="begin"/>
            </w:r>
            <w:r>
              <w:rPr>
                <w:noProof/>
                <w:webHidden/>
              </w:rPr>
              <w:instrText xml:space="preserve"> PAGEREF _Toc228506462 \h </w:instrText>
            </w:r>
            <w:r>
              <w:rPr>
                <w:noProof/>
                <w:webHidden/>
              </w:rPr>
            </w:r>
            <w:r>
              <w:rPr>
                <w:noProof/>
                <w:webHidden/>
              </w:rPr>
              <w:fldChar w:fldCharType="separate"/>
            </w:r>
            <w:r>
              <w:rPr>
                <w:noProof/>
                <w:webHidden/>
              </w:rPr>
              <w:t>24</w:t>
            </w:r>
            <w:r>
              <w:rPr>
                <w:noProof/>
                <w:webHidden/>
              </w:rPr>
              <w:fldChar w:fldCharType="end"/>
            </w:r>
          </w:hyperlink>
        </w:p>
        <w:p w14:paraId="7442D0CC" w14:textId="7A6ED093"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63" w:history="1">
            <w:r w:rsidRPr="00F3706C">
              <w:rPr>
                <w:rStyle w:val="Hyperlink"/>
                <w:noProof/>
              </w:rPr>
              <w:t>Reflection</w:t>
            </w:r>
            <w:r>
              <w:rPr>
                <w:noProof/>
                <w:webHidden/>
              </w:rPr>
              <w:tab/>
            </w:r>
            <w:r>
              <w:rPr>
                <w:noProof/>
                <w:webHidden/>
              </w:rPr>
              <w:fldChar w:fldCharType="begin"/>
            </w:r>
            <w:r>
              <w:rPr>
                <w:noProof/>
                <w:webHidden/>
              </w:rPr>
              <w:instrText xml:space="preserve"> PAGEREF _Toc228506463 \h </w:instrText>
            </w:r>
            <w:r>
              <w:rPr>
                <w:noProof/>
                <w:webHidden/>
              </w:rPr>
            </w:r>
            <w:r>
              <w:rPr>
                <w:noProof/>
                <w:webHidden/>
              </w:rPr>
              <w:fldChar w:fldCharType="separate"/>
            </w:r>
            <w:r>
              <w:rPr>
                <w:noProof/>
                <w:webHidden/>
              </w:rPr>
              <w:t>25</w:t>
            </w:r>
            <w:r>
              <w:rPr>
                <w:noProof/>
                <w:webHidden/>
              </w:rPr>
              <w:fldChar w:fldCharType="end"/>
            </w:r>
          </w:hyperlink>
        </w:p>
        <w:p w14:paraId="42510B9C" w14:textId="1FBCDA32"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4" w:history="1">
            <w:r w:rsidRPr="00F3706C">
              <w:rPr>
                <w:rStyle w:val="Hyperlink"/>
                <w:noProof/>
              </w:rPr>
              <w:t>Description</w:t>
            </w:r>
            <w:r>
              <w:rPr>
                <w:noProof/>
                <w:webHidden/>
              </w:rPr>
              <w:tab/>
            </w:r>
            <w:r>
              <w:rPr>
                <w:noProof/>
                <w:webHidden/>
              </w:rPr>
              <w:fldChar w:fldCharType="begin"/>
            </w:r>
            <w:r>
              <w:rPr>
                <w:noProof/>
                <w:webHidden/>
              </w:rPr>
              <w:instrText xml:space="preserve"> PAGEREF _Toc228506464 \h </w:instrText>
            </w:r>
            <w:r>
              <w:rPr>
                <w:noProof/>
                <w:webHidden/>
              </w:rPr>
            </w:r>
            <w:r>
              <w:rPr>
                <w:noProof/>
                <w:webHidden/>
              </w:rPr>
              <w:fldChar w:fldCharType="separate"/>
            </w:r>
            <w:r>
              <w:rPr>
                <w:noProof/>
                <w:webHidden/>
              </w:rPr>
              <w:t>25</w:t>
            </w:r>
            <w:r>
              <w:rPr>
                <w:noProof/>
                <w:webHidden/>
              </w:rPr>
              <w:fldChar w:fldCharType="end"/>
            </w:r>
          </w:hyperlink>
        </w:p>
        <w:p w14:paraId="3A372FEC" w14:textId="73B3C180"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5" w:history="1">
            <w:r w:rsidRPr="00F3706C">
              <w:rPr>
                <w:rStyle w:val="Hyperlink"/>
                <w:noProof/>
              </w:rPr>
              <w:t>Feelings</w:t>
            </w:r>
            <w:r>
              <w:rPr>
                <w:noProof/>
                <w:webHidden/>
              </w:rPr>
              <w:tab/>
            </w:r>
            <w:r>
              <w:rPr>
                <w:noProof/>
                <w:webHidden/>
              </w:rPr>
              <w:fldChar w:fldCharType="begin"/>
            </w:r>
            <w:r>
              <w:rPr>
                <w:noProof/>
                <w:webHidden/>
              </w:rPr>
              <w:instrText xml:space="preserve"> PAGEREF _Toc228506465 \h </w:instrText>
            </w:r>
            <w:r>
              <w:rPr>
                <w:noProof/>
                <w:webHidden/>
              </w:rPr>
            </w:r>
            <w:r>
              <w:rPr>
                <w:noProof/>
                <w:webHidden/>
              </w:rPr>
              <w:fldChar w:fldCharType="separate"/>
            </w:r>
            <w:r>
              <w:rPr>
                <w:noProof/>
                <w:webHidden/>
              </w:rPr>
              <w:t>26</w:t>
            </w:r>
            <w:r>
              <w:rPr>
                <w:noProof/>
                <w:webHidden/>
              </w:rPr>
              <w:fldChar w:fldCharType="end"/>
            </w:r>
          </w:hyperlink>
        </w:p>
        <w:p w14:paraId="723638D0" w14:textId="60A0E166"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6" w:history="1">
            <w:r w:rsidRPr="00F3706C">
              <w:rPr>
                <w:rStyle w:val="Hyperlink"/>
                <w:noProof/>
              </w:rPr>
              <w:t>Evaluation</w:t>
            </w:r>
            <w:r>
              <w:rPr>
                <w:noProof/>
                <w:webHidden/>
              </w:rPr>
              <w:tab/>
            </w:r>
            <w:r>
              <w:rPr>
                <w:noProof/>
                <w:webHidden/>
              </w:rPr>
              <w:fldChar w:fldCharType="begin"/>
            </w:r>
            <w:r>
              <w:rPr>
                <w:noProof/>
                <w:webHidden/>
              </w:rPr>
              <w:instrText xml:space="preserve"> PAGEREF _Toc228506466 \h </w:instrText>
            </w:r>
            <w:r>
              <w:rPr>
                <w:noProof/>
                <w:webHidden/>
              </w:rPr>
            </w:r>
            <w:r>
              <w:rPr>
                <w:noProof/>
                <w:webHidden/>
              </w:rPr>
              <w:fldChar w:fldCharType="separate"/>
            </w:r>
            <w:r>
              <w:rPr>
                <w:noProof/>
                <w:webHidden/>
              </w:rPr>
              <w:t>26</w:t>
            </w:r>
            <w:r>
              <w:rPr>
                <w:noProof/>
                <w:webHidden/>
              </w:rPr>
              <w:fldChar w:fldCharType="end"/>
            </w:r>
          </w:hyperlink>
        </w:p>
        <w:p w14:paraId="252E79BA" w14:textId="068A9E1C"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7" w:history="1">
            <w:r w:rsidRPr="00F3706C">
              <w:rPr>
                <w:rStyle w:val="Hyperlink"/>
                <w:noProof/>
              </w:rPr>
              <w:t>Analysis</w:t>
            </w:r>
            <w:r>
              <w:rPr>
                <w:noProof/>
                <w:webHidden/>
              </w:rPr>
              <w:tab/>
            </w:r>
            <w:r>
              <w:rPr>
                <w:noProof/>
                <w:webHidden/>
              </w:rPr>
              <w:fldChar w:fldCharType="begin"/>
            </w:r>
            <w:r>
              <w:rPr>
                <w:noProof/>
                <w:webHidden/>
              </w:rPr>
              <w:instrText xml:space="preserve"> PAGEREF _Toc228506467 \h </w:instrText>
            </w:r>
            <w:r>
              <w:rPr>
                <w:noProof/>
                <w:webHidden/>
              </w:rPr>
            </w:r>
            <w:r>
              <w:rPr>
                <w:noProof/>
                <w:webHidden/>
              </w:rPr>
              <w:fldChar w:fldCharType="separate"/>
            </w:r>
            <w:r>
              <w:rPr>
                <w:noProof/>
                <w:webHidden/>
              </w:rPr>
              <w:t>27</w:t>
            </w:r>
            <w:r>
              <w:rPr>
                <w:noProof/>
                <w:webHidden/>
              </w:rPr>
              <w:fldChar w:fldCharType="end"/>
            </w:r>
          </w:hyperlink>
        </w:p>
        <w:p w14:paraId="03009949" w14:textId="6A35EC2A"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8" w:history="1">
            <w:r w:rsidRPr="00F3706C">
              <w:rPr>
                <w:rStyle w:val="Hyperlink"/>
                <w:noProof/>
              </w:rPr>
              <w:t>Conclusion</w:t>
            </w:r>
            <w:r>
              <w:rPr>
                <w:noProof/>
                <w:webHidden/>
              </w:rPr>
              <w:tab/>
            </w:r>
            <w:r>
              <w:rPr>
                <w:noProof/>
                <w:webHidden/>
              </w:rPr>
              <w:fldChar w:fldCharType="begin"/>
            </w:r>
            <w:r>
              <w:rPr>
                <w:noProof/>
                <w:webHidden/>
              </w:rPr>
              <w:instrText xml:space="preserve"> PAGEREF _Toc228506468 \h </w:instrText>
            </w:r>
            <w:r>
              <w:rPr>
                <w:noProof/>
                <w:webHidden/>
              </w:rPr>
            </w:r>
            <w:r>
              <w:rPr>
                <w:noProof/>
                <w:webHidden/>
              </w:rPr>
              <w:fldChar w:fldCharType="separate"/>
            </w:r>
            <w:r>
              <w:rPr>
                <w:noProof/>
                <w:webHidden/>
              </w:rPr>
              <w:t>27</w:t>
            </w:r>
            <w:r>
              <w:rPr>
                <w:noProof/>
                <w:webHidden/>
              </w:rPr>
              <w:fldChar w:fldCharType="end"/>
            </w:r>
          </w:hyperlink>
        </w:p>
        <w:p w14:paraId="49052849" w14:textId="384C6867" w:rsidR="00A12988" w:rsidRDefault="00A12988">
          <w:pPr>
            <w:pStyle w:val="TOC2"/>
            <w:tabs>
              <w:tab w:val="right" w:leader="dot" w:pos="9016"/>
            </w:tabs>
            <w:rPr>
              <w:rFonts w:asciiTheme="minorHAnsi" w:eastAsiaTheme="minorEastAsia" w:hAnsiTheme="minorHAnsi" w:cstheme="minorBidi"/>
              <w:noProof/>
              <w:sz w:val="22"/>
              <w:szCs w:val="22"/>
            </w:rPr>
          </w:pPr>
          <w:hyperlink w:anchor="_Toc228506469" w:history="1">
            <w:r w:rsidRPr="00F3706C">
              <w:rPr>
                <w:rStyle w:val="Hyperlink"/>
                <w:noProof/>
              </w:rPr>
              <w:t>Action Plan</w:t>
            </w:r>
            <w:r>
              <w:rPr>
                <w:noProof/>
                <w:webHidden/>
              </w:rPr>
              <w:tab/>
            </w:r>
            <w:r>
              <w:rPr>
                <w:noProof/>
                <w:webHidden/>
              </w:rPr>
              <w:fldChar w:fldCharType="begin"/>
            </w:r>
            <w:r>
              <w:rPr>
                <w:noProof/>
                <w:webHidden/>
              </w:rPr>
              <w:instrText xml:space="preserve"> PAGEREF _Toc228506469 \h </w:instrText>
            </w:r>
            <w:r>
              <w:rPr>
                <w:noProof/>
                <w:webHidden/>
              </w:rPr>
            </w:r>
            <w:r>
              <w:rPr>
                <w:noProof/>
                <w:webHidden/>
              </w:rPr>
              <w:fldChar w:fldCharType="separate"/>
            </w:r>
            <w:r>
              <w:rPr>
                <w:noProof/>
                <w:webHidden/>
              </w:rPr>
              <w:t>27</w:t>
            </w:r>
            <w:r>
              <w:rPr>
                <w:noProof/>
                <w:webHidden/>
              </w:rPr>
              <w:fldChar w:fldCharType="end"/>
            </w:r>
          </w:hyperlink>
        </w:p>
        <w:p w14:paraId="65E75D26" w14:textId="53AC042E" w:rsidR="00A12988" w:rsidRDefault="00A12988">
          <w:pPr>
            <w:pStyle w:val="TOC1"/>
            <w:tabs>
              <w:tab w:val="right" w:leader="dot" w:pos="9016"/>
            </w:tabs>
            <w:rPr>
              <w:rFonts w:asciiTheme="minorHAnsi" w:eastAsiaTheme="minorEastAsia" w:hAnsiTheme="minorHAnsi" w:cstheme="minorBidi"/>
              <w:noProof/>
              <w:sz w:val="22"/>
              <w:szCs w:val="22"/>
            </w:rPr>
          </w:pPr>
          <w:hyperlink w:anchor="_Toc228506470" w:history="1">
            <w:r w:rsidRPr="00F3706C">
              <w:rPr>
                <w:rStyle w:val="Hyperlink"/>
                <w:noProof/>
              </w:rPr>
              <w:t>Reference</w:t>
            </w:r>
            <w:r>
              <w:rPr>
                <w:noProof/>
                <w:webHidden/>
              </w:rPr>
              <w:tab/>
            </w:r>
            <w:r>
              <w:rPr>
                <w:noProof/>
                <w:webHidden/>
              </w:rPr>
              <w:fldChar w:fldCharType="begin"/>
            </w:r>
            <w:r>
              <w:rPr>
                <w:noProof/>
                <w:webHidden/>
              </w:rPr>
              <w:instrText xml:space="preserve"> PAGEREF _Toc228506470 \h </w:instrText>
            </w:r>
            <w:r>
              <w:rPr>
                <w:noProof/>
                <w:webHidden/>
              </w:rPr>
            </w:r>
            <w:r>
              <w:rPr>
                <w:noProof/>
                <w:webHidden/>
              </w:rPr>
              <w:fldChar w:fldCharType="separate"/>
            </w:r>
            <w:r>
              <w:rPr>
                <w:noProof/>
                <w:webHidden/>
              </w:rPr>
              <w:t>29</w:t>
            </w:r>
            <w:r>
              <w:rPr>
                <w:noProof/>
                <w:webHidden/>
              </w:rPr>
              <w:fldChar w:fldCharType="end"/>
            </w:r>
          </w:hyperlink>
        </w:p>
        <w:p w14:paraId="1E085986" w14:textId="77ED6978" w:rsidR="00052158" w:rsidRPr="00A12988" w:rsidRDefault="00052158">
          <w:r w:rsidRPr="00A12988">
            <w:rPr>
              <w:b/>
              <w:bCs/>
              <w:noProof/>
            </w:rPr>
            <w:fldChar w:fldCharType="end"/>
          </w:r>
        </w:p>
      </w:sdtContent>
    </w:sdt>
    <w:p w14:paraId="789B85CD" w14:textId="77777777" w:rsidR="004B7C94" w:rsidRPr="00A12988" w:rsidRDefault="004B7C94">
      <w:pPr>
        <w:rPr>
          <w:b/>
          <w:bCs/>
          <w:color w:val="023E8A"/>
          <w:sz w:val="32"/>
          <w:szCs w:val="32"/>
        </w:rPr>
      </w:pPr>
      <w:r w:rsidRPr="00A12988">
        <w:br w:type="page"/>
      </w:r>
    </w:p>
    <w:p w14:paraId="01690F99" w14:textId="77777777" w:rsidR="004B7C94" w:rsidRPr="00A12988" w:rsidRDefault="004B7C94" w:rsidP="00052158">
      <w:pPr>
        <w:pStyle w:val="Heading1"/>
        <w:sectPr w:rsidR="004B7C94" w:rsidRPr="00A12988" w:rsidSect="00052158">
          <w:footerReference w:type="default" r:id="rId10"/>
          <w:pgSz w:w="11906" w:h="16838" w:code="9"/>
          <w:pgMar w:top="1440" w:right="1440" w:bottom="1440" w:left="1440" w:header="720" w:footer="720" w:gutter="0"/>
          <w:pgNumType w:fmt="lowerRoman" w:start="1"/>
          <w:cols w:space="720"/>
          <w:docGrid w:linePitch="326"/>
        </w:sectPr>
      </w:pPr>
    </w:p>
    <w:p w14:paraId="1DD23F0C" w14:textId="3FE2BDE3" w:rsidR="006C137B" w:rsidRPr="00A12988" w:rsidRDefault="00D71680" w:rsidP="00052158">
      <w:pPr>
        <w:pStyle w:val="Heading1"/>
      </w:pPr>
      <w:bookmarkStart w:id="2" w:name="_Toc228506443"/>
      <w:r w:rsidRPr="00A12988">
        <w:t>Introduction</w:t>
      </w:r>
      <w:bookmarkEnd w:id="2"/>
    </w:p>
    <w:p w14:paraId="25C9610A" w14:textId="4B8DFA78" w:rsidR="006C137B" w:rsidRPr="00A12988" w:rsidRDefault="00D71680">
      <w:r w:rsidRPr="00A12988">
        <w:t xml:space="preserve">Strategic management is an essential part of businesses that would like to attain long-term, successful, competitive, and dynamic market success (Lynch, 2022). The report is about the BMW i4, which is a premium electric sedan in the fast-growing electric vehicle (EV) market. As car manufacturers shift to sustainability and electrification, it is crucial to comprehend the strategic choices that can shape the role of BMW in the luxury EV market. BMW i4 is the company's attempt to integrate the luxury, performance, and sustainability and take on the competition of Tesla, Audi, and Mercedes-Benz. This report </w:t>
      </w:r>
      <w:r w:rsidR="004B7C94" w:rsidRPr="00A12988">
        <w:t>analyses</w:t>
      </w:r>
      <w:r w:rsidRPr="00A12988">
        <w:t xml:space="preserve"> the external and internal forces in terms of strategic positioning of the BMW i4, its resources and ability, and industry forces that influence its performance in the market. With the help of strategic models like PESTEL, SWOT, VRIO, and Five Forces, outlined in the report, assess the ability of BMW i4 to remain competitive in the ever-changing EV market, and provide recommendations as to its future strategic paths.</w:t>
      </w:r>
    </w:p>
    <w:p w14:paraId="399C8085" w14:textId="77777777" w:rsidR="006C137B" w:rsidRPr="00A12988" w:rsidRDefault="006C137B"/>
    <w:p w14:paraId="43FB3785" w14:textId="77777777" w:rsidR="006C137B" w:rsidRPr="00A12988" w:rsidRDefault="00D71680">
      <w:r w:rsidRPr="00A12988">
        <w:br w:type="page"/>
      </w:r>
    </w:p>
    <w:p w14:paraId="178DD4EB" w14:textId="77777777" w:rsidR="006C137B" w:rsidRPr="00A12988" w:rsidRDefault="00D71680" w:rsidP="00052158">
      <w:pPr>
        <w:pStyle w:val="Heading1"/>
      </w:pPr>
      <w:bookmarkStart w:id="3" w:name="_74av18sundq2" w:colFirst="0" w:colLast="0"/>
      <w:bookmarkStart w:id="4" w:name="_Toc228506444"/>
      <w:bookmarkEnd w:id="3"/>
      <w:r w:rsidRPr="00A12988">
        <w:t>BMW’s Background</w:t>
      </w:r>
      <w:bookmarkEnd w:id="4"/>
    </w:p>
    <w:p w14:paraId="372DE88E" w14:textId="77777777" w:rsidR="006C137B" w:rsidRPr="00A12988" w:rsidRDefault="00D71680">
      <w:r w:rsidRPr="00A12988">
        <w:t>BMW is a top car manufacturer in the world, and has long been known to have luxury cars that are a combination of performance, technology, and design (BMW, 2024). BMW i4 is the best seller of this brand in terms of the number of vehicles sold, and in this case, they sold over 20,000 i4 in the U.S, reporting exceeded iX in recent reporting (Andres, 2026). Being fully electric and a luxury sedan, the i4 will fall into the category of high-end electric sedans, which include Tesla's Model 3 and Audi’s e-</w:t>
      </w:r>
      <w:proofErr w:type="spellStart"/>
      <w:r w:rsidRPr="00A12988">
        <w:t>tron</w:t>
      </w:r>
      <w:proofErr w:type="spellEnd"/>
      <w:r w:rsidRPr="00A12988">
        <w:t xml:space="preserve"> GT.</w:t>
      </w:r>
    </w:p>
    <w:p w14:paraId="13694EF5" w14:textId="45528ECC" w:rsidR="004B7C94" w:rsidRPr="00A12988" w:rsidRDefault="004B7C94">
      <w:r w:rsidRPr="00A12988">
        <w:rPr>
          <w:noProof/>
        </w:rPr>
        <w:drawing>
          <wp:inline distT="0" distB="0" distL="0" distR="0" wp14:anchorId="00FCD3D6" wp14:editId="1E30A388">
            <wp:extent cx="5731510" cy="2005965"/>
            <wp:effectExtent l="0" t="0" r="2540" b="0"/>
            <wp:docPr id="1986639449" name="Picture 1" descr="BMW Group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Group Histo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005965"/>
                    </a:xfrm>
                    <a:prstGeom prst="rect">
                      <a:avLst/>
                    </a:prstGeom>
                    <a:noFill/>
                    <a:ln>
                      <a:noFill/>
                    </a:ln>
                  </pic:spPr>
                </pic:pic>
              </a:graphicData>
            </a:graphic>
          </wp:inline>
        </w:drawing>
      </w:r>
    </w:p>
    <w:p w14:paraId="0C1DDA1A" w14:textId="2D2DA09D" w:rsidR="004B7C94" w:rsidRPr="00A12988" w:rsidRDefault="004B7C94" w:rsidP="004B7C94">
      <w:pPr>
        <w:pStyle w:val="Caption"/>
      </w:pPr>
      <w:r w:rsidRPr="00A12988">
        <w:t xml:space="preserve">Figure </w:t>
      </w:r>
      <w:r w:rsidRPr="00A12988">
        <w:fldChar w:fldCharType="begin"/>
      </w:r>
      <w:r w:rsidRPr="00A12988">
        <w:instrText xml:space="preserve"> SEQ Figure \* ARABIC </w:instrText>
      </w:r>
      <w:r w:rsidRPr="00A12988">
        <w:fldChar w:fldCharType="separate"/>
      </w:r>
      <w:r w:rsidRPr="00A12988">
        <w:rPr>
          <w:noProof/>
        </w:rPr>
        <w:t>1</w:t>
      </w:r>
      <w:r w:rsidRPr="00A12988">
        <w:fldChar w:fldCharType="end"/>
      </w:r>
      <w:r w:rsidRPr="00A12988">
        <w:t xml:space="preserve"> Evolution of BMW (BMW Group, 2026).</w:t>
      </w:r>
    </w:p>
    <w:p w14:paraId="773F575D" w14:textId="7FFE377F"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1</w:t>
      </w:r>
      <w:r w:rsidRPr="00A12988">
        <w:fldChar w:fldCharType="end"/>
      </w:r>
      <w:r w:rsidRPr="00A12988">
        <w:t xml:space="preserve"> About BMW.</w:t>
      </w:r>
    </w:p>
    <w:tbl>
      <w:tblPr>
        <w:tblStyle w:val="a"/>
        <w:tblW w:w="94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10"/>
        <w:gridCol w:w="7425"/>
      </w:tblGrid>
      <w:tr w:rsidR="006C137B" w:rsidRPr="00A12988" w14:paraId="1AC9D1BC" w14:textId="77777777">
        <w:trPr>
          <w:trHeight w:val="450"/>
        </w:trPr>
        <w:tc>
          <w:tcPr>
            <w:tcW w:w="2010" w:type="dxa"/>
            <w:tcBorders>
              <w:top w:val="single" w:sz="11" w:space="0" w:color="002060"/>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54078B70" w14:textId="77777777" w:rsidR="006C137B" w:rsidRPr="00A12988" w:rsidRDefault="00D71680">
            <w:pPr>
              <w:spacing w:before="240" w:after="160"/>
              <w:jc w:val="left"/>
              <w:rPr>
                <w:b/>
                <w:bCs/>
                <w:i/>
                <w:iCs/>
              </w:rPr>
            </w:pPr>
            <w:r w:rsidRPr="00A12988">
              <w:rPr>
                <w:b/>
                <w:bCs/>
                <w:i/>
                <w:iCs/>
              </w:rPr>
              <w:t>Item</w:t>
            </w:r>
          </w:p>
        </w:tc>
        <w:tc>
          <w:tcPr>
            <w:tcW w:w="742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407D1CE2" w14:textId="77777777" w:rsidR="006C137B" w:rsidRPr="00A12988" w:rsidRDefault="00D71680">
            <w:pPr>
              <w:spacing w:before="240" w:after="160"/>
              <w:rPr>
                <w:b/>
                <w:bCs/>
              </w:rPr>
            </w:pPr>
            <w:r w:rsidRPr="00A12988">
              <w:rPr>
                <w:b/>
                <w:bCs/>
              </w:rPr>
              <w:t>BMW Group snapshot</w:t>
            </w:r>
          </w:p>
        </w:tc>
      </w:tr>
      <w:tr w:rsidR="006C137B" w:rsidRPr="00A12988" w14:paraId="2065D60A" w14:textId="77777777">
        <w:trPr>
          <w:trHeight w:val="705"/>
        </w:trPr>
        <w:tc>
          <w:tcPr>
            <w:tcW w:w="201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B7FE5A6" w14:textId="77777777" w:rsidR="006C137B" w:rsidRPr="00A12988" w:rsidRDefault="00D71680">
            <w:pPr>
              <w:spacing w:before="240" w:after="160"/>
              <w:jc w:val="right"/>
              <w:rPr>
                <w:b/>
                <w:bCs/>
                <w:i/>
                <w:iCs/>
              </w:rPr>
            </w:pPr>
            <w:r w:rsidRPr="00A12988">
              <w:rPr>
                <w:b/>
                <w:bCs/>
                <w:i/>
                <w:iCs/>
              </w:rPr>
              <w:t>Number of employees</w:t>
            </w:r>
          </w:p>
        </w:tc>
        <w:tc>
          <w:tcPr>
            <w:tcW w:w="7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0499EEAB" w14:textId="77777777" w:rsidR="006C137B" w:rsidRPr="00A12988" w:rsidRDefault="00D71680">
            <w:pPr>
              <w:spacing w:before="240" w:after="160"/>
            </w:pPr>
            <w:r w:rsidRPr="00A12988">
              <w:t>154,540 employees (end of 2025)</w:t>
            </w:r>
          </w:p>
        </w:tc>
      </w:tr>
      <w:tr w:rsidR="006C137B" w:rsidRPr="00A12988" w14:paraId="7640B552" w14:textId="77777777">
        <w:trPr>
          <w:trHeight w:val="450"/>
        </w:trPr>
        <w:tc>
          <w:tcPr>
            <w:tcW w:w="201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7DD0EEC8" w14:textId="77777777" w:rsidR="006C137B" w:rsidRPr="00A12988" w:rsidRDefault="00D71680">
            <w:pPr>
              <w:spacing w:before="240" w:after="160"/>
              <w:jc w:val="right"/>
              <w:rPr>
                <w:b/>
                <w:bCs/>
                <w:i/>
                <w:iCs/>
              </w:rPr>
            </w:pPr>
            <w:r w:rsidRPr="00A12988">
              <w:rPr>
                <w:b/>
                <w:bCs/>
                <w:i/>
                <w:iCs/>
              </w:rPr>
              <w:t>Company age</w:t>
            </w:r>
          </w:p>
        </w:tc>
        <w:tc>
          <w:tcPr>
            <w:tcW w:w="7425" w:type="dxa"/>
            <w:tcBorders>
              <w:top w:val="nil"/>
              <w:left w:val="nil"/>
              <w:bottom w:val="single" w:sz="11" w:space="0" w:color="002060"/>
              <w:right w:val="single" w:sz="11" w:space="0" w:color="002060"/>
            </w:tcBorders>
            <w:tcMar>
              <w:top w:w="0" w:type="dxa"/>
              <w:left w:w="100" w:type="dxa"/>
              <w:bottom w:w="0" w:type="dxa"/>
              <w:right w:w="100" w:type="dxa"/>
            </w:tcMar>
          </w:tcPr>
          <w:p w14:paraId="536574DA" w14:textId="77777777" w:rsidR="006C137B" w:rsidRPr="00A12988" w:rsidRDefault="00D71680">
            <w:pPr>
              <w:spacing w:before="240" w:after="160"/>
            </w:pPr>
            <w:r w:rsidRPr="00A12988">
              <w:t>Founded in 1916; about 110 years old in 2026</w:t>
            </w:r>
          </w:p>
        </w:tc>
      </w:tr>
      <w:tr w:rsidR="006C137B" w:rsidRPr="00A12988" w14:paraId="04D3B1C6" w14:textId="77777777">
        <w:trPr>
          <w:trHeight w:val="705"/>
        </w:trPr>
        <w:tc>
          <w:tcPr>
            <w:tcW w:w="201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2B78FABC" w14:textId="77777777" w:rsidR="006C137B" w:rsidRPr="00A12988" w:rsidRDefault="00D71680">
            <w:pPr>
              <w:spacing w:before="240" w:after="160"/>
              <w:jc w:val="right"/>
              <w:rPr>
                <w:b/>
                <w:bCs/>
                <w:i/>
                <w:iCs/>
              </w:rPr>
            </w:pPr>
            <w:r w:rsidRPr="00A12988">
              <w:rPr>
                <w:b/>
                <w:bCs/>
                <w:i/>
                <w:iCs/>
              </w:rPr>
              <w:t>Financial situation</w:t>
            </w:r>
          </w:p>
        </w:tc>
        <w:tc>
          <w:tcPr>
            <w:tcW w:w="7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B37C028" w14:textId="77777777" w:rsidR="006C137B" w:rsidRPr="00A12988" w:rsidRDefault="00D71680">
            <w:pPr>
              <w:spacing w:before="240" w:after="160"/>
            </w:pPr>
            <w:r w:rsidRPr="00A12988">
              <w:t>€133.5 billion revenue in 2025; €10,236 million profit before tax</w:t>
            </w:r>
          </w:p>
        </w:tc>
      </w:tr>
      <w:tr w:rsidR="006C137B" w:rsidRPr="00A12988" w14:paraId="25B4A232" w14:textId="77777777">
        <w:trPr>
          <w:trHeight w:val="705"/>
        </w:trPr>
        <w:tc>
          <w:tcPr>
            <w:tcW w:w="201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857BA58" w14:textId="77777777" w:rsidR="006C137B" w:rsidRPr="00A12988" w:rsidRDefault="00D71680">
            <w:pPr>
              <w:spacing w:before="240" w:after="160"/>
              <w:jc w:val="right"/>
              <w:rPr>
                <w:b/>
                <w:bCs/>
                <w:i/>
                <w:iCs/>
              </w:rPr>
            </w:pPr>
            <w:r w:rsidRPr="00A12988">
              <w:rPr>
                <w:b/>
                <w:bCs/>
                <w:i/>
                <w:iCs/>
              </w:rPr>
              <w:t>Operating markets</w:t>
            </w:r>
          </w:p>
        </w:tc>
        <w:tc>
          <w:tcPr>
            <w:tcW w:w="7425" w:type="dxa"/>
            <w:tcBorders>
              <w:top w:val="nil"/>
              <w:left w:val="nil"/>
              <w:bottom w:val="single" w:sz="11" w:space="0" w:color="002060"/>
              <w:right w:val="single" w:sz="11" w:space="0" w:color="002060"/>
            </w:tcBorders>
            <w:tcMar>
              <w:top w:w="0" w:type="dxa"/>
              <w:left w:w="100" w:type="dxa"/>
              <w:bottom w:w="0" w:type="dxa"/>
              <w:right w:w="100" w:type="dxa"/>
            </w:tcMar>
          </w:tcPr>
          <w:p w14:paraId="68948B65" w14:textId="77777777" w:rsidR="006C137B" w:rsidRPr="00A12988" w:rsidRDefault="00D71680">
            <w:pPr>
              <w:spacing w:before="240" w:after="160"/>
            </w:pPr>
            <w:r w:rsidRPr="00A12988">
              <w:t>Global sales network in more than 140 countries/markets; over 30 production sites worldwide</w:t>
            </w:r>
          </w:p>
        </w:tc>
      </w:tr>
    </w:tbl>
    <w:p w14:paraId="1DBF1F59" w14:textId="77777777" w:rsidR="006C137B" w:rsidRPr="00A12988" w:rsidRDefault="006C137B"/>
    <w:p w14:paraId="4822623D" w14:textId="77777777" w:rsidR="006C137B" w:rsidRPr="00A12988" w:rsidRDefault="00D71680">
      <w:pPr>
        <w:jc w:val="center"/>
        <w:rPr>
          <w:b/>
          <w:bCs/>
        </w:rPr>
      </w:pPr>
      <w:r w:rsidRPr="00A12988">
        <w:rPr>
          <w:b/>
          <w:bCs/>
        </w:rPr>
        <w:t>Source: (BMW Group, 2026)</w:t>
      </w:r>
    </w:p>
    <w:p w14:paraId="6A1F8DE2" w14:textId="77777777" w:rsidR="006C137B" w:rsidRPr="00A12988" w:rsidRDefault="006C137B"/>
    <w:p w14:paraId="5792FB21" w14:textId="77777777" w:rsidR="006C137B" w:rsidRPr="00A12988" w:rsidRDefault="00D71680" w:rsidP="00052158">
      <w:pPr>
        <w:pStyle w:val="Heading2"/>
      </w:pPr>
      <w:bookmarkStart w:id="5" w:name="_g2t17m8y2kf6" w:colFirst="0" w:colLast="0"/>
      <w:bookmarkStart w:id="6" w:name="_Toc228506445"/>
      <w:bookmarkEnd w:id="5"/>
      <w:r w:rsidRPr="00A12988">
        <w:t>Mission and Objectives</w:t>
      </w:r>
      <w:bookmarkEnd w:id="6"/>
    </w:p>
    <w:p w14:paraId="3CB90DA3" w14:textId="77777777" w:rsidR="006C137B" w:rsidRPr="00A12988" w:rsidRDefault="00D71680">
      <w:r w:rsidRPr="00A12988">
        <w:t xml:space="preserve">BMW has a vision, to become the world supplier of the best personal mobility, either in the physical sense of high quality and innovation as premium products and premium services, or as a sense of sheer driving pleasure (GCBC, 2023). This mission is typified by the i4, which is a hybrid of classic BMW motoring and the most recent electric technology. Some of the objectives of the i4 at BMW include sustainability, performance, luxury, and customer satisfaction. </w:t>
      </w:r>
    </w:p>
    <w:p w14:paraId="224CE83B" w14:textId="77777777" w:rsidR="006C137B" w:rsidRPr="00A12988" w:rsidRDefault="006C137B"/>
    <w:p w14:paraId="7B75D3E1" w14:textId="77777777" w:rsidR="006C137B" w:rsidRPr="00A12988" w:rsidRDefault="00D71680">
      <w:pPr>
        <w:numPr>
          <w:ilvl w:val="0"/>
          <w:numId w:val="2"/>
        </w:numPr>
      </w:pPr>
      <w:r w:rsidRPr="00A12988">
        <w:t xml:space="preserve">Provide a driving experience of the finest quality (BMW, 2024). </w:t>
      </w:r>
    </w:p>
    <w:p w14:paraId="724E64A2" w14:textId="77777777" w:rsidR="006C137B" w:rsidRPr="00A12988" w:rsidRDefault="00D71680">
      <w:pPr>
        <w:numPr>
          <w:ilvl w:val="0"/>
          <w:numId w:val="2"/>
        </w:numPr>
      </w:pPr>
      <w:r w:rsidRPr="00A12988">
        <w:t xml:space="preserve">Develop new long-term, sustainable mobility solutions to customers globally. </w:t>
      </w:r>
    </w:p>
    <w:p w14:paraId="44778B78" w14:textId="77777777" w:rsidR="006C137B" w:rsidRPr="00A12988" w:rsidRDefault="00D71680">
      <w:pPr>
        <w:numPr>
          <w:ilvl w:val="0"/>
          <w:numId w:val="2"/>
        </w:numPr>
      </w:pPr>
      <w:r w:rsidRPr="00A12988">
        <w:t>Be customer-centric make high performance, luxury, and safety.</w:t>
      </w:r>
    </w:p>
    <w:p w14:paraId="392E54BC" w14:textId="77777777" w:rsidR="006C137B" w:rsidRPr="00A12988" w:rsidRDefault="006C137B"/>
    <w:p w14:paraId="4175777B" w14:textId="77777777" w:rsidR="006C137B" w:rsidRPr="00A12988" w:rsidRDefault="00D71680">
      <w:r w:rsidRPr="00A12988">
        <w:t xml:space="preserve">The company would prefer to be at the top of the highly advanced part of EVs, which results in the global trend towards electrification and the creation of its EV </w:t>
      </w:r>
      <w:proofErr w:type="spellStart"/>
      <w:r w:rsidRPr="00A12988">
        <w:t>catalog</w:t>
      </w:r>
      <w:proofErr w:type="spellEnd"/>
      <w:r w:rsidRPr="00A12988">
        <w:t>. i4 would be essential in such success.</w:t>
      </w:r>
    </w:p>
    <w:p w14:paraId="52757297" w14:textId="77777777" w:rsidR="006C137B" w:rsidRPr="00A12988" w:rsidRDefault="006C137B"/>
    <w:p w14:paraId="7EB9DA93" w14:textId="77777777" w:rsidR="006C137B" w:rsidRPr="00A12988" w:rsidRDefault="00D71680">
      <w:r w:rsidRPr="00A12988">
        <w:br w:type="page"/>
      </w:r>
    </w:p>
    <w:p w14:paraId="3B0343CC" w14:textId="77777777" w:rsidR="006C137B" w:rsidRPr="00A12988" w:rsidRDefault="00D71680" w:rsidP="00052158">
      <w:pPr>
        <w:pStyle w:val="Heading1"/>
      </w:pPr>
      <w:bookmarkStart w:id="7" w:name="_271i1o0hqxl" w:colFirst="0" w:colLast="0"/>
      <w:bookmarkStart w:id="8" w:name="_Toc228506446"/>
      <w:bookmarkEnd w:id="7"/>
      <w:r w:rsidRPr="00A12988">
        <w:t>Macro-Environment Analysis</w:t>
      </w:r>
      <w:bookmarkEnd w:id="8"/>
    </w:p>
    <w:p w14:paraId="074CAF79" w14:textId="77777777" w:rsidR="006C137B" w:rsidRPr="00A12988" w:rsidRDefault="00D71680" w:rsidP="00052158">
      <w:pPr>
        <w:pStyle w:val="Heading2"/>
      </w:pPr>
      <w:bookmarkStart w:id="9" w:name="_6yq3o3jl7ree" w:colFirst="0" w:colLast="0"/>
      <w:bookmarkStart w:id="10" w:name="_Toc228506447"/>
      <w:bookmarkEnd w:id="9"/>
      <w:r w:rsidRPr="00A12988">
        <w:t>PESTEL analysis</w:t>
      </w:r>
      <w:bookmarkEnd w:id="10"/>
    </w:p>
    <w:p w14:paraId="23F45793" w14:textId="77777777" w:rsidR="006C137B" w:rsidRPr="00A12988" w:rsidRDefault="00D71680">
      <w:pPr>
        <w:spacing w:before="120" w:after="120"/>
      </w:pPr>
      <w:r w:rsidRPr="00A12988">
        <w:t>The macro-environment accepts the BMW i4 due to the fact that regulation, social adjustment and environmental compulsions are driving the market towards premium EVs. EVs are on the rise in demand and European policy is towards electrification (Hill et al., 2017). However, BMW must bear the cost of economic paranoia, intense technology turnover and augmented legal scrutiny of battery and supply chains. Therefore, the performance and luxury will not be the deciding factors in the success of i4, but affordability, portability during charging, quality and reliability of software and sustainability (</w:t>
      </w:r>
      <w:proofErr w:type="spellStart"/>
      <w:r w:rsidRPr="00A12988">
        <w:t>Gouveia</w:t>
      </w:r>
      <w:proofErr w:type="spellEnd"/>
      <w:r w:rsidRPr="00A12988">
        <w:t xml:space="preserve"> et al., 2024).</w:t>
      </w:r>
    </w:p>
    <w:p w14:paraId="6FD07917" w14:textId="21FF282F" w:rsidR="006C137B" w:rsidRPr="00A12988" w:rsidRDefault="004B7C94" w:rsidP="004B7C94">
      <w:pPr>
        <w:jc w:val="center"/>
      </w:pPr>
      <w:r w:rsidRPr="00A12988">
        <w:rPr>
          <w:noProof/>
        </w:rPr>
        <w:drawing>
          <wp:inline distT="0" distB="0" distL="0" distR="0" wp14:anchorId="54B56100" wp14:editId="4D57133E">
            <wp:extent cx="3962604" cy="2959252"/>
            <wp:effectExtent l="0" t="0" r="0" b="0"/>
            <wp:docPr id="185197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74825" name=""/>
                    <pic:cNvPicPr/>
                  </pic:nvPicPr>
                  <pic:blipFill>
                    <a:blip r:embed="rId12"/>
                    <a:stretch>
                      <a:fillRect/>
                    </a:stretch>
                  </pic:blipFill>
                  <pic:spPr>
                    <a:xfrm>
                      <a:off x="0" y="0"/>
                      <a:ext cx="3962604" cy="2959252"/>
                    </a:xfrm>
                    <a:prstGeom prst="rect">
                      <a:avLst/>
                    </a:prstGeom>
                  </pic:spPr>
                </pic:pic>
              </a:graphicData>
            </a:graphic>
          </wp:inline>
        </w:drawing>
      </w:r>
    </w:p>
    <w:p w14:paraId="7ED61383" w14:textId="5C107087" w:rsidR="004B7C94" w:rsidRPr="00A12988" w:rsidRDefault="004B7C94" w:rsidP="004B7C94">
      <w:pPr>
        <w:pStyle w:val="Caption"/>
      </w:pPr>
      <w:r w:rsidRPr="00A12988">
        <w:t xml:space="preserve">Figure </w:t>
      </w:r>
      <w:r w:rsidRPr="00A12988">
        <w:fldChar w:fldCharType="begin"/>
      </w:r>
      <w:r w:rsidRPr="00A12988">
        <w:instrText xml:space="preserve"> SEQ Figure \* ARABIC </w:instrText>
      </w:r>
      <w:r w:rsidRPr="00A12988">
        <w:fldChar w:fldCharType="separate"/>
      </w:r>
      <w:r w:rsidRPr="00A12988">
        <w:rPr>
          <w:noProof/>
        </w:rPr>
        <w:t>2</w:t>
      </w:r>
      <w:r w:rsidRPr="00A12988">
        <w:fldChar w:fldCharType="end"/>
      </w:r>
      <w:r w:rsidRPr="00A12988">
        <w:t xml:space="preserve"> EV transition (</w:t>
      </w:r>
      <w:proofErr w:type="spellStart"/>
      <w:r w:rsidRPr="00A12988">
        <w:t>Hertzke</w:t>
      </w:r>
      <w:proofErr w:type="spellEnd"/>
      <w:r w:rsidRPr="00A12988">
        <w:t xml:space="preserve"> et al., 2025).</w:t>
      </w:r>
    </w:p>
    <w:p w14:paraId="6B475BEE" w14:textId="77777777" w:rsidR="004B7C94" w:rsidRPr="00A12988" w:rsidRDefault="004B7C94"/>
    <w:p w14:paraId="718775E8" w14:textId="4C28C4FA" w:rsidR="004B7C94"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2</w:t>
      </w:r>
      <w:r w:rsidRPr="00A12988">
        <w:fldChar w:fldCharType="end"/>
      </w:r>
      <w:r w:rsidRPr="00A12988">
        <w:t xml:space="preserve"> PESTEL analysis.</w:t>
      </w:r>
    </w:p>
    <w:tbl>
      <w:tblPr>
        <w:tblStyle w:val="a0"/>
        <w:tblW w:w="95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4725"/>
        <w:gridCol w:w="3105"/>
      </w:tblGrid>
      <w:tr w:rsidR="006C137B" w:rsidRPr="00A12988" w14:paraId="2BE359D2" w14:textId="77777777">
        <w:trPr>
          <w:trHeight w:val="690"/>
        </w:trPr>
        <w:tc>
          <w:tcPr>
            <w:tcW w:w="1725" w:type="dxa"/>
            <w:tcBorders>
              <w:top w:val="single" w:sz="8" w:space="0" w:color="000000"/>
              <w:left w:val="single" w:sz="8" w:space="0" w:color="000000"/>
              <w:bottom w:val="single" w:sz="8" w:space="0" w:color="8EAADB"/>
              <w:right w:val="single" w:sz="8" w:space="0" w:color="000000"/>
            </w:tcBorders>
            <w:shd w:val="clear" w:color="auto" w:fill="FFFFFF"/>
            <w:tcMar>
              <w:top w:w="0" w:type="dxa"/>
              <w:left w:w="100" w:type="dxa"/>
              <w:bottom w:w="0" w:type="dxa"/>
              <w:right w:w="100" w:type="dxa"/>
            </w:tcMar>
          </w:tcPr>
          <w:p w14:paraId="2BC26DA1" w14:textId="77777777" w:rsidR="006C137B" w:rsidRPr="00A12988" w:rsidRDefault="00D71680">
            <w:pPr>
              <w:spacing w:before="240" w:after="160"/>
              <w:jc w:val="left"/>
              <w:rPr>
                <w:b/>
                <w:bCs/>
                <w:i/>
                <w:iCs/>
              </w:rPr>
            </w:pPr>
            <w:r w:rsidRPr="00A12988">
              <w:rPr>
                <w:b/>
                <w:bCs/>
                <w:i/>
                <w:iCs/>
              </w:rPr>
              <w:t>Factor</w:t>
            </w:r>
          </w:p>
        </w:tc>
        <w:tc>
          <w:tcPr>
            <w:tcW w:w="4725" w:type="dxa"/>
            <w:tcBorders>
              <w:top w:val="single" w:sz="8" w:space="0" w:color="000000"/>
              <w:left w:val="single" w:sz="8" w:space="0" w:color="000000"/>
              <w:bottom w:val="single" w:sz="8" w:space="0" w:color="002060"/>
              <w:right w:val="single" w:sz="8" w:space="0" w:color="000000"/>
            </w:tcBorders>
            <w:shd w:val="clear" w:color="auto" w:fill="FFFFFF"/>
            <w:tcMar>
              <w:top w:w="0" w:type="dxa"/>
              <w:left w:w="100" w:type="dxa"/>
              <w:bottom w:w="0" w:type="dxa"/>
              <w:right w:w="100" w:type="dxa"/>
            </w:tcMar>
          </w:tcPr>
          <w:p w14:paraId="5CF48025" w14:textId="77777777" w:rsidR="006C137B" w:rsidRPr="00A12988" w:rsidRDefault="00D71680">
            <w:pPr>
              <w:spacing w:before="240" w:after="160"/>
              <w:rPr>
                <w:b/>
                <w:bCs/>
              </w:rPr>
            </w:pPr>
            <w:r w:rsidRPr="00A12988">
              <w:rPr>
                <w:b/>
                <w:bCs/>
              </w:rPr>
              <w:t>Evidence / data</w:t>
            </w:r>
          </w:p>
        </w:tc>
        <w:tc>
          <w:tcPr>
            <w:tcW w:w="3105" w:type="dxa"/>
            <w:tcBorders>
              <w:top w:val="single" w:sz="8" w:space="0" w:color="000000"/>
              <w:left w:val="single" w:sz="8" w:space="0" w:color="000000"/>
              <w:bottom w:val="single" w:sz="8" w:space="0" w:color="002060"/>
              <w:right w:val="single" w:sz="8" w:space="0" w:color="000000"/>
            </w:tcBorders>
            <w:shd w:val="clear" w:color="auto" w:fill="FFFFFF"/>
            <w:tcMar>
              <w:top w:w="0" w:type="dxa"/>
              <w:left w:w="100" w:type="dxa"/>
              <w:bottom w:w="0" w:type="dxa"/>
              <w:right w:w="100" w:type="dxa"/>
            </w:tcMar>
          </w:tcPr>
          <w:p w14:paraId="2AE4F04C" w14:textId="77777777" w:rsidR="006C137B" w:rsidRPr="00A12988" w:rsidRDefault="00D71680">
            <w:pPr>
              <w:spacing w:before="240" w:after="160"/>
              <w:rPr>
                <w:b/>
                <w:bCs/>
              </w:rPr>
            </w:pPr>
            <w:r w:rsidRPr="00A12988">
              <w:rPr>
                <w:b/>
                <w:bCs/>
              </w:rPr>
              <w:t>Strategic implication for BMW i4</w:t>
            </w:r>
          </w:p>
        </w:tc>
      </w:tr>
      <w:tr w:rsidR="006C137B" w:rsidRPr="00A12988" w14:paraId="5D4D83E8" w14:textId="77777777">
        <w:trPr>
          <w:trHeight w:val="2235"/>
        </w:trPr>
        <w:tc>
          <w:tcPr>
            <w:tcW w:w="1725" w:type="dxa"/>
            <w:tcBorders>
              <w:top w:val="single" w:sz="8" w:space="0" w:color="8EAADB"/>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4BF98855" w14:textId="77777777" w:rsidR="006C137B" w:rsidRPr="00A12988" w:rsidRDefault="00D71680">
            <w:pPr>
              <w:spacing w:before="240" w:after="160"/>
              <w:jc w:val="right"/>
              <w:rPr>
                <w:b/>
                <w:bCs/>
                <w:i/>
                <w:iCs/>
              </w:rPr>
            </w:pPr>
            <w:r w:rsidRPr="00A12988">
              <w:rPr>
                <w:b/>
                <w:bCs/>
                <w:i/>
                <w:iCs/>
              </w:rPr>
              <w:t>Political</w:t>
            </w:r>
          </w:p>
        </w:tc>
        <w:tc>
          <w:tcPr>
            <w:tcW w:w="472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3EF003D0" w14:textId="77777777" w:rsidR="006C137B" w:rsidRPr="00A12988" w:rsidRDefault="00D71680">
            <w:pPr>
              <w:spacing w:before="240" w:after="160"/>
            </w:pPr>
            <w:r w:rsidRPr="00A12988">
              <w:t>Its zero-emission target of new cars and vans extended to 2035, with the manufacturers being able to meet the 2025-2027 target. The UK government reiterated its policy of phasing out new petrol and diesel cars by 2030 and the end-state of zero emissions by 2035 (European Commission, 2026).</w:t>
            </w:r>
          </w:p>
        </w:tc>
        <w:tc>
          <w:tcPr>
            <w:tcW w:w="310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18CF21B9" w14:textId="5A74ADED" w:rsidR="006C137B" w:rsidRPr="00A12988" w:rsidRDefault="00D71680">
            <w:pPr>
              <w:spacing w:before="240" w:after="160"/>
            </w:pPr>
            <w:r w:rsidRPr="00A12988">
              <w:t xml:space="preserve">There is a positive long-term regulatory climate in policy direction on EVs, and thus the BMW i4 is the one enjoying a </w:t>
            </w:r>
            <w:r w:rsidR="004B7C94" w:rsidRPr="00A12988">
              <w:t>favourable</w:t>
            </w:r>
            <w:r w:rsidRPr="00A12988">
              <w:t xml:space="preserve"> long-term regulatory climate.</w:t>
            </w:r>
          </w:p>
        </w:tc>
      </w:tr>
      <w:tr w:rsidR="006C137B" w:rsidRPr="00A12988" w14:paraId="775389B8" w14:textId="77777777">
        <w:trPr>
          <w:trHeight w:val="3015"/>
        </w:trPr>
        <w:tc>
          <w:tcPr>
            <w:tcW w:w="1725" w:type="dxa"/>
            <w:tcBorders>
              <w:top w:val="single" w:sz="8" w:space="0" w:color="000000"/>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01CA42FC" w14:textId="77777777" w:rsidR="006C137B" w:rsidRPr="00A12988" w:rsidRDefault="00D71680">
            <w:pPr>
              <w:spacing w:before="240" w:after="160"/>
              <w:jc w:val="right"/>
              <w:rPr>
                <w:b/>
                <w:bCs/>
                <w:i/>
                <w:iCs/>
              </w:rPr>
            </w:pPr>
            <w:r w:rsidRPr="00A12988">
              <w:rPr>
                <w:b/>
                <w:bCs/>
                <w:i/>
                <w:iCs/>
              </w:rPr>
              <w:t>Economic</w:t>
            </w:r>
          </w:p>
        </w:tc>
        <w:tc>
          <w:tcPr>
            <w:tcW w:w="472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47788002" w14:textId="77777777" w:rsidR="006C137B" w:rsidRPr="00A12988" w:rsidRDefault="00D71680">
            <w:pPr>
              <w:spacing w:before="240" w:after="160"/>
            </w:pPr>
            <w:r w:rsidRPr="00A12988">
              <w:t>By 2024, the global sales of electric cars had surpassed 17 million, and EVs had made up over 20 percent of the global sales of new cars (IEA, 2025). Meanwhile, the employees of the ECB forecasted inflation in the euro area to 2.3 in 2025, and this indicated that cost-of-living conditions and financing conditions continue to be a factor to consider by the consumer (European Commission, 2026).</w:t>
            </w:r>
          </w:p>
        </w:tc>
        <w:tc>
          <w:tcPr>
            <w:tcW w:w="310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74D3AAFC" w14:textId="77777777" w:rsidR="006C137B" w:rsidRPr="00A12988" w:rsidRDefault="00D71680">
            <w:pPr>
              <w:spacing w:before="240" w:after="160"/>
            </w:pPr>
            <w:r w:rsidRPr="00A12988">
              <w:t>There is a definite growth in the demand of EVs and that means that there is a market opportunity in the i4 (</w:t>
            </w:r>
            <w:proofErr w:type="spellStart"/>
            <w:r w:rsidRPr="00A12988">
              <w:t>Gouveia</w:t>
            </w:r>
            <w:proofErr w:type="spellEnd"/>
            <w:r w:rsidRPr="00A12988">
              <w:t xml:space="preserve"> et al., 2024).</w:t>
            </w:r>
          </w:p>
        </w:tc>
      </w:tr>
      <w:tr w:rsidR="006C137B" w:rsidRPr="00A12988" w14:paraId="0BE7C0E6" w14:textId="77777777">
        <w:trPr>
          <w:trHeight w:val="2505"/>
        </w:trPr>
        <w:tc>
          <w:tcPr>
            <w:tcW w:w="1725" w:type="dxa"/>
            <w:tcBorders>
              <w:top w:val="single" w:sz="8" w:space="0" w:color="000000"/>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5AD74191" w14:textId="77777777" w:rsidR="006C137B" w:rsidRPr="00A12988" w:rsidRDefault="00D71680">
            <w:pPr>
              <w:spacing w:before="240" w:after="160"/>
              <w:jc w:val="right"/>
              <w:rPr>
                <w:b/>
                <w:bCs/>
                <w:i/>
                <w:iCs/>
              </w:rPr>
            </w:pPr>
            <w:r w:rsidRPr="00A12988">
              <w:rPr>
                <w:b/>
                <w:bCs/>
                <w:i/>
                <w:iCs/>
              </w:rPr>
              <w:t>Social</w:t>
            </w:r>
          </w:p>
        </w:tc>
        <w:tc>
          <w:tcPr>
            <w:tcW w:w="472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0EFB3CE8" w14:textId="77777777" w:rsidR="006C137B" w:rsidRPr="00A12988" w:rsidRDefault="00D71680">
            <w:pPr>
              <w:spacing w:before="240" w:after="160"/>
            </w:pPr>
            <w:r w:rsidRPr="00A12988">
              <w:t>In Europe, EVs have fallen to 21% of new-car sales by 2024, and a 2025 survey of the population shows more intent to do so. In Germany, the purchase intention of a BEV was at 30% and higher in the UK (25% of interviewees intended to buy a BEV as their new car) (</w:t>
            </w:r>
            <w:proofErr w:type="spellStart"/>
            <w:r w:rsidRPr="00A12988">
              <w:t>Hertzke</w:t>
            </w:r>
            <w:proofErr w:type="spellEnd"/>
            <w:r w:rsidRPr="00A12988">
              <w:t xml:space="preserve"> et al., 2025).</w:t>
            </w:r>
          </w:p>
        </w:tc>
        <w:tc>
          <w:tcPr>
            <w:tcW w:w="310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575C52F7" w14:textId="77777777" w:rsidR="006C137B" w:rsidRPr="00A12988" w:rsidRDefault="00D71680">
            <w:pPr>
              <w:spacing w:before="240" w:after="160"/>
            </w:pPr>
            <w:r w:rsidRPr="00A12988">
              <w:t>In the case of BMW i4, this facilitates needs amongst the image aware, technology conscious, and consciously ecological consumers, but large-scale adoption remains reliant on trust, convenience and overall cost of ownership.</w:t>
            </w:r>
          </w:p>
        </w:tc>
      </w:tr>
      <w:tr w:rsidR="006C137B" w:rsidRPr="00A12988" w14:paraId="387C359D" w14:textId="77777777">
        <w:trPr>
          <w:trHeight w:val="1980"/>
        </w:trPr>
        <w:tc>
          <w:tcPr>
            <w:tcW w:w="1725" w:type="dxa"/>
            <w:tcBorders>
              <w:top w:val="single" w:sz="8" w:space="0" w:color="000000"/>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54DFF1FF" w14:textId="77777777" w:rsidR="006C137B" w:rsidRPr="00A12988" w:rsidRDefault="00D71680">
            <w:pPr>
              <w:spacing w:before="240" w:after="160"/>
              <w:jc w:val="right"/>
              <w:rPr>
                <w:b/>
                <w:bCs/>
                <w:i/>
                <w:iCs/>
              </w:rPr>
            </w:pPr>
            <w:r w:rsidRPr="00A12988">
              <w:rPr>
                <w:b/>
                <w:bCs/>
                <w:i/>
                <w:iCs/>
              </w:rPr>
              <w:t>Technological</w:t>
            </w:r>
          </w:p>
        </w:tc>
        <w:tc>
          <w:tcPr>
            <w:tcW w:w="472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2E53B78D" w14:textId="77777777" w:rsidR="006C137B" w:rsidRPr="00A12988" w:rsidRDefault="00D71680">
            <w:pPr>
              <w:spacing w:before="240" w:after="160"/>
            </w:pPr>
            <w:r w:rsidRPr="00A12988">
              <w:t>The EU has had in place its Alternative Fuels Infrastructure Regulation since 13 April 2024, and a binding infrastructure requirement. The European Alternative Fuels Observatory provides updated data on recharging in the EU every month (European Commission, 2024).</w:t>
            </w:r>
          </w:p>
        </w:tc>
        <w:tc>
          <w:tcPr>
            <w:tcW w:w="310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5CB575FC" w14:textId="77777777" w:rsidR="006C137B" w:rsidRPr="00A12988" w:rsidRDefault="00D71680">
            <w:pPr>
              <w:spacing w:before="240" w:after="160"/>
            </w:pPr>
            <w:r w:rsidRPr="00A12988">
              <w:t>The digital features and good range support the premium positioning of BMW i4.</w:t>
            </w:r>
          </w:p>
        </w:tc>
      </w:tr>
      <w:tr w:rsidR="006C137B" w:rsidRPr="00A12988" w14:paraId="7A87BF0F" w14:textId="77777777">
        <w:trPr>
          <w:trHeight w:val="2235"/>
        </w:trPr>
        <w:tc>
          <w:tcPr>
            <w:tcW w:w="1725" w:type="dxa"/>
            <w:tcBorders>
              <w:top w:val="single" w:sz="8" w:space="0" w:color="000000"/>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1021A58D" w14:textId="77777777" w:rsidR="006C137B" w:rsidRPr="00A12988" w:rsidRDefault="00D71680">
            <w:pPr>
              <w:spacing w:before="240" w:after="160"/>
              <w:jc w:val="right"/>
              <w:rPr>
                <w:b/>
                <w:bCs/>
                <w:i/>
                <w:iCs/>
              </w:rPr>
            </w:pPr>
            <w:r w:rsidRPr="00A12988">
              <w:rPr>
                <w:b/>
                <w:bCs/>
                <w:i/>
                <w:iCs/>
              </w:rPr>
              <w:t>Environmental</w:t>
            </w:r>
          </w:p>
        </w:tc>
        <w:tc>
          <w:tcPr>
            <w:tcW w:w="472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75D8B9B5" w14:textId="77777777" w:rsidR="006C137B" w:rsidRPr="00A12988" w:rsidRDefault="00D71680">
            <w:pPr>
              <w:spacing w:before="240" w:after="160"/>
            </w:pPr>
            <w:r w:rsidRPr="00A12988">
              <w:t>The transport sector is responsible for about 29% of greenhouse gas emissions of the EU, and the sector emissions in 2022 were about 26% compared to 1990 (EEA, 2025). A 90% decrease in transport emissions by 2050 is the aim of the EU policy (European Commission, 2026).</w:t>
            </w:r>
          </w:p>
        </w:tc>
        <w:tc>
          <w:tcPr>
            <w:tcW w:w="3105" w:type="dxa"/>
            <w:tcBorders>
              <w:top w:val="single" w:sz="8" w:space="0" w:color="002060"/>
              <w:left w:val="single" w:sz="8" w:space="0" w:color="002060"/>
              <w:bottom w:val="single" w:sz="8" w:space="0" w:color="002060"/>
              <w:right w:val="single" w:sz="8" w:space="0" w:color="002060"/>
            </w:tcBorders>
            <w:shd w:val="clear" w:color="auto" w:fill="D9E2F3"/>
            <w:tcMar>
              <w:top w:w="0" w:type="dxa"/>
              <w:left w:w="100" w:type="dxa"/>
              <w:bottom w:w="0" w:type="dxa"/>
              <w:right w:w="100" w:type="dxa"/>
            </w:tcMar>
          </w:tcPr>
          <w:p w14:paraId="16594A65" w14:textId="77777777" w:rsidR="006C137B" w:rsidRPr="00A12988" w:rsidRDefault="00D71680">
            <w:pPr>
              <w:spacing w:before="240" w:after="160"/>
            </w:pPr>
            <w:r w:rsidRPr="00A12988">
              <w:t>The i4 BMW is a direct beneficiary of the change towards combustion power.</w:t>
            </w:r>
          </w:p>
        </w:tc>
      </w:tr>
      <w:tr w:rsidR="006C137B" w:rsidRPr="00A12988" w14:paraId="25753089" w14:textId="77777777">
        <w:trPr>
          <w:trHeight w:val="2235"/>
        </w:trPr>
        <w:tc>
          <w:tcPr>
            <w:tcW w:w="1725" w:type="dxa"/>
            <w:tcBorders>
              <w:top w:val="single" w:sz="8" w:space="0" w:color="000000"/>
              <w:left w:val="single" w:sz="8" w:space="0" w:color="000000"/>
              <w:bottom w:val="single" w:sz="8" w:space="0" w:color="000000"/>
              <w:right w:val="single" w:sz="8" w:space="0" w:color="002060"/>
            </w:tcBorders>
            <w:shd w:val="clear" w:color="auto" w:fill="FFFFFF"/>
            <w:tcMar>
              <w:top w:w="0" w:type="dxa"/>
              <w:left w:w="100" w:type="dxa"/>
              <w:bottom w:w="0" w:type="dxa"/>
              <w:right w:w="100" w:type="dxa"/>
            </w:tcMar>
          </w:tcPr>
          <w:p w14:paraId="44B98F65" w14:textId="77777777" w:rsidR="006C137B" w:rsidRPr="00A12988" w:rsidRDefault="00D71680">
            <w:pPr>
              <w:spacing w:before="240" w:after="160"/>
              <w:jc w:val="right"/>
              <w:rPr>
                <w:b/>
                <w:bCs/>
                <w:i/>
                <w:iCs/>
              </w:rPr>
            </w:pPr>
            <w:r w:rsidRPr="00A12988">
              <w:rPr>
                <w:b/>
                <w:bCs/>
                <w:i/>
                <w:iCs/>
              </w:rPr>
              <w:t>Legal</w:t>
            </w:r>
          </w:p>
        </w:tc>
        <w:tc>
          <w:tcPr>
            <w:tcW w:w="472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1DBEF3BB" w14:textId="77777777" w:rsidR="006C137B" w:rsidRPr="00A12988" w:rsidRDefault="00D71680">
            <w:pPr>
              <w:spacing w:before="240" w:after="160"/>
            </w:pPr>
            <w:r w:rsidRPr="00A12988">
              <w:t>The EU battery regulations require a battery to have a sustainable life-cycle, not just about its design, but also about the sourcing, collection, recycling, and reusing. Battery due diligence requirements were also further expanded by the Council by two years in July 2025 (European Commission, 2023).</w:t>
            </w:r>
          </w:p>
        </w:tc>
        <w:tc>
          <w:tcPr>
            <w:tcW w:w="3105" w:type="dxa"/>
            <w:tcBorders>
              <w:top w:val="single" w:sz="8" w:space="0" w:color="002060"/>
              <w:left w:val="single" w:sz="8" w:space="0" w:color="002060"/>
              <w:bottom w:val="single" w:sz="8" w:space="0" w:color="002060"/>
              <w:right w:val="single" w:sz="8" w:space="0" w:color="002060"/>
            </w:tcBorders>
            <w:tcMar>
              <w:top w:w="0" w:type="dxa"/>
              <w:left w:w="100" w:type="dxa"/>
              <w:bottom w:w="0" w:type="dxa"/>
              <w:right w:w="100" w:type="dxa"/>
            </w:tcMar>
          </w:tcPr>
          <w:p w14:paraId="4198FED6" w14:textId="77777777" w:rsidR="006C137B" w:rsidRPr="00A12988" w:rsidRDefault="00D71680">
            <w:pPr>
              <w:spacing w:before="240" w:after="160"/>
            </w:pPr>
            <w:r w:rsidRPr="00A12988">
              <w:t>The pressure of law is spreading out of tailpipe emissions to traceability, circularity and responsible sourcing.</w:t>
            </w:r>
          </w:p>
        </w:tc>
      </w:tr>
    </w:tbl>
    <w:p w14:paraId="1BD3B49D" w14:textId="77777777" w:rsidR="006C137B" w:rsidRPr="00A12988" w:rsidRDefault="00D71680">
      <w:r w:rsidRPr="00A12988">
        <w:br w:type="page"/>
      </w:r>
    </w:p>
    <w:p w14:paraId="23C4B165" w14:textId="77777777" w:rsidR="006C137B" w:rsidRPr="00A12988" w:rsidRDefault="00D71680" w:rsidP="00052158">
      <w:pPr>
        <w:pStyle w:val="Heading1"/>
      </w:pPr>
      <w:bookmarkStart w:id="11" w:name="_b52bvugkilv1" w:colFirst="0" w:colLast="0"/>
      <w:bookmarkStart w:id="12" w:name="_Toc228506448"/>
      <w:bookmarkEnd w:id="11"/>
      <w:r w:rsidRPr="00A12988">
        <w:t>Micro-Environment Analysis</w:t>
      </w:r>
      <w:bookmarkEnd w:id="12"/>
    </w:p>
    <w:p w14:paraId="4BD638AC" w14:textId="77777777" w:rsidR="006C137B" w:rsidRPr="00A12988" w:rsidRDefault="00D71680" w:rsidP="00052158">
      <w:pPr>
        <w:pStyle w:val="Heading2"/>
      </w:pPr>
      <w:bookmarkStart w:id="13" w:name="_7pr99glfn1f" w:colFirst="0" w:colLast="0"/>
      <w:bookmarkStart w:id="14" w:name="_Toc228506449"/>
      <w:bookmarkEnd w:id="13"/>
      <w:r w:rsidRPr="00A12988">
        <w:t>Industry Life Cycle</w:t>
      </w:r>
      <w:bookmarkEnd w:id="14"/>
    </w:p>
    <w:p w14:paraId="7448F52C" w14:textId="77777777" w:rsidR="006C137B" w:rsidRPr="00A12988" w:rsidRDefault="00D71680">
      <w:pPr>
        <w:spacing w:before="120" w:after="120"/>
      </w:pPr>
      <w:r w:rsidRPr="00A12988">
        <w:t>BMW i4 competes in a premium electric sedan industry segment that can be best characterized as being in the growth phase of the industry life cycle (BMW Group, 2025). This is because the demand is growing at an extremely high rate, new competitors and new models come into the market, charging infrastructure is improving, and companies continue to make significant investments in technology, scale, and positioning of their brands rather than promoting their brands in the already established market (</w:t>
      </w:r>
      <w:proofErr w:type="spellStart"/>
      <w:r w:rsidRPr="00A12988">
        <w:t>Talikine</w:t>
      </w:r>
      <w:proofErr w:type="spellEnd"/>
      <w:r w:rsidRPr="00A12988">
        <w:t>, 2025). In 2024, global electric-car sales surpassed 17 million units, which constitute over 20% of new-car sales (IEA, 2025). The battery-electric cars were 17.4% of the market share in the EU in 2025, compared to 13.6 in 2024, which also represents further growth as opposed to saturation (ACEA, 2026).</w:t>
      </w:r>
    </w:p>
    <w:p w14:paraId="2DF29F42" w14:textId="64C4EF1F"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3</w:t>
      </w:r>
      <w:r w:rsidRPr="00A12988">
        <w:fldChar w:fldCharType="end"/>
      </w:r>
      <w:r w:rsidRPr="00A12988">
        <w:t xml:space="preserve"> Industry Life Cycle.</w:t>
      </w:r>
    </w:p>
    <w:tbl>
      <w:tblPr>
        <w:tblStyle w:val="a1"/>
        <w:tblW w:w="94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2790"/>
        <w:gridCol w:w="5175"/>
      </w:tblGrid>
      <w:tr w:rsidR="006C137B" w:rsidRPr="00A12988" w14:paraId="15E9D3C7" w14:textId="77777777">
        <w:trPr>
          <w:trHeight w:val="450"/>
        </w:trPr>
        <w:tc>
          <w:tcPr>
            <w:tcW w:w="1500" w:type="dxa"/>
            <w:tcBorders>
              <w:top w:val="single" w:sz="11" w:space="0" w:color="002060"/>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FD46DA2" w14:textId="77777777" w:rsidR="006C137B" w:rsidRPr="00A12988" w:rsidRDefault="00D71680">
            <w:pPr>
              <w:spacing w:before="240" w:after="160"/>
              <w:jc w:val="left"/>
              <w:rPr>
                <w:b/>
                <w:bCs/>
                <w:i/>
                <w:iCs/>
              </w:rPr>
            </w:pPr>
            <w:r w:rsidRPr="00A12988">
              <w:rPr>
                <w:b/>
                <w:bCs/>
                <w:i/>
                <w:iCs/>
              </w:rPr>
              <w:t>Stage</w:t>
            </w:r>
          </w:p>
        </w:tc>
        <w:tc>
          <w:tcPr>
            <w:tcW w:w="2790"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237EC4B5" w14:textId="77777777" w:rsidR="006C137B" w:rsidRPr="00A12988" w:rsidRDefault="00D71680">
            <w:pPr>
              <w:spacing w:before="240" w:after="160"/>
              <w:rPr>
                <w:b/>
                <w:bCs/>
              </w:rPr>
            </w:pPr>
            <w:r w:rsidRPr="00A12988">
              <w:rPr>
                <w:b/>
                <w:bCs/>
              </w:rPr>
              <w:t>Description</w:t>
            </w:r>
          </w:p>
        </w:tc>
        <w:tc>
          <w:tcPr>
            <w:tcW w:w="517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514D19F6" w14:textId="77777777" w:rsidR="006C137B" w:rsidRPr="00A12988" w:rsidRDefault="00D71680">
            <w:pPr>
              <w:spacing w:before="240" w:after="160"/>
              <w:rPr>
                <w:b/>
                <w:bCs/>
              </w:rPr>
            </w:pPr>
            <w:r w:rsidRPr="00A12988">
              <w:rPr>
                <w:b/>
                <w:bCs/>
              </w:rPr>
              <w:t>Strategic Implications for BMW i4</w:t>
            </w:r>
          </w:p>
        </w:tc>
      </w:tr>
      <w:tr w:rsidR="006C137B" w:rsidRPr="00A12988" w14:paraId="4BF2513C" w14:textId="77777777">
        <w:trPr>
          <w:trHeight w:val="1215"/>
        </w:trPr>
        <w:tc>
          <w:tcPr>
            <w:tcW w:w="150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66E31DD" w14:textId="77777777" w:rsidR="006C137B" w:rsidRPr="00A12988" w:rsidRDefault="00D71680">
            <w:pPr>
              <w:spacing w:before="240" w:after="160"/>
              <w:jc w:val="right"/>
              <w:rPr>
                <w:b/>
                <w:bCs/>
                <w:i/>
                <w:iCs/>
              </w:rPr>
            </w:pPr>
            <w:r w:rsidRPr="00A12988">
              <w:rPr>
                <w:b/>
                <w:bCs/>
                <w:i/>
                <w:iCs/>
              </w:rPr>
              <w:t>Introduction</w:t>
            </w:r>
          </w:p>
        </w:tc>
        <w:tc>
          <w:tcPr>
            <w:tcW w:w="279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0C7BCA73" w14:textId="77777777" w:rsidR="006C137B" w:rsidRPr="00A12988" w:rsidRDefault="00D71680">
            <w:pPr>
              <w:spacing w:before="240" w:after="160"/>
            </w:pPr>
            <w:r w:rsidRPr="00A12988">
              <w:t>It is an immature industry with minimal players and adoption (Armstrong, 2021).</w:t>
            </w:r>
          </w:p>
        </w:tc>
        <w:tc>
          <w:tcPr>
            <w:tcW w:w="51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0412451E" w14:textId="77777777" w:rsidR="006C137B" w:rsidRPr="00A12988" w:rsidRDefault="00D71680">
            <w:pPr>
              <w:spacing w:before="240" w:after="160"/>
            </w:pPr>
            <w:r w:rsidRPr="00A12988">
              <w:t>The i4 might be classified in the growth phase, where massive investments would be required on awareness, as well as on infrastructure.</w:t>
            </w:r>
          </w:p>
        </w:tc>
      </w:tr>
      <w:tr w:rsidR="006C137B" w:rsidRPr="00A12988" w14:paraId="00749357" w14:textId="77777777">
        <w:trPr>
          <w:trHeight w:val="960"/>
        </w:trPr>
        <w:tc>
          <w:tcPr>
            <w:tcW w:w="150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2A2353A0" w14:textId="77777777" w:rsidR="006C137B" w:rsidRPr="00A12988" w:rsidRDefault="00D71680">
            <w:pPr>
              <w:spacing w:before="240" w:after="160"/>
              <w:jc w:val="right"/>
              <w:rPr>
                <w:b/>
                <w:bCs/>
                <w:i/>
                <w:iCs/>
              </w:rPr>
            </w:pPr>
            <w:r w:rsidRPr="00A12988">
              <w:rPr>
                <w:b/>
                <w:bCs/>
                <w:i/>
                <w:iCs/>
              </w:rPr>
              <w:t>Growth</w:t>
            </w:r>
          </w:p>
        </w:tc>
        <w:tc>
          <w:tcPr>
            <w:tcW w:w="2790" w:type="dxa"/>
            <w:tcBorders>
              <w:top w:val="nil"/>
              <w:left w:val="nil"/>
              <w:bottom w:val="single" w:sz="11" w:space="0" w:color="002060"/>
              <w:right w:val="single" w:sz="11" w:space="0" w:color="002060"/>
            </w:tcBorders>
            <w:tcMar>
              <w:top w:w="0" w:type="dxa"/>
              <w:left w:w="100" w:type="dxa"/>
              <w:bottom w:w="0" w:type="dxa"/>
              <w:right w:w="100" w:type="dxa"/>
            </w:tcMar>
          </w:tcPr>
          <w:p w14:paraId="284BD906" w14:textId="77777777" w:rsidR="006C137B" w:rsidRPr="00A12988" w:rsidRDefault="00D71680">
            <w:pPr>
              <w:spacing w:before="240" w:after="160"/>
            </w:pPr>
            <w:r w:rsidRPr="00A12988">
              <w:t>High growth of demand and market penetration, economies of scale.</w:t>
            </w:r>
          </w:p>
        </w:tc>
        <w:tc>
          <w:tcPr>
            <w:tcW w:w="5175" w:type="dxa"/>
            <w:tcBorders>
              <w:top w:val="nil"/>
              <w:left w:val="nil"/>
              <w:bottom w:val="single" w:sz="11" w:space="0" w:color="002060"/>
              <w:right w:val="single" w:sz="11" w:space="0" w:color="002060"/>
            </w:tcBorders>
            <w:tcMar>
              <w:top w:w="0" w:type="dxa"/>
              <w:left w:w="100" w:type="dxa"/>
              <w:bottom w:w="0" w:type="dxa"/>
              <w:right w:w="100" w:type="dxa"/>
            </w:tcMar>
          </w:tcPr>
          <w:p w14:paraId="00D181FE" w14:textId="77777777" w:rsidR="006C137B" w:rsidRPr="00A12988" w:rsidRDefault="00D71680">
            <w:pPr>
              <w:spacing w:before="240" w:after="160"/>
            </w:pPr>
            <w:r w:rsidRPr="00A12988">
              <w:t>The i4 is in this stage of growth that makes it advantageous to higher adoption and technological changes (</w:t>
            </w:r>
            <w:proofErr w:type="spellStart"/>
            <w:r w:rsidRPr="00A12988">
              <w:t>Talikine</w:t>
            </w:r>
            <w:proofErr w:type="spellEnd"/>
            <w:r w:rsidRPr="00A12988">
              <w:t>, 2025).</w:t>
            </w:r>
          </w:p>
        </w:tc>
      </w:tr>
      <w:tr w:rsidR="006C137B" w:rsidRPr="00A12988" w14:paraId="5D883A47" w14:textId="77777777">
        <w:trPr>
          <w:trHeight w:val="960"/>
        </w:trPr>
        <w:tc>
          <w:tcPr>
            <w:tcW w:w="150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3452E93" w14:textId="77777777" w:rsidR="006C137B" w:rsidRPr="00A12988" w:rsidRDefault="00D71680">
            <w:pPr>
              <w:spacing w:before="240" w:after="160"/>
              <w:jc w:val="right"/>
              <w:rPr>
                <w:b/>
                <w:bCs/>
                <w:i/>
                <w:iCs/>
              </w:rPr>
            </w:pPr>
            <w:r w:rsidRPr="00A12988">
              <w:rPr>
                <w:b/>
                <w:bCs/>
                <w:i/>
                <w:iCs/>
              </w:rPr>
              <w:t>Maturity</w:t>
            </w:r>
          </w:p>
        </w:tc>
        <w:tc>
          <w:tcPr>
            <w:tcW w:w="279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601884B1" w14:textId="77777777" w:rsidR="006C137B" w:rsidRPr="00A12988" w:rsidRDefault="00D71680">
            <w:pPr>
              <w:spacing w:before="240" w:after="160"/>
            </w:pPr>
            <w:r w:rsidRPr="00A12988">
              <w:t>The segment stabilizes leading to market growth slowing.</w:t>
            </w:r>
          </w:p>
        </w:tc>
        <w:tc>
          <w:tcPr>
            <w:tcW w:w="51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27A77034" w14:textId="77777777" w:rsidR="006C137B" w:rsidRPr="00A12988" w:rsidRDefault="00D71680">
            <w:pPr>
              <w:spacing w:before="240" w:after="160"/>
            </w:pPr>
            <w:r w:rsidRPr="00A12988">
              <w:t>The i4 risks the product differentiation being less effective due to products being similar by competitors.</w:t>
            </w:r>
          </w:p>
        </w:tc>
      </w:tr>
      <w:tr w:rsidR="006C137B" w:rsidRPr="00A12988" w14:paraId="2FCFBF1D" w14:textId="77777777">
        <w:trPr>
          <w:trHeight w:val="960"/>
        </w:trPr>
        <w:tc>
          <w:tcPr>
            <w:tcW w:w="150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E30A942" w14:textId="77777777" w:rsidR="006C137B" w:rsidRPr="00A12988" w:rsidRDefault="00D71680">
            <w:pPr>
              <w:spacing w:before="240" w:after="160"/>
              <w:jc w:val="right"/>
              <w:rPr>
                <w:b/>
                <w:bCs/>
                <w:i/>
                <w:iCs/>
              </w:rPr>
            </w:pPr>
            <w:r w:rsidRPr="00A12988">
              <w:rPr>
                <w:b/>
                <w:bCs/>
                <w:i/>
                <w:iCs/>
              </w:rPr>
              <w:t>Decline</w:t>
            </w:r>
          </w:p>
        </w:tc>
        <w:tc>
          <w:tcPr>
            <w:tcW w:w="2790" w:type="dxa"/>
            <w:tcBorders>
              <w:top w:val="nil"/>
              <w:left w:val="nil"/>
              <w:bottom w:val="single" w:sz="11" w:space="0" w:color="002060"/>
              <w:right w:val="single" w:sz="11" w:space="0" w:color="002060"/>
            </w:tcBorders>
            <w:tcMar>
              <w:top w:w="0" w:type="dxa"/>
              <w:left w:w="100" w:type="dxa"/>
              <w:bottom w:w="0" w:type="dxa"/>
              <w:right w:w="100" w:type="dxa"/>
            </w:tcMar>
          </w:tcPr>
          <w:p w14:paraId="3BDA1F4B" w14:textId="77777777" w:rsidR="006C137B" w:rsidRPr="00A12988" w:rsidRDefault="00D71680">
            <w:pPr>
              <w:spacing w:before="240" w:after="160"/>
            </w:pPr>
            <w:r w:rsidRPr="00A12988">
              <w:t>Business shrink, by newer technologies or markets (</w:t>
            </w:r>
            <w:proofErr w:type="spellStart"/>
            <w:r w:rsidRPr="00A12988">
              <w:t>Wheelen</w:t>
            </w:r>
            <w:proofErr w:type="spellEnd"/>
            <w:r w:rsidRPr="00A12988">
              <w:t xml:space="preserve"> et al., 2018).</w:t>
            </w:r>
          </w:p>
        </w:tc>
        <w:tc>
          <w:tcPr>
            <w:tcW w:w="5175" w:type="dxa"/>
            <w:tcBorders>
              <w:top w:val="nil"/>
              <w:left w:val="nil"/>
              <w:bottom w:val="single" w:sz="11" w:space="0" w:color="002060"/>
              <w:right w:val="single" w:sz="11" w:space="0" w:color="002060"/>
            </w:tcBorders>
            <w:tcMar>
              <w:top w:w="0" w:type="dxa"/>
              <w:left w:w="100" w:type="dxa"/>
              <w:bottom w:w="0" w:type="dxa"/>
              <w:right w:w="100" w:type="dxa"/>
            </w:tcMar>
          </w:tcPr>
          <w:p w14:paraId="39EF63AD" w14:textId="77777777" w:rsidR="006C137B" w:rsidRPr="00A12988" w:rsidRDefault="00D71680">
            <w:pPr>
              <w:spacing w:before="240" w:after="160"/>
            </w:pPr>
            <w:r w:rsidRPr="00A12988">
              <w:t>The i4 is unlikely to be at this stage, as EVs are growing in market share, but this may apply to legacy models (</w:t>
            </w:r>
            <w:proofErr w:type="spellStart"/>
            <w:r w:rsidRPr="00A12988">
              <w:t>Gouveia</w:t>
            </w:r>
            <w:proofErr w:type="spellEnd"/>
            <w:r w:rsidRPr="00A12988">
              <w:t xml:space="preserve"> et al., 2024).</w:t>
            </w:r>
          </w:p>
        </w:tc>
      </w:tr>
    </w:tbl>
    <w:p w14:paraId="4FE37827" w14:textId="77777777" w:rsidR="006C137B" w:rsidRPr="00A12988" w:rsidRDefault="006C137B">
      <w:pPr>
        <w:spacing w:before="120" w:after="120"/>
      </w:pPr>
    </w:p>
    <w:p w14:paraId="648547FB" w14:textId="77777777" w:rsidR="006C137B" w:rsidRPr="00A12988" w:rsidRDefault="00D71680">
      <w:pPr>
        <w:spacing w:before="120" w:after="120"/>
      </w:pPr>
      <w:r w:rsidRPr="00A12988">
        <w:t xml:space="preserve">However, the segment is not in the introductory stage anymore (Salah, 2026). The awareness of customers is high, the most popular brands, such as BMW, Tesla, or Mercedes-Benz, have already occupied their niche in EV, and the performance metrics. Simultaneously, the industry cannot be considered to be mature yet, as the technological, financial, and consumer acceptance are continuously evolving. As of 2025, hybrid-electric vehicles had a market share of 34.5 in the EU, which demonstrates that fully battery-electric cars are yet to become the settled norm (The Straits Times, 2026). Such a growth-level position poses an opportunity and a challenge in the example of the BMW i4. </w:t>
      </w:r>
    </w:p>
    <w:p w14:paraId="682763E3" w14:textId="77777777" w:rsidR="006C137B" w:rsidRPr="00A12988" w:rsidRDefault="006C137B"/>
    <w:p w14:paraId="4A2FF765" w14:textId="77777777" w:rsidR="006C137B" w:rsidRPr="00A12988" w:rsidRDefault="006C137B"/>
    <w:p w14:paraId="2D32C82A" w14:textId="77777777" w:rsidR="006C137B" w:rsidRPr="00A12988" w:rsidRDefault="00D71680" w:rsidP="00052158">
      <w:pPr>
        <w:pStyle w:val="Heading2"/>
      </w:pPr>
      <w:bookmarkStart w:id="15" w:name="_uqovjxbrmyl7" w:colFirst="0" w:colLast="0"/>
      <w:bookmarkStart w:id="16" w:name="_Toc228506450"/>
      <w:bookmarkEnd w:id="15"/>
      <w:r w:rsidRPr="00A12988">
        <w:t>Porter’s Industry Five Forces Analysis</w:t>
      </w:r>
      <w:bookmarkEnd w:id="16"/>
    </w:p>
    <w:p w14:paraId="1035D15F" w14:textId="77777777" w:rsidR="006C137B" w:rsidRPr="00A12988" w:rsidRDefault="00D71680">
      <w:r w:rsidRPr="00A12988">
        <w:t>It suggests that the BMW i4 is located in structurally challenging segments in the premium electric sedan segment. There is high competition, substitutes are substances and supplier power is rather high (</w:t>
      </w:r>
      <w:proofErr w:type="spellStart"/>
      <w:r w:rsidRPr="00A12988">
        <w:t>Wheelen</w:t>
      </w:r>
      <w:proofErr w:type="spellEnd"/>
      <w:r w:rsidRPr="00A12988">
        <w:t xml:space="preserve"> et al., 2018). The i4 cannot, therefore, rely on the mere market growth. BMW must be highly differentiated to compete successfully and safeguard its market share in this segment as its rivals are highly types of technology, well-established brand and efficient purchase of the batteries (Salah, 2026).</w:t>
      </w:r>
    </w:p>
    <w:p w14:paraId="7BADE261" w14:textId="45178BAD"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4</w:t>
      </w:r>
      <w:r w:rsidRPr="00A12988">
        <w:fldChar w:fldCharType="end"/>
      </w:r>
      <w:r w:rsidRPr="00A12988">
        <w:t xml:space="preserve"> Porter’s Industry Five Forces .</w:t>
      </w:r>
    </w:p>
    <w:tbl>
      <w:tblPr>
        <w:tblStyle w:val="a2"/>
        <w:tblW w:w="95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45"/>
        <w:gridCol w:w="1485"/>
        <w:gridCol w:w="6525"/>
      </w:tblGrid>
      <w:tr w:rsidR="006C137B" w:rsidRPr="00A12988" w14:paraId="1D18EA9A" w14:textId="77777777">
        <w:trPr>
          <w:trHeight w:val="450"/>
        </w:trPr>
        <w:tc>
          <w:tcPr>
            <w:tcW w:w="1545" w:type="dxa"/>
            <w:tcBorders>
              <w:top w:val="single" w:sz="11" w:space="0" w:color="002060"/>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58D29E45" w14:textId="77777777" w:rsidR="006C137B" w:rsidRPr="00A12988" w:rsidRDefault="00D71680">
            <w:pPr>
              <w:spacing w:before="240" w:after="160"/>
              <w:jc w:val="left"/>
              <w:rPr>
                <w:b/>
                <w:bCs/>
                <w:i/>
                <w:iCs/>
              </w:rPr>
            </w:pPr>
            <w:r w:rsidRPr="00A12988">
              <w:rPr>
                <w:b/>
                <w:bCs/>
                <w:i/>
                <w:iCs/>
              </w:rPr>
              <w:t>Force</w:t>
            </w:r>
          </w:p>
        </w:tc>
        <w:tc>
          <w:tcPr>
            <w:tcW w:w="148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230EA0CC" w14:textId="77777777" w:rsidR="006C137B" w:rsidRPr="00A12988" w:rsidRDefault="00D71680">
            <w:pPr>
              <w:spacing w:before="240" w:after="160"/>
              <w:rPr>
                <w:b/>
                <w:bCs/>
              </w:rPr>
            </w:pPr>
            <w:r w:rsidRPr="00A12988">
              <w:rPr>
                <w:b/>
                <w:bCs/>
              </w:rPr>
              <w:t>Assessment</w:t>
            </w:r>
          </w:p>
        </w:tc>
        <w:tc>
          <w:tcPr>
            <w:tcW w:w="652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033B82E3" w14:textId="77777777" w:rsidR="006C137B" w:rsidRPr="00A12988" w:rsidRDefault="00D71680">
            <w:pPr>
              <w:spacing w:before="240" w:after="160"/>
              <w:rPr>
                <w:b/>
                <w:bCs/>
              </w:rPr>
            </w:pPr>
            <w:r w:rsidRPr="00A12988">
              <w:rPr>
                <w:b/>
                <w:bCs/>
              </w:rPr>
              <w:t>Evidence and implication for BMW i4</w:t>
            </w:r>
          </w:p>
        </w:tc>
      </w:tr>
      <w:tr w:rsidR="006C137B" w:rsidRPr="00A12988" w14:paraId="6E8855B9" w14:textId="77777777">
        <w:trPr>
          <w:trHeight w:val="1470"/>
        </w:trPr>
        <w:tc>
          <w:tcPr>
            <w:tcW w:w="154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5FECC8E6" w14:textId="77777777" w:rsidR="006C137B" w:rsidRPr="00A12988" w:rsidRDefault="00D71680">
            <w:pPr>
              <w:spacing w:before="240" w:after="160"/>
              <w:jc w:val="right"/>
              <w:rPr>
                <w:b/>
                <w:bCs/>
                <w:i/>
                <w:iCs/>
              </w:rPr>
            </w:pPr>
            <w:r w:rsidRPr="00A12988">
              <w:rPr>
                <w:b/>
                <w:bCs/>
                <w:i/>
                <w:iCs/>
              </w:rPr>
              <w:t>Competitive rivalry</w:t>
            </w:r>
          </w:p>
        </w:tc>
        <w:tc>
          <w:tcPr>
            <w:tcW w:w="148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19E3FDD1" w14:textId="77777777" w:rsidR="006C137B" w:rsidRPr="00A12988" w:rsidRDefault="00D71680">
            <w:pPr>
              <w:spacing w:before="240" w:after="160"/>
              <w:rPr>
                <w:b/>
                <w:bCs/>
              </w:rPr>
            </w:pPr>
            <w:r w:rsidRPr="00A12988">
              <w:rPr>
                <w:b/>
                <w:bCs/>
              </w:rPr>
              <w:t>High</w:t>
            </w:r>
          </w:p>
        </w:tc>
        <w:tc>
          <w:tcPr>
            <w:tcW w:w="65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A8D01BB" w14:textId="77777777" w:rsidR="006C137B" w:rsidRPr="00A12988" w:rsidRDefault="00D71680">
            <w:pPr>
              <w:spacing w:before="240" w:after="160"/>
            </w:pPr>
            <w:r w:rsidRPr="00A12988">
              <w:t xml:space="preserve">The level of competition is high with fierce premium and tech-based companies. The WLTP of </w:t>
            </w:r>
            <w:proofErr w:type="spellStart"/>
            <w:r w:rsidRPr="00A12988">
              <w:t>Anevsely</w:t>
            </w:r>
            <w:proofErr w:type="spellEnd"/>
            <w:r w:rsidRPr="00A12988">
              <w:t>, the BMW i4 eDrive40 has 333-371 miles, and the Tesla Model 3 Long Range has 466 miles, and the Mercedes EQE 350+ has 422 miles (BMW UK, 2025).</w:t>
            </w:r>
          </w:p>
        </w:tc>
      </w:tr>
      <w:tr w:rsidR="006C137B" w:rsidRPr="00A12988" w14:paraId="474305FC" w14:textId="77777777">
        <w:trPr>
          <w:trHeight w:val="1740"/>
        </w:trPr>
        <w:tc>
          <w:tcPr>
            <w:tcW w:w="154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7F4D7E88" w14:textId="77777777" w:rsidR="006C137B" w:rsidRPr="00A12988" w:rsidRDefault="00D71680">
            <w:pPr>
              <w:spacing w:before="240" w:after="160"/>
              <w:jc w:val="right"/>
              <w:rPr>
                <w:b/>
                <w:bCs/>
                <w:i/>
                <w:iCs/>
              </w:rPr>
            </w:pPr>
            <w:r w:rsidRPr="00A12988">
              <w:rPr>
                <w:b/>
                <w:bCs/>
                <w:i/>
                <w:iCs/>
              </w:rPr>
              <w:t>Threat of new entrants</w:t>
            </w:r>
          </w:p>
        </w:tc>
        <w:tc>
          <w:tcPr>
            <w:tcW w:w="1485" w:type="dxa"/>
            <w:tcBorders>
              <w:top w:val="nil"/>
              <w:left w:val="nil"/>
              <w:bottom w:val="single" w:sz="11" w:space="0" w:color="002060"/>
              <w:right w:val="single" w:sz="11" w:space="0" w:color="002060"/>
            </w:tcBorders>
            <w:tcMar>
              <w:top w:w="0" w:type="dxa"/>
              <w:left w:w="100" w:type="dxa"/>
              <w:bottom w:w="0" w:type="dxa"/>
              <w:right w:w="100" w:type="dxa"/>
            </w:tcMar>
          </w:tcPr>
          <w:p w14:paraId="5AFC3000" w14:textId="77777777" w:rsidR="006C137B" w:rsidRPr="00A12988" w:rsidRDefault="00D71680">
            <w:pPr>
              <w:spacing w:before="240" w:after="160"/>
              <w:rPr>
                <w:b/>
                <w:bCs/>
              </w:rPr>
            </w:pPr>
            <w:r w:rsidRPr="00A12988">
              <w:rPr>
                <w:b/>
                <w:bCs/>
              </w:rPr>
              <w:t>Moderate</w:t>
            </w:r>
          </w:p>
        </w:tc>
        <w:tc>
          <w:tcPr>
            <w:tcW w:w="6525" w:type="dxa"/>
            <w:tcBorders>
              <w:top w:val="nil"/>
              <w:left w:val="nil"/>
              <w:bottom w:val="single" w:sz="11" w:space="0" w:color="002060"/>
              <w:right w:val="single" w:sz="11" w:space="0" w:color="002060"/>
            </w:tcBorders>
            <w:tcMar>
              <w:top w:w="0" w:type="dxa"/>
              <w:left w:w="100" w:type="dxa"/>
              <w:bottom w:w="0" w:type="dxa"/>
              <w:right w:w="100" w:type="dxa"/>
            </w:tcMar>
          </w:tcPr>
          <w:p w14:paraId="17CA4EF0" w14:textId="77777777" w:rsidR="006C137B" w:rsidRPr="00A12988" w:rsidRDefault="00D71680">
            <w:pPr>
              <w:spacing w:before="240" w:after="160"/>
            </w:pPr>
            <w:r w:rsidRPr="00A12988">
              <w:t>The industry barrier to entry is large because the scale, R&amp;D, software capacity, powerful branding, and capital to run the EVs are required (Nieto et al., 2024). Over 3/4 of all the batteries sold in the world are also made in China, and more than 70 percent of all the EV batteries made to date have been made in China (IEA, 2025).</w:t>
            </w:r>
          </w:p>
        </w:tc>
      </w:tr>
      <w:tr w:rsidR="006C137B" w:rsidRPr="00A12988" w14:paraId="7427FAAF" w14:textId="77777777">
        <w:trPr>
          <w:trHeight w:val="1980"/>
        </w:trPr>
        <w:tc>
          <w:tcPr>
            <w:tcW w:w="154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7149623F" w14:textId="77777777" w:rsidR="006C137B" w:rsidRPr="00A12988" w:rsidRDefault="00D71680">
            <w:pPr>
              <w:spacing w:before="240" w:after="160"/>
              <w:jc w:val="right"/>
              <w:rPr>
                <w:b/>
                <w:bCs/>
                <w:i/>
                <w:iCs/>
              </w:rPr>
            </w:pPr>
            <w:r w:rsidRPr="00A12988">
              <w:rPr>
                <w:b/>
                <w:bCs/>
                <w:i/>
                <w:iCs/>
              </w:rPr>
              <w:t>Threat of substitutes</w:t>
            </w:r>
          </w:p>
        </w:tc>
        <w:tc>
          <w:tcPr>
            <w:tcW w:w="148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274AF297" w14:textId="77777777" w:rsidR="006C137B" w:rsidRPr="00A12988" w:rsidRDefault="00D71680">
            <w:pPr>
              <w:spacing w:before="240" w:after="160"/>
              <w:rPr>
                <w:b/>
                <w:bCs/>
              </w:rPr>
            </w:pPr>
            <w:r w:rsidRPr="00A12988">
              <w:rPr>
                <w:b/>
                <w:bCs/>
              </w:rPr>
              <w:t>Moderate to high</w:t>
            </w:r>
          </w:p>
        </w:tc>
        <w:tc>
          <w:tcPr>
            <w:tcW w:w="65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01494D52" w14:textId="77777777" w:rsidR="006C137B" w:rsidRPr="00A12988" w:rsidRDefault="00D71680">
            <w:pPr>
              <w:spacing w:before="240" w:after="160"/>
            </w:pPr>
            <w:r w:rsidRPr="00A12988">
              <w:t>Hybrid cars, premium herald sedans, SUVs, and other body styles will be the most important alternatives. Hybrids in the European Union dominated 34.5% of the market share in 2025, and 17.4% of the BEVs (ACEA, 2026). In the BMW i4, this would imply that the car will justify its prices as compared to electric and non-electric models (</w:t>
            </w:r>
            <w:proofErr w:type="spellStart"/>
            <w:r w:rsidRPr="00A12988">
              <w:t>Skeete</w:t>
            </w:r>
            <w:proofErr w:type="spellEnd"/>
            <w:r w:rsidRPr="00A12988">
              <w:t xml:space="preserve"> et al., 2020).</w:t>
            </w:r>
          </w:p>
        </w:tc>
      </w:tr>
      <w:tr w:rsidR="006C137B" w:rsidRPr="00A12988" w14:paraId="1F3D780A" w14:textId="77777777">
        <w:trPr>
          <w:trHeight w:val="1980"/>
        </w:trPr>
        <w:tc>
          <w:tcPr>
            <w:tcW w:w="154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3CC8F8BF" w14:textId="77777777" w:rsidR="006C137B" w:rsidRPr="00A12988" w:rsidRDefault="00D71680">
            <w:pPr>
              <w:spacing w:before="240" w:after="160"/>
              <w:jc w:val="right"/>
              <w:rPr>
                <w:b/>
                <w:bCs/>
                <w:i/>
                <w:iCs/>
              </w:rPr>
            </w:pPr>
            <w:r w:rsidRPr="00A12988">
              <w:rPr>
                <w:b/>
                <w:bCs/>
                <w:i/>
                <w:iCs/>
              </w:rPr>
              <w:t>Buyer power</w:t>
            </w:r>
          </w:p>
        </w:tc>
        <w:tc>
          <w:tcPr>
            <w:tcW w:w="1485" w:type="dxa"/>
            <w:tcBorders>
              <w:top w:val="nil"/>
              <w:left w:val="nil"/>
              <w:bottom w:val="single" w:sz="11" w:space="0" w:color="002060"/>
              <w:right w:val="single" w:sz="11" w:space="0" w:color="002060"/>
            </w:tcBorders>
            <w:tcMar>
              <w:top w:w="0" w:type="dxa"/>
              <w:left w:w="100" w:type="dxa"/>
              <w:bottom w:w="0" w:type="dxa"/>
              <w:right w:w="100" w:type="dxa"/>
            </w:tcMar>
          </w:tcPr>
          <w:p w14:paraId="04FB8F6E" w14:textId="77777777" w:rsidR="006C137B" w:rsidRPr="00A12988" w:rsidRDefault="00D71680">
            <w:pPr>
              <w:spacing w:before="240" w:after="160"/>
              <w:rPr>
                <w:b/>
                <w:bCs/>
              </w:rPr>
            </w:pPr>
            <w:r w:rsidRPr="00A12988">
              <w:rPr>
                <w:b/>
                <w:bCs/>
              </w:rPr>
              <w:t>Moderate to high</w:t>
            </w:r>
          </w:p>
        </w:tc>
        <w:tc>
          <w:tcPr>
            <w:tcW w:w="6525" w:type="dxa"/>
            <w:tcBorders>
              <w:top w:val="nil"/>
              <w:left w:val="nil"/>
              <w:bottom w:val="single" w:sz="11" w:space="0" w:color="002060"/>
              <w:right w:val="single" w:sz="11" w:space="0" w:color="002060"/>
            </w:tcBorders>
            <w:tcMar>
              <w:top w:w="0" w:type="dxa"/>
              <w:left w:w="100" w:type="dxa"/>
              <w:bottom w:w="0" w:type="dxa"/>
              <w:right w:w="100" w:type="dxa"/>
            </w:tcMar>
          </w:tcPr>
          <w:p w14:paraId="41BA32D9" w14:textId="77777777" w:rsidR="006C137B" w:rsidRPr="00A12988" w:rsidRDefault="00D71680">
            <w:pPr>
              <w:spacing w:before="240" w:after="160"/>
            </w:pPr>
            <w:r w:rsidRPr="00A12988">
              <w:t>Customers are able to compare parameters, charge rates, electronic traits, and rate highly simply (Deloitte, 2026). There is a high EV information transparency and increasing public charging access. Europe had slightly above 1 million publicly charged points in 2024, and it helps reduce the dependency on a particular brand environment (IEA, 2025).</w:t>
            </w:r>
          </w:p>
        </w:tc>
      </w:tr>
      <w:tr w:rsidR="006C137B" w:rsidRPr="00A12988" w14:paraId="2F93535B" w14:textId="77777777">
        <w:trPr>
          <w:trHeight w:val="1980"/>
        </w:trPr>
        <w:tc>
          <w:tcPr>
            <w:tcW w:w="154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432DCDF" w14:textId="77777777" w:rsidR="006C137B" w:rsidRPr="00A12988" w:rsidRDefault="00D71680">
            <w:pPr>
              <w:spacing w:before="240" w:after="160"/>
              <w:jc w:val="right"/>
              <w:rPr>
                <w:b/>
                <w:bCs/>
                <w:i/>
                <w:iCs/>
              </w:rPr>
            </w:pPr>
            <w:r w:rsidRPr="00A12988">
              <w:rPr>
                <w:b/>
                <w:bCs/>
                <w:i/>
                <w:iCs/>
              </w:rPr>
              <w:t>Supplier power</w:t>
            </w:r>
          </w:p>
        </w:tc>
        <w:tc>
          <w:tcPr>
            <w:tcW w:w="148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7E500431" w14:textId="77777777" w:rsidR="006C137B" w:rsidRPr="00A12988" w:rsidRDefault="00D71680">
            <w:pPr>
              <w:spacing w:before="240" w:after="160"/>
              <w:rPr>
                <w:b/>
                <w:bCs/>
              </w:rPr>
            </w:pPr>
            <w:r w:rsidRPr="00A12988">
              <w:rPr>
                <w:b/>
                <w:bCs/>
              </w:rPr>
              <w:t>Moderate to high</w:t>
            </w:r>
          </w:p>
        </w:tc>
        <w:tc>
          <w:tcPr>
            <w:tcW w:w="65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EBDB9F2" w14:textId="77777777" w:rsidR="006C137B" w:rsidRPr="00A12988" w:rsidRDefault="00D71680">
            <w:pPr>
              <w:spacing w:before="240" w:after="160"/>
            </w:pPr>
            <w:r w:rsidRPr="00A12988">
              <w:t>The battery suppliers have a strong position based on a monopoly in the supply chain (Whittington et al., 2020). China has about 85% of the battery-making capacity in 2024, and one of the risks that the supply chain entails is market concentration (You, 2025). As one of the main sources of costs and performance, and product competitiveness of the BMW depend on the potential of suppliers.</w:t>
            </w:r>
          </w:p>
        </w:tc>
      </w:tr>
    </w:tbl>
    <w:p w14:paraId="41F186C0" w14:textId="77777777" w:rsidR="006C137B" w:rsidRPr="00A12988" w:rsidRDefault="006C137B"/>
    <w:p w14:paraId="69CB5288" w14:textId="77777777" w:rsidR="006C137B" w:rsidRPr="00A12988" w:rsidRDefault="00D71680">
      <w:r w:rsidRPr="00A12988">
        <w:br w:type="page"/>
      </w:r>
    </w:p>
    <w:p w14:paraId="382A22FE" w14:textId="77777777" w:rsidR="006C137B" w:rsidRPr="00A12988" w:rsidRDefault="00D71680" w:rsidP="00052158">
      <w:pPr>
        <w:pStyle w:val="Heading1"/>
      </w:pPr>
      <w:bookmarkStart w:id="17" w:name="_8geli5hnwc6i" w:colFirst="0" w:colLast="0"/>
      <w:bookmarkStart w:id="18" w:name="_Toc228506451"/>
      <w:bookmarkEnd w:id="17"/>
      <w:r w:rsidRPr="00A12988">
        <w:t>Internal Analysis</w:t>
      </w:r>
      <w:bookmarkEnd w:id="18"/>
    </w:p>
    <w:p w14:paraId="438D4037" w14:textId="77777777" w:rsidR="006C137B" w:rsidRPr="00A12988" w:rsidRDefault="00D71680" w:rsidP="00052158">
      <w:pPr>
        <w:pStyle w:val="Heading2"/>
      </w:pPr>
      <w:bookmarkStart w:id="19" w:name="_rmu4cxkjz35b" w:colFirst="0" w:colLast="0"/>
      <w:bookmarkStart w:id="20" w:name="_Toc228506452"/>
      <w:bookmarkEnd w:id="19"/>
      <w:r w:rsidRPr="00A12988">
        <w:t>BMW’s Strategic Resources and Capabilities</w:t>
      </w:r>
      <w:bookmarkEnd w:id="20"/>
    </w:p>
    <w:p w14:paraId="1CE564EF" w14:textId="77777777" w:rsidR="006C137B" w:rsidRPr="00A12988" w:rsidRDefault="00D71680">
      <w:pPr>
        <w:spacing w:before="120" w:after="120"/>
      </w:pPr>
      <w:r w:rsidRPr="00A12988">
        <w:t>BMW possesses the strategic resources and capabilities that can assist it to remain at the forefront of the competition in the high-end automotive sector, especially the emerging electric vehicle (EV) industry (</w:t>
      </w:r>
      <w:proofErr w:type="spellStart"/>
      <w:r w:rsidRPr="00A12988">
        <w:t>Kukkamalla</w:t>
      </w:r>
      <w:proofErr w:type="spellEnd"/>
      <w:r w:rsidRPr="00A12988">
        <w:t xml:space="preserve"> et al., 2021).</w:t>
      </w:r>
    </w:p>
    <w:p w14:paraId="34576F4F" w14:textId="6A728F95" w:rsidR="004B7C94" w:rsidRPr="00A12988" w:rsidRDefault="004B7C94" w:rsidP="004B7C94">
      <w:pPr>
        <w:spacing w:before="120" w:after="120"/>
        <w:jc w:val="center"/>
      </w:pPr>
      <w:r w:rsidRPr="00A12988">
        <w:rPr>
          <w:noProof/>
        </w:rPr>
        <w:drawing>
          <wp:inline distT="0" distB="0" distL="0" distR="0" wp14:anchorId="301EBABD" wp14:editId="12268E41">
            <wp:extent cx="5540581" cy="2770291"/>
            <wp:effectExtent l="0" t="0" r="3175" b="0"/>
            <wp:docPr id="10661527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59108" cy="2779554"/>
                    </a:xfrm>
                    <a:prstGeom prst="rect">
                      <a:avLst/>
                    </a:prstGeom>
                    <a:noFill/>
                  </pic:spPr>
                </pic:pic>
              </a:graphicData>
            </a:graphic>
          </wp:inline>
        </w:drawing>
      </w:r>
    </w:p>
    <w:p w14:paraId="7E28BB34" w14:textId="0A2ECFC7" w:rsidR="004B7C94" w:rsidRPr="00A12988" w:rsidRDefault="004B7C94" w:rsidP="004B7C94">
      <w:pPr>
        <w:pStyle w:val="Caption"/>
      </w:pPr>
      <w:r w:rsidRPr="00A12988">
        <w:t xml:space="preserve">Figure </w:t>
      </w:r>
      <w:r w:rsidRPr="00A12988">
        <w:fldChar w:fldCharType="begin"/>
      </w:r>
      <w:r w:rsidRPr="00A12988">
        <w:instrText xml:space="preserve"> SEQ Figure \* ARABIC </w:instrText>
      </w:r>
      <w:r w:rsidRPr="00A12988">
        <w:fldChar w:fldCharType="separate"/>
      </w:r>
      <w:r w:rsidRPr="00A12988">
        <w:rPr>
          <w:noProof/>
        </w:rPr>
        <w:t>3</w:t>
      </w:r>
      <w:r w:rsidRPr="00A12988">
        <w:fldChar w:fldCharType="end"/>
      </w:r>
      <w:r w:rsidRPr="00A12988">
        <w:t xml:space="preserve"> BMW over the time (</w:t>
      </w:r>
      <w:proofErr w:type="spellStart"/>
      <w:r w:rsidRPr="00A12988">
        <w:t>Sushmith</w:t>
      </w:r>
      <w:proofErr w:type="spellEnd"/>
      <w:r w:rsidRPr="00A12988">
        <w:t>, 2024).</w:t>
      </w:r>
    </w:p>
    <w:p w14:paraId="275DEE55" w14:textId="77777777" w:rsidR="006C137B" w:rsidRPr="00A12988" w:rsidRDefault="00D71680">
      <w:pPr>
        <w:numPr>
          <w:ilvl w:val="0"/>
          <w:numId w:val="3"/>
        </w:numPr>
        <w:spacing w:before="120"/>
      </w:pPr>
      <w:r w:rsidRPr="00A12988">
        <w:rPr>
          <w:b/>
          <w:bCs/>
        </w:rPr>
        <w:t xml:space="preserve">Brand Reputation: </w:t>
      </w:r>
      <w:r w:rsidRPr="00A12988">
        <w:t>BMW is known to be luxurious, performance-oriented, and innovative, and has generated a good brand equity, which scores high with any high-class consumer in the world (Salah, 2026).</w:t>
      </w:r>
    </w:p>
    <w:p w14:paraId="598CED9F" w14:textId="77777777" w:rsidR="006C137B" w:rsidRPr="00A12988" w:rsidRDefault="00D71680">
      <w:pPr>
        <w:numPr>
          <w:ilvl w:val="0"/>
          <w:numId w:val="3"/>
        </w:numPr>
      </w:pPr>
      <w:r w:rsidRPr="00A12988">
        <w:rPr>
          <w:b/>
          <w:bCs/>
        </w:rPr>
        <w:t xml:space="preserve">Advanced technologized </w:t>
      </w:r>
      <w:proofErr w:type="spellStart"/>
      <w:r w:rsidRPr="00A12988">
        <w:rPr>
          <w:b/>
          <w:bCs/>
        </w:rPr>
        <w:t>Modelum</w:t>
      </w:r>
      <w:proofErr w:type="spellEnd"/>
      <w:r w:rsidRPr="00A12988">
        <w:rPr>
          <w:b/>
          <w:bCs/>
        </w:rPr>
        <w:t xml:space="preserve"> Industries:</w:t>
      </w:r>
      <w:r w:rsidRPr="00A12988">
        <w:t xml:space="preserve"> BMW </w:t>
      </w:r>
      <w:proofErr w:type="spellStart"/>
      <w:r w:rsidRPr="00A12988">
        <w:t>Modelum</w:t>
      </w:r>
      <w:proofErr w:type="spellEnd"/>
      <w:r w:rsidRPr="00A12988">
        <w:t xml:space="preserve"> Industries also boasts of state-of-the-art manufacturing facilities like the one located in Germany and the U.S., which make it easier to produce and scale EV products like the i4.</w:t>
      </w:r>
    </w:p>
    <w:p w14:paraId="0E84D630" w14:textId="77777777" w:rsidR="006C137B" w:rsidRPr="00A12988" w:rsidRDefault="00D71680">
      <w:pPr>
        <w:numPr>
          <w:ilvl w:val="0"/>
          <w:numId w:val="3"/>
        </w:numPr>
      </w:pPr>
      <w:r w:rsidRPr="00A12988">
        <w:rPr>
          <w:b/>
          <w:bCs/>
        </w:rPr>
        <w:t>Engineering and R&amp;D Excellence:</w:t>
      </w:r>
      <w:r w:rsidRPr="00A12988">
        <w:t xml:space="preserve"> The firm has put much investment in research and development, especially in EV technology, autonomous driving, and performance, which provides it with a competitive advantage when it comes to innovation (Whittington et al., 2020).</w:t>
      </w:r>
    </w:p>
    <w:p w14:paraId="1919B8B8" w14:textId="77777777" w:rsidR="006C137B" w:rsidRPr="00A12988" w:rsidRDefault="00D71680">
      <w:pPr>
        <w:numPr>
          <w:ilvl w:val="0"/>
          <w:numId w:val="3"/>
        </w:numPr>
      </w:pPr>
      <w:r w:rsidRPr="00A12988">
        <w:rPr>
          <w:b/>
          <w:bCs/>
        </w:rPr>
        <w:t xml:space="preserve">Global Supply Chain: </w:t>
      </w:r>
      <w:r w:rsidRPr="00A12988">
        <w:t>BMW has an extensive and well-developed sourcing network for certain raw materials, such as batteries, which are quite vital in the manufacturing of EVs.</w:t>
      </w:r>
    </w:p>
    <w:p w14:paraId="0AD0370D" w14:textId="77777777" w:rsidR="006C137B" w:rsidRPr="00A12988" w:rsidRDefault="00D71680">
      <w:pPr>
        <w:numPr>
          <w:ilvl w:val="0"/>
          <w:numId w:val="3"/>
        </w:numPr>
        <w:spacing w:after="120"/>
      </w:pPr>
      <w:r w:rsidRPr="00A12988">
        <w:rPr>
          <w:b/>
          <w:bCs/>
        </w:rPr>
        <w:t>Sustainability and Circular Economy Projects:</w:t>
      </w:r>
      <w:r w:rsidRPr="00A12988">
        <w:t xml:space="preserve"> BMW is striving to go green, and its activities, including recycling, CO2-minimization, and the implementation of an eco-friendly production process, enhance its competitive dimension  (</w:t>
      </w:r>
      <w:proofErr w:type="spellStart"/>
      <w:r w:rsidRPr="00A12988">
        <w:t>Kukkamalla</w:t>
      </w:r>
      <w:proofErr w:type="spellEnd"/>
      <w:r w:rsidRPr="00A12988">
        <w:t xml:space="preserve"> et al., 2021).</w:t>
      </w:r>
    </w:p>
    <w:p w14:paraId="70DC96C8" w14:textId="77777777" w:rsidR="006C137B" w:rsidRPr="00A12988" w:rsidRDefault="00D71680">
      <w:pPr>
        <w:spacing w:before="120" w:after="120"/>
      </w:pPr>
      <w:r w:rsidRPr="00A12988">
        <w:t>These capabilities enable BMW to distinguish its products, uphold high prices, and demonstrate innovativeness in the EV industry.</w:t>
      </w:r>
    </w:p>
    <w:p w14:paraId="5991652D" w14:textId="77777777" w:rsidR="006C137B" w:rsidRPr="00A12988" w:rsidRDefault="006C137B"/>
    <w:p w14:paraId="39E34631" w14:textId="77777777" w:rsidR="006C137B" w:rsidRPr="00A12988" w:rsidRDefault="00D71680" w:rsidP="00052158">
      <w:pPr>
        <w:pStyle w:val="Heading2"/>
      </w:pPr>
      <w:bookmarkStart w:id="21" w:name="_yxtamg5i6vox" w:colFirst="0" w:colLast="0"/>
      <w:bookmarkStart w:id="22" w:name="_Toc228506453"/>
      <w:bookmarkEnd w:id="21"/>
      <w:r w:rsidRPr="00A12988">
        <w:t>Value Chain Analysis</w:t>
      </w:r>
      <w:bookmarkEnd w:id="22"/>
    </w:p>
    <w:p w14:paraId="5F088D48" w14:textId="77777777" w:rsidR="006C137B" w:rsidRPr="00A12988" w:rsidRDefault="00D71680">
      <w:r w:rsidRPr="00A12988">
        <w:t>The Value Chain Analysis of the BMW i4 produced by BMW reveals the way the company adds value by undertaking its core and support activities (Gamble et al., 2015). These practices help BMW in maintaining its competitive edge, as it provides high-quality production, innovation, and efficient delivery of its products to its customers.</w:t>
      </w:r>
    </w:p>
    <w:p w14:paraId="549E4244" w14:textId="2C2DF4BA" w:rsidR="004B7C94" w:rsidRPr="00A12988" w:rsidRDefault="004B7C94">
      <w:r w:rsidRPr="00A12988">
        <w:rPr>
          <w:noProof/>
        </w:rPr>
        <w:drawing>
          <wp:inline distT="0" distB="0" distL="0" distR="0" wp14:anchorId="0065E122" wp14:editId="7FC8EF33">
            <wp:extent cx="5731510" cy="2961640"/>
            <wp:effectExtent l="0" t="0" r="2540" b="0"/>
            <wp:docPr id="143951393"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lue Chain Analysis EXPLAINED with EXAMPLES | B2U"/>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61640"/>
                    </a:xfrm>
                    <a:prstGeom prst="rect">
                      <a:avLst/>
                    </a:prstGeom>
                    <a:noFill/>
                    <a:ln>
                      <a:noFill/>
                    </a:ln>
                  </pic:spPr>
                </pic:pic>
              </a:graphicData>
            </a:graphic>
          </wp:inline>
        </w:drawing>
      </w:r>
    </w:p>
    <w:p w14:paraId="00B58CFF" w14:textId="2914DFE4" w:rsidR="004B7C94" w:rsidRPr="00A12988" w:rsidRDefault="004B7C94" w:rsidP="004B7C94">
      <w:pPr>
        <w:pStyle w:val="Caption"/>
      </w:pPr>
      <w:r w:rsidRPr="00A12988">
        <w:t xml:space="preserve">Figure </w:t>
      </w:r>
      <w:r w:rsidRPr="00A12988">
        <w:fldChar w:fldCharType="begin"/>
      </w:r>
      <w:r w:rsidRPr="00A12988">
        <w:instrText xml:space="preserve"> SEQ Figure \* ARABIC </w:instrText>
      </w:r>
      <w:r w:rsidRPr="00A12988">
        <w:fldChar w:fldCharType="separate"/>
      </w:r>
      <w:r w:rsidRPr="00A12988">
        <w:rPr>
          <w:noProof/>
        </w:rPr>
        <w:t>4</w:t>
      </w:r>
      <w:r w:rsidRPr="00A12988">
        <w:fldChar w:fldCharType="end"/>
      </w:r>
      <w:r w:rsidRPr="00A12988">
        <w:t xml:space="preserve">  Value Chain Analysis (Gamble et al., 2015).</w:t>
      </w:r>
    </w:p>
    <w:p w14:paraId="6620E7EF" w14:textId="77777777" w:rsidR="006C137B" w:rsidRPr="00A12988" w:rsidRDefault="00D71680">
      <w:pPr>
        <w:pStyle w:val="Heading3"/>
      </w:pPr>
      <w:bookmarkStart w:id="23" w:name="_a4gm85m00h94" w:colFirst="0" w:colLast="0"/>
      <w:bookmarkStart w:id="24" w:name="_Toc228506454"/>
      <w:bookmarkEnd w:id="23"/>
      <w:r w:rsidRPr="00A12988">
        <w:t>Primary Activities</w:t>
      </w:r>
      <w:bookmarkEnd w:id="24"/>
    </w:p>
    <w:p w14:paraId="176EA16E" w14:textId="77777777" w:rsidR="006C137B" w:rsidRPr="00A12988" w:rsidRDefault="00D71680">
      <w:pPr>
        <w:numPr>
          <w:ilvl w:val="0"/>
          <w:numId w:val="1"/>
        </w:numPr>
      </w:pPr>
      <w:r w:rsidRPr="00A12988">
        <w:rPr>
          <w:b/>
          <w:bCs/>
        </w:rPr>
        <w:t>Inbound Logistics:</w:t>
      </w:r>
      <w:r w:rsidRPr="00A12988">
        <w:t xml:space="preserve"> BMW procures the quality batteries within the locally provided mechanisms to include CATL and Samsung SDI networks, which ensure the scope and performance of the i4  (</w:t>
      </w:r>
      <w:proofErr w:type="spellStart"/>
      <w:r w:rsidRPr="00A12988">
        <w:t>Kukkamalla</w:t>
      </w:r>
      <w:proofErr w:type="spellEnd"/>
      <w:r w:rsidRPr="00A12988">
        <w:t xml:space="preserve"> et al., 2021).. BMW is also targeting ethical sourcing, particularly of rare materials, such as lithium and cobalt, which are key in the manufacturing of EVs.</w:t>
      </w:r>
    </w:p>
    <w:p w14:paraId="0A33B821" w14:textId="77777777" w:rsidR="006C137B" w:rsidRPr="00A12988" w:rsidRDefault="00D71680">
      <w:pPr>
        <w:numPr>
          <w:ilvl w:val="0"/>
          <w:numId w:val="1"/>
        </w:numPr>
      </w:pPr>
      <w:r w:rsidRPr="00A12988">
        <w:rPr>
          <w:b/>
          <w:bCs/>
        </w:rPr>
        <w:t>Operations:</w:t>
      </w:r>
      <w:r w:rsidRPr="00A12988">
        <w:t xml:space="preserve"> BMW Munich Plant and other locations around the world produce the i4. The process of manufacture is streamlined to be efficient and concerned with sustainability (Barney and </w:t>
      </w:r>
      <w:proofErr w:type="spellStart"/>
      <w:r w:rsidRPr="00A12988">
        <w:t>Hesterly</w:t>
      </w:r>
      <w:proofErr w:type="spellEnd"/>
      <w:r w:rsidRPr="00A12988">
        <w:t>, 2015). Testing procedures are very stringent to ensure every BMW i4 possesses the capabilities to meet the high standards of this brand.</w:t>
      </w:r>
    </w:p>
    <w:p w14:paraId="7D2B822E" w14:textId="77777777" w:rsidR="006C137B" w:rsidRPr="00A12988" w:rsidRDefault="00D71680">
      <w:pPr>
        <w:numPr>
          <w:ilvl w:val="0"/>
          <w:numId w:val="1"/>
        </w:numPr>
      </w:pPr>
      <w:r w:rsidRPr="00A12988">
        <w:rPr>
          <w:b/>
          <w:bCs/>
        </w:rPr>
        <w:t>Outbound Logistics:</w:t>
      </w:r>
      <w:r w:rsidRPr="00A12988">
        <w:t xml:space="preserve"> Global distribution network: BMW is utilizing its worldwide system of dealerships and internet sites in order to market the i4 (</w:t>
      </w:r>
      <w:proofErr w:type="spellStart"/>
      <w:r w:rsidRPr="00A12988">
        <w:t>Zang</w:t>
      </w:r>
      <w:proofErr w:type="spellEnd"/>
      <w:r w:rsidRPr="00A12988">
        <w:t xml:space="preserve"> et al., 2025). Goods will have effective logistics that will deliver goods in time to the European, North American, and Asian markets.</w:t>
      </w:r>
    </w:p>
    <w:p w14:paraId="092E27C2" w14:textId="77777777" w:rsidR="006C137B" w:rsidRPr="00A12988" w:rsidRDefault="00D71680">
      <w:pPr>
        <w:numPr>
          <w:ilvl w:val="0"/>
          <w:numId w:val="1"/>
        </w:numPr>
      </w:pPr>
      <w:r w:rsidRPr="00A12988">
        <w:rPr>
          <w:b/>
          <w:bCs/>
        </w:rPr>
        <w:t xml:space="preserve">Marketing &amp; Sales: </w:t>
      </w:r>
      <w:r w:rsidRPr="00A12988">
        <w:t>BMW positions the i4 as an electric vehicle that could be a high-performance (premium) vehicle. BMW offers customers a personalized experience, showrooms, and digital tools of engagement, letting customers display their i4 in a customized way (Salah, 2026).</w:t>
      </w:r>
    </w:p>
    <w:p w14:paraId="4AB7F97E" w14:textId="77777777" w:rsidR="006C137B" w:rsidRPr="00A12988" w:rsidRDefault="00D71680">
      <w:pPr>
        <w:numPr>
          <w:ilvl w:val="0"/>
          <w:numId w:val="1"/>
        </w:numPr>
      </w:pPr>
      <w:r w:rsidRPr="00A12988">
        <w:rPr>
          <w:b/>
          <w:bCs/>
        </w:rPr>
        <w:t xml:space="preserve">Service: </w:t>
      </w:r>
      <w:r w:rsidRPr="00A12988">
        <w:t>BMW has a variety of services, including maintenance services, warranty packages, and software upgrades, in an effort to guarantee long-term consumer satisfaction.</w:t>
      </w:r>
    </w:p>
    <w:p w14:paraId="0EEB4393" w14:textId="77777777" w:rsidR="006C137B" w:rsidRPr="00A12988" w:rsidRDefault="006C137B"/>
    <w:p w14:paraId="728C07FC" w14:textId="77777777" w:rsidR="006C137B" w:rsidRPr="00A12988" w:rsidRDefault="00D71680">
      <w:pPr>
        <w:pStyle w:val="Heading3"/>
      </w:pPr>
      <w:bookmarkStart w:id="25" w:name="_vstidpyxql3" w:colFirst="0" w:colLast="0"/>
      <w:bookmarkStart w:id="26" w:name="_Toc228506455"/>
      <w:bookmarkEnd w:id="25"/>
      <w:r w:rsidRPr="00A12988">
        <w:t>Secondary Activities</w:t>
      </w:r>
      <w:bookmarkEnd w:id="26"/>
    </w:p>
    <w:p w14:paraId="011B477C" w14:textId="77777777" w:rsidR="006C137B" w:rsidRPr="00A12988" w:rsidRDefault="00D71680">
      <w:pPr>
        <w:numPr>
          <w:ilvl w:val="0"/>
          <w:numId w:val="4"/>
        </w:numPr>
      </w:pPr>
      <w:r w:rsidRPr="00A12988">
        <w:rPr>
          <w:b/>
          <w:bCs/>
        </w:rPr>
        <w:t xml:space="preserve">Firm Infrastructure: </w:t>
      </w:r>
      <w:r w:rsidRPr="00A12988">
        <w:t>The disintegrated character of the management framework at BMW enables the enterprise to be bilingual in fulfilling the needs of the regional markets (Gamble et al., 2015). The reason is that the good financial performance of BMW can enable it to invest in the research and development process.</w:t>
      </w:r>
    </w:p>
    <w:p w14:paraId="0E921A1F" w14:textId="77777777" w:rsidR="006C137B" w:rsidRPr="00A12988" w:rsidRDefault="00D71680">
      <w:pPr>
        <w:numPr>
          <w:ilvl w:val="0"/>
          <w:numId w:val="4"/>
        </w:numPr>
      </w:pPr>
      <w:r w:rsidRPr="00A12988">
        <w:rPr>
          <w:b/>
          <w:bCs/>
        </w:rPr>
        <w:t xml:space="preserve">Human Resource Management: </w:t>
      </w:r>
      <w:r w:rsidRPr="00A12988">
        <w:t>To take the lead in the technological game in EVs, BMW has employed the finest engineering, design, and software creation skills. The continuous training program equips the employees with information on the new mechanical technologies, including electric propulsion (Hill et al., 2017).</w:t>
      </w:r>
    </w:p>
    <w:p w14:paraId="1600C1FA" w14:textId="77777777" w:rsidR="006C137B" w:rsidRPr="00A12988" w:rsidRDefault="00D71680">
      <w:pPr>
        <w:numPr>
          <w:ilvl w:val="0"/>
          <w:numId w:val="4"/>
        </w:numPr>
      </w:pPr>
      <w:r w:rsidRPr="00A12988">
        <w:rPr>
          <w:b/>
          <w:bCs/>
        </w:rPr>
        <w:t xml:space="preserve">Technology Development: </w:t>
      </w:r>
      <w:r w:rsidRPr="00A12988">
        <w:t xml:space="preserve">BMW has spent a lot on research and development to produce new EV technology, such as </w:t>
      </w:r>
      <w:proofErr w:type="spellStart"/>
      <w:r w:rsidRPr="00A12988">
        <w:t>iDrive</w:t>
      </w:r>
      <w:proofErr w:type="spellEnd"/>
      <w:r w:rsidRPr="00A12988">
        <w:t xml:space="preserve"> 8 infotainment, that promotes the user experience of the i4. To reinforce the message about i4 being eco-friendly, BMW focuses on ensuring that its production process is more carbon-neutral (</w:t>
      </w:r>
      <w:proofErr w:type="spellStart"/>
      <w:r w:rsidRPr="00A12988">
        <w:t>Electrive</w:t>
      </w:r>
      <w:proofErr w:type="spellEnd"/>
      <w:r w:rsidRPr="00A12988">
        <w:t>, 2026).</w:t>
      </w:r>
    </w:p>
    <w:p w14:paraId="361E40F7" w14:textId="77777777" w:rsidR="006C137B" w:rsidRPr="00A12988" w:rsidRDefault="00D71680">
      <w:pPr>
        <w:numPr>
          <w:ilvl w:val="0"/>
          <w:numId w:val="4"/>
        </w:numPr>
      </w:pPr>
      <w:r w:rsidRPr="00A12988">
        <w:rPr>
          <w:b/>
          <w:bCs/>
        </w:rPr>
        <w:t>Procurement:</w:t>
      </w:r>
      <w:r w:rsidRPr="00A12988">
        <w:t xml:space="preserve"> BMW's procurement department obtains high-quality materials and components that meet its sustainability objectives, which ensure the high performance of the vehicles (</w:t>
      </w:r>
      <w:proofErr w:type="spellStart"/>
      <w:r w:rsidRPr="00A12988">
        <w:t>Zang</w:t>
      </w:r>
      <w:proofErr w:type="spellEnd"/>
      <w:r w:rsidRPr="00A12988">
        <w:t xml:space="preserve"> et al., 2025).</w:t>
      </w:r>
    </w:p>
    <w:p w14:paraId="41AF1B36" w14:textId="77777777" w:rsidR="006C137B" w:rsidRPr="00A12988" w:rsidRDefault="006C137B"/>
    <w:p w14:paraId="75B3AFBF" w14:textId="77777777" w:rsidR="006C137B" w:rsidRPr="00A12988" w:rsidRDefault="00D71680">
      <w:r w:rsidRPr="00A12988">
        <w:t>The provided value chain assists BMW in sustaining its competitive edge that has ensured the quality and innovations of the product and robust brand in the premium EV sector.</w:t>
      </w:r>
    </w:p>
    <w:p w14:paraId="096A1705" w14:textId="77777777" w:rsidR="006C137B" w:rsidRPr="00A12988" w:rsidRDefault="006C137B"/>
    <w:p w14:paraId="4601CC32" w14:textId="77777777" w:rsidR="006C137B" w:rsidRPr="00A12988" w:rsidRDefault="00D71680" w:rsidP="00052158">
      <w:pPr>
        <w:pStyle w:val="Heading2"/>
      </w:pPr>
      <w:bookmarkStart w:id="27" w:name="_422nejaylzzp" w:colFirst="0" w:colLast="0"/>
      <w:bookmarkStart w:id="28" w:name="_Toc228506456"/>
      <w:bookmarkEnd w:id="27"/>
      <w:r w:rsidRPr="00A12988">
        <w:t>VRIO Analysis of Distinctive Resources and Capabilities</w:t>
      </w:r>
      <w:bookmarkEnd w:id="28"/>
    </w:p>
    <w:p w14:paraId="4E03688A" w14:textId="77777777" w:rsidR="006C137B" w:rsidRPr="00A12988" w:rsidRDefault="00D71680">
      <w:pPr>
        <w:spacing w:before="120" w:after="120"/>
      </w:pPr>
      <w:r w:rsidRPr="00A12988">
        <w:t>The unique resources and capabilities of BMW play a crucial role in the competitiveness of the i4 in the premium segment of the electric vehicle market (Bailey et al., 2018). Using the VRIO model would help to assess these resources based on their value, rarity, imitability, and organizational support. The following table is a summary of the core resources and capabilities of BMW, which have made the i4 a success.</w:t>
      </w:r>
    </w:p>
    <w:p w14:paraId="73CE4FD2" w14:textId="780E7937"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5</w:t>
      </w:r>
      <w:r w:rsidRPr="00A12988">
        <w:fldChar w:fldCharType="end"/>
      </w:r>
      <w:r w:rsidRPr="00A12988">
        <w:t xml:space="preserve"> VRIO Analysis.</w:t>
      </w:r>
    </w:p>
    <w:tbl>
      <w:tblPr>
        <w:tblStyle w:val="a3"/>
        <w:tblW w:w="95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05"/>
        <w:gridCol w:w="1425"/>
        <w:gridCol w:w="1020"/>
        <w:gridCol w:w="1395"/>
        <w:gridCol w:w="1605"/>
        <w:gridCol w:w="1875"/>
      </w:tblGrid>
      <w:tr w:rsidR="006C137B" w:rsidRPr="00A12988" w14:paraId="4BEB39FC" w14:textId="77777777">
        <w:trPr>
          <w:trHeight w:val="705"/>
        </w:trPr>
        <w:tc>
          <w:tcPr>
            <w:tcW w:w="2205" w:type="dxa"/>
            <w:tcBorders>
              <w:top w:val="single" w:sz="11" w:space="0" w:color="002060"/>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CD91563" w14:textId="77777777" w:rsidR="006C137B" w:rsidRPr="00A12988" w:rsidRDefault="00D71680">
            <w:pPr>
              <w:spacing w:before="240" w:after="160"/>
              <w:jc w:val="left"/>
              <w:rPr>
                <w:b/>
                <w:bCs/>
                <w:i/>
                <w:iCs/>
              </w:rPr>
            </w:pPr>
            <w:r w:rsidRPr="00A12988">
              <w:rPr>
                <w:b/>
                <w:bCs/>
                <w:i/>
                <w:iCs/>
              </w:rPr>
              <w:t>Features/Resources</w:t>
            </w:r>
          </w:p>
        </w:tc>
        <w:tc>
          <w:tcPr>
            <w:tcW w:w="142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3F165899" w14:textId="77777777" w:rsidR="006C137B" w:rsidRPr="00A12988" w:rsidRDefault="00D71680">
            <w:pPr>
              <w:spacing w:before="240" w:after="160"/>
              <w:rPr>
                <w:b/>
                <w:bCs/>
              </w:rPr>
            </w:pPr>
            <w:r w:rsidRPr="00A12988">
              <w:rPr>
                <w:b/>
                <w:bCs/>
              </w:rPr>
              <w:t>V (Valuable?)</w:t>
            </w:r>
          </w:p>
        </w:tc>
        <w:tc>
          <w:tcPr>
            <w:tcW w:w="1020"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5751B30F" w14:textId="77777777" w:rsidR="006C137B" w:rsidRPr="00A12988" w:rsidRDefault="00D71680">
            <w:pPr>
              <w:spacing w:before="240" w:after="160"/>
              <w:rPr>
                <w:b/>
                <w:bCs/>
              </w:rPr>
            </w:pPr>
            <w:r w:rsidRPr="00A12988">
              <w:rPr>
                <w:b/>
                <w:bCs/>
              </w:rPr>
              <w:t>R (Rare?)</w:t>
            </w:r>
          </w:p>
        </w:tc>
        <w:tc>
          <w:tcPr>
            <w:tcW w:w="139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744F193E" w14:textId="77777777" w:rsidR="006C137B" w:rsidRPr="00A12988" w:rsidRDefault="00D71680">
            <w:pPr>
              <w:spacing w:before="240" w:after="160"/>
              <w:rPr>
                <w:b/>
                <w:bCs/>
              </w:rPr>
            </w:pPr>
            <w:r w:rsidRPr="00A12988">
              <w:rPr>
                <w:b/>
                <w:bCs/>
              </w:rPr>
              <w:t>I (Imitable?)</w:t>
            </w:r>
          </w:p>
        </w:tc>
        <w:tc>
          <w:tcPr>
            <w:tcW w:w="160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198854B7" w14:textId="77777777" w:rsidR="006C137B" w:rsidRPr="00A12988" w:rsidRDefault="00D71680">
            <w:pPr>
              <w:spacing w:before="240" w:after="160"/>
              <w:rPr>
                <w:b/>
                <w:bCs/>
              </w:rPr>
            </w:pPr>
            <w:r w:rsidRPr="00A12988">
              <w:rPr>
                <w:b/>
                <w:bCs/>
              </w:rPr>
              <w:t>O (Organized?)</w:t>
            </w:r>
          </w:p>
        </w:tc>
        <w:tc>
          <w:tcPr>
            <w:tcW w:w="1875" w:type="dxa"/>
            <w:tcBorders>
              <w:top w:val="single" w:sz="11" w:space="0" w:color="002060"/>
              <w:left w:val="nil"/>
              <w:bottom w:val="single" w:sz="11" w:space="0" w:color="002060"/>
              <w:right w:val="single" w:sz="11" w:space="0" w:color="002060"/>
            </w:tcBorders>
            <w:shd w:val="clear" w:color="auto" w:fill="FFFFFF"/>
            <w:tcMar>
              <w:top w:w="0" w:type="dxa"/>
              <w:left w:w="100" w:type="dxa"/>
              <w:bottom w:w="0" w:type="dxa"/>
              <w:right w:w="100" w:type="dxa"/>
            </w:tcMar>
          </w:tcPr>
          <w:p w14:paraId="1E26A741" w14:textId="77777777" w:rsidR="006C137B" w:rsidRPr="00A12988" w:rsidRDefault="00D71680">
            <w:pPr>
              <w:spacing w:before="240" w:after="160"/>
              <w:rPr>
                <w:b/>
                <w:bCs/>
              </w:rPr>
            </w:pPr>
            <w:r w:rsidRPr="00A12988">
              <w:rPr>
                <w:b/>
                <w:bCs/>
              </w:rPr>
              <w:t>Competitive Result</w:t>
            </w:r>
          </w:p>
        </w:tc>
      </w:tr>
      <w:tr w:rsidR="006C137B" w:rsidRPr="00A12988" w14:paraId="59D3189C"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A1C5C6E" w14:textId="77777777" w:rsidR="006C137B" w:rsidRPr="00A12988" w:rsidRDefault="00D71680">
            <w:pPr>
              <w:spacing w:before="240" w:after="160"/>
              <w:jc w:val="right"/>
              <w:rPr>
                <w:b/>
                <w:bCs/>
                <w:i/>
                <w:iCs/>
              </w:rPr>
            </w:pPr>
            <w:r w:rsidRPr="00A12988">
              <w:rPr>
                <w:b/>
                <w:bCs/>
                <w:i/>
                <w:iCs/>
              </w:rPr>
              <w:t>Brand Reputation</w:t>
            </w:r>
          </w:p>
        </w:tc>
        <w:tc>
          <w:tcPr>
            <w:tcW w:w="1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D12A04E"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E9CC0F4"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3EA32AB4" w14:textId="77777777" w:rsidR="006C137B" w:rsidRPr="00A12988" w:rsidRDefault="00D71680">
            <w:pPr>
              <w:spacing w:before="240" w:after="160"/>
              <w:rPr>
                <w:b/>
                <w:bCs/>
              </w:rPr>
            </w:pPr>
            <w:r w:rsidRPr="00A12988">
              <w:rPr>
                <w:b/>
                <w:bCs/>
              </w:rPr>
              <w:t>X</w:t>
            </w:r>
          </w:p>
        </w:tc>
        <w:tc>
          <w:tcPr>
            <w:tcW w:w="160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14AA21F8"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DE5F41E" w14:textId="77777777" w:rsidR="006C137B" w:rsidRPr="00A12988" w:rsidRDefault="00D71680">
            <w:pPr>
              <w:spacing w:before="240" w:after="160"/>
              <w:rPr>
                <w:b/>
                <w:bCs/>
              </w:rPr>
            </w:pPr>
            <w:r w:rsidRPr="00A12988">
              <w:rPr>
                <w:b/>
                <w:bCs/>
              </w:rPr>
              <w:t>Sustainable Competitive Advantage</w:t>
            </w:r>
          </w:p>
        </w:tc>
      </w:tr>
      <w:tr w:rsidR="006C137B" w:rsidRPr="00A12988" w14:paraId="0A848362"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264003A" w14:textId="77777777" w:rsidR="006C137B" w:rsidRPr="00A12988" w:rsidRDefault="00D71680">
            <w:pPr>
              <w:spacing w:before="240" w:after="160"/>
              <w:jc w:val="right"/>
              <w:rPr>
                <w:b/>
                <w:bCs/>
                <w:i/>
                <w:iCs/>
              </w:rPr>
            </w:pPr>
            <w:r w:rsidRPr="00A12988">
              <w:rPr>
                <w:b/>
                <w:bCs/>
                <w:i/>
                <w:iCs/>
              </w:rPr>
              <w:t>Engineering Excellence (R&amp;D)</w:t>
            </w:r>
          </w:p>
        </w:tc>
        <w:tc>
          <w:tcPr>
            <w:tcW w:w="1425" w:type="dxa"/>
            <w:tcBorders>
              <w:top w:val="nil"/>
              <w:left w:val="nil"/>
              <w:bottom w:val="single" w:sz="11" w:space="0" w:color="002060"/>
              <w:right w:val="single" w:sz="11" w:space="0" w:color="002060"/>
            </w:tcBorders>
            <w:tcMar>
              <w:top w:w="0" w:type="dxa"/>
              <w:left w:w="100" w:type="dxa"/>
              <w:bottom w:w="0" w:type="dxa"/>
              <w:right w:w="100" w:type="dxa"/>
            </w:tcMar>
          </w:tcPr>
          <w:p w14:paraId="21696599"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tcMar>
              <w:top w:w="0" w:type="dxa"/>
              <w:left w:w="100" w:type="dxa"/>
              <w:bottom w:w="0" w:type="dxa"/>
              <w:right w:w="100" w:type="dxa"/>
            </w:tcMar>
          </w:tcPr>
          <w:p w14:paraId="636B5EB8"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tcMar>
              <w:top w:w="0" w:type="dxa"/>
              <w:left w:w="100" w:type="dxa"/>
              <w:bottom w:w="0" w:type="dxa"/>
              <w:right w:w="100" w:type="dxa"/>
            </w:tcMar>
          </w:tcPr>
          <w:p w14:paraId="291DA544" w14:textId="77777777" w:rsidR="006C137B" w:rsidRPr="00A12988" w:rsidRDefault="00D71680">
            <w:pPr>
              <w:spacing w:before="240" w:after="160"/>
              <w:rPr>
                <w:b/>
                <w:bCs/>
              </w:rPr>
            </w:pPr>
            <w:r w:rsidRPr="00A12988">
              <w:rPr>
                <w:b/>
                <w:bCs/>
              </w:rPr>
              <w:t>X</w:t>
            </w:r>
          </w:p>
        </w:tc>
        <w:tc>
          <w:tcPr>
            <w:tcW w:w="1605" w:type="dxa"/>
            <w:tcBorders>
              <w:top w:val="nil"/>
              <w:left w:val="nil"/>
              <w:bottom w:val="single" w:sz="11" w:space="0" w:color="002060"/>
              <w:right w:val="single" w:sz="11" w:space="0" w:color="002060"/>
            </w:tcBorders>
            <w:tcMar>
              <w:top w:w="0" w:type="dxa"/>
              <w:left w:w="100" w:type="dxa"/>
              <w:bottom w:w="0" w:type="dxa"/>
              <w:right w:w="100" w:type="dxa"/>
            </w:tcMar>
          </w:tcPr>
          <w:p w14:paraId="7159F52C"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tcMar>
              <w:top w:w="0" w:type="dxa"/>
              <w:left w:w="100" w:type="dxa"/>
              <w:bottom w:w="0" w:type="dxa"/>
              <w:right w:w="100" w:type="dxa"/>
            </w:tcMar>
          </w:tcPr>
          <w:p w14:paraId="231F802A" w14:textId="77777777" w:rsidR="006C137B" w:rsidRPr="00A12988" w:rsidRDefault="00D71680">
            <w:pPr>
              <w:spacing w:before="240" w:after="160"/>
              <w:rPr>
                <w:b/>
                <w:bCs/>
              </w:rPr>
            </w:pPr>
            <w:r w:rsidRPr="00A12988">
              <w:rPr>
                <w:b/>
                <w:bCs/>
              </w:rPr>
              <w:t>Sustainable Competitive Advantage</w:t>
            </w:r>
          </w:p>
        </w:tc>
      </w:tr>
      <w:tr w:rsidR="006C137B" w:rsidRPr="00A12988" w14:paraId="41B6780F"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8B0FBF4" w14:textId="77777777" w:rsidR="006C137B" w:rsidRPr="00A12988" w:rsidRDefault="00D71680">
            <w:pPr>
              <w:spacing w:before="240" w:after="160"/>
              <w:jc w:val="right"/>
              <w:rPr>
                <w:b/>
                <w:bCs/>
                <w:i/>
                <w:iCs/>
              </w:rPr>
            </w:pPr>
            <w:r w:rsidRPr="00A12988">
              <w:rPr>
                <w:b/>
                <w:bCs/>
                <w:i/>
                <w:iCs/>
              </w:rPr>
              <w:t>Premium EV Technology</w:t>
            </w:r>
          </w:p>
        </w:tc>
        <w:tc>
          <w:tcPr>
            <w:tcW w:w="1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8BE7FB4"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1F3601D9"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75F1930F"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60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FA38D40"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06EB22E" w14:textId="77777777" w:rsidR="006C137B" w:rsidRPr="00A12988" w:rsidRDefault="00D71680">
            <w:pPr>
              <w:spacing w:before="240" w:after="160"/>
              <w:rPr>
                <w:b/>
                <w:bCs/>
              </w:rPr>
            </w:pPr>
            <w:r w:rsidRPr="00A12988">
              <w:rPr>
                <w:b/>
                <w:bCs/>
              </w:rPr>
              <w:t>Sustainable Competitive Advantage</w:t>
            </w:r>
          </w:p>
        </w:tc>
      </w:tr>
      <w:tr w:rsidR="006C137B" w:rsidRPr="00A12988" w14:paraId="1557170F"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028C021" w14:textId="77777777" w:rsidR="006C137B" w:rsidRPr="00A12988" w:rsidRDefault="00D71680">
            <w:pPr>
              <w:spacing w:before="240" w:after="160"/>
              <w:jc w:val="right"/>
              <w:rPr>
                <w:b/>
                <w:bCs/>
                <w:i/>
                <w:iCs/>
              </w:rPr>
            </w:pPr>
            <w:r w:rsidRPr="00A12988">
              <w:rPr>
                <w:b/>
                <w:bCs/>
                <w:i/>
                <w:iCs/>
              </w:rPr>
              <w:t>Global Manufacturing Network</w:t>
            </w:r>
          </w:p>
        </w:tc>
        <w:tc>
          <w:tcPr>
            <w:tcW w:w="1425" w:type="dxa"/>
            <w:tcBorders>
              <w:top w:val="nil"/>
              <w:left w:val="nil"/>
              <w:bottom w:val="single" w:sz="11" w:space="0" w:color="002060"/>
              <w:right w:val="single" w:sz="11" w:space="0" w:color="002060"/>
            </w:tcBorders>
            <w:tcMar>
              <w:top w:w="0" w:type="dxa"/>
              <w:left w:w="100" w:type="dxa"/>
              <w:bottom w:w="0" w:type="dxa"/>
              <w:right w:w="100" w:type="dxa"/>
            </w:tcMar>
          </w:tcPr>
          <w:p w14:paraId="065F5BF4"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tcMar>
              <w:top w:w="0" w:type="dxa"/>
              <w:left w:w="100" w:type="dxa"/>
              <w:bottom w:w="0" w:type="dxa"/>
              <w:right w:w="100" w:type="dxa"/>
            </w:tcMar>
          </w:tcPr>
          <w:p w14:paraId="13574854"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tcMar>
              <w:top w:w="0" w:type="dxa"/>
              <w:left w:w="100" w:type="dxa"/>
              <w:bottom w:w="0" w:type="dxa"/>
              <w:right w:w="100" w:type="dxa"/>
            </w:tcMar>
          </w:tcPr>
          <w:p w14:paraId="167E8A32"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605" w:type="dxa"/>
            <w:tcBorders>
              <w:top w:val="nil"/>
              <w:left w:val="nil"/>
              <w:bottom w:val="single" w:sz="11" w:space="0" w:color="002060"/>
              <w:right w:val="single" w:sz="11" w:space="0" w:color="002060"/>
            </w:tcBorders>
            <w:tcMar>
              <w:top w:w="0" w:type="dxa"/>
              <w:left w:w="100" w:type="dxa"/>
              <w:bottom w:w="0" w:type="dxa"/>
              <w:right w:w="100" w:type="dxa"/>
            </w:tcMar>
          </w:tcPr>
          <w:p w14:paraId="0F88652D"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tcMar>
              <w:top w:w="0" w:type="dxa"/>
              <w:left w:w="100" w:type="dxa"/>
              <w:bottom w:w="0" w:type="dxa"/>
              <w:right w:w="100" w:type="dxa"/>
            </w:tcMar>
          </w:tcPr>
          <w:p w14:paraId="7E9E2DFC" w14:textId="77777777" w:rsidR="006C137B" w:rsidRPr="00A12988" w:rsidRDefault="00D71680">
            <w:pPr>
              <w:spacing w:before="240" w:after="160"/>
              <w:rPr>
                <w:b/>
                <w:bCs/>
              </w:rPr>
            </w:pPr>
            <w:r w:rsidRPr="00A12988">
              <w:rPr>
                <w:b/>
                <w:bCs/>
              </w:rPr>
              <w:t>Sustainable Competitive Advantage</w:t>
            </w:r>
          </w:p>
        </w:tc>
      </w:tr>
      <w:tr w:rsidR="006C137B" w:rsidRPr="00A12988" w14:paraId="4E62334E"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91C4D53" w14:textId="77777777" w:rsidR="006C137B" w:rsidRPr="00A12988" w:rsidRDefault="00D71680">
            <w:pPr>
              <w:spacing w:before="240" w:after="160"/>
              <w:jc w:val="right"/>
              <w:rPr>
                <w:b/>
                <w:bCs/>
                <w:i/>
                <w:iCs/>
              </w:rPr>
            </w:pPr>
            <w:r w:rsidRPr="00A12988">
              <w:rPr>
                <w:b/>
                <w:bCs/>
                <w:i/>
                <w:iCs/>
              </w:rPr>
              <w:t>Supply Chain Integration (Battery sourcing)</w:t>
            </w:r>
          </w:p>
        </w:tc>
        <w:tc>
          <w:tcPr>
            <w:tcW w:w="1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5DCF4FCD"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753565D4"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1C90679C" w14:textId="77777777" w:rsidR="006C137B" w:rsidRPr="00A12988" w:rsidRDefault="006C137B">
            <w:pPr>
              <w:spacing w:before="120" w:after="120"/>
            </w:pPr>
          </w:p>
        </w:tc>
        <w:tc>
          <w:tcPr>
            <w:tcW w:w="160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6AE38D3B"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36AE0E2A" w14:textId="77777777" w:rsidR="006C137B" w:rsidRPr="00A12988" w:rsidRDefault="00D71680">
            <w:pPr>
              <w:spacing w:before="240" w:after="160"/>
              <w:rPr>
                <w:b/>
                <w:bCs/>
              </w:rPr>
            </w:pPr>
            <w:r w:rsidRPr="00A12988">
              <w:rPr>
                <w:b/>
                <w:bCs/>
              </w:rPr>
              <w:t>Sustainable Competitive Advantage</w:t>
            </w:r>
          </w:p>
        </w:tc>
      </w:tr>
      <w:tr w:rsidR="006C137B" w:rsidRPr="00A12988" w14:paraId="275D7D75" w14:textId="77777777">
        <w:trPr>
          <w:trHeight w:val="960"/>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28570D35" w14:textId="77777777" w:rsidR="006C137B" w:rsidRPr="00A12988" w:rsidRDefault="00D71680">
            <w:pPr>
              <w:spacing w:before="240" w:after="160"/>
              <w:jc w:val="right"/>
              <w:rPr>
                <w:b/>
                <w:bCs/>
                <w:i/>
                <w:iCs/>
              </w:rPr>
            </w:pPr>
            <w:r w:rsidRPr="00A12988">
              <w:rPr>
                <w:b/>
                <w:bCs/>
                <w:i/>
                <w:iCs/>
              </w:rPr>
              <w:t>Digital Services (</w:t>
            </w:r>
            <w:proofErr w:type="spellStart"/>
            <w:r w:rsidRPr="00A12988">
              <w:rPr>
                <w:b/>
                <w:bCs/>
                <w:i/>
                <w:iCs/>
              </w:rPr>
              <w:t>ConnectedDrive</w:t>
            </w:r>
            <w:proofErr w:type="spellEnd"/>
            <w:r w:rsidRPr="00A12988">
              <w:rPr>
                <w:b/>
                <w:bCs/>
                <w:i/>
                <w:iCs/>
              </w:rPr>
              <w:t>)</w:t>
            </w:r>
          </w:p>
        </w:tc>
        <w:tc>
          <w:tcPr>
            <w:tcW w:w="1425" w:type="dxa"/>
            <w:tcBorders>
              <w:top w:val="nil"/>
              <w:left w:val="nil"/>
              <w:bottom w:val="single" w:sz="11" w:space="0" w:color="002060"/>
              <w:right w:val="single" w:sz="11" w:space="0" w:color="002060"/>
            </w:tcBorders>
            <w:tcMar>
              <w:top w:w="0" w:type="dxa"/>
              <w:left w:w="100" w:type="dxa"/>
              <w:bottom w:w="0" w:type="dxa"/>
              <w:right w:w="100" w:type="dxa"/>
            </w:tcMar>
          </w:tcPr>
          <w:p w14:paraId="2EA263E0"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tcMar>
              <w:top w:w="0" w:type="dxa"/>
              <w:left w:w="100" w:type="dxa"/>
              <w:bottom w:w="0" w:type="dxa"/>
              <w:right w:w="100" w:type="dxa"/>
            </w:tcMar>
          </w:tcPr>
          <w:p w14:paraId="26DE5601"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395" w:type="dxa"/>
            <w:tcBorders>
              <w:top w:val="nil"/>
              <w:left w:val="nil"/>
              <w:bottom w:val="single" w:sz="11" w:space="0" w:color="002060"/>
              <w:right w:val="single" w:sz="11" w:space="0" w:color="002060"/>
            </w:tcBorders>
            <w:tcMar>
              <w:top w:w="0" w:type="dxa"/>
              <w:left w:w="100" w:type="dxa"/>
              <w:bottom w:w="0" w:type="dxa"/>
              <w:right w:w="100" w:type="dxa"/>
            </w:tcMar>
          </w:tcPr>
          <w:p w14:paraId="3A961EBC"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605" w:type="dxa"/>
            <w:tcBorders>
              <w:top w:val="nil"/>
              <w:left w:val="nil"/>
              <w:bottom w:val="single" w:sz="11" w:space="0" w:color="002060"/>
              <w:right w:val="single" w:sz="11" w:space="0" w:color="002060"/>
            </w:tcBorders>
            <w:tcMar>
              <w:top w:w="0" w:type="dxa"/>
              <w:left w:w="100" w:type="dxa"/>
              <w:bottom w:w="0" w:type="dxa"/>
              <w:right w:w="100" w:type="dxa"/>
            </w:tcMar>
          </w:tcPr>
          <w:p w14:paraId="2C25D8E2"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tcMar>
              <w:top w:w="0" w:type="dxa"/>
              <w:left w:w="100" w:type="dxa"/>
              <w:bottom w:w="0" w:type="dxa"/>
              <w:right w:w="100" w:type="dxa"/>
            </w:tcMar>
          </w:tcPr>
          <w:p w14:paraId="42FE0DA0" w14:textId="77777777" w:rsidR="006C137B" w:rsidRPr="00A12988" w:rsidRDefault="00D71680">
            <w:pPr>
              <w:spacing w:before="240" w:after="160"/>
              <w:rPr>
                <w:b/>
                <w:bCs/>
              </w:rPr>
            </w:pPr>
            <w:r w:rsidRPr="00A12988">
              <w:rPr>
                <w:b/>
                <w:bCs/>
              </w:rPr>
              <w:t>Sustainable Competitive Advantage</w:t>
            </w:r>
          </w:p>
        </w:tc>
      </w:tr>
      <w:tr w:rsidR="006C137B" w:rsidRPr="00A12988" w14:paraId="4BF023BC" w14:textId="77777777">
        <w:trPr>
          <w:trHeight w:val="1215"/>
        </w:trPr>
        <w:tc>
          <w:tcPr>
            <w:tcW w:w="2205"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48A2AC2C" w14:textId="77777777" w:rsidR="006C137B" w:rsidRPr="00A12988" w:rsidRDefault="00D71680">
            <w:pPr>
              <w:spacing w:before="240" w:after="160"/>
              <w:jc w:val="right"/>
              <w:rPr>
                <w:b/>
                <w:bCs/>
                <w:i/>
                <w:iCs/>
              </w:rPr>
            </w:pPr>
            <w:r w:rsidRPr="00A12988">
              <w:rPr>
                <w:b/>
                <w:bCs/>
                <w:i/>
                <w:iCs/>
              </w:rPr>
              <w:t>Financial Strength</w:t>
            </w:r>
          </w:p>
        </w:tc>
        <w:tc>
          <w:tcPr>
            <w:tcW w:w="142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23B3F671"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02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A021A74" w14:textId="77777777" w:rsidR="006C137B" w:rsidRPr="00A12988" w:rsidRDefault="00D71680">
            <w:pPr>
              <w:spacing w:before="240" w:after="160"/>
              <w:rPr>
                <w:b/>
                <w:bCs/>
              </w:rPr>
            </w:pPr>
            <w:r w:rsidRPr="00A12988">
              <w:rPr>
                <w:b/>
                <w:bCs/>
              </w:rPr>
              <w:t>X</w:t>
            </w:r>
          </w:p>
        </w:tc>
        <w:tc>
          <w:tcPr>
            <w:tcW w:w="139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DBD9FF8"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60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7EAEC009" w14:textId="77777777" w:rsidR="006C137B" w:rsidRPr="00A12988" w:rsidRDefault="00D71680">
            <w:pPr>
              <w:spacing w:before="240" w:after="160"/>
              <w:rPr>
                <w:b/>
                <w:bCs/>
              </w:rPr>
            </w:pPr>
            <w:r w:rsidRPr="00A12988">
              <w:rPr>
                <w:rFonts w:ascii="Segoe UI Symbol" w:eastAsia="Arial Unicode MS" w:hAnsi="Segoe UI Symbol" w:cs="Segoe UI Symbol"/>
                <w:b/>
                <w:bCs/>
              </w:rPr>
              <w:t>✓</w:t>
            </w:r>
          </w:p>
        </w:tc>
        <w:tc>
          <w:tcPr>
            <w:tcW w:w="1875"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110A1C66" w14:textId="77777777" w:rsidR="006C137B" w:rsidRPr="00A12988" w:rsidRDefault="00D71680">
            <w:pPr>
              <w:spacing w:before="240" w:after="160"/>
              <w:rPr>
                <w:b/>
                <w:bCs/>
              </w:rPr>
            </w:pPr>
            <w:r w:rsidRPr="00A12988">
              <w:rPr>
                <w:b/>
                <w:bCs/>
              </w:rPr>
              <w:t>Realized Temporary Competitive Advantage</w:t>
            </w:r>
          </w:p>
        </w:tc>
      </w:tr>
    </w:tbl>
    <w:p w14:paraId="5697C35B" w14:textId="77777777" w:rsidR="006C137B" w:rsidRPr="00A12988" w:rsidRDefault="006C137B">
      <w:pPr>
        <w:spacing w:before="120" w:after="120"/>
      </w:pPr>
    </w:p>
    <w:p w14:paraId="172E4EA8" w14:textId="77777777" w:rsidR="006C137B" w:rsidRPr="00A12988" w:rsidRDefault="00D71680">
      <w:pPr>
        <w:spacing w:before="120" w:after="120"/>
      </w:pPr>
      <w:r w:rsidRPr="00A12988">
        <w:t>Accumulated brand equity of BMW has taken decades, where the brand has gained a reputation of being luxurious, performant, and innovative (</w:t>
      </w:r>
      <w:proofErr w:type="spellStart"/>
      <w:r w:rsidRPr="00A12988">
        <w:t>Zang</w:t>
      </w:r>
      <w:proofErr w:type="spellEnd"/>
      <w:r w:rsidRPr="00A12988">
        <w:t xml:space="preserve"> et al., 2025). This is a good resource as it creates customer demand, and it is a rare resource as the competitors might not be able to create the same level. BMW has heavily invested in research and development in order to develop state-of-the-art EVs. The performance, range, and driving dynamics of the i4 are based on years of engineering experience. The i4 also offers high-performance battery systems and an enhanced electric powertrain (</w:t>
      </w:r>
      <w:proofErr w:type="spellStart"/>
      <w:r w:rsidRPr="00A12988">
        <w:t>Trilaksono</w:t>
      </w:r>
      <w:proofErr w:type="spellEnd"/>
      <w:r w:rsidRPr="00A12988">
        <w:t xml:space="preserve"> et al., 2026). The developed global manufacturing plants of EVs enable BMW to provide high quality and scale efficiency. This is a valuable and untainted resource of the case of EV production, in particular, the luxury market, which assists in advancing the high price image of BMW. The priority sourcing of batteries by BMW and its own supply chain in terms of sourcing materials implies that the i4 will be able to retain the high-quality level and, at the same time, comply with the rules of sustainability (Alonso, 2023). </w:t>
      </w:r>
      <w:proofErr w:type="spellStart"/>
      <w:r w:rsidRPr="00A12988">
        <w:t>ConnectedDrive</w:t>
      </w:r>
      <w:proofErr w:type="spellEnd"/>
      <w:r w:rsidRPr="00A12988">
        <w:t xml:space="preserve"> is the digital platform of BMW providing special digital services, such as navigation, infotainment, and remote monitoring of the vehicles (Cinch, 2025). The i4 has a strong competitive edge in the emerging high EV market due to the strategic resources and capabilities of BMW, leading to a sustainable competitive advantage.</w:t>
      </w:r>
    </w:p>
    <w:p w14:paraId="668C3947" w14:textId="77777777" w:rsidR="006C137B" w:rsidRPr="00A12988" w:rsidRDefault="006C137B"/>
    <w:p w14:paraId="2C7E461D" w14:textId="77777777" w:rsidR="006C137B" w:rsidRPr="00A12988" w:rsidRDefault="00D71680" w:rsidP="00052158">
      <w:pPr>
        <w:pStyle w:val="Heading2"/>
      </w:pPr>
      <w:bookmarkStart w:id="29" w:name="_13wpcghfxcrf" w:colFirst="0" w:colLast="0"/>
      <w:bookmarkStart w:id="30" w:name="_Toc228506457"/>
      <w:bookmarkEnd w:id="29"/>
      <w:r w:rsidRPr="00A12988">
        <w:t>SWOT Analysis</w:t>
      </w:r>
      <w:bookmarkEnd w:id="30"/>
    </w:p>
    <w:p w14:paraId="0354A0E7" w14:textId="77777777" w:rsidR="006C137B" w:rsidRPr="00A12988" w:rsidRDefault="00D71680">
      <w:pPr>
        <w:spacing w:before="120" w:after="120"/>
      </w:pPr>
      <w:r w:rsidRPr="00A12988">
        <w:t xml:space="preserve">BMW i4 enjoys a good brand reputation and </w:t>
      </w:r>
      <w:proofErr w:type="spellStart"/>
      <w:r w:rsidRPr="00A12988">
        <w:t>groundbreaking</w:t>
      </w:r>
      <w:proofErr w:type="spellEnd"/>
      <w:r w:rsidRPr="00A12988">
        <w:t xml:space="preserve"> technology, which puts it in the best place in the luxury EV market (Hill et al., 2017). It is, however, faced with problems of high production costs and restrictions on its charging infrastructure. The increasing demand for EVs represents a big opportunity, whereas competition and supply chain risks are threats in progress (Johnson et al., 2017).</w:t>
      </w:r>
    </w:p>
    <w:p w14:paraId="60AD73A4" w14:textId="147CF26D"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6</w:t>
      </w:r>
      <w:r w:rsidRPr="00A12988">
        <w:fldChar w:fldCharType="end"/>
      </w:r>
      <w:r w:rsidRPr="00A12988">
        <w:t xml:space="preserve"> SWOT Analysis.</w:t>
      </w:r>
    </w:p>
    <w:tbl>
      <w:tblPr>
        <w:tblStyle w:val="a4"/>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650"/>
        <w:gridCol w:w="4680"/>
      </w:tblGrid>
      <w:tr w:rsidR="006C137B" w:rsidRPr="00A12988" w14:paraId="52CA391A" w14:textId="77777777">
        <w:trPr>
          <w:trHeight w:val="450"/>
        </w:trPr>
        <w:tc>
          <w:tcPr>
            <w:tcW w:w="4650" w:type="dxa"/>
            <w:tcBorders>
              <w:top w:val="single" w:sz="11" w:space="0" w:color="002060"/>
              <w:left w:val="single" w:sz="11" w:space="0" w:color="002060"/>
              <w:bottom w:val="single" w:sz="11" w:space="0" w:color="002060"/>
              <w:right w:val="single" w:sz="11" w:space="0" w:color="002060"/>
            </w:tcBorders>
            <w:shd w:val="clear" w:color="auto" w:fill="D9E2F3"/>
            <w:tcMar>
              <w:top w:w="0" w:type="dxa"/>
              <w:left w:w="100" w:type="dxa"/>
              <w:bottom w:w="0" w:type="dxa"/>
              <w:right w:w="100" w:type="dxa"/>
            </w:tcMar>
          </w:tcPr>
          <w:p w14:paraId="793A3D7C" w14:textId="77777777" w:rsidR="006C137B" w:rsidRPr="00A12988" w:rsidRDefault="00D71680">
            <w:pPr>
              <w:spacing w:before="240" w:after="160"/>
              <w:jc w:val="left"/>
              <w:rPr>
                <w:b/>
                <w:bCs/>
              </w:rPr>
            </w:pPr>
            <w:r w:rsidRPr="00A12988">
              <w:rPr>
                <w:b/>
                <w:bCs/>
              </w:rPr>
              <w:t>Strengths</w:t>
            </w:r>
          </w:p>
        </w:tc>
        <w:tc>
          <w:tcPr>
            <w:tcW w:w="4680" w:type="dxa"/>
            <w:tcBorders>
              <w:top w:val="single" w:sz="11" w:space="0" w:color="002060"/>
              <w:left w:val="nil"/>
              <w:bottom w:val="single" w:sz="11" w:space="0" w:color="002060"/>
              <w:right w:val="single" w:sz="11" w:space="0" w:color="002060"/>
            </w:tcBorders>
            <w:shd w:val="clear" w:color="auto" w:fill="D9E2F3"/>
            <w:tcMar>
              <w:top w:w="0" w:type="dxa"/>
              <w:left w:w="100" w:type="dxa"/>
              <w:bottom w:w="0" w:type="dxa"/>
              <w:right w:w="100" w:type="dxa"/>
            </w:tcMar>
          </w:tcPr>
          <w:p w14:paraId="4A55A5E6" w14:textId="77777777" w:rsidR="006C137B" w:rsidRPr="00A12988" w:rsidRDefault="00D71680">
            <w:pPr>
              <w:spacing w:before="240" w:after="160"/>
              <w:rPr>
                <w:b/>
                <w:bCs/>
              </w:rPr>
            </w:pPr>
            <w:r w:rsidRPr="00A12988">
              <w:rPr>
                <w:b/>
                <w:bCs/>
              </w:rPr>
              <w:t>Weaknesses</w:t>
            </w:r>
          </w:p>
        </w:tc>
      </w:tr>
      <w:tr w:rsidR="006C137B" w:rsidRPr="00A12988" w14:paraId="5447966E" w14:textId="77777777">
        <w:trPr>
          <w:trHeight w:val="70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32FD7E67" w14:textId="77777777" w:rsidR="006C137B" w:rsidRPr="00A12988" w:rsidRDefault="00D71680">
            <w:pPr>
              <w:spacing w:before="240" w:after="160"/>
              <w:jc w:val="left"/>
            </w:pPr>
            <w:r w:rsidRPr="00A12988">
              <w:t>Good Brand Reputation in luxury and performance.</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41E6F4BC" w14:textId="77777777" w:rsidR="006C137B" w:rsidRPr="00A12988" w:rsidRDefault="00D71680">
            <w:pPr>
              <w:spacing w:before="240" w:after="160"/>
            </w:pPr>
            <w:r w:rsidRPr="00A12988">
              <w:t>Electric components high cost of production.</w:t>
            </w:r>
          </w:p>
        </w:tc>
      </w:tr>
      <w:tr w:rsidR="006C137B" w:rsidRPr="00A12988" w14:paraId="73F180F4" w14:textId="77777777">
        <w:trPr>
          <w:trHeight w:val="70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5962D466" w14:textId="77777777" w:rsidR="006C137B" w:rsidRPr="00A12988" w:rsidRDefault="00D71680">
            <w:pPr>
              <w:spacing w:before="240" w:after="160"/>
              <w:jc w:val="left"/>
            </w:pPr>
            <w:r w:rsidRPr="00A12988">
              <w:t>The use of high-level EV Technology and engineering (Li, 2025).</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3F7B301C" w14:textId="77777777" w:rsidR="006C137B" w:rsidRPr="00A12988" w:rsidRDefault="00D71680">
            <w:pPr>
              <w:spacing w:before="240" w:after="160"/>
            </w:pPr>
            <w:r w:rsidRPr="00A12988">
              <w:t>Little charging infrastructure worldwide in comparison to others such as Tesla.</w:t>
            </w:r>
          </w:p>
        </w:tc>
      </w:tr>
      <w:tr w:rsidR="006C137B" w:rsidRPr="00A12988" w14:paraId="76ECAD0A" w14:textId="77777777">
        <w:trPr>
          <w:trHeight w:val="70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2ED083B" w14:textId="77777777" w:rsidR="006C137B" w:rsidRPr="00A12988" w:rsidRDefault="00D71680">
            <w:pPr>
              <w:spacing w:before="240" w:after="160"/>
              <w:jc w:val="left"/>
            </w:pPr>
            <w:r w:rsidRPr="00A12988">
              <w:t>High performance that is highly driven.</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2A616F04" w14:textId="77777777" w:rsidR="006C137B" w:rsidRPr="00A12988" w:rsidRDefault="00D71680">
            <w:pPr>
              <w:spacing w:before="240" w:after="160"/>
            </w:pPr>
            <w:r w:rsidRPr="00A12988">
              <w:t>Extreme initial buying cost, restricting mass-market (Cinch, 2025).</w:t>
            </w:r>
          </w:p>
        </w:tc>
      </w:tr>
      <w:tr w:rsidR="006C137B" w:rsidRPr="00A12988" w14:paraId="4015FEAE" w14:textId="77777777">
        <w:trPr>
          <w:trHeight w:val="70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70B74880" w14:textId="77777777" w:rsidR="006C137B" w:rsidRPr="00A12988" w:rsidRDefault="00D71680">
            <w:pPr>
              <w:spacing w:before="240" w:after="160"/>
              <w:jc w:val="left"/>
            </w:pPr>
            <w:r w:rsidRPr="00A12988">
              <w:t>Good Financial Capacity to invest on R&amp;D and innovation (</w:t>
            </w:r>
            <w:proofErr w:type="spellStart"/>
            <w:r w:rsidRPr="00A12988">
              <w:t>Electrive</w:t>
            </w:r>
            <w:proofErr w:type="spellEnd"/>
            <w:r w:rsidRPr="00A12988">
              <w:t>, 2026).</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426537AF" w14:textId="77777777" w:rsidR="006C137B" w:rsidRPr="00A12988" w:rsidRDefault="00D71680">
            <w:pPr>
              <w:spacing w:before="240" w:after="160"/>
            </w:pPr>
            <w:r w:rsidRPr="00A12988">
              <w:t>Reliance on foreign vendors of battery materials.</w:t>
            </w:r>
          </w:p>
        </w:tc>
      </w:tr>
      <w:tr w:rsidR="006C137B" w:rsidRPr="00A12988" w14:paraId="76A28916" w14:textId="77777777">
        <w:trPr>
          <w:trHeight w:val="300"/>
        </w:trPr>
        <w:tc>
          <w:tcPr>
            <w:tcW w:w="4650" w:type="dxa"/>
            <w:tcBorders>
              <w:top w:val="nil"/>
              <w:left w:val="single" w:sz="11" w:space="0" w:color="002060"/>
              <w:bottom w:val="single" w:sz="11" w:space="0" w:color="002060"/>
              <w:right w:val="single" w:sz="11" w:space="0" w:color="002060"/>
            </w:tcBorders>
            <w:shd w:val="clear" w:color="auto" w:fill="D9E2F3"/>
            <w:tcMar>
              <w:top w:w="0" w:type="dxa"/>
              <w:left w:w="100" w:type="dxa"/>
              <w:bottom w:w="0" w:type="dxa"/>
              <w:right w:w="100" w:type="dxa"/>
            </w:tcMar>
          </w:tcPr>
          <w:p w14:paraId="26D82557" w14:textId="77777777" w:rsidR="006C137B" w:rsidRPr="00A12988" w:rsidRDefault="00D71680">
            <w:pPr>
              <w:spacing w:before="240"/>
              <w:jc w:val="left"/>
              <w:rPr>
                <w:b/>
                <w:bCs/>
              </w:rPr>
            </w:pPr>
            <w:r w:rsidRPr="00A12988">
              <w:rPr>
                <w:b/>
                <w:bCs/>
              </w:rPr>
              <w:t>Opportunities</w:t>
            </w:r>
          </w:p>
        </w:tc>
        <w:tc>
          <w:tcPr>
            <w:tcW w:w="468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D1D4310" w14:textId="77777777" w:rsidR="006C137B" w:rsidRPr="00A12988" w:rsidRDefault="00D71680">
            <w:pPr>
              <w:spacing w:before="240"/>
              <w:rPr>
                <w:b/>
                <w:bCs/>
              </w:rPr>
            </w:pPr>
            <w:r w:rsidRPr="00A12988">
              <w:rPr>
                <w:b/>
                <w:bCs/>
              </w:rPr>
              <w:t>Threats</w:t>
            </w:r>
          </w:p>
        </w:tc>
      </w:tr>
      <w:tr w:rsidR="006C137B" w:rsidRPr="00A12988" w14:paraId="57BFD008" w14:textId="77777777">
        <w:trPr>
          <w:trHeight w:val="58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54720DBF" w14:textId="77777777" w:rsidR="006C137B" w:rsidRPr="00A12988" w:rsidRDefault="00D71680">
            <w:pPr>
              <w:spacing w:before="240"/>
              <w:jc w:val="left"/>
            </w:pPr>
            <w:r w:rsidRPr="00A12988">
              <w:t>Rising popularity in higher quality electric cars around the world.</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368642DC" w14:textId="77777777" w:rsidR="006C137B" w:rsidRPr="00A12988" w:rsidRDefault="00D71680">
            <w:pPr>
              <w:spacing w:before="240"/>
            </w:pPr>
            <w:r w:rsidRPr="00A12988">
              <w:t>Tesla, Audi and Mercedes-Benz threaten to increase their competition.</w:t>
            </w:r>
          </w:p>
        </w:tc>
      </w:tr>
      <w:tr w:rsidR="006C137B" w:rsidRPr="00A12988" w14:paraId="35D36A1E" w14:textId="77777777">
        <w:trPr>
          <w:trHeight w:val="58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749CA223" w14:textId="77777777" w:rsidR="006C137B" w:rsidRPr="00A12988" w:rsidRDefault="00D71680">
            <w:pPr>
              <w:spacing w:before="240"/>
              <w:jc w:val="left"/>
            </w:pPr>
            <w:r w:rsidRPr="00A12988">
              <w:t>Tapping the emerging markets that are undergoing an increase in middle class (</w:t>
            </w:r>
            <w:proofErr w:type="spellStart"/>
            <w:r w:rsidRPr="00A12988">
              <w:t>Ershova</w:t>
            </w:r>
            <w:proofErr w:type="spellEnd"/>
            <w:r w:rsidRPr="00A12988">
              <w:t xml:space="preserve"> and </w:t>
            </w:r>
            <w:proofErr w:type="spellStart"/>
            <w:r w:rsidRPr="00A12988">
              <w:t>Kuznetsov</w:t>
            </w:r>
            <w:proofErr w:type="spellEnd"/>
            <w:r w:rsidRPr="00A12988">
              <w:t>, 2019).</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380513BF" w14:textId="77777777" w:rsidR="006C137B" w:rsidRPr="00A12988" w:rsidRDefault="00D71680">
            <w:pPr>
              <w:spacing w:before="240"/>
            </w:pPr>
            <w:r w:rsidRPr="00A12988">
              <w:t>The constraints in the battery supply chain might push up production costs.</w:t>
            </w:r>
          </w:p>
        </w:tc>
      </w:tr>
      <w:tr w:rsidR="006C137B" w:rsidRPr="00A12988" w14:paraId="41A2C780" w14:textId="77777777">
        <w:trPr>
          <w:trHeight w:val="58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0A9AD1AD" w14:textId="77777777" w:rsidR="006C137B" w:rsidRPr="00A12988" w:rsidRDefault="00D71680">
            <w:pPr>
              <w:spacing w:before="240"/>
              <w:jc w:val="left"/>
            </w:pPr>
            <w:r w:rsidRPr="00A12988">
              <w:t>Opportunity to continue improvement in battery technology.</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706A85FA" w14:textId="77777777" w:rsidR="006C137B" w:rsidRPr="00A12988" w:rsidRDefault="00D71680">
            <w:pPr>
              <w:spacing w:before="240"/>
            </w:pPr>
            <w:r w:rsidRPr="00A12988">
              <w:t>Tax policies and government regulation that may affect the cost structure.</w:t>
            </w:r>
          </w:p>
        </w:tc>
      </w:tr>
      <w:tr w:rsidR="006C137B" w:rsidRPr="00A12988" w14:paraId="587BA24C" w14:textId="77777777">
        <w:trPr>
          <w:trHeight w:val="585"/>
        </w:trPr>
        <w:tc>
          <w:tcPr>
            <w:tcW w:w="4650" w:type="dxa"/>
            <w:tcBorders>
              <w:top w:val="nil"/>
              <w:left w:val="single" w:sz="11" w:space="0" w:color="002060"/>
              <w:bottom w:val="single" w:sz="11" w:space="0" w:color="002060"/>
              <w:right w:val="single" w:sz="11" w:space="0" w:color="002060"/>
            </w:tcBorders>
            <w:shd w:val="clear" w:color="auto" w:fill="FFFFFF"/>
            <w:tcMar>
              <w:top w:w="0" w:type="dxa"/>
              <w:left w:w="100" w:type="dxa"/>
              <w:bottom w:w="0" w:type="dxa"/>
              <w:right w:w="100" w:type="dxa"/>
            </w:tcMar>
          </w:tcPr>
          <w:p w14:paraId="1CCC40C2" w14:textId="77777777" w:rsidR="006C137B" w:rsidRPr="00A12988" w:rsidRDefault="00D71680">
            <w:pPr>
              <w:spacing w:before="240"/>
              <w:jc w:val="left"/>
            </w:pPr>
            <w:r w:rsidRPr="00A12988">
              <w:t>Demand trends of electric mobility due to sustainability.</w:t>
            </w:r>
          </w:p>
        </w:tc>
        <w:tc>
          <w:tcPr>
            <w:tcW w:w="4680" w:type="dxa"/>
            <w:tcBorders>
              <w:top w:val="nil"/>
              <w:left w:val="nil"/>
              <w:bottom w:val="single" w:sz="11" w:space="0" w:color="002060"/>
              <w:right w:val="single" w:sz="11" w:space="0" w:color="002060"/>
            </w:tcBorders>
            <w:shd w:val="clear" w:color="auto" w:fill="FFFFFF"/>
            <w:tcMar>
              <w:top w:w="0" w:type="dxa"/>
              <w:left w:w="100" w:type="dxa"/>
              <w:bottom w:w="0" w:type="dxa"/>
              <w:right w:w="100" w:type="dxa"/>
            </w:tcMar>
          </w:tcPr>
          <w:p w14:paraId="62DD2259" w14:textId="77777777" w:rsidR="006C137B" w:rsidRPr="00A12988" w:rsidRDefault="00D71680">
            <w:pPr>
              <w:spacing w:before="240"/>
            </w:pPr>
            <w:r w:rsidRPr="00A12988">
              <w:t>Slowdowns or increase in inflation of purchasing power.</w:t>
            </w:r>
          </w:p>
        </w:tc>
      </w:tr>
    </w:tbl>
    <w:p w14:paraId="1A0E2204" w14:textId="77777777" w:rsidR="006C137B" w:rsidRPr="00A12988" w:rsidRDefault="00D71680">
      <w:r w:rsidRPr="00A12988">
        <w:br w:type="page"/>
      </w:r>
    </w:p>
    <w:p w14:paraId="2B3BB637" w14:textId="77777777" w:rsidR="006C137B" w:rsidRPr="00A12988" w:rsidRDefault="00D71680" w:rsidP="00052158">
      <w:pPr>
        <w:pStyle w:val="Heading1"/>
      </w:pPr>
      <w:bookmarkStart w:id="31" w:name="_zag12v6r4u78" w:colFirst="0" w:colLast="0"/>
      <w:bookmarkStart w:id="32" w:name="_Toc228506458"/>
      <w:bookmarkEnd w:id="31"/>
      <w:r w:rsidRPr="00A12988">
        <w:t>Strategies to Sustain Competitive Advantage</w:t>
      </w:r>
      <w:bookmarkEnd w:id="32"/>
    </w:p>
    <w:p w14:paraId="2CCA2FC0" w14:textId="77777777" w:rsidR="006C137B" w:rsidRPr="00A12988" w:rsidRDefault="00D71680">
      <w:r w:rsidRPr="00A12988">
        <w:t xml:space="preserve">As a way of maintaining its competitive edge in the emerging high-end electric vehicle (EV) segment, especially in the case of the BMW i4 (Bailey et al., 2018). The company may have to incorporate measures that will help it overcome market forces, changes in technology, and market demands. </w:t>
      </w:r>
    </w:p>
    <w:p w14:paraId="6396B56F" w14:textId="0A4B5CB0" w:rsidR="006C137B" w:rsidRPr="00A12988" w:rsidRDefault="004B7C94">
      <w:r w:rsidRPr="00A12988">
        <w:rPr>
          <w:noProof/>
        </w:rPr>
        <w:drawing>
          <wp:inline distT="0" distB="0" distL="0" distR="0" wp14:anchorId="296AB827" wp14:editId="0751683B">
            <wp:extent cx="5731510" cy="3225165"/>
            <wp:effectExtent l="0" t="0" r="2540" b="0"/>
            <wp:docPr id="1519623640" name="Picture 5" descr="Porter's Generic Strategies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s Generic Strategies PowerPoint and Google Slid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1708F11C" w14:textId="2FB45643" w:rsidR="004B7C94" w:rsidRPr="00A12988" w:rsidRDefault="004B7C94" w:rsidP="004B7C94">
      <w:pPr>
        <w:pStyle w:val="Caption"/>
      </w:pPr>
      <w:r w:rsidRPr="00A12988">
        <w:t xml:space="preserve">Figure </w:t>
      </w:r>
      <w:r w:rsidRPr="00A12988">
        <w:fldChar w:fldCharType="begin"/>
      </w:r>
      <w:r w:rsidRPr="00A12988">
        <w:instrText xml:space="preserve"> SEQ Figure \* ARABIC </w:instrText>
      </w:r>
      <w:r w:rsidRPr="00A12988">
        <w:fldChar w:fldCharType="separate"/>
      </w:r>
      <w:r w:rsidRPr="00A12988">
        <w:rPr>
          <w:noProof/>
        </w:rPr>
        <w:t>5</w:t>
      </w:r>
      <w:r w:rsidRPr="00A12988">
        <w:fldChar w:fldCharType="end"/>
      </w:r>
      <w:r w:rsidRPr="00A12988">
        <w:t xml:space="preserve"> Porter generic model (Bailey et al., 2018).</w:t>
      </w:r>
    </w:p>
    <w:p w14:paraId="27BB579D" w14:textId="77777777" w:rsidR="006C137B" w:rsidRPr="00A12988" w:rsidRDefault="00D71680">
      <w:pPr>
        <w:rPr>
          <w:b/>
          <w:bCs/>
        </w:rPr>
      </w:pPr>
      <w:r w:rsidRPr="00A12988">
        <w:rPr>
          <w:b/>
          <w:bCs/>
        </w:rPr>
        <w:t>Differentiation</w:t>
      </w:r>
    </w:p>
    <w:p w14:paraId="591CF847" w14:textId="77777777" w:rsidR="006C137B" w:rsidRPr="00A12988" w:rsidRDefault="00D71680">
      <w:r w:rsidRPr="00A12988">
        <w:t>To maintain its competitive edge, BMW i4 can remain differentiated in the premium EV segment. Luxury and creativity, a form of unique execution, and factoring in unique performance will enable BMW to lure affluent consumers seeking some balance in their driving pleasure and sustainability (</w:t>
      </w:r>
      <w:proofErr w:type="spellStart"/>
      <w:r w:rsidRPr="00A12988">
        <w:t>Adamik</w:t>
      </w:r>
      <w:proofErr w:type="spellEnd"/>
      <w:r w:rsidRPr="00A12988">
        <w:t xml:space="preserve"> and </w:t>
      </w:r>
      <w:proofErr w:type="spellStart"/>
      <w:r w:rsidRPr="00A12988">
        <w:t>Lisowski</w:t>
      </w:r>
      <w:proofErr w:type="spellEnd"/>
      <w:r w:rsidRPr="00A12988">
        <w:t>, 2025).  BMW can expand on this difference by adding more advanced driver-assistance systems and the software updates delivered over-the-air to continue to tailor customer experience over time.</w:t>
      </w:r>
    </w:p>
    <w:p w14:paraId="476D9841" w14:textId="77777777" w:rsidR="006C137B" w:rsidRPr="00A12988" w:rsidRDefault="006C137B"/>
    <w:p w14:paraId="5276D4FF" w14:textId="77777777" w:rsidR="006C137B" w:rsidRPr="00A12988" w:rsidRDefault="00D71680">
      <w:pPr>
        <w:rPr>
          <w:b/>
          <w:bCs/>
        </w:rPr>
      </w:pPr>
      <w:r w:rsidRPr="00A12988">
        <w:rPr>
          <w:b/>
          <w:bCs/>
        </w:rPr>
        <w:t>Focus Strategy</w:t>
      </w:r>
    </w:p>
    <w:p w14:paraId="33D61D3E" w14:textId="0360E9CC" w:rsidR="006C137B" w:rsidRPr="00A12988" w:rsidRDefault="00D71680">
      <w:r w:rsidRPr="00A12988">
        <w:t xml:space="preserve">The BMW i4 market is characterized by consumers who are able to afford to pay higher prices for electric vehicles that have performance and luxury (Johnson et al., 2017). To retain its competitive advantage, BMW needs to pursue a narrow direction in that it directs its marketing campaigns towards its quality-conscious consumers who are conscious of the environment in the developed and emerging markets. By concentrating on the </w:t>
      </w:r>
      <w:r w:rsidR="004B7C94" w:rsidRPr="00A12988">
        <w:t>segments,</w:t>
      </w:r>
      <w:r w:rsidRPr="00A12988">
        <w:t xml:space="preserve"> the value of which is both performance and sustainability, BMW will potentially be able to keep its margins higher (</w:t>
      </w:r>
      <w:proofErr w:type="spellStart"/>
      <w:r w:rsidRPr="00A12988">
        <w:t>Ershova</w:t>
      </w:r>
      <w:proofErr w:type="spellEnd"/>
      <w:r w:rsidRPr="00A12988">
        <w:t xml:space="preserve"> and </w:t>
      </w:r>
      <w:proofErr w:type="spellStart"/>
      <w:r w:rsidRPr="00A12988">
        <w:t>Kuznetsov</w:t>
      </w:r>
      <w:proofErr w:type="spellEnd"/>
      <w:r w:rsidRPr="00A12988">
        <w:t>, 2019).</w:t>
      </w:r>
    </w:p>
    <w:p w14:paraId="382CAEDD" w14:textId="77777777" w:rsidR="006C137B" w:rsidRPr="00A12988" w:rsidRDefault="006C137B"/>
    <w:p w14:paraId="253D17DF" w14:textId="77777777" w:rsidR="006C137B" w:rsidRPr="00A12988" w:rsidRDefault="00D71680">
      <w:pPr>
        <w:rPr>
          <w:b/>
          <w:bCs/>
        </w:rPr>
      </w:pPr>
      <w:r w:rsidRPr="00A12988">
        <w:rPr>
          <w:b/>
          <w:bCs/>
        </w:rPr>
        <w:t>Cost Leadership</w:t>
      </w:r>
    </w:p>
    <w:p w14:paraId="33C999B5" w14:textId="77777777" w:rsidR="006C137B" w:rsidRPr="00A12988" w:rsidRDefault="00D71680">
      <w:r w:rsidRPr="00A12988">
        <w:t>Though BMW is a premium brand, the company can be more cost-effective when it comes to the production of the i4, which would enhance its competitive niche (</w:t>
      </w:r>
      <w:proofErr w:type="spellStart"/>
      <w:r w:rsidRPr="00A12988">
        <w:t>Pavlínek</w:t>
      </w:r>
      <w:proofErr w:type="spellEnd"/>
      <w:r w:rsidRPr="00A12988">
        <w:t>, 2022). Economies of scale, particularly in the manufacture of batteries, vertical integration within the supply chain, and localization in manufacturing, can help to reduce the cost. A less expensive i4, without the need to sacrifice its high-end status, would enable BMW to gain advantages in terms of price power and increase market share (Li, 2025).</w:t>
      </w:r>
    </w:p>
    <w:p w14:paraId="581A8A79" w14:textId="77777777" w:rsidR="006C137B" w:rsidRPr="00A12988" w:rsidRDefault="006C137B"/>
    <w:p w14:paraId="0D3F1602" w14:textId="77777777" w:rsidR="006C137B" w:rsidRPr="00A12988" w:rsidRDefault="00D71680">
      <w:pPr>
        <w:rPr>
          <w:b/>
          <w:bCs/>
        </w:rPr>
      </w:pPr>
      <w:r w:rsidRPr="00A12988">
        <w:rPr>
          <w:b/>
          <w:bCs/>
        </w:rPr>
        <w:t>Blue Ocean Strategy</w:t>
      </w:r>
    </w:p>
    <w:p w14:paraId="483BFA3B" w14:textId="77777777" w:rsidR="006C137B" w:rsidRPr="00A12988" w:rsidRDefault="00D71680">
      <w:r w:rsidRPr="00A12988">
        <w:t xml:space="preserve">One of the Blue Ocean Strategies that BMW can incorporate is the introduction of special services and experiences that are not offered in the market currently, such as subscriptions and ownership-sharing plans (Daniels et al., 2015). These measures, in combination with technological advancements, such as self-driving capabilities and improved sustainability measures, can set BMW apart in the EV market. </w:t>
      </w:r>
    </w:p>
    <w:p w14:paraId="3FFB896B" w14:textId="77777777" w:rsidR="006C137B" w:rsidRPr="00A12988" w:rsidRDefault="006C137B"/>
    <w:p w14:paraId="2FD39B80" w14:textId="77777777" w:rsidR="006C137B" w:rsidRPr="00A12988" w:rsidRDefault="00D71680">
      <w:r w:rsidRPr="00A12988">
        <w:t>A combination of all these strategic solutions will enable BMW to keep the i4 competitive and constantly innovate and change with changes in the market.</w:t>
      </w:r>
    </w:p>
    <w:p w14:paraId="640137DE" w14:textId="77777777" w:rsidR="006C137B" w:rsidRPr="00A12988" w:rsidRDefault="006C137B"/>
    <w:p w14:paraId="1DC92C99" w14:textId="77777777" w:rsidR="006C137B" w:rsidRPr="00A12988" w:rsidRDefault="00D71680">
      <w:r w:rsidRPr="00A12988">
        <w:br w:type="page"/>
      </w:r>
    </w:p>
    <w:p w14:paraId="49C0A11B" w14:textId="77777777" w:rsidR="006C137B" w:rsidRPr="00A12988" w:rsidRDefault="00D71680" w:rsidP="00052158">
      <w:pPr>
        <w:pStyle w:val="Heading1"/>
      </w:pPr>
      <w:bookmarkStart w:id="33" w:name="_cizpc8th448n" w:colFirst="0" w:colLast="0"/>
      <w:bookmarkStart w:id="34" w:name="_Toc228506459"/>
      <w:bookmarkEnd w:id="33"/>
      <w:r w:rsidRPr="00A12988">
        <w:t>Growth Strategies</w:t>
      </w:r>
      <w:bookmarkEnd w:id="34"/>
    </w:p>
    <w:p w14:paraId="7DF15322" w14:textId="77777777" w:rsidR="006C137B" w:rsidRPr="00A12988" w:rsidRDefault="00D71680">
      <w:r w:rsidRPr="00A12988">
        <w:t xml:space="preserve">The </w:t>
      </w:r>
      <w:proofErr w:type="spellStart"/>
      <w:r w:rsidRPr="00A12988">
        <w:t>Ansoff</w:t>
      </w:r>
      <w:proofErr w:type="spellEnd"/>
      <w:r w:rsidRPr="00A12988">
        <w:t xml:space="preserve"> Matrix is a viable approach to examining the expansion options of the BMW i4 in the premium electric sedan segment (Armstrong, 2021). The approach can be employed in informing how a company can grow by utilising the existing products through a market-penetration approach or by introducing new products in new markets.</w:t>
      </w:r>
    </w:p>
    <w:p w14:paraId="2E0F46C0" w14:textId="59AA6DB7" w:rsidR="006C137B"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7</w:t>
      </w:r>
      <w:r w:rsidRPr="00A12988">
        <w:fldChar w:fldCharType="end"/>
      </w:r>
      <w:r w:rsidRPr="00A12988">
        <w:t xml:space="preserve"> The </w:t>
      </w:r>
      <w:proofErr w:type="spellStart"/>
      <w:r w:rsidRPr="00A12988">
        <w:t>Ansoff</w:t>
      </w:r>
      <w:proofErr w:type="spellEnd"/>
      <w:r w:rsidRPr="00A12988">
        <w:t xml:space="preserve"> Matrix.</w:t>
      </w:r>
    </w:p>
    <w:tbl>
      <w:tblPr>
        <w:tblStyle w:val="a5"/>
        <w:tblW w:w="94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30"/>
        <w:gridCol w:w="2010"/>
        <w:gridCol w:w="5610"/>
      </w:tblGrid>
      <w:tr w:rsidR="006C137B" w:rsidRPr="00A12988" w14:paraId="65B66740" w14:textId="77777777">
        <w:trPr>
          <w:trHeight w:val="435"/>
        </w:trPr>
        <w:tc>
          <w:tcPr>
            <w:tcW w:w="1830" w:type="dxa"/>
            <w:tcBorders>
              <w:top w:val="single" w:sz="12" w:space="0" w:color="000000"/>
              <w:left w:val="single" w:sz="12" w:space="0" w:color="000000"/>
              <w:bottom w:val="single" w:sz="12" w:space="0" w:color="8EAADB"/>
              <w:right w:val="single" w:sz="12" w:space="0" w:color="000000"/>
            </w:tcBorders>
            <w:shd w:val="clear" w:color="auto" w:fill="FFFFFF"/>
            <w:tcMar>
              <w:top w:w="0" w:type="dxa"/>
              <w:left w:w="100" w:type="dxa"/>
              <w:bottom w:w="0" w:type="dxa"/>
              <w:right w:w="100" w:type="dxa"/>
            </w:tcMar>
          </w:tcPr>
          <w:p w14:paraId="1B19EFEC" w14:textId="77777777" w:rsidR="006C137B" w:rsidRPr="00A12988" w:rsidRDefault="00D71680">
            <w:pPr>
              <w:spacing w:before="240" w:after="160"/>
              <w:jc w:val="left"/>
              <w:rPr>
                <w:b/>
                <w:bCs/>
                <w:i/>
                <w:iCs/>
              </w:rPr>
            </w:pPr>
            <w:proofErr w:type="spellStart"/>
            <w:r w:rsidRPr="00A12988">
              <w:rPr>
                <w:b/>
                <w:bCs/>
                <w:i/>
                <w:iCs/>
              </w:rPr>
              <w:t>Ansoff</w:t>
            </w:r>
            <w:proofErr w:type="spellEnd"/>
            <w:r w:rsidRPr="00A12988">
              <w:rPr>
                <w:b/>
                <w:bCs/>
                <w:i/>
                <w:iCs/>
              </w:rPr>
              <w:t xml:space="preserve"> strategy</w:t>
            </w:r>
          </w:p>
        </w:tc>
        <w:tc>
          <w:tcPr>
            <w:tcW w:w="2010" w:type="dxa"/>
            <w:tcBorders>
              <w:top w:val="single" w:sz="12" w:space="0" w:color="000000"/>
              <w:left w:val="single" w:sz="12" w:space="0" w:color="000000"/>
              <w:bottom w:val="single" w:sz="12" w:space="0" w:color="002060"/>
              <w:right w:val="single" w:sz="12" w:space="0" w:color="000000"/>
            </w:tcBorders>
            <w:shd w:val="clear" w:color="auto" w:fill="FFFFFF"/>
            <w:tcMar>
              <w:top w:w="0" w:type="dxa"/>
              <w:left w:w="100" w:type="dxa"/>
              <w:bottom w:w="0" w:type="dxa"/>
              <w:right w:w="100" w:type="dxa"/>
            </w:tcMar>
          </w:tcPr>
          <w:p w14:paraId="4D15DEBD" w14:textId="77777777" w:rsidR="006C137B" w:rsidRPr="00A12988" w:rsidRDefault="00D71680">
            <w:pPr>
              <w:spacing w:before="240" w:after="160"/>
              <w:rPr>
                <w:b/>
                <w:bCs/>
              </w:rPr>
            </w:pPr>
            <w:r w:rsidRPr="00A12988">
              <w:rPr>
                <w:b/>
                <w:bCs/>
              </w:rPr>
              <w:t>Meaning</w:t>
            </w:r>
          </w:p>
        </w:tc>
        <w:tc>
          <w:tcPr>
            <w:tcW w:w="5610" w:type="dxa"/>
            <w:tcBorders>
              <w:top w:val="single" w:sz="12" w:space="0" w:color="000000"/>
              <w:left w:val="single" w:sz="12" w:space="0" w:color="000000"/>
              <w:bottom w:val="single" w:sz="12" w:space="0" w:color="002060"/>
              <w:right w:val="single" w:sz="12" w:space="0" w:color="000000"/>
            </w:tcBorders>
            <w:shd w:val="clear" w:color="auto" w:fill="FFFFFF"/>
            <w:tcMar>
              <w:top w:w="0" w:type="dxa"/>
              <w:left w:w="100" w:type="dxa"/>
              <w:bottom w:w="0" w:type="dxa"/>
              <w:right w:w="100" w:type="dxa"/>
            </w:tcMar>
          </w:tcPr>
          <w:p w14:paraId="5B0EE6BA" w14:textId="77777777" w:rsidR="006C137B" w:rsidRPr="00A12988" w:rsidRDefault="00D71680">
            <w:pPr>
              <w:spacing w:before="240" w:after="160"/>
              <w:rPr>
                <w:b/>
                <w:bCs/>
              </w:rPr>
            </w:pPr>
            <w:r w:rsidRPr="00A12988">
              <w:rPr>
                <w:b/>
                <w:bCs/>
              </w:rPr>
              <w:t>Application to BMW i4</w:t>
            </w:r>
          </w:p>
        </w:tc>
      </w:tr>
      <w:tr w:rsidR="006C137B" w:rsidRPr="00A12988" w14:paraId="7B85663E" w14:textId="77777777">
        <w:trPr>
          <w:trHeight w:val="1470"/>
        </w:trPr>
        <w:tc>
          <w:tcPr>
            <w:tcW w:w="1830" w:type="dxa"/>
            <w:tcBorders>
              <w:top w:val="single" w:sz="12" w:space="0" w:color="8EAADB"/>
              <w:left w:val="single" w:sz="12" w:space="0" w:color="000000"/>
              <w:bottom w:val="single" w:sz="12" w:space="0" w:color="000000"/>
              <w:right w:val="single" w:sz="12" w:space="0" w:color="002060"/>
            </w:tcBorders>
            <w:shd w:val="clear" w:color="auto" w:fill="FFFFFF"/>
            <w:tcMar>
              <w:top w:w="0" w:type="dxa"/>
              <w:left w:w="100" w:type="dxa"/>
              <w:bottom w:w="0" w:type="dxa"/>
              <w:right w:w="100" w:type="dxa"/>
            </w:tcMar>
          </w:tcPr>
          <w:p w14:paraId="21A401DB" w14:textId="77777777" w:rsidR="006C137B" w:rsidRPr="00A12988" w:rsidRDefault="00D71680">
            <w:pPr>
              <w:spacing w:before="240" w:after="160"/>
              <w:jc w:val="right"/>
              <w:rPr>
                <w:b/>
                <w:bCs/>
                <w:i/>
                <w:iCs/>
              </w:rPr>
            </w:pPr>
            <w:r w:rsidRPr="00A12988">
              <w:rPr>
                <w:b/>
                <w:bCs/>
                <w:i/>
                <w:iCs/>
              </w:rPr>
              <w:t>Market penetration</w:t>
            </w:r>
          </w:p>
        </w:tc>
        <w:tc>
          <w:tcPr>
            <w:tcW w:w="2010" w:type="dxa"/>
            <w:tcBorders>
              <w:top w:val="single" w:sz="12" w:space="0" w:color="002060"/>
              <w:left w:val="single" w:sz="12" w:space="0" w:color="002060"/>
              <w:bottom w:val="single" w:sz="11" w:space="0" w:color="002060"/>
              <w:right w:val="single" w:sz="11" w:space="0" w:color="002060"/>
            </w:tcBorders>
            <w:shd w:val="clear" w:color="auto" w:fill="D9E2F3"/>
            <w:tcMar>
              <w:top w:w="0" w:type="dxa"/>
              <w:left w:w="100" w:type="dxa"/>
              <w:bottom w:w="0" w:type="dxa"/>
              <w:right w:w="100" w:type="dxa"/>
            </w:tcMar>
          </w:tcPr>
          <w:p w14:paraId="2BE7EED9" w14:textId="77777777" w:rsidR="006C137B" w:rsidRPr="00A12988" w:rsidRDefault="00D71680">
            <w:pPr>
              <w:spacing w:before="240" w:after="160"/>
            </w:pPr>
            <w:r w:rsidRPr="00A12988">
              <w:t>Sell more existing products in existing markets (Daniels et al., 2015)</w:t>
            </w:r>
          </w:p>
        </w:tc>
        <w:tc>
          <w:tcPr>
            <w:tcW w:w="5610" w:type="dxa"/>
            <w:tcBorders>
              <w:top w:val="single" w:sz="12" w:space="0" w:color="002060"/>
              <w:left w:val="nil"/>
              <w:bottom w:val="single" w:sz="11" w:space="0" w:color="002060"/>
              <w:right w:val="single" w:sz="11" w:space="0" w:color="002060"/>
            </w:tcBorders>
            <w:shd w:val="clear" w:color="auto" w:fill="D9E2F3"/>
            <w:tcMar>
              <w:top w:w="0" w:type="dxa"/>
              <w:left w:w="100" w:type="dxa"/>
              <w:bottom w:w="0" w:type="dxa"/>
              <w:right w:w="100" w:type="dxa"/>
            </w:tcMar>
          </w:tcPr>
          <w:p w14:paraId="7BC2CED3" w14:textId="77777777" w:rsidR="006C137B" w:rsidRPr="00A12988" w:rsidRDefault="00D71680">
            <w:pPr>
              <w:spacing w:before="240" w:after="160"/>
            </w:pPr>
            <w:r w:rsidRPr="00A12988">
              <w:t>The sale of i4 in existing European and North American markets can be improved by BMW by promoting it, offering financing schemes, marketing it digitally and supporting its dealerships (</w:t>
            </w:r>
            <w:proofErr w:type="spellStart"/>
            <w:r w:rsidRPr="00A12988">
              <w:t>Adamik</w:t>
            </w:r>
            <w:proofErr w:type="spellEnd"/>
            <w:r w:rsidRPr="00A12988">
              <w:t xml:space="preserve"> and </w:t>
            </w:r>
            <w:proofErr w:type="spellStart"/>
            <w:r w:rsidRPr="00A12988">
              <w:t>Lisowski</w:t>
            </w:r>
            <w:proofErr w:type="spellEnd"/>
            <w:r w:rsidRPr="00A12988">
              <w:t>, 2025).</w:t>
            </w:r>
          </w:p>
        </w:tc>
      </w:tr>
      <w:tr w:rsidR="006C137B" w:rsidRPr="00A12988" w14:paraId="1CEF2F6E" w14:textId="77777777">
        <w:trPr>
          <w:trHeight w:val="1215"/>
        </w:trPr>
        <w:tc>
          <w:tcPr>
            <w:tcW w:w="1830" w:type="dxa"/>
            <w:tcBorders>
              <w:top w:val="single" w:sz="12" w:space="0" w:color="000000"/>
              <w:left w:val="single" w:sz="12" w:space="0" w:color="000000"/>
              <w:bottom w:val="single" w:sz="12" w:space="0" w:color="000000"/>
              <w:right w:val="single" w:sz="12" w:space="0" w:color="002060"/>
            </w:tcBorders>
            <w:shd w:val="clear" w:color="auto" w:fill="FFFFFF"/>
            <w:tcMar>
              <w:top w:w="0" w:type="dxa"/>
              <w:left w:w="100" w:type="dxa"/>
              <w:bottom w:w="0" w:type="dxa"/>
              <w:right w:w="100" w:type="dxa"/>
            </w:tcMar>
          </w:tcPr>
          <w:p w14:paraId="47B04073" w14:textId="77777777" w:rsidR="006C137B" w:rsidRPr="00A12988" w:rsidRDefault="00D71680">
            <w:pPr>
              <w:spacing w:before="240" w:after="160"/>
              <w:jc w:val="right"/>
              <w:rPr>
                <w:b/>
                <w:bCs/>
                <w:i/>
                <w:iCs/>
              </w:rPr>
            </w:pPr>
            <w:r w:rsidRPr="00A12988">
              <w:rPr>
                <w:b/>
                <w:bCs/>
                <w:i/>
                <w:iCs/>
              </w:rPr>
              <w:t>Market development</w:t>
            </w:r>
          </w:p>
        </w:tc>
        <w:tc>
          <w:tcPr>
            <w:tcW w:w="2010" w:type="dxa"/>
            <w:tcBorders>
              <w:top w:val="nil"/>
              <w:left w:val="single" w:sz="12" w:space="0" w:color="002060"/>
              <w:bottom w:val="single" w:sz="11" w:space="0" w:color="002060"/>
              <w:right w:val="single" w:sz="11" w:space="0" w:color="002060"/>
            </w:tcBorders>
            <w:tcMar>
              <w:top w:w="0" w:type="dxa"/>
              <w:left w:w="100" w:type="dxa"/>
              <w:bottom w:w="0" w:type="dxa"/>
              <w:right w:w="100" w:type="dxa"/>
            </w:tcMar>
          </w:tcPr>
          <w:p w14:paraId="4FA55338" w14:textId="77777777" w:rsidR="006C137B" w:rsidRPr="00A12988" w:rsidRDefault="00D71680">
            <w:pPr>
              <w:spacing w:before="240" w:after="160"/>
            </w:pPr>
            <w:r w:rsidRPr="00A12988">
              <w:t>Sell existing products in new markets</w:t>
            </w:r>
          </w:p>
        </w:tc>
        <w:tc>
          <w:tcPr>
            <w:tcW w:w="5610" w:type="dxa"/>
            <w:tcBorders>
              <w:top w:val="nil"/>
              <w:left w:val="nil"/>
              <w:bottom w:val="single" w:sz="11" w:space="0" w:color="002060"/>
              <w:right w:val="single" w:sz="11" w:space="0" w:color="002060"/>
            </w:tcBorders>
            <w:tcMar>
              <w:top w:w="0" w:type="dxa"/>
              <w:left w:w="100" w:type="dxa"/>
              <w:bottom w:w="0" w:type="dxa"/>
              <w:right w:w="100" w:type="dxa"/>
            </w:tcMar>
          </w:tcPr>
          <w:p w14:paraId="14766436" w14:textId="77777777" w:rsidR="006C137B" w:rsidRPr="00A12988" w:rsidRDefault="00D71680">
            <w:pPr>
              <w:spacing w:before="240" w:after="160"/>
            </w:pPr>
            <w:r w:rsidRPr="00A12988">
              <w:t>BMW can open up the i4 to the emerging EV markets with increasing demand of high-end electric cars through exporting or fully owned distribution channels (Li, 2025).</w:t>
            </w:r>
          </w:p>
        </w:tc>
      </w:tr>
      <w:tr w:rsidR="006C137B" w:rsidRPr="00A12988" w14:paraId="4906BFBB" w14:textId="77777777">
        <w:trPr>
          <w:trHeight w:val="1470"/>
        </w:trPr>
        <w:tc>
          <w:tcPr>
            <w:tcW w:w="1830" w:type="dxa"/>
            <w:tcBorders>
              <w:top w:val="single" w:sz="12" w:space="0" w:color="000000"/>
              <w:left w:val="single" w:sz="12" w:space="0" w:color="000000"/>
              <w:bottom w:val="single" w:sz="12" w:space="0" w:color="000000"/>
              <w:right w:val="single" w:sz="12" w:space="0" w:color="002060"/>
            </w:tcBorders>
            <w:shd w:val="clear" w:color="auto" w:fill="FFFFFF"/>
            <w:tcMar>
              <w:top w:w="0" w:type="dxa"/>
              <w:left w:w="100" w:type="dxa"/>
              <w:bottom w:w="0" w:type="dxa"/>
              <w:right w:w="100" w:type="dxa"/>
            </w:tcMar>
          </w:tcPr>
          <w:p w14:paraId="1EFB5133" w14:textId="77777777" w:rsidR="006C137B" w:rsidRPr="00A12988" w:rsidRDefault="00D71680">
            <w:pPr>
              <w:spacing w:before="240" w:after="160"/>
              <w:jc w:val="right"/>
              <w:rPr>
                <w:b/>
                <w:bCs/>
                <w:i/>
                <w:iCs/>
              </w:rPr>
            </w:pPr>
            <w:r w:rsidRPr="00A12988">
              <w:rPr>
                <w:b/>
                <w:bCs/>
                <w:i/>
                <w:iCs/>
              </w:rPr>
              <w:t>Product development</w:t>
            </w:r>
          </w:p>
        </w:tc>
        <w:tc>
          <w:tcPr>
            <w:tcW w:w="2010" w:type="dxa"/>
            <w:tcBorders>
              <w:top w:val="nil"/>
              <w:left w:val="single" w:sz="12" w:space="0" w:color="002060"/>
              <w:bottom w:val="single" w:sz="11" w:space="0" w:color="002060"/>
              <w:right w:val="single" w:sz="11" w:space="0" w:color="002060"/>
            </w:tcBorders>
            <w:shd w:val="clear" w:color="auto" w:fill="D9E2F3"/>
            <w:tcMar>
              <w:top w:w="0" w:type="dxa"/>
              <w:left w:w="100" w:type="dxa"/>
              <w:bottom w:w="0" w:type="dxa"/>
              <w:right w:w="100" w:type="dxa"/>
            </w:tcMar>
          </w:tcPr>
          <w:p w14:paraId="2A66DAE2" w14:textId="77777777" w:rsidR="006C137B" w:rsidRPr="00A12988" w:rsidRDefault="00D71680">
            <w:pPr>
              <w:spacing w:before="240" w:after="160"/>
            </w:pPr>
            <w:r w:rsidRPr="00A12988">
              <w:t xml:space="preserve">Offer new or improved products to existing markets (Griffin and </w:t>
            </w:r>
            <w:proofErr w:type="spellStart"/>
            <w:r w:rsidRPr="00A12988">
              <w:t>Pustay</w:t>
            </w:r>
            <w:proofErr w:type="spellEnd"/>
            <w:r w:rsidRPr="00A12988">
              <w:t>, 2015)</w:t>
            </w:r>
          </w:p>
        </w:tc>
        <w:tc>
          <w:tcPr>
            <w:tcW w:w="5610" w:type="dxa"/>
            <w:tcBorders>
              <w:top w:val="nil"/>
              <w:left w:val="nil"/>
              <w:bottom w:val="single" w:sz="11" w:space="0" w:color="002060"/>
              <w:right w:val="single" w:sz="11" w:space="0" w:color="002060"/>
            </w:tcBorders>
            <w:shd w:val="clear" w:color="auto" w:fill="D9E2F3"/>
            <w:tcMar>
              <w:top w:w="0" w:type="dxa"/>
              <w:left w:w="100" w:type="dxa"/>
              <w:bottom w:w="0" w:type="dxa"/>
              <w:right w:w="100" w:type="dxa"/>
            </w:tcMar>
          </w:tcPr>
          <w:p w14:paraId="46E7E346" w14:textId="77777777" w:rsidR="006C137B" w:rsidRPr="00A12988" w:rsidRDefault="00D71680">
            <w:pPr>
              <w:spacing w:before="240" w:after="160"/>
            </w:pPr>
            <w:r w:rsidRPr="00A12988">
              <w:t>BMW has an opportunity to launch improved i4 models that will have a higher range, more energy-efficient, improved software, and additional luxury features to the current consumers (Liu, 2024).</w:t>
            </w:r>
          </w:p>
        </w:tc>
      </w:tr>
      <w:tr w:rsidR="006C137B" w:rsidRPr="00A12988" w14:paraId="591D4272" w14:textId="77777777">
        <w:trPr>
          <w:trHeight w:val="960"/>
        </w:trPr>
        <w:tc>
          <w:tcPr>
            <w:tcW w:w="1830" w:type="dxa"/>
            <w:tcBorders>
              <w:top w:val="single" w:sz="12" w:space="0" w:color="000000"/>
              <w:left w:val="single" w:sz="12" w:space="0" w:color="000000"/>
              <w:bottom w:val="single" w:sz="12" w:space="0" w:color="000000"/>
              <w:right w:val="single" w:sz="12" w:space="0" w:color="002060"/>
            </w:tcBorders>
            <w:shd w:val="clear" w:color="auto" w:fill="FFFFFF"/>
            <w:tcMar>
              <w:top w:w="0" w:type="dxa"/>
              <w:left w:w="100" w:type="dxa"/>
              <w:bottom w:w="0" w:type="dxa"/>
              <w:right w:w="100" w:type="dxa"/>
            </w:tcMar>
          </w:tcPr>
          <w:p w14:paraId="22F657D4" w14:textId="77777777" w:rsidR="006C137B" w:rsidRPr="00A12988" w:rsidRDefault="00D71680">
            <w:pPr>
              <w:spacing w:before="240" w:after="160"/>
              <w:jc w:val="right"/>
              <w:rPr>
                <w:b/>
                <w:bCs/>
                <w:i/>
                <w:iCs/>
              </w:rPr>
            </w:pPr>
            <w:r w:rsidRPr="00A12988">
              <w:rPr>
                <w:b/>
                <w:bCs/>
                <w:i/>
                <w:iCs/>
              </w:rPr>
              <w:t>Diversification</w:t>
            </w:r>
          </w:p>
        </w:tc>
        <w:tc>
          <w:tcPr>
            <w:tcW w:w="2010" w:type="dxa"/>
            <w:tcBorders>
              <w:top w:val="nil"/>
              <w:left w:val="single" w:sz="12" w:space="0" w:color="002060"/>
              <w:bottom w:val="single" w:sz="11" w:space="0" w:color="002060"/>
              <w:right w:val="single" w:sz="11" w:space="0" w:color="002060"/>
            </w:tcBorders>
            <w:tcMar>
              <w:top w:w="0" w:type="dxa"/>
              <w:left w:w="100" w:type="dxa"/>
              <w:bottom w:w="0" w:type="dxa"/>
              <w:right w:w="100" w:type="dxa"/>
            </w:tcMar>
          </w:tcPr>
          <w:p w14:paraId="5F943342" w14:textId="77777777" w:rsidR="006C137B" w:rsidRPr="00A12988" w:rsidRDefault="00D71680">
            <w:pPr>
              <w:spacing w:before="240" w:after="160"/>
            </w:pPr>
            <w:r w:rsidRPr="00A12988">
              <w:t>New products in new markets</w:t>
            </w:r>
          </w:p>
        </w:tc>
        <w:tc>
          <w:tcPr>
            <w:tcW w:w="5610" w:type="dxa"/>
            <w:tcBorders>
              <w:top w:val="nil"/>
              <w:left w:val="nil"/>
              <w:bottom w:val="single" w:sz="11" w:space="0" w:color="002060"/>
              <w:right w:val="single" w:sz="11" w:space="0" w:color="002060"/>
            </w:tcBorders>
            <w:tcMar>
              <w:top w:w="0" w:type="dxa"/>
              <w:left w:w="100" w:type="dxa"/>
              <w:bottom w:w="0" w:type="dxa"/>
              <w:right w:w="100" w:type="dxa"/>
            </w:tcMar>
          </w:tcPr>
          <w:p w14:paraId="537F639C" w14:textId="77777777" w:rsidR="006C137B" w:rsidRPr="00A12988" w:rsidRDefault="00D71680">
            <w:pPr>
              <w:spacing w:before="240" w:after="160"/>
            </w:pPr>
            <w:r w:rsidRPr="00A12988">
              <w:t>BMW might expand their range of i4 into similar high-end mobility offerings, battery services, or intelligent digital mobility platforms (</w:t>
            </w:r>
            <w:proofErr w:type="spellStart"/>
            <w:r w:rsidRPr="00A12988">
              <w:t>Pavlínek</w:t>
            </w:r>
            <w:proofErr w:type="spellEnd"/>
            <w:r w:rsidRPr="00A12988">
              <w:t>, 2022).</w:t>
            </w:r>
          </w:p>
        </w:tc>
      </w:tr>
    </w:tbl>
    <w:p w14:paraId="528AE309" w14:textId="77777777" w:rsidR="006C137B" w:rsidRPr="00A12988" w:rsidRDefault="006C137B"/>
    <w:p w14:paraId="35349F05" w14:textId="77777777" w:rsidR="006C137B" w:rsidRPr="00A12988" w:rsidRDefault="00D71680">
      <w:r w:rsidRPr="00A12988">
        <w:t>In the case of BMW i4, market penetration and product development are the most appropriate in the short to medium-term growth strategies. Market penetration will be effective as BMW already has a good brand, distribution, and customer recognition in high-end car markets (</w:t>
      </w:r>
      <w:proofErr w:type="spellStart"/>
      <w:r w:rsidRPr="00A12988">
        <w:t>Fogel</w:t>
      </w:r>
      <w:proofErr w:type="spellEnd"/>
      <w:r w:rsidRPr="00A12988">
        <w:t>, 2016). The product development also plays a key role, as the EV market is growing at a significant pace, and people require a continuous increase in range, charging, software, and design (Liu, 2024). Altogether, BMW needs to focus on penetration, product development, and selective market development, whereas diversification should be a longer-term strategy as it is associated with the greatest uncertainty.</w:t>
      </w:r>
    </w:p>
    <w:p w14:paraId="3EC558FC" w14:textId="77777777" w:rsidR="006C137B" w:rsidRPr="00A12988" w:rsidRDefault="00D71680">
      <w:r w:rsidRPr="00A12988">
        <w:br w:type="page"/>
      </w:r>
    </w:p>
    <w:p w14:paraId="33F3910B" w14:textId="77777777" w:rsidR="006C137B" w:rsidRPr="00A12988" w:rsidRDefault="00D71680" w:rsidP="00052158">
      <w:pPr>
        <w:pStyle w:val="Heading1"/>
      </w:pPr>
      <w:bookmarkStart w:id="35" w:name="_7fgbdownintm" w:colFirst="0" w:colLast="0"/>
      <w:bookmarkStart w:id="36" w:name="_Toc228506460"/>
      <w:bookmarkEnd w:id="35"/>
      <w:r w:rsidRPr="00A12988">
        <w:t>Green Strategy and CSR</w:t>
      </w:r>
      <w:bookmarkEnd w:id="36"/>
    </w:p>
    <w:p w14:paraId="22101024" w14:textId="77777777" w:rsidR="006C137B" w:rsidRPr="00A12988" w:rsidRDefault="00D71680">
      <w:pPr>
        <w:spacing w:before="120" w:after="120"/>
      </w:pPr>
      <w:r w:rsidRPr="00A12988">
        <w:t>The BMW i4 is highly urgent within the spheres of green strategy as well as corporate social responsibility (CSR), as the environment, customer needs, and regulatory change determine the formation of the high-end electric sedan market segment (</w:t>
      </w:r>
      <w:proofErr w:type="spellStart"/>
      <w:r w:rsidRPr="00A12988">
        <w:t>Fogel</w:t>
      </w:r>
      <w:proofErr w:type="spellEnd"/>
      <w:r w:rsidRPr="00A12988">
        <w:t>, 2016). Green strategy is not only focused on the protection of the environment, but also on finding business opportunities in terms of sustainability-related activities. It can also create three drivers, namely, government legislation, business opportunity, and customer pressure to change (BMW Group, 2023). Each of these drivers can be directly applied to the BMW i4 since electric cars are not only becoming increasingly highly valued due to their excellent performance.</w:t>
      </w:r>
    </w:p>
    <w:p w14:paraId="15EB4315" w14:textId="77777777" w:rsidR="004B7C94" w:rsidRPr="00A12988" w:rsidRDefault="004B7C94">
      <w:pPr>
        <w:spacing w:before="120" w:after="120"/>
      </w:pPr>
    </w:p>
    <w:p w14:paraId="5D47F0F2" w14:textId="77777777" w:rsidR="006C137B" w:rsidRPr="00A12988" w:rsidRDefault="00D71680">
      <w:pPr>
        <w:spacing w:before="120" w:after="120"/>
      </w:pPr>
      <w:r w:rsidRPr="00A12988">
        <w:t>In the case of BMW, it cannot be confined to selling an electric car. It will include the wider green value chain that includes responsible sourcing of battery materials, efficient use of electrical energy in manufacturing, carbon emissions, recycling, and minimizing the waste content (Swallow, 2023). This matters because sustainability can never be handled in that way that it may be concentrated towards just a number of areas that make up the organization, like suppliers and customers, but in a broad angle to a given environmental policy. With the BMW i4, the value of high-quality design and driving experience will be created in addition to sustainable provisions, which will be believable in the manufacture and delivery of products (</w:t>
      </w:r>
      <w:proofErr w:type="spellStart"/>
      <w:r w:rsidRPr="00A12988">
        <w:t>Capgemini</w:t>
      </w:r>
      <w:proofErr w:type="spellEnd"/>
      <w:r w:rsidRPr="00A12988">
        <w:t>, 2023). CSR also adds up to the BMW strategic goals. In such a way, green strategy and CSR are not external to business strategy, as they are pivotal in helping to guarantee customer trust, social expectations, and staying on top of the competition with the BMW i4.</w:t>
      </w:r>
    </w:p>
    <w:p w14:paraId="2BF352C6" w14:textId="77777777" w:rsidR="006C137B" w:rsidRPr="00A12988" w:rsidRDefault="006C137B">
      <w:pPr>
        <w:spacing w:before="120" w:after="120"/>
      </w:pPr>
    </w:p>
    <w:p w14:paraId="30BB4E1F" w14:textId="77777777" w:rsidR="006C137B" w:rsidRPr="00A12988" w:rsidRDefault="00D71680">
      <w:r w:rsidRPr="00A12988">
        <w:br w:type="page"/>
      </w:r>
    </w:p>
    <w:p w14:paraId="1CB0CD16" w14:textId="77777777" w:rsidR="006C137B" w:rsidRPr="00A12988" w:rsidRDefault="00D71680" w:rsidP="00052158">
      <w:pPr>
        <w:pStyle w:val="Heading1"/>
      </w:pPr>
      <w:bookmarkStart w:id="37" w:name="_qba90yvqjg61" w:colFirst="0" w:colLast="0"/>
      <w:bookmarkStart w:id="38" w:name="_Toc228506461"/>
      <w:bookmarkEnd w:id="37"/>
      <w:r w:rsidRPr="00A12988">
        <w:t>Conclusion</w:t>
      </w:r>
      <w:bookmarkEnd w:id="38"/>
    </w:p>
    <w:p w14:paraId="45B885F4" w14:textId="4764EF9B" w:rsidR="006C137B" w:rsidRPr="00A12988" w:rsidRDefault="00D71680">
      <w:r w:rsidRPr="00A12988">
        <w:t xml:space="preserve">This report concludes that the BMW i4 has a strong standing in the premium electric sedan market, due to its capability to bring together the brand's success, engineering ability, quality of products, and new cellular invention on that side, together with the increasing transition to electrification in the market. It was found that the external environment is not only </w:t>
      </w:r>
      <w:r w:rsidR="004B7C94" w:rsidRPr="00A12988">
        <w:t>favourable</w:t>
      </w:r>
      <w:r w:rsidRPr="00A12988">
        <w:t xml:space="preserve"> to the development of premium EVs, but also very competitive and dynamic. The resources and capabilities that BMW has, including research and development, high-level manufacturing, and excellent quality customer experiences, are its strong points that the company can leverage thanks to its internally owned nature. As per the generic strategy developed by Porter, the i4 competes mostly on the grounds of differentiation that has been enabled by performance, luxury, technology, and sustainability. However, the harsh challenge of severe competition, dependency on batteries, new inventions, and growing demands are also facing the industry. It must be strategically positioned to perform in the changing global environment.</w:t>
      </w:r>
      <w:r w:rsidRPr="00A12988">
        <w:br w:type="page"/>
      </w:r>
    </w:p>
    <w:p w14:paraId="52F7CDFC" w14:textId="77777777" w:rsidR="006C137B" w:rsidRPr="00A12988" w:rsidRDefault="00D71680" w:rsidP="00052158">
      <w:pPr>
        <w:pStyle w:val="Heading1"/>
      </w:pPr>
      <w:bookmarkStart w:id="39" w:name="_nha1qcj9qjqq" w:colFirst="0" w:colLast="0"/>
      <w:bookmarkStart w:id="40" w:name="_Toc228506462"/>
      <w:bookmarkEnd w:id="39"/>
      <w:r w:rsidRPr="00A12988">
        <w:t>Recommendation</w:t>
      </w:r>
      <w:bookmarkEnd w:id="40"/>
    </w:p>
    <w:p w14:paraId="07A62F6A" w14:textId="77777777" w:rsidR="006C137B" w:rsidRPr="00A12988" w:rsidRDefault="00D71680">
      <w:r w:rsidRPr="00A12988">
        <w:t>BMW ought to reinforce the competitive advantage of the i4 via a focused differentiation scheme, backed by selective market maturing as well as constant product advancement. BMW needs to continue making investments in battery efficiency, software quality, convenience of charging, and digital capabilities to ensure that the i4 is a unique product in a market where competitors can soon reduce the performance gap between each other (</w:t>
      </w:r>
      <w:proofErr w:type="spellStart"/>
      <w:r w:rsidRPr="00A12988">
        <w:t>Gouveia</w:t>
      </w:r>
      <w:proofErr w:type="spellEnd"/>
      <w:r w:rsidRPr="00A12988">
        <w:t xml:space="preserve"> et al., 2024). The company should carefully penetrate the high-potential foreign markets where high-end EVs are in higher demand, and market and positioning should be oriented towards the local customer preferences. Sourcing of the battery can be conducted responsibly, recycling and less-carbon production should assist BMW in achieving more sustainability in the larger value chain. It would improve the competitiveness and sustainability of strategic resilience. They have to fit in the strategic position of BMW, to be acceptable to the stakeholders, and viable in terms of resources, systems, and organizational capacity. This would increase competitiveness and long-term strategic resiliency.</w:t>
      </w:r>
    </w:p>
    <w:p w14:paraId="0D75BA72" w14:textId="77777777" w:rsidR="006C137B" w:rsidRPr="00A12988" w:rsidRDefault="00D71680">
      <w:r w:rsidRPr="00A12988">
        <w:br w:type="page"/>
      </w:r>
    </w:p>
    <w:p w14:paraId="787E5F15" w14:textId="77777777" w:rsidR="006C137B" w:rsidRPr="00A12988" w:rsidRDefault="00D71680" w:rsidP="00052158">
      <w:pPr>
        <w:pStyle w:val="Heading1"/>
      </w:pPr>
      <w:bookmarkStart w:id="41" w:name="_jfb0bqrfq8is" w:colFirst="0" w:colLast="0"/>
      <w:bookmarkStart w:id="42" w:name="_Toc228506463"/>
      <w:bookmarkEnd w:id="41"/>
      <w:r w:rsidRPr="00A12988">
        <w:t>Reflection</w:t>
      </w:r>
      <w:bookmarkEnd w:id="42"/>
    </w:p>
    <w:p w14:paraId="2312A743" w14:textId="77777777" w:rsidR="006C137B" w:rsidRPr="00A12988" w:rsidRDefault="00D71680">
      <w:pPr>
        <w:spacing w:before="120" w:after="120"/>
      </w:pPr>
      <w:r w:rsidRPr="00A12988">
        <w:t>The Gibbs Reflective Cycle model is a reflection tool that assists one in reflecting on an event or experience. It comes in 6 parts, namely, Description, Feelings, Evaluation, Analysis, Conclusion, and Plan of Action (He, 2018). The cycle has the ability to enhance the learning process via a systematic process of reflection about experience, coming to inferences, and planning to make improvements.</w:t>
      </w:r>
    </w:p>
    <w:p w14:paraId="5935D512" w14:textId="20E29D32" w:rsidR="004B7C94" w:rsidRPr="00A12988" w:rsidRDefault="004B7C94">
      <w:pPr>
        <w:spacing w:before="120" w:after="120"/>
      </w:pPr>
      <w:r w:rsidRPr="00A12988">
        <w:rPr>
          <w:noProof/>
        </w:rPr>
        <w:drawing>
          <wp:inline distT="0" distB="0" distL="0" distR="0" wp14:anchorId="63132568" wp14:editId="3E1DF444">
            <wp:extent cx="5731510" cy="4298950"/>
            <wp:effectExtent l="0" t="0" r="2540" b="6350"/>
            <wp:docPr id="1270109402" name="Picture 6"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4CDD479" w14:textId="49E2A966" w:rsidR="004B7C94" w:rsidRPr="00A12988" w:rsidRDefault="004B7C94" w:rsidP="004B7C94">
      <w:pPr>
        <w:pStyle w:val="Caption"/>
      </w:pPr>
      <w:r w:rsidRPr="00A12988">
        <w:t xml:space="preserve">Table </w:t>
      </w:r>
      <w:r w:rsidRPr="00A12988">
        <w:fldChar w:fldCharType="begin"/>
      </w:r>
      <w:r w:rsidRPr="00A12988">
        <w:instrText xml:space="preserve"> SEQ Table \* ARABIC </w:instrText>
      </w:r>
      <w:r w:rsidRPr="00A12988">
        <w:fldChar w:fldCharType="separate"/>
      </w:r>
      <w:r w:rsidRPr="00A12988">
        <w:rPr>
          <w:noProof/>
        </w:rPr>
        <w:t>8</w:t>
      </w:r>
      <w:r w:rsidRPr="00A12988">
        <w:fldChar w:fldCharType="end"/>
      </w:r>
      <w:r w:rsidRPr="00A12988">
        <w:t xml:space="preserve"> The Gibbs Reflective Cycle (McLeod, 2025).</w:t>
      </w:r>
    </w:p>
    <w:p w14:paraId="1DA767EB" w14:textId="77777777" w:rsidR="006C137B" w:rsidRPr="00A12988" w:rsidRDefault="00D71680" w:rsidP="00052158">
      <w:pPr>
        <w:pStyle w:val="Heading2"/>
      </w:pPr>
      <w:bookmarkStart w:id="43" w:name="_3stm9tmr3sbn" w:colFirst="0" w:colLast="0"/>
      <w:bookmarkStart w:id="44" w:name="_Toc228506464"/>
      <w:bookmarkEnd w:id="43"/>
      <w:r w:rsidRPr="00A12988">
        <w:t>Description</w:t>
      </w:r>
      <w:bookmarkEnd w:id="44"/>
    </w:p>
    <w:p w14:paraId="3A4A6D26" w14:textId="77777777" w:rsidR="006C137B" w:rsidRPr="00A12988" w:rsidRDefault="00D71680">
      <w:pPr>
        <w:spacing w:before="120" w:after="120"/>
      </w:pPr>
      <w:r w:rsidRPr="00A12988">
        <w:t xml:space="preserve">This reflective report explains how I went about doing the research, analysis, and writing the strategic analysis of the BMW i4 in the high-end electric sedan market. First of all, I had to know the assignment requirements. I have also read the assessment brief, the template of the guideline, and the content of the lecture to find out the appropriate structure (McLeod, 2025). I gathered data on the subject, both by researching company sources, notes in class, and documents relating to the market. I then broke down the report into key parts of the report, which were: introduction, background, macro-environment analysis, micro-environment analysis, internal analysis, growth strategies, green strategy and CSR, conclusion, and finally recommendations. I used the strategic models that were PESTEL, five forces, VRIO, Value Chain, SWOT, Porter's generic strategy, and the </w:t>
      </w:r>
      <w:proofErr w:type="spellStart"/>
      <w:r w:rsidRPr="00A12988">
        <w:t>Ansoff</w:t>
      </w:r>
      <w:proofErr w:type="spellEnd"/>
      <w:r w:rsidRPr="00A12988">
        <w:t xml:space="preserve"> Matrices. I have also related the discussion to the concepts learned in lecture, which were strategic fit, implementation, sustainability, and competitive advantage.</w:t>
      </w:r>
    </w:p>
    <w:p w14:paraId="544A2F48" w14:textId="77777777" w:rsidR="006C137B" w:rsidRPr="00A12988" w:rsidRDefault="00D71680" w:rsidP="00052158">
      <w:pPr>
        <w:pStyle w:val="Heading2"/>
      </w:pPr>
      <w:bookmarkStart w:id="45" w:name="_kdplewt31o28" w:colFirst="0" w:colLast="0"/>
      <w:bookmarkStart w:id="46" w:name="_Toc228506465"/>
      <w:bookmarkEnd w:id="45"/>
      <w:r w:rsidRPr="00A12988">
        <w:t>Feelings</w:t>
      </w:r>
      <w:bookmarkEnd w:id="46"/>
    </w:p>
    <w:p w14:paraId="3D04CD40" w14:textId="77777777" w:rsidR="006C137B" w:rsidRPr="00A12988" w:rsidRDefault="00D71680">
      <w:pPr>
        <w:spacing w:before="120" w:after="120"/>
      </w:pPr>
      <w:r w:rsidRPr="00A12988">
        <w:t>I was somewhat confused with the beginning of the task, as the task had many various models, and the level of critical discussion was at a high stage. My other question was how to get the topic down. Initially, I considered writing on BMW as the entire company, then I realized that a more dedicated approach to the product level would be more appropriate, on an academic level. Once I selected the BMW i4, I became more convinced because I got to know the extent. In gathering the information, I have been interested, as well as challenged. I was intrigued since the subject is timely and topical, particularly thanks to the worldwide trend towards electric cars and sustainability. It was difficult to juggle between the company-related information and academic analysis, but I struggled with it. I was more pleased at the end of the report, as I had developed better skills in organizing ideas and the application of theory in a real business case.</w:t>
      </w:r>
    </w:p>
    <w:p w14:paraId="7C42DFE5" w14:textId="77777777" w:rsidR="006C137B" w:rsidRPr="00A12988" w:rsidRDefault="006C137B">
      <w:pPr>
        <w:spacing w:before="120" w:after="120"/>
      </w:pPr>
    </w:p>
    <w:p w14:paraId="2C94579E" w14:textId="77777777" w:rsidR="006C137B" w:rsidRPr="00A12988" w:rsidRDefault="00D71680" w:rsidP="00052158">
      <w:pPr>
        <w:pStyle w:val="Heading2"/>
      </w:pPr>
      <w:bookmarkStart w:id="47" w:name="_3q5l6yamnlri" w:colFirst="0" w:colLast="0"/>
      <w:bookmarkStart w:id="48" w:name="_Toc228506466"/>
      <w:bookmarkEnd w:id="47"/>
      <w:r w:rsidRPr="00A12988">
        <w:t>Evaluation</w:t>
      </w:r>
      <w:bookmarkEnd w:id="48"/>
    </w:p>
    <w:p w14:paraId="51F212F4" w14:textId="77777777" w:rsidR="006C137B" w:rsidRPr="00A12988" w:rsidRDefault="00D71680">
      <w:pPr>
        <w:spacing w:before="120" w:after="120"/>
      </w:pPr>
      <w:r w:rsidRPr="00A12988">
        <w:t>One of the positive aspects of this process was that I was in a position to narrow down the focus of the report. The choice of the BMW i4 instead of providing an overview of BMW resulted in the analysis being both more focused and oriented to business-level strategy. The other positive aspect was that the lecture materials were quite useful in developing the report (Hopkinson, 2024). They not only gave a good picture of what each one of these models is supposed to accomplish, but they also showed the connection between issues. My ability to structure the report equally in a logical manner was another strength. The other weakness about it was that it had areas that must be provided with proper judgment and not with simple facts, as some, such as industry life cycle, Porter's Five Forces, were considered to be a bit problematic.</w:t>
      </w:r>
    </w:p>
    <w:p w14:paraId="4ECDEA37" w14:textId="77777777" w:rsidR="006C137B" w:rsidRPr="00A12988" w:rsidRDefault="006C137B">
      <w:pPr>
        <w:spacing w:before="120" w:after="120"/>
      </w:pPr>
    </w:p>
    <w:p w14:paraId="4C9F1613" w14:textId="77777777" w:rsidR="006C137B" w:rsidRPr="00A12988" w:rsidRDefault="00D71680" w:rsidP="00052158">
      <w:pPr>
        <w:pStyle w:val="Heading2"/>
      </w:pPr>
      <w:bookmarkStart w:id="49" w:name="_xn0asft46wu2" w:colFirst="0" w:colLast="0"/>
      <w:bookmarkStart w:id="50" w:name="_Toc228506467"/>
      <w:bookmarkEnd w:id="49"/>
      <w:r w:rsidRPr="00A12988">
        <w:t>Analysis</w:t>
      </w:r>
      <w:bookmarkEnd w:id="50"/>
    </w:p>
    <w:p w14:paraId="0E1EA56E" w14:textId="77777777" w:rsidR="006C137B" w:rsidRPr="00A12988" w:rsidRDefault="00D71680">
      <w:pPr>
        <w:spacing w:before="120" w:after="120"/>
      </w:pPr>
      <w:r w:rsidRPr="00A12988">
        <w:t>This experience helped me to identify that researching and writing a strategic report will not necessarily be about the accumulation of information. It is connected with the selection of topical information, its processing with the help of the necessary models, and the creation of a consistent argument (McLeod, 2025). To illustrate, PESTEL allowed me to examine the macro-environment, and it could not be used in itself to define competitiveness. The Five Forces created by Porter have helped me research into the rivalry and industry attractiveness, and value chain analysis provided me with an opportunity to balance the assets internal to BMW in order to maintain the BMW i4. I have also discovered that each model has a specific purpose, and combining them with each other produces a more comprehensive image.</w:t>
      </w:r>
    </w:p>
    <w:p w14:paraId="48BD2E39" w14:textId="77777777" w:rsidR="006C137B" w:rsidRPr="00A12988" w:rsidRDefault="00D71680" w:rsidP="00052158">
      <w:pPr>
        <w:pStyle w:val="Heading2"/>
      </w:pPr>
      <w:bookmarkStart w:id="51" w:name="_9sdxw21icjn1" w:colFirst="0" w:colLast="0"/>
      <w:bookmarkStart w:id="52" w:name="_Toc228506468"/>
      <w:bookmarkEnd w:id="51"/>
      <w:r w:rsidRPr="00A12988">
        <w:t>Conclusion</w:t>
      </w:r>
      <w:bookmarkEnd w:id="52"/>
    </w:p>
    <w:p w14:paraId="1CA32291" w14:textId="77777777" w:rsidR="006C137B" w:rsidRPr="00A12988" w:rsidRDefault="00D71680">
      <w:pPr>
        <w:spacing w:before="120" w:after="120"/>
      </w:pPr>
      <w:r w:rsidRPr="00A12988">
        <w:t>Overall, it was an informative assignment to learn. Enhancing my knowledge of strategic management made me utilize the theoretical knowledge from classrooms to a product in a real market. I learned that a strategic report should be an effective report that needs to be focused, well organized, and provide relevant evidence and clear services between theory and practice (Hopkinson, 2024). Critical writing also taught me that not only is it the writing of description, but it is also writing with the terms of judgment, comparison, and explanation. Although I struggled a bit trying to strike the proper balance between the detail and analysis.</w:t>
      </w:r>
    </w:p>
    <w:p w14:paraId="3971D0B2" w14:textId="77777777" w:rsidR="006C137B" w:rsidRPr="00A12988" w:rsidRDefault="006C137B">
      <w:pPr>
        <w:spacing w:before="120" w:after="120"/>
      </w:pPr>
    </w:p>
    <w:p w14:paraId="5E600318" w14:textId="77777777" w:rsidR="006C137B" w:rsidRPr="00A12988" w:rsidRDefault="00D71680" w:rsidP="00052158">
      <w:pPr>
        <w:pStyle w:val="Heading2"/>
      </w:pPr>
      <w:bookmarkStart w:id="53" w:name="_pdun8fx07zii" w:colFirst="0" w:colLast="0"/>
      <w:bookmarkStart w:id="54" w:name="_Toc228506469"/>
      <w:bookmarkEnd w:id="53"/>
      <w:r w:rsidRPr="00A12988">
        <w:t>Action Plan</w:t>
      </w:r>
      <w:bookmarkEnd w:id="54"/>
    </w:p>
    <w:p w14:paraId="2463A608" w14:textId="77777777" w:rsidR="006C137B" w:rsidRPr="00A12988" w:rsidRDefault="00D71680">
      <w:pPr>
        <w:spacing w:before="120" w:after="120"/>
      </w:pPr>
      <w:r w:rsidRPr="00A12988">
        <w:t>To enhance my process, in the future, I would make multiple improvements. To avoid getting lost in the beginning, I would pre-establish the subject and cover. The second activity I would undertake prior to putting the pen to paper is to be able to list down, according to the intended use of each model, as well as the evidence needed in each section. I would also spend more time on data comparison and interpretation of its strategic meaning, as compared to gathering facts only. I would also read each paragraph to make sure that it is not a description-only paragraph, but an analytical paragraph. And lastly, I would further my practice of reflective writing in order that I can be more critical of my own learning and be more systematic in improving my academic work.</w:t>
      </w:r>
    </w:p>
    <w:p w14:paraId="1DE5537B" w14:textId="77777777" w:rsidR="006C137B" w:rsidRPr="00A12988" w:rsidRDefault="006C137B"/>
    <w:p w14:paraId="01C04F9B" w14:textId="6FAC4859" w:rsidR="00052158" w:rsidRPr="00A12988" w:rsidRDefault="00052158">
      <w:r w:rsidRPr="00A12988">
        <w:br w:type="page"/>
      </w:r>
    </w:p>
    <w:p w14:paraId="3F606BF4" w14:textId="1498C5C7" w:rsidR="006C137B" w:rsidRPr="00A12988" w:rsidRDefault="00052158" w:rsidP="00052158">
      <w:pPr>
        <w:pStyle w:val="Heading1"/>
      </w:pPr>
      <w:bookmarkStart w:id="55" w:name="_Toc228506470"/>
      <w:r w:rsidRPr="00A12988">
        <w:t>Reference</w:t>
      </w:r>
      <w:bookmarkEnd w:id="55"/>
    </w:p>
    <w:p w14:paraId="395F4B61" w14:textId="77777777" w:rsidR="00052158" w:rsidRPr="00A12988" w:rsidRDefault="00052158" w:rsidP="00052158">
      <w:r w:rsidRPr="00A12988">
        <w:t xml:space="preserve">ACEA (2026). </w:t>
      </w:r>
      <w:r w:rsidRPr="00A12988">
        <w:rPr>
          <w:i/>
          <w:iCs/>
        </w:rPr>
        <w:t>New car registrations: +1.8% in 2025; battery-electric 17.4% market share</w:t>
      </w:r>
      <w:r w:rsidRPr="00A12988">
        <w:t>. [online] ACEA - European Automobile Manufacturers’ Association. Available at: https://www.acea.auto/pc-registrations/new-car-registrations-1-8-in-2025-battery-electric-17-4-market-share/ [Accessed 27 Jan. 2026].</w:t>
      </w:r>
    </w:p>
    <w:p w14:paraId="17DB9D96" w14:textId="77777777" w:rsidR="00052158" w:rsidRPr="00A12988" w:rsidRDefault="00052158" w:rsidP="00052158">
      <w:proofErr w:type="spellStart"/>
      <w:r w:rsidRPr="00A12988">
        <w:t>Adamik</w:t>
      </w:r>
      <w:proofErr w:type="spellEnd"/>
      <w:r w:rsidRPr="00A12988">
        <w:t xml:space="preserve">, A. and </w:t>
      </w:r>
      <w:proofErr w:type="spellStart"/>
      <w:r w:rsidRPr="00A12988">
        <w:t>Lisowski</w:t>
      </w:r>
      <w:proofErr w:type="spellEnd"/>
      <w:r w:rsidRPr="00A12988">
        <w:t xml:space="preserve">, B. (2025). Competitive advantage based on technology in times of technological breakthroughs and global crises: BMW Group and Toyota Motor Corporation. </w:t>
      </w:r>
      <w:r w:rsidRPr="00A12988">
        <w:rPr>
          <w:i/>
          <w:iCs/>
        </w:rPr>
        <w:t>Edward Elgar Publishing eBooks</w:t>
      </w:r>
      <w:r w:rsidRPr="00A12988">
        <w:t>, pp.167–191.</w:t>
      </w:r>
    </w:p>
    <w:p w14:paraId="5F3932B2" w14:textId="77777777" w:rsidR="00052158" w:rsidRPr="00A12988" w:rsidRDefault="00052158" w:rsidP="00052158">
      <w:r w:rsidRPr="00A12988">
        <w:t xml:space="preserve">Alonso, T. (2023). </w:t>
      </w:r>
      <w:r w:rsidRPr="00A12988">
        <w:rPr>
          <w:i/>
          <w:iCs/>
        </w:rPr>
        <w:t>Strategy Study: How BMW’s strategic pivot made it a global automotive giant</w:t>
      </w:r>
      <w:r w:rsidRPr="00A12988">
        <w:t xml:space="preserve">. [online] </w:t>
      </w:r>
      <w:proofErr w:type="spellStart"/>
      <w:r w:rsidRPr="00A12988">
        <w:t>www.cascade.app</w:t>
      </w:r>
      <w:proofErr w:type="spellEnd"/>
      <w:r w:rsidRPr="00A12988">
        <w:t>. Available at: https://www.cascade.app/studies/how-bmw-strategic-pivot-made-it-a-global-automotive-giant [Accessed 20 Apr. 2026].</w:t>
      </w:r>
    </w:p>
    <w:p w14:paraId="305AC123" w14:textId="77777777" w:rsidR="00052158" w:rsidRPr="00A12988" w:rsidRDefault="00052158" w:rsidP="00052158">
      <w:r w:rsidRPr="00A12988">
        <w:t xml:space="preserve">Andres, A. (2026). </w:t>
      </w:r>
      <w:r w:rsidRPr="00A12988">
        <w:rPr>
          <w:i/>
          <w:iCs/>
        </w:rPr>
        <w:t>BMW Is Phasing Out Its Best-Selling EV Sooner Than Expected</w:t>
      </w:r>
      <w:r w:rsidRPr="00A12988">
        <w:t xml:space="preserve">. [online] </w:t>
      </w:r>
      <w:proofErr w:type="spellStart"/>
      <w:r w:rsidRPr="00A12988">
        <w:t>Autoblog</w:t>
      </w:r>
      <w:proofErr w:type="spellEnd"/>
      <w:r w:rsidRPr="00A12988">
        <w:t>. Available at: https://www.autoblog.com/news/bmw-is-phasing-out-its-best-selling-ev-sooner-than-expected#:~:text=Key%20Points,News [Accessed 19 Apr. 2026].</w:t>
      </w:r>
    </w:p>
    <w:p w14:paraId="24B039D4" w14:textId="77777777" w:rsidR="00052158" w:rsidRPr="00A12988" w:rsidRDefault="00052158" w:rsidP="00052158">
      <w:r w:rsidRPr="00A12988">
        <w:t xml:space="preserve">Armstrong, M., 2021. </w:t>
      </w:r>
      <w:r w:rsidRPr="00A12988">
        <w:rPr>
          <w:i/>
          <w:iCs/>
        </w:rPr>
        <w:t>Armstrong’s Handbook of Strategic Human Resource Management</w:t>
      </w:r>
      <w:r w:rsidRPr="00A12988">
        <w:t xml:space="preserve">. 7th ed. London: </w:t>
      </w:r>
      <w:proofErr w:type="spellStart"/>
      <w:r w:rsidRPr="00A12988">
        <w:t>Kogan</w:t>
      </w:r>
      <w:proofErr w:type="spellEnd"/>
      <w:r w:rsidRPr="00A12988">
        <w:t xml:space="preserve"> Page. </w:t>
      </w:r>
    </w:p>
    <w:p w14:paraId="17A732E4" w14:textId="77777777" w:rsidR="00052158" w:rsidRPr="00A12988" w:rsidRDefault="00052158" w:rsidP="00052158">
      <w:r w:rsidRPr="00A12988">
        <w:t xml:space="preserve">Bailey, C., </w:t>
      </w:r>
      <w:proofErr w:type="spellStart"/>
      <w:r w:rsidRPr="00A12988">
        <w:t>Mankin</w:t>
      </w:r>
      <w:proofErr w:type="spellEnd"/>
      <w:r w:rsidRPr="00A12988">
        <w:t xml:space="preserve">, D., </w:t>
      </w:r>
      <w:proofErr w:type="spellStart"/>
      <w:r w:rsidRPr="00A12988">
        <w:t>Kelliher</w:t>
      </w:r>
      <w:proofErr w:type="spellEnd"/>
      <w:r w:rsidRPr="00A12988">
        <w:t xml:space="preserve">, C. &amp; </w:t>
      </w:r>
      <w:proofErr w:type="spellStart"/>
      <w:r w:rsidRPr="00A12988">
        <w:t>Garavan</w:t>
      </w:r>
      <w:proofErr w:type="spellEnd"/>
      <w:r w:rsidRPr="00A12988">
        <w:t xml:space="preserve">, T., 2018. </w:t>
      </w:r>
      <w:r w:rsidRPr="00A12988">
        <w:rPr>
          <w:i/>
          <w:iCs/>
        </w:rPr>
        <w:t>Strategic Human Resource Management</w:t>
      </w:r>
      <w:r w:rsidRPr="00A12988">
        <w:t xml:space="preserve">. 2nd ed. Oxford: Oxford University Press. </w:t>
      </w:r>
    </w:p>
    <w:p w14:paraId="04580323" w14:textId="77777777" w:rsidR="00052158" w:rsidRPr="00A12988" w:rsidRDefault="00052158" w:rsidP="00052158">
      <w:r w:rsidRPr="00A12988">
        <w:t xml:space="preserve">Barney, J. B. &amp; </w:t>
      </w:r>
      <w:proofErr w:type="spellStart"/>
      <w:r w:rsidRPr="00A12988">
        <w:t>Hesterly</w:t>
      </w:r>
      <w:proofErr w:type="spellEnd"/>
      <w:r w:rsidRPr="00A12988">
        <w:t xml:space="preserve">, W. S., 2015. </w:t>
      </w:r>
      <w:r w:rsidRPr="00A12988">
        <w:rPr>
          <w:i/>
          <w:iCs/>
        </w:rPr>
        <w:t>Strategic Management and Competitive Advantage: Concepts and Cases</w:t>
      </w:r>
      <w:r w:rsidRPr="00A12988">
        <w:t xml:space="preserve">. 5th ed. Essex: Pearson Education Limited. </w:t>
      </w:r>
    </w:p>
    <w:p w14:paraId="3F7D12EE" w14:textId="77777777" w:rsidR="00052158" w:rsidRPr="00A12988" w:rsidRDefault="00052158" w:rsidP="00052158">
      <w:r w:rsidRPr="00A12988">
        <w:t xml:space="preserve">BMW (2024). </w:t>
      </w:r>
      <w:r w:rsidRPr="00A12988">
        <w:rPr>
          <w:i/>
          <w:iCs/>
        </w:rPr>
        <w:t xml:space="preserve">Exterior of the BMW Coupe in </w:t>
      </w:r>
      <w:proofErr w:type="spellStart"/>
      <w:r w:rsidRPr="00A12988">
        <w:rPr>
          <w:i/>
          <w:iCs/>
        </w:rPr>
        <w:t>Dravit</w:t>
      </w:r>
      <w:proofErr w:type="spellEnd"/>
      <w:r w:rsidRPr="00A12988">
        <w:rPr>
          <w:i/>
          <w:iCs/>
        </w:rPr>
        <w:t xml:space="preserve"> Grey Metallic</w:t>
      </w:r>
      <w:r w:rsidRPr="00A12988">
        <w:t>. [online] Bmwusa.com. Available at: https://www.bmwusa.com/vehicles/bmw-i-series/i4/bmw-i4-gran-coupe.html [Accessed 19 Apr. 2026].</w:t>
      </w:r>
    </w:p>
    <w:p w14:paraId="3C4C1DA9" w14:textId="77777777" w:rsidR="00052158" w:rsidRPr="00A12988" w:rsidRDefault="00052158" w:rsidP="00052158">
      <w:r w:rsidRPr="00A12988">
        <w:t xml:space="preserve">BMW Group (2023). </w:t>
      </w:r>
      <w:r w:rsidRPr="00A12988">
        <w:rPr>
          <w:i/>
          <w:iCs/>
        </w:rPr>
        <w:t>Sustainability</w:t>
      </w:r>
      <w:r w:rsidRPr="00A12988">
        <w:t>. [online] BMW Group. Available at: https://www.bmwgroup.com/en/sustainability.html [Accessed 20 Apr. 2026].</w:t>
      </w:r>
    </w:p>
    <w:p w14:paraId="4F1AB722" w14:textId="77777777" w:rsidR="00052158" w:rsidRPr="00A12988" w:rsidRDefault="00052158" w:rsidP="00052158">
      <w:r w:rsidRPr="00A12988">
        <w:t xml:space="preserve">BMW Group (2025). </w:t>
      </w:r>
      <w:r w:rsidRPr="00A12988">
        <w:rPr>
          <w:i/>
          <w:iCs/>
        </w:rPr>
        <w:t>BMW Group vehicle sales grew in 2025 – strong performance particularly in Europe and the US, and with electrified models</w:t>
      </w:r>
      <w:r w:rsidRPr="00A12988">
        <w:t xml:space="preserve">. [online] BMW Group </w:t>
      </w:r>
      <w:proofErr w:type="spellStart"/>
      <w:r w:rsidRPr="00A12988">
        <w:t>PressClub</w:t>
      </w:r>
      <w:proofErr w:type="spellEnd"/>
      <w:r w:rsidRPr="00A12988">
        <w:t>. Available at: https://www.press.bmwgroup.com/global/article/detail/T0454859EN/bmw-group-vehicle-sales-grew-in-2025-%E2%80%93-strong-performance-particularly-in-europe-and-the-us-and-with-electrified-models?language=en [Accessed 19 Apr. 2026].</w:t>
      </w:r>
    </w:p>
    <w:p w14:paraId="4EF06BEB" w14:textId="77777777" w:rsidR="00052158" w:rsidRPr="00A12988" w:rsidRDefault="00052158" w:rsidP="00052158">
      <w:r w:rsidRPr="00A12988">
        <w:t xml:space="preserve">BMW Group (2026). </w:t>
      </w:r>
      <w:r w:rsidRPr="00A12988">
        <w:rPr>
          <w:i/>
          <w:iCs/>
        </w:rPr>
        <w:t>Introducing The BMW Group</w:t>
      </w:r>
      <w:r w:rsidRPr="00A12988">
        <w:t>. [online] BMW Group. Available at: https://www.bmwgroup.com/en/company.html [Accessed 19 Apr. 2026].</w:t>
      </w:r>
    </w:p>
    <w:p w14:paraId="7868E4AB" w14:textId="77777777" w:rsidR="00052158" w:rsidRPr="00A12988" w:rsidRDefault="00052158" w:rsidP="00052158">
      <w:r w:rsidRPr="00A12988">
        <w:t xml:space="preserve">BMW UK (2025). </w:t>
      </w:r>
      <w:r w:rsidRPr="00A12988">
        <w:rPr>
          <w:i/>
          <w:iCs/>
        </w:rPr>
        <w:t xml:space="preserve">Exterior of the BMW i4 Gran Coupé in </w:t>
      </w:r>
      <w:proofErr w:type="spellStart"/>
      <w:r w:rsidRPr="00A12988">
        <w:rPr>
          <w:i/>
          <w:iCs/>
        </w:rPr>
        <w:t>Dravitgrey</w:t>
      </w:r>
      <w:proofErr w:type="spellEnd"/>
      <w:r w:rsidRPr="00A12988">
        <w:t>. [online] Bmw.co.uk. Available at: https://www.bmw.co.uk/en/all-models/bmw-i/i4/bmw-i4-gran-coupe.html [Accessed 19 Apr. 2026].</w:t>
      </w:r>
    </w:p>
    <w:p w14:paraId="6B196D34" w14:textId="77777777" w:rsidR="00052158" w:rsidRPr="00A12988" w:rsidRDefault="00052158" w:rsidP="00052158">
      <w:proofErr w:type="spellStart"/>
      <w:r w:rsidRPr="00A12988">
        <w:t>Capgemini</w:t>
      </w:r>
      <w:proofErr w:type="spellEnd"/>
      <w:r w:rsidRPr="00A12988">
        <w:t xml:space="preserve"> (2023). </w:t>
      </w:r>
      <w:r w:rsidRPr="00A12988">
        <w:rPr>
          <w:i/>
          <w:iCs/>
        </w:rPr>
        <w:t>The BMW Group strengthens its frontrunner position in sustainable supply chains</w:t>
      </w:r>
      <w:r w:rsidRPr="00A12988">
        <w:t xml:space="preserve">. [online] </w:t>
      </w:r>
      <w:proofErr w:type="spellStart"/>
      <w:r w:rsidRPr="00A12988">
        <w:t>Capgemini</w:t>
      </w:r>
      <w:proofErr w:type="spellEnd"/>
      <w:r w:rsidRPr="00A12988">
        <w:t xml:space="preserve"> India. Available at: https://www.capgemini.com/in-en/news/client-stories/the-bmw-group-strengthens-its-frontrunner-position-in-sustainable-supply-chains/ [Accessed 20 Apr. 2026].</w:t>
      </w:r>
    </w:p>
    <w:p w14:paraId="497F521C" w14:textId="77777777" w:rsidR="00052158" w:rsidRPr="00A12988" w:rsidRDefault="00052158" w:rsidP="00052158">
      <w:r w:rsidRPr="00A12988">
        <w:t xml:space="preserve">Cinch (2025). </w:t>
      </w:r>
      <w:r w:rsidRPr="00A12988">
        <w:rPr>
          <w:i/>
          <w:iCs/>
        </w:rPr>
        <w:t xml:space="preserve">What is BMW </w:t>
      </w:r>
      <w:proofErr w:type="spellStart"/>
      <w:r w:rsidRPr="00A12988">
        <w:rPr>
          <w:i/>
          <w:iCs/>
        </w:rPr>
        <w:t>ConnectedDrive</w:t>
      </w:r>
      <w:proofErr w:type="spellEnd"/>
      <w:r w:rsidRPr="00A12988">
        <w:rPr>
          <w:i/>
          <w:iCs/>
        </w:rPr>
        <w:t xml:space="preserve"> and is it worth it? - cinch</w:t>
      </w:r>
      <w:r w:rsidRPr="00A12988">
        <w:t>. [online] www.cinch.co.uk. Available at: https://www.cinch.co.uk/guides/car-maintenance/what-is-bmw-connected-drive [Accessed 20 Apr. 2026].</w:t>
      </w:r>
    </w:p>
    <w:p w14:paraId="347DDD81" w14:textId="77777777" w:rsidR="00052158" w:rsidRPr="00A12988" w:rsidRDefault="00052158" w:rsidP="00052158">
      <w:r w:rsidRPr="00A12988">
        <w:t xml:space="preserve">Daniels, J. D., </w:t>
      </w:r>
      <w:proofErr w:type="spellStart"/>
      <w:r w:rsidRPr="00A12988">
        <w:t>Radebaugh</w:t>
      </w:r>
      <w:proofErr w:type="spellEnd"/>
      <w:r w:rsidRPr="00A12988">
        <w:t xml:space="preserve">, L. H. &amp; Sullivan, D. P., 2015. </w:t>
      </w:r>
      <w:r w:rsidRPr="00A12988">
        <w:rPr>
          <w:i/>
          <w:iCs/>
        </w:rPr>
        <w:t>International Business: Environments and Operations</w:t>
      </w:r>
      <w:r w:rsidRPr="00A12988">
        <w:t xml:space="preserve">. 15th ed. Essex: Pearson Education Limited. </w:t>
      </w:r>
    </w:p>
    <w:p w14:paraId="5BA775D4" w14:textId="77777777" w:rsidR="00052158" w:rsidRPr="00A12988" w:rsidRDefault="00052158" w:rsidP="00052158">
      <w:r w:rsidRPr="00A12988">
        <w:t xml:space="preserve">Deloitte (2026). </w:t>
      </w:r>
      <w:r w:rsidRPr="00A12988">
        <w:rPr>
          <w:i/>
          <w:iCs/>
        </w:rPr>
        <w:t>Only one in ten UK consumers would go electric for their next vehicle</w:t>
      </w:r>
      <w:r w:rsidRPr="00A12988">
        <w:t>. [online] Deloitte United Kingdom. Available at: https://www.deloitte.com/uk/en/about/press-room/only-one-in-ten-uk-consumers-would-go-electric-for-their-next-vehicle.html [Accessed 19 Apr. 2026].</w:t>
      </w:r>
    </w:p>
    <w:p w14:paraId="4260294C" w14:textId="77777777" w:rsidR="00052158" w:rsidRPr="00A12988" w:rsidRDefault="00052158" w:rsidP="00052158">
      <w:r w:rsidRPr="00A12988">
        <w:t xml:space="preserve">EEA (2025). </w:t>
      </w:r>
      <w:r w:rsidRPr="00A12988">
        <w:rPr>
          <w:i/>
          <w:iCs/>
        </w:rPr>
        <w:t>Transport and Mobility</w:t>
      </w:r>
      <w:r w:rsidRPr="00A12988">
        <w:t xml:space="preserve">. [online] </w:t>
      </w:r>
      <w:proofErr w:type="spellStart"/>
      <w:r w:rsidRPr="00A12988">
        <w:t>www.eea.europa.eu</w:t>
      </w:r>
      <w:proofErr w:type="spellEnd"/>
      <w:r w:rsidRPr="00A12988">
        <w:t>. Available at: https://www.eea.europa.eu/en/topics/in-depth/transport-and-mobility [Accessed 19 Apr. 2026].</w:t>
      </w:r>
    </w:p>
    <w:p w14:paraId="7E1D15EF" w14:textId="77777777" w:rsidR="00052158" w:rsidRPr="00A12988" w:rsidRDefault="00052158" w:rsidP="00052158">
      <w:proofErr w:type="spellStart"/>
      <w:r w:rsidRPr="00A12988">
        <w:t>Electrive</w:t>
      </w:r>
      <w:proofErr w:type="spellEnd"/>
      <w:r w:rsidRPr="00A12988">
        <w:t xml:space="preserve"> (2026). </w:t>
      </w:r>
      <w:r w:rsidRPr="00A12988">
        <w:rPr>
          <w:i/>
          <w:iCs/>
        </w:rPr>
        <w:t>BMW delivers fewer battery-electric vehicles - electrive.com</w:t>
      </w:r>
      <w:r w:rsidRPr="00A12988">
        <w:t>. [online] electrive.com. Available at: https://www.electrive.com/2026/04/15/bmw-delivers-fewer-battery-electric-vehicles/ [Accessed 20 Apr. 2026].</w:t>
      </w:r>
    </w:p>
    <w:p w14:paraId="3CDF5D0C" w14:textId="77777777" w:rsidR="00052158" w:rsidRPr="00A12988" w:rsidRDefault="00052158" w:rsidP="00052158">
      <w:proofErr w:type="spellStart"/>
      <w:r w:rsidRPr="00A12988">
        <w:t>Ershova</w:t>
      </w:r>
      <w:proofErr w:type="spellEnd"/>
      <w:r w:rsidRPr="00A12988">
        <w:t xml:space="preserve">, A.E. and </w:t>
      </w:r>
      <w:proofErr w:type="spellStart"/>
      <w:r w:rsidRPr="00A12988">
        <w:t>Kuznetsov</w:t>
      </w:r>
      <w:proofErr w:type="spellEnd"/>
      <w:r w:rsidRPr="00A12988">
        <w:t xml:space="preserve">, A.N. (2019). Strategy Competitive Development Of The Company </w:t>
      </w:r>
      <w:proofErr w:type="spellStart"/>
      <w:r w:rsidRPr="00A12988">
        <w:t>Bmw</w:t>
      </w:r>
      <w:proofErr w:type="spellEnd"/>
      <w:r w:rsidRPr="00A12988">
        <w:t xml:space="preserve"> Group. </w:t>
      </w:r>
      <w:r w:rsidRPr="00A12988">
        <w:rPr>
          <w:i/>
          <w:iCs/>
        </w:rPr>
        <w:t>Business Strategies</w:t>
      </w:r>
      <w:r w:rsidRPr="00A12988">
        <w:t>. [online] Available at: https://ideas.repec.org/a/aci/journl/y2019id537.html.</w:t>
      </w:r>
    </w:p>
    <w:p w14:paraId="60016C80" w14:textId="77777777" w:rsidR="00052158" w:rsidRPr="00A12988" w:rsidRDefault="00052158" w:rsidP="00052158">
      <w:r w:rsidRPr="00A12988">
        <w:t xml:space="preserve">European Commission (2023). </w:t>
      </w:r>
      <w:r w:rsidRPr="00A12988">
        <w:rPr>
          <w:i/>
          <w:iCs/>
        </w:rPr>
        <w:t>Batteries</w:t>
      </w:r>
      <w:r w:rsidRPr="00A12988">
        <w:t xml:space="preserve">. [online] </w:t>
      </w:r>
      <w:proofErr w:type="spellStart"/>
      <w:r w:rsidRPr="00A12988">
        <w:t>environment.ec.europa.eu</w:t>
      </w:r>
      <w:proofErr w:type="spellEnd"/>
      <w:r w:rsidRPr="00A12988">
        <w:t>. Available at: https://environment.ec.europa.eu/topics/waste-and-recycling/batteries_en [Accessed 19 Apr. 2026].</w:t>
      </w:r>
    </w:p>
    <w:p w14:paraId="31AC4DDB" w14:textId="77777777" w:rsidR="00052158" w:rsidRPr="00A12988" w:rsidRDefault="00052158" w:rsidP="00052158">
      <w:r w:rsidRPr="00A12988">
        <w:t xml:space="preserve">European Commission (2024). </w:t>
      </w:r>
      <w:r w:rsidRPr="00A12988">
        <w:rPr>
          <w:i/>
          <w:iCs/>
        </w:rPr>
        <w:t>Alternative Fuels Infrastructure</w:t>
      </w:r>
      <w:r w:rsidRPr="00A12988">
        <w:t>. [online] Mobility and Transport. Available at: https://transport.ec.europa.eu/transport-themes/clean-transport/alternative-fuels-sustainable-mobility-europe/alternative-fuels-infrastructure_en?utm_source=chatgpt.com [Accessed 19 Apr. 2026].</w:t>
      </w:r>
    </w:p>
    <w:p w14:paraId="3A339EDB" w14:textId="77777777" w:rsidR="00052158" w:rsidRPr="00A12988" w:rsidRDefault="00052158" w:rsidP="00052158">
      <w:r w:rsidRPr="00A12988">
        <w:t xml:space="preserve">European Commission (2026). </w:t>
      </w:r>
      <w:r w:rsidRPr="00A12988">
        <w:rPr>
          <w:i/>
          <w:iCs/>
        </w:rPr>
        <w:t>Cars and vans</w:t>
      </w:r>
      <w:r w:rsidRPr="00A12988">
        <w:t>. [online] Climate Action. Available at: https://climate.ec.europa.eu/eu-action/transport-decarbonisation/road-transport/cars-and-vans_en [Accessed 19 Apr. 2026].</w:t>
      </w:r>
    </w:p>
    <w:p w14:paraId="6961F84B" w14:textId="77777777" w:rsidR="00052158" w:rsidRPr="00A12988" w:rsidRDefault="00052158" w:rsidP="00052158">
      <w:proofErr w:type="spellStart"/>
      <w:r w:rsidRPr="00A12988">
        <w:t>Fogel</w:t>
      </w:r>
      <w:proofErr w:type="spellEnd"/>
      <w:r w:rsidRPr="00A12988">
        <w:t xml:space="preserve">, D. S., 2016. </w:t>
      </w:r>
      <w:r w:rsidRPr="00A12988">
        <w:rPr>
          <w:i/>
          <w:iCs/>
        </w:rPr>
        <w:t>Strategic Sustainability: A Natural Environmental Lens on Organizations and Management</w:t>
      </w:r>
      <w:r w:rsidRPr="00A12988">
        <w:t>. New York: Routledge.</w:t>
      </w:r>
    </w:p>
    <w:p w14:paraId="6E7F530C" w14:textId="77777777" w:rsidR="00052158" w:rsidRPr="00A12988" w:rsidRDefault="00052158" w:rsidP="00052158">
      <w:r w:rsidRPr="00A12988">
        <w:t xml:space="preserve">Gamble, J. E., </w:t>
      </w:r>
      <w:proofErr w:type="spellStart"/>
      <w:r w:rsidRPr="00A12988">
        <w:t>Peteraf</w:t>
      </w:r>
      <w:proofErr w:type="spellEnd"/>
      <w:r w:rsidRPr="00A12988">
        <w:t xml:space="preserve">, M. A. &amp; Thompson Jr, A. A., 2015. </w:t>
      </w:r>
      <w:r w:rsidRPr="00A12988">
        <w:rPr>
          <w:i/>
          <w:iCs/>
        </w:rPr>
        <w:t>Essentials of Strategic Management: The Quest for Competitive Advantage</w:t>
      </w:r>
      <w:r w:rsidRPr="00A12988">
        <w:t xml:space="preserve">. 4th ed. New York: McGraw-Hill Education. </w:t>
      </w:r>
    </w:p>
    <w:p w14:paraId="25A1F297" w14:textId="77777777" w:rsidR="00052158" w:rsidRPr="00A12988" w:rsidRDefault="00052158" w:rsidP="00052158">
      <w:r w:rsidRPr="00A12988">
        <w:t xml:space="preserve">GCBC (2023). </w:t>
      </w:r>
      <w:r w:rsidRPr="00A12988">
        <w:rPr>
          <w:i/>
          <w:iCs/>
        </w:rPr>
        <w:t>BMW i4 Sales Figures</w:t>
      </w:r>
      <w:r w:rsidRPr="00A12988">
        <w:t>. [online] GCBC. Available at: https://www.goodcarbadcar.net/bmw-i4-sales-figures/ [Accessed 19 Apr. 2026].</w:t>
      </w:r>
    </w:p>
    <w:p w14:paraId="50E44ED1" w14:textId="77777777" w:rsidR="00052158" w:rsidRPr="00A12988" w:rsidRDefault="00052158" w:rsidP="00052158">
      <w:proofErr w:type="spellStart"/>
      <w:r w:rsidRPr="00A12988">
        <w:t>Gouveia</w:t>
      </w:r>
      <w:proofErr w:type="spellEnd"/>
      <w:r w:rsidRPr="00A12988">
        <w:t xml:space="preserve">, S., Daniel, José </w:t>
      </w:r>
      <w:proofErr w:type="spellStart"/>
      <w:r w:rsidRPr="00A12988">
        <w:t>Luís</w:t>
      </w:r>
      <w:proofErr w:type="spellEnd"/>
      <w:r w:rsidRPr="00A12988">
        <w:t xml:space="preserve"> </w:t>
      </w:r>
      <w:proofErr w:type="spellStart"/>
      <w:r w:rsidRPr="00A12988">
        <w:t>Abrantes</w:t>
      </w:r>
      <w:proofErr w:type="spellEnd"/>
      <w:r w:rsidRPr="00A12988">
        <w:t xml:space="preserve">, </w:t>
      </w:r>
      <w:proofErr w:type="spellStart"/>
      <w:r w:rsidRPr="00A12988">
        <w:t>López</w:t>
      </w:r>
      <w:proofErr w:type="spellEnd"/>
      <w:r w:rsidRPr="00A12988">
        <w:t xml:space="preserve">, A.J., Silva, E., </w:t>
      </w:r>
      <w:proofErr w:type="spellStart"/>
      <w:r w:rsidRPr="00A12988">
        <w:t>Gouveia</w:t>
      </w:r>
      <w:proofErr w:type="spellEnd"/>
      <w:r w:rsidRPr="00A12988">
        <w:t xml:space="preserve">, E. and Santos, V. (2024). Electrifying Strategic Management: Leveraging Electric Vehicles for Sustainable Value Creation? </w:t>
      </w:r>
      <w:r w:rsidRPr="00A12988">
        <w:rPr>
          <w:i/>
          <w:iCs/>
        </w:rPr>
        <w:t>Energies</w:t>
      </w:r>
      <w:r w:rsidRPr="00A12988">
        <w:t xml:space="preserve">, [online] 17(18), pp.4581–4581. </w:t>
      </w:r>
      <w:proofErr w:type="spellStart"/>
      <w:r w:rsidRPr="00A12988">
        <w:t>doi:https</w:t>
      </w:r>
      <w:proofErr w:type="spellEnd"/>
      <w:r w:rsidRPr="00A12988">
        <w:t>://doi.org/10.3390/en17184581.</w:t>
      </w:r>
    </w:p>
    <w:p w14:paraId="61B07819" w14:textId="77777777" w:rsidR="00052158" w:rsidRPr="00A12988" w:rsidRDefault="00052158" w:rsidP="00052158">
      <w:r w:rsidRPr="00A12988">
        <w:t xml:space="preserve">Griffin, R. W. &amp; </w:t>
      </w:r>
      <w:proofErr w:type="spellStart"/>
      <w:r w:rsidRPr="00A12988">
        <w:t>Pustay</w:t>
      </w:r>
      <w:proofErr w:type="spellEnd"/>
      <w:r w:rsidRPr="00A12988">
        <w:t xml:space="preserve">, M. W., 2015. </w:t>
      </w:r>
      <w:r w:rsidRPr="00A12988">
        <w:rPr>
          <w:i/>
          <w:iCs/>
        </w:rPr>
        <w:t>International Business: A Managerial Perspective</w:t>
      </w:r>
      <w:r w:rsidRPr="00A12988">
        <w:t xml:space="preserve">. 8th ed. Essex: Pearson Education Limited. </w:t>
      </w:r>
    </w:p>
    <w:p w14:paraId="49FC3E8F" w14:textId="77777777" w:rsidR="00052158" w:rsidRPr="00A12988" w:rsidRDefault="00052158" w:rsidP="00052158">
      <w:r w:rsidRPr="00A12988">
        <w:t xml:space="preserve">He, K.N. (2018). </w:t>
      </w:r>
      <w:r w:rsidRPr="00A12988">
        <w:rPr>
          <w:i/>
          <w:iCs/>
        </w:rPr>
        <w:t xml:space="preserve">Gibbs’ Reflective Cycle </w:t>
      </w:r>
      <w:r w:rsidRPr="00A12988">
        <w:t>. [online] Available at: https://cy-onekhmer.com/wp-content/uploads/2018/12/4.-PPL-reflective-clinical-experiences-2.pdf [Accessed 20 Apr. 2026].</w:t>
      </w:r>
    </w:p>
    <w:p w14:paraId="6CF8C7DE" w14:textId="77777777" w:rsidR="00052158" w:rsidRPr="00A12988" w:rsidRDefault="00052158" w:rsidP="00052158">
      <w:proofErr w:type="spellStart"/>
      <w:r w:rsidRPr="00A12988">
        <w:t>Hertzke</w:t>
      </w:r>
      <w:proofErr w:type="spellEnd"/>
      <w:r w:rsidRPr="00A12988">
        <w:t xml:space="preserve">, P., </w:t>
      </w:r>
      <w:proofErr w:type="spellStart"/>
      <w:r w:rsidRPr="00A12988">
        <w:t>Schaufuss</w:t>
      </w:r>
      <w:proofErr w:type="spellEnd"/>
      <w:r w:rsidRPr="00A12988">
        <w:t xml:space="preserve">, P., </w:t>
      </w:r>
      <w:proofErr w:type="spellStart"/>
      <w:r w:rsidRPr="00A12988">
        <w:t>Kampshoff</w:t>
      </w:r>
      <w:proofErr w:type="spellEnd"/>
      <w:r w:rsidRPr="00A12988">
        <w:t xml:space="preserve">, P. and </w:t>
      </w:r>
      <w:proofErr w:type="spellStart"/>
      <w:r w:rsidRPr="00A12988">
        <w:t>Möller</w:t>
      </w:r>
      <w:proofErr w:type="spellEnd"/>
      <w:r w:rsidRPr="00A12988">
        <w:t xml:space="preserve">, T. (2025). </w:t>
      </w:r>
      <w:r w:rsidRPr="00A12988">
        <w:rPr>
          <w:i/>
          <w:iCs/>
        </w:rPr>
        <w:t>New twists in the electric-vehicle transition: A consumer perspective</w:t>
      </w:r>
      <w:r w:rsidRPr="00A12988">
        <w:t>. [online] McKinsey &amp; Company. Available at: https://www.mckinsey.com/features/mckinsey-center-for-future-mobility/our-insights/new-twists-in-the-electric-vehicle-transition-a-consumer-perspective.</w:t>
      </w:r>
    </w:p>
    <w:p w14:paraId="1F187A46" w14:textId="77777777" w:rsidR="00052158" w:rsidRPr="00A12988" w:rsidRDefault="00052158" w:rsidP="00052158">
      <w:r w:rsidRPr="00A12988">
        <w:t xml:space="preserve">Hill, C. W. L., Schilling, M. A. &amp; Jones, G. R., 2017. </w:t>
      </w:r>
      <w:r w:rsidRPr="00A12988">
        <w:rPr>
          <w:i/>
          <w:iCs/>
        </w:rPr>
        <w:t>Strategic Management, Theory</w:t>
      </w:r>
      <w:r w:rsidRPr="00A12988">
        <w:t xml:space="preserve">. 12th ed. Boston: Cengage Learning. </w:t>
      </w:r>
    </w:p>
    <w:p w14:paraId="09179531" w14:textId="77777777" w:rsidR="00052158" w:rsidRPr="00A12988" w:rsidRDefault="00052158" w:rsidP="00052158">
      <w:r w:rsidRPr="00A12988">
        <w:t xml:space="preserve">Hopkinson, C. (2024). </w:t>
      </w:r>
      <w:r w:rsidRPr="00A12988">
        <w:rPr>
          <w:i/>
          <w:iCs/>
        </w:rPr>
        <w:t>Gibbs Reflective Cycle – Routledge Blog</w:t>
      </w:r>
      <w:r w:rsidRPr="00A12988">
        <w:t>. [online] Routledge.com. Available at: https://blog.routledge.com/medicine-and-healthcare/gibbs-reflective-cycle/ [Accessed 20 Apr. 2026].</w:t>
      </w:r>
    </w:p>
    <w:p w14:paraId="68C33065" w14:textId="77777777" w:rsidR="00052158" w:rsidRPr="00A12988" w:rsidRDefault="00052158" w:rsidP="00052158">
      <w:r w:rsidRPr="00A12988">
        <w:t xml:space="preserve">IEA (2025). </w:t>
      </w:r>
      <w:r w:rsidRPr="00A12988">
        <w:rPr>
          <w:i/>
          <w:iCs/>
        </w:rPr>
        <w:t>Executive summary – Global EV Outlook 2025 – Analysis - IEA</w:t>
      </w:r>
      <w:r w:rsidRPr="00A12988">
        <w:t>. [online] IEA. Available at: https://www.iea.org/reports/global-ev-outlook-2025/executive-summary [Accessed 19 Apr. 2026].</w:t>
      </w:r>
    </w:p>
    <w:p w14:paraId="23248A5B" w14:textId="77777777" w:rsidR="00052158" w:rsidRPr="00A12988" w:rsidRDefault="00052158" w:rsidP="00052158">
      <w:r w:rsidRPr="00A12988">
        <w:t xml:space="preserve">Johnson, G. et al., 2017. </w:t>
      </w:r>
      <w:r w:rsidRPr="00A12988">
        <w:rPr>
          <w:i/>
          <w:iCs/>
        </w:rPr>
        <w:t>Exploring Corporate: Text and Cases</w:t>
      </w:r>
      <w:r w:rsidRPr="00A12988">
        <w:t xml:space="preserve">. 11th ed. Harlow: Pearson Education Limited. </w:t>
      </w:r>
    </w:p>
    <w:p w14:paraId="4BDC7B9B" w14:textId="77777777" w:rsidR="00052158" w:rsidRPr="00A12988" w:rsidRDefault="00052158" w:rsidP="00052158">
      <w:proofErr w:type="spellStart"/>
      <w:r w:rsidRPr="00A12988">
        <w:t>Kukkamalla</w:t>
      </w:r>
      <w:proofErr w:type="spellEnd"/>
      <w:r w:rsidRPr="00A12988">
        <w:t xml:space="preserve">, P.K., </w:t>
      </w:r>
      <w:proofErr w:type="spellStart"/>
      <w:r w:rsidRPr="00A12988">
        <w:t>Bikfalvi</w:t>
      </w:r>
      <w:proofErr w:type="spellEnd"/>
      <w:r w:rsidRPr="00A12988">
        <w:t xml:space="preserve">, A. and </w:t>
      </w:r>
      <w:proofErr w:type="spellStart"/>
      <w:r w:rsidRPr="00A12988">
        <w:t>Arbussa</w:t>
      </w:r>
      <w:proofErr w:type="spellEnd"/>
      <w:r w:rsidRPr="00A12988">
        <w:t xml:space="preserve">, A. (2021). The new BMW: business model innovation transforms an automotive leader. </w:t>
      </w:r>
      <w:r w:rsidRPr="00A12988">
        <w:rPr>
          <w:i/>
          <w:iCs/>
        </w:rPr>
        <w:t>Journal of Business Strategy</w:t>
      </w:r>
      <w:r w:rsidRPr="00A12988">
        <w:t xml:space="preserve">, [online] 42(4). </w:t>
      </w:r>
      <w:proofErr w:type="spellStart"/>
      <w:r w:rsidRPr="00A12988">
        <w:t>doi:https</w:t>
      </w:r>
      <w:proofErr w:type="spellEnd"/>
      <w:r w:rsidRPr="00A12988">
        <w:t>://doi.org/10.1108/jbs-02-2020-0021.</w:t>
      </w:r>
    </w:p>
    <w:p w14:paraId="647ECC23" w14:textId="77777777" w:rsidR="00052158" w:rsidRPr="00A12988" w:rsidRDefault="00052158" w:rsidP="00052158">
      <w:r w:rsidRPr="00A12988">
        <w:t xml:space="preserve">Li, S. (2025). BMW Electric Vehicles Transition and Future Market. </w:t>
      </w:r>
      <w:r w:rsidRPr="00A12988">
        <w:rPr>
          <w:i/>
          <w:iCs/>
        </w:rPr>
        <w:t>Advances in Economics, Business and Management Research</w:t>
      </w:r>
      <w:r w:rsidRPr="00A12988">
        <w:t xml:space="preserve">, pp.723–733. </w:t>
      </w:r>
      <w:proofErr w:type="spellStart"/>
      <w:r w:rsidRPr="00A12988">
        <w:t>doi:https</w:t>
      </w:r>
      <w:proofErr w:type="spellEnd"/>
      <w:r w:rsidRPr="00A12988">
        <w:t>://doi.org/10.2991/978-94-6463-770-0_81.</w:t>
      </w:r>
    </w:p>
    <w:p w14:paraId="6F6A4AF4" w14:textId="77777777" w:rsidR="00052158" w:rsidRPr="00A12988" w:rsidRDefault="00052158" w:rsidP="00052158">
      <w:r w:rsidRPr="00A12988">
        <w:t xml:space="preserve">Liu, C. (2024). Impact of New Energy Vehicles on Traditional Automotive Manufacturers: The Case of BMW. </w:t>
      </w:r>
      <w:r w:rsidRPr="00A12988">
        <w:rPr>
          <w:i/>
          <w:iCs/>
        </w:rPr>
        <w:t>SHS Web of Conferences</w:t>
      </w:r>
      <w:r w:rsidRPr="00A12988">
        <w:t xml:space="preserve">, [online] 207, pp.04018–04018. </w:t>
      </w:r>
      <w:proofErr w:type="spellStart"/>
      <w:r w:rsidRPr="00A12988">
        <w:t>doi:https</w:t>
      </w:r>
      <w:proofErr w:type="spellEnd"/>
      <w:r w:rsidRPr="00A12988">
        <w:t>://doi.org/10.1051/shsconf/202420704018.</w:t>
      </w:r>
    </w:p>
    <w:p w14:paraId="5BCA7697" w14:textId="77777777" w:rsidR="00052158" w:rsidRPr="00A12988" w:rsidRDefault="00052158" w:rsidP="00052158">
      <w:r w:rsidRPr="00A12988">
        <w:t xml:space="preserve">Lynch, R., 2022. </w:t>
      </w:r>
      <w:r w:rsidRPr="00A12988">
        <w:rPr>
          <w:i/>
          <w:iCs/>
        </w:rPr>
        <w:t>Strategic Management</w:t>
      </w:r>
      <w:r w:rsidRPr="00A12988">
        <w:t xml:space="preserve">. 9th ed. Harlow: Pearson Education Limited. </w:t>
      </w:r>
    </w:p>
    <w:p w14:paraId="013453C1" w14:textId="77777777" w:rsidR="00052158" w:rsidRPr="00A12988" w:rsidRDefault="00052158" w:rsidP="00052158">
      <w:r w:rsidRPr="00A12988">
        <w:t xml:space="preserve">McLeod, S. (2025). </w:t>
      </w:r>
      <w:r w:rsidRPr="00A12988">
        <w:rPr>
          <w:i/>
          <w:iCs/>
        </w:rPr>
        <w:t>Gibbs Reflective Cycle</w:t>
      </w:r>
      <w:r w:rsidRPr="00A12988">
        <w:t>. [online] Simply Psychology. Available at: https://www.simplypsychology.org/gibbs-reflective-cycle.html [Accessed 20 Apr. 2026].</w:t>
      </w:r>
    </w:p>
    <w:p w14:paraId="4F7DBEDF" w14:textId="77777777" w:rsidR="00052158" w:rsidRPr="00A12988" w:rsidRDefault="00052158" w:rsidP="00052158">
      <w:r w:rsidRPr="00A12988">
        <w:t xml:space="preserve">Nieto, J., Brockway, P.E., Sakai, M. and Barrett, J. (2024). Assessing the energy and socio-macroeconomic impacts of the EV transition: A UK case study 2020–2050. </w:t>
      </w:r>
      <w:r w:rsidRPr="00A12988">
        <w:rPr>
          <w:i/>
          <w:iCs/>
        </w:rPr>
        <w:t>Applied Energy</w:t>
      </w:r>
      <w:r w:rsidRPr="00A12988">
        <w:t xml:space="preserve">, 370, pp.123367–123367. </w:t>
      </w:r>
      <w:proofErr w:type="spellStart"/>
      <w:r w:rsidRPr="00A12988">
        <w:t>doi:https</w:t>
      </w:r>
      <w:proofErr w:type="spellEnd"/>
      <w:r w:rsidRPr="00A12988">
        <w:t>://doi.org/10.1016/j.apenergy.2024.123367.</w:t>
      </w:r>
    </w:p>
    <w:p w14:paraId="26104DDA" w14:textId="77777777" w:rsidR="00052158" w:rsidRPr="00A12988" w:rsidRDefault="00052158" w:rsidP="00052158">
      <w:proofErr w:type="spellStart"/>
      <w:r w:rsidRPr="00A12988">
        <w:t>Pavlínek</w:t>
      </w:r>
      <w:proofErr w:type="spellEnd"/>
      <w:r w:rsidRPr="00A12988">
        <w:t xml:space="preserve">, P. (2022). Transition of the automotive industry towards electric vehicle production in the east European integrated periphery. </w:t>
      </w:r>
      <w:proofErr w:type="spellStart"/>
      <w:r w:rsidRPr="00A12988">
        <w:rPr>
          <w:i/>
          <w:iCs/>
        </w:rPr>
        <w:t>Empirica</w:t>
      </w:r>
      <w:proofErr w:type="spellEnd"/>
      <w:r w:rsidRPr="00A12988">
        <w:t xml:space="preserve">, [online] 50. </w:t>
      </w:r>
      <w:proofErr w:type="spellStart"/>
      <w:r w:rsidRPr="00A12988">
        <w:t>doi:https</w:t>
      </w:r>
      <w:proofErr w:type="spellEnd"/>
      <w:r w:rsidRPr="00A12988">
        <w:t>://doi.org/10.1007/s10663-022-09554-9.</w:t>
      </w:r>
    </w:p>
    <w:p w14:paraId="5A876528" w14:textId="77777777" w:rsidR="00052158" w:rsidRPr="00A12988" w:rsidRDefault="00052158" w:rsidP="00052158">
      <w:r w:rsidRPr="00A12988">
        <w:t xml:space="preserve">Salah, N. (2026). Enhancing the Competitive Advantage of Industrial Enterprises in the Age of Artificial Intelligence: An Analytical Study of BMW’s Experience. </w:t>
      </w:r>
      <w:r w:rsidRPr="00A12988">
        <w:rPr>
          <w:i/>
          <w:iCs/>
        </w:rPr>
        <w:t xml:space="preserve">Revue de </w:t>
      </w:r>
      <w:proofErr w:type="spellStart"/>
      <w:r w:rsidRPr="00A12988">
        <w:rPr>
          <w:i/>
          <w:iCs/>
        </w:rPr>
        <w:t>Recherches</w:t>
      </w:r>
      <w:proofErr w:type="spellEnd"/>
      <w:r w:rsidRPr="00A12988">
        <w:rPr>
          <w:i/>
          <w:iCs/>
        </w:rPr>
        <w:t xml:space="preserve"> et Etudes </w:t>
      </w:r>
      <w:proofErr w:type="spellStart"/>
      <w:r w:rsidRPr="00A12988">
        <w:rPr>
          <w:i/>
          <w:iCs/>
        </w:rPr>
        <w:t>Scientifiques</w:t>
      </w:r>
      <w:proofErr w:type="spellEnd"/>
      <w:r w:rsidRPr="00A12988">
        <w:t>, [online] 20(1), pp.1170–1188. Available at: https://asjp.cerist.dz/en/article/287527.</w:t>
      </w:r>
    </w:p>
    <w:p w14:paraId="17409BE1" w14:textId="77777777" w:rsidR="00052158" w:rsidRPr="00A12988" w:rsidRDefault="00052158" w:rsidP="00052158">
      <w:proofErr w:type="spellStart"/>
      <w:r w:rsidRPr="00A12988">
        <w:t>Skeete</w:t>
      </w:r>
      <w:proofErr w:type="spellEnd"/>
      <w:r w:rsidRPr="00A12988">
        <w:t xml:space="preserve">, J.-P., Wells, P., Dong, X., </w:t>
      </w:r>
      <w:proofErr w:type="spellStart"/>
      <w:r w:rsidRPr="00A12988">
        <w:t>Heidrich</w:t>
      </w:r>
      <w:proofErr w:type="spellEnd"/>
      <w:r w:rsidRPr="00A12988">
        <w:t xml:space="preserve">, O. and Harper, G. (2020). Beyond the </w:t>
      </w:r>
      <w:proofErr w:type="spellStart"/>
      <w:r w:rsidRPr="00A12988">
        <w:t>EVent</w:t>
      </w:r>
      <w:proofErr w:type="spellEnd"/>
      <w:r w:rsidRPr="00A12988">
        <w:t xml:space="preserve"> horizon: Battery waste, recycling, and Sustainability in the United Kingdom Electric Vehicle Transition. </w:t>
      </w:r>
      <w:r w:rsidRPr="00A12988">
        <w:rPr>
          <w:i/>
          <w:iCs/>
        </w:rPr>
        <w:t>Energy Research &amp; Social Science</w:t>
      </w:r>
      <w:r w:rsidRPr="00A12988">
        <w:t xml:space="preserve">, [online] 69(1), p.101581. </w:t>
      </w:r>
      <w:proofErr w:type="spellStart"/>
      <w:r w:rsidRPr="00A12988">
        <w:t>doi:https</w:t>
      </w:r>
      <w:proofErr w:type="spellEnd"/>
      <w:r w:rsidRPr="00A12988">
        <w:t>://doi.org/10.1016/j.erss.2020.101581.</w:t>
      </w:r>
    </w:p>
    <w:p w14:paraId="24A8D33E" w14:textId="77777777" w:rsidR="00052158" w:rsidRPr="00A12988" w:rsidRDefault="00052158" w:rsidP="00052158">
      <w:proofErr w:type="spellStart"/>
      <w:r w:rsidRPr="00A12988">
        <w:t>Sushmith</w:t>
      </w:r>
      <w:proofErr w:type="spellEnd"/>
      <w:r w:rsidRPr="00A12988">
        <w:t xml:space="preserve"> (2024). </w:t>
      </w:r>
      <w:r w:rsidRPr="00A12988">
        <w:rPr>
          <w:i/>
          <w:iCs/>
        </w:rPr>
        <w:t>BMW’s Luxury Marketing Strategy: Innovation &amp; Branding</w:t>
      </w:r>
      <w:r w:rsidRPr="00A12988">
        <w:t>. [online] Sprintzeal.com. Available at: https://www.sprintzeal.com/blog/bmw-marketing-strategy [Accessed 20 Apr. 2026].</w:t>
      </w:r>
    </w:p>
    <w:p w14:paraId="7BBCB674" w14:textId="77777777" w:rsidR="00052158" w:rsidRPr="00A12988" w:rsidRDefault="00052158" w:rsidP="00052158">
      <w:r w:rsidRPr="00A12988">
        <w:t xml:space="preserve">Swallow, T. (2023). </w:t>
      </w:r>
      <w:r w:rsidRPr="00A12988">
        <w:rPr>
          <w:i/>
          <w:iCs/>
        </w:rPr>
        <w:t>Top 10: Automotive Sustainability Strategies</w:t>
      </w:r>
      <w:r w:rsidRPr="00A12988">
        <w:t>. [online] sustainabilitymag.com. Available at: https://sustainabilitymag.com/top10/top-10-automotive-sustainability-strategies [Accessed 20 Apr. 2026].</w:t>
      </w:r>
    </w:p>
    <w:p w14:paraId="11B0848B" w14:textId="77777777" w:rsidR="00052158" w:rsidRPr="00A12988" w:rsidRDefault="00052158" w:rsidP="00052158">
      <w:proofErr w:type="spellStart"/>
      <w:r w:rsidRPr="00A12988">
        <w:t>Talikine</w:t>
      </w:r>
      <w:proofErr w:type="spellEnd"/>
      <w:r w:rsidRPr="00A12988">
        <w:t xml:space="preserve">, A. (2025). Case study on BMW AG: road to 2030 electrification. </w:t>
      </w:r>
      <w:proofErr w:type="spellStart"/>
      <w:r w:rsidRPr="00A12988">
        <w:rPr>
          <w:i/>
          <w:iCs/>
        </w:rPr>
        <w:t>Ulisboa.pt</w:t>
      </w:r>
      <w:proofErr w:type="spellEnd"/>
      <w:r w:rsidRPr="00A12988">
        <w:t xml:space="preserve">. [online] </w:t>
      </w:r>
      <w:proofErr w:type="spellStart"/>
      <w:r w:rsidRPr="00A12988">
        <w:t>doi:http</w:t>
      </w:r>
      <w:proofErr w:type="spellEnd"/>
      <w:r w:rsidRPr="00A12988">
        <w:t>://hdl.handle.net/10400.5/102710.</w:t>
      </w:r>
    </w:p>
    <w:p w14:paraId="3BD97A79" w14:textId="77777777" w:rsidR="00052158" w:rsidRPr="00A12988" w:rsidRDefault="00052158" w:rsidP="00052158">
      <w:r w:rsidRPr="00A12988">
        <w:t xml:space="preserve">The Straits Times (2026). </w:t>
      </w:r>
      <w:r w:rsidRPr="00A12988">
        <w:rPr>
          <w:i/>
          <w:iCs/>
        </w:rPr>
        <w:t>Hybrid cars top choice for consumers in Europe in 2025, shows data</w:t>
      </w:r>
      <w:r w:rsidRPr="00A12988">
        <w:t>. [online] The Straits Times. Available at: https://www.straitstimes.com/business/companies-markets/hybrid-cars-top-choice-for-consumers-in-europe-in-2025-data-shows [Accessed 19 Apr. 2026].</w:t>
      </w:r>
    </w:p>
    <w:p w14:paraId="213C53B8" w14:textId="77777777" w:rsidR="00052158" w:rsidRPr="00A12988" w:rsidRDefault="00052158" w:rsidP="00052158">
      <w:proofErr w:type="spellStart"/>
      <w:r w:rsidRPr="00A12988">
        <w:t>Trilaksono</w:t>
      </w:r>
      <w:proofErr w:type="spellEnd"/>
      <w:r w:rsidRPr="00A12988">
        <w:t xml:space="preserve">, T., </w:t>
      </w:r>
      <w:proofErr w:type="spellStart"/>
      <w:r w:rsidRPr="00A12988">
        <w:t>Simangunsong</w:t>
      </w:r>
      <w:proofErr w:type="spellEnd"/>
      <w:r w:rsidRPr="00A12988">
        <w:t xml:space="preserve">, E. and </w:t>
      </w:r>
      <w:proofErr w:type="spellStart"/>
      <w:r w:rsidRPr="00A12988">
        <w:t>Supriyadi</w:t>
      </w:r>
      <w:proofErr w:type="spellEnd"/>
      <w:r w:rsidRPr="00A12988">
        <w:t xml:space="preserve">, F. (2026). Towards sustainable e-mobility adoption: a technology acceptance model for the global automotive emerging market in Indonesia. </w:t>
      </w:r>
      <w:r w:rsidRPr="00A12988">
        <w:rPr>
          <w:i/>
          <w:iCs/>
        </w:rPr>
        <w:t>Sustainable Futures</w:t>
      </w:r>
      <w:r w:rsidRPr="00A12988">
        <w:t xml:space="preserve">, 11, p.101624. </w:t>
      </w:r>
      <w:proofErr w:type="spellStart"/>
      <w:r w:rsidRPr="00A12988">
        <w:t>doi:https</w:t>
      </w:r>
      <w:proofErr w:type="spellEnd"/>
      <w:r w:rsidRPr="00A12988">
        <w:t>://doi.org/10.1016/j.sftr.2025.101624.</w:t>
      </w:r>
    </w:p>
    <w:p w14:paraId="22647291" w14:textId="77777777" w:rsidR="00052158" w:rsidRPr="00A12988" w:rsidRDefault="00052158" w:rsidP="00052158">
      <w:proofErr w:type="spellStart"/>
      <w:r w:rsidRPr="00A12988">
        <w:t>Wheelen</w:t>
      </w:r>
      <w:proofErr w:type="spellEnd"/>
      <w:r w:rsidRPr="00A12988">
        <w:t xml:space="preserve">, T. L., Hunger, J. D., Hoffman, A. N. &amp; Bamford, C. E., 2018. </w:t>
      </w:r>
      <w:r w:rsidRPr="00A12988">
        <w:rPr>
          <w:i/>
          <w:iCs/>
        </w:rPr>
        <w:t>Strategic Management and Business Policy: Globalization, Innovation and Sustainability</w:t>
      </w:r>
      <w:r w:rsidRPr="00A12988">
        <w:t xml:space="preserve">. 15th ed. Harlow: Pearson Education. </w:t>
      </w:r>
    </w:p>
    <w:p w14:paraId="028BEB6A" w14:textId="77777777" w:rsidR="00052158" w:rsidRPr="00A12988" w:rsidRDefault="00052158" w:rsidP="00052158">
      <w:r w:rsidRPr="00A12988">
        <w:t xml:space="preserve">Whittington, R. et al., 2020. </w:t>
      </w:r>
      <w:r w:rsidRPr="00A12988">
        <w:rPr>
          <w:i/>
          <w:iCs/>
        </w:rPr>
        <w:t>Exploring Strategy</w:t>
      </w:r>
      <w:r w:rsidRPr="00A12988">
        <w:t xml:space="preserve">. 12th ed. Harlow: Pearson Education Limited. </w:t>
      </w:r>
    </w:p>
    <w:p w14:paraId="4CD2E09A" w14:textId="77777777" w:rsidR="00052158" w:rsidRPr="00A12988" w:rsidRDefault="00052158" w:rsidP="00052158">
      <w:r w:rsidRPr="00A12988">
        <w:t xml:space="preserve">You, X. (2025). </w:t>
      </w:r>
      <w:r w:rsidRPr="00A12988">
        <w:rPr>
          <w:i/>
          <w:iCs/>
        </w:rPr>
        <w:t>‘They’re just so much further ahead’: How China won the world’s EV battery race</w:t>
      </w:r>
      <w:r w:rsidRPr="00A12988">
        <w:t>. [online] Bbc.com. Available at: https://www.bbc.com/future/article/20251110-how-china-won-the-worlds-battery-race [Accessed 19 Apr. 2026].</w:t>
      </w:r>
    </w:p>
    <w:p w14:paraId="50FF5C66" w14:textId="77777777" w:rsidR="00052158" w:rsidRPr="00A12988" w:rsidRDefault="00052158" w:rsidP="00052158">
      <w:proofErr w:type="spellStart"/>
      <w:r w:rsidRPr="00A12988">
        <w:t>Zang</w:t>
      </w:r>
      <w:proofErr w:type="spellEnd"/>
      <w:r w:rsidRPr="00A12988">
        <w:t xml:space="preserve">, X., Abdullah, R.N., Feng, Y., Wu, M., Lu, Y., Zhu, E. and Zhang, Y. (2025). Mediating Role of 6V-Based SBMI Between Competitive Strategies and Firm Performance: An Empirical Study of China’s Electric Vehicle Industry. </w:t>
      </w:r>
      <w:r w:rsidRPr="00A12988">
        <w:rPr>
          <w:i/>
          <w:iCs/>
        </w:rPr>
        <w:t>World Electric Vehicle Journal</w:t>
      </w:r>
      <w:r w:rsidRPr="00A12988">
        <w:t xml:space="preserve">, 16(5), pp.288–288. </w:t>
      </w:r>
      <w:proofErr w:type="spellStart"/>
      <w:r w:rsidRPr="00A12988">
        <w:t>doi:https</w:t>
      </w:r>
      <w:proofErr w:type="spellEnd"/>
      <w:r w:rsidRPr="00A12988">
        <w:t>://doi.org/10.3390/wevj16050288.</w:t>
      </w:r>
    </w:p>
    <w:sectPr w:rsidR="00052158" w:rsidRPr="00A12988" w:rsidSect="004B7C94">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1534A" w14:textId="77777777" w:rsidR="00725417" w:rsidRPr="004B7C94" w:rsidRDefault="00725417">
      <w:pPr>
        <w:spacing w:line="240" w:lineRule="auto"/>
      </w:pPr>
      <w:r w:rsidRPr="004B7C94">
        <w:separator/>
      </w:r>
    </w:p>
  </w:endnote>
  <w:endnote w:type="continuationSeparator" w:id="0">
    <w:p w14:paraId="54C19511" w14:textId="77777777" w:rsidR="00725417" w:rsidRPr="004B7C94" w:rsidRDefault="00725417">
      <w:pPr>
        <w:spacing w:line="240" w:lineRule="auto"/>
      </w:pPr>
      <w:r w:rsidRPr="004B7C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8B66D09E-37A9-43A6-ACE6-2E53AC2F5818}"/>
  </w:font>
  <w:font w:name="Segoe UI Symbol">
    <w:panose1 w:val="020B0502040204020203"/>
    <w:charset w:val="00"/>
    <w:family w:val="swiss"/>
    <w:pitch w:val="variable"/>
    <w:sig w:usb0="800001E3" w:usb1="1200FFEF" w:usb2="0064C000" w:usb3="00000000" w:csb0="00000001" w:csb1="00000000"/>
    <w:embedRegular r:id="rId2" w:fontKey="{D061824B-D6E8-4732-A226-D5D0763E890D}"/>
    <w:embedBold r:id="rId3" w:fontKey="{3CA37B1E-F82D-4608-ADC2-21B82EA3D3A7}"/>
  </w:font>
  <w:font w:name="Cambria">
    <w:panose1 w:val="02040503050406030204"/>
    <w:charset w:val="00"/>
    <w:family w:val="roman"/>
    <w:pitch w:val="variable"/>
    <w:sig w:usb0="E00006FF" w:usb1="420024FF" w:usb2="02000000" w:usb3="00000000" w:csb0="0000019F" w:csb1="00000000"/>
    <w:embedRegular r:id="rId4" w:fontKey="{B0AFCF08-C116-4222-AC23-290E4B32B381}"/>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949906"/>
      <w:docPartObj>
        <w:docPartGallery w:val="Page Numbers (Bottom of Page)"/>
        <w:docPartUnique/>
      </w:docPartObj>
    </w:sdtPr>
    <w:sdtEndPr>
      <w:rPr>
        <w:noProof/>
      </w:rPr>
    </w:sdtEndPr>
    <w:sdtContent>
      <w:p w14:paraId="63A57911" w14:textId="396C3EA4" w:rsidR="00052158" w:rsidRDefault="000521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C6F391" w14:textId="77777777" w:rsidR="00052158" w:rsidRDefault="00052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6325A" w14:textId="77777777" w:rsidR="00725417" w:rsidRPr="004B7C94" w:rsidRDefault="00725417">
      <w:pPr>
        <w:spacing w:line="240" w:lineRule="auto"/>
      </w:pPr>
      <w:r w:rsidRPr="004B7C94">
        <w:separator/>
      </w:r>
    </w:p>
  </w:footnote>
  <w:footnote w:type="continuationSeparator" w:id="0">
    <w:p w14:paraId="4C2BFCBB" w14:textId="77777777" w:rsidR="00725417" w:rsidRPr="004B7C94" w:rsidRDefault="00725417">
      <w:pPr>
        <w:spacing w:line="240" w:lineRule="auto"/>
      </w:pPr>
      <w:r w:rsidRPr="004B7C9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C4C81"/>
    <w:multiLevelType w:val="multilevel"/>
    <w:tmpl w:val="9006D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5748E9"/>
    <w:multiLevelType w:val="multilevel"/>
    <w:tmpl w:val="A74A2D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1074CA"/>
    <w:multiLevelType w:val="multilevel"/>
    <w:tmpl w:val="5F34B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342E9C"/>
    <w:multiLevelType w:val="multilevel"/>
    <w:tmpl w:val="94D4E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7747969">
    <w:abstractNumId w:val="0"/>
  </w:num>
  <w:num w:numId="2" w16cid:durableId="1638874675">
    <w:abstractNumId w:val="1"/>
  </w:num>
  <w:num w:numId="3" w16cid:durableId="1159884737">
    <w:abstractNumId w:val="2"/>
  </w:num>
  <w:num w:numId="4" w16cid:durableId="1105149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37B"/>
    <w:rsid w:val="00035300"/>
    <w:rsid w:val="00052158"/>
    <w:rsid w:val="002B5340"/>
    <w:rsid w:val="00424CA7"/>
    <w:rsid w:val="004A5ADE"/>
    <w:rsid w:val="004B7C94"/>
    <w:rsid w:val="00593451"/>
    <w:rsid w:val="005B38CC"/>
    <w:rsid w:val="006C137B"/>
    <w:rsid w:val="006D224D"/>
    <w:rsid w:val="00725417"/>
    <w:rsid w:val="008B1085"/>
    <w:rsid w:val="008B1BE3"/>
    <w:rsid w:val="009F72D7"/>
    <w:rsid w:val="00A12988"/>
    <w:rsid w:val="00A13E07"/>
    <w:rsid w:val="00B64509"/>
    <w:rsid w:val="00C456AD"/>
    <w:rsid w:val="00D63E9F"/>
    <w:rsid w:val="00D71680"/>
    <w:rsid w:val="00D722EF"/>
    <w:rsid w:val="00E6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71514"/>
  <w15:docId w15:val="{F4F2E3B7-0019-4B16-911B-3E4CF6EF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052158"/>
    <w:pPr>
      <w:keepNext/>
      <w:keepLines/>
      <w:shd w:val="clear" w:color="auto" w:fill="C6D9F1" w:themeFill="text2" w:themeFillTint="33"/>
      <w:outlineLvl w:val="0"/>
    </w:pPr>
    <w:rPr>
      <w:b/>
      <w:bCs/>
      <w:color w:val="023E8A"/>
      <w:sz w:val="32"/>
      <w:szCs w:val="32"/>
    </w:rPr>
  </w:style>
  <w:style w:type="paragraph" w:styleId="Heading2">
    <w:name w:val="heading 2"/>
    <w:basedOn w:val="Normal"/>
    <w:next w:val="Normal"/>
    <w:uiPriority w:val="9"/>
    <w:unhideWhenUsed/>
    <w:qFormat/>
    <w:rsid w:val="00052158"/>
    <w:pPr>
      <w:keepNext/>
      <w:keepLines/>
      <w:pBdr>
        <w:bottom w:val="single" w:sz="12" w:space="1" w:color="002060"/>
      </w:pBdr>
      <w:outlineLvl w:val="1"/>
    </w:pPr>
    <w:rPr>
      <w:b/>
      <w:bCs/>
      <w:color w:val="1155CC"/>
      <w:sz w:val="28"/>
      <w:szCs w:val="28"/>
    </w:rPr>
  </w:style>
  <w:style w:type="paragraph" w:styleId="Heading3">
    <w:name w:val="heading 3"/>
    <w:basedOn w:val="Normal"/>
    <w:next w:val="Normal"/>
    <w:uiPriority w:val="9"/>
    <w:unhideWhenUsed/>
    <w:qFormat/>
    <w:pPr>
      <w:keepNext/>
      <w:keepLines/>
      <w:outlineLvl w:val="2"/>
    </w:pPr>
    <w:rPr>
      <w:b/>
      <w:bCs/>
      <w:i/>
      <w:iCs/>
      <w:color w:val="0B5394"/>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Caption">
    <w:name w:val="caption"/>
    <w:basedOn w:val="Normal"/>
    <w:next w:val="Normal"/>
    <w:uiPriority w:val="35"/>
    <w:unhideWhenUsed/>
    <w:qFormat/>
    <w:rsid w:val="004B7C94"/>
    <w:pPr>
      <w:spacing w:after="200" w:line="240" w:lineRule="auto"/>
      <w:jc w:val="center"/>
    </w:pPr>
    <w:rPr>
      <w:b/>
      <w:bCs/>
      <w:i/>
      <w:iCs/>
      <w:color w:val="1F497D" w:themeColor="text2"/>
    </w:rPr>
  </w:style>
  <w:style w:type="paragraph" w:styleId="Header">
    <w:name w:val="header"/>
    <w:basedOn w:val="Normal"/>
    <w:link w:val="HeaderChar"/>
    <w:uiPriority w:val="99"/>
    <w:unhideWhenUsed/>
    <w:rsid w:val="00052158"/>
    <w:pPr>
      <w:tabs>
        <w:tab w:val="center" w:pos="4513"/>
        <w:tab w:val="right" w:pos="9026"/>
      </w:tabs>
      <w:spacing w:line="240" w:lineRule="auto"/>
    </w:pPr>
  </w:style>
  <w:style w:type="character" w:customStyle="1" w:styleId="HeaderChar">
    <w:name w:val="Header Char"/>
    <w:basedOn w:val="DefaultParagraphFont"/>
    <w:link w:val="Header"/>
    <w:uiPriority w:val="99"/>
    <w:rsid w:val="00052158"/>
    <w:rPr>
      <w:lang w:val="en-GB"/>
    </w:rPr>
  </w:style>
  <w:style w:type="paragraph" w:styleId="Footer">
    <w:name w:val="footer"/>
    <w:basedOn w:val="Normal"/>
    <w:link w:val="FooterChar"/>
    <w:uiPriority w:val="99"/>
    <w:unhideWhenUsed/>
    <w:rsid w:val="00052158"/>
    <w:pPr>
      <w:tabs>
        <w:tab w:val="center" w:pos="4513"/>
        <w:tab w:val="right" w:pos="9026"/>
      </w:tabs>
      <w:spacing w:line="240" w:lineRule="auto"/>
    </w:pPr>
  </w:style>
  <w:style w:type="character" w:customStyle="1" w:styleId="FooterChar">
    <w:name w:val="Footer Char"/>
    <w:basedOn w:val="DefaultParagraphFont"/>
    <w:link w:val="Footer"/>
    <w:uiPriority w:val="99"/>
    <w:rsid w:val="00052158"/>
    <w:rPr>
      <w:lang w:val="en-GB"/>
    </w:rPr>
  </w:style>
  <w:style w:type="paragraph" w:styleId="TOCHeading">
    <w:name w:val="TOC Heading"/>
    <w:basedOn w:val="Heading1"/>
    <w:next w:val="Normal"/>
    <w:uiPriority w:val="39"/>
    <w:unhideWhenUsed/>
    <w:qFormat/>
    <w:rsid w:val="00052158"/>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052158"/>
    <w:pPr>
      <w:spacing w:after="100"/>
    </w:pPr>
  </w:style>
  <w:style w:type="paragraph" w:styleId="TOC2">
    <w:name w:val="toc 2"/>
    <w:basedOn w:val="Normal"/>
    <w:next w:val="Normal"/>
    <w:autoRedefine/>
    <w:uiPriority w:val="39"/>
    <w:unhideWhenUsed/>
    <w:rsid w:val="00052158"/>
    <w:pPr>
      <w:spacing w:after="100"/>
      <w:ind w:left="240"/>
    </w:pPr>
  </w:style>
  <w:style w:type="paragraph" w:styleId="TOC3">
    <w:name w:val="toc 3"/>
    <w:basedOn w:val="Normal"/>
    <w:next w:val="Normal"/>
    <w:autoRedefine/>
    <w:uiPriority w:val="39"/>
    <w:unhideWhenUsed/>
    <w:rsid w:val="00052158"/>
    <w:pPr>
      <w:spacing w:after="100"/>
      <w:ind w:left="480"/>
    </w:pPr>
  </w:style>
  <w:style w:type="character" w:styleId="Hyperlink">
    <w:name w:val="Hyperlink"/>
    <w:basedOn w:val="DefaultParagraphFont"/>
    <w:uiPriority w:val="99"/>
    <w:unhideWhenUsed/>
    <w:rsid w:val="00052158"/>
    <w:rPr>
      <w:color w:val="0000FF" w:themeColor="hyperlink"/>
      <w:u w:val="single"/>
    </w:rPr>
  </w:style>
  <w:style w:type="paragraph" w:styleId="BodyText">
    <w:name w:val="Body Text"/>
    <w:basedOn w:val="Normal"/>
    <w:link w:val="BodyTextChar"/>
    <w:uiPriority w:val="1"/>
    <w:semiHidden/>
    <w:unhideWhenUsed/>
    <w:qFormat/>
    <w:rsid w:val="00A12988"/>
    <w:pPr>
      <w:widowControl w:val="0"/>
      <w:autoSpaceDE w:val="0"/>
      <w:autoSpaceDN w:val="0"/>
      <w:spacing w:line="240" w:lineRule="auto"/>
      <w:ind w:left="23"/>
      <w:jc w:val="left"/>
    </w:pPr>
    <w:rPr>
      <w:rFonts w:ascii="Segoe UI Symbol" w:eastAsia="Segoe UI Symbol" w:hAnsi="Segoe UI Symbol" w:cs="Segoe UI Symbol"/>
      <w:lang w:val="en-US" w:eastAsia="en-US"/>
    </w:rPr>
  </w:style>
  <w:style w:type="character" w:customStyle="1" w:styleId="BodyTextChar">
    <w:name w:val="Body Text Char"/>
    <w:basedOn w:val="DefaultParagraphFont"/>
    <w:link w:val="BodyText"/>
    <w:uiPriority w:val="1"/>
    <w:semiHidden/>
    <w:rsid w:val="00A12988"/>
    <w:rPr>
      <w:rFonts w:ascii="Segoe UI Symbol" w:eastAsia="Segoe UI Symbol" w:hAnsi="Segoe UI Symbol" w:cs="Segoe UI Symbol"/>
      <w:lang w:val="en-US" w:eastAsia="en-US"/>
    </w:rPr>
  </w:style>
  <w:style w:type="paragraph" w:customStyle="1" w:styleId="TableParagraph">
    <w:name w:val="Table Paragraph"/>
    <w:basedOn w:val="Normal"/>
    <w:uiPriority w:val="1"/>
    <w:qFormat/>
    <w:rsid w:val="00A12988"/>
    <w:pPr>
      <w:widowControl w:val="0"/>
      <w:autoSpaceDE w:val="0"/>
      <w:autoSpaceDN w:val="0"/>
      <w:spacing w:line="240" w:lineRule="auto"/>
      <w:ind w:left="107"/>
      <w:jc w:val="left"/>
    </w:pPr>
    <w:rPr>
      <w:rFonts w:ascii="Segoe UI Symbol" w:eastAsia="Segoe UI Symbol" w:hAnsi="Segoe UI Symbol" w:cs="Segoe UI Symbo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5.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8.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5" Type="http://schemas.openxmlformats.org/officeDocument/2006/relationships/webSettings" Target="webSettings.xml" /><Relationship Id="rId15" Type="http://schemas.openxmlformats.org/officeDocument/2006/relationships/image" Target="media/image7.png"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6.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4FCC7-CCDB-4774-90E7-A31DE8870F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7435</Words>
  <Characters>42385</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Habibur Rahman</cp:lastModifiedBy>
  <cp:revision>4</cp:revision>
  <dcterms:created xsi:type="dcterms:W3CDTF">2026-05-01T04:45:00Z</dcterms:created>
  <dcterms:modified xsi:type="dcterms:W3CDTF">2026-05-01T04:55:00Z</dcterms:modified>
</cp:coreProperties>
</file>