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B756B" w14:textId="7AD49DFE" w:rsidR="00F26EA4" w:rsidRDefault="00C1226E" w:rsidP="00457794">
      <w:pPr>
        <w:rPr>
          <w:b/>
          <w:bCs/>
          <w:u w:val="single"/>
        </w:rPr>
      </w:pPr>
      <w:r>
        <w:rPr>
          <w:b/>
          <w:bCs/>
          <w:u w:val="single"/>
        </w:rPr>
        <w:t>Research Methodology</w:t>
      </w:r>
    </w:p>
    <w:p w14:paraId="1BDE3A28" w14:textId="6773F93C" w:rsidR="00085D7F" w:rsidRPr="00085D7F" w:rsidRDefault="00085D7F" w:rsidP="00085D7F">
      <w:pPr>
        <w:spacing w:after="0" w:line="240" w:lineRule="auto"/>
        <w:rPr>
          <w:rFonts w:eastAsia="Times New Roman" w:cstheme="minorHAnsi"/>
          <w:b/>
          <w:bCs/>
          <w:color w:val="0E101A"/>
          <w:sz w:val="24"/>
          <w:szCs w:val="24"/>
          <w:lang w:eastAsia="en-GB"/>
        </w:rPr>
      </w:pPr>
      <w:r w:rsidRPr="00085D7F">
        <w:rPr>
          <w:rFonts w:eastAsia="Times New Roman" w:cstheme="minorHAnsi"/>
          <w:b/>
          <w:bCs/>
          <w:color w:val="0E101A"/>
          <w:sz w:val="24"/>
          <w:szCs w:val="24"/>
          <w:lang w:eastAsia="en-GB"/>
        </w:rPr>
        <w:t>Introduction</w:t>
      </w:r>
    </w:p>
    <w:p w14:paraId="672D5B9F" w14:textId="77777777" w:rsidR="00085D7F" w:rsidRPr="00085D7F" w:rsidRDefault="00085D7F" w:rsidP="00085D7F">
      <w:pPr>
        <w:spacing w:after="0" w:line="240" w:lineRule="auto"/>
        <w:rPr>
          <w:rFonts w:eastAsia="Times New Roman" w:cstheme="minorHAnsi"/>
          <w:color w:val="0E101A"/>
          <w:sz w:val="24"/>
          <w:szCs w:val="24"/>
          <w:lang w:eastAsia="en-GB"/>
        </w:rPr>
      </w:pPr>
    </w:p>
    <w:p w14:paraId="3769BEB0" w14:textId="7A3683BE"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To assist the researcher with their answer to the question “should all police officers have a Taser”, the researcher will use their current role as a police officer to conduct primary research within their organisation. BBC Bitesize (2021) notes that primary research is information that is gathered by the researcher for the first time to test the hypothesis of their question and research aim. It is a time-consuming method to use but it does assist the researcher by enabling them to mould specific data that is required in comparison to the use of secondary research which involves the researcher looking at primary research carried out by another person (Hox et.al, 2005, p 593).</w:t>
      </w:r>
    </w:p>
    <w:p w14:paraId="18691C97" w14:textId="77777777" w:rsidR="00085D7F" w:rsidRPr="00085D7F" w:rsidRDefault="00085D7F" w:rsidP="00085D7F">
      <w:pPr>
        <w:spacing w:after="0" w:line="240" w:lineRule="auto"/>
        <w:rPr>
          <w:rFonts w:eastAsia="Times New Roman" w:cstheme="minorHAnsi"/>
          <w:color w:val="0E101A"/>
          <w:sz w:val="24"/>
          <w:szCs w:val="24"/>
          <w:lang w:eastAsia="en-GB"/>
        </w:rPr>
      </w:pPr>
    </w:p>
    <w:p w14:paraId="6EC53B94" w14:textId="137A9D68"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The researcher will examine information gained from their peers within the organisation they are employed, instead of looking at previous research carried out within other specific law enforcement agencies. The researchers aim is to prove or disprove their research aim by gathering information from police officers and members of staff within one of the law enforcement agencies within the United Kingdom. To collect the information the researcher will use mixed-method research in the form of survey questions and interviews. A copy of the questions asked will be in the appendix.</w:t>
      </w:r>
    </w:p>
    <w:p w14:paraId="61F55C5F" w14:textId="77777777" w:rsidR="00085D7F" w:rsidRPr="00085D7F" w:rsidRDefault="00085D7F" w:rsidP="00085D7F">
      <w:pPr>
        <w:spacing w:after="0" w:line="240" w:lineRule="auto"/>
        <w:rPr>
          <w:rFonts w:eastAsia="Times New Roman" w:cstheme="minorHAnsi"/>
          <w:color w:val="0E101A"/>
          <w:sz w:val="24"/>
          <w:szCs w:val="24"/>
          <w:lang w:eastAsia="en-GB"/>
        </w:rPr>
      </w:pPr>
    </w:p>
    <w:p w14:paraId="1F8B8E36" w14:textId="1CE58E31" w:rsidR="00085D7F" w:rsidRPr="00085D7F" w:rsidRDefault="00085D7F" w:rsidP="00085D7F">
      <w:pPr>
        <w:spacing w:after="0" w:line="240" w:lineRule="auto"/>
        <w:rPr>
          <w:rFonts w:eastAsia="Times New Roman" w:cstheme="minorHAnsi"/>
          <w:b/>
          <w:bCs/>
          <w:color w:val="0E101A"/>
          <w:sz w:val="24"/>
          <w:szCs w:val="24"/>
          <w:lang w:eastAsia="en-GB"/>
        </w:rPr>
      </w:pPr>
      <w:r w:rsidRPr="00085D7F">
        <w:rPr>
          <w:rFonts w:eastAsia="Times New Roman" w:cstheme="minorHAnsi"/>
          <w:b/>
          <w:bCs/>
          <w:color w:val="0E101A"/>
          <w:sz w:val="24"/>
          <w:szCs w:val="24"/>
          <w:lang w:eastAsia="en-GB"/>
        </w:rPr>
        <w:t>Methodology selected</w:t>
      </w:r>
    </w:p>
    <w:p w14:paraId="2D8CB3EF" w14:textId="77777777" w:rsidR="00085D7F" w:rsidRPr="00085D7F" w:rsidRDefault="00085D7F" w:rsidP="00085D7F">
      <w:pPr>
        <w:spacing w:after="0" w:line="240" w:lineRule="auto"/>
        <w:rPr>
          <w:rFonts w:eastAsia="Times New Roman" w:cstheme="minorHAnsi"/>
          <w:color w:val="0E101A"/>
          <w:sz w:val="24"/>
          <w:szCs w:val="24"/>
          <w:lang w:eastAsia="en-GB"/>
        </w:rPr>
      </w:pPr>
    </w:p>
    <w:p w14:paraId="47DB6164" w14:textId="56F8D422"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The researcher acknowledges the importance of identifying the different types of research there is and the different philosophies there are when undertaking research. The researcher having consulted with the information available to them has related their research method as most compatible with the pragmatism approach as this allows them to gather research on the reality of what is happening now and how people feel in real-time, compared to how people felt allowing for an objective stance (Baert, 2005,</w:t>
      </w:r>
      <w:r>
        <w:rPr>
          <w:rFonts w:eastAsia="Times New Roman" w:cstheme="minorHAnsi"/>
          <w:color w:val="0E101A"/>
          <w:sz w:val="24"/>
          <w:szCs w:val="24"/>
          <w:lang w:eastAsia="en-GB"/>
        </w:rPr>
        <w:t xml:space="preserve"> </w:t>
      </w:r>
      <w:r w:rsidRPr="00085D7F">
        <w:rPr>
          <w:rFonts w:eastAsia="Times New Roman" w:cstheme="minorHAnsi"/>
          <w:color w:val="0E101A"/>
          <w:sz w:val="24"/>
          <w:szCs w:val="24"/>
          <w:lang w:eastAsia="en-GB"/>
        </w:rPr>
        <w:t>p 19-21).</w:t>
      </w:r>
    </w:p>
    <w:p w14:paraId="65C69765" w14:textId="77777777" w:rsidR="00085D7F" w:rsidRPr="00085D7F" w:rsidRDefault="00085D7F" w:rsidP="00085D7F">
      <w:pPr>
        <w:spacing w:after="0" w:line="240" w:lineRule="auto"/>
        <w:rPr>
          <w:rFonts w:eastAsia="Times New Roman" w:cstheme="minorHAnsi"/>
          <w:color w:val="0E101A"/>
          <w:sz w:val="24"/>
          <w:szCs w:val="24"/>
          <w:lang w:eastAsia="en-GB"/>
        </w:rPr>
      </w:pPr>
    </w:p>
    <w:p w14:paraId="463426E0" w14:textId="0EAADC7B" w:rsidR="00085D7F" w:rsidRPr="00085D7F" w:rsidRDefault="00085D7F" w:rsidP="00085D7F">
      <w:pPr>
        <w:spacing w:after="0" w:line="240" w:lineRule="auto"/>
        <w:rPr>
          <w:rFonts w:eastAsia="Times New Roman" w:cstheme="minorHAnsi"/>
          <w:b/>
          <w:bCs/>
          <w:color w:val="0E101A"/>
          <w:sz w:val="24"/>
          <w:szCs w:val="24"/>
          <w:lang w:eastAsia="en-GB"/>
        </w:rPr>
      </w:pPr>
      <w:r w:rsidRPr="00085D7F">
        <w:rPr>
          <w:rFonts w:eastAsia="Times New Roman" w:cstheme="minorHAnsi"/>
          <w:b/>
          <w:bCs/>
          <w:color w:val="0E101A"/>
          <w:sz w:val="24"/>
          <w:szCs w:val="24"/>
          <w:lang w:eastAsia="en-GB"/>
        </w:rPr>
        <w:t>A qualitative, quantitative and mixed-method research</w:t>
      </w:r>
    </w:p>
    <w:p w14:paraId="4BD9058B" w14:textId="77777777" w:rsidR="00085D7F" w:rsidRPr="00085D7F" w:rsidRDefault="00085D7F" w:rsidP="00085D7F">
      <w:pPr>
        <w:spacing w:after="0" w:line="240" w:lineRule="auto"/>
        <w:rPr>
          <w:rFonts w:eastAsia="Times New Roman" w:cstheme="minorHAnsi"/>
          <w:color w:val="0E101A"/>
          <w:sz w:val="24"/>
          <w:szCs w:val="24"/>
          <w:lang w:eastAsia="en-GB"/>
        </w:rPr>
      </w:pPr>
    </w:p>
    <w:p w14:paraId="59C42847" w14:textId="00FD8316"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 xml:space="preserve">Almalki (2016) states that quantitative researchers collate facts and </w:t>
      </w:r>
      <w:r w:rsidRPr="00085D7F">
        <w:rPr>
          <w:rFonts w:eastAsia="Times New Roman" w:cstheme="minorHAnsi"/>
          <w:color w:val="0E101A"/>
          <w:sz w:val="24"/>
          <w:szCs w:val="24"/>
          <w:lang w:eastAsia="en-GB"/>
        </w:rPr>
        <w:t>investigate</w:t>
      </w:r>
      <w:r w:rsidRPr="00085D7F">
        <w:rPr>
          <w:rFonts w:eastAsia="Times New Roman" w:cstheme="minorHAnsi"/>
          <w:color w:val="0E101A"/>
          <w:sz w:val="24"/>
          <w:szCs w:val="24"/>
          <w:lang w:eastAsia="en-GB"/>
        </w:rPr>
        <w:t xml:space="preserve"> the relationship between different sets of facts, they use methods that are most probable to produce generalised conclusions so the reality of the research can be understood. However, researchers using the qualitative approach enables the researcher to draw information from participants experiences and opinions around the subject matter getting a better understanding from a “personal” perspective (Almalki, 2016 p 290-291).</w:t>
      </w:r>
    </w:p>
    <w:p w14:paraId="554A21E1" w14:textId="77777777"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There are advantages and disadvantages in using both research methods, the quantitative method collates data that can be interpreted and measured more easily but it does not examine the meaning and interpretation from a range of different individuals. Whereas the qualitative method enables the researcher to gauge and assess the social meaning and real-time thoughts and opinions of individuals around the research topic, however, this method can be time-consuming (Rahman, 2017 p 103).</w:t>
      </w:r>
    </w:p>
    <w:p w14:paraId="180298C5" w14:textId="77777777"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If a researcher does not want to use either qualitative or quantitative research exclusively they can use both methods to collate their information, this is known as the mixed-method approach.</w:t>
      </w:r>
    </w:p>
    <w:p w14:paraId="36AB83DA" w14:textId="77777777"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lastRenderedPageBreak/>
        <w:t>Humble and Byrne (2007) state that using mixed method research can minimise some of the disadvantages of using a singular research method and that it enables the researcher to construct and confirm theoretical hypotheses during the same study (Humble and Byrne, 2007).</w:t>
      </w:r>
    </w:p>
    <w:p w14:paraId="6CEE0434" w14:textId="77777777"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The researcher for this project recognises that get an in-depth understanding of whether or not all police officers should have a Taser will be best measured using the mixed method approach in the form of an online survey and posing interview questions to senior members of the police service they work in, this is to gather a better understanding on their personal views and not that of the organisation.</w:t>
      </w:r>
    </w:p>
    <w:p w14:paraId="02244012" w14:textId="77777777" w:rsidR="00085D7F" w:rsidRPr="00085D7F" w:rsidRDefault="00085D7F" w:rsidP="00085D7F">
      <w:pPr>
        <w:spacing w:after="0" w:line="240" w:lineRule="auto"/>
        <w:rPr>
          <w:rFonts w:eastAsia="Times New Roman" w:cstheme="minorHAnsi"/>
          <w:color w:val="0E101A"/>
          <w:sz w:val="24"/>
          <w:szCs w:val="24"/>
          <w:lang w:eastAsia="en-GB"/>
        </w:rPr>
      </w:pPr>
    </w:p>
    <w:p w14:paraId="43BAABB6" w14:textId="189A9DD0" w:rsidR="00085D7F" w:rsidRPr="00085D7F" w:rsidRDefault="00085D7F" w:rsidP="00085D7F">
      <w:pPr>
        <w:spacing w:after="0" w:line="240" w:lineRule="auto"/>
        <w:rPr>
          <w:rFonts w:eastAsia="Times New Roman" w:cstheme="minorHAnsi"/>
          <w:b/>
          <w:bCs/>
          <w:color w:val="0E101A"/>
          <w:sz w:val="24"/>
          <w:szCs w:val="24"/>
          <w:lang w:eastAsia="en-GB"/>
        </w:rPr>
      </w:pPr>
      <w:r w:rsidRPr="00085D7F">
        <w:rPr>
          <w:rFonts w:eastAsia="Times New Roman" w:cstheme="minorHAnsi"/>
          <w:b/>
          <w:bCs/>
          <w:color w:val="0E101A"/>
          <w:sz w:val="24"/>
          <w:szCs w:val="24"/>
          <w:lang w:eastAsia="en-GB"/>
        </w:rPr>
        <w:t>Questionnaires</w:t>
      </w:r>
    </w:p>
    <w:p w14:paraId="7EA4FE97" w14:textId="77777777" w:rsidR="00085D7F" w:rsidRPr="00085D7F" w:rsidRDefault="00085D7F" w:rsidP="00085D7F">
      <w:pPr>
        <w:spacing w:after="0" w:line="240" w:lineRule="auto"/>
        <w:rPr>
          <w:rFonts w:eastAsia="Times New Roman" w:cstheme="minorHAnsi"/>
          <w:color w:val="0E101A"/>
          <w:sz w:val="24"/>
          <w:szCs w:val="24"/>
          <w:lang w:eastAsia="en-GB"/>
        </w:rPr>
      </w:pPr>
    </w:p>
    <w:p w14:paraId="6B5A2F4C" w14:textId="5CE2AED9"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 xml:space="preserve">Questionnaires are widely considered to be documents that are produced by the researcher and they contain questions that participants will answer themselves from a link to an online server, a paper document provided to them or indeed during a </w:t>
      </w:r>
      <w:r w:rsidRPr="00085D7F">
        <w:rPr>
          <w:rFonts w:eastAsia="Times New Roman" w:cstheme="minorHAnsi"/>
          <w:color w:val="0E101A"/>
          <w:sz w:val="24"/>
          <w:szCs w:val="24"/>
          <w:lang w:eastAsia="en-GB"/>
        </w:rPr>
        <w:t>face-to-face</w:t>
      </w:r>
      <w:r w:rsidRPr="00085D7F">
        <w:rPr>
          <w:rFonts w:eastAsia="Times New Roman" w:cstheme="minorHAnsi"/>
          <w:color w:val="0E101A"/>
          <w:sz w:val="24"/>
          <w:szCs w:val="24"/>
          <w:lang w:eastAsia="en-GB"/>
        </w:rPr>
        <w:t xml:space="preserve"> interview. This makes it a popular way of gathering information enabling results to be quantified (Munn and Drever, 1990, p. 9).</w:t>
      </w:r>
    </w:p>
    <w:p w14:paraId="7F5AB4E3" w14:textId="77777777" w:rsidR="00085D7F" w:rsidRPr="00085D7F" w:rsidRDefault="00085D7F" w:rsidP="00085D7F">
      <w:pPr>
        <w:spacing w:after="0" w:line="240" w:lineRule="auto"/>
        <w:rPr>
          <w:rFonts w:eastAsia="Times New Roman" w:cstheme="minorHAnsi"/>
          <w:color w:val="0E101A"/>
          <w:sz w:val="24"/>
          <w:szCs w:val="24"/>
          <w:lang w:eastAsia="en-GB"/>
        </w:rPr>
      </w:pPr>
    </w:p>
    <w:p w14:paraId="7DD560B4" w14:textId="55DA7002"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Questions can be categorised as open-ended which is qualitative and allows the participant to express what they feel and their thoughts or they can be closed-ended which gathers quantitative data following the participant being given set answers to choose from (Katz, 2020)</w:t>
      </w:r>
    </w:p>
    <w:p w14:paraId="3807ED32" w14:textId="77777777" w:rsidR="00085D7F" w:rsidRPr="00085D7F" w:rsidRDefault="00085D7F" w:rsidP="00085D7F">
      <w:pPr>
        <w:spacing w:after="0" w:line="240" w:lineRule="auto"/>
        <w:rPr>
          <w:rFonts w:eastAsia="Times New Roman" w:cstheme="minorHAnsi"/>
          <w:color w:val="0E101A"/>
          <w:sz w:val="24"/>
          <w:szCs w:val="24"/>
          <w:lang w:eastAsia="en-GB"/>
        </w:rPr>
      </w:pPr>
    </w:p>
    <w:p w14:paraId="7DEBE162" w14:textId="2323634B"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QuestionPr (2021) states that there are different ways closed questions can be presented to a participant through:</w:t>
      </w:r>
    </w:p>
    <w:p w14:paraId="1FA4FCB4" w14:textId="77777777" w:rsidR="00085D7F" w:rsidRPr="00085D7F" w:rsidRDefault="00085D7F" w:rsidP="00085D7F">
      <w:pPr>
        <w:spacing w:after="0" w:line="240" w:lineRule="auto"/>
        <w:rPr>
          <w:rFonts w:eastAsia="Times New Roman" w:cstheme="minorHAnsi"/>
          <w:color w:val="0E101A"/>
          <w:sz w:val="24"/>
          <w:szCs w:val="24"/>
          <w:lang w:eastAsia="en-GB"/>
        </w:rPr>
      </w:pPr>
    </w:p>
    <w:p w14:paraId="5D326084" w14:textId="177F51AC" w:rsidR="00085D7F" w:rsidRPr="00085D7F" w:rsidRDefault="00085D7F" w:rsidP="00085D7F">
      <w:pPr>
        <w:numPr>
          <w:ilvl w:val="0"/>
          <w:numId w:val="6"/>
        </w:num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Dichotomous questions- which are indicative and require a yes or no answer</w:t>
      </w:r>
    </w:p>
    <w:p w14:paraId="0A6CE384" w14:textId="77777777" w:rsidR="00085D7F" w:rsidRPr="00085D7F" w:rsidRDefault="00085D7F" w:rsidP="00085D7F">
      <w:pPr>
        <w:spacing w:after="0" w:line="240" w:lineRule="auto"/>
        <w:ind w:left="720"/>
        <w:rPr>
          <w:rFonts w:eastAsia="Times New Roman" w:cstheme="minorHAnsi"/>
          <w:color w:val="0E101A"/>
          <w:sz w:val="24"/>
          <w:szCs w:val="24"/>
          <w:lang w:eastAsia="en-GB"/>
        </w:rPr>
      </w:pPr>
    </w:p>
    <w:p w14:paraId="70AD81CA" w14:textId="2D032490" w:rsidR="00085D7F" w:rsidRPr="00085D7F" w:rsidRDefault="00085D7F" w:rsidP="00085D7F">
      <w:pPr>
        <w:numPr>
          <w:ilvl w:val="0"/>
          <w:numId w:val="6"/>
        </w:num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 xml:space="preserve">Multiple choice questions- where the answers are </w:t>
      </w:r>
      <w:r w:rsidRPr="00085D7F">
        <w:rPr>
          <w:rFonts w:eastAsia="Times New Roman" w:cstheme="minorHAnsi"/>
          <w:color w:val="0E101A"/>
          <w:sz w:val="24"/>
          <w:szCs w:val="24"/>
          <w:lang w:eastAsia="en-GB"/>
        </w:rPr>
        <w:t>flexible,</w:t>
      </w:r>
      <w:r w:rsidRPr="00085D7F">
        <w:rPr>
          <w:rFonts w:eastAsia="Times New Roman" w:cstheme="minorHAnsi"/>
          <w:color w:val="0E101A"/>
          <w:sz w:val="24"/>
          <w:szCs w:val="24"/>
          <w:lang w:eastAsia="en-GB"/>
        </w:rPr>
        <w:t xml:space="preserve"> and it allows the researcher to collect their data easily and understandably. These can be presented in different formats, such as choosing one or multiple options at the same time, providing an answer using a scale of most likely and unlikely, ranking answers from highest to lowest and checklists. </w:t>
      </w:r>
    </w:p>
    <w:p w14:paraId="1433CF0A" w14:textId="77777777" w:rsidR="00085D7F" w:rsidRPr="00085D7F" w:rsidRDefault="00085D7F" w:rsidP="00085D7F">
      <w:pPr>
        <w:pStyle w:val="ListParagraph"/>
        <w:rPr>
          <w:rFonts w:eastAsia="Times New Roman" w:cstheme="minorHAnsi"/>
          <w:color w:val="0E101A"/>
          <w:sz w:val="24"/>
          <w:szCs w:val="24"/>
          <w:lang w:eastAsia="en-GB"/>
        </w:rPr>
      </w:pPr>
    </w:p>
    <w:p w14:paraId="6C9E6920" w14:textId="77777777" w:rsidR="00085D7F" w:rsidRPr="00085D7F" w:rsidRDefault="00085D7F" w:rsidP="00085D7F">
      <w:pPr>
        <w:spacing w:after="0" w:line="240" w:lineRule="auto"/>
        <w:ind w:left="720"/>
        <w:rPr>
          <w:rFonts w:eastAsia="Times New Roman" w:cstheme="minorHAnsi"/>
          <w:color w:val="0E101A"/>
          <w:sz w:val="24"/>
          <w:szCs w:val="24"/>
          <w:lang w:eastAsia="en-GB"/>
        </w:rPr>
      </w:pPr>
    </w:p>
    <w:p w14:paraId="4B591A6B" w14:textId="229A6104"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The researcher will use close-ended multiple-choice questions and dichotomous questions, which will then be preceded by an open-ended question. The researcher uses this method to enable them to collate specific data to analyse the research questions and to test the hypothesis. The answers given to multiple-choice and dichotomous questions can be populated to a numerical form to be analysed. The participant will also be given the option to provide further information as to why they chose a particular answer, using an open-ended question. An example of this approach would be asking if as a police officer they want to carry a Taser, with a “YES” or “NO” answer. This has a follow-up question allowing the participant to provide a rationale as to why they chose their answer. The questionnaire will be in a survey format where a secure link will be available for participants to follow to complete the survey if they want to. The link will be shared within the organisation the researcher works in.</w:t>
      </w:r>
    </w:p>
    <w:p w14:paraId="17889AA4" w14:textId="77777777" w:rsidR="00085D7F" w:rsidRPr="00085D7F" w:rsidRDefault="00085D7F" w:rsidP="00085D7F">
      <w:pPr>
        <w:spacing w:after="0" w:line="240" w:lineRule="auto"/>
        <w:rPr>
          <w:rFonts w:eastAsia="Times New Roman" w:cstheme="minorHAnsi"/>
          <w:color w:val="0E101A"/>
          <w:sz w:val="24"/>
          <w:szCs w:val="24"/>
          <w:lang w:eastAsia="en-GB"/>
        </w:rPr>
      </w:pPr>
    </w:p>
    <w:p w14:paraId="34575469" w14:textId="6EA1444A"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The questionnaire will also ask the participant what their role is within the organisation, whether they are police staff or a warranted police officer. This allows the researcher to gain an insight into the thoughts and opinions of members of the public (police staff) and warranted police officers to identify if there is an overreaching synthesis.</w:t>
      </w:r>
    </w:p>
    <w:p w14:paraId="3BC5CC5C" w14:textId="77777777" w:rsidR="00085D7F" w:rsidRPr="00085D7F" w:rsidRDefault="00085D7F" w:rsidP="00085D7F">
      <w:pPr>
        <w:spacing w:after="0" w:line="240" w:lineRule="auto"/>
        <w:rPr>
          <w:rFonts w:eastAsia="Times New Roman" w:cstheme="minorHAnsi"/>
          <w:color w:val="0E101A"/>
          <w:sz w:val="24"/>
          <w:szCs w:val="24"/>
          <w:lang w:eastAsia="en-GB"/>
        </w:rPr>
      </w:pPr>
    </w:p>
    <w:p w14:paraId="154E1C4F" w14:textId="2E3DBA78" w:rsidR="00085D7F" w:rsidRPr="00085D7F" w:rsidRDefault="00085D7F" w:rsidP="00085D7F">
      <w:pPr>
        <w:spacing w:after="0" w:line="240" w:lineRule="auto"/>
        <w:rPr>
          <w:rFonts w:eastAsia="Times New Roman" w:cstheme="minorHAnsi"/>
          <w:b/>
          <w:bCs/>
          <w:color w:val="0E101A"/>
          <w:sz w:val="24"/>
          <w:szCs w:val="24"/>
          <w:lang w:eastAsia="en-GB"/>
        </w:rPr>
      </w:pPr>
      <w:r w:rsidRPr="00085D7F">
        <w:rPr>
          <w:rFonts w:eastAsia="Times New Roman" w:cstheme="minorHAnsi"/>
          <w:b/>
          <w:bCs/>
          <w:color w:val="0E101A"/>
          <w:sz w:val="24"/>
          <w:szCs w:val="24"/>
          <w:lang w:eastAsia="en-GB"/>
        </w:rPr>
        <w:t>Interviews</w:t>
      </w:r>
    </w:p>
    <w:p w14:paraId="1127474B" w14:textId="77777777" w:rsidR="00085D7F" w:rsidRPr="00085D7F" w:rsidRDefault="00085D7F" w:rsidP="00085D7F">
      <w:pPr>
        <w:spacing w:after="0" w:line="240" w:lineRule="auto"/>
        <w:rPr>
          <w:rFonts w:eastAsia="Times New Roman" w:cstheme="minorHAnsi"/>
          <w:color w:val="0E101A"/>
          <w:sz w:val="24"/>
          <w:szCs w:val="24"/>
          <w:lang w:eastAsia="en-GB"/>
        </w:rPr>
      </w:pPr>
    </w:p>
    <w:p w14:paraId="70A0C635" w14:textId="77777777"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The researcher will use interviews as a way of gathering qualitative research. There are different ways that interviews can be formatted, these are:</w:t>
      </w:r>
    </w:p>
    <w:p w14:paraId="62E0D258" w14:textId="77777777" w:rsidR="00085D7F" w:rsidRPr="00085D7F" w:rsidRDefault="00085D7F" w:rsidP="00085D7F">
      <w:pPr>
        <w:numPr>
          <w:ilvl w:val="0"/>
          <w:numId w:val="7"/>
        </w:num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Structured interviews are questions that are designed before the interview process and the researcher asks the questions to each interviewee om the same order. This is the most straightforward form of an interview when it comes to the researcher gathering their data because when comparing answers, the researcher can identify the difference between each interviewee’s responses more easily.</w:t>
      </w:r>
    </w:p>
    <w:p w14:paraId="65F253CE" w14:textId="77777777" w:rsidR="00085D7F" w:rsidRPr="00085D7F" w:rsidRDefault="00085D7F" w:rsidP="00085D7F">
      <w:pPr>
        <w:numPr>
          <w:ilvl w:val="0"/>
          <w:numId w:val="7"/>
        </w:num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Narrative interviews are interviews that take place with no planning or preparation is done before them taking place. This method can lead the researcher to struggle when gathering and collating the information for analysis because there is the risk that a variety of different questions will be asked depending on the responses from the interviewee and their personal experiences or views, leaving the unstructured interview process to be suspectable to bias and the most unreliable way of gathering reliable information. Narrative interviews are also known as unstructured interviews.</w:t>
      </w:r>
    </w:p>
    <w:p w14:paraId="1C85FDE0" w14:textId="77777777" w:rsidR="00085D7F" w:rsidRPr="00085D7F" w:rsidRDefault="00085D7F" w:rsidP="00085D7F">
      <w:pPr>
        <w:numPr>
          <w:ilvl w:val="0"/>
          <w:numId w:val="7"/>
        </w:num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Semi-structured interviews are when the interviewer contains a bit of both the structured and narrative interview techniques. The researcher believes this is the most reliable way to gather data for analysis as it allows them to ask the same questions to each interviewee but also enables them to ask further questions depending on the response, enabling the researcher to gain a further understanding of why an answer has been given by the interviewee.</w:t>
      </w:r>
    </w:p>
    <w:p w14:paraId="5B692D66" w14:textId="77777777"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(Stuckey, 2013, p 56-59)</w:t>
      </w:r>
    </w:p>
    <w:p w14:paraId="6CFF96A4" w14:textId="77777777" w:rsidR="00085D7F" w:rsidRPr="00085D7F" w:rsidRDefault="00085D7F" w:rsidP="00085D7F">
      <w:pPr>
        <w:spacing w:after="0" w:line="240" w:lineRule="auto"/>
        <w:rPr>
          <w:rFonts w:eastAsia="Times New Roman" w:cstheme="minorHAnsi"/>
          <w:color w:val="0E101A"/>
          <w:sz w:val="24"/>
          <w:szCs w:val="24"/>
          <w:lang w:eastAsia="en-GB"/>
        </w:rPr>
      </w:pPr>
    </w:p>
    <w:p w14:paraId="244303B2" w14:textId="2AE6B67A"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The researcher will conduct their interviews with two persons who have experience and knowledge about the use of a Taser, the researcher aims to conduct the interviews with a senior police officer and with a police federation representative in a semi-structured format where a set of questions will be asked to the interviewees about whether they think all police officers should be given a Taser as a standard piece of personal safety equipment and what their experience and understanding is of a Taser. This gives the researcher the flexibility to allow the interviewee to expand on their answer if they want to with follow up questions, depending on their response.</w:t>
      </w:r>
    </w:p>
    <w:p w14:paraId="6FF342EE" w14:textId="77777777" w:rsidR="00085D7F" w:rsidRPr="00085D7F" w:rsidRDefault="00085D7F" w:rsidP="00085D7F">
      <w:pPr>
        <w:spacing w:after="0" w:line="240" w:lineRule="auto"/>
        <w:rPr>
          <w:rFonts w:eastAsia="Times New Roman" w:cstheme="minorHAnsi"/>
          <w:color w:val="0E101A"/>
          <w:sz w:val="24"/>
          <w:szCs w:val="24"/>
          <w:lang w:eastAsia="en-GB"/>
        </w:rPr>
      </w:pPr>
    </w:p>
    <w:p w14:paraId="39F18FB8" w14:textId="625B91C8" w:rsidR="00085D7F" w:rsidRPr="00085D7F" w:rsidRDefault="00085D7F" w:rsidP="00085D7F">
      <w:pPr>
        <w:spacing w:after="0" w:line="240" w:lineRule="auto"/>
        <w:rPr>
          <w:rFonts w:eastAsia="Times New Roman" w:cstheme="minorHAnsi"/>
          <w:b/>
          <w:bCs/>
          <w:color w:val="0E101A"/>
          <w:sz w:val="24"/>
          <w:szCs w:val="24"/>
          <w:lang w:eastAsia="en-GB"/>
        </w:rPr>
      </w:pPr>
      <w:r w:rsidRPr="00085D7F">
        <w:rPr>
          <w:rFonts w:eastAsia="Times New Roman" w:cstheme="minorHAnsi"/>
          <w:b/>
          <w:bCs/>
          <w:color w:val="0E101A"/>
          <w:sz w:val="24"/>
          <w:szCs w:val="24"/>
          <w:lang w:eastAsia="en-GB"/>
        </w:rPr>
        <w:t>Data collection</w:t>
      </w:r>
    </w:p>
    <w:p w14:paraId="6DF48018" w14:textId="77777777" w:rsidR="00085D7F" w:rsidRPr="00085D7F" w:rsidRDefault="00085D7F" w:rsidP="00085D7F">
      <w:pPr>
        <w:spacing w:after="0" w:line="240" w:lineRule="auto"/>
        <w:rPr>
          <w:rFonts w:eastAsia="Times New Roman" w:cstheme="minorHAnsi"/>
          <w:color w:val="0E101A"/>
          <w:sz w:val="24"/>
          <w:szCs w:val="24"/>
          <w:lang w:eastAsia="en-GB"/>
        </w:rPr>
      </w:pPr>
    </w:p>
    <w:p w14:paraId="03234756" w14:textId="57E2FBC6" w:rsidR="00085D7F" w:rsidRP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 xml:space="preserve">The researcher will be asking questions and gathering data from within the law enforcement agency they work in and acknowledges that the participation in the research is voluntary and that the data collected will not be representative of the organisation's views and will be the views of individuals. The researcher has completed the universities ethics form and the consent of everyone will be obtained before the questions being asked of them. The </w:t>
      </w:r>
      <w:r w:rsidRPr="00085D7F">
        <w:rPr>
          <w:rFonts w:eastAsia="Times New Roman" w:cstheme="minorHAnsi"/>
          <w:color w:val="0E101A"/>
          <w:sz w:val="24"/>
          <w:szCs w:val="24"/>
          <w:lang w:eastAsia="en-GB"/>
        </w:rPr>
        <w:lastRenderedPageBreak/>
        <w:t>researcher will send the questions to their university lecturer for approval before them being made available to participants.</w:t>
      </w:r>
    </w:p>
    <w:p w14:paraId="39E1B9DD" w14:textId="77777777" w:rsidR="00085D7F" w:rsidRPr="00085D7F" w:rsidRDefault="00085D7F" w:rsidP="00085D7F">
      <w:pPr>
        <w:spacing w:after="0" w:line="240" w:lineRule="auto"/>
        <w:rPr>
          <w:rFonts w:eastAsia="Times New Roman" w:cstheme="minorHAnsi"/>
          <w:color w:val="0E101A"/>
          <w:sz w:val="24"/>
          <w:szCs w:val="24"/>
          <w:lang w:eastAsia="en-GB"/>
        </w:rPr>
      </w:pPr>
    </w:p>
    <w:p w14:paraId="7B745846" w14:textId="23A43272" w:rsidR="00085D7F" w:rsidRPr="00085D7F" w:rsidRDefault="00085D7F" w:rsidP="00085D7F">
      <w:pPr>
        <w:spacing w:after="0" w:line="240" w:lineRule="auto"/>
        <w:rPr>
          <w:rFonts w:eastAsia="Times New Roman" w:cstheme="minorHAnsi"/>
          <w:b/>
          <w:bCs/>
          <w:color w:val="0E101A"/>
          <w:sz w:val="24"/>
          <w:szCs w:val="24"/>
          <w:lang w:eastAsia="en-GB"/>
        </w:rPr>
      </w:pPr>
      <w:r w:rsidRPr="00085D7F">
        <w:rPr>
          <w:rFonts w:eastAsia="Times New Roman" w:cstheme="minorHAnsi"/>
          <w:b/>
          <w:bCs/>
          <w:color w:val="0E101A"/>
          <w:sz w:val="24"/>
          <w:szCs w:val="24"/>
          <w:lang w:eastAsia="en-GB"/>
        </w:rPr>
        <w:t>Summary</w:t>
      </w:r>
    </w:p>
    <w:p w14:paraId="6D300D1D" w14:textId="77777777" w:rsidR="00085D7F" w:rsidRPr="00085D7F" w:rsidRDefault="00085D7F" w:rsidP="00085D7F">
      <w:pPr>
        <w:spacing w:after="0" w:line="240" w:lineRule="auto"/>
        <w:rPr>
          <w:rFonts w:eastAsia="Times New Roman" w:cstheme="minorHAnsi"/>
          <w:color w:val="0E101A"/>
          <w:sz w:val="24"/>
          <w:szCs w:val="24"/>
          <w:lang w:eastAsia="en-GB"/>
        </w:rPr>
      </w:pPr>
    </w:p>
    <w:p w14:paraId="396B71D0" w14:textId="4CFB07DF" w:rsidR="00085D7F" w:rsidRDefault="00085D7F" w:rsidP="00085D7F">
      <w:pPr>
        <w:spacing w:after="0" w:line="240" w:lineRule="auto"/>
        <w:rPr>
          <w:rFonts w:eastAsia="Times New Roman" w:cstheme="minorHAnsi"/>
          <w:color w:val="0E101A"/>
          <w:sz w:val="24"/>
          <w:szCs w:val="24"/>
          <w:lang w:eastAsia="en-GB"/>
        </w:rPr>
      </w:pPr>
      <w:r w:rsidRPr="00085D7F">
        <w:rPr>
          <w:rFonts w:eastAsia="Times New Roman" w:cstheme="minorHAnsi"/>
          <w:color w:val="0E101A"/>
          <w:sz w:val="24"/>
          <w:szCs w:val="24"/>
          <w:lang w:eastAsia="en-GB"/>
        </w:rPr>
        <w:t>This chapter aims to explain that the project is completed by the researcher will use the mixed method approach by conducting interviews and providing a link for participants to take an online survey. The research aims to understand and test the research question on whether all police officers should be given a Taser as part of their protective equipment. The researcher has identified from an ethical dilemma that the answers and data gathered will not represent the views of the organisation they work for, and all participants will be able to withdraw their participation at any time.</w:t>
      </w:r>
    </w:p>
    <w:p w14:paraId="5569CD61" w14:textId="77777777" w:rsidR="00085D7F" w:rsidRPr="00085D7F" w:rsidRDefault="00085D7F" w:rsidP="00085D7F">
      <w:pPr>
        <w:spacing w:after="0" w:line="240" w:lineRule="auto"/>
        <w:rPr>
          <w:rFonts w:eastAsia="Times New Roman" w:cstheme="minorHAnsi"/>
          <w:color w:val="0E101A"/>
          <w:sz w:val="24"/>
          <w:szCs w:val="24"/>
          <w:lang w:eastAsia="en-GB"/>
        </w:rPr>
      </w:pPr>
    </w:p>
    <w:p w14:paraId="49BE2504" w14:textId="4FF7A4DC" w:rsidR="00C1226E" w:rsidRDefault="00085D7F" w:rsidP="00457794">
      <w:pPr>
        <w:rPr>
          <w:b/>
          <w:bCs/>
          <w:u w:val="single"/>
        </w:rPr>
      </w:pPr>
      <w:r>
        <w:rPr>
          <w:b/>
          <w:bCs/>
          <w:u w:val="single"/>
        </w:rPr>
        <w:t>(Word count- 1535)</w:t>
      </w:r>
    </w:p>
    <w:sdt>
      <w:sdtPr>
        <w:rPr>
          <w:rFonts w:asciiTheme="minorHAnsi" w:hAnsiTheme="minorHAnsi" w:cstheme="minorHAnsi"/>
          <w:sz w:val="22"/>
          <w:szCs w:val="22"/>
        </w:rPr>
        <w:id w:val="1561438849"/>
        <w:docPartObj>
          <w:docPartGallery w:val="Bibliographies"/>
          <w:docPartUnique/>
        </w:docPartObj>
      </w:sdtPr>
      <w:sdtEndPr>
        <w:rPr>
          <w:rFonts w:eastAsiaTheme="minorHAnsi"/>
          <w:color w:val="auto"/>
          <w:lang w:val="en-GB"/>
        </w:rPr>
      </w:sdtEndPr>
      <w:sdtContent>
        <w:p w14:paraId="309525B9" w14:textId="630AC087" w:rsidR="001F5478" w:rsidRPr="00085D7F" w:rsidRDefault="001F5478">
          <w:pPr>
            <w:pStyle w:val="Heading1"/>
            <w:rPr>
              <w:rFonts w:asciiTheme="minorHAnsi" w:hAnsiTheme="minorHAnsi" w:cstheme="minorHAnsi"/>
              <w:sz w:val="22"/>
              <w:szCs w:val="22"/>
            </w:rPr>
          </w:pPr>
          <w:r w:rsidRPr="00085D7F">
            <w:rPr>
              <w:rFonts w:asciiTheme="minorHAnsi" w:hAnsiTheme="minorHAnsi" w:cstheme="minorHAnsi"/>
              <w:sz w:val="22"/>
              <w:szCs w:val="22"/>
            </w:rPr>
            <w:t>References</w:t>
          </w:r>
        </w:p>
        <w:p w14:paraId="5ABD886E" w14:textId="77777777" w:rsidR="001F5478" w:rsidRPr="00085D7F" w:rsidRDefault="001F5478" w:rsidP="001F5478">
          <w:pPr>
            <w:pStyle w:val="Bibliography"/>
            <w:rPr>
              <w:rFonts w:cstheme="minorHAnsi"/>
              <w:noProof/>
              <w:lang w:val="en-US"/>
            </w:rPr>
          </w:pPr>
          <w:r w:rsidRPr="00085D7F">
            <w:rPr>
              <w:rFonts w:cstheme="minorHAnsi"/>
              <w:noProof/>
              <w:lang w:val="en-US"/>
            </w:rPr>
            <w:t xml:space="preserve">Almalki, S., 2016. Integrating Quantitative and Qualitative Data in Mixed Methods Research- Challenges and Benefits. </w:t>
          </w:r>
          <w:r w:rsidRPr="00085D7F">
            <w:rPr>
              <w:rFonts w:cstheme="minorHAnsi"/>
              <w:i/>
              <w:iCs/>
              <w:noProof/>
              <w:lang w:val="en-US"/>
            </w:rPr>
            <w:t xml:space="preserve">Journal of Education and Learning, </w:t>
          </w:r>
          <w:r w:rsidRPr="00085D7F">
            <w:rPr>
              <w:rFonts w:cstheme="minorHAnsi"/>
              <w:noProof/>
              <w:lang w:val="en-US"/>
            </w:rPr>
            <w:t>5(3), pp. 288-294.</w:t>
          </w:r>
        </w:p>
        <w:p w14:paraId="163A1B2C" w14:textId="77777777" w:rsidR="001F5478" w:rsidRPr="00085D7F" w:rsidRDefault="001F5478" w:rsidP="001F5478">
          <w:pPr>
            <w:pStyle w:val="Bibliography"/>
            <w:rPr>
              <w:rFonts w:cstheme="minorHAnsi"/>
              <w:noProof/>
              <w:lang w:val="en-US"/>
            </w:rPr>
          </w:pPr>
          <w:r w:rsidRPr="00085D7F">
            <w:rPr>
              <w:rFonts w:cstheme="minorHAnsi"/>
              <w:noProof/>
              <w:lang w:val="en-US"/>
            </w:rPr>
            <w:t xml:space="preserve">Baert, P., 2005. Emile Durkheims Naturalism. In: </w:t>
          </w:r>
          <w:r w:rsidRPr="00085D7F">
            <w:rPr>
              <w:rFonts w:cstheme="minorHAnsi"/>
              <w:i/>
              <w:iCs/>
              <w:noProof/>
              <w:lang w:val="en-US"/>
            </w:rPr>
            <w:t xml:space="preserve">Philosophy of the Social Sciences: Towards Pragmatism. </w:t>
          </w:r>
          <w:r w:rsidRPr="00085D7F">
            <w:rPr>
              <w:rFonts w:cstheme="minorHAnsi"/>
              <w:noProof/>
              <w:lang w:val="en-US"/>
            </w:rPr>
            <w:t>Cambridge: Polity Press, pp. 19-21.</w:t>
          </w:r>
        </w:p>
        <w:p w14:paraId="4E312014" w14:textId="77777777" w:rsidR="001F5478" w:rsidRPr="00085D7F" w:rsidRDefault="001F5478" w:rsidP="001F5478">
          <w:pPr>
            <w:pStyle w:val="Bibliography"/>
            <w:rPr>
              <w:rFonts w:cstheme="minorHAnsi"/>
              <w:noProof/>
              <w:lang w:val="en-US"/>
            </w:rPr>
          </w:pPr>
          <w:r w:rsidRPr="00085D7F">
            <w:rPr>
              <w:rFonts w:cstheme="minorHAnsi"/>
              <w:noProof/>
              <w:lang w:val="en-US"/>
            </w:rPr>
            <w:t xml:space="preserve">BBC Bitesize, 2021. </w:t>
          </w:r>
          <w:r w:rsidRPr="00085D7F">
            <w:rPr>
              <w:rFonts w:cstheme="minorHAnsi"/>
              <w:i/>
              <w:iCs/>
              <w:noProof/>
              <w:lang w:val="en-US"/>
            </w:rPr>
            <w:t xml:space="preserve">Planning and Organisation. </w:t>
          </w:r>
          <w:r w:rsidRPr="00085D7F">
            <w:rPr>
              <w:rFonts w:cstheme="minorHAnsi"/>
              <w:noProof/>
              <w:lang w:val="en-US"/>
            </w:rPr>
            <w:t xml:space="preserve">[Online] </w:t>
          </w:r>
          <w:r w:rsidRPr="00085D7F">
            <w:rPr>
              <w:rFonts w:cstheme="minorHAnsi"/>
              <w:noProof/>
              <w:lang w:val="en-US"/>
            </w:rPr>
            <w:br/>
            <w:t xml:space="preserve">Available at: </w:t>
          </w:r>
          <w:r w:rsidRPr="00085D7F">
            <w:rPr>
              <w:rFonts w:cstheme="minorHAnsi"/>
              <w:noProof/>
              <w:u w:val="single"/>
              <w:lang w:val="en-US"/>
            </w:rPr>
            <w:t>https://www.bbc.co.uk/bitesize/guides/z9rn3k7/revision/7</w:t>
          </w:r>
          <w:r w:rsidRPr="00085D7F">
            <w:rPr>
              <w:rFonts w:cstheme="minorHAnsi"/>
              <w:noProof/>
              <w:lang w:val="en-US"/>
            </w:rPr>
            <w:br/>
            <w:t>[Accessed 12 August 2021].</w:t>
          </w:r>
        </w:p>
        <w:p w14:paraId="0A80C95B" w14:textId="77777777" w:rsidR="001F5478" w:rsidRPr="00085D7F" w:rsidRDefault="001F5478" w:rsidP="001F5478">
          <w:pPr>
            <w:pStyle w:val="Bibliography"/>
            <w:rPr>
              <w:rFonts w:cstheme="minorHAnsi"/>
              <w:noProof/>
              <w:lang w:val="en-US"/>
            </w:rPr>
          </w:pPr>
          <w:r w:rsidRPr="00085D7F">
            <w:rPr>
              <w:rFonts w:cstheme="minorHAnsi"/>
              <w:noProof/>
              <w:lang w:val="en-US"/>
            </w:rPr>
            <w:t xml:space="preserve">Drever, P. M. a. E., 1990. Why use a questionnaire?. In: R. W. Sally Brown, ed. </w:t>
          </w:r>
          <w:r w:rsidRPr="00085D7F">
            <w:rPr>
              <w:rFonts w:cstheme="minorHAnsi"/>
              <w:i/>
              <w:iCs/>
              <w:noProof/>
              <w:lang w:val="en-US"/>
            </w:rPr>
            <w:t xml:space="preserve">Using questionnaires in small-scale research. </w:t>
          </w:r>
          <w:r w:rsidRPr="00085D7F">
            <w:rPr>
              <w:rFonts w:cstheme="minorHAnsi"/>
              <w:noProof/>
              <w:lang w:val="en-US"/>
            </w:rPr>
            <w:t>Edinburgh: SCRE Publication 104, pp. 9-10.</w:t>
          </w:r>
        </w:p>
        <w:p w14:paraId="084FD415" w14:textId="77777777" w:rsidR="001F5478" w:rsidRPr="00085D7F" w:rsidRDefault="001F5478" w:rsidP="001F5478">
          <w:pPr>
            <w:pStyle w:val="Bibliography"/>
            <w:rPr>
              <w:rFonts w:cstheme="minorHAnsi"/>
              <w:noProof/>
              <w:lang w:val="en-US"/>
            </w:rPr>
          </w:pPr>
          <w:r w:rsidRPr="00085D7F">
            <w:rPr>
              <w:rFonts w:cstheme="minorHAnsi"/>
              <w:noProof/>
              <w:lang w:val="en-US"/>
            </w:rPr>
            <w:t xml:space="preserve">Humble, J. B. &amp;. A. M., 2007. </w:t>
          </w:r>
          <w:r w:rsidRPr="00085D7F">
            <w:rPr>
              <w:rFonts w:cstheme="minorHAnsi"/>
              <w:i/>
              <w:iCs/>
              <w:noProof/>
              <w:lang w:val="en-US"/>
            </w:rPr>
            <w:t xml:space="preserve">Research Gate. </w:t>
          </w:r>
          <w:r w:rsidRPr="00085D7F">
            <w:rPr>
              <w:rFonts w:cstheme="minorHAnsi"/>
              <w:noProof/>
              <w:lang w:val="en-US"/>
            </w:rPr>
            <w:t xml:space="preserve">[Online] </w:t>
          </w:r>
          <w:r w:rsidRPr="00085D7F">
            <w:rPr>
              <w:rFonts w:cstheme="minorHAnsi"/>
              <w:noProof/>
              <w:lang w:val="en-US"/>
            </w:rPr>
            <w:br/>
            <w:t xml:space="preserve">Available at: </w:t>
          </w:r>
          <w:r w:rsidRPr="00085D7F">
            <w:rPr>
              <w:rFonts w:cstheme="minorHAnsi"/>
              <w:noProof/>
              <w:u w:val="single"/>
              <w:lang w:val="en-US"/>
            </w:rPr>
            <w:t>https://www.researchgate.net/profile/Aine-Humble/publication/237658796_An_Introduction_to_Mixed_Method_Research/links/5d41847f299bf1995b59b888/An-Introduction-to-Mixed-Method-Research.pdf</w:t>
          </w:r>
          <w:r w:rsidRPr="00085D7F">
            <w:rPr>
              <w:rFonts w:cstheme="minorHAnsi"/>
              <w:noProof/>
              <w:lang w:val="en-US"/>
            </w:rPr>
            <w:br/>
            <w:t>[Accessed 11 August 2021].</w:t>
          </w:r>
        </w:p>
        <w:p w14:paraId="2145561C" w14:textId="77777777" w:rsidR="001F5478" w:rsidRPr="00085D7F" w:rsidRDefault="001F5478" w:rsidP="001F5478">
          <w:pPr>
            <w:pStyle w:val="Bibliography"/>
            <w:rPr>
              <w:rFonts w:cstheme="minorHAnsi"/>
              <w:noProof/>
              <w:lang w:val="en-US"/>
            </w:rPr>
          </w:pPr>
          <w:r w:rsidRPr="00085D7F">
            <w:rPr>
              <w:rFonts w:cstheme="minorHAnsi"/>
              <w:noProof/>
              <w:lang w:val="en-US"/>
            </w:rPr>
            <w:t xml:space="preserve">Joop J. Hox, H. R. B., 2005. Data Collection, Primary vs. Secondary. </w:t>
          </w:r>
          <w:r w:rsidRPr="00085D7F">
            <w:rPr>
              <w:rFonts w:cstheme="minorHAnsi"/>
              <w:i/>
              <w:iCs/>
              <w:noProof/>
              <w:lang w:val="en-US"/>
            </w:rPr>
            <w:t xml:space="preserve">Encyclopedia of Social Measurement, </w:t>
          </w:r>
          <w:r w:rsidRPr="00085D7F">
            <w:rPr>
              <w:rFonts w:cstheme="minorHAnsi"/>
              <w:noProof/>
              <w:lang w:val="en-US"/>
            </w:rPr>
            <w:t>1(1), pp. 593-597.</w:t>
          </w:r>
        </w:p>
        <w:p w14:paraId="7C053687" w14:textId="77777777" w:rsidR="001F5478" w:rsidRPr="00085D7F" w:rsidRDefault="001F5478" w:rsidP="001F5478">
          <w:pPr>
            <w:pStyle w:val="Bibliography"/>
            <w:rPr>
              <w:rFonts w:cstheme="minorHAnsi"/>
              <w:noProof/>
              <w:lang w:val="en-US"/>
            </w:rPr>
          </w:pPr>
          <w:r w:rsidRPr="00085D7F">
            <w:rPr>
              <w:rFonts w:cstheme="minorHAnsi"/>
              <w:noProof/>
              <w:lang w:val="en-US"/>
            </w:rPr>
            <w:t xml:space="preserve">Katz, L., 2020. </w:t>
          </w:r>
          <w:r w:rsidRPr="00085D7F">
            <w:rPr>
              <w:rFonts w:cstheme="minorHAnsi"/>
              <w:i/>
              <w:iCs/>
              <w:noProof/>
              <w:lang w:val="en-US"/>
            </w:rPr>
            <w:t xml:space="preserve">ClearVoice. </w:t>
          </w:r>
          <w:r w:rsidRPr="00085D7F">
            <w:rPr>
              <w:rFonts w:cstheme="minorHAnsi"/>
              <w:noProof/>
              <w:lang w:val="en-US"/>
            </w:rPr>
            <w:t xml:space="preserve">[Online] </w:t>
          </w:r>
          <w:r w:rsidRPr="00085D7F">
            <w:rPr>
              <w:rFonts w:cstheme="minorHAnsi"/>
              <w:noProof/>
              <w:lang w:val="en-US"/>
            </w:rPr>
            <w:br/>
            <w:t xml:space="preserve">Available at: </w:t>
          </w:r>
          <w:r w:rsidRPr="00085D7F">
            <w:rPr>
              <w:rFonts w:cstheme="minorHAnsi"/>
              <w:noProof/>
              <w:u w:val="single"/>
              <w:lang w:val="en-US"/>
            </w:rPr>
            <w:t>https://www.clearvoice.com/blog/open-ended-questions-vs-closed-questions/</w:t>
          </w:r>
          <w:r w:rsidRPr="00085D7F">
            <w:rPr>
              <w:rFonts w:cstheme="minorHAnsi"/>
              <w:noProof/>
              <w:lang w:val="en-US"/>
            </w:rPr>
            <w:br/>
            <w:t>[Accessed 11 August 2021].</w:t>
          </w:r>
        </w:p>
        <w:p w14:paraId="0037E9D5" w14:textId="77777777" w:rsidR="001F5478" w:rsidRPr="00085D7F" w:rsidRDefault="001F5478" w:rsidP="001F5478">
          <w:pPr>
            <w:pStyle w:val="Bibliography"/>
            <w:rPr>
              <w:rFonts w:cstheme="minorHAnsi"/>
              <w:noProof/>
              <w:lang w:val="en-US"/>
            </w:rPr>
          </w:pPr>
          <w:r w:rsidRPr="00085D7F">
            <w:rPr>
              <w:rFonts w:cstheme="minorHAnsi"/>
              <w:noProof/>
              <w:lang w:val="en-US"/>
            </w:rPr>
            <w:t xml:space="preserve">QuestionPro, 2021. </w:t>
          </w:r>
          <w:r w:rsidRPr="00085D7F">
            <w:rPr>
              <w:rFonts w:cstheme="minorHAnsi"/>
              <w:i/>
              <w:iCs/>
              <w:noProof/>
              <w:lang w:val="en-US"/>
            </w:rPr>
            <w:t xml:space="preserve">Close Ended Questions. </w:t>
          </w:r>
          <w:r w:rsidRPr="00085D7F">
            <w:rPr>
              <w:rFonts w:cstheme="minorHAnsi"/>
              <w:noProof/>
              <w:lang w:val="en-US"/>
            </w:rPr>
            <w:t xml:space="preserve">[Online] </w:t>
          </w:r>
          <w:r w:rsidRPr="00085D7F">
            <w:rPr>
              <w:rFonts w:cstheme="minorHAnsi"/>
              <w:noProof/>
              <w:lang w:val="en-US"/>
            </w:rPr>
            <w:br/>
            <w:t xml:space="preserve">Available at: </w:t>
          </w:r>
          <w:r w:rsidRPr="00085D7F">
            <w:rPr>
              <w:rFonts w:cstheme="minorHAnsi"/>
              <w:noProof/>
              <w:u w:val="single"/>
              <w:lang w:val="en-US"/>
            </w:rPr>
            <w:t>https://www.questionpro.com/close-ended-questions.html</w:t>
          </w:r>
          <w:r w:rsidRPr="00085D7F">
            <w:rPr>
              <w:rFonts w:cstheme="minorHAnsi"/>
              <w:noProof/>
              <w:lang w:val="en-US"/>
            </w:rPr>
            <w:br/>
            <w:t>[Accessed 12 August 2021].</w:t>
          </w:r>
        </w:p>
        <w:p w14:paraId="7C12382A" w14:textId="77777777" w:rsidR="001F5478" w:rsidRPr="00085D7F" w:rsidRDefault="001F5478" w:rsidP="001F5478">
          <w:pPr>
            <w:pStyle w:val="Bibliography"/>
            <w:rPr>
              <w:rFonts w:cstheme="minorHAnsi"/>
              <w:noProof/>
              <w:lang w:val="en-US"/>
            </w:rPr>
          </w:pPr>
          <w:r w:rsidRPr="00085D7F">
            <w:rPr>
              <w:rFonts w:cstheme="minorHAnsi"/>
              <w:noProof/>
              <w:lang w:val="en-US"/>
            </w:rPr>
            <w:t xml:space="preserve">Rahman, S., 2017. The Advantages and Disadvantages of Using Qualitative and Quantitative Approaches and Methods in Language “Testing and Assessment” Research: A Literature Review. </w:t>
          </w:r>
          <w:r w:rsidRPr="00085D7F">
            <w:rPr>
              <w:rFonts w:cstheme="minorHAnsi"/>
              <w:i/>
              <w:iCs/>
              <w:noProof/>
              <w:lang w:val="en-US"/>
            </w:rPr>
            <w:t xml:space="preserve">Journal of Education and Learning, </w:t>
          </w:r>
          <w:r w:rsidRPr="00085D7F">
            <w:rPr>
              <w:rFonts w:cstheme="minorHAnsi"/>
              <w:noProof/>
              <w:lang w:val="en-US"/>
            </w:rPr>
            <w:t>6(1), pp. 102-108.</w:t>
          </w:r>
        </w:p>
        <w:p w14:paraId="64D4FB81" w14:textId="02BF8673" w:rsidR="001F5478" w:rsidRPr="00085D7F" w:rsidRDefault="001F5478" w:rsidP="001F5478">
          <w:pPr>
            <w:pStyle w:val="Bibliography"/>
            <w:rPr>
              <w:rFonts w:cstheme="minorHAnsi"/>
              <w:noProof/>
              <w:lang w:val="en-US"/>
            </w:rPr>
          </w:pPr>
          <w:r w:rsidRPr="00085D7F">
            <w:rPr>
              <w:rFonts w:cstheme="minorHAnsi"/>
              <w:noProof/>
              <w:lang w:val="en-US"/>
            </w:rPr>
            <w:t xml:space="preserve">Stuckey, H. L., 2013. Three types of interviews: Qualative research methods in social health. </w:t>
          </w:r>
          <w:r w:rsidRPr="00085D7F">
            <w:rPr>
              <w:rFonts w:cstheme="minorHAnsi"/>
              <w:i/>
              <w:iCs/>
              <w:noProof/>
              <w:lang w:val="en-US"/>
            </w:rPr>
            <w:t xml:space="preserve">Social Health and Diabetes, </w:t>
          </w:r>
          <w:r w:rsidRPr="00085D7F">
            <w:rPr>
              <w:rFonts w:cstheme="minorHAnsi"/>
              <w:noProof/>
              <w:lang w:val="en-US"/>
            </w:rPr>
            <w:t>1(2), pp. 56-59.</w:t>
          </w:r>
        </w:p>
      </w:sdtContent>
    </w:sdt>
    <w:p w14:paraId="20D822CE" w14:textId="77777777" w:rsidR="001F5478" w:rsidRPr="002E0170" w:rsidRDefault="001F5478" w:rsidP="000159E3"/>
    <w:p w14:paraId="4852F598" w14:textId="77777777" w:rsidR="00A77E5B" w:rsidRPr="00DC7DA6" w:rsidRDefault="00A77E5B" w:rsidP="000159E3"/>
    <w:sectPr w:rsidR="00A77E5B" w:rsidRPr="00DC7DA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B1C41" w14:textId="77777777" w:rsidR="00646B14" w:rsidRDefault="00646B14" w:rsidP="00646B14">
      <w:pPr>
        <w:spacing w:after="0" w:line="240" w:lineRule="auto"/>
      </w:pPr>
      <w:r>
        <w:separator/>
      </w:r>
    </w:p>
  </w:endnote>
  <w:endnote w:type="continuationSeparator" w:id="0">
    <w:p w14:paraId="7BB6C90A" w14:textId="77777777" w:rsidR="00646B14" w:rsidRDefault="00646B14" w:rsidP="00646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16E2C" w14:textId="77777777" w:rsidR="00646B14" w:rsidRDefault="00646B14" w:rsidP="00646B14">
      <w:pPr>
        <w:spacing w:after="0" w:line="240" w:lineRule="auto"/>
      </w:pPr>
      <w:r>
        <w:separator/>
      </w:r>
    </w:p>
  </w:footnote>
  <w:footnote w:type="continuationSeparator" w:id="0">
    <w:p w14:paraId="59AB9106" w14:textId="77777777" w:rsidR="00646B14" w:rsidRDefault="00646B14" w:rsidP="00646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84701" w14:textId="3E4B6FCC" w:rsidR="00646B14" w:rsidRDefault="00646B14">
    <w:pPr>
      <w:pStyle w:val="Header"/>
    </w:pPr>
    <w:r>
      <w:t>Kieron McCaffrey 1815590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F1414"/>
    <w:multiLevelType w:val="multilevel"/>
    <w:tmpl w:val="FF30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183D73"/>
    <w:multiLevelType w:val="hybridMultilevel"/>
    <w:tmpl w:val="4F666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1F0A72"/>
    <w:multiLevelType w:val="hybridMultilevel"/>
    <w:tmpl w:val="F7620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584BAC"/>
    <w:multiLevelType w:val="multilevel"/>
    <w:tmpl w:val="74F20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481C16"/>
    <w:multiLevelType w:val="hybridMultilevel"/>
    <w:tmpl w:val="3B64E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C03FE2"/>
    <w:multiLevelType w:val="multilevel"/>
    <w:tmpl w:val="28D4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273396"/>
    <w:multiLevelType w:val="hybridMultilevel"/>
    <w:tmpl w:val="9A52B22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E7B"/>
    <w:rsid w:val="00013B6F"/>
    <w:rsid w:val="000159E3"/>
    <w:rsid w:val="000217A0"/>
    <w:rsid w:val="00053558"/>
    <w:rsid w:val="00061DB9"/>
    <w:rsid w:val="00064F6A"/>
    <w:rsid w:val="00085D7F"/>
    <w:rsid w:val="00090A9D"/>
    <w:rsid w:val="000C0D0A"/>
    <w:rsid w:val="000C1360"/>
    <w:rsid w:val="000D7CF0"/>
    <w:rsid w:val="000E0417"/>
    <w:rsid w:val="000F04E0"/>
    <w:rsid w:val="000F219A"/>
    <w:rsid w:val="000F2C23"/>
    <w:rsid w:val="001012D0"/>
    <w:rsid w:val="00106406"/>
    <w:rsid w:val="00141489"/>
    <w:rsid w:val="0016010C"/>
    <w:rsid w:val="00163CDC"/>
    <w:rsid w:val="00164127"/>
    <w:rsid w:val="001719A8"/>
    <w:rsid w:val="001C676E"/>
    <w:rsid w:val="001D4F49"/>
    <w:rsid w:val="001E1B83"/>
    <w:rsid w:val="001E2926"/>
    <w:rsid w:val="001F5478"/>
    <w:rsid w:val="00203C21"/>
    <w:rsid w:val="00211BE9"/>
    <w:rsid w:val="00212536"/>
    <w:rsid w:val="002234A8"/>
    <w:rsid w:val="00253E00"/>
    <w:rsid w:val="00254091"/>
    <w:rsid w:val="002639C6"/>
    <w:rsid w:val="00281878"/>
    <w:rsid w:val="00290533"/>
    <w:rsid w:val="002A38D2"/>
    <w:rsid w:val="002A74FD"/>
    <w:rsid w:val="002C47F4"/>
    <w:rsid w:val="002E0170"/>
    <w:rsid w:val="002E1E95"/>
    <w:rsid w:val="002F2D8B"/>
    <w:rsid w:val="002F4C1A"/>
    <w:rsid w:val="002F74CB"/>
    <w:rsid w:val="00332453"/>
    <w:rsid w:val="00351862"/>
    <w:rsid w:val="003577B0"/>
    <w:rsid w:val="00391F70"/>
    <w:rsid w:val="003A3863"/>
    <w:rsid w:val="003B32A4"/>
    <w:rsid w:val="003D3D30"/>
    <w:rsid w:val="003D6B7F"/>
    <w:rsid w:val="00440114"/>
    <w:rsid w:val="00457794"/>
    <w:rsid w:val="0046217C"/>
    <w:rsid w:val="00465663"/>
    <w:rsid w:val="0046667A"/>
    <w:rsid w:val="0047006A"/>
    <w:rsid w:val="004B239F"/>
    <w:rsid w:val="004C1EED"/>
    <w:rsid w:val="004C54C8"/>
    <w:rsid w:val="004C54FA"/>
    <w:rsid w:val="00510896"/>
    <w:rsid w:val="00541A26"/>
    <w:rsid w:val="00542B79"/>
    <w:rsid w:val="00544C2A"/>
    <w:rsid w:val="00546EA3"/>
    <w:rsid w:val="00550934"/>
    <w:rsid w:val="00556F87"/>
    <w:rsid w:val="00567029"/>
    <w:rsid w:val="00573C92"/>
    <w:rsid w:val="00575C15"/>
    <w:rsid w:val="00576594"/>
    <w:rsid w:val="005865B2"/>
    <w:rsid w:val="00594598"/>
    <w:rsid w:val="005A3F07"/>
    <w:rsid w:val="005B093B"/>
    <w:rsid w:val="005C1BC3"/>
    <w:rsid w:val="005D3996"/>
    <w:rsid w:val="005E0EFE"/>
    <w:rsid w:val="005E6C72"/>
    <w:rsid w:val="005F321A"/>
    <w:rsid w:val="005F462F"/>
    <w:rsid w:val="005F4D16"/>
    <w:rsid w:val="006133B8"/>
    <w:rsid w:val="00634470"/>
    <w:rsid w:val="00636DE8"/>
    <w:rsid w:val="00637B2B"/>
    <w:rsid w:val="00646B14"/>
    <w:rsid w:val="00656409"/>
    <w:rsid w:val="00663D1A"/>
    <w:rsid w:val="00691A70"/>
    <w:rsid w:val="006C0E98"/>
    <w:rsid w:val="006D3820"/>
    <w:rsid w:val="006E52BF"/>
    <w:rsid w:val="006F26B3"/>
    <w:rsid w:val="006F3DCC"/>
    <w:rsid w:val="007216F8"/>
    <w:rsid w:val="00726EF4"/>
    <w:rsid w:val="00746F30"/>
    <w:rsid w:val="00781919"/>
    <w:rsid w:val="0079645A"/>
    <w:rsid w:val="007A0982"/>
    <w:rsid w:val="007A4150"/>
    <w:rsid w:val="007A6166"/>
    <w:rsid w:val="007C3E22"/>
    <w:rsid w:val="007E287B"/>
    <w:rsid w:val="007F465C"/>
    <w:rsid w:val="00810A40"/>
    <w:rsid w:val="00837BF0"/>
    <w:rsid w:val="00846AE5"/>
    <w:rsid w:val="00862E15"/>
    <w:rsid w:val="00863431"/>
    <w:rsid w:val="008647A1"/>
    <w:rsid w:val="00876829"/>
    <w:rsid w:val="00876974"/>
    <w:rsid w:val="008773F9"/>
    <w:rsid w:val="008B3237"/>
    <w:rsid w:val="008E01AD"/>
    <w:rsid w:val="008E45BA"/>
    <w:rsid w:val="008F69BC"/>
    <w:rsid w:val="009046C7"/>
    <w:rsid w:val="00917AC6"/>
    <w:rsid w:val="009217D3"/>
    <w:rsid w:val="00922E7B"/>
    <w:rsid w:val="00936A51"/>
    <w:rsid w:val="0094039F"/>
    <w:rsid w:val="00941358"/>
    <w:rsid w:val="009512F9"/>
    <w:rsid w:val="00966813"/>
    <w:rsid w:val="009904A8"/>
    <w:rsid w:val="009960BC"/>
    <w:rsid w:val="009A5353"/>
    <w:rsid w:val="009B38F3"/>
    <w:rsid w:val="009C3AA6"/>
    <w:rsid w:val="009F4A99"/>
    <w:rsid w:val="00A1108D"/>
    <w:rsid w:val="00A20EE9"/>
    <w:rsid w:val="00A24078"/>
    <w:rsid w:val="00A656C3"/>
    <w:rsid w:val="00A7192B"/>
    <w:rsid w:val="00A77E5B"/>
    <w:rsid w:val="00A81EC5"/>
    <w:rsid w:val="00A83142"/>
    <w:rsid w:val="00A86CE7"/>
    <w:rsid w:val="00AE0088"/>
    <w:rsid w:val="00AE61E5"/>
    <w:rsid w:val="00AF2CFB"/>
    <w:rsid w:val="00B12A0E"/>
    <w:rsid w:val="00B1423A"/>
    <w:rsid w:val="00B3410E"/>
    <w:rsid w:val="00B53981"/>
    <w:rsid w:val="00B667FD"/>
    <w:rsid w:val="00B676F8"/>
    <w:rsid w:val="00B82EAD"/>
    <w:rsid w:val="00B916CF"/>
    <w:rsid w:val="00BB3FCE"/>
    <w:rsid w:val="00BB7486"/>
    <w:rsid w:val="00BE214A"/>
    <w:rsid w:val="00C1226E"/>
    <w:rsid w:val="00C32084"/>
    <w:rsid w:val="00C33C8E"/>
    <w:rsid w:val="00C35FE5"/>
    <w:rsid w:val="00C44EB5"/>
    <w:rsid w:val="00C633F2"/>
    <w:rsid w:val="00C74355"/>
    <w:rsid w:val="00C77421"/>
    <w:rsid w:val="00C80DE8"/>
    <w:rsid w:val="00C87605"/>
    <w:rsid w:val="00C9656B"/>
    <w:rsid w:val="00CA0F43"/>
    <w:rsid w:val="00CC0C69"/>
    <w:rsid w:val="00CD66C5"/>
    <w:rsid w:val="00CF4356"/>
    <w:rsid w:val="00D0251E"/>
    <w:rsid w:val="00D113AB"/>
    <w:rsid w:val="00D11F8B"/>
    <w:rsid w:val="00D52BA1"/>
    <w:rsid w:val="00D5599B"/>
    <w:rsid w:val="00D7113B"/>
    <w:rsid w:val="00D85879"/>
    <w:rsid w:val="00DB22AD"/>
    <w:rsid w:val="00DC1FA2"/>
    <w:rsid w:val="00DC3A77"/>
    <w:rsid w:val="00DC7DA6"/>
    <w:rsid w:val="00DD1E71"/>
    <w:rsid w:val="00DF510B"/>
    <w:rsid w:val="00E016BB"/>
    <w:rsid w:val="00E27253"/>
    <w:rsid w:val="00E57D61"/>
    <w:rsid w:val="00E7244B"/>
    <w:rsid w:val="00E84E41"/>
    <w:rsid w:val="00E86A93"/>
    <w:rsid w:val="00E87A73"/>
    <w:rsid w:val="00E910B2"/>
    <w:rsid w:val="00EA582A"/>
    <w:rsid w:val="00EB018A"/>
    <w:rsid w:val="00EB693C"/>
    <w:rsid w:val="00EF7FD4"/>
    <w:rsid w:val="00F0390D"/>
    <w:rsid w:val="00F24D44"/>
    <w:rsid w:val="00F25748"/>
    <w:rsid w:val="00F26EA4"/>
    <w:rsid w:val="00F32A57"/>
    <w:rsid w:val="00F74E11"/>
    <w:rsid w:val="00F96C01"/>
    <w:rsid w:val="00FA5FE6"/>
    <w:rsid w:val="00FF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DC7D2"/>
  <w15:chartTrackingRefBased/>
  <w15:docId w15:val="{4D3EF9D0-A647-40FF-A189-CF0D080B1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697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BC3"/>
    <w:pPr>
      <w:ind w:left="720"/>
      <w:contextualSpacing/>
    </w:pPr>
  </w:style>
  <w:style w:type="character" w:customStyle="1" w:styleId="Heading1Char">
    <w:name w:val="Heading 1 Char"/>
    <w:basedOn w:val="DefaultParagraphFont"/>
    <w:link w:val="Heading1"/>
    <w:uiPriority w:val="9"/>
    <w:rsid w:val="0087697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76974"/>
  </w:style>
  <w:style w:type="table" w:styleId="TableGrid">
    <w:name w:val="Table Grid"/>
    <w:basedOn w:val="TableNormal"/>
    <w:uiPriority w:val="39"/>
    <w:rsid w:val="00254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B38F3"/>
    <w:rPr>
      <w:rFonts w:ascii="Times New Roman" w:hAnsi="Times New Roman" w:cs="Times New Roman"/>
      <w:sz w:val="24"/>
      <w:szCs w:val="24"/>
    </w:rPr>
  </w:style>
  <w:style w:type="paragraph" w:styleId="Header">
    <w:name w:val="header"/>
    <w:basedOn w:val="Normal"/>
    <w:link w:val="HeaderChar"/>
    <w:uiPriority w:val="99"/>
    <w:unhideWhenUsed/>
    <w:rsid w:val="00646B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B14"/>
  </w:style>
  <w:style w:type="paragraph" w:styleId="Footer">
    <w:name w:val="footer"/>
    <w:basedOn w:val="Normal"/>
    <w:link w:val="FooterChar"/>
    <w:uiPriority w:val="99"/>
    <w:unhideWhenUsed/>
    <w:rsid w:val="00646B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B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62083">
      <w:bodyDiv w:val="1"/>
      <w:marLeft w:val="0"/>
      <w:marRight w:val="0"/>
      <w:marTop w:val="0"/>
      <w:marBottom w:val="0"/>
      <w:divBdr>
        <w:top w:val="none" w:sz="0" w:space="0" w:color="auto"/>
        <w:left w:val="none" w:sz="0" w:space="0" w:color="auto"/>
        <w:bottom w:val="none" w:sz="0" w:space="0" w:color="auto"/>
        <w:right w:val="none" w:sz="0" w:space="0" w:color="auto"/>
      </w:divBdr>
    </w:div>
    <w:div w:id="223295085">
      <w:bodyDiv w:val="1"/>
      <w:marLeft w:val="0"/>
      <w:marRight w:val="0"/>
      <w:marTop w:val="0"/>
      <w:marBottom w:val="0"/>
      <w:divBdr>
        <w:top w:val="none" w:sz="0" w:space="0" w:color="auto"/>
        <w:left w:val="none" w:sz="0" w:space="0" w:color="auto"/>
        <w:bottom w:val="none" w:sz="0" w:space="0" w:color="auto"/>
        <w:right w:val="none" w:sz="0" w:space="0" w:color="auto"/>
      </w:divBdr>
    </w:div>
    <w:div w:id="236329361">
      <w:bodyDiv w:val="1"/>
      <w:marLeft w:val="0"/>
      <w:marRight w:val="0"/>
      <w:marTop w:val="0"/>
      <w:marBottom w:val="0"/>
      <w:divBdr>
        <w:top w:val="none" w:sz="0" w:space="0" w:color="auto"/>
        <w:left w:val="none" w:sz="0" w:space="0" w:color="auto"/>
        <w:bottom w:val="none" w:sz="0" w:space="0" w:color="auto"/>
        <w:right w:val="none" w:sz="0" w:space="0" w:color="auto"/>
      </w:divBdr>
    </w:div>
    <w:div w:id="252207378">
      <w:bodyDiv w:val="1"/>
      <w:marLeft w:val="0"/>
      <w:marRight w:val="0"/>
      <w:marTop w:val="0"/>
      <w:marBottom w:val="0"/>
      <w:divBdr>
        <w:top w:val="none" w:sz="0" w:space="0" w:color="auto"/>
        <w:left w:val="none" w:sz="0" w:space="0" w:color="auto"/>
        <w:bottom w:val="none" w:sz="0" w:space="0" w:color="auto"/>
        <w:right w:val="none" w:sz="0" w:space="0" w:color="auto"/>
      </w:divBdr>
    </w:div>
    <w:div w:id="295985824">
      <w:bodyDiv w:val="1"/>
      <w:marLeft w:val="0"/>
      <w:marRight w:val="0"/>
      <w:marTop w:val="0"/>
      <w:marBottom w:val="0"/>
      <w:divBdr>
        <w:top w:val="none" w:sz="0" w:space="0" w:color="auto"/>
        <w:left w:val="none" w:sz="0" w:space="0" w:color="auto"/>
        <w:bottom w:val="none" w:sz="0" w:space="0" w:color="auto"/>
        <w:right w:val="none" w:sz="0" w:space="0" w:color="auto"/>
      </w:divBdr>
    </w:div>
    <w:div w:id="297344730">
      <w:bodyDiv w:val="1"/>
      <w:marLeft w:val="0"/>
      <w:marRight w:val="0"/>
      <w:marTop w:val="0"/>
      <w:marBottom w:val="0"/>
      <w:divBdr>
        <w:top w:val="none" w:sz="0" w:space="0" w:color="auto"/>
        <w:left w:val="none" w:sz="0" w:space="0" w:color="auto"/>
        <w:bottom w:val="none" w:sz="0" w:space="0" w:color="auto"/>
        <w:right w:val="none" w:sz="0" w:space="0" w:color="auto"/>
      </w:divBdr>
    </w:div>
    <w:div w:id="316225090">
      <w:bodyDiv w:val="1"/>
      <w:marLeft w:val="0"/>
      <w:marRight w:val="0"/>
      <w:marTop w:val="0"/>
      <w:marBottom w:val="0"/>
      <w:divBdr>
        <w:top w:val="none" w:sz="0" w:space="0" w:color="auto"/>
        <w:left w:val="none" w:sz="0" w:space="0" w:color="auto"/>
        <w:bottom w:val="none" w:sz="0" w:space="0" w:color="auto"/>
        <w:right w:val="none" w:sz="0" w:space="0" w:color="auto"/>
      </w:divBdr>
    </w:div>
    <w:div w:id="355008763">
      <w:bodyDiv w:val="1"/>
      <w:marLeft w:val="0"/>
      <w:marRight w:val="0"/>
      <w:marTop w:val="0"/>
      <w:marBottom w:val="0"/>
      <w:divBdr>
        <w:top w:val="none" w:sz="0" w:space="0" w:color="auto"/>
        <w:left w:val="none" w:sz="0" w:space="0" w:color="auto"/>
        <w:bottom w:val="none" w:sz="0" w:space="0" w:color="auto"/>
        <w:right w:val="none" w:sz="0" w:space="0" w:color="auto"/>
      </w:divBdr>
    </w:div>
    <w:div w:id="381682486">
      <w:bodyDiv w:val="1"/>
      <w:marLeft w:val="0"/>
      <w:marRight w:val="0"/>
      <w:marTop w:val="0"/>
      <w:marBottom w:val="0"/>
      <w:divBdr>
        <w:top w:val="none" w:sz="0" w:space="0" w:color="auto"/>
        <w:left w:val="none" w:sz="0" w:space="0" w:color="auto"/>
        <w:bottom w:val="none" w:sz="0" w:space="0" w:color="auto"/>
        <w:right w:val="none" w:sz="0" w:space="0" w:color="auto"/>
      </w:divBdr>
    </w:div>
    <w:div w:id="384527287">
      <w:bodyDiv w:val="1"/>
      <w:marLeft w:val="0"/>
      <w:marRight w:val="0"/>
      <w:marTop w:val="0"/>
      <w:marBottom w:val="0"/>
      <w:divBdr>
        <w:top w:val="none" w:sz="0" w:space="0" w:color="auto"/>
        <w:left w:val="none" w:sz="0" w:space="0" w:color="auto"/>
        <w:bottom w:val="none" w:sz="0" w:space="0" w:color="auto"/>
        <w:right w:val="none" w:sz="0" w:space="0" w:color="auto"/>
      </w:divBdr>
    </w:div>
    <w:div w:id="391925892">
      <w:bodyDiv w:val="1"/>
      <w:marLeft w:val="0"/>
      <w:marRight w:val="0"/>
      <w:marTop w:val="0"/>
      <w:marBottom w:val="0"/>
      <w:divBdr>
        <w:top w:val="none" w:sz="0" w:space="0" w:color="auto"/>
        <w:left w:val="none" w:sz="0" w:space="0" w:color="auto"/>
        <w:bottom w:val="none" w:sz="0" w:space="0" w:color="auto"/>
        <w:right w:val="none" w:sz="0" w:space="0" w:color="auto"/>
      </w:divBdr>
    </w:div>
    <w:div w:id="393502927">
      <w:bodyDiv w:val="1"/>
      <w:marLeft w:val="0"/>
      <w:marRight w:val="0"/>
      <w:marTop w:val="0"/>
      <w:marBottom w:val="0"/>
      <w:divBdr>
        <w:top w:val="none" w:sz="0" w:space="0" w:color="auto"/>
        <w:left w:val="none" w:sz="0" w:space="0" w:color="auto"/>
        <w:bottom w:val="none" w:sz="0" w:space="0" w:color="auto"/>
        <w:right w:val="none" w:sz="0" w:space="0" w:color="auto"/>
      </w:divBdr>
    </w:div>
    <w:div w:id="516502862">
      <w:bodyDiv w:val="1"/>
      <w:marLeft w:val="0"/>
      <w:marRight w:val="0"/>
      <w:marTop w:val="0"/>
      <w:marBottom w:val="0"/>
      <w:divBdr>
        <w:top w:val="none" w:sz="0" w:space="0" w:color="auto"/>
        <w:left w:val="none" w:sz="0" w:space="0" w:color="auto"/>
        <w:bottom w:val="none" w:sz="0" w:space="0" w:color="auto"/>
        <w:right w:val="none" w:sz="0" w:space="0" w:color="auto"/>
      </w:divBdr>
    </w:div>
    <w:div w:id="517545771">
      <w:bodyDiv w:val="1"/>
      <w:marLeft w:val="0"/>
      <w:marRight w:val="0"/>
      <w:marTop w:val="0"/>
      <w:marBottom w:val="0"/>
      <w:divBdr>
        <w:top w:val="none" w:sz="0" w:space="0" w:color="auto"/>
        <w:left w:val="none" w:sz="0" w:space="0" w:color="auto"/>
        <w:bottom w:val="none" w:sz="0" w:space="0" w:color="auto"/>
        <w:right w:val="none" w:sz="0" w:space="0" w:color="auto"/>
      </w:divBdr>
    </w:div>
    <w:div w:id="524247435">
      <w:bodyDiv w:val="1"/>
      <w:marLeft w:val="0"/>
      <w:marRight w:val="0"/>
      <w:marTop w:val="0"/>
      <w:marBottom w:val="0"/>
      <w:divBdr>
        <w:top w:val="none" w:sz="0" w:space="0" w:color="auto"/>
        <w:left w:val="none" w:sz="0" w:space="0" w:color="auto"/>
        <w:bottom w:val="none" w:sz="0" w:space="0" w:color="auto"/>
        <w:right w:val="none" w:sz="0" w:space="0" w:color="auto"/>
      </w:divBdr>
    </w:div>
    <w:div w:id="562833114">
      <w:bodyDiv w:val="1"/>
      <w:marLeft w:val="0"/>
      <w:marRight w:val="0"/>
      <w:marTop w:val="0"/>
      <w:marBottom w:val="0"/>
      <w:divBdr>
        <w:top w:val="none" w:sz="0" w:space="0" w:color="auto"/>
        <w:left w:val="none" w:sz="0" w:space="0" w:color="auto"/>
        <w:bottom w:val="none" w:sz="0" w:space="0" w:color="auto"/>
        <w:right w:val="none" w:sz="0" w:space="0" w:color="auto"/>
      </w:divBdr>
    </w:div>
    <w:div w:id="623585058">
      <w:bodyDiv w:val="1"/>
      <w:marLeft w:val="0"/>
      <w:marRight w:val="0"/>
      <w:marTop w:val="0"/>
      <w:marBottom w:val="0"/>
      <w:divBdr>
        <w:top w:val="none" w:sz="0" w:space="0" w:color="auto"/>
        <w:left w:val="none" w:sz="0" w:space="0" w:color="auto"/>
        <w:bottom w:val="none" w:sz="0" w:space="0" w:color="auto"/>
        <w:right w:val="none" w:sz="0" w:space="0" w:color="auto"/>
      </w:divBdr>
    </w:div>
    <w:div w:id="655300682">
      <w:bodyDiv w:val="1"/>
      <w:marLeft w:val="0"/>
      <w:marRight w:val="0"/>
      <w:marTop w:val="0"/>
      <w:marBottom w:val="0"/>
      <w:divBdr>
        <w:top w:val="none" w:sz="0" w:space="0" w:color="auto"/>
        <w:left w:val="none" w:sz="0" w:space="0" w:color="auto"/>
        <w:bottom w:val="none" w:sz="0" w:space="0" w:color="auto"/>
        <w:right w:val="none" w:sz="0" w:space="0" w:color="auto"/>
      </w:divBdr>
    </w:div>
    <w:div w:id="706108392">
      <w:bodyDiv w:val="1"/>
      <w:marLeft w:val="0"/>
      <w:marRight w:val="0"/>
      <w:marTop w:val="0"/>
      <w:marBottom w:val="0"/>
      <w:divBdr>
        <w:top w:val="none" w:sz="0" w:space="0" w:color="auto"/>
        <w:left w:val="none" w:sz="0" w:space="0" w:color="auto"/>
        <w:bottom w:val="none" w:sz="0" w:space="0" w:color="auto"/>
        <w:right w:val="none" w:sz="0" w:space="0" w:color="auto"/>
      </w:divBdr>
    </w:div>
    <w:div w:id="746028841">
      <w:bodyDiv w:val="1"/>
      <w:marLeft w:val="0"/>
      <w:marRight w:val="0"/>
      <w:marTop w:val="0"/>
      <w:marBottom w:val="0"/>
      <w:divBdr>
        <w:top w:val="none" w:sz="0" w:space="0" w:color="auto"/>
        <w:left w:val="none" w:sz="0" w:space="0" w:color="auto"/>
        <w:bottom w:val="none" w:sz="0" w:space="0" w:color="auto"/>
        <w:right w:val="none" w:sz="0" w:space="0" w:color="auto"/>
      </w:divBdr>
    </w:div>
    <w:div w:id="748430890">
      <w:bodyDiv w:val="1"/>
      <w:marLeft w:val="0"/>
      <w:marRight w:val="0"/>
      <w:marTop w:val="0"/>
      <w:marBottom w:val="0"/>
      <w:divBdr>
        <w:top w:val="none" w:sz="0" w:space="0" w:color="auto"/>
        <w:left w:val="none" w:sz="0" w:space="0" w:color="auto"/>
        <w:bottom w:val="none" w:sz="0" w:space="0" w:color="auto"/>
        <w:right w:val="none" w:sz="0" w:space="0" w:color="auto"/>
      </w:divBdr>
    </w:div>
    <w:div w:id="765074693">
      <w:bodyDiv w:val="1"/>
      <w:marLeft w:val="0"/>
      <w:marRight w:val="0"/>
      <w:marTop w:val="0"/>
      <w:marBottom w:val="0"/>
      <w:divBdr>
        <w:top w:val="none" w:sz="0" w:space="0" w:color="auto"/>
        <w:left w:val="none" w:sz="0" w:space="0" w:color="auto"/>
        <w:bottom w:val="none" w:sz="0" w:space="0" w:color="auto"/>
        <w:right w:val="none" w:sz="0" w:space="0" w:color="auto"/>
      </w:divBdr>
    </w:div>
    <w:div w:id="768353737">
      <w:bodyDiv w:val="1"/>
      <w:marLeft w:val="0"/>
      <w:marRight w:val="0"/>
      <w:marTop w:val="0"/>
      <w:marBottom w:val="0"/>
      <w:divBdr>
        <w:top w:val="none" w:sz="0" w:space="0" w:color="auto"/>
        <w:left w:val="none" w:sz="0" w:space="0" w:color="auto"/>
        <w:bottom w:val="none" w:sz="0" w:space="0" w:color="auto"/>
        <w:right w:val="none" w:sz="0" w:space="0" w:color="auto"/>
      </w:divBdr>
    </w:div>
    <w:div w:id="830607149">
      <w:bodyDiv w:val="1"/>
      <w:marLeft w:val="0"/>
      <w:marRight w:val="0"/>
      <w:marTop w:val="0"/>
      <w:marBottom w:val="0"/>
      <w:divBdr>
        <w:top w:val="none" w:sz="0" w:space="0" w:color="auto"/>
        <w:left w:val="none" w:sz="0" w:space="0" w:color="auto"/>
        <w:bottom w:val="none" w:sz="0" w:space="0" w:color="auto"/>
        <w:right w:val="none" w:sz="0" w:space="0" w:color="auto"/>
      </w:divBdr>
    </w:div>
    <w:div w:id="869875842">
      <w:bodyDiv w:val="1"/>
      <w:marLeft w:val="0"/>
      <w:marRight w:val="0"/>
      <w:marTop w:val="0"/>
      <w:marBottom w:val="0"/>
      <w:divBdr>
        <w:top w:val="none" w:sz="0" w:space="0" w:color="auto"/>
        <w:left w:val="none" w:sz="0" w:space="0" w:color="auto"/>
        <w:bottom w:val="none" w:sz="0" w:space="0" w:color="auto"/>
        <w:right w:val="none" w:sz="0" w:space="0" w:color="auto"/>
      </w:divBdr>
    </w:div>
    <w:div w:id="897012880">
      <w:bodyDiv w:val="1"/>
      <w:marLeft w:val="0"/>
      <w:marRight w:val="0"/>
      <w:marTop w:val="0"/>
      <w:marBottom w:val="0"/>
      <w:divBdr>
        <w:top w:val="none" w:sz="0" w:space="0" w:color="auto"/>
        <w:left w:val="none" w:sz="0" w:space="0" w:color="auto"/>
        <w:bottom w:val="none" w:sz="0" w:space="0" w:color="auto"/>
        <w:right w:val="none" w:sz="0" w:space="0" w:color="auto"/>
      </w:divBdr>
    </w:div>
    <w:div w:id="901906831">
      <w:bodyDiv w:val="1"/>
      <w:marLeft w:val="0"/>
      <w:marRight w:val="0"/>
      <w:marTop w:val="0"/>
      <w:marBottom w:val="0"/>
      <w:divBdr>
        <w:top w:val="none" w:sz="0" w:space="0" w:color="auto"/>
        <w:left w:val="none" w:sz="0" w:space="0" w:color="auto"/>
        <w:bottom w:val="none" w:sz="0" w:space="0" w:color="auto"/>
        <w:right w:val="none" w:sz="0" w:space="0" w:color="auto"/>
      </w:divBdr>
    </w:div>
    <w:div w:id="903178173">
      <w:bodyDiv w:val="1"/>
      <w:marLeft w:val="0"/>
      <w:marRight w:val="0"/>
      <w:marTop w:val="0"/>
      <w:marBottom w:val="0"/>
      <w:divBdr>
        <w:top w:val="none" w:sz="0" w:space="0" w:color="auto"/>
        <w:left w:val="none" w:sz="0" w:space="0" w:color="auto"/>
        <w:bottom w:val="none" w:sz="0" w:space="0" w:color="auto"/>
        <w:right w:val="none" w:sz="0" w:space="0" w:color="auto"/>
      </w:divBdr>
    </w:div>
    <w:div w:id="915169729">
      <w:bodyDiv w:val="1"/>
      <w:marLeft w:val="0"/>
      <w:marRight w:val="0"/>
      <w:marTop w:val="0"/>
      <w:marBottom w:val="0"/>
      <w:divBdr>
        <w:top w:val="none" w:sz="0" w:space="0" w:color="auto"/>
        <w:left w:val="none" w:sz="0" w:space="0" w:color="auto"/>
        <w:bottom w:val="none" w:sz="0" w:space="0" w:color="auto"/>
        <w:right w:val="none" w:sz="0" w:space="0" w:color="auto"/>
      </w:divBdr>
    </w:div>
    <w:div w:id="938682918">
      <w:bodyDiv w:val="1"/>
      <w:marLeft w:val="0"/>
      <w:marRight w:val="0"/>
      <w:marTop w:val="0"/>
      <w:marBottom w:val="0"/>
      <w:divBdr>
        <w:top w:val="none" w:sz="0" w:space="0" w:color="auto"/>
        <w:left w:val="none" w:sz="0" w:space="0" w:color="auto"/>
        <w:bottom w:val="none" w:sz="0" w:space="0" w:color="auto"/>
        <w:right w:val="none" w:sz="0" w:space="0" w:color="auto"/>
      </w:divBdr>
    </w:div>
    <w:div w:id="1001813574">
      <w:bodyDiv w:val="1"/>
      <w:marLeft w:val="0"/>
      <w:marRight w:val="0"/>
      <w:marTop w:val="0"/>
      <w:marBottom w:val="0"/>
      <w:divBdr>
        <w:top w:val="none" w:sz="0" w:space="0" w:color="auto"/>
        <w:left w:val="none" w:sz="0" w:space="0" w:color="auto"/>
        <w:bottom w:val="none" w:sz="0" w:space="0" w:color="auto"/>
        <w:right w:val="none" w:sz="0" w:space="0" w:color="auto"/>
      </w:divBdr>
    </w:div>
    <w:div w:id="1017467782">
      <w:bodyDiv w:val="1"/>
      <w:marLeft w:val="0"/>
      <w:marRight w:val="0"/>
      <w:marTop w:val="0"/>
      <w:marBottom w:val="0"/>
      <w:divBdr>
        <w:top w:val="none" w:sz="0" w:space="0" w:color="auto"/>
        <w:left w:val="none" w:sz="0" w:space="0" w:color="auto"/>
        <w:bottom w:val="none" w:sz="0" w:space="0" w:color="auto"/>
        <w:right w:val="none" w:sz="0" w:space="0" w:color="auto"/>
      </w:divBdr>
    </w:div>
    <w:div w:id="1020549820">
      <w:bodyDiv w:val="1"/>
      <w:marLeft w:val="0"/>
      <w:marRight w:val="0"/>
      <w:marTop w:val="0"/>
      <w:marBottom w:val="0"/>
      <w:divBdr>
        <w:top w:val="none" w:sz="0" w:space="0" w:color="auto"/>
        <w:left w:val="none" w:sz="0" w:space="0" w:color="auto"/>
        <w:bottom w:val="none" w:sz="0" w:space="0" w:color="auto"/>
        <w:right w:val="none" w:sz="0" w:space="0" w:color="auto"/>
      </w:divBdr>
    </w:div>
    <w:div w:id="1033654572">
      <w:bodyDiv w:val="1"/>
      <w:marLeft w:val="0"/>
      <w:marRight w:val="0"/>
      <w:marTop w:val="0"/>
      <w:marBottom w:val="0"/>
      <w:divBdr>
        <w:top w:val="none" w:sz="0" w:space="0" w:color="auto"/>
        <w:left w:val="none" w:sz="0" w:space="0" w:color="auto"/>
        <w:bottom w:val="none" w:sz="0" w:space="0" w:color="auto"/>
        <w:right w:val="none" w:sz="0" w:space="0" w:color="auto"/>
      </w:divBdr>
    </w:div>
    <w:div w:id="1036272891">
      <w:bodyDiv w:val="1"/>
      <w:marLeft w:val="0"/>
      <w:marRight w:val="0"/>
      <w:marTop w:val="0"/>
      <w:marBottom w:val="0"/>
      <w:divBdr>
        <w:top w:val="none" w:sz="0" w:space="0" w:color="auto"/>
        <w:left w:val="none" w:sz="0" w:space="0" w:color="auto"/>
        <w:bottom w:val="none" w:sz="0" w:space="0" w:color="auto"/>
        <w:right w:val="none" w:sz="0" w:space="0" w:color="auto"/>
      </w:divBdr>
    </w:div>
    <w:div w:id="1045637040">
      <w:bodyDiv w:val="1"/>
      <w:marLeft w:val="0"/>
      <w:marRight w:val="0"/>
      <w:marTop w:val="0"/>
      <w:marBottom w:val="0"/>
      <w:divBdr>
        <w:top w:val="none" w:sz="0" w:space="0" w:color="auto"/>
        <w:left w:val="none" w:sz="0" w:space="0" w:color="auto"/>
        <w:bottom w:val="none" w:sz="0" w:space="0" w:color="auto"/>
        <w:right w:val="none" w:sz="0" w:space="0" w:color="auto"/>
      </w:divBdr>
    </w:div>
    <w:div w:id="1054429521">
      <w:bodyDiv w:val="1"/>
      <w:marLeft w:val="0"/>
      <w:marRight w:val="0"/>
      <w:marTop w:val="0"/>
      <w:marBottom w:val="0"/>
      <w:divBdr>
        <w:top w:val="none" w:sz="0" w:space="0" w:color="auto"/>
        <w:left w:val="none" w:sz="0" w:space="0" w:color="auto"/>
        <w:bottom w:val="none" w:sz="0" w:space="0" w:color="auto"/>
        <w:right w:val="none" w:sz="0" w:space="0" w:color="auto"/>
      </w:divBdr>
    </w:div>
    <w:div w:id="1075392719">
      <w:bodyDiv w:val="1"/>
      <w:marLeft w:val="0"/>
      <w:marRight w:val="0"/>
      <w:marTop w:val="0"/>
      <w:marBottom w:val="0"/>
      <w:divBdr>
        <w:top w:val="none" w:sz="0" w:space="0" w:color="auto"/>
        <w:left w:val="none" w:sz="0" w:space="0" w:color="auto"/>
        <w:bottom w:val="none" w:sz="0" w:space="0" w:color="auto"/>
        <w:right w:val="none" w:sz="0" w:space="0" w:color="auto"/>
      </w:divBdr>
    </w:div>
    <w:div w:id="1100176837">
      <w:bodyDiv w:val="1"/>
      <w:marLeft w:val="0"/>
      <w:marRight w:val="0"/>
      <w:marTop w:val="0"/>
      <w:marBottom w:val="0"/>
      <w:divBdr>
        <w:top w:val="none" w:sz="0" w:space="0" w:color="auto"/>
        <w:left w:val="none" w:sz="0" w:space="0" w:color="auto"/>
        <w:bottom w:val="none" w:sz="0" w:space="0" w:color="auto"/>
        <w:right w:val="none" w:sz="0" w:space="0" w:color="auto"/>
      </w:divBdr>
    </w:div>
    <w:div w:id="1135684999">
      <w:bodyDiv w:val="1"/>
      <w:marLeft w:val="0"/>
      <w:marRight w:val="0"/>
      <w:marTop w:val="0"/>
      <w:marBottom w:val="0"/>
      <w:divBdr>
        <w:top w:val="none" w:sz="0" w:space="0" w:color="auto"/>
        <w:left w:val="none" w:sz="0" w:space="0" w:color="auto"/>
        <w:bottom w:val="none" w:sz="0" w:space="0" w:color="auto"/>
        <w:right w:val="none" w:sz="0" w:space="0" w:color="auto"/>
      </w:divBdr>
    </w:div>
    <w:div w:id="1166671921">
      <w:bodyDiv w:val="1"/>
      <w:marLeft w:val="0"/>
      <w:marRight w:val="0"/>
      <w:marTop w:val="0"/>
      <w:marBottom w:val="0"/>
      <w:divBdr>
        <w:top w:val="none" w:sz="0" w:space="0" w:color="auto"/>
        <w:left w:val="none" w:sz="0" w:space="0" w:color="auto"/>
        <w:bottom w:val="none" w:sz="0" w:space="0" w:color="auto"/>
        <w:right w:val="none" w:sz="0" w:space="0" w:color="auto"/>
      </w:divBdr>
    </w:div>
    <w:div w:id="1177883438">
      <w:bodyDiv w:val="1"/>
      <w:marLeft w:val="0"/>
      <w:marRight w:val="0"/>
      <w:marTop w:val="0"/>
      <w:marBottom w:val="0"/>
      <w:divBdr>
        <w:top w:val="none" w:sz="0" w:space="0" w:color="auto"/>
        <w:left w:val="none" w:sz="0" w:space="0" w:color="auto"/>
        <w:bottom w:val="none" w:sz="0" w:space="0" w:color="auto"/>
        <w:right w:val="none" w:sz="0" w:space="0" w:color="auto"/>
      </w:divBdr>
    </w:div>
    <w:div w:id="1179810285">
      <w:bodyDiv w:val="1"/>
      <w:marLeft w:val="0"/>
      <w:marRight w:val="0"/>
      <w:marTop w:val="0"/>
      <w:marBottom w:val="0"/>
      <w:divBdr>
        <w:top w:val="none" w:sz="0" w:space="0" w:color="auto"/>
        <w:left w:val="none" w:sz="0" w:space="0" w:color="auto"/>
        <w:bottom w:val="none" w:sz="0" w:space="0" w:color="auto"/>
        <w:right w:val="none" w:sz="0" w:space="0" w:color="auto"/>
      </w:divBdr>
    </w:div>
    <w:div w:id="1183284946">
      <w:bodyDiv w:val="1"/>
      <w:marLeft w:val="0"/>
      <w:marRight w:val="0"/>
      <w:marTop w:val="0"/>
      <w:marBottom w:val="0"/>
      <w:divBdr>
        <w:top w:val="none" w:sz="0" w:space="0" w:color="auto"/>
        <w:left w:val="none" w:sz="0" w:space="0" w:color="auto"/>
        <w:bottom w:val="none" w:sz="0" w:space="0" w:color="auto"/>
        <w:right w:val="none" w:sz="0" w:space="0" w:color="auto"/>
      </w:divBdr>
    </w:div>
    <w:div w:id="1196697589">
      <w:bodyDiv w:val="1"/>
      <w:marLeft w:val="0"/>
      <w:marRight w:val="0"/>
      <w:marTop w:val="0"/>
      <w:marBottom w:val="0"/>
      <w:divBdr>
        <w:top w:val="none" w:sz="0" w:space="0" w:color="auto"/>
        <w:left w:val="none" w:sz="0" w:space="0" w:color="auto"/>
        <w:bottom w:val="none" w:sz="0" w:space="0" w:color="auto"/>
        <w:right w:val="none" w:sz="0" w:space="0" w:color="auto"/>
      </w:divBdr>
    </w:div>
    <w:div w:id="1205754996">
      <w:bodyDiv w:val="1"/>
      <w:marLeft w:val="0"/>
      <w:marRight w:val="0"/>
      <w:marTop w:val="0"/>
      <w:marBottom w:val="0"/>
      <w:divBdr>
        <w:top w:val="none" w:sz="0" w:space="0" w:color="auto"/>
        <w:left w:val="none" w:sz="0" w:space="0" w:color="auto"/>
        <w:bottom w:val="none" w:sz="0" w:space="0" w:color="auto"/>
        <w:right w:val="none" w:sz="0" w:space="0" w:color="auto"/>
      </w:divBdr>
    </w:div>
    <w:div w:id="1211108087">
      <w:bodyDiv w:val="1"/>
      <w:marLeft w:val="0"/>
      <w:marRight w:val="0"/>
      <w:marTop w:val="0"/>
      <w:marBottom w:val="0"/>
      <w:divBdr>
        <w:top w:val="none" w:sz="0" w:space="0" w:color="auto"/>
        <w:left w:val="none" w:sz="0" w:space="0" w:color="auto"/>
        <w:bottom w:val="none" w:sz="0" w:space="0" w:color="auto"/>
        <w:right w:val="none" w:sz="0" w:space="0" w:color="auto"/>
      </w:divBdr>
    </w:div>
    <w:div w:id="1254973126">
      <w:bodyDiv w:val="1"/>
      <w:marLeft w:val="0"/>
      <w:marRight w:val="0"/>
      <w:marTop w:val="0"/>
      <w:marBottom w:val="0"/>
      <w:divBdr>
        <w:top w:val="none" w:sz="0" w:space="0" w:color="auto"/>
        <w:left w:val="none" w:sz="0" w:space="0" w:color="auto"/>
        <w:bottom w:val="none" w:sz="0" w:space="0" w:color="auto"/>
        <w:right w:val="none" w:sz="0" w:space="0" w:color="auto"/>
      </w:divBdr>
    </w:div>
    <w:div w:id="1257901426">
      <w:bodyDiv w:val="1"/>
      <w:marLeft w:val="0"/>
      <w:marRight w:val="0"/>
      <w:marTop w:val="0"/>
      <w:marBottom w:val="0"/>
      <w:divBdr>
        <w:top w:val="none" w:sz="0" w:space="0" w:color="auto"/>
        <w:left w:val="none" w:sz="0" w:space="0" w:color="auto"/>
        <w:bottom w:val="none" w:sz="0" w:space="0" w:color="auto"/>
        <w:right w:val="none" w:sz="0" w:space="0" w:color="auto"/>
      </w:divBdr>
    </w:div>
    <w:div w:id="1266497569">
      <w:bodyDiv w:val="1"/>
      <w:marLeft w:val="0"/>
      <w:marRight w:val="0"/>
      <w:marTop w:val="0"/>
      <w:marBottom w:val="0"/>
      <w:divBdr>
        <w:top w:val="none" w:sz="0" w:space="0" w:color="auto"/>
        <w:left w:val="none" w:sz="0" w:space="0" w:color="auto"/>
        <w:bottom w:val="none" w:sz="0" w:space="0" w:color="auto"/>
        <w:right w:val="none" w:sz="0" w:space="0" w:color="auto"/>
      </w:divBdr>
    </w:div>
    <w:div w:id="1281033354">
      <w:bodyDiv w:val="1"/>
      <w:marLeft w:val="0"/>
      <w:marRight w:val="0"/>
      <w:marTop w:val="0"/>
      <w:marBottom w:val="0"/>
      <w:divBdr>
        <w:top w:val="none" w:sz="0" w:space="0" w:color="auto"/>
        <w:left w:val="none" w:sz="0" w:space="0" w:color="auto"/>
        <w:bottom w:val="none" w:sz="0" w:space="0" w:color="auto"/>
        <w:right w:val="none" w:sz="0" w:space="0" w:color="auto"/>
      </w:divBdr>
    </w:div>
    <w:div w:id="1333070893">
      <w:bodyDiv w:val="1"/>
      <w:marLeft w:val="0"/>
      <w:marRight w:val="0"/>
      <w:marTop w:val="0"/>
      <w:marBottom w:val="0"/>
      <w:divBdr>
        <w:top w:val="none" w:sz="0" w:space="0" w:color="auto"/>
        <w:left w:val="none" w:sz="0" w:space="0" w:color="auto"/>
        <w:bottom w:val="none" w:sz="0" w:space="0" w:color="auto"/>
        <w:right w:val="none" w:sz="0" w:space="0" w:color="auto"/>
      </w:divBdr>
    </w:div>
    <w:div w:id="1339890151">
      <w:bodyDiv w:val="1"/>
      <w:marLeft w:val="0"/>
      <w:marRight w:val="0"/>
      <w:marTop w:val="0"/>
      <w:marBottom w:val="0"/>
      <w:divBdr>
        <w:top w:val="none" w:sz="0" w:space="0" w:color="auto"/>
        <w:left w:val="none" w:sz="0" w:space="0" w:color="auto"/>
        <w:bottom w:val="none" w:sz="0" w:space="0" w:color="auto"/>
        <w:right w:val="none" w:sz="0" w:space="0" w:color="auto"/>
      </w:divBdr>
    </w:div>
    <w:div w:id="1340505120">
      <w:bodyDiv w:val="1"/>
      <w:marLeft w:val="0"/>
      <w:marRight w:val="0"/>
      <w:marTop w:val="0"/>
      <w:marBottom w:val="0"/>
      <w:divBdr>
        <w:top w:val="none" w:sz="0" w:space="0" w:color="auto"/>
        <w:left w:val="none" w:sz="0" w:space="0" w:color="auto"/>
        <w:bottom w:val="none" w:sz="0" w:space="0" w:color="auto"/>
        <w:right w:val="none" w:sz="0" w:space="0" w:color="auto"/>
      </w:divBdr>
    </w:div>
    <w:div w:id="1342469966">
      <w:bodyDiv w:val="1"/>
      <w:marLeft w:val="0"/>
      <w:marRight w:val="0"/>
      <w:marTop w:val="0"/>
      <w:marBottom w:val="0"/>
      <w:divBdr>
        <w:top w:val="none" w:sz="0" w:space="0" w:color="auto"/>
        <w:left w:val="none" w:sz="0" w:space="0" w:color="auto"/>
        <w:bottom w:val="none" w:sz="0" w:space="0" w:color="auto"/>
        <w:right w:val="none" w:sz="0" w:space="0" w:color="auto"/>
      </w:divBdr>
    </w:div>
    <w:div w:id="1380932589">
      <w:bodyDiv w:val="1"/>
      <w:marLeft w:val="0"/>
      <w:marRight w:val="0"/>
      <w:marTop w:val="0"/>
      <w:marBottom w:val="0"/>
      <w:divBdr>
        <w:top w:val="none" w:sz="0" w:space="0" w:color="auto"/>
        <w:left w:val="none" w:sz="0" w:space="0" w:color="auto"/>
        <w:bottom w:val="none" w:sz="0" w:space="0" w:color="auto"/>
        <w:right w:val="none" w:sz="0" w:space="0" w:color="auto"/>
      </w:divBdr>
    </w:div>
    <w:div w:id="1381050769">
      <w:bodyDiv w:val="1"/>
      <w:marLeft w:val="0"/>
      <w:marRight w:val="0"/>
      <w:marTop w:val="0"/>
      <w:marBottom w:val="0"/>
      <w:divBdr>
        <w:top w:val="none" w:sz="0" w:space="0" w:color="auto"/>
        <w:left w:val="none" w:sz="0" w:space="0" w:color="auto"/>
        <w:bottom w:val="none" w:sz="0" w:space="0" w:color="auto"/>
        <w:right w:val="none" w:sz="0" w:space="0" w:color="auto"/>
      </w:divBdr>
    </w:div>
    <w:div w:id="1381856059">
      <w:bodyDiv w:val="1"/>
      <w:marLeft w:val="0"/>
      <w:marRight w:val="0"/>
      <w:marTop w:val="0"/>
      <w:marBottom w:val="0"/>
      <w:divBdr>
        <w:top w:val="none" w:sz="0" w:space="0" w:color="auto"/>
        <w:left w:val="none" w:sz="0" w:space="0" w:color="auto"/>
        <w:bottom w:val="none" w:sz="0" w:space="0" w:color="auto"/>
        <w:right w:val="none" w:sz="0" w:space="0" w:color="auto"/>
      </w:divBdr>
    </w:div>
    <w:div w:id="1391273751">
      <w:bodyDiv w:val="1"/>
      <w:marLeft w:val="0"/>
      <w:marRight w:val="0"/>
      <w:marTop w:val="0"/>
      <w:marBottom w:val="0"/>
      <w:divBdr>
        <w:top w:val="none" w:sz="0" w:space="0" w:color="auto"/>
        <w:left w:val="none" w:sz="0" w:space="0" w:color="auto"/>
        <w:bottom w:val="none" w:sz="0" w:space="0" w:color="auto"/>
        <w:right w:val="none" w:sz="0" w:space="0" w:color="auto"/>
      </w:divBdr>
    </w:div>
    <w:div w:id="1432505328">
      <w:bodyDiv w:val="1"/>
      <w:marLeft w:val="0"/>
      <w:marRight w:val="0"/>
      <w:marTop w:val="0"/>
      <w:marBottom w:val="0"/>
      <w:divBdr>
        <w:top w:val="none" w:sz="0" w:space="0" w:color="auto"/>
        <w:left w:val="none" w:sz="0" w:space="0" w:color="auto"/>
        <w:bottom w:val="none" w:sz="0" w:space="0" w:color="auto"/>
        <w:right w:val="none" w:sz="0" w:space="0" w:color="auto"/>
      </w:divBdr>
    </w:div>
    <w:div w:id="1459567482">
      <w:bodyDiv w:val="1"/>
      <w:marLeft w:val="0"/>
      <w:marRight w:val="0"/>
      <w:marTop w:val="0"/>
      <w:marBottom w:val="0"/>
      <w:divBdr>
        <w:top w:val="none" w:sz="0" w:space="0" w:color="auto"/>
        <w:left w:val="none" w:sz="0" w:space="0" w:color="auto"/>
        <w:bottom w:val="none" w:sz="0" w:space="0" w:color="auto"/>
        <w:right w:val="none" w:sz="0" w:space="0" w:color="auto"/>
      </w:divBdr>
    </w:div>
    <w:div w:id="1463115247">
      <w:bodyDiv w:val="1"/>
      <w:marLeft w:val="0"/>
      <w:marRight w:val="0"/>
      <w:marTop w:val="0"/>
      <w:marBottom w:val="0"/>
      <w:divBdr>
        <w:top w:val="none" w:sz="0" w:space="0" w:color="auto"/>
        <w:left w:val="none" w:sz="0" w:space="0" w:color="auto"/>
        <w:bottom w:val="none" w:sz="0" w:space="0" w:color="auto"/>
        <w:right w:val="none" w:sz="0" w:space="0" w:color="auto"/>
      </w:divBdr>
    </w:div>
    <w:div w:id="1476099009">
      <w:bodyDiv w:val="1"/>
      <w:marLeft w:val="0"/>
      <w:marRight w:val="0"/>
      <w:marTop w:val="0"/>
      <w:marBottom w:val="0"/>
      <w:divBdr>
        <w:top w:val="none" w:sz="0" w:space="0" w:color="auto"/>
        <w:left w:val="none" w:sz="0" w:space="0" w:color="auto"/>
        <w:bottom w:val="none" w:sz="0" w:space="0" w:color="auto"/>
        <w:right w:val="none" w:sz="0" w:space="0" w:color="auto"/>
      </w:divBdr>
    </w:div>
    <w:div w:id="1485580540">
      <w:bodyDiv w:val="1"/>
      <w:marLeft w:val="0"/>
      <w:marRight w:val="0"/>
      <w:marTop w:val="0"/>
      <w:marBottom w:val="0"/>
      <w:divBdr>
        <w:top w:val="none" w:sz="0" w:space="0" w:color="auto"/>
        <w:left w:val="none" w:sz="0" w:space="0" w:color="auto"/>
        <w:bottom w:val="none" w:sz="0" w:space="0" w:color="auto"/>
        <w:right w:val="none" w:sz="0" w:space="0" w:color="auto"/>
      </w:divBdr>
    </w:div>
    <w:div w:id="1491364561">
      <w:bodyDiv w:val="1"/>
      <w:marLeft w:val="0"/>
      <w:marRight w:val="0"/>
      <w:marTop w:val="0"/>
      <w:marBottom w:val="0"/>
      <w:divBdr>
        <w:top w:val="none" w:sz="0" w:space="0" w:color="auto"/>
        <w:left w:val="none" w:sz="0" w:space="0" w:color="auto"/>
        <w:bottom w:val="none" w:sz="0" w:space="0" w:color="auto"/>
        <w:right w:val="none" w:sz="0" w:space="0" w:color="auto"/>
      </w:divBdr>
    </w:div>
    <w:div w:id="1492480444">
      <w:bodyDiv w:val="1"/>
      <w:marLeft w:val="0"/>
      <w:marRight w:val="0"/>
      <w:marTop w:val="0"/>
      <w:marBottom w:val="0"/>
      <w:divBdr>
        <w:top w:val="none" w:sz="0" w:space="0" w:color="auto"/>
        <w:left w:val="none" w:sz="0" w:space="0" w:color="auto"/>
        <w:bottom w:val="none" w:sz="0" w:space="0" w:color="auto"/>
        <w:right w:val="none" w:sz="0" w:space="0" w:color="auto"/>
      </w:divBdr>
    </w:div>
    <w:div w:id="1505782442">
      <w:bodyDiv w:val="1"/>
      <w:marLeft w:val="0"/>
      <w:marRight w:val="0"/>
      <w:marTop w:val="0"/>
      <w:marBottom w:val="0"/>
      <w:divBdr>
        <w:top w:val="none" w:sz="0" w:space="0" w:color="auto"/>
        <w:left w:val="none" w:sz="0" w:space="0" w:color="auto"/>
        <w:bottom w:val="none" w:sz="0" w:space="0" w:color="auto"/>
        <w:right w:val="none" w:sz="0" w:space="0" w:color="auto"/>
      </w:divBdr>
    </w:div>
    <w:div w:id="1535850078">
      <w:bodyDiv w:val="1"/>
      <w:marLeft w:val="0"/>
      <w:marRight w:val="0"/>
      <w:marTop w:val="0"/>
      <w:marBottom w:val="0"/>
      <w:divBdr>
        <w:top w:val="none" w:sz="0" w:space="0" w:color="auto"/>
        <w:left w:val="none" w:sz="0" w:space="0" w:color="auto"/>
        <w:bottom w:val="none" w:sz="0" w:space="0" w:color="auto"/>
        <w:right w:val="none" w:sz="0" w:space="0" w:color="auto"/>
      </w:divBdr>
    </w:div>
    <w:div w:id="1582134898">
      <w:bodyDiv w:val="1"/>
      <w:marLeft w:val="0"/>
      <w:marRight w:val="0"/>
      <w:marTop w:val="0"/>
      <w:marBottom w:val="0"/>
      <w:divBdr>
        <w:top w:val="none" w:sz="0" w:space="0" w:color="auto"/>
        <w:left w:val="none" w:sz="0" w:space="0" w:color="auto"/>
        <w:bottom w:val="none" w:sz="0" w:space="0" w:color="auto"/>
        <w:right w:val="none" w:sz="0" w:space="0" w:color="auto"/>
      </w:divBdr>
    </w:div>
    <w:div w:id="1589117761">
      <w:bodyDiv w:val="1"/>
      <w:marLeft w:val="0"/>
      <w:marRight w:val="0"/>
      <w:marTop w:val="0"/>
      <w:marBottom w:val="0"/>
      <w:divBdr>
        <w:top w:val="none" w:sz="0" w:space="0" w:color="auto"/>
        <w:left w:val="none" w:sz="0" w:space="0" w:color="auto"/>
        <w:bottom w:val="none" w:sz="0" w:space="0" w:color="auto"/>
        <w:right w:val="none" w:sz="0" w:space="0" w:color="auto"/>
      </w:divBdr>
    </w:div>
    <w:div w:id="1597901115">
      <w:bodyDiv w:val="1"/>
      <w:marLeft w:val="0"/>
      <w:marRight w:val="0"/>
      <w:marTop w:val="0"/>
      <w:marBottom w:val="0"/>
      <w:divBdr>
        <w:top w:val="none" w:sz="0" w:space="0" w:color="auto"/>
        <w:left w:val="none" w:sz="0" w:space="0" w:color="auto"/>
        <w:bottom w:val="none" w:sz="0" w:space="0" w:color="auto"/>
        <w:right w:val="none" w:sz="0" w:space="0" w:color="auto"/>
      </w:divBdr>
    </w:div>
    <w:div w:id="1599488953">
      <w:bodyDiv w:val="1"/>
      <w:marLeft w:val="0"/>
      <w:marRight w:val="0"/>
      <w:marTop w:val="0"/>
      <w:marBottom w:val="0"/>
      <w:divBdr>
        <w:top w:val="none" w:sz="0" w:space="0" w:color="auto"/>
        <w:left w:val="none" w:sz="0" w:space="0" w:color="auto"/>
        <w:bottom w:val="none" w:sz="0" w:space="0" w:color="auto"/>
        <w:right w:val="none" w:sz="0" w:space="0" w:color="auto"/>
      </w:divBdr>
    </w:div>
    <w:div w:id="1600721916">
      <w:bodyDiv w:val="1"/>
      <w:marLeft w:val="0"/>
      <w:marRight w:val="0"/>
      <w:marTop w:val="0"/>
      <w:marBottom w:val="0"/>
      <w:divBdr>
        <w:top w:val="none" w:sz="0" w:space="0" w:color="auto"/>
        <w:left w:val="none" w:sz="0" w:space="0" w:color="auto"/>
        <w:bottom w:val="none" w:sz="0" w:space="0" w:color="auto"/>
        <w:right w:val="none" w:sz="0" w:space="0" w:color="auto"/>
      </w:divBdr>
    </w:div>
    <w:div w:id="1606112419">
      <w:bodyDiv w:val="1"/>
      <w:marLeft w:val="0"/>
      <w:marRight w:val="0"/>
      <w:marTop w:val="0"/>
      <w:marBottom w:val="0"/>
      <w:divBdr>
        <w:top w:val="none" w:sz="0" w:space="0" w:color="auto"/>
        <w:left w:val="none" w:sz="0" w:space="0" w:color="auto"/>
        <w:bottom w:val="none" w:sz="0" w:space="0" w:color="auto"/>
        <w:right w:val="none" w:sz="0" w:space="0" w:color="auto"/>
      </w:divBdr>
    </w:div>
    <w:div w:id="1617836223">
      <w:bodyDiv w:val="1"/>
      <w:marLeft w:val="0"/>
      <w:marRight w:val="0"/>
      <w:marTop w:val="0"/>
      <w:marBottom w:val="0"/>
      <w:divBdr>
        <w:top w:val="none" w:sz="0" w:space="0" w:color="auto"/>
        <w:left w:val="none" w:sz="0" w:space="0" w:color="auto"/>
        <w:bottom w:val="none" w:sz="0" w:space="0" w:color="auto"/>
        <w:right w:val="none" w:sz="0" w:space="0" w:color="auto"/>
      </w:divBdr>
    </w:div>
    <w:div w:id="1645115382">
      <w:bodyDiv w:val="1"/>
      <w:marLeft w:val="0"/>
      <w:marRight w:val="0"/>
      <w:marTop w:val="0"/>
      <w:marBottom w:val="0"/>
      <w:divBdr>
        <w:top w:val="none" w:sz="0" w:space="0" w:color="auto"/>
        <w:left w:val="none" w:sz="0" w:space="0" w:color="auto"/>
        <w:bottom w:val="none" w:sz="0" w:space="0" w:color="auto"/>
        <w:right w:val="none" w:sz="0" w:space="0" w:color="auto"/>
      </w:divBdr>
    </w:div>
    <w:div w:id="1657613465">
      <w:bodyDiv w:val="1"/>
      <w:marLeft w:val="0"/>
      <w:marRight w:val="0"/>
      <w:marTop w:val="0"/>
      <w:marBottom w:val="0"/>
      <w:divBdr>
        <w:top w:val="none" w:sz="0" w:space="0" w:color="auto"/>
        <w:left w:val="none" w:sz="0" w:space="0" w:color="auto"/>
        <w:bottom w:val="none" w:sz="0" w:space="0" w:color="auto"/>
        <w:right w:val="none" w:sz="0" w:space="0" w:color="auto"/>
      </w:divBdr>
    </w:div>
    <w:div w:id="1691754521">
      <w:bodyDiv w:val="1"/>
      <w:marLeft w:val="0"/>
      <w:marRight w:val="0"/>
      <w:marTop w:val="0"/>
      <w:marBottom w:val="0"/>
      <w:divBdr>
        <w:top w:val="none" w:sz="0" w:space="0" w:color="auto"/>
        <w:left w:val="none" w:sz="0" w:space="0" w:color="auto"/>
        <w:bottom w:val="none" w:sz="0" w:space="0" w:color="auto"/>
        <w:right w:val="none" w:sz="0" w:space="0" w:color="auto"/>
      </w:divBdr>
    </w:div>
    <w:div w:id="1692760525">
      <w:bodyDiv w:val="1"/>
      <w:marLeft w:val="0"/>
      <w:marRight w:val="0"/>
      <w:marTop w:val="0"/>
      <w:marBottom w:val="0"/>
      <w:divBdr>
        <w:top w:val="none" w:sz="0" w:space="0" w:color="auto"/>
        <w:left w:val="none" w:sz="0" w:space="0" w:color="auto"/>
        <w:bottom w:val="none" w:sz="0" w:space="0" w:color="auto"/>
        <w:right w:val="none" w:sz="0" w:space="0" w:color="auto"/>
      </w:divBdr>
    </w:div>
    <w:div w:id="1707096538">
      <w:bodyDiv w:val="1"/>
      <w:marLeft w:val="0"/>
      <w:marRight w:val="0"/>
      <w:marTop w:val="0"/>
      <w:marBottom w:val="0"/>
      <w:divBdr>
        <w:top w:val="none" w:sz="0" w:space="0" w:color="auto"/>
        <w:left w:val="none" w:sz="0" w:space="0" w:color="auto"/>
        <w:bottom w:val="none" w:sz="0" w:space="0" w:color="auto"/>
        <w:right w:val="none" w:sz="0" w:space="0" w:color="auto"/>
      </w:divBdr>
    </w:div>
    <w:div w:id="1715811006">
      <w:bodyDiv w:val="1"/>
      <w:marLeft w:val="0"/>
      <w:marRight w:val="0"/>
      <w:marTop w:val="0"/>
      <w:marBottom w:val="0"/>
      <w:divBdr>
        <w:top w:val="none" w:sz="0" w:space="0" w:color="auto"/>
        <w:left w:val="none" w:sz="0" w:space="0" w:color="auto"/>
        <w:bottom w:val="none" w:sz="0" w:space="0" w:color="auto"/>
        <w:right w:val="none" w:sz="0" w:space="0" w:color="auto"/>
      </w:divBdr>
    </w:div>
    <w:div w:id="1748335688">
      <w:bodyDiv w:val="1"/>
      <w:marLeft w:val="0"/>
      <w:marRight w:val="0"/>
      <w:marTop w:val="0"/>
      <w:marBottom w:val="0"/>
      <w:divBdr>
        <w:top w:val="none" w:sz="0" w:space="0" w:color="auto"/>
        <w:left w:val="none" w:sz="0" w:space="0" w:color="auto"/>
        <w:bottom w:val="none" w:sz="0" w:space="0" w:color="auto"/>
        <w:right w:val="none" w:sz="0" w:space="0" w:color="auto"/>
      </w:divBdr>
    </w:div>
    <w:div w:id="1825856505">
      <w:bodyDiv w:val="1"/>
      <w:marLeft w:val="0"/>
      <w:marRight w:val="0"/>
      <w:marTop w:val="0"/>
      <w:marBottom w:val="0"/>
      <w:divBdr>
        <w:top w:val="none" w:sz="0" w:space="0" w:color="auto"/>
        <w:left w:val="none" w:sz="0" w:space="0" w:color="auto"/>
        <w:bottom w:val="none" w:sz="0" w:space="0" w:color="auto"/>
        <w:right w:val="none" w:sz="0" w:space="0" w:color="auto"/>
      </w:divBdr>
    </w:div>
    <w:div w:id="1837766812">
      <w:bodyDiv w:val="1"/>
      <w:marLeft w:val="0"/>
      <w:marRight w:val="0"/>
      <w:marTop w:val="0"/>
      <w:marBottom w:val="0"/>
      <w:divBdr>
        <w:top w:val="none" w:sz="0" w:space="0" w:color="auto"/>
        <w:left w:val="none" w:sz="0" w:space="0" w:color="auto"/>
        <w:bottom w:val="none" w:sz="0" w:space="0" w:color="auto"/>
        <w:right w:val="none" w:sz="0" w:space="0" w:color="auto"/>
      </w:divBdr>
    </w:div>
    <w:div w:id="1846359996">
      <w:bodyDiv w:val="1"/>
      <w:marLeft w:val="0"/>
      <w:marRight w:val="0"/>
      <w:marTop w:val="0"/>
      <w:marBottom w:val="0"/>
      <w:divBdr>
        <w:top w:val="none" w:sz="0" w:space="0" w:color="auto"/>
        <w:left w:val="none" w:sz="0" w:space="0" w:color="auto"/>
        <w:bottom w:val="none" w:sz="0" w:space="0" w:color="auto"/>
        <w:right w:val="none" w:sz="0" w:space="0" w:color="auto"/>
      </w:divBdr>
    </w:div>
    <w:div w:id="1848250850">
      <w:bodyDiv w:val="1"/>
      <w:marLeft w:val="0"/>
      <w:marRight w:val="0"/>
      <w:marTop w:val="0"/>
      <w:marBottom w:val="0"/>
      <w:divBdr>
        <w:top w:val="none" w:sz="0" w:space="0" w:color="auto"/>
        <w:left w:val="none" w:sz="0" w:space="0" w:color="auto"/>
        <w:bottom w:val="none" w:sz="0" w:space="0" w:color="auto"/>
        <w:right w:val="none" w:sz="0" w:space="0" w:color="auto"/>
      </w:divBdr>
    </w:div>
    <w:div w:id="1854491109">
      <w:bodyDiv w:val="1"/>
      <w:marLeft w:val="0"/>
      <w:marRight w:val="0"/>
      <w:marTop w:val="0"/>
      <w:marBottom w:val="0"/>
      <w:divBdr>
        <w:top w:val="none" w:sz="0" w:space="0" w:color="auto"/>
        <w:left w:val="none" w:sz="0" w:space="0" w:color="auto"/>
        <w:bottom w:val="none" w:sz="0" w:space="0" w:color="auto"/>
        <w:right w:val="none" w:sz="0" w:space="0" w:color="auto"/>
      </w:divBdr>
    </w:div>
    <w:div w:id="1913346554">
      <w:bodyDiv w:val="1"/>
      <w:marLeft w:val="0"/>
      <w:marRight w:val="0"/>
      <w:marTop w:val="0"/>
      <w:marBottom w:val="0"/>
      <w:divBdr>
        <w:top w:val="none" w:sz="0" w:space="0" w:color="auto"/>
        <w:left w:val="none" w:sz="0" w:space="0" w:color="auto"/>
        <w:bottom w:val="none" w:sz="0" w:space="0" w:color="auto"/>
        <w:right w:val="none" w:sz="0" w:space="0" w:color="auto"/>
      </w:divBdr>
    </w:div>
    <w:div w:id="1915502430">
      <w:bodyDiv w:val="1"/>
      <w:marLeft w:val="0"/>
      <w:marRight w:val="0"/>
      <w:marTop w:val="0"/>
      <w:marBottom w:val="0"/>
      <w:divBdr>
        <w:top w:val="none" w:sz="0" w:space="0" w:color="auto"/>
        <w:left w:val="none" w:sz="0" w:space="0" w:color="auto"/>
        <w:bottom w:val="none" w:sz="0" w:space="0" w:color="auto"/>
        <w:right w:val="none" w:sz="0" w:space="0" w:color="auto"/>
      </w:divBdr>
    </w:div>
    <w:div w:id="1919555369">
      <w:bodyDiv w:val="1"/>
      <w:marLeft w:val="0"/>
      <w:marRight w:val="0"/>
      <w:marTop w:val="0"/>
      <w:marBottom w:val="0"/>
      <w:divBdr>
        <w:top w:val="none" w:sz="0" w:space="0" w:color="auto"/>
        <w:left w:val="none" w:sz="0" w:space="0" w:color="auto"/>
        <w:bottom w:val="none" w:sz="0" w:space="0" w:color="auto"/>
        <w:right w:val="none" w:sz="0" w:space="0" w:color="auto"/>
      </w:divBdr>
    </w:div>
    <w:div w:id="1924759519">
      <w:bodyDiv w:val="1"/>
      <w:marLeft w:val="0"/>
      <w:marRight w:val="0"/>
      <w:marTop w:val="0"/>
      <w:marBottom w:val="0"/>
      <w:divBdr>
        <w:top w:val="none" w:sz="0" w:space="0" w:color="auto"/>
        <w:left w:val="none" w:sz="0" w:space="0" w:color="auto"/>
        <w:bottom w:val="none" w:sz="0" w:space="0" w:color="auto"/>
        <w:right w:val="none" w:sz="0" w:space="0" w:color="auto"/>
      </w:divBdr>
    </w:div>
    <w:div w:id="1968974476">
      <w:bodyDiv w:val="1"/>
      <w:marLeft w:val="0"/>
      <w:marRight w:val="0"/>
      <w:marTop w:val="0"/>
      <w:marBottom w:val="0"/>
      <w:divBdr>
        <w:top w:val="none" w:sz="0" w:space="0" w:color="auto"/>
        <w:left w:val="none" w:sz="0" w:space="0" w:color="auto"/>
        <w:bottom w:val="none" w:sz="0" w:space="0" w:color="auto"/>
        <w:right w:val="none" w:sz="0" w:space="0" w:color="auto"/>
      </w:divBdr>
    </w:div>
    <w:div w:id="1977758328">
      <w:bodyDiv w:val="1"/>
      <w:marLeft w:val="0"/>
      <w:marRight w:val="0"/>
      <w:marTop w:val="0"/>
      <w:marBottom w:val="0"/>
      <w:divBdr>
        <w:top w:val="none" w:sz="0" w:space="0" w:color="auto"/>
        <w:left w:val="none" w:sz="0" w:space="0" w:color="auto"/>
        <w:bottom w:val="none" w:sz="0" w:space="0" w:color="auto"/>
        <w:right w:val="none" w:sz="0" w:space="0" w:color="auto"/>
      </w:divBdr>
    </w:div>
    <w:div w:id="2066641137">
      <w:bodyDiv w:val="1"/>
      <w:marLeft w:val="0"/>
      <w:marRight w:val="0"/>
      <w:marTop w:val="0"/>
      <w:marBottom w:val="0"/>
      <w:divBdr>
        <w:top w:val="none" w:sz="0" w:space="0" w:color="auto"/>
        <w:left w:val="none" w:sz="0" w:space="0" w:color="auto"/>
        <w:bottom w:val="none" w:sz="0" w:space="0" w:color="auto"/>
        <w:right w:val="none" w:sz="0" w:space="0" w:color="auto"/>
      </w:divBdr>
    </w:div>
    <w:div w:id="2102331062">
      <w:bodyDiv w:val="1"/>
      <w:marLeft w:val="0"/>
      <w:marRight w:val="0"/>
      <w:marTop w:val="0"/>
      <w:marBottom w:val="0"/>
      <w:divBdr>
        <w:top w:val="none" w:sz="0" w:space="0" w:color="auto"/>
        <w:left w:val="none" w:sz="0" w:space="0" w:color="auto"/>
        <w:bottom w:val="none" w:sz="0" w:space="0" w:color="auto"/>
        <w:right w:val="none" w:sz="0" w:space="0" w:color="auto"/>
      </w:divBdr>
    </w:div>
    <w:div w:id="2108230209">
      <w:bodyDiv w:val="1"/>
      <w:marLeft w:val="0"/>
      <w:marRight w:val="0"/>
      <w:marTop w:val="0"/>
      <w:marBottom w:val="0"/>
      <w:divBdr>
        <w:top w:val="none" w:sz="0" w:space="0" w:color="auto"/>
        <w:left w:val="none" w:sz="0" w:space="0" w:color="auto"/>
        <w:bottom w:val="none" w:sz="0" w:space="0" w:color="auto"/>
        <w:right w:val="none" w:sz="0" w:space="0" w:color="auto"/>
      </w:divBdr>
    </w:div>
    <w:div w:id="212325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C0CD393-1472-44DD-8AA2-1F42ED291D9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Pol19</b:Tag>
    <b:SourceType>InternetSite</b:SourceType>
    <b:Guid>{CE4143E9-C23E-4D22-88C5-CED2B9232C32}</b:Guid>
    <b:Title>Taser</b:Title>
    <b:Year>2019</b:Year>
    <b:YearAccessed>2021</b:YearAccessed>
    <b:MonthAccessed>April</b:MonthAccessed>
    <b:DayAccessed>25</b:DayAccessed>
    <b:URL>https://www.polfed.org/our-work/operational-policing/taser/</b:URL>
    <b:Author>
      <b:Author>
        <b:Corporate>Police Federation Engalnd and Wales</b:Corporate>
      </b:Author>
    </b:Author>
    <b:RefOrder>2</b:RefOrder>
  </b:Source>
  <b:Source>
    <b:Tag>Bar19</b:Tag>
    <b:SourceType>JournalArticle</b:SourceType>
    <b:Guid>{A9810125-AD9F-4086-BACC-041BDBE3BE31}</b:Guid>
    <b:Title>The “Less-Than-Lethal Weapons Effect"- Introducing Tasers to Routine Police Operations in England and Wales</b:Title>
    <b:Year>2019</b:Year>
    <b:Author>
      <b:Author>
        <b:NameList>
          <b:Person>
            <b:Last>Ariel</b:Last>
            <b:First>Barak</b:First>
          </b:Person>
        </b:NameList>
      </b:Author>
    </b:Author>
    <b:JournalName>Criminal Justice and Behaviour</b:JournalName>
    <b:Pages>280-300</b:Pages>
    <b:Volume>46</b:Volume>
    <b:Issue>2</b:Issue>
    <b:RefOrder>3</b:RefOrder>
  </b:Source>
  <b:Source>
    <b:Tag>Abi20</b:Tag>
    <b:SourceType>JournalArticle</b:SourceType>
    <b:Guid>{3CCBB55B-0385-431A-80B7-339897FBCB3D}</b:Guid>
    <b:Author>
      <b:Author>
        <b:NameList>
          <b:Person>
            <b:Last>Dymond</b:Last>
            <b:First>Abi</b:First>
          </b:Person>
        </b:NameList>
      </b:Author>
    </b:Author>
    <b:Title>"TASER, TASER"! Exploring factors associated with police use of Taser in England and Wales</b:Title>
    <b:JournalName>Policing and Society</b:JournalName>
    <b:Year>2020</b:Year>
    <b:Pages>396-411</b:Pages>
    <b:Volume>30</b:Volume>
    <b:Issue>4</b:Issue>
    <b:RefOrder>4</b:RefOrder>
  </b:Source>
  <b:Source>
    <b:Tag>Uni20</b:Tag>
    <b:SourceType>InternetSite</b:SourceType>
    <b:Guid>{1790D115-59BE-4AFD-B0D2-BB52D8F4DD61}</b:Guid>
    <b:Title>New Scholar: Qualitative vs Quantitative</b:Title>
    <b:Year>2020</b:Year>
    <b:Author>
      <b:Author>
        <b:Corporate>University of Rochester</b:Corporate>
      </b:Author>
    </b:Author>
    <b:YearAccessed>2021</b:YearAccessed>
    <b:MonthAccessed>April</b:MonthAccessed>
    <b:DayAccessed>25</b:DayAccessed>
    <b:URL>https://libguides.lib.rochester.edu/c.php?g=472552&amp;p=3237208#:~:text=It%20is%20used%20to%20quantify%20attitudes%2C%20opinions%2C%20behaviors%2C,sample%20population.%20Qualitative%20Research%20is%20primarily%20exploratory%20research.</b:URL>
    <b:RefOrder>5</b:RefOrder>
  </b:Source>
  <b:Source>
    <b:Tag>Sho17</b:Tag>
    <b:SourceType>DocumentFromInternetSite</b:SourceType>
    <b:Guid>{188D8019-5ACB-4BD3-B666-A7B2F8D5C95A}</b:Guid>
    <b:Title>Mixed methods research: expanding the evidence base</b:Title>
    <b:Year>2017</b:Year>
    <b:YearAccessed>2021</b:YearAccessed>
    <b:MonthAccessed>April</b:MonthAccessed>
    <b:DayAccessed>25</b:DayAccessed>
    <b:URL>https://ebn.bmj.com/content/20/3/74</b:URL>
    <b:PeriodicalTitle>Evidence-Based Nursing</b:PeriodicalTitle>
    <b:Month>May</b:Month>
    <b:JournalName>Evidence-Based Nursing</b:JournalName>
    <b:Author>
      <b:Author>
        <b:NameList>
          <b:Person>
            <b:Last>Shorten</b:Last>
            <b:First>Allison</b:First>
          </b:Person>
        </b:NameList>
      </b:Author>
    </b:Author>
    <b:RefOrder>6</b:RefOrder>
  </b:Source>
  <b:Source>
    <b:Tag>Axo21</b:Tag>
    <b:SourceType>InternetSite</b:SourceType>
    <b:Guid>{8B0B48E1-F76E-4134-BC49-F2FBB4BCB81C}</b:Guid>
    <b:Author>
      <b:Author>
        <b:Corporate>Axon</b:Corporate>
      </b:Author>
    </b:Author>
    <b:Title>Tranforming public safety with technology</b:Title>
    <b:Year>2021</b:Year>
    <b:YearAccessed>2021</b:YearAccessed>
    <b:MonthAccessed>July</b:MonthAccessed>
    <b:DayAccessed>15</b:DayAccessed>
    <b:URL>https://www.axon.com/company</b:URL>
    <b:RefOrder>7</b:RefOrder>
  </b:Source>
  <b:Source>
    <b:Tag>Col135</b:Tag>
    <b:SourceType>InternetSite</b:SourceType>
    <b:Guid>{12CED72D-15DE-4319-BBF6-20D16B44F489}</b:Guid>
    <b:Author>
      <b:Author>
        <b:Corporate>College of Policing</b:Corporate>
      </b:Author>
    </b:Author>
    <b:Title>Conducted energy devices (Taser)</b:Title>
    <b:Year>2013</b:Year>
    <b:YearAccessed>2021</b:YearAccessed>
    <b:MonthAccessed>July</b:MonthAccessed>
    <b:DayAccessed>15</b:DayAccessed>
    <b:URL>https://www.app.college.police.uk/app-content/armed-policing/conducted-energy-devices-taser/?highlight=comms%20data#conducted-energy-devices-ced</b:URL>
    <b:RefOrder>8</b:RefOrder>
  </b:Source>
  <b:Source>
    <b:Tag>Col203</b:Tag>
    <b:SourceType>InternetSite</b:SourceType>
    <b:Guid>{46B6B8E6-74ED-47F7-9CA7-BE8D3FFA7831}</b:Guid>
    <b:Author>
      <b:Author>
        <b:Corporate>College of Policing</b:Corporate>
      </b:Author>
    </b:Author>
    <b:Title>Conducted energy devices (CED)</b:Title>
    <b:Year>2020</b:Year>
    <b:YearAccessed>2021</b:YearAccessed>
    <b:MonthAccessed>July</b:MonthAccessed>
    <b:DayAccessed>15</b:DayAccessed>
    <b:URL>https://www.app.college.police.uk/app-content/armed-policing/conducted-energy-devices-taser/</b:URL>
    <b:RefOrder>9</b:RefOrder>
  </b:Source>
  <b:Source>
    <b:Tag>Hom18</b:Tag>
    <b:SourceType>InternetSite</b:SourceType>
    <b:Guid>{1B476394-F282-4A49-BC1D-526DD97A2E7C}</b:Guid>
    <b:Author>
      <b:Author>
        <b:Corporate>Home Office</b:Corporate>
      </b:Author>
    </b:Author>
    <b:Title>Police use of force statistics</b:Title>
    <b:Year>2018</b:Year>
    <b:YearAccessed>2021</b:YearAccessed>
    <b:MonthAccessed>July</b:MonthAccessed>
    <b:DayAccessed>7</b:DayAccessed>
    <b:URL>https://www.gov.uk/government/collections/police-use-of-force-statistics</b:URL>
    <b:RefOrder>10</b:RefOrder>
  </b:Source>
  <b:Source>
    <b:Tag>Hom201</b:Tag>
    <b:SourceType>Report</b:SourceType>
    <b:Guid>{6DC83881-0040-4A8F-B9E9-090CF93CCA2C}</b:Guid>
    <b:Title>Police use of force statistics, England and Wales: April 2019 to March 2020</b:Title>
    <b:Year>2020</b:Year>
    <b:Author>
      <b:Author>
        <b:Corporate>Home Office</b:Corporate>
      </b:Author>
    </b:Author>
    <b:Publisher>Open Governemnt Licence</b:Publisher>
    <b:RefOrder>11</b:RefOrder>
  </b:Source>
  <b:Source>
    <b:Tag>Ric20</b:Tag>
    <b:SourceType>JournalArticle</b:SourceType>
    <b:Guid>{F285D0B8-60C6-4D82-97CC-99F8A732405D}</b:Guid>
    <b:Title>Medical implications of Conducted Energy Devices in law enforcement</b:Title>
    <b:Year>2020</b:Year>
    <b:Author>
      <b:Author>
        <b:NameList>
          <b:Person>
            <b:Last>Richard Stevenson</b:Last>
            <b:First>Ian</b:First>
            <b:Middle>Drummond-Smith</b:Middle>
          </b:Person>
        </b:NameList>
      </b:Author>
    </b:Author>
    <b:JournalName>Journal of Forensic and Legal Medicine</b:JournalName>
    <b:Volume>73</b:Volume>
    <b:RefOrder>12</b:RefOrder>
  </b:Source>
  <b:Source>
    <b:Tag>Geo04</b:Tag>
    <b:SourceType>Book</b:SourceType>
    <b:Guid>{77537DAE-B77E-44D6-ADBE-50346A29361C}</b:Guid>
    <b:Title>Police use of force</b:Title>
    <b:Year>2004</b:Year>
    <b:Author>
      <b:Author>
        <b:NameList>
          <b:Person>
            <b:Last>Dunham</b:Last>
            <b:First>Geoffrey</b:First>
            <b:Middle>P. Alpert and Roger G.</b:Middle>
          </b:Person>
        </b:NameList>
      </b:Author>
    </b:Author>
    <b:City>Cambridge</b:City>
    <b:Publisher>The press syndicate of the university of cambridge</b:Publisher>
    <b:RefOrder>13</b:RefOrder>
  </b:Source>
  <b:Source>
    <b:Tag>Roc20</b:Tag>
    <b:SourceType>Report</b:SourceType>
    <b:Guid>{A2ECD2A8-0B8B-4EC1-9C75-8219A736349E}</b:Guid>
    <b:Title>Race, Tasing, and Children: How the Use of Tasers Has Been overlooked as a method of police brutality and the consequences for Black Children</b:Title>
    <b:Year>2020</b:Year>
    <b:City>Boulder</b:City>
    <b:Publisher>University of Colorado</b:Publisher>
    <b:Author>
      <b:Author>
        <b:NameList>
          <b:Person>
            <b:Last>Roche</b:Last>
            <b:First>Emma</b:First>
          </b:Person>
        </b:NameList>
      </b:Author>
    </b:Author>
    <b:RefOrder>14</b:RefOrder>
  </b:Source>
  <b:Source>
    <b:Tag>Rob15</b:Tag>
    <b:SourceType>ArticleInAPeriodical</b:SourceType>
    <b:Guid>{056764DB-153D-4D8B-89E1-D6EE713B4269}</b:Guid>
    <b:Title>TASER Exposure and Cognitive impairment</b:Title>
    <b:Year>2015</b:Year>
    <b:Author>
      <b:Author>
        <b:NameList>
          <b:Person>
            <b:Last>Robert J. Kane</b:Last>
            <b:First>Michael</b:First>
            <b:Middle>D. White</b:Middle>
          </b:Person>
        </b:NameList>
      </b:Author>
    </b:Author>
    <b:PeriodicalTitle>Implications for Valid Miranda Waivers and the Timing of Police Custodial Interrogations</b:PeriodicalTitle>
    <b:Month>December</b:Month>
    <b:Day>2</b:Day>
    <b:Pages>79-107</b:Pages>
    <b:RefOrder>15</b:RefOrder>
  </b:Source>
  <b:Source>
    <b:Tag>Gar07</b:Tag>
    <b:SourceType>JournalArticle</b:SourceType>
    <b:Guid>{47DC0BC5-BD46-45CC-8CDE-AF4C1F403E82}</b:Guid>
    <b:Title>Physiological Effects of a Conducted Electrical Weapon on Human Subjects</b:Title>
    <b:Year>2007</b:Year>
    <b:Pages>569-575</b:Pages>
    <b:Author>
      <b:Author>
        <b:NameList>
          <b:Person>
            <b:Last>al</b:Last>
            <b:First>Gary</b:First>
            <b:Middle>M. Vilke MD et</b:Middle>
          </b:Person>
        </b:NameList>
      </b:Author>
    </b:Author>
    <b:JournalName>Annals of Emergency Medicine</b:JournalName>
    <b:Volume>50</b:Volume>
    <b:Issue>5</b:Issue>
    <b:RefOrder>16</b:RefOrder>
  </b:Source>
  <b:Source>
    <b:Tag>Ter16</b:Tag>
    <b:SourceType>Report</b:SourceType>
    <b:Guid>{17DE3427-DC66-469D-AAAE-7485AF57C232}</b:Guid>
    <b:Title>Taser use in England and Wales</b:Title>
    <b:Year>2016</b:Year>
    <b:Author>
      <b:Author>
        <b:NameList>
          <b:Person>
            <b:Last>McGuinness</b:Last>
            <b:First>Terry</b:First>
          </b:Person>
        </b:NameList>
      </b:Author>
    </b:Author>
    <b:Publisher>House of Commons libary</b:Publisher>
    <b:City>London</b:City>
    <b:RefOrder>17</b:RefOrder>
  </b:Source>
  <b:Source>
    <b:Tag>Hom19</b:Tag>
    <b:SourceType>InternetSite</b:SourceType>
    <b:Guid>{63DA55A9-7747-4C97-9ACA-9213B1F0BAB7}</b:Guid>
    <b:Title>Home Office announces £10 million for Taser uplift</b:Title>
    <b:Year>2019</b:Year>
    <b:Author>
      <b:Author>
        <b:Corporate>Home Office</b:Corporate>
      </b:Author>
    </b:Author>
    <b:YearAccessed>2021</b:YearAccessed>
    <b:MonthAccessed>July</b:MonthAccessed>
    <b:DayAccessed>16</b:DayAccessed>
    <b:URL>https://www.gov.uk/government/news/home-office-announces-10-million-for-taser-uplift</b:URL>
    <b:RefOrder>18</b:RefOrder>
  </b:Source>
  <b:Source>
    <b:Tag>Amn18</b:Tag>
    <b:SourceType>InternetSite</b:SourceType>
    <b:Guid>{13DCE534-D5D5-499D-A032-4EB2D531C711}</b:Guid>
    <b:Author>
      <b:Author>
        <b:Corporate>Amnesty International UK</b:Corporate>
      </b:Author>
    </b:Author>
    <b:Title>UK: Public should 'resist drum-beat of calls for all police to carry a Taser'</b:Title>
    <b:Year>2018</b:Year>
    <b:YearAccessed>2021</b:YearAccessed>
    <b:MonthAccessed>July</b:MonthAccessed>
    <b:DayAccessed>16</b:DayAccessed>
    <b:URL>https://www.amnesty.org.uk/press-releases/uk-public-should-resist-drum-beat-calls-all-police-carry-taser</b:URL>
    <b:RefOrder>19</b:RefOrder>
  </b:Source>
  <b:Source>
    <b:Tag>Emm06</b:Tag>
    <b:SourceType>JournalArticle</b:SourceType>
    <b:Guid>{8F77E8C4-CA8E-48B9-A121-746F443BE162}</b:Guid>
    <b:Title>The relative risk of police use-of-force options: Evaluating the potential for deployment of electronic weaponry</b:Title>
    <b:Year>2006</b:Year>
    <b:Author>
      <b:Author>
        <b:NameList>
          <b:Person>
            <b:Last>Jenkinson E</b:Last>
            <b:First>Neeson</b:First>
            <b:Middle>C, Bleetman A</b:Middle>
          </b:Person>
        </b:NameList>
      </b:Author>
    </b:Author>
    <b:JournalName>Journal of Clinical Forensic Medicine</b:JournalName>
    <b:Pages>229-241</b:Pages>
    <b:Volume>13</b:Volume>
    <b:Issue>5</b:Issue>
    <b:RefOrder>20</b:RefOrder>
  </b:Source>
  <b:Source>
    <b:Tag>Mat11</b:Tag>
    <b:SourceType>JournalArticle</b:SourceType>
    <b:Guid>{AAD5C34A-53F0-446D-9856-C79BFC826104}</b:Guid>
    <b:Title>Focal Concerns and Police Use of Force: Examining the Factors Associated with Taser Use</b:Title>
    <b:JournalName>Police Quarterly</b:JournalName>
    <b:Year>2011</b:Year>
    <b:Pages>366-387</b:Pages>
    <b:Volume>14</b:Volume>
    <b:Issue>4</b:Issue>
    <b:Author>
      <b:Author>
        <b:NameList>
          <b:Person>
            <b:Last>Matthew S. Crow</b:Last>
            <b:First>Brittany</b:First>
            <b:Middle>Adrion</b:Middle>
          </b:Person>
        </b:NameList>
      </b:Author>
    </b:Author>
    <b:RefOrder>21</b:RefOrder>
  </b:Source>
  <b:Source>
    <b:Tag>Eng00</b:Tag>
    <b:SourceType>JournalArticle</b:SourceType>
    <b:Guid>{B98229C2-5676-4B5F-8EFC-E77DCCD5A4FB}</b:Guid>
    <b:Title>Further exploration of the demeanor hypothesis: The interaction effects of suspects characterisitcs and demeanour on police behavior</b:Title>
    <b:JournalName>Justice Quarterly</b:JournalName>
    <b:Year>2000</b:Year>
    <b:Pages>235-258</b:Pages>
    <b:Volume>17</b:Volume>
    <b:Author>
      <b:Author>
        <b:NameList>
          <b:Person>
            <b:Last>Engel</b:Last>
            <b:First>R,</b:First>
            <b:Middle>Sobol, J, Worden R</b:Middle>
          </b:Person>
        </b:NameList>
      </b:Author>
    </b:Author>
    <b:RefOrder>22</b:RefOrder>
  </b:Source>
  <b:Source>
    <b:Tag>Col204</b:Tag>
    <b:SourceType>DocumentFromInternetSite</b:SourceType>
    <b:Guid>{CF610A74-6159-4BA4-83BE-B258B83953DF}</b:Guid>
    <b:Title>NPCC and College of Policing pledge to improve officer and staff safety</b:Title>
    <b:Year>2020</b:Year>
    <b:Author>
      <b:Author>
        <b:Corporate>College of Policing</b:Corporate>
      </b:Author>
    </b:Author>
    <b:Month>September</b:Month>
    <b:Day>2</b:Day>
    <b:YearAccessed>2021</b:YearAccessed>
    <b:MonthAccessed>July</b:MonthAccessed>
    <b:DayAccessed>6</b:DayAccessed>
    <b:URL>https://paas-s3-broker-prod-lon-6453d964-1d1a-432a-9260-5e0ba7d2fc51.s3.eu-west-2.amazonaws.com/s3fs-public/2020-09/Conflict-management-guidelines.pdf</b:URL>
    <b:RefOrder>23</b:RefOrder>
  </b:Source>
  <b:Source>
    <b:Tag>Col205</b:Tag>
    <b:SourceType>InternetSite</b:SourceType>
    <b:Guid>{6D4775AD-6330-469E-8C47-957C19368FB2}</b:Guid>
    <b:Title>NPCC and College of Policing pledge to improve officer and staff safety</b:Title>
    <b:Year>2020</b:Year>
    <b:YearAccessed>2021</b:YearAccessed>
    <b:MonthAccessed>July</b:MonthAccessed>
    <b:DayAccessed>16</b:DayAccessed>
    <b:URL>https://www.college.police.uk/article/npcc-and-college-policing-pledge-improve-officer-and-staff-safety</b:URL>
    <b:Author>
      <b:Author>
        <b:Corporate>College of Policing</b:Corporate>
      </b:Author>
    </b:Author>
    <b:RefOrder>24</b:RefOrder>
  </b:Source>
  <b:Source>
    <b:Tag>Pol21</b:Tag>
    <b:SourceType>InternetSite</b:SourceType>
    <b:Guid>{5CB4E55B-82ED-46FD-870E-0BF459064D46}</b:Guid>
    <b:Author>
      <b:Author>
        <b:Corporate>Police Federation of England and Wales</b:Corporate>
      </b:Author>
    </b:Author>
    <b:Title>Aims and objectives</b:Title>
    <b:Year>2021</b:Year>
    <b:YearAccessed>2021</b:YearAccessed>
    <b:MonthAccessed>July</b:MonthAccessed>
    <b:DayAccessed>16</b:DayAccessed>
    <b:URL>https://www.polfed.org/about-us/aims-objectives/</b:URL>
    <b:RefOrder>25</b:RefOrder>
  </b:Source>
  <b:Source>
    <b:Tag>Pol20</b:Tag>
    <b:SourceType>InternetSite</b:SourceType>
    <b:Guid>{A576DBBF-5F11-4B81-A45F-E76556D81B78}</b:Guid>
    <b:Author>
      <b:Author>
        <b:Corporate>Police Federation of England and Wales</b:Corporate>
      </b:Author>
    </b:Author>
    <b:Title>Taser</b:Title>
    <b:Year>2020</b:Year>
    <b:YearAccessed>2021</b:YearAccessed>
    <b:MonthAccessed>July</b:MonthAccessed>
    <b:DayAccessed>14</b:DayAccessed>
    <b:URL>https://www.polfed.org/our-work/operational-policing/taser/</b:URL>
    <b:RefOrder>26</b:RefOrder>
  </b:Source>
  <b:Source>
    <b:Tag>Ips16</b:Tag>
    <b:SourceType>InternetSite</b:SourceType>
    <b:Guid>{7E74CAA8-F2FA-4FC7-8D88-15270AA13F31}</b:Guid>
    <b:Author>
      <b:Author>
        <b:Corporate>Ipsos MORI</b:Corporate>
      </b:Author>
    </b:Author>
    <b:Title>Seven in ten people believe it's acceptable for officers to carry a Taser</b:Title>
    <b:Year>2016</b:Year>
    <b:YearAccessed>2021</b:YearAccessed>
    <b:MonthAccessed>July</b:MonthAccessed>
    <b:DayAccessed>16</b:DayAccessed>
    <b:URL>https://www.ipsos.com/ipsos-mori/en-uk/seven-ten-people-believe-its-acceptable-officers-carry-taser</b:URL>
    <b:RefOrder>27</b:RefOrder>
  </b:Source>
  <b:Source>
    <b:Tag>Kei19</b:Tag>
    <b:SourceType>InternetSite</b:SourceType>
    <b:Guid>{985A15C8-B2F2-4D2C-8B49-A0E704C04D65}</b:Guid>
    <b:Author>
      <b:Author>
        <b:NameList>
          <b:Person>
            <b:Last>Keiligh Baker</b:Last>
            <b:First>BBC</b:First>
            <b:Middle>News</b:Middle>
          </b:Person>
        </b:NameList>
      </b:Author>
    </b:Author>
    <b:Title>Should all frontline police officers use Tasers?</b:Title>
    <b:Year>2019</b:Year>
    <b:YearAccessed>2021</b:YearAccessed>
    <b:MonthAccessed>July</b:MonthAccessed>
    <b:DayAccessed>13</b:DayAccessed>
    <b:URL>https://www.bbc.co.uk/news/uk-49405999</b:URL>
    <b:RefOrder>28</b:RefOrder>
  </b:Source>
  <b:Source>
    <b:Tag>Hom191</b:Tag>
    <b:SourceType>InternetSite</b:SourceType>
    <b:Guid>{58CC7792-8185-4658-AE8A-EF2CE7E00246}</b:Guid>
    <b:Author>
      <b:Author>
        <b:Corporate>Home Office</b:Corporate>
      </b:Author>
    </b:Author>
    <b:Title>Selected student police officers to receive Taser training</b:Title>
    <b:Year>2019</b:Year>
    <b:YearAccessed>2021</b:YearAccessed>
    <b:MonthAccessed>July </b:MonthAccessed>
    <b:DayAccessed>16</b:DayAccessed>
    <b:URL>https://www.gov.uk/government/news/selected-student-police-officers-to-receive-taser-training</b:URL>
    <b:RefOrder>29</b:RefOrder>
  </b:Source>
  <b:Source>
    <b:Tag>Mic18</b:Tag>
    <b:SourceType>JournalArticle</b:SourceType>
    <b:Guid>{2A2E1162-9B10-40EA-9132-48F0E296E354}</b:Guid>
    <b:Title>Technological Innovation and Police Officers' Understanding and Use of Force</b:Title>
    <b:Year>2018</b:Year>
    <b:Author>
      <b:Author>
        <b:NameList>
          <b:Person>
            <b:Last>Sierra-Arevalo</b:Last>
            <b:First>Michael</b:First>
          </b:Person>
        </b:NameList>
      </b:Author>
    </b:Author>
    <b:JournalName>Law and Society Review</b:JournalName>
    <b:Pages>420-451</b:Pages>
    <b:Volume>53</b:Volume>
    <b:Issue>2</b:Issue>
    <b:RefOrder>30</b:RefOrder>
  </b:Source>
  <b:Source>
    <b:Tag>Abi2020</b:Tag>
    <b:SourceType>JournalArticle</b:SourceType>
    <b:Guid>{A479A499-A827-42F8-B261-CAED9A5AD68F}</b:Guid>
    <b:Author>
      <b:Author>
        <b:NameList>
          <b:Person>
            <b:Last>Dymond</b:Last>
            <b:First>Abi</b:First>
          </b:Person>
        </b:NameList>
      </b:Author>
    </b:Author>
    <b:Title>‘Taser, Taser’! Exploring factors associated with police use of Taser in England and Wales</b:Title>
    <b:JournalName>Policing and Society</b:JournalName>
    <b:Year>2020</b:Year>
    <b:Pages>396-411</b:Pages>
    <b:Volume>30</b:Volume>
    <b:Issue>4</b:Issue>
    <b:RefOrder>31</b:RefOrder>
  </b:Source>
  <b:Source>
    <b:Tag>BBC191</b:Tag>
    <b:SourceType>InternetSite</b:SourceType>
    <b:Guid>{97AA6938-D0F8-4412-89AC-B11F3BF71E93}</b:Guid>
    <b:Title>Northamptonshire Police to arm all officers with Tasers</b:Title>
    <b:Year>2019</b:Year>
    <b:Author>
      <b:Author>
        <b:Corporate>BBC News</b:Corporate>
      </b:Author>
    </b:Author>
    <b:YearAccessed>2021</b:YearAccessed>
    <b:MonthAccessed>July</b:MonthAccessed>
    <b:DayAccessed>16</b:DayAccessed>
    <b:URL>https://www.bbc.co.uk/news/uk-england-northamptonshire-49405005</b:URL>
    <b:RefOrder>32</b:RefOrder>
  </b:Source>
  <b:Source>
    <b:Tag>BBC21</b:Tag>
    <b:SourceType>InternetSite</b:SourceType>
    <b:Guid>{45279B6A-5373-4BC4-98F7-0F67C7262263}</b:Guid>
    <b:Author>
      <b:Author>
        <b:Corporate>BBC Bitesize</b:Corporate>
      </b:Author>
    </b:Author>
    <b:Title>Planning and Organisation</b:Title>
    <b:Year>2021</b:Year>
    <b:YearAccessed>2021</b:YearAccessed>
    <b:MonthAccessed>August</b:MonthAccessed>
    <b:DayAccessed>12</b:DayAccessed>
    <b:URL>https://www.bbc.co.uk/bitesize/guides/z9rn3k7/revision/7</b:URL>
    <b:RefOrder>33</b:RefOrder>
  </b:Source>
  <b:Source>
    <b:Tag>Joo05</b:Tag>
    <b:SourceType>JournalArticle</b:SourceType>
    <b:Guid>{D3E1D23A-F4D9-40D3-88CE-A0D4857000DE}</b:Guid>
    <b:Title>Data Collection, Primary vs. Secondary</b:Title>
    <b:Year>2005</b:Year>
    <b:Author>
      <b:Author>
        <b:NameList>
          <b:Person>
            <b:Last>Joop J. Hox</b:Last>
            <b:First>Hennie</b:First>
            <b:Middle>R. Boeije</b:Middle>
          </b:Person>
        </b:NameList>
      </b:Author>
    </b:Author>
    <b:BookTitle>Encylopedia of Socail Measurement</b:BookTitle>
    <b:Pages>593-597</b:Pages>
    <b:JournalName>Encyclopedia of Social Measurement</b:JournalName>
    <b:Volume>1</b:Volume>
    <b:Issue>1</b:Issue>
    <b:RefOrder>34</b:RefOrder>
  </b:Source>
  <b:Source>
    <b:Tag>Sam16</b:Tag>
    <b:SourceType>JournalArticle</b:SourceType>
    <b:Guid>{CC2104FD-4B6D-497C-9C77-EB907D47BA77}</b:Guid>
    <b:Author>
      <b:Author>
        <b:NameList>
          <b:Person>
            <b:Last>Almalki</b:Last>
            <b:First>Sami</b:First>
          </b:Person>
        </b:NameList>
      </b:Author>
    </b:Author>
    <b:Title>Integrating Quantitative and Qualitative Data in Mixed Methods Research- Challenges and Benefits</b:Title>
    <b:JournalName>Journal of Education and Learning</b:JournalName>
    <b:Year>2016</b:Year>
    <b:Pages>288-294</b:Pages>
    <b:Volume>5</b:Volume>
    <b:Issue>3</b:Issue>
    <b:RefOrder>35</b:RefOrder>
  </b:Source>
  <b:Source>
    <b:Tag>Shi17</b:Tag>
    <b:SourceType>JournalArticle</b:SourceType>
    <b:Guid>{4FB6F013-ED1D-4F27-A2EE-FEC683723855}</b:Guid>
    <b:Author>
      <b:Author>
        <b:NameList>
          <b:Person>
            <b:Last>Rahman</b:Last>
            <b:First>Shidur</b:First>
          </b:Person>
        </b:NameList>
      </b:Author>
    </b:Author>
    <b:Title>The Advantages and Disadvantages of Using Qualitative and Quantitative Approaches and Methods in Language “Testing and Assessment” Research: A Literature Review</b:Title>
    <b:JournalName>Journal of Education and Learning</b:JournalName>
    <b:Year>2017</b:Year>
    <b:Pages>102-108</b:Pages>
    <b:Volume>6</b:Volume>
    <b:Issue>1</b:Issue>
    <b:RefOrder>36</b:RefOrder>
  </b:Source>
  <b:Source>
    <b:Tag>Jen07</b:Tag>
    <b:SourceType>DocumentFromInternetSite</b:SourceType>
    <b:Guid>{034D8B46-7B27-4BBA-9302-D1F15614C52F}</b:Guid>
    <b:Title>Research Gate</b:Title>
    <b:Year>2007</b:Year>
    <b:Author>
      <b:Author>
        <b:NameList>
          <b:Person>
            <b:Last>Humble</b:Last>
            <b:First>Jennifer</b:First>
            <b:Middle>Byrne &amp; Aine M.</b:Middle>
          </b:Person>
        </b:NameList>
      </b:Author>
    </b:Author>
    <b:Month>December</b:Month>
    <b:Day>3</b:Day>
    <b:YearAccessed>2021</b:YearAccessed>
    <b:MonthAccessed>August</b:MonthAccessed>
    <b:DayAccessed>11</b:DayAccessed>
    <b:URL>https://www.researchgate.net/profile/Aine-Humble/publication/237658796_An_Introduction_to_Mixed_Method_Research/links/5d41847f299bf1995b59b888/An-Introduction-to-Mixed-Method-Research.pdf</b:URL>
    <b:RefOrder>37</b:RefOrder>
  </b:Source>
  <b:Source>
    <b:Tag>Pam90</b:Tag>
    <b:SourceType>BookSection</b:SourceType>
    <b:Guid>{57E7CB11-0CEF-4994-BFA6-C4BD8D91A370}</b:Guid>
    <b:Title>Why use a questionnaire?</b:Title>
    <b:Year>1990</b:Year>
    <b:Author>
      <b:Author>
        <b:NameList>
          <b:Person>
            <b:Last>Drever</b:Last>
            <b:First>Pamela</b:First>
            <b:Middle>Munn and Eric</b:Middle>
          </b:Person>
        </b:NameList>
      </b:Author>
      <b:Editor>
        <b:NameList>
          <b:Person>
            <b:Last>Sally Brown</b:Last>
            <b:First>Rosemary</b:First>
            <b:Middle>Wake</b:Middle>
          </b:Person>
        </b:NameList>
      </b:Editor>
    </b:Author>
    <b:BookTitle>Using questionnaires in small-scale research</b:BookTitle>
    <b:Pages>9-10</b:Pages>
    <b:City>Edinburgh</b:City>
    <b:Publisher>SCRE Publication 104</b:Publisher>
    <b:RefOrder>38</b:RefOrder>
  </b:Source>
  <b:Source>
    <b:Tag>Len20</b:Tag>
    <b:SourceType>InternetSite</b:SourceType>
    <b:Guid>{35DCF40A-4AAA-4DC3-A3CC-0851104ECCB5}</b:Guid>
    <b:Title>ClearVoice</b:Title>
    <b:Year>2020</b:Year>
    <b:Author>
      <b:Author>
        <b:NameList>
          <b:Person>
            <b:Last>Katz</b:Last>
            <b:First>Lena</b:First>
          </b:Person>
        </b:NameList>
      </b:Author>
    </b:Author>
    <b:YearAccessed>2021</b:YearAccessed>
    <b:MonthAccessed>August</b:MonthAccessed>
    <b:DayAccessed>11</b:DayAccessed>
    <b:URL>https://www.clearvoice.com/blog/open-ended-questions-vs-closed-questions/</b:URL>
    <b:RefOrder>1</b:RefOrder>
  </b:Source>
  <b:Source>
    <b:Tag>Que21</b:Tag>
    <b:SourceType>InternetSite</b:SourceType>
    <b:Guid>{500FE038-94F3-4F89-9A06-B2346E9DD1A0}</b:Guid>
    <b:Author>
      <b:Author>
        <b:Corporate>QuestionPro</b:Corporate>
      </b:Author>
    </b:Author>
    <b:Title>Close Ended Questions</b:Title>
    <b:Year>2021</b:Year>
    <b:YearAccessed>2021</b:YearAccessed>
    <b:MonthAccessed>August</b:MonthAccessed>
    <b:DayAccessed>12</b:DayAccessed>
    <b:URL>https://www.questionpro.com/close-ended-questions.html</b:URL>
    <b:RefOrder>39</b:RefOrder>
  </b:Source>
  <b:Source>
    <b:Tag>Pat05</b:Tag>
    <b:SourceType>BookSection</b:SourceType>
    <b:Guid>{538208A1-F0D1-49F9-A9ED-66CA17903AA9}</b:Guid>
    <b:Title>Emile Durkheims Naturalism</b:Title>
    <b:Year>2005</b:Year>
    <b:Author>
      <b:Author>
        <b:NameList>
          <b:Person>
            <b:Last>Baert</b:Last>
            <b:First>Patrick</b:First>
          </b:Person>
        </b:NameList>
      </b:Author>
    </b:Author>
    <b:BookTitle>Philosophy of the Social Sciences: Towards Pragmatism</b:BookTitle>
    <b:Pages>19-21</b:Pages>
    <b:City>Cambridge</b:City>
    <b:Publisher>Polity Press</b:Publisher>
    <b:RefOrder>40</b:RefOrder>
  </b:Source>
  <b:Source>
    <b:Tag>Hea13</b:Tag>
    <b:SourceType>JournalArticle</b:SourceType>
    <b:Guid>{B58BBF84-17EF-48DB-9B4A-B2409141D9A4}</b:Guid>
    <b:Title>Three types of interviews: Qualative research methods in social health</b:Title>
    <b:Year>2013</b:Year>
    <b:Pages>56-59</b:Pages>
    <b:Author>
      <b:Author>
        <b:NameList>
          <b:Person>
            <b:Last>Stuckey</b:Last>
            <b:First>Heather</b:First>
            <b:Middle>L.</b:Middle>
          </b:Person>
        </b:NameList>
      </b:Author>
    </b:Author>
    <b:JournalName>Social Health and Diabetes</b:JournalName>
    <b:Volume>1</b:Volume>
    <b:Issue>2</b:Issue>
    <b:RefOrder>41</b:RefOrder>
  </b:Source>
</b:Sources>
</file>

<file path=customXml/itemProps1.xml><?xml version="1.0" encoding="utf-8"?>
<ds:datastoreItem xmlns:ds="http://schemas.openxmlformats.org/officeDocument/2006/customXml" ds:itemID="{92E8543E-DB9A-4FA5-BF92-E94387D08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1729</Words>
  <Characters>9861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McCaffrey,Kieron swp6397</dc:creator>
  <cp:keywords/>
  <dc:description/>
  <cp:lastModifiedBy>Kieron Paul Mccaffrey (1815590)</cp:lastModifiedBy>
  <cp:revision>14</cp:revision>
  <dcterms:created xsi:type="dcterms:W3CDTF">2021-08-25T12:45:00Z</dcterms:created>
  <dcterms:modified xsi:type="dcterms:W3CDTF">2021-08-25T13:56:00Z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05782105-3bf9-4ed8-ad8d-3acc5297ea39</vt:lpwstr>
  </property>
</Properties>
</file>