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0AA01" w14:textId="48316D0B" w:rsidR="003C1FB0" w:rsidRPr="008A0070" w:rsidRDefault="008006FB" w:rsidP="00C048C1">
      <w:pPr>
        <w:jc w:val="center"/>
        <w:rPr>
          <w:rFonts w:ascii="Times New Roman" w:hAnsi="Times New Roman" w:cs="Times New Roman"/>
          <w:b/>
          <w:sz w:val="24"/>
          <w:szCs w:val="24"/>
        </w:rPr>
      </w:pPr>
      <w:r>
        <w:rPr>
          <w:rFonts w:ascii="Times New Roman" w:hAnsi="Times New Roman" w:cs="Times New Roman"/>
          <w:b/>
          <w:sz w:val="24"/>
          <w:szCs w:val="24"/>
        </w:rPr>
        <w:t>ST. ATHANANASIUS ON THE INCARNATION: A TEXTUAL ANALYSIS</w:t>
      </w:r>
    </w:p>
    <w:p w14:paraId="23EF8F60" w14:textId="2B310CFF" w:rsidR="00E42267" w:rsidRDefault="00963B33" w:rsidP="00963B33">
      <w:pPr>
        <w:spacing w:line="240" w:lineRule="auto"/>
        <w:rPr>
          <w:rFonts w:ascii="Times New Roman" w:hAnsi="Times New Roman" w:cs="Times New Roman"/>
          <w:sz w:val="24"/>
          <w:szCs w:val="24"/>
        </w:rPr>
      </w:pPr>
      <w:r w:rsidRPr="00963B33">
        <w:rPr>
          <w:rFonts w:ascii="Times New Roman" w:hAnsi="Times New Roman" w:cs="Times New Roman"/>
          <w:b/>
          <w:sz w:val="24"/>
          <w:szCs w:val="24"/>
        </w:rPr>
        <w:t>Athanasius, Saint, Patriarch of Alexandria, -373. St. Athanasius On the Incarnation : the Treatise De Incarnatione. Verbi Dei. London :A. R. Mowbray &amp; Co., 1970.</w:t>
      </w:r>
      <w:r w:rsidR="008F3D3D">
        <w:rPr>
          <w:rFonts w:ascii="Times New Roman" w:hAnsi="Times New Roman" w:cs="Times New Roman"/>
          <w:sz w:val="24"/>
          <w:szCs w:val="24"/>
        </w:rPr>
        <w:t xml:space="preserve"> </w:t>
      </w:r>
    </w:p>
    <w:p w14:paraId="13CC6FDA" w14:textId="77777777" w:rsidR="00C048C1" w:rsidRDefault="00C048C1" w:rsidP="00963B33">
      <w:pPr>
        <w:spacing w:line="240" w:lineRule="auto"/>
        <w:rPr>
          <w:rFonts w:ascii="Times New Roman" w:hAnsi="Times New Roman" w:cs="Times New Roman"/>
          <w:sz w:val="24"/>
          <w:szCs w:val="24"/>
        </w:rPr>
      </w:pPr>
    </w:p>
    <w:p w14:paraId="56C04AC4" w14:textId="1344AD48" w:rsidR="003344E2" w:rsidRDefault="00963B33" w:rsidP="001D052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Athanasius is rightfully deemed a pillar saint within the Christian tradition. He was one of the main voices, if not the </w:t>
      </w:r>
      <w:r w:rsidR="006F4B49">
        <w:rPr>
          <w:rFonts w:ascii="Times New Roman" w:hAnsi="Times New Roman" w:cs="Times New Roman"/>
          <w:sz w:val="24"/>
          <w:szCs w:val="24"/>
        </w:rPr>
        <w:t>primary voice against the Arian controversy which denied the deity of Christ.</w:t>
      </w:r>
      <w:r w:rsidR="006F4B49">
        <w:rPr>
          <w:rStyle w:val="FootnoteReference"/>
          <w:rFonts w:ascii="Times New Roman" w:hAnsi="Times New Roman" w:cs="Times New Roman"/>
          <w:sz w:val="24"/>
          <w:szCs w:val="24"/>
        </w:rPr>
        <w:footnoteReference w:id="1"/>
      </w:r>
      <w:r w:rsidR="006F4B49">
        <w:rPr>
          <w:rFonts w:ascii="Times New Roman" w:hAnsi="Times New Roman" w:cs="Times New Roman"/>
          <w:sz w:val="24"/>
          <w:szCs w:val="24"/>
        </w:rPr>
        <w:t xml:space="preserve"> It is interesting that Athanasius </w:t>
      </w:r>
      <w:r w:rsidR="0075000E">
        <w:rPr>
          <w:rFonts w:ascii="Times New Roman" w:hAnsi="Times New Roman" w:cs="Times New Roman"/>
          <w:sz w:val="24"/>
          <w:szCs w:val="24"/>
        </w:rPr>
        <w:t xml:space="preserve">does not answer the question how much predicates on faith </w:t>
      </w:r>
      <w:r w:rsidR="003344E2">
        <w:rPr>
          <w:rFonts w:ascii="Times New Roman" w:hAnsi="Times New Roman" w:cs="Times New Roman"/>
          <w:sz w:val="24"/>
          <w:szCs w:val="24"/>
        </w:rPr>
        <w:t xml:space="preserve">directly in the </w:t>
      </w:r>
      <w:r w:rsidR="0075000E">
        <w:rPr>
          <w:rFonts w:ascii="Times New Roman" w:hAnsi="Times New Roman" w:cs="Times New Roman"/>
          <w:sz w:val="24"/>
          <w:szCs w:val="24"/>
        </w:rPr>
        <w:t>text</w:t>
      </w:r>
      <w:r w:rsidR="001B1942">
        <w:rPr>
          <w:rFonts w:ascii="Times New Roman" w:hAnsi="Times New Roman" w:cs="Times New Roman"/>
          <w:sz w:val="24"/>
          <w:szCs w:val="24"/>
        </w:rPr>
        <w:t xml:space="preserve"> </w:t>
      </w:r>
      <w:r w:rsidR="0075000E">
        <w:rPr>
          <w:rFonts w:ascii="Times New Roman" w:hAnsi="Times New Roman" w:cs="Times New Roman"/>
          <w:sz w:val="24"/>
          <w:szCs w:val="24"/>
        </w:rPr>
        <w:t xml:space="preserve">but gives a few indications as to </w:t>
      </w:r>
      <w:r w:rsidR="003344E2">
        <w:rPr>
          <w:rFonts w:ascii="Times New Roman" w:hAnsi="Times New Roman" w:cs="Times New Roman"/>
          <w:sz w:val="24"/>
          <w:szCs w:val="24"/>
        </w:rPr>
        <w:t xml:space="preserve">what he believed on the subject indirectly. This paper will cover the primary characteristics of Athanasius’s Christology and then will see how those characteristics may indirectly indicate how faith is involved. </w:t>
      </w:r>
    </w:p>
    <w:p w14:paraId="6AD86A06" w14:textId="0CEF341A" w:rsidR="00963B33" w:rsidRDefault="003344E2" w:rsidP="004C4ED8">
      <w:pPr>
        <w:spacing w:line="480" w:lineRule="auto"/>
        <w:rPr>
          <w:rFonts w:ascii="Times New Roman" w:hAnsi="Times New Roman" w:cs="Times New Roman"/>
          <w:b/>
          <w:sz w:val="24"/>
          <w:szCs w:val="24"/>
        </w:rPr>
      </w:pPr>
      <w:r w:rsidRPr="003344E2">
        <w:rPr>
          <w:rFonts w:ascii="Times New Roman" w:hAnsi="Times New Roman" w:cs="Times New Roman"/>
          <w:b/>
          <w:sz w:val="24"/>
          <w:szCs w:val="24"/>
        </w:rPr>
        <w:t>Athanasi</w:t>
      </w:r>
      <w:r w:rsidR="001D0525">
        <w:rPr>
          <w:rFonts w:ascii="Times New Roman" w:hAnsi="Times New Roman" w:cs="Times New Roman"/>
          <w:b/>
          <w:sz w:val="24"/>
          <w:szCs w:val="24"/>
        </w:rPr>
        <w:t>us’</w:t>
      </w:r>
      <w:r w:rsidRPr="003344E2">
        <w:rPr>
          <w:rFonts w:ascii="Times New Roman" w:hAnsi="Times New Roman" w:cs="Times New Roman"/>
          <w:b/>
          <w:sz w:val="24"/>
          <w:szCs w:val="24"/>
        </w:rPr>
        <w:t xml:space="preserve"> Christology </w:t>
      </w:r>
    </w:p>
    <w:p w14:paraId="1411D7EC" w14:textId="24D6A246" w:rsidR="001E42F7" w:rsidRDefault="007A0D94" w:rsidP="004C4ED8">
      <w:pPr>
        <w:spacing w:line="480" w:lineRule="auto"/>
        <w:rPr>
          <w:rFonts w:ascii="Times New Roman" w:hAnsi="Times New Roman" w:cs="Times New Roman"/>
          <w:sz w:val="24"/>
          <w:szCs w:val="24"/>
        </w:rPr>
      </w:pPr>
      <w:r>
        <w:rPr>
          <w:rFonts w:ascii="Times New Roman" w:hAnsi="Times New Roman" w:cs="Times New Roman"/>
          <w:sz w:val="24"/>
          <w:szCs w:val="24"/>
        </w:rPr>
        <w:t>Athanasius starts with Christology interacting in Creation and the fall. In part, Athanasius deals with the worship of idols and its remedy.</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There is a description that is incredibly important</w:t>
      </w:r>
      <w:r w:rsidR="001D0525">
        <w:rPr>
          <w:rFonts w:ascii="Times New Roman" w:hAnsi="Times New Roman" w:cs="Times New Roman"/>
          <w:sz w:val="24"/>
          <w:szCs w:val="24"/>
        </w:rPr>
        <w:t>,</w:t>
      </w:r>
      <w:r>
        <w:rPr>
          <w:rFonts w:ascii="Times New Roman" w:hAnsi="Times New Roman" w:cs="Times New Roman"/>
          <w:sz w:val="24"/>
          <w:szCs w:val="24"/>
        </w:rPr>
        <w:t xml:space="preserve"> that the Word of God is from the Father and that there is a distinct connection between creation and redemption.</w:t>
      </w:r>
      <w:r w:rsidR="001D0525">
        <w:rPr>
          <w:rFonts w:ascii="Times New Roman" w:hAnsi="Times New Roman" w:cs="Times New Roman"/>
          <w:sz w:val="24"/>
          <w:szCs w:val="24"/>
        </w:rPr>
        <w:t xml:space="preserve"> </w:t>
      </w:r>
      <w:r>
        <w:rPr>
          <w:rFonts w:ascii="Times New Roman" w:hAnsi="Times New Roman" w:cs="Times New Roman"/>
          <w:sz w:val="24"/>
          <w:szCs w:val="24"/>
        </w:rPr>
        <w:t>Athanasius claims</w:t>
      </w:r>
      <w:r w:rsidR="001D0525">
        <w:rPr>
          <w:rFonts w:ascii="Times New Roman" w:hAnsi="Times New Roman" w:cs="Times New Roman"/>
          <w:sz w:val="24"/>
          <w:szCs w:val="24"/>
        </w:rPr>
        <w:t xml:space="preserve"> this depth by stating,</w:t>
      </w:r>
      <w:r>
        <w:rPr>
          <w:rFonts w:ascii="Times New Roman" w:hAnsi="Times New Roman" w:cs="Times New Roman"/>
          <w:sz w:val="24"/>
          <w:szCs w:val="24"/>
        </w:rPr>
        <w:t xml:space="preserve"> “the Father has employed the same agent for both works.”</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This is where Athanasius starts his argument for the Word pre-incarnate. The Son, although without body yet, was still the Son of God, still the same agent in which God creates and redeems the world. This as Athanasius says </w:t>
      </w:r>
      <w:r w:rsidR="00972778">
        <w:rPr>
          <w:rFonts w:ascii="Times New Roman" w:hAnsi="Times New Roman" w:cs="Times New Roman"/>
          <w:sz w:val="24"/>
          <w:szCs w:val="24"/>
        </w:rPr>
        <w:t xml:space="preserve">pushes back </w:t>
      </w:r>
      <w:r w:rsidR="001D0525">
        <w:rPr>
          <w:rFonts w:ascii="Times New Roman" w:hAnsi="Times New Roman" w:cs="Times New Roman"/>
          <w:sz w:val="24"/>
          <w:szCs w:val="24"/>
        </w:rPr>
        <w:t>against what</w:t>
      </w:r>
      <w:r w:rsidR="00972778">
        <w:rPr>
          <w:rFonts w:ascii="Times New Roman" w:hAnsi="Times New Roman" w:cs="Times New Roman"/>
          <w:sz w:val="24"/>
          <w:szCs w:val="24"/>
        </w:rPr>
        <w:t xml:space="preserve"> Plato says</w:t>
      </w:r>
      <w:r w:rsidR="008D026A">
        <w:rPr>
          <w:rFonts w:ascii="Times New Roman" w:hAnsi="Times New Roman" w:cs="Times New Roman"/>
          <w:sz w:val="24"/>
          <w:szCs w:val="24"/>
        </w:rPr>
        <w:t>, that</w:t>
      </w:r>
      <w:r w:rsidR="00972778">
        <w:rPr>
          <w:rFonts w:ascii="Times New Roman" w:hAnsi="Times New Roman" w:cs="Times New Roman"/>
          <w:sz w:val="24"/>
          <w:szCs w:val="24"/>
        </w:rPr>
        <w:t xml:space="preserve"> “God creates only out of pre-existent matter, just as the carpenter makes things only out of the wood that already exists.”</w:t>
      </w:r>
      <w:r w:rsidR="00972778">
        <w:rPr>
          <w:rStyle w:val="FootnoteReference"/>
          <w:rFonts w:ascii="Times New Roman" w:hAnsi="Times New Roman" w:cs="Times New Roman"/>
          <w:sz w:val="24"/>
          <w:szCs w:val="24"/>
        </w:rPr>
        <w:footnoteReference w:id="4"/>
      </w:r>
      <w:r w:rsidR="00972778">
        <w:rPr>
          <w:rFonts w:ascii="Times New Roman" w:hAnsi="Times New Roman" w:cs="Times New Roman"/>
          <w:sz w:val="24"/>
          <w:szCs w:val="24"/>
        </w:rPr>
        <w:t xml:space="preserve"> Athanasius explains how the creation is not independent of the Father </w:t>
      </w:r>
      <w:r w:rsidR="00972778">
        <w:rPr>
          <w:rFonts w:ascii="Times New Roman" w:hAnsi="Times New Roman" w:cs="Times New Roman"/>
          <w:sz w:val="24"/>
          <w:szCs w:val="24"/>
        </w:rPr>
        <w:lastRenderedPageBreak/>
        <w:t>and the Son. He continues by explaining the reasoning for talking about creation</w:t>
      </w:r>
      <w:r w:rsidR="00B776EB">
        <w:rPr>
          <w:rFonts w:ascii="Times New Roman" w:hAnsi="Times New Roman" w:cs="Times New Roman"/>
          <w:sz w:val="24"/>
          <w:szCs w:val="24"/>
        </w:rPr>
        <w:t>,</w:t>
      </w:r>
      <w:r w:rsidR="00972778">
        <w:rPr>
          <w:rFonts w:ascii="Times New Roman" w:hAnsi="Times New Roman" w:cs="Times New Roman"/>
          <w:sz w:val="24"/>
          <w:szCs w:val="24"/>
        </w:rPr>
        <w:t xml:space="preserve"> </w:t>
      </w:r>
      <w:r w:rsidR="00B776EB">
        <w:rPr>
          <w:rFonts w:ascii="Times New Roman" w:hAnsi="Times New Roman" w:cs="Times New Roman"/>
          <w:sz w:val="24"/>
          <w:szCs w:val="24"/>
        </w:rPr>
        <w:t>t</w:t>
      </w:r>
      <w:r w:rsidR="00972778">
        <w:rPr>
          <w:rFonts w:ascii="Times New Roman" w:hAnsi="Times New Roman" w:cs="Times New Roman"/>
          <w:sz w:val="24"/>
          <w:szCs w:val="24"/>
        </w:rPr>
        <w:t>hat talking about creation and the fall shows the need for the Son to take on flesh.</w:t>
      </w:r>
    </w:p>
    <w:p w14:paraId="7CF9C8FF" w14:textId="46449014" w:rsidR="007A0D94" w:rsidRDefault="00972778" w:rsidP="004C4ED8">
      <w:pPr>
        <w:spacing w:line="480" w:lineRule="auto"/>
        <w:rPr>
          <w:rFonts w:ascii="Times New Roman" w:hAnsi="Times New Roman" w:cs="Times New Roman"/>
          <w:sz w:val="24"/>
          <w:szCs w:val="24"/>
        </w:rPr>
      </w:pPr>
      <w:r>
        <w:rPr>
          <w:rFonts w:ascii="Times New Roman" w:hAnsi="Times New Roman" w:cs="Times New Roman"/>
          <w:sz w:val="24"/>
          <w:szCs w:val="24"/>
        </w:rPr>
        <w:t xml:space="preserve"> “It was our sorry cause that caused the Word to come down, our transgression </w:t>
      </w:r>
      <w:r w:rsidR="001E42F7">
        <w:rPr>
          <w:rFonts w:ascii="Times New Roman" w:hAnsi="Times New Roman" w:cs="Times New Roman"/>
          <w:sz w:val="24"/>
          <w:szCs w:val="24"/>
        </w:rPr>
        <w:t>that called out His love for us, so that He made haste to help us and to appear among us.”</w:t>
      </w:r>
      <w:r w:rsidR="00CA7FE0">
        <w:rPr>
          <w:rStyle w:val="FootnoteReference"/>
          <w:rFonts w:ascii="Times New Roman" w:hAnsi="Times New Roman" w:cs="Times New Roman"/>
          <w:sz w:val="24"/>
          <w:szCs w:val="24"/>
        </w:rPr>
        <w:footnoteReference w:id="5"/>
      </w:r>
      <w:r w:rsidR="001E42F7">
        <w:rPr>
          <w:rFonts w:ascii="Times New Roman" w:hAnsi="Times New Roman" w:cs="Times New Roman"/>
          <w:sz w:val="24"/>
          <w:szCs w:val="24"/>
        </w:rPr>
        <w:t xml:space="preserve"> </w:t>
      </w:r>
    </w:p>
    <w:p w14:paraId="77D8E23D" w14:textId="482C4AA9" w:rsidR="001E42F7" w:rsidRDefault="00CA7FE0" w:rsidP="004C4ED8">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word, Jesus, according to Athanasius is directly tied to </w:t>
      </w:r>
      <w:r w:rsidR="0011695D">
        <w:rPr>
          <w:rFonts w:ascii="Times New Roman" w:hAnsi="Times New Roman" w:cs="Times New Roman"/>
          <w:sz w:val="24"/>
          <w:szCs w:val="24"/>
        </w:rPr>
        <w:t xml:space="preserve">both creation and the redemption of humanity. </w:t>
      </w:r>
    </w:p>
    <w:p w14:paraId="6A383A4E" w14:textId="03CEE6C1" w:rsidR="0011695D" w:rsidRDefault="0011695D" w:rsidP="004C4ED8">
      <w:pPr>
        <w:spacing w:line="480" w:lineRule="auto"/>
        <w:rPr>
          <w:rFonts w:ascii="Times New Roman" w:hAnsi="Times New Roman" w:cs="Times New Roman"/>
          <w:sz w:val="24"/>
          <w:szCs w:val="24"/>
        </w:rPr>
      </w:pPr>
      <w:r>
        <w:rPr>
          <w:rFonts w:ascii="Times New Roman" w:hAnsi="Times New Roman" w:cs="Times New Roman"/>
          <w:sz w:val="24"/>
          <w:szCs w:val="24"/>
        </w:rPr>
        <w:t>Athanasius continues by discussing how the idolatry nature is conquered, namely through the life and death of the Word. The first chapter deals directly with the solution found in the incarnation.</w:t>
      </w:r>
      <w:r w:rsidR="00B776EB">
        <w:rPr>
          <w:rFonts w:ascii="Times New Roman" w:hAnsi="Times New Roman" w:cs="Times New Roman"/>
          <w:sz w:val="24"/>
          <w:szCs w:val="24"/>
        </w:rPr>
        <w:t xml:space="preserve"> </w:t>
      </w:r>
      <w:r>
        <w:rPr>
          <w:rFonts w:ascii="Times New Roman" w:hAnsi="Times New Roman" w:cs="Times New Roman"/>
          <w:sz w:val="24"/>
          <w:szCs w:val="24"/>
        </w:rPr>
        <w:t>“We saw in the last chapter that, because death and corruption were gaining ever firmer hold on them, the human race was in process of destruction.”</w:t>
      </w:r>
      <w:r>
        <w:rPr>
          <w:rStyle w:val="FootnoteReference"/>
          <w:rFonts w:ascii="Times New Roman" w:hAnsi="Times New Roman" w:cs="Times New Roman"/>
          <w:sz w:val="24"/>
          <w:szCs w:val="24"/>
        </w:rPr>
        <w:footnoteReference w:id="6"/>
      </w:r>
    </w:p>
    <w:p w14:paraId="571D4DDA" w14:textId="0E34F688" w:rsidR="00F0098C" w:rsidRDefault="0011695D" w:rsidP="004C4ED8">
      <w:pPr>
        <w:spacing w:line="480" w:lineRule="auto"/>
        <w:rPr>
          <w:rFonts w:ascii="Times New Roman" w:hAnsi="Times New Roman" w:cs="Times New Roman"/>
          <w:sz w:val="24"/>
          <w:szCs w:val="24"/>
        </w:rPr>
      </w:pPr>
      <w:r>
        <w:rPr>
          <w:rFonts w:ascii="Times New Roman" w:hAnsi="Times New Roman" w:cs="Times New Roman"/>
          <w:sz w:val="24"/>
          <w:szCs w:val="24"/>
        </w:rPr>
        <w:t>We then see a shift take place, for which is the solution in the incarnation. There needed to be a solution because death had entered into the world through the continual breaking of the law. Athanasius se</w:t>
      </w:r>
      <w:r w:rsidR="00B776EB">
        <w:rPr>
          <w:rFonts w:ascii="Times New Roman" w:hAnsi="Times New Roman" w:cs="Times New Roman"/>
          <w:sz w:val="24"/>
          <w:szCs w:val="24"/>
        </w:rPr>
        <w:t>es</w:t>
      </w:r>
      <w:r>
        <w:rPr>
          <w:rFonts w:ascii="Times New Roman" w:hAnsi="Times New Roman" w:cs="Times New Roman"/>
          <w:sz w:val="24"/>
          <w:szCs w:val="24"/>
        </w:rPr>
        <w:t xml:space="preserve"> it completely unfit for God to go back on His law, rather, He explains the need for a </w:t>
      </w:r>
      <w:r w:rsidR="00F0098C">
        <w:rPr>
          <w:rFonts w:ascii="Times New Roman" w:hAnsi="Times New Roman" w:cs="Times New Roman"/>
          <w:sz w:val="24"/>
          <w:szCs w:val="24"/>
        </w:rPr>
        <w:t>punishment</w:t>
      </w:r>
      <w:r>
        <w:rPr>
          <w:rFonts w:ascii="Times New Roman" w:hAnsi="Times New Roman" w:cs="Times New Roman"/>
          <w:sz w:val="24"/>
          <w:szCs w:val="24"/>
        </w:rPr>
        <w:t>.</w:t>
      </w:r>
      <w:r w:rsidR="00F0098C">
        <w:rPr>
          <w:rFonts w:ascii="Times New Roman" w:hAnsi="Times New Roman" w:cs="Times New Roman"/>
          <w:sz w:val="24"/>
          <w:szCs w:val="24"/>
        </w:rPr>
        <w:t xml:space="preserve"> But Athanasius makes this bold comment saying, </w:t>
      </w:r>
    </w:p>
    <w:p w14:paraId="020F1734" w14:textId="50B86776" w:rsidR="00F0098C" w:rsidRDefault="00143B6B" w:rsidP="004C4ED8">
      <w:pPr>
        <w:spacing w:line="480" w:lineRule="auto"/>
        <w:rPr>
          <w:rFonts w:ascii="Times New Roman" w:hAnsi="Times New Roman" w:cs="Times New Roman"/>
          <w:sz w:val="24"/>
          <w:szCs w:val="24"/>
        </w:rPr>
      </w:pPr>
      <w:r>
        <w:rPr>
          <w:rFonts w:ascii="Times New Roman" w:hAnsi="Times New Roman" w:cs="Times New Roman"/>
          <w:sz w:val="24"/>
          <w:szCs w:val="24"/>
        </w:rPr>
        <w:t>“It was impossible, therefore, that God should leave man to be carried off by corruption, because it would be unfitting and unworthy of Himself.”</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The nature in which Jesus is the Word of God is from before time. </w:t>
      </w:r>
      <w:r w:rsidR="00F0098C">
        <w:rPr>
          <w:rFonts w:ascii="Times New Roman" w:hAnsi="Times New Roman" w:cs="Times New Roman"/>
          <w:sz w:val="24"/>
          <w:szCs w:val="24"/>
        </w:rPr>
        <w:t>From before the beginning, God was showing not merely His plan to rescue and redeem His people, but showing the very nature of the love in which He loves.</w:t>
      </w:r>
      <w:r w:rsidR="00B776EB">
        <w:rPr>
          <w:rFonts w:ascii="Times New Roman" w:hAnsi="Times New Roman" w:cs="Times New Roman"/>
          <w:sz w:val="24"/>
          <w:szCs w:val="24"/>
        </w:rPr>
        <w:t xml:space="preserve"> Humanity </w:t>
      </w:r>
      <w:r w:rsidR="00F0098C">
        <w:rPr>
          <w:rFonts w:ascii="Times New Roman" w:hAnsi="Times New Roman" w:cs="Times New Roman"/>
          <w:sz w:val="24"/>
          <w:szCs w:val="24"/>
        </w:rPr>
        <w:lastRenderedPageBreak/>
        <w:t xml:space="preserve">turning from this sin would not be viable enough, the God-Man Jesus was the only one who would be able to as Athanasius says, </w:t>
      </w:r>
    </w:p>
    <w:p w14:paraId="7CA96F06" w14:textId="56799839" w:rsidR="0011695D" w:rsidRDefault="00F0098C" w:rsidP="004C4ED8">
      <w:pPr>
        <w:spacing w:line="480" w:lineRule="auto"/>
        <w:rPr>
          <w:rFonts w:ascii="Times New Roman" w:hAnsi="Times New Roman" w:cs="Times New Roman"/>
          <w:sz w:val="24"/>
          <w:szCs w:val="24"/>
        </w:rPr>
      </w:pPr>
      <w:r>
        <w:rPr>
          <w:rFonts w:ascii="Times New Roman" w:hAnsi="Times New Roman" w:cs="Times New Roman"/>
          <w:sz w:val="24"/>
          <w:szCs w:val="24"/>
        </w:rPr>
        <w:t>“bring the corruptible to the incorruption and to maintain for the Father, His consistency of character with all. For He alone, being Word of the Father and above all, was in consequence both able to recreate all, and worthy to suffer on behalf of all and to be an ambassador for all with the Father.”</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w:t>
      </w:r>
    </w:p>
    <w:p w14:paraId="11D1ACBC" w14:textId="55248539" w:rsidR="00F0098C" w:rsidRDefault="00F0098C" w:rsidP="004C4ED8">
      <w:pPr>
        <w:spacing w:line="480" w:lineRule="auto"/>
        <w:rPr>
          <w:rFonts w:ascii="Times New Roman" w:hAnsi="Times New Roman" w:cs="Times New Roman"/>
          <w:sz w:val="24"/>
          <w:szCs w:val="24"/>
        </w:rPr>
      </w:pPr>
      <w:r>
        <w:rPr>
          <w:rFonts w:ascii="Times New Roman" w:hAnsi="Times New Roman" w:cs="Times New Roman"/>
          <w:sz w:val="24"/>
          <w:szCs w:val="24"/>
        </w:rPr>
        <w:t>Jesus functions in three ways according to Athanasius here. First, recreat</w:t>
      </w:r>
      <w:r w:rsidR="00A33316">
        <w:rPr>
          <w:rFonts w:ascii="Times New Roman" w:hAnsi="Times New Roman" w:cs="Times New Roman"/>
          <w:sz w:val="24"/>
          <w:szCs w:val="24"/>
        </w:rPr>
        <w:t xml:space="preserve">es the </w:t>
      </w:r>
      <w:r w:rsidR="009D17EE">
        <w:rPr>
          <w:rFonts w:ascii="Times New Roman" w:hAnsi="Times New Roman" w:cs="Times New Roman"/>
          <w:sz w:val="24"/>
          <w:szCs w:val="24"/>
        </w:rPr>
        <w:t xml:space="preserve">pure </w:t>
      </w:r>
      <w:r w:rsidR="00A33316">
        <w:rPr>
          <w:rFonts w:ascii="Times New Roman" w:hAnsi="Times New Roman" w:cs="Times New Roman"/>
          <w:sz w:val="24"/>
          <w:szCs w:val="24"/>
        </w:rPr>
        <w:t xml:space="preserve">nature of people </w:t>
      </w:r>
      <w:r w:rsidR="009D17EE">
        <w:rPr>
          <w:rFonts w:ascii="Times New Roman" w:hAnsi="Times New Roman" w:cs="Times New Roman"/>
          <w:sz w:val="24"/>
          <w:szCs w:val="24"/>
        </w:rPr>
        <w:t>so that</w:t>
      </w:r>
      <w:r w:rsidR="00A33316">
        <w:rPr>
          <w:rFonts w:ascii="Times New Roman" w:hAnsi="Times New Roman" w:cs="Times New Roman"/>
          <w:sz w:val="24"/>
          <w:szCs w:val="24"/>
        </w:rPr>
        <w:t xml:space="preserve"> people are restored from a corrupt spirit to an incorruption that traces a new creation narrative. Similar to the words of the Apostle Paul when he says “</w:t>
      </w:r>
      <w:r w:rsidR="00A33316" w:rsidRPr="00A33316">
        <w:rPr>
          <w:rFonts w:ascii="Times New Roman" w:hAnsi="Times New Roman" w:cs="Times New Roman"/>
          <w:sz w:val="24"/>
          <w:szCs w:val="24"/>
        </w:rPr>
        <w:t>Therefore, if anyone is in Christ, the new creation has come: The old has gone, the new is here!</w:t>
      </w:r>
      <w:r w:rsidR="00A33316">
        <w:rPr>
          <w:rFonts w:ascii="Times New Roman" w:hAnsi="Times New Roman" w:cs="Times New Roman"/>
          <w:sz w:val="24"/>
          <w:szCs w:val="24"/>
        </w:rPr>
        <w:t>”</w:t>
      </w:r>
      <w:r w:rsidR="00A33316">
        <w:rPr>
          <w:rStyle w:val="FootnoteReference"/>
          <w:rFonts w:ascii="Times New Roman" w:hAnsi="Times New Roman" w:cs="Times New Roman"/>
          <w:sz w:val="24"/>
          <w:szCs w:val="24"/>
        </w:rPr>
        <w:footnoteReference w:id="9"/>
      </w:r>
      <w:r w:rsidR="00A33316">
        <w:rPr>
          <w:rFonts w:ascii="Times New Roman" w:hAnsi="Times New Roman" w:cs="Times New Roman"/>
          <w:sz w:val="24"/>
          <w:szCs w:val="24"/>
        </w:rPr>
        <w:t xml:space="preserve"> That only the Word could be the one to the new creation has come. </w:t>
      </w:r>
    </w:p>
    <w:p w14:paraId="4BEA4312" w14:textId="621883A3" w:rsidR="00A33316" w:rsidRDefault="00A33316" w:rsidP="004C4ED8">
      <w:pPr>
        <w:spacing w:line="480" w:lineRule="auto"/>
        <w:rPr>
          <w:rFonts w:ascii="Times New Roman" w:hAnsi="Times New Roman" w:cs="Times New Roman"/>
          <w:sz w:val="24"/>
          <w:szCs w:val="24"/>
        </w:rPr>
      </w:pPr>
      <w:r>
        <w:rPr>
          <w:rFonts w:ascii="Times New Roman" w:hAnsi="Times New Roman" w:cs="Times New Roman"/>
          <w:sz w:val="24"/>
          <w:szCs w:val="24"/>
        </w:rPr>
        <w:t>Second, Jesus functions as the only one worthy to suffer on behalf of all. Athanasius covers this fairly in depth when discussing the need and nature of the Word taking on flesh. There was a necessity for which Jesus suffers, but there was also in the nature of His humanity in which He suffered. This body Athanasius calls “the instrument”</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Athanasius continues to express the nature of Jesus being fully man by expressing the need for Jesus t</w:t>
      </w:r>
      <w:r w:rsidR="00804158">
        <w:rPr>
          <w:rFonts w:ascii="Times New Roman" w:hAnsi="Times New Roman" w:cs="Times New Roman"/>
          <w:sz w:val="24"/>
          <w:szCs w:val="24"/>
        </w:rPr>
        <w:t xml:space="preserve">o be the </w:t>
      </w:r>
      <w:r>
        <w:rPr>
          <w:rFonts w:ascii="Times New Roman" w:hAnsi="Times New Roman" w:cs="Times New Roman"/>
          <w:sz w:val="24"/>
          <w:szCs w:val="24"/>
        </w:rPr>
        <w:t>God-</w:t>
      </w:r>
      <w:r w:rsidR="004419A3">
        <w:rPr>
          <w:rFonts w:ascii="Times New Roman" w:hAnsi="Times New Roman" w:cs="Times New Roman"/>
          <w:sz w:val="24"/>
          <w:szCs w:val="24"/>
        </w:rPr>
        <w:t>m</w:t>
      </w:r>
      <w:r>
        <w:rPr>
          <w:rFonts w:ascii="Times New Roman" w:hAnsi="Times New Roman" w:cs="Times New Roman"/>
          <w:sz w:val="24"/>
          <w:szCs w:val="24"/>
        </w:rPr>
        <w:t xml:space="preserve">an. </w:t>
      </w:r>
    </w:p>
    <w:p w14:paraId="708AAF3F" w14:textId="6DBDF3D9" w:rsidR="003344E2" w:rsidRDefault="00A33316" w:rsidP="00A33316">
      <w:pPr>
        <w:spacing w:line="480" w:lineRule="auto"/>
        <w:rPr>
          <w:rFonts w:ascii="Times New Roman" w:hAnsi="Times New Roman" w:cs="Times New Roman"/>
          <w:sz w:val="24"/>
          <w:szCs w:val="24"/>
        </w:rPr>
      </w:pPr>
      <w:r>
        <w:rPr>
          <w:rFonts w:ascii="Times New Roman" w:hAnsi="Times New Roman" w:cs="Times New Roman"/>
          <w:sz w:val="24"/>
          <w:szCs w:val="24"/>
        </w:rPr>
        <w:t xml:space="preserve">“He assumed a body capable of death, in order that it, through belonging to the Word Who is above all, might become in dying a, sufficient exchange for all, and, itself remaining incorruptible through His indwelling, might thereafter put an end to corruption for all others as well, by the grace of the resurrection.” </w:t>
      </w:r>
    </w:p>
    <w:p w14:paraId="7CA0BC75" w14:textId="21030188" w:rsidR="00C221FC" w:rsidRDefault="00A33316" w:rsidP="004C4ED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God-Man, Jesus, took on flesh in order </w:t>
      </w:r>
      <w:r w:rsidR="00804158">
        <w:rPr>
          <w:rFonts w:ascii="Times New Roman" w:hAnsi="Times New Roman" w:cs="Times New Roman"/>
          <w:sz w:val="24"/>
          <w:szCs w:val="24"/>
        </w:rPr>
        <w:t>to</w:t>
      </w:r>
      <w:r>
        <w:rPr>
          <w:rFonts w:ascii="Times New Roman" w:hAnsi="Times New Roman" w:cs="Times New Roman"/>
          <w:sz w:val="24"/>
          <w:szCs w:val="24"/>
        </w:rPr>
        <w:t xml:space="preserve"> take the punishment upon Himself. It is as if Jesus is not Isaac, but</w:t>
      </w:r>
      <w:r w:rsidR="00804158">
        <w:rPr>
          <w:rFonts w:ascii="Times New Roman" w:hAnsi="Times New Roman" w:cs="Times New Roman"/>
          <w:sz w:val="24"/>
          <w:szCs w:val="24"/>
        </w:rPr>
        <w:t xml:space="preserve"> is</w:t>
      </w:r>
      <w:r>
        <w:rPr>
          <w:rFonts w:ascii="Times New Roman" w:hAnsi="Times New Roman" w:cs="Times New Roman"/>
          <w:sz w:val="24"/>
          <w:szCs w:val="24"/>
        </w:rPr>
        <w:t xml:space="preserve"> taking on the body of Isaac </w:t>
      </w:r>
      <w:r w:rsidR="00804158">
        <w:rPr>
          <w:rFonts w:ascii="Times New Roman" w:hAnsi="Times New Roman" w:cs="Times New Roman"/>
          <w:sz w:val="24"/>
          <w:szCs w:val="24"/>
        </w:rPr>
        <w:t>as</w:t>
      </w:r>
      <w:r>
        <w:rPr>
          <w:rFonts w:ascii="Times New Roman" w:hAnsi="Times New Roman" w:cs="Times New Roman"/>
          <w:sz w:val="24"/>
          <w:szCs w:val="24"/>
        </w:rPr>
        <w:t xml:space="preserve"> the perfect sacrificial ram. This death had to take place in order for death to</w:t>
      </w:r>
      <w:r w:rsidR="00C221FC">
        <w:rPr>
          <w:rFonts w:ascii="Times New Roman" w:hAnsi="Times New Roman" w:cs="Times New Roman"/>
          <w:sz w:val="24"/>
          <w:szCs w:val="24"/>
        </w:rPr>
        <w:t xml:space="preserve"> be put to death</w:t>
      </w:r>
      <w:r>
        <w:rPr>
          <w:rFonts w:ascii="Times New Roman" w:hAnsi="Times New Roman" w:cs="Times New Roman"/>
          <w:sz w:val="24"/>
          <w:szCs w:val="24"/>
        </w:rPr>
        <w:t xml:space="preserve">. </w:t>
      </w:r>
      <w:r w:rsidR="00C221FC">
        <w:rPr>
          <w:rFonts w:ascii="Times New Roman" w:hAnsi="Times New Roman" w:cs="Times New Roman"/>
          <w:sz w:val="24"/>
          <w:szCs w:val="24"/>
        </w:rPr>
        <w:t>This is why Christians today celebrate Easter as the Death of Deaths. This</w:t>
      </w:r>
      <w:r w:rsidR="003F7348">
        <w:rPr>
          <w:rFonts w:ascii="Times New Roman" w:hAnsi="Times New Roman" w:cs="Times New Roman"/>
          <w:sz w:val="24"/>
          <w:szCs w:val="24"/>
        </w:rPr>
        <w:t xml:space="preserve"> is</w:t>
      </w:r>
      <w:r w:rsidR="00C221FC">
        <w:rPr>
          <w:rFonts w:ascii="Times New Roman" w:hAnsi="Times New Roman" w:cs="Times New Roman"/>
          <w:sz w:val="24"/>
          <w:szCs w:val="24"/>
        </w:rPr>
        <w:t xml:space="preserve"> substitutionary atonement</w:t>
      </w:r>
      <w:r w:rsidR="003F7348">
        <w:rPr>
          <w:rFonts w:ascii="Times New Roman" w:hAnsi="Times New Roman" w:cs="Times New Roman"/>
          <w:sz w:val="24"/>
          <w:szCs w:val="24"/>
        </w:rPr>
        <w:t>;</w:t>
      </w:r>
      <w:r w:rsidR="00C221FC">
        <w:rPr>
          <w:rFonts w:ascii="Times New Roman" w:hAnsi="Times New Roman" w:cs="Times New Roman"/>
          <w:sz w:val="24"/>
          <w:szCs w:val="24"/>
        </w:rPr>
        <w:t xml:space="preserve"> that death is traded for the death of those deserving the wrath of God</w:t>
      </w:r>
      <w:r w:rsidR="003F7348">
        <w:rPr>
          <w:rFonts w:ascii="Times New Roman" w:hAnsi="Times New Roman" w:cs="Times New Roman"/>
          <w:sz w:val="24"/>
          <w:szCs w:val="24"/>
        </w:rPr>
        <w:t xml:space="preserve">. </w:t>
      </w:r>
      <w:r w:rsidR="00C221FC">
        <w:rPr>
          <w:rFonts w:ascii="Times New Roman" w:hAnsi="Times New Roman" w:cs="Times New Roman"/>
          <w:sz w:val="24"/>
          <w:szCs w:val="24"/>
        </w:rPr>
        <w:t xml:space="preserve"> </w:t>
      </w:r>
      <w:r w:rsidR="003F7348">
        <w:rPr>
          <w:rFonts w:ascii="Times New Roman" w:hAnsi="Times New Roman" w:cs="Times New Roman"/>
          <w:sz w:val="24"/>
          <w:szCs w:val="24"/>
        </w:rPr>
        <w:t>According to</w:t>
      </w:r>
      <w:r w:rsidR="00C221FC">
        <w:rPr>
          <w:rFonts w:ascii="Times New Roman" w:hAnsi="Times New Roman" w:cs="Times New Roman"/>
          <w:sz w:val="24"/>
          <w:szCs w:val="24"/>
        </w:rPr>
        <w:t xml:space="preserve"> Athanasius</w:t>
      </w:r>
      <w:r w:rsidR="003F7348">
        <w:rPr>
          <w:rFonts w:ascii="Times New Roman" w:hAnsi="Times New Roman" w:cs="Times New Roman"/>
          <w:sz w:val="24"/>
          <w:szCs w:val="24"/>
        </w:rPr>
        <w:t>,</w:t>
      </w:r>
      <w:r w:rsidR="00C221FC">
        <w:rPr>
          <w:rFonts w:ascii="Times New Roman" w:hAnsi="Times New Roman" w:cs="Times New Roman"/>
          <w:sz w:val="24"/>
          <w:szCs w:val="24"/>
        </w:rPr>
        <w:t xml:space="preserve"> “For naturally, since the Word of God was above all, when He offered his own temple and bodily instrument as a substitute for the life of all, He fulfilled in death all that was required.”</w:t>
      </w:r>
      <w:r w:rsidR="00C221FC">
        <w:rPr>
          <w:rStyle w:val="FootnoteReference"/>
          <w:rFonts w:ascii="Times New Roman" w:hAnsi="Times New Roman" w:cs="Times New Roman"/>
          <w:sz w:val="24"/>
          <w:szCs w:val="24"/>
        </w:rPr>
        <w:footnoteReference w:id="11"/>
      </w:r>
    </w:p>
    <w:p w14:paraId="7EFC8D98" w14:textId="2B70E2D2" w:rsidR="00C221FC" w:rsidRDefault="00C221FC" w:rsidP="004C4ED8">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death that was fulfilled in Christ was the sufficient sacrifice as a substitute for the life of all. There was no more need for the sacrificial law, for it had been fulfilled in Christ Jesus. </w:t>
      </w:r>
    </w:p>
    <w:p w14:paraId="24BA58CC" w14:textId="4351032D" w:rsidR="00A559AE" w:rsidRDefault="003F7348" w:rsidP="004C4ED8">
      <w:pPr>
        <w:spacing w:line="480" w:lineRule="auto"/>
        <w:rPr>
          <w:rFonts w:ascii="Times New Roman" w:hAnsi="Times New Roman" w:cs="Times New Roman"/>
          <w:sz w:val="24"/>
          <w:szCs w:val="24"/>
        </w:rPr>
      </w:pPr>
      <w:r>
        <w:rPr>
          <w:rFonts w:ascii="Times New Roman" w:hAnsi="Times New Roman" w:cs="Times New Roman"/>
          <w:sz w:val="24"/>
          <w:szCs w:val="24"/>
        </w:rPr>
        <w:t>Third</w:t>
      </w:r>
      <w:r w:rsidR="00A559AE">
        <w:rPr>
          <w:rFonts w:ascii="Times New Roman" w:hAnsi="Times New Roman" w:cs="Times New Roman"/>
          <w:sz w:val="24"/>
          <w:szCs w:val="24"/>
        </w:rPr>
        <w:t>, Athanasius describes Christ as the ambassador.</w:t>
      </w:r>
    </w:p>
    <w:p w14:paraId="5679285B" w14:textId="17B3D6EB" w:rsidR="0006734F" w:rsidRDefault="0006734F" w:rsidP="004C4ED8">
      <w:pPr>
        <w:spacing w:line="480" w:lineRule="auto"/>
        <w:rPr>
          <w:rFonts w:ascii="Times New Roman" w:hAnsi="Times New Roman" w:cs="Times New Roman"/>
          <w:sz w:val="24"/>
          <w:szCs w:val="24"/>
        </w:rPr>
      </w:pPr>
      <w:r>
        <w:rPr>
          <w:rFonts w:ascii="Times New Roman" w:hAnsi="Times New Roman" w:cs="Times New Roman"/>
          <w:sz w:val="24"/>
          <w:szCs w:val="24"/>
        </w:rPr>
        <w:t>“You know how it is when some great king enters a large city and dwells in one of its houses; because of his dwelling in that single house, the whole city is honored, and enemies and robbers cease to molest it. Even so is it with the king of all; He has come into our country and dwelt in one body amidst the many, and in consequence the designs of the enemy against mankind have been foiled and the corruption of death, which formerly held them in power, has simply ceased to be.”</w:t>
      </w:r>
      <w:r>
        <w:rPr>
          <w:rStyle w:val="FootnoteReference"/>
          <w:rFonts w:ascii="Times New Roman" w:hAnsi="Times New Roman" w:cs="Times New Roman"/>
          <w:sz w:val="24"/>
          <w:szCs w:val="24"/>
        </w:rPr>
        <w:footnoteReference w:id="12"/>
      </w:r>
    </w:p>
    <w:p w14:paraId="73CF1B07" w14:textId="72F83382" w:rsidR="0006734F" w:rsidRDefault="0006734F" w:rsidP="004C4ED8">
      <w:pPr>
        <w:spacing w:line="480" w:lineRule="auto"/>
        <w:rPr>
          <w:rFonts w:ascii="Times New Roman" w:hAnsi="Times New Roman" w:cs="Times New Roman"/>
          <w:sz w:val="24"/>
          <w:szCs w:val="24"/>
        </w:rPr>
      </w:pPr>
      <w:r>
        <w:rPr>
          <w:rFonts w:ascii="Times New Roman" w:hAnsi="Times New Roman" w:cs="Times New Roman"/>
          <w:sz w:val="24"/>
          <w:szCs w:val="24"/>
        </w:rPr>
        <w:t>Th</w:t>
      </w:r>
      <w:r w:rsidR="003F7348">
        <w:rPr>
          <w:rFonts w:ascii="Times New Roman" w:hAnsi="Times New Roman" w:cs="Times New Roman"/>
          <w:sz w:val="24"/>
          <w:szCs w:val="24"/>
        </w:rPr>
        <w:t>e</w:t>
      </w:r>
      <w:r>
        <w:rPr>
          <w:rFonts w:ascii="Times New Roman" w:hAnsi="Times New Roman" w:cs="Times New Roman"/>
          <w:sz w:val="24"/>
          <w:szCs w:val="24"/>
        </w:rPr>
        <w:t xml:space="preserve"> depiction </w:t>
      </w:r>
      <w:r w:rsidR="003F7348">
        <w:rPr>
          <w:rFonts w:ascii="Times New Roman" w:hAnsi="Times New Roman" w:cs="Times New Roman"/>
          <w:sz w:val="24"/>
          <w:szCs w:val="24"/>
        </w:rPr>
        <w:t>that Jesus</w:t>
      </w:r>
      <w:r>
        <w:rPr>
          <w:rFonts w:ascii="Times New Roman" w:hAnsi="Times New Roman" w:cs="Times New Roman"/>
          <w:sz w:val="24"/>
          <w:szCs w:val="24"/>
        </w:rPr>
        <w:t xml:space="preserve"> is the ambassador of the new kingdom</w:t>
      </w:r>
      <w:r w:rsidR="003F7348">
        <w:rPr>
          <w:rFonts w:ascii="Times New Roman" w:hAnsi="Times New Roman" w:cs="Times New Roman"/>
          <w:sz w:val="24"/>
          <w:szCs w:val="24"/>
        </w:rPr>
        <w:t xml:space="preserve"> and this</w:t>
      </w:r>
      <w:r>
        <w:rPr>
          <w:rFonts w:ascii="Times New Roman" w:hAnsi="Times New Roman" w:cs="Times New Roman"/>
          <w:sz w:val="24"/>
          <w:szCs w:val="24"/>
        </w:rPr>
        <w:t xml:space="preserve"> kingdom </w:t>
      </w:r>
      <w:r w:rsidR="003F7348">
        <w:rPr>
          <w:rFonts w:ascii="Times New Roman" w:hAnsi="Times New Roman" w:cs="Times New Roman"/>
          <w:sz w:val="24"/>
          <w:szCs w:val="24"/>
        </w:rPr>
        <w:t xml:space="preserve">is the same kingdom </w:t>
      </w:r>
      <w:r>
        <w:rPr>
          <w:rFonts w:ascii="Times New Roman" w:hAnsi="Times New Roman" w:cs="Times New Roman"/>
          <w:sz w:val="24"/>
          <w:szCs w:val="24"/>
        </w:rPr>
        <w:t>that He founded</w:t>
      </w:r>
      <w:r w:rsidR="004A0644">
        <w:rPr>
          <w:rFonts w:ascii="Times New Roman" w:hAnsi="Times New Roman" w:cs="Times New Roman"/>
          <w:sz w:val="24"/>
          <w:szCs w:val="24"/>
        </w:rPr>
        <w:t>,</w:t>
      </w:r>
      <w:r>
        <w:rPr>
          <w:rFonts w:ascii="Times New Roman" w:hAnsi="Times New Roman" w:cs="Times New Roman"/>
          <w:sz w:val="24"/>
          <w:szCs w:val="24"/>
        </w:rPr>
        <w:t xml:space="preserve"> rescued and is now the ambassador to. As ambassador, Christ’s death on the cross brought forth a bridge that had been caused by the guiltiness or sinfulness of humanity. This bridge that was built was something that Jesus does by calling humanity back </w:t>
      </w:r>
      <w:r>
        <w:rPr>
          <w:rFonts w:ascii="Times New Roman" w:hAnsi="Times New Roman" w:cs="Times New Roman"/>
          <w:sz w:val="24"/>
          <w:szCs w:val="24"/>
        </w:rPr>
        <w:lastRenderedPageBreak/>
        <w:t xml:space="preserve">into the proper relationship with God. This could only take place with Jesus as human. He took on flesh in order to restore creation, to be the substitute, and to be the ambassador. </w:t>
      </w:r>
    </w:p>
    <w:p w14:paraId="3F8C38D7" w14:textId="22B6A2B1" w:rsidR="0006734F" w:rsidRDefault="0006734F" w:rsidP="004C4ED8">
      <w:pPr>
        <w:spacing w:line="480" w:lineRule="auto"/>
        <w:rPr>
          <w:rFonts w:ascii="Times New Roman" w:hAnsi="Times New Roman" w:cs="Times New Roman"/>
          <w:sz w:val="24"/>
          <w:szCs w:val="24"/>
        </w:rPr>
      </w:pPr>
      <w:r w:rsidRPr="0006734F">
        <w:rPr>
          <w:rFonts w:ascii="Times New Roman" w:hAnsi="Times New Roman" w:cs="Times New Roman"/>
          <w:b/>
          <w:sz w:val="24"/>
          <w:szCs w:val="24"/>
        </w:rPr>
        <w:t>Is it Dependent upon Faith?</w:t>
      </w:r>
      <w:r w:rsidRPr="0006734F">
        <w:rPr>
          <w:rFonts w:ascii="Times New Roman" w:hAnsi="Times New Roman" w:cs="Times New Roman"/>
          <w:sz w:val="24"/>
          <w:szCs w:val="24"/>
        </w:rPr>
        <w:t xml:space="preserve"> </w:t>
      </w:r>
    </w:p>
    <w:p w14:paraId="7474D2CF" w14:textId="3B5A0593" w:rsidR="00B273BB" w:rsidRDefault="0006734F" w:rsidP="00B273BB">
      <w:pPr>
        <w:spacing w:line="480" w:lineRule="auto"/>
        <w:rPr>
          <w:rFonts w:ascii="Times New Roman" w:hAnsi="Times New Roman" w:cs="Times New Roman"/>
          <w:sz w:val="24"/>
          <w:szCs w:val="24"/>
        </w:rPr>
      </w:pPr>
      <w:r>
        <w:rPr>
          <w:rFonts w:ascii="Times New Roman" w:hAnsi="Times New Roman" w:cs="Times New Roman"/>
          <w:sz w:val="24"/>
          <w:szCs w:val="24"/>
        </w:rPr>
        <w:t xml:space="preserve">Athanasius is not explicit in dependence upon faith in </w:t>
      </w:r>
      <w:r w:rsidRPr="0006734F">
        <w:rPr>
          <w:rFonts w:ascii="Times New Roman" w:hAnsi="Times New Roman" w:cs="Times New Roman"/>
          <w:sz w:val="24"/>
          <w:szCs w:val="24"/>
        </w:rPr>
        <w:t>Treatise De Incarnatione</w:t>
      </w:r>
      <w:r>
        <w:rPr>
          <w:rFonts w:ascii="Times New Roman" w:hAnsi="Times New Roman" w:cs="Times New Roman"/>
          <w:sz w:val="24"/>
          <w:szCs w:val="24"/>
        </w:rPr>
        <w:t>, but we can use some context and some secondary literature to help answer this question. Athanasius goes in depth</w:t>
      </w:r>
      <w:r w:rsidR="004A0644">
        <w:rPr>
          <w:rFonts w:ascii="Times New Roman" w:hAnsi="Times New Roman" w:cs="Times New Roman"/>
          <w:sz w:val="24"/>
          <w:szCs w:val="24"/>
        </w:rPr>
        <w:t xml:space="preserve"> regarding</w:t>
      </w:r>
      <w:r>
        <w:rPr>
          <w:rFonts w:ascii="Times New Roman" w:hAnsi="Times New Roman" w:cs="Times New Roman"/>
          <w:sz w:val="24"/>
          <w:szCs w:val="24"/>
        </w:rPr>
        <w:t xml:space="preserve"> the nature in which both the Jews and Gentiles do not believe. </w:t>
      </w:r>
      <w:r w:rsidR="00753E65">
        <w:rPr>
          <w:rFonts w:ascii="Times New Roman" w:hAnsi="Times New Roman" w:cs="Times New Roman"/>
          <w:sz w:val="24"/>
          <w:szCs w:val="24"/>
        </w:rPr>
        <w:t>He exposes the Jewish belief that Jesus is not the messiah. He uses the Old Testament to expose that Jesus is the fulfilment, and that belief in Jesus is the logical option.</w:t>
      </w:r>
      <w:r w:rsidR="00753E65">
        <w:rPr>
          <w:rStyle w:val="FootnoteReference"/>
          <w:rFonts w:ascii="Times New Roman" w:hAnsi="Times New Roman" w:cs="Times New Roman"/>
          <w:sz w:val="24"/>
          <w:szCs w:val="24"/>
        </w:rPr>
        <w:footnoteReference w:id="13"/>
      </w:r>
      <w:r w:rsidR="00753E65">
        <w:rPr>
          <w:rFonts w:ascii="Times New Roman" w:hAnsi="Times New Roman" w:cs="Times New Roman"/>
          <w:sz w:val="24"/>
          <w:szCs w:val="24"/>
        </w:rPr>
        <w:t xml:space="preserve"> He continue</w:t>
      </w:r>
      <w:r w:rsidR="004A0644">
        <w:rPr>
          <w:rFonts w:ascii="Times New Roman" w:hAnsi="Times New Roman" w:cs="Times New Roman"/>
          <w:sz w:val="24"/>
          <w:szCs w:val="24"/>
        </w:rPr>
        <w:t>s</w:t>
      </w:r>
      <w:r w:rsidR="00753E65">
        <w:rPr>
          <w:rFonts w:ascii="Times New Roman" w:hAnsi="Times New Roman" w:cs="Times New Roman"/>
          <w:sz w:val="24"/>
          <w:szCs w:val="24"/>
        </w:rPr>
        <w:t xml:space="preserve"> with the Gentiles, explaining their lack of belief in Jesus is also illogical. Why? Because Jesus </w:t>
      </w:r>
      <w:r w:rsidR="004A0644">
        <w:rPr>
          <w:rFonts w:ascii="Times New Roman" w:hAnsi="Times New Roman" w:cs="Times New Roman"/>
          <w:sz w:val="24"/>
          <w:szCs w:val="24"/>
        </w:rPr>
        <w:t>alone is</w:t>
      </w:r>
      <w:r w:rsidR="00753E65">
        <w:rPr>
          <w:rFonts w:ascii="Times New Roman" w:hAnsi="Times New Roman" w:cs="Times New Roman"/>
          <w:sz w:val="24"/>
          <w:szCs w:val="24"/>
        </w:rPr>
        <w:t xml:space="preserve"> the very Lord and God.</w:t>
      </w:r>
      <w:r w:rsidR="00753E65">
        <w:rPr>
          <w:rStyle w:val="FootnoteReference"/>
          <w:rFonts w:ascii="Times New Roman" w:hAnsi="Times New Roman" w:cs="Times New Roman"/>
          <w:sz w:val="24"/>
          <w:szCs w:val="24"/>
        </w:rPr>
        <w:footnoteReference w:id="14"/>
      </w:r>
      <w:r w:rsidR="00753E65">
        <w:rPr>
          <w:rFonts w:ascii="Times New Roman" w:hAnsi="Times New Roman" w:cs="Times New Roman"/>
          <w:sz w:val="24"/>
          <w:szCs w:val="24"/>
        </w:rPr>
        <w:t xml:space="preserve"> Athanasius expresses how Jesus “touched all parts of creation, and freed and undeceived them from every deceit.”</w:t>
      </w:r>
      <w:r w:rsidR="00753E65">
        <w:rPr>
          <w:rStyle w:val="FootnoteReference"/>
          <w:rFonts w:ascii="Times New Roman" w:hAnsi="Times New Roman" w:cs="Times New Roman"/>
          <w:sz w:val="24"/>
          <w:szCs w:val="24"/>
        </w:rPr>
        <w:footnoteReference w:id="15"/>
      </w:r>
      <w:r w:rsidR="00753E65">
        <w:rPr>
          <w:rFonts w:ascii="Times New Roman" w:hAnsi="Times New Roman" w:cs="Times New Roman"/>
          <w:sz w:val="24"/>
          <w:szCs w:val="24"/>
        </w:rPr>
        <w:t xml:space="preserve"> </w:t>
      </w:r>
      <w:r w:rsidR="00B273BB">
        <w:rPr>
          <w:rFonts w:ascii="Times New Roman" w:hAnsi="Times New Roman" w:cs="Times New Roman"/>
          <w:sz w:val="24"/>
          <w:szCs w:val="24"/>
        </w:rPr>
        <w:t>But these answers may not fully answer the question. Perhaps the clearest indication is the famous comment on the incarnation when Athanasius says “He, indeed, assumed humanity that we might become God. He manifested Himself by means of a body in order that we might perceive the mind of the unseen Father.”</w:t>
      </w:r>
      <w:r w:rsidR="00B273BB">
        <w:rPr>
          <w:rStyle w:val="FootnoteReference"/>
          <w:rFonts w:ascii="Times New Roman" w:hAnsi="Times New Roman" w:cs="Times New Roman"/>
          <w:sz w:val="24"/>
          <w:szCs w:val="24"/>
        </w:rPr>
        <w:footnoteReference w:id="16"/>
      </w:r>
      <w:r w:rsidR="00B273BB">
        <w:rPr>
          <w:rFonts w:ascii="Times New Roman" w:hAnsi="Times New Roman" w:cs="Times New Roman"/>
          <w:sz w:val="24"/>
          <w:szCs w:val="24"/>
        </w:rPr>
        <w:t xml:space="preserve"> This draws us to the use of the Athanasius creed to bring more clarity.</w:t>
      </w:r>
    </w:p>
    <w:p w14:paraId="60CDC9BD" w14:textId="3F77A0A4" w:rsidR="0006734F" w:rsidRDefault="00B273BB" w:rsidP="00B273B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273BB">
        <w:rPr>
          <w:rFonts w:ascii="Times New Roman" w:hAnsi="Times New Roman" w:cs="Times New Roman"/>
          <w:sz w:val="24"/>
          <w:szCs w:val="24"/>
        </w:rPr>
        <w:t>Anyone then who desires to be saved</w:t>
      </w:r>
      <w:r>
        <w:rPr>
          <w:rFonts w:ascii="Times New Roman" w:hAnsi="Times New Roman" w:cs="Times New Roman"/>
          <w:sz w:val="24"/>
          <w:szCs w:val="24"/>
        </w:rPr>
        <w:t xml:space="preserve"> </w:t>
      </w:r>
      <w:r w:rsidRPr="00B273BB">
        <w:rPr>
          <w:rFonts w:ascii="Times New Roman" w:hAnsi="Times New Roman" w:cs="Times New Roman"/>
          <w:sz w:val="24"/>
          <w:szCs w:val="24"/>
        </w:rPr>
        <w:t>should think thus about the trinity.</w:t>
      </w:r>
      <w:r>
        <w:rPr>
          <w:rFonts w:ascii="Times New Roman" w:hAnsi="Times New Roman" w:cs="Times New Roman"/>
          <w:sz w:val="24"/>
          <w:szCs w:val="24"/>
        </w:rPr>
        <w:t xml:space="preserve"> </w:t>
      </w:r>
      <w:r w:rsidRPr="00B273BB">
        <w:rPr>
          <w:rFonts w:ascii="Times New Roman" w:hAnsi="Times New Roman" w:cs="Times New Roman"/>
          <w:sz w:val="24"/>
          <w:szCs w:val="24"/>
        </w:rPr>
        <w:t>But it is necessary for eternal salvation</w:t>
      </w:r>
      <w:r>
        <w:rPr>
          <w:rFonts w:ascii="Times New Roman" w:hAnsi="Times New Roman" w:cs="Times New Roman"/>
          <w:sz w:val="24"/>
          <w:szCs w:val="24"/>
        </w:rPr>
        <w:t xml:space="preserve"> </w:t>
      </w:r>
      <w:r w:rsidRPr="00B273BB">
        <w:rPr>
          <w:rFonts w:ascii="Times New Roman" w:hAnsi="Times New Roman" w:cs="Times New Roman"/>
          <w:sz w:val="24"/>
          <w:szCs w:val="24"/>
        </w:rPr>
        <w:t>that one also believe in the incarnation</w:t>
      </w:r>
      <w:r>
        <w:rPr>
          <w:rFonts w:ascii="Times New Roman" w:hAnsi="Times New Roman" w:cs="Times New Roman"/>
          <w:sz w:val="24"/>
          <w:szCs w:val="24"/>
        </w:rPr>
        <w:t xml:space="preserve"> </w:t>
      </w:r>
      <w:r w:rsidRPr="00B273BB">
        <w:rPr>
          <w:rFonts w:ascii="Times New Roman" w:hAnsi="Times New Roman" w:cs="Times New Roman"/>
          <w:sz w:val="24"/>
          <w:szCs w:val="24"/>
        </w:rPr>
        <w:t>of our Lord Jesus Christ faithfully.</w:t>
      </w:r>
      <w:r>
        <w:rPr>
          <w:rFonts w:ascii="Times New Roman" w:hAnsi="Times New Roman" w:cs="Times New Roman"/>
          <w:sz w:val="24"/>
          <w:szCs w:val="24"/>
        </w:rPr>
        <w:t xml:space="preserve"> </w:t>
      </w:r>
      <w:r w:rsidRPr="00B273BB">
        <w:rPr>
          <w:rFonts w:ascii="Times New Roman" w:hAnsi="Times New Roman" w:cs="Times New Roman"/>
          <w:sz w:val="24"/>
          <w:szCs w:val="24"/>
        </w:rPr>
        <w:t>Now this is the true faith</w:t>
      </w:r>
      <w:r>
        <w:rPr>
          <w:rFonts w:ascii="Times New Roman" w:hAnsi="Times New Roman" w:cs="Times New Roman"/>
          <w:sz w:val="24"/>
          <w:szCs w:val="24"/>
        </w:rPr>
        <w:t xml:space="preserve"> </w:t>
      </w:r>
      <w:r w:rsidRPr="00B273BB">
        <w:rPr>
          <w:rFonts w:ascii="Times New Roman" w:hAnsi="Times New Roman" w:cs="Times New Roman"/>
          <w:sz w:val="24"/>
          <w:szCs w:val="24"/>
        </w:rPr>
        <w:t>That we believe and confess</w:t>
      </w:r>
      <w:r>
        <w:rPr>
          <w:rFonts w:ascii="Times New Roman" w:hAnsi="Times New Roman" w:cs="Times New Roman"/>
          <w:sz w:val="24"/>
          <w:szCs w:val="24"/>
        </w:rPr>
        <w:t xml:space="preserve"> </w:t>
      </w:r>
      <w:r w:rsidRPr="00B273BB">
        <w:rPr>
          <w:rFonts w:ascii="Times New Roman" w:hAnsi="Times New Roman" w:cs="Times New Roman"/>
          <w:sz w:val="24"/>
          <w:szCs w:val="24"/>
        </w:rPr>
        <w:t>that our Lord Jesus Christ, God's Son,</w:t>
      </w:r>
      <w:r>
        <w:rPr>
          <w:rFonts w:ascii="Times New Roman" w:hAnsi="Times New Roman" w:cs="Times New Roman"/>
          <w:sz w:val="24"/>
          <w:szCs w:val="24"/>
        </w:rPr>
        <w:t xml:space="preserve"> </w:t>
      </w:r>
      <w:r w:rsidRPr="00B273BB">
        <w:rPr>
          <w:rFonts w:ascii="Times New Roman" w:hAnsi="Times New Roman" w:cs="Times New Roman"/>
          <w:sz w:val="24"/>
          <w:szCs w:val="24"/>
        </w:rPr>
        <w:t>is both God and human, equally.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w:t>
      </w:r>
      <w:r w:rsidR="00E7575F">
        <w:rPr>
          <w:rFonts w:ascii="Times New Roman" w:hAnsi="Times New Roman" w:cs="Times New Roman"/>
          <w:sz w:val="24"/>
          <w:szCs w:val="24"/>
        </w:rPr>
        <w:t>Although named after Athanasius, he more than likely did</w:t>
      </w:r>
      <w:r w:rsidR="004A0644">
        <w:rPr>
          <w:rFonts w:ascii="Times New Roman" w:hAnsi="Times New Roman" w:cs="Times New Roman"/>
          <w:sz w:val="24"/>
          <w:szCs w:val="24"/>
        </w:rPr>
        <w:t xml:space="preserve"> not</w:t>
      </w:r>
      <w:r w:rsidR="00E7575F">
        <w:rPr>
          <w:rFonts w:ascii="Times New Roman" w:hAnsi="Times New Roman" w:cs="Times New Roman"/>
          <w:sz w:val="24"/>
          <w:szCs w:val="24"/>
        </w:rPr>
        <w:t xml:space="preserve"> write </w:t>
      </w:r>
      <w:r w:rsidR="00E7575F">
        <w:rPr>
          <w:rFonts w:ascii="Times New Roman" w:hAnsi="Times New Roman" w:cs="Times New Roman"/>
          <w:sz w:val="24"/>
          <w:szCs w:val="24"/>
        </w:rPr>
        <w:lastRenderedPageBreak/>
        <w:t>it. Why use it then? Because it exposes the heartbeat of his thought.</w:t>
      </w:r>
      <w:r w:rsidR="004A0644">
        <w:rPr>
          <w:rFonts w:ascii="Times New Roman" w:hAnsi="Times New Roman" w:cs="Times New Roman"/>
          <w:sz w:val="24"/>
          <w:szCs w:val="24"/>
        </w:rPr>
        <w:t xml:space="preserve"> W</w:t>
      </w:r>
      <w:r w:rsidR="00E7575F">
        <w:rPr>
          <w:rFonts w:ascii="Times New Roman" w:hAnsi="Times New Roman" w:cs="Times New Roman"/>
          <w:sz w:val="24"/>
          <w:szCs w:val="24"/>
        </w:rPr>
        <w:t xml:space="preserve">hat Christ did on the cross was bring about the opportunity for man to be reconciled to proper belief, understanding, and relationship with God. Faith in Christ is the response according to the Athanasius creed to what Christ has done on our behalf. </w:t>
      </w:r>
    </w:p>
    <w:p w14:paraId="6B5A8639" w14:textId="50D0C94F" w:rsidR="0026021D" w:rsidRDefault="0026021D" w:rsidP="00B273BB">
      <w:pPr>
        <w:spacing w:line="480" w:lineRule="auto"/>
        <w:rPr>
          <w:rFonts w:ascii="Times New Roman" w:hAnsi="Times New Roman" w:cs="Times New Roman"/>
          <w:sz w:val="24"/>
          <w:szCs w:val="24"/>
        </w:rPr>
      </w:pPr>
    </w:p>
    <w:p w14:paraId="74C7CABD" w14:textId="152A1530" w:rsidR="0026021D" w:rsidRPr="0006734F" w:rsidRDefault="0026021D" w:rsidP="00B273BB">
      <w:pPr>
        <w:spacing w:line="48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1550 Words</w:t>
      </w:r>
      <w:bookmarkStart w:id="0" w:name="_GoBack"/>
      <w:bookmarkEnd w:id="0"/>
    </w:p>
    <w:sectPr w:rsidR="0026021D" w:rsidRPr="0006734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6E1D3" w14:textId="77777777" w:rsidR="006075D3" w:rsidRDefault="006075D3" w:rsidP="00727C9C">
      <w:pPr>
        <w:spacing w:after="0" w:line="240" w:lineRule="auto"/>
      </w:pPr>
      <w:r>
        <w:separator/>
      </w:r>
    </w:p>
  </w:endnote>
  <w:endnote w:type="continuationSeparator" w:id="0">
    <w:p w14:paraId="6B9DA48D" w14:textId="77777777" w:rsidR="006075D3" w:rsidRDefault="006075D3" w:rsidP="00727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E1141" w14:textId="77777777" w:rsidR="006075D3" w:rsidRDefault="006075D3" w:rsidP="00727C9C">
      <w:pPr>
        <w:spacing w:after="0" w:line="240" w:lineRule="auto"/>
      </w:pPr>
      <w:r>
        <w:separator/>
      </w:r>
    </w:p>
  </w:footnote>
  <w:footnote w:type="continuationSeparator" w:id="0">
    <w:p w14:paraId="2CCE26B5" w14:textId="77777777" w:rsidR="006075D3" w:rsidRDefault="006075D3" w:rsidP="00727C9C">
      <w:pPr>
        <w:spacing w:after="0" w:line="240" w:lineRule="auto"/>
      </w:pPr>
      <w:r>
        <w:continuationSeparator/>
      </w:r>
    </w:p>
  </w:footnote>
  <w:footnote w:id="1">
    <w:p w14:paraId="4081D756" w14:textId="3BB5674B" w:rsidR="006F4B49" w:rsidRDefault="006F4B49">
      <w:pPr>
        <w:pStyle w:val="FootnoteText"/>
      </w:pPr>
      <w:r>
        <w:rPr>
          <w:rStyle w:val="FootnoteReference"/>
        </w:rPr>
        <w:footnoteRef/>
      </w:r>
      <w:r>
        <w:t xml:space="preserve"> </w:t>
      </w:r>
      <w:r w:rsidRPr="006F4B49">
        <w:t>https://www.ligonier.org/learn/devotionals/athanasius-defense-of-incarnation/</w:t>
      </w:r>
    </w:p>
  </w:footnote>
  <w:footnote w:id="2">
    <w:p w14:paraId="5479E253" w14:textId="285EF653" w:rsidR="007A0D94" w:rsidRDefault="007A0D94">
      <w:pPr>
        <w:pStyle w:val="FootnoteText"/>
      </w:pPr>
      <w:r>
        <w:rPr>
          <w:rStyle w:val="FootnoteReference"/>
        </w:rPr>
        <w:footnoteRef/>
      </w:r>
      <w:r>
        <w:t xml:space="preserve"> </w:t>
      </w:r>
      <w:r w:rsidRPr="007A0D94">
        <w:t>St. Athanasius On the Incarnation : the Treatise De Incarnatione</w:t>
      </w:r>
      <w:r>
        <w:t xml:space="preserve"> pg.3 </w:t>
      </w:r>
    </w:p>
  </w:footnote>
  <w:footnote w:id="3">
    <w:p w14:paraId="28A1A7E5" w14:textId="16AD60C8" w:rsidR="007A0D94" w:rsidRDefault="007A0D94">
      <w:pPr>
        <w:pStyle w:val="FootnoteText"/>
      </w:pPr>
      <w:r>
        <w:rPr>
          <w:rStyle w:val="FootnoteReference"/>
        </w:rPr>
        <w:footnoteRef/>
      </w:r>
      <w:r>
        <w:t xml:space="preserve"> Ibid. </w:t>
      </w:r>
    </w:p>
  </w:footnote>
  <w:footnote w:id="4">
    <w:p w14:paraId="61B4408D" w14:textId="0224E060" w:rsidR="00972778" w:rsidRDefault="00972778">
      <w:pPr>
        <w:pStyle w:val="FootnoteText"/>
      </w:pPr>
      <w:r>
        <w:rPr>
          <w:rStyle w:val="FootnoteReference"/>
        </w:rPr>
        <w:footnoteRef/>
      </w:r>
      <w:r>
        <w:t xml:space="preserve"> Ibid. </w:t>
      </w:r>
      <w:r w:rsidR="00B776EB">
        <w:t xml:space="preserve">pg. 4 This is Athanasius quoting Plato </w:t>
      </w:r>
    </w:p>
  </w:footnote>
  <w:footnote w:id="5">
    <w:p w14:paraId="27341572" w14:textId="62F850ED" w:rsidR="00CA7FE0" w:rsidRDefault="00CA7FE0">
      <w:pPr>
        <w:pStyle w:val="FootnoteText"/>
      </w:pPr>
      <w:r>
        <w:rPr>
          <w:rStyle w:val="FootnoteReference"/>
        </w:rPr>
        <w:footnoteRef/>
      </w:r>
      <w:r>
        <w:t xml:space="preserve"> Ibid. </w:t>
      </w:r>
      <w:r w:rsidR="0011695D">
        <w:t>pg. 3</w:t>
      </w:r>
    </w:p>
  </w:footnote>
  <w:footnote w:id="6">
    <w:p w14:paraId="5119644C" w14:textId="77165FC0" w:rsidR="0011695D" w:rsidRDefault="0011695D">
      <w:pPr>
        <w:pStyle w:val="FootnoteText"/>
      </w:pPr>
      <w:r>
        <w:rPr>
          <w:rStyle w:val="FootnoteReference"/>
        </w:rPr>
        <w:footnoteRef/>
      </w:r>
      <w:r>
        <w:t xml:space="preserve"> Ibid. pg. 5</w:t>
      </w:r>
    </w:p>
  </w:footnote>
  <w:footnote w:id="7">
    <w:p w14:paraId="7A888FC7" w14:textId="77777777" w:rsidR="00143B6B" w:rsidRDefault="00143B6B">
      <w:pPr>
        <w:pStyle w:val="FootnoteText"/>
      </w:pPr>
      <w:r>
        <w:rPr>
          <w:rStyle w:val="FootnoteReference"/>
        </w:rPr>
        <w:footnoteRef/>
      </w:r>
      <w:r>
        <w:t xml:space="preserve"> Ibid. pg. 5</w:t>
      </w:r>
    </w:p>
  </w:footnote>
  <w:footnote w:id="8">
    <w:p w14:paraId="6856AE56" w14:textId="6D9190AA" w:rsidR="00F0098C" w:rsidRDefault="00F0098C">
      <w:pPr>
        <w:pStyle w:val="FootnoteText"/>
      </w:pPr>
      <w:r>
        <w:rPr>
          <w:rStyle w:val="FootnoteReference"/>
        </w:rPr>
        <w:footnoteRef/>
      </w:r>
      <w:r>
        <w:t xml:space="preserve"> Ibid. </w:t>
      </w:r>
      <w:r w:rsidR="00A33316">
        <w:t xml:space="preserve">pg. </w:t>
      </w:r>
      <w:r>
        <w:t>5</w:t>
      </w:r>
    </w:p>
  </w:footnote>
  <w:footnote w:id="9">
    <w:p w14:paraId="1977524F" w14:textId="7A98DE4D" w:rsidR="00A33316" w:rsidRDefault="00A33316">
      <w:pPr>
        <w:pStyle w:val="FootnoteText"/>
      </w:pPr>
      <w:r>
        <w:rPr>
          <w:rStyle w:val="FootnoteReference"/>
        </w:rPr>
        <w:footnoteRef/>
      </w:r>
      <w:r>
        <w:t xml:space="preserve"> 2 Corinthians 5:17 NIV. </w:t>
      </w:r>
    </w:p>
  </w:footnote>
  <w:footnote w:id="10">
    <w:p w14:paraId="3B935B4E" w14:textId="5516B13B" w:rsidR="00A33316" w:rsidRDefault="00A33316">
      <w:pPr>
        <w:pStyle w:val="FootnoteText"/>
      </w:pPr>
      <w:r>
        <w:rPr>
          <w:rStyle w:val="FootnoteReference"/>
        </w:rPr>
        <w:footnoteRef/>
      </w:r>
      <w:r>
        <w:t xml:space="preserve"> Ibid. pg. 6</w:t>
      </w:r>
    </w:p>
  </w:footnote>
  <w:footnote w:id="11">
    <w:p w14:paraId="4F7A6D42" w14:textId="70E0F333" w:rsidR="00C221FC" w:rsidRDefault="00C221FC">
      <w:pPr>
        <w:pStyle w:val="FootnoteText"/>
      </w:pPr>
      <w:r>
        <w:rPr>
          <w:rStyle w:val="FootnoteReference"/>
        </w:rPr>
        <w:footnoteRef/>
      </w:r>
      <w:r>
        <w:t xml:space="preserve"> Ibid. pg. 6</w:t>
      </w:r>
    </w:p>
  </w:footnote>
  <w:footnote w:id="12">
    <w:p w14:paraId="2E4BFD8E" w14:textId="5AECFA21" w:rsidR="0006734F" w:rsidRDefault="0006734F">
      <w:pPr>
        <w:pStyle w:val="FootnoteText"/>
      </w:pPr>
      <w:r>
        <w:rPr>
          <w:rStyle w:val="FootnoteReference"/>
        </w:rPr>
        <w:footnoteRef/>
      </w:r>
      <w:r>
        <w:t xml:space="preserve"> Ibid. pg. 6</w:t>
      </w:r>
    </w:p>
  </w:footnote>
  <w:footnote w:id="13">
    <w:p w14:paraId="311A9AC8" w14:textId="120F16A2" w:rsidR="00753E65" w:rsidRDefault="00753E65">
      <w:pPr>
        <w:pStyle w:val="FootnoteText"/>
      </w:pPr>
      <w:r>
        <w:rPr>
          <w:rStyle w:val="FootnoteReference"/>
        </w:rPr>
        <w:footnoteRef/>
      </w:r>
      <w:r>
        <w:t xml:space="preserve"> Ibid. 28</w:t>
      </w:r>
    </w:p>
  </w:footnote>
  <w:footnote w:id="14">
    <w:p w14:paraId="6B0F4F35" w14:textId="455E89EF" w:rsidR="00753E65" w:rsidRDefault="00753E65">
      <w:pPr>
        <w:pStyle w:val="FootnoteText"/>
      </w:pPr>
      <w:r>
        <w:rPr>
          <w:rStyle w:val="FootnoteReference"/>
        </w:rPr>
        <w:footnoteRef/>
      </w:r>
      <w:r>
        <w:t xml:space="preserve"> Ibid. 33</w:t>
      </w:r>
    </w:p>
  </w:footnote>
  <w:footnote w:id="15">
    <w:p w14:paraId="7F591BF6" w14:textId="38F1FB10" w:rsidR="00753E65" w:rsidRDefault="00753E65">
      <w:pPr>
        <w:pStyle w:val="FootnoteText"/>
      </w:pPr>
      <w:r>
        <w:rPr>
          <w:rStyle w:val="FootnoteReference"/>
        </w:rPr>
        <w:footnoteRef/>
      </w:r>
      <w:r>
        <w:t xml:space="preserve"> Ibid. 33 </w:t>
      </w:r>
    </w:p>
  </w:footnote>
  <w:footnote w:id="16">
    <w:p w14:paraId="1F697477" w14:textId="2B42893D" w:rsidR="00B273BB" w:rsidRDefault="00B273BB">
      <w:pPr>
        <w:pStyle w:val="FootnoteText"/>
      </w:pPr>
      <w:r>
        <w:rPr>
          <w:rStyle w:val="FootnoteReference"/>
        </w:rPr>
        <w:footnoteRef/>
      </w:r>
      <w:r>
        <w:t xml:space="preserve"> Ibid. 38</w:t>
      </w:r>
    </w:p>
  </w:footnote>
  <w:footnote w:id="17">
    <w:p w14:paraId="413E14D3" w14:textId="1B7C1202" w:rsidR="00B273BB" w:rsidRDefault="00B273BB">
      <w:pPr>
        <w:pStyle w:val="FootnoteText"/>
      </w:pPr>
      <w:r>
        <w:rPr>
          <w:rStyle w:val="FootnoteReference"/>
        </w:rPr>
        <w:footnoteRef/>
      </w:r>
      <w:r>
        <w:t xml:space="preserve"> </w:t>
      </w:r>
      <w:r w:rsidRPr="00B273BB">
        <w:t>https://www.crcna.org/welcome/beliefs/creeds/athanasian-creed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FB0"/>
    <w:rsid w:val="000066A1"/>
    <w:rsid w:val="00012D9E"/>
    <w:rsid w:val="00040B18"/>
    <w:rsid w:val="00042E82"/>
    <w:rsid w:val="000465EF"/>
    <w:rsid w:val="00065577"/>
    <w:rsid w:val="0006734F"/>
    <w:rsid w:val="000827F1"/>
    <w:rsid w:val="00082A9D"/>
    <w:rsid w:val="000C6D5E"/>
    <w:rsid w:val="000D0BE1"/>
    <w:rsid w:val="000F06C0"/>
    <w:rsid w:val="0011695D"/>
    <w:rsid w:val="0012120A"/>
    <w:rsid w:val="001376DE"/>
    <w:rsid w:val="00143B6B"/>
    <w:rsid w:val="00163D8E"/>
    <w:rsid w:val="00166429"/>
    <w:rsid w:val="001A2797"/>
    <w:rsid w:val="001B1942"/>
    <w:rsid w:val="001B72BC"/>
    <w:rsid w:val="001D0525"/>
    <w:rsid w:val="001D17C0"/>
    <w:rsid w:val="001E42F7"/>
    <w:rsid w:val="001E7882"/>
    <w:rsid w:val="00205EA2"/>
    <w:rsid w:val="00234695"/>
    <w:rsid w:val="00235F16"/>
    <w:rsid w:val="00237B96"/>
    <w:rsid w:val="00241D01"/>
    <w:rsid w:val="0026021D"/>
    <w:rsid w:val="0029419E"/>
    <w:rsid w:val="00296424"/>
    <w:rsid w:val="002969E4"/>
    <w:rsid w:val="002A1761"/>
    <w:rsid w:val="002A6697"/>
    <w:rsid w:val="002B206E"/>
    <w:rsid w:val="002C28DD"/>
    <w:rsid w:val="002C6706"/>
    <w:rsid w:val="002E3D77"/>
    <w:rsid w:val="00305712"/>
    <w:rsid w:val="00314CB5"/>
    <w:rsid w:val="003243AB"/>
    <w:rsid w:val="0032587B"/>
    <w:rsid w:val="003344E2"/>
    <w:rsid w:val="0036395E"/>
    <w:rsid w:val="00366CC9"/>
    <w:rsid w:val="00366EB3"/>
    <w:rsid w:val="00384445"/>
    <w:rsid w:val="00395F23"/>
    <w:rsid w:val="003A476E"/>
    <w:rsid w:val="003A6F7F"/>
    <w:rsid w:val="003B102F"/>
    <w:rsid w:val="003B2714"/>
    <w:rsid w:val="003B3123"/>
    <w:rsid w:val="003B5D0D"/>
    <w:rsid w:val="003B6070"/>
    <w:rsid w:val="003C1FB0"/>
    <w:rsid w:val="003C7CCE"/>
    <w:rsid w:val="003D2EF6"/>
    <w:rsid w:val="003D7A4C"/>
    <w:rsid w:val="003E46B0"/>
    <w:rsid w:val="003F7348"/>
    <w:rsid w:val="00411B4F"/>
    <w:rsid w:val="004220D4"/>
    <w:rsid w:val="00433653"/>
    <w:rsid w:val="004419A3"/>
    <w:rsid w:val="00446DEC"/>
    <w:rsid w:val="0047376C"/>
    <w:rsid w:val="0048292E"/>
    <w:rsid w:val="00487284"/>
    <w:rsid w:val="004A0644"/>
    <w:rsid w:val="004A243E"/>
    <w:rsid w:val="004A5B88"/>
    <w:rsid w:val="004C4ED8"/>
    <w:rsid w:val="004D495B"/>
    <w:rsid w:val="004D6DCF"/>
    <w:rsid w:val="004E1F64"/>
    <w:rsid w:val="004F6785"/>
    <w:rsid w:val="00507418"/>
    <w:rsid w:val="00514501"/>
    <w:rsid w:val="00520736"/>
    <w:rsid w:val="00547ECF"/>
    <w:rsid w:val="00552FBE"/>
    <w:rsid w:val="00567F4C"/>
    <w:rsid w:val="00592360"/>
    <w:rsid w:val="005A447B"/>
    <w:rsid w:val="005B10CA"/>
    <w:rsid w:val="005B7EA5"/>
    <w:rsid w:val="005C02FE"/>
    <w:rsid w:val="005C3FFC"/>
    <w:rsid w:val="005C589E"/>
    <w:rsid w:val="005C5C46"/>
    <w:rsid w:val="005E7561"/>
    <w:rsid w:val="005F1578"/>
    <w:rsid w:val="005F1FE9"/>
    <w:rsid w:val="00605F4C"/>
    <w:rsid w:val="00606EDA"/>
    <w:rsid w:val="006075D3"/>
    <w:rsid w:val="00613CD3"/>
    <w:rsid w:val="0061403A"/>
    <w:rsid w:val="006360D8"/>
    <w:rsid w:val="00662583"/>
    <w:rsid w:val="00675C4C"/>
    <w:rsid w:val="0068330A"/>
    <w:rsid w:val="006C4E90"/>
    <w:rsid w:val="006E6E4E"/>
    <w:rsid w:val="006F1FFD"/>
    <w:rsid w:val="006F4B49"/>
    <w:rsid w:val="00701EBC"/>
    <w:rsid w:val="0071283B"/>
    <w:rsid w:val="00727C9C"/>
    <w:rsid w:val="0073154D"/>
    <w:rsid w:val="00734B43"/>
    <w:rsid w:val="00743B5D"/>
    <w:rsid w:val="0075000E"/>
    <w:rsid w:val="00753E65"/>
    <w:rsid w:val="007564B2"/>
    <w:rsid w:val="00772B00"/>
    <w:rsid w:val="00781DCB"/>
    <w:rsid w:val="0078753E"/>
    <w:rsid w:val="00787984"/>
    <w:rsid w:val="007A0D94"/>
    <w:rsid w:val="007C1DD0"/>
    <w:rsid w:val="007C1DE3"/>
    <w:rsid w:val="007E0230"/>
    <w:rsid w:val="008006FB"/>
    <w:rsid w:val="00804158"/>
    <w:rsid w:val="0083224F"/>
    <w:rsid w:val="00834E81"/>
    <w:rsid w:val="00876DA0"/>
    <w:rsid w:val="00884397"/>
    <w:rsid w:val="00892BBF"/>
    <w:rsid w:val="0089435F"/>
    <w:rsid w:val="008A0070"/>
    <w:rsid w:val="008B1670"/>
    <w:rsid w:val="008B5867"/>
    <w:rsid w:val="008C47D3"/>
    <w:rsid w:val="008C665A"/>
    <w:rsid w:val="008D026A"/>
    <w:rsid w:val="008F3D3D"/>
    <w:rsid w:val="00901D95"/>
    <w:rsid w:val="00951E5D"/>
    <w:rsid w:val="00963B33"/>
    <w:rsid w:val="00972778"/>
    <w:rsid w:val="009A0EFD"/>
    <w:rsid w:val="009A6AD0"/>
    <w:rsid w:val="009B05CE"/>
    <w:rsid w:val="009C7CFE"/>
    <w:rsid w:val="009D17EE"/>
    <w:rsid w:val="009F04F5"/>
    <w:rsid w:val="009F2193"/>
    <w:rsid w:val="00A04495"/>
    <w:rsid w:val="00A07603"/>
    <w:rsid w:val="00A3144C"/>
    <w:rsid w:val="00A33316"/>
    <w:rsid w:val="00A33CF9"/>
    <w:rsid w:val="00A442FB"/>
    <w:rsid w:val="00A45AC7"/>
    <w:rsid w:val="00A559AE"/>
    <w:rsid w:val="00A83F68"/>
    <w:rsid w:val="00AA76AF"/>
    <w:rsid w:val="00AB2217"/>
    <w:rsid w:val="00AE69DF"/>
    <w:rsid w:val="00AF577B"/>
    <w:rsid w:val="00B13E64"/>
    <w:rsid w:val="00B22FAB"/>
    <w:rsid w:val="00B273BB"/>
    <w:rsid w:val="00B63829"/>
    <w:rsid w:val="00B6755A"/>
    <w:rsid w:val="00B76E43"/>
    <w:rsid w:val="00B776EB"/>
    <w:rsid w:val="00B81F4E"/>
    <w:rsid w:val="00BB0F9B"/>
    <w:rsid w:val="00BB261D"/>
    <w:rsid w:val="00BB3839"/>
    <w:rsid w:val="00BD1C61"/>
    <w:rsid w:val="00BE039C"/>
    <w:rsid w:val="00BF02FA"/>
    <w:rsid w:val="00C048C1"/>
    <w:rsid w:val="00C214FC"/>
    <w:rsid w:val="00C221FC"/>
    <w:rsid w:val="00C40DF4"/>
    <w:rsid w:val="00C55301"/>
    <w:rsid w:val="00C64C52"/>
    <w:rsid w:val="00C906F6"/>
    <w:rsid w:val="00C93641"/>
    <w:rsid w:val="00CA7FE0"/>
    <w:rsid w:val="00CB7AD6"/>
    <w:rsid w:val="00CC0286"/>
    <w:rsid w:val="00CC3CB5"/>
    <w:rsid w:val="00CE1D9A"/>
    <w:rsid w:val="00CE5171"/>
    <w:rsid w:val="00CE7F06"/>
    <w:rsid w:val="00D0294A"/>
    <w:rsid w:val="00D07858"/>
    <w:rsid w:val="00D13AC1"/>
    <w:rsid w:val="00D24E25"/>
    <w:rsid w:val="00D259E7"/>
    <w:rsid w:val="00DA1314"/>
    <w:rsid w:val="00DF098C"/>
    <w:rsid w:val="00DF4F09"/>
    <w:rsid w:val="00E0333E"/>
    <w:rsid w:val="00E04A2D"/>
    <w:rsid w:val="00E06B77"/>
    <w:rsid w:val="00E200F0"/>
    <w:rsid w:val="00E23ABA"/>
    <w:rsid w:val="00E373DF"/>
    <w:rsid w:val="00E42267"/>
    <w:rsid w:val="00E47031"/>
    <w:rsid w:val="00E52F98"/>
    <w:rsid w:val="00E6206E"/>
    <w:rsid w:val="00E71569"/>
    <w:rsid w:val="00E7575F"/>
    <w:rsid w:val="00E86045"/>
    <w:rsid w:val="00E92784"/>
    <w:rsid w:val="00E97419"/>
    <w:rsid w:val="00EA1541"/>
    <w:rsid w:val="00EB2DAB"/>
    <w:rsid w:val="00EC00F5"/>
    <w:rsid w:val="00EF6C8A"/>
    <w:rsid w:val="00F0098C"/>
    <w:rsid w:val="00F015B3"/>
    <w:rsid w:val="00F1065C"/>
    <w:rsid w:val="00F11B03"/>
    <w:rsid w:val="00F26B1A"/>
    <w:rsid w:val="00F427CB"/>
    <w:rsid w:val="00F843CB"/>
    <w:rsid w:val="00F93375"/>
    <w:rsid w:val="00F934DF"/>
    <w:rsid w:val="00FB7E8F"/>
    <w:rsid w:val="00FD0FD6"/>
    <w:rsid w:val="00FD5A5D"/>
    <w:rsid w:val="00FE3C9B"/>
    <w:rsid w:val="00FE4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3A44E"/>
  <w15:chartTrackingRefBased/>
  <w15:docId w15:val="{DE1DBE94-F6F9-4293-B8E7-960D9DCEE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27C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7C9C"/>
    <w:rPr>
      <w:sz w:val="20"/>
      <w:szCs w:val="20"/>
    </w:rPr>
  </w:style>
  <w:style w:type="character" w:styleId="FootnoteReference">
    <w:name w:val="footnote reference"/>
    <w:basedOn w:val="DefaultParagraphFont"/>
    <w:uiPriority w:val="99"/>
    <w:semiHidden/>
    <w:unhideWhenUsed/>
    <w:rsid w:val="00727C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07160">
      <w:bodyDiv w:val="1"/>
      <w:marLeft w:val="0"/>
      <w:marRight w:val="0"/>
      <w:marTop w:val="0"/>
      <w:marBottom w:val="0"/>
      <w:divBdr>
        <w:top w:val="none" w:sz="0" w:space="0" w:color="auto"/>
        <w:left w:val="none" w:sz="0" w:space="0" w:color="auto"/>
        <w:bottom w:val="none" w:sz="0" w:space="0" w:color="auto"/>
        <w:right w:val="none" w:sz="0" w:space="0" w:color="auto"/>
      </w:divBdr>
    </w:div>
    <w:div w:id="181435420">
      <w:bodyDiv w:val="1"/>
      <w:marLeft w:val="0"/>
      <w:marRight w:val="0"/>
      <w:marTop w:val="0"/>
      <w:marBottom w:val="0"/>
      <w:divBdr>
        <w:top w:val="none" w:sz="0" w:space="0" w:color="auto"/>
        <w:left w:val="none" w:sz="0" w:space="0" w:color="auto"/>
        <w:bottom w:val="none" w:sz="0" w:space="0" w:color="auto"/>
        <w:right w:val="none" w:sz="0" w:space="0" w:color="auto"/>
      </w:divBdr>
    </w:div>
    <w:div w:id="341973968">
      <w:bodyDiv w:val="1"/>
      <w:marLeft w:val="0"/>
      <w:marRight w:val="0"/>
      <w:marTop w:val="0"/>
      <w:marBottom w:val="0"/>
      <w:divBdr>
        <w:top w:val="none" w:sz="0" w:space="0" w:color="auto"/>
        <w:left w:val="none" w:sz="0" w:space="0" w:color="auto"/>
        <w:bottom w:val="none" w:sz="0" w:space="0" w:color="auto"/>
        <w:right w:val="none" w:sz="0" w:space="0" w:color="auto"/>
      </w:divBdr>
    </w:div>
    <w:div w:id="599139838">
      <w:bodyDiv w:val="1"/>
      <w:marLeft w:val="0"/>
      <w:marRight w:val="0"/>
      <w:marTop w:val="0"/>
      <w:marBottom w:val="0"/>
      <w:divBdr>
        <w:top w:val="none" w:sz="0" w:space="0" w:color="auto"/>
        <w:left w:val="none" w:sz="0" w:space="0" w:color="auto"/>
        <w:bottom w:val="none" w:sz="0" w:space="0" w:color="auto"/>
        <w:right w:val="none" w:sz="0" w:space="0" w:color="auto"/>
      </w:divBdr>
      <w:divsChild>
        <w:div w:id="2001688369">
          <w:marLeft w:val="0"/>
          <w:marRight w:val="0"/>
          <w:marTop w:val="0"/>
          <w:marBottom w:val="0"/>
          <w:divBdr>
            <w:top w:val="none" w:sz="0" w:space="0" w:color="auto"/>
            <w:left w:val="none" w:sz="0" w:space="0" w:color="auto"/>
            <w:bottom w:val="none" w:sz="0" w:space="0" w:color="auto"/>
            <w:right w:val="none" w:sz="0" w:space="0" w:color="auto"/>
          </w:divBdr>
          <w:divsChild>
            <w:div w:id="344523025">
              <w:marLeft w:val="0"/>
              <w:marRight w:val="0"/>
              <w:marTop w:val="0"/>
              <w:marBottom w:val="0"/>
              <w:divBdr>
                <w:top w:val="none" w:sz="0" w:space="0" w:color="auto"/>
                <w:left w:val="none" w:sz="0" w:space="0" w:color="auto"/>
                <w:bottom w:val="none" w:sz="0" w:space="0" w:color="auto"/>
                <w:right w:val="none" w:sz="0" w:space="0" w:color="auto"/>
              </w:divBdr>
              <w:divsChild>
                <w:div w:id="49498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950225">
      <w:bodyDiv w:val="1"/>
      <w:marLeft w:val="0"/>
      <w:marRight w:val="0"/>
      <w:marTop w:val="0"/>
      <w:marBottom w:val="0"/>
      <w:divBdr>
        <w:top w:val="none" w:sz="0" w:space="0" w:color="auto"/>
        <w:left w:val="none" w:sz="0" w:space="0" w:color="auto"/>
        <w:bottom w:val="none" w:sz="0" w:space="0" w:color="auto"/>
        <w:right w:val="none" w:sz="0" w:space="0" w:color="auto"/>
      </w:divBdr>
    </w:div>
    <w:div w:id="1172405705">
      <w:bodyDiv w:val="1"/>
      <w:marLeft w:val="0"/>
      <w:marRight w:val="0"/>
      <w:marTop w:val="0"/>
      <w:marBottom w:val="0"/>
      <w:divBdr>
        <w:top w:val="none" w:sz="0" w:space="0" w:color="auto"/>
        <w:left w:val="none" w:sz="0" w:space="0" w:color="auto"/>
        <w:bottom w:val="none" w:sz="0" w:space="0" w:color="auto"/>
        <w:right w:val="none" w:sz="0" w:space="0" w:color="auto"/>
      </w:divBdr>
    </w:div>
    <w:div w:id="1281645382">
      <w:bodyDiv w:val="1"/>
      <w:marLeft w:val="0"/>
      <w:marRight w:val="0"/>
      <w:marTop w:val="0"/>
      <w:marBottom w:val="0"/>
      <w:divBdr>
        <w:top w:val="none" w:sz="0" w:space="0" w:color="auto"/>
        <w:left w:val="none" w:sz="0" w:space="0" w:color="auto"/>
        <w:bottom w:val="none" w:sz="0" w:space="0" w:color="auto"/>
        <w:right w:val="none" w:sz="0" w:space="0" w:color="auto"/>
      </w:divBdr>
      <w:divsChild>
        <w:div w:id="1252542608">
          <w:marLeft w:val="0"/>
          <w:marRight w:val="0"/>
          <w:marTop w:val="0"/>
          <w:marBottom w:val="0"/>
          <w:divBdr>
            <w:top w:val="none" w:sz="0" w:space="0" w:color="auto"/>
            <w:left w:val="none" w:sz="0" w:space="0" w:color="auto"/>
            <w:bottom w:val="none" w:sz="0" w:space="0" w:color="auto"/>
            <w:right w:val="none" w:sz="0" w:space="0" w:color="auto"/>
          </w:divBdr>
          <w:divsChild>
            <w:div w:id="1648122141">
              <w:marLeft w:val="0"/>
              <w:marRight w:val="0"/>
              <w:marTop w:val="0"/>
              <w:marBottom w:val="0"/>
              <w:divBdr>
                <w:top w:val="none" w:sz="0" w:space="0" w:color="auto"/>
                <w:left w:val="none" w:sz="0" w:space="0" w:color="auto"/>
                <w:bottom w:val="none" w:sz="0" w:space="0" w:color="auto"/>
                <w:right w:val="none" w:sz="0" w:space="0" w:color="auto"/>
              </w:divBdr>
              <w:divsChild>
                <w:div w:id="182238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101340">
      <w:bodyDiv w:val="1"/>
      <w:marLeft w:val="0"/>
      <w:marRight w:val="0"/>
      <w:marTop w:val="0"/>
      <w:marBottom w:val="0"/>
      <w:divBdr>
        <w:top w:val="none" w:sz="0" w:space="0" w:color="auto"/>
        <w:left w:val="none" w:sz="0" w:space="0" w:color="auto"/>
        <w:bottom w:val="none" w:sz="0" w:space="0" w:color="auto"/>
        <w:right w:val="none" w:sz="0" w:space="0" w:color="auto"/>
      </w:divBdr>
    </w:div>
    <w:div w:id="1392197604">
      <w:bodyDiv w:val="1"/>
      <w:marLeft w:val="0"/>
      <w:marRight w:val="0"/>
      <w:marTop w:val="0"/>
      <w:marBottom w:val="0"/>
      <w:divBdr>
        <w:top w:val="none" w:sz="0" w:space="0" w:color="auto"/>
        <w:left w:val="none" w:sz="0" w:space="0" w:color="auto"/>
        <w:bottom w:val="none" w:sz="0" w:space="0" w:color="auto"/>
        <w:right w:val="none" w:sz="0" w:space="0" w:color="auto"/>
      </w:divBdr>
    </w:div>
    <w:div w:id="1844054170">
      <w:bodyDiv w:val="1"/>
      <w:marLeft w:val="0"/>
      <w:marRight w:val="0"/>
      <w:marTop w:val="0"/>
      <w:marBottom w:val="0"/>
      <w:divBdr>
        <w:top w:val="none" w:sz="0" w:space="0" w:color="auto"/>
        <w:left w:val="none" w:sz="0" w:space="0" w:color="auto"/>
        <w:bottom w:val="none" w:sz="0" w:space="0" w:color="auto"/>
        <w:right w:val="none" w:sz="0" w:space="0" w:color="auto"/>
      </w:divBdr>
    </w:div>
    <w:div w:id="2005280418">
      <w:bodyDiv w:val="1"/>
      <w:marLeft w:val="0"/>
      <w:marRight w:val="0"/>
      <w:marTop w:val="0"/>
      <w:marBottom w:val="0"/>
      <w:divBdr>
        <w:top w:val="none" w:sz="0" w:space="0" w:color="auto"/>
        <w:left w:val="none" w:sz="0" w:space="0" w:color="auto"/>
        <w:bottom w:val="none" w:sz="0" w:space="0" w:color="auto"/>
        <w:right w:val="none" w:sz="0" w:space="0" w:color="auto"/>
      </w:divBdr>
      <w:divsChild>
        <w:div w:id="842470581">
          <w:marLeft w:val="0"/>
          <w:marRight w:val="0"/>
          <w:marTop w:val="0"/>
          <w:marBottom w:val="0"/>
          <w:divBdr>
            <w:top w:val="none" w:sz="0" w:space="0" w:color="auto"/>
            <w:left w:val="none" w:sz="0" w:space="0" w:color="auto"/>
            <w:bottom w:val="none" w:sz="0" w:space="0" w:color="auto"/>
            <w:right w:val="none" w:sz="0" w:space="0" w:color="auto"/>
          </w:divBdr>
          <w:divsChild>
            <w:div w:id="880552607">
              <w:marLeft w:val="0"/>
              <w:marRight w:val="0"/>
              <w:marTop w:val="0"/>
              <w:marBottom w:val="0"/>
              <w:divBdr>
                <w:top w:val="none" w:sz="0" w:space="0" w:color="auto"/>
                <w:left w:val="none" w:sz="0" w:space="0" w:color="auto"/>
                <w:bottom w:val="none" w:sz="0" w:space="0" w:color="auto"/>
                <w:right w:val="none" w:sz="0" w:space="0" w:color="auto"/>
              </w:divBdr>
              <w:divsChild>
                <w:div w:id="174117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DCA59-9081-3346-89A3-29EB0B53F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6</Pages>
  <Words>1337</Words>
  <Characters>7278</Characters>
  <Application>Microsoft Office Word</Application>
  <DocSecurity>0</DocSecurity>
  <Lines>119</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Watson</dc:creator>
  <cp:keywords/>
  <dc:description/>
  <cp:lastModifiedBy>Will Watson</cp:lastModifiedBy>
  <cp:revision>21</cp:revision>
  <dcterms:created xsi:type="dcterms:W3CDTF">2021-03-17T14:28:00Z</dcterms:created>
  <dcterms:modified xsi:type="dcterms:W3CDTF">2021-03-31T23:23:00Z</dcterms:modified>
</cp:coreProperties>
</file>