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0A2ED7D" w14:textId="77777777" w:rsidR="00101A13" w:rsidRDefault="00101A13">
      <w:pPr>
        <w:spacing w:after="200" w:line="360" w:lineRule="auto"/>
        <w:jc w:val="center"/>
        <w:rPr>
          <w:b/>
          <w:bCs/>
          <w:sz w:val="32"/>
          <w:szCs w:val="32"/>
        </w:rPr>
      </w:pPr>
      <w:r>
        <w:rPr>
          <w:noProof/>
        </w:rPr>
        <w:drawing>
          <wp:inline distT="0" distB="0" distL="0" distR="0" wp14:anchorId="0E44F1E0" wp14:editId="05FFCC16">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657DAF12" w14:textId="4DC2EA4E" w:rsidR="00C60230" w:rsidRDefault="003C62BB">
      <w:pPr>
        <w:spacing w:after="200" w:line="360" w:lineRule="auto"/>
        <w:jc w:val="center"/>
        <w:rPr>
          <w:b/>
          <w:bCs/>
          <w:sz w:val="32"/>
          <w:szCs w:val="32"/>
        </w:rPr>
      </w:pPr>
      <w:proofErr w:type="spellStart"/>
      <w:r>
        <w:rPr>
          <w:b/>
          <w:bCs/>
          <w:sz w:val="32"/>
          <w:szCs w:val="32"/>
        </w:rPr>
        <w:t>Programme</w:t>
      </w:r>
      <w:proofErr w:type="spellEnd"/>
      <w:r>
        <w:rPr>
          <w:b/>
          <w:bCs/>
          <w:sz w:val="32"/>
          <w:szCs w:val="32"/>
        </w:rPr>
        <w:t xml:space="preserve"> </w:t>
      </w:r>
      <w:r w:rsidR="00302724">
        <w:rPr>
          <w:b/>
          <w:bCs/>
          <w:sz w:val="32"/>
          <w:szCs w:val="32"/>
        </w:rPr>
        <w:t>N</w:t>
      </w:r>
      <w:r>
        <w:rPr>
          <w:b/>
          <w:bCs/>
          <w:sz w:val="32"/>
          <w:szCs w:val="32"/>
        </w:rPr>
        <w:t>ame</w:t>
      </w:r>
      <w:r w:rsidR="001C3A25">
        <w:rPr>
          <w:b/>
          <w:bCs/>
          <w:sz w:val="32"/>
          <w:szCs w:val="32"/>
        </w:rPr>
        <w:t>: Master of Business Administration</w:t>
      </w:r>
    </w:p>
    <w:p w14:paraId="21B23D80" w14:textId="77777777" w:rsidR="00C60230" w:rsidRDefault="003C62BB">
      <w:pPr>
        <w:spacing w:after="200" w:line="360" w:lineRule="auto"/>
        <w:jc w:val="center"/>
        <w:rPr>
          <w:b/>
          <w:bCs/>
          <w:sz w:val="32"/>
          <w:szCs w:val="32"/>
        </w:rPr>
      </w:pPr>
      <w:r>
        <w:rPr>
          <w:b/>
          <w:bCs/>
          <w:sz w:val="32"/>
          <w:szCs w:val="32"/>
        </w:rPr>
        <w:t>Module Code: LCMB7003</w:t>
      </w:r>
    </w:p>
    <w:p w14:paraId="4DEE29EC" w14:textId="77777777" w:rsidR="00C60230" w:rsidRDefault="003C62BB">
      <w:pPr>
        <w:spacing w:after="200" w:line="360" w:lineRule="auto"/>
        <w:jc w:val="center"/>
        <w:rPr>
          <w:b/>
          <w:bCs/>
          <w:sz w:val="32"/>
          <w:szCs w:val="32"/>
        </w:rPr>
      </w:pPr>
      <w:r>
        <w:rPr>
          <w:b/>
          <w:bCs/>
          <w:sz w:val="32"/>
          <w:szCs w:val="32"/>
        </w:rPr>
        <w:t>Module Name: Strategic Management</w:t>
      </w:r>
    </w:p>
    <w:p w14:paraId="44CB1515" w14:textId="77777777" w:rsidR="00C60230" w:rsidRDefault="003C62BB">
      <w:pPr>
        <w:spacing w:after="200" w:line="360" w:lineRule="auto"/>
        <w:jc w:val="center"/>
        <w:rPr>
          <w:b/>
          <w:bCs/>
          <w:sz w:val="32"/>
          <w:szCs w:val="32"/>
        </w:rPr>
      </w:pPr>
      <w:r>
        <w:rPr>
          <w:b/>
          <w:bCs/>
          <w:sz w:val="32"/>
          <w:szCs w:val="32"/>
        </w:rPr>
        <w:t>Format: Report</w:t>
      </w:r>
    </w:p>
    <w:p w14:paraId="3DF49202" w14:textId="77777777" w:rsidR="00C60230" w:rsidRDefault="003C62BB">
      <w:pPr>
        <w:spacing w:after="200" w:line="360" w:lineRule="auto"/>
        <w:jc w:val="center"/>
        <w:rPr>
          <w:b/>
          <w:bCs/>
          <w:sz w:val="32"/>
          <w:szCs w:val="32"/>
        </w:rPr>
      </w:pPr>
      <w:r>
        <w:rPr>
          <w:b/>
          <w:bCs/>
          <w:sz w:val="32"/>
          <w:szCs w:val="32"/>
        </w:rPr>
        <w:t>Title: Assessment component: Individual report on IKEA</w:t>
      </w:r>
    </w:p>
    <w:p w14:paraId="2AB11B27" w14:textId="36CD66D9" w:rsidR="00211BE2" w:rsidRDefault="003C62BB" w:rsidP="00211BE2">
      <w:pPr>
        <w:spacing w:after="200" w:line="360" w:lineRule="auto"/>
        <w:jc w:val="center"/>
        <w:rPr>
          <w:b/>
          <w:bCs/>
          <w:sz w:val="32"/>
          <w:szCs w:val="32"/>
        </w:rPr>
      </w:pPr>
      <w:r>
        <w:rPr>
          <w:b/>
          <w:bCs/>
          <w:sz w:val="32"/>
          <w:szCs w:val="32"/>
        </w:rPr>
        <w:t xml:space="preserve">Lecturer’s </w:t>
      </w:r>
      <w:r w:rsidR="00302724">
        <w:rPr>
          <w:b/>
          <w:bCs/>
          <w:sz w:val="32"/>
          <w:szCs w:val="32"/>
        </w:rPr>
        <w:t>N</w:t>
      </w:r>
      <w:r>
        <w:rPr>
          <w:b/>
          <w:bCs/>
          <w:sz w:val="32"/>
          <w:szCs w:val="32"/>
        </w:rPr>
        <w:t>ame:</w:t>
      </w:r>
      <w:r w:rsidR="001C3A25">
        <w:rPr>
          <w:b/>
          <w:bCs/>
          <w:sz w:val="32"/>
          <w:szCs w:val="32"/>
        </w:rPr>
        <w:t xml:space="preserve"> A</w:t>
      </w:r>
      <w:r w:rsidR="008161A4">
        <w:rPr>
          <w:b/>
          <w:bCs/>
          <w:sz w:val="32"/>
          <w:szCs w:val="32"/>
        </w:rPr>
        <w:t>ndry Rakotovololona</w:t>
      </w:r>
    </w:p>
    <w:p w14:paraId="2A9BCD1D" w14:textId="10F2F843" w:rsidR="001C3A25" w:rsidRDefault="00211BE2" w:rsidP="001C3A25">
      <w:pPr>
        <w:spacing w:after="200" w:line="360" w:lineRule="auto"/>
        <w:jc w:val="center"/>
        <w:rPr>
          <w:b/>
          <w:bCs/>
          <w:sz w:val="32"/>
          <w:szCs w:val="32"/>
        </w:rPr>
      </w:pPr>
      <w:r>
        <w:rPr>
          <w:b/>
          <w:bCs/>
          <w:sz w:val="32"/>
          <w:szCs w:val="32"/>
        </w:rPr>
        <w:t>Student Name: SIRAJUL ISLAM</w:t>
      </w:r>
    </w:p>
    <w:p w14:paraId="0D254466" w14:textId="4EAD5FD5" w:rsidR="00211BE2" w:rsidRDefault="00211BE2" w:rsidP="001C3A25">
      <w:pPr>
        <w:spacing w:after="200" w:line="360" w:lineRule="auto"/>
        <w:jc w:val="center"/>
        <w:rPr>
          <w:b/>
          <w:bCs/>
          <w:sz w:val="32"/>
          <w:szCs w:val="32"/>
        </w:rPr>
      </w:pPr>
      <w:r>
        <w:rPr>
          <w:b/>
          <w:bCs/>
          <w:sz w:val="32"/>
          <w:szCs w:val="32"/>
        </w:rPr>
        <w:t>Student ID: 2422222</w:t>
      </w:r>
    </w:p>
    <w:p w14:paraId="0FB1A6D0" w14:textId="3558837E" w:rsidR="00C60230" w:rsidRDefault="003C62BB">
      <w:pPr>
        <w:spacing w:after="200" w:line="360" w:lineRule="auto"/>
        <w:jc w:val="center"/>
        <w:rPr>
          <w:b/>
          <w:bCs/>
          <w:sz w:val="32"/>
          <w:szCs w:val="32"/>
        </w:rPr>
      </w:pPr>
      <w:r>
        <w:rPr>
          <w:b/>
          <w:bCs/>
          <w:sz w:val="32"/>
          <w:szCs w:val="32"/>
        </w:rPr>
        <w:t>Word Count: 5</w:t>
      </w:r>
      <w:r w:rsidR="00211BE2">
        <w:rPr>
          <w:b/>
          <w:bCs/>
          <w:sz w:val="32"/>
          <w:szCs w:val="32"/>
        </w:rPr>
        <w:t>000</w:t>
      </w:r>
    </w:p>
    <w:p w14:paraId="2D593A74" w14:textId="3F1F3638" w:rsidR="00C60230" w:rsidRDefault="00C60230">
      <w:pPr>
        <w:spacing w:after="200" w:line="360" w:lineRule="auto"/>
        <w:jc w:val="center"/>
        <w:rPr>
          <w:b/>
          <w:bCs/>
          <w:sz w:val="32"/>
          <w:szCs w:val="32"/>
        </w:rPr>
      </w:pPr>
    </w:p>
    <w:p w14:paraId="53243328" w14:textId="77777777" w:rsidR="00C60230" w:rsidRDefault="00C60230">
      <w:pPr>
        <w:spacing w:after="200" w:line="360" w:lineRule="auto"/>
        <w:jc w:val="center"/>
        <w:rPr>
          <w:b/>
          <w:bCs/>
          <w:sz w:val="24"/>
          <w:szCs w:val="24"/>
        </w:rPr>
      </w:pPr>
    </w:p>
    <w:p w14:paraId="2ECB5628" w14:textId="77777777" w:rsidR="00C60230" w:rsidRDefault="003C62BB">
      <w:pPr>
        <w:spacing w:after="200" w:line="360" w:lineRule="auto"/>
        <w:jc w:val="center"/>
        <w:rPr>
          <w:b/>
          <w:bCs/>
          <w:sz w:val="24"/>
          <w:szCs w:val="24"/>
        </w:rPr>
      </w:pPr>
      <w:r>
        <w:rPr>
          <w:b/>
          <w:bCs/>
          <w:noProof/>
          <w:sz w:val="24"/>
          <w:szCs w:val="24"/>
        </w:rPr>
        <w:drawing>
          <wp:inline distT="114300" distB="114300" distL="114300" distR="114300" wp14:anchorId="414513D3" wp14:editId="12166976">
            <wp:extent cx="1152525" cy="476250"/>
            <wp:effectExtent l="0" t="0" r="0" b="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152525" cy="476250"/>
                    </a:xfrm>
                    <a:prstGeom prst="rect">
                      <a:avLst/>
                    </a:prstGeom>
                    <a:ln/>
                  </pic:spPr>
                </pic:pic>
              </a:graphicData>
            </a:graphic>
          </wp:inline>
        </w:drawing>
      </w:r>
    </w:p>
    <w:p w14:paraId="49B50117" w14:textId="77777777" w:rsidR="00C60230" w:rsidRDefault="003C62BB">
      <w:pPr>
        <w:spacing w:after="200" w:line="360" w:lineRule="auto"/>
        <w:jc w:val="center"/>
        <w:rPr>
          <w:b/>
          <w:bCs/>
          <w:sz w:val="24"/>
          <w:szCs w:val="24"/>
        </w:rPr>
      </w:pPr>
      <w:r>
        <w:br w:type="page"/>
      </w:r>
    </w:p>
    <w:p w14:paraId="3FF7B0EA" w14:textId="77777777" w:rsidR="00C60230" w:rsidRDefault="003C62BB">
      <w:pPr>
        <w:spacing w:after="200" w:line="360" w:lineRule="auto"/>
        <w:jc w:val="center"/>
        <w:rPr>
          <w:b/>
          <w:bCs/>
          <w:sz w:val="24"/>
          <w:szCs w:val="24"/>
        </w:rPr>
      </w:pPr>
      <w:r>
        <w:rPr>
          <w:b/>
          <w:bCs/>
          <w:sz w:val="24"/>
          <w:szCs w:val="24"/>
        </w:rPr>
        <w:lastRenderedPageBreak/>
        <w:t>Table of Content</w:t>
      </w:r>
    </w:p>
    <w:sdt>
      <w:sdtPr>
        <w:rPr>
          <w:rFonts w:ascii="Arial" w:eastAsia="Arial" w:hAnsi="Arial" w:cs="Arial"/>
          <w:color w:val="auto"/>
          <w:sz w:val="22"/>
          <w:szCs w:val="22"/>
        </w:rPr>
        <w:id w:val="-127016208"/>
        <w:docPartObj>
          <w:docPartGallery w:val="Table of Contents"/>
          <w:docPartUnique/>
        </w:docPartObj>
      </w:sdtPr>
      <w:sdtEndPr>
        <w:rPr>
          <w:b/>
          <w:bCs/>
          <w:noProof/>
        </w:rPr>
      </w:sdtEndPr>
      <w:sdtContent>
        <w:p w14:paraId="10D6AA0A" w14:textId="0EB2EB3A" w:rsidR="001C3A25" w:rsidRDefault="001C3A25">
          <w:pPr>
            <w:pStyle w:val="TOCHeading"/>
          </w:pPr>
          <w:r>
            <w:t>Contents</w:t>
          </w:r>
        </w:p>
        <w:p w14:paraId="657C5217" w14:textId="30639ACE" w:rsidR="001C3A25" w:rsidRDefault="001C3A25">
          <w:pPr>
            <w:pStyle w:val="TOC1"/>
            <w:tabs>
              <w:tab w:val="right" w:leader="dot" w:pos="9016"/>
            </w:tabs>
            <w:rPr>
              <w:noProof/>
            </w:rPr>
          </w:pPr>
          <w:r>
            <w:fldChar w:fldCharType="begin"/>
          </w:r>
          <w:r>
            <w:instrText xml:space="preserve"> TOC \o "1-3" \h \z \u </w:instrText>
          </w:r>
          <w:r>
            <w:fldChar w:fldCharType="separate"/>
          </w:r>
          <w:hyperlink w:anchor="_Toc215925441" w:history="1">
            <w:r w:rsidRPr="00AD5B16">
              <w:rPr>
                <w:rStyle w:val="Hyperlink"/>
                <w:noProof/>
              </w:rPr>
              <w:t>1.0 Introduction</w:t>
            </w:r>
            <w:r>
              <w:rPr>
                <w:noProof/>
                <w:webHidden/>
              </w:rPr>
              <w:tab/>
            </w:r>
            <w:r>
              <w:rPr>
                <w:noProof/>
                <w:webHidden/>
              </w:rPr>
              <w:fldChar w:fldCharType="begin"/>
            </w:r>
            <w:r>
              <w:rPr>
                <w:noProof/>
                <w:webHidden/>
              </w:rPr>
              <w:instrText xml:space="preserve"> PAGEREF _Toc215925441 \h </w:instrText>
            </w:r>
            <w:r>
              <w:rPr>
                <w:noProof/>
                <w:webHidden/>
              </w:rPr>
            </w:r>
            <w:r>
              <w:rPr>
                <w:noProof/>
                <w:webHidden/>
              </w:rPr>
              <w:fldChar w:fldCharType="separate"/>
            </w:r>
            <w:r>
              <w:rPr>
                <w:noProof/>
                <w:webHidden/>
              </w:rPr>
              <w:t>3</w:t>
            </w:r>
            <w:r>
              <w:rPr>
                <w:noProof/>
                <w:webHidden/>
              </w:rPr>
              <w:fldChar w:fldCharType="end"/>
            </w:r>
          </w:hyperlink>
        </w:p>
        <w:p w14:paraId="6D662E8B" w14:textId="64192233" w:rsidR="001C3A25" w:rsidRDefault="001C3A25">
          <w:pPr>
            <w:pStyle w:val="TOC2"/>
            <w:tabs>
              <w:tab w:val="right" w:leader="dot" w:pos="9016"/>
            </w:tabs>
            <w:rPr>
              <w:noProof/>
            </w:rPr>
          </w:pPr>
          <w:hyperlink w:anchor="_Toc215925442" w:history="1">
            <w:r w:rsidRPr="00AD5B16">
              <w:rPr>
                <w:rStyle w:val="Hyperlink"/>
                <w:noProof/>
              </w:rPr>
              <w:t>1.1 Brief background of the case organisation: IKEA</w:t>
            </w:r>
            <w:r>
              <w:rPr>
                <w:noProof/>
                <w:webHidden/>
              </w:rPr>
              <w:tab/>
            </w:r>
            <w:r>
              <w:rPr>
                <w:noProof/>
                <w:webHidden/>
              </w:rPr>
              <w:fldChar w:fldCharType="begin"/>
            </w:r>
            <w:r>
              <w:rPr>
                <w:noProof/>
                <w:webHidden/>
              </w:rPr>
              <w:instrText xml:space="preserve"> PAGEREF _Toc215925442 \h </w:instrText>
            </w:r>
            <w:r>
              <w:rPr>
                <w:noProof/>
                <w:webHidden/>
              </w:rPr>
            </w:r>
            <w:r>
              <w:rPr>
                <w:noProof/>
                <w:webHidden/>
              </w:rPr>
              <w:fldChar w:fldCharType="separate"/>
            </w:r>
            <w:r>
              <w:rPr>
                <w:noProof/>
                <w:webHidden/>
              </w:rPr>
              <w:t>3</w:t>
            </w:r>
            <w:r>
              <w:rPr>
                <w:noProof/>
                <w:webHidden/>
              </w:rPr>
              <w:fldChar w:fldCharType="end"/>
            </w:r>
          </w:hyperlink>
        </w:p>
        <w:p w14:paraId="041483CF" w14:textId="024F8638" w:rsidR="001C3A25" w:rsidRDefault="001C3A25">
          <w:pPr>
            <w:pStyle w:val="TOC3"/>
            <w:tabs>
              <w:tab w:val="right" w:leader="dot" w:pos="9016"/>
            </w:tabs>
            <w:rPr>
              <w:noProof/>
            </w:rPr>
          </w:pPr>
          <w:hyperlink w:anchor="_Toc215925443" w:history="1">
            <w:r w:rsidRPr="00AD5B16">
              <w:rPr>
                <w:rStyle w:val="Hyperlink"/>
                <w:noProof/>
              </w:rPr>
              <w:t>1.1.1 Vision, Mission and Values</w:t>
            </w:r>
            <w:r>
              <w:rPr>
                <w:noProof/>
                <w:webHidden/>
              </w:rPr>
              <w:tab/>
            </w:r>
            <w:r>
              <w:rPr>
                <w:noProof/>
                <w:webHidden/>
              </w:rPr>
              <w:fldChar w:fldCharType="begin"/>
            </w:r>
            <w:r>
              <w:rPr>
                <w:noProof/>
                <w:webHidden/>
              </w:rPr>
              <w:instrText xml:space="preserve"> PAGEREF _Toc215925443 \h </w:instrText>
            </w:r>
            <w:r>
              <w:rPr>
                <w:noProof/>
                <w:webHidden/>
              </w:rPr>
            </w:r>
            <w:r>
              <w:rPr>
                <w:noProof/>
                <w:webHidden/>
              </w:rPr>
              <w:fldChar w:fldCharType="separate"/>
            </w:r>
            <w:r>
              <w:rPr>
                <w:noProof/>
                <w:webHidden/>
              </w:rPr>
              <w:t>3</w:t>
            </w:r>
            <w:r>
              <w:rPr>
                <w:noProof/>
                <w:webHidden/>
              </w:rPr>
              <w:fldChar w:fldCharType="end"/>
            </w:r>
          </w:hyperlink>
        </w:p>
        <w:p w14:paraId="221152AD" w14:textId="11FFED97" w:rsidR="001C3A25" w:rsidRDefault="001C3A25">
          <w:pPr>
            <w:pStyle w:val="TOC3"/>
            <w:tabs>
              <w:tab w:val="right" w:leader="dot" w:pos="9016"/>
            </w:tabs>
            <w:rPr>
              <w:noProof/>
            </w:rPr>
          </w:pPr>
          <w:hyperlink w:anchor="_Toc215925444" w:history="1">
            <w:r w:rsidRPr="00AD5B16">
              <w:rPr>
                <w:rStyle w:val="Hyperlink"/>
                <w:noProof/>
              </w:rPr>
              <w:t>1.1.2 Historical Timeline of IKEA</w:t>
            </w:r>
            <w:r>
              <w:rPr>
                <w:noProof/>
                <w:webHidden/>
              </w:rPr>
              <w:tab/>
            </w:r>
            <w:r>
              <w:rPr>
                <w:noProof/>
                <w:webHidden/>
              </w:rPr>
              <w:fldChar w:fldCharType="begin"/>
            </w:r>
            <w:r>
              <w:rPr>
                <w:noProof/>
                <w:webHidden/>
              </w:rPr>
              <w:instrText xml:space="preserve"> PAGEREF _Toc215925444 \h </w:instrText>
            </w:r>
            <w:r>
              <w:rPr>
                <w:noProof/>
                <w:webHidden/>
              </w:rPr>
            </w:r>
            <w:r>
              <w:rPr>
                <w:noProof/>
                <w:webHidden/>
              </w:rPr>
              <w:fldChar w:fldCharType="separate"/>
            </w:r>
            <w:r>
              <w:rPr>
                <w:noProof/>
                <w:webHidden/>
              </w:rPr>
              <w:t>4</w:t>
            </w:r>
            <w:r>
              <w:rPr>
                <w:noProof/>
                <w:webHidden/>
              </w:rPr>
              <w:fldChar w:fldCharType="end"/>
            </w:r>
          </w:hyperlink>
        </w:p>
        <w:p w14:paraId="0D9D6C5A" w14:textId="1CA483CE" w:rsidR="001C3A25" w:rsidRDefault="001C3A25">
          <w:pPr>
            <w:pStyle w:val="TOC3"/>
            <w:tabs>
              <w:tab w:val="right" w:leader="dot" w:pos="9016"/>
            </w:tabs>
            <w:rPr>
              <w:noProof/>
            </w:rPr>
          </w:pPr>
          <w:hyperlink w:anchor="_Toc215925445" w:history="1">
            <w:r w:rsidRPr="00AD5B16">
              <w:rPr>
                <w:rStyle w:val="Hyperlink"/>
                <w:noProof/>
              </w:rPr>
              <w:t>1.1.3 Current performance of IKEA in the global sustainable home furniture market</w:t>
            </w:r>
            <w:r>
              <w:rPr>
                <w:noProof/>
                <w:webHidden/>
              </w:rPr>
              <w:tab/>
            </w:r>
            <w:r>
              <w:rPr>
                <w:noProof/>
                <w:webHidden/>
              </w:rPr>
              <w:fldChar w:fldCharType="begin"/>
            </w:r>
            <w:r>
              <w:rPr>
                <w:noProof/>
                <w:webHidden/>
              </w:rPr>
              <w:instrText xml:space="preserve"> PAGEREF _Toc215925445 \h </w:instrText>
            </w:r>
            <w:r>
              <w:rPr>
                <w:noProof/>
                <w:webHidden/>
              </w:rPr>
            </w:r>
            <w:r>
              <w:rPr>
                <w:noProof/>
                <w:webHidden/>
              </w:rPr>
              <w:fldChar w:fldCharType="separate"/>
            </w:r>
            <w:r>
              <w:rPr>
                <w:noProof/>
                <w:webHidden/>
              </w:rPr>
              <w:t>5</w:t>
            </w:r>
            <w:r>
              <w:rPr>
                <w:noProof/>
                <w:webHidden/>
              </w:rPr>
              <w:fldChar w:fldCharType="end"/>
            </w:r>
          </w:hyperlink>
        </w:p>
        <w:p w14:paraId="6B526054" w14:textId="1FBFDC25" w:rsidR="001C3A25" w:rsidRDefault="001C3A25">
          <w:pPr>
            <w:pStyle w:val="TOC2"/>
            <w:tabs>
              <w:tab w:val="right" w:leader="dot" w:pos="9016"/>
            </w:tabs>
            <w:rPr>
              <w:noProof/>
            </w:rPr>
          </w:pPr>
          <w:hyperlink w:anchor="_Toc215925446" w:history="1">
            <w:r w:rsidRPr="00AD5B16">
              <w:rPr>
                <w:rStyle w:val="Hyperlink"/>
                <w:noProof/>
              </w:rPr>
              <w:t>1.2 Purpose of the strategic management report</w:t>
            </w:r>
            <w:r>
              <w:rPr>
                <w:noProof/>
                <w:webHidden/>
              </w:rPr>
              <w:tab/>
            </w:r>
            <w:r>
              <w:rPr>
                <w:noProof/>
                <w:webHidden/>
              </w:rPr>
              <w:fldChar w:fldCharType="begin"/>
            </w:r>
            <w:r>
              <w:rPr>
                <w:noProof/>
                <w:webHidden/>
              </w:rPr>
              <w:instrText xml:space="preserve"> PAGEREF _Toc215925446 \h </w:instrText>
            </w:r>
            <w:r>
              <w:rPr>
                <w:noProof/>
                <w:webHidden/>
              </w:rPr>
            </w:r>
            <w:r>
              <w:rPr>
                <w:noProof/>
                <w:webHidden/>
              </w:rPr>
              <w:fldChar w:fldCharType="separate"/>
            </w:r>
            <w:r>
              <w:rPr>
                <w:noProof/>
                <w:webHidden/>
              </w:rPr>
              <w:t>5</w:t>
            </w:r>
            <w:r>
              <w:rPr>
                <w:noProof/>
                <w:webHidden/>
              </w:rPr>
              <w:fldChar w:fldCharType="end"/>
            </w:r>
          </w:hyperlink>
        </w:p>
        <w:p w14:paraId="52467A17" w14:textId="5CEC0CDA" w:rsidR="001C3A25" w:rsidRDefault="001C3A25">
          <w:pPr>
            <w:pStyle w:val="TOC2"/>
            <w:tabs>
              <w:tab w:val="right" w:leader="dot" w:pos="9016"/>
            </w:tabs>
            <w:rPr>
              <w:noProof/>
            </w:rPr>
          </w:pPr>
          <w:hyperlink w:anchor="_Toc215925447" w:history="1">
            <w:r w:rsidRPr="00AD5B16">
              <w:rPr>
                <w:rStyle w:val="Hyperlink"/>
                <w:noProof/>
              </w:rPr>
              <w:t>1.3 Structure of the report</w:t>
            </w:r>
            <w:r>
              <w:rPr>
                <w:noProof/>
                <w:webHidden/>
              </w:rPr>
              <w:tab/>
            </w:r>
            <w:r>
              <w:rPr>
                <w:noProof/>
                <w:webHidden/>
              </w:rPr>
              <w:fldChar w:fldCharType="begin"/>
            </w:r>
            <w:r>
              <w:rPr>
                <w:noProof/>
                <w:webHidden/>
              </w:rPr>
              <w:instrText xml:space="preserve"> PAGEREF _Toc215925447 \h </w:instrText>
            </w:r>
            <w:r>
              <w:rPr>
                <w:noProof/>
                <w:webHidden/>
              </w:rPr>
            </w:r>
            <w:r>
              <w:rPr>
                <w:noProof/>
                <w:webHidden/>
              </w:rPr>
              <w:fldChar w:fldCharType="separate"/>
            </w:r>
            <w:r>
              <w:rPr>
                <w:noProof/>
                <w:webHidden/>
              </w:rPr>
              <w:t>6</w:t>
            </w:r>
            <w:r>
              <w:rPr>
                <w:noProof/>
                <w:webHidden/>
              </w:rPr>
              <w:fldChar w:fldCharType="end"/>
            </w:r>
          </w:hyperlink>
        </w:p>
        <w:p w14:paraId="74C69CB1" w14:textId="6D5B4759" w:rsidR="001C3A25" w:rsidRDefault="001C3A25">
          <w:pPr>
            <w:pStyle w:val="TOC1"/>
            <w:tabs>
              <w:tab w:val="right" w:leader="dot" w:pos="9016"/>
            </w:tabs>
            <w:rPr>
              <w:noProof/>
            </w:rPr>
          </w:pPr>
          <w:hyperlink w:anchor="_Toc215925448" w:history="1">
            <w:r w:rsidRPr="00AD5B16">
              <w:rPr>
                <w:rStyle w:val="Hyperlink"/>
                <w:noProof/>
              </w:rPr>
              <w:t>2.0 Selection of Organisation and Target Market</w:t>
            </w:r>
            <w:r>
              <w:rPr>
                <w:noProof/>
                <w:webHidden/>
              </w:rPr>
              <w:tab/>
            </w:r>
            <w:r>
              <w:rPr>
                <w:noProof/>
                <w:webHidden/>
              </w:rPr>
              <w:fldChar w:fldCharType="begin"/>
            </w:r>
            <w:r>
              <w:rPr>
                <w:noProof/>
                <w:webHidden/>
              </w:rPr>
              <w:instrText xml:space="preserve"> PAGEREF _Toc215925448 \h </w:instrText>
            </w:r>
            <w:r>
              <w:rPr>
                <w:noProof/>
                <w:webHidden/>
              </w:rPr>
            </w:r>
            <w:r>
              <w:rPr>
                <w:noProof/>
                <w:webHidden/>
              </w:rPr>
              <w:fldChar w:fldCharType="separate"/>
            </w:r>
            <w:r>
              <w:rPr>
                <w:noProof/>
                <w:webHidden/>
              </w:rPr>
              <w:t>6</w:t>
            </w:r>
            <w:r>
              <w:rPr>
                <w:noProof/>
                <w:webHidden/>
              </w:rPr>
              <w:fldChar w:fldCharType="end"/>
            </w:r>
          </w:hyperlink>
        </w:p>
        <w:p w14:paraId="0276386D" w14:textId="15139BF3" w:rsidR="001C3A25" w:rsidRDefault="001C3A25">
          <w:pPr>
            <w:pStyle w:val="TOC2"/>
            <w:tabs>
              <w:tab w:val="right" w:leader="dot" w:pos="9016"/>
            </w:tabs>
            <w:rPr>
              <w:noProof/>
            </w:rPr>
          </w:pPr>
          <w:hyperlink w:anchor="_Toc215925449" w:history="1">
            <w:r w:rsidRPr="00AD5B16">
              <w:rPr>
                <w:rStyle w:val="Hyperlink"/>
                <w:noProof/>
              </w:rPr>
              <w:t>2.1 Justification for choosing IKEA as the case organisation in the strategic management report</w:t>
            </w:r>
            <w:r>
              <w:rPr>
                <w:noProof/>
                <w:webHidden/>
              </w:rPr>
              <w:tab/>
            </w:r>
            <w:r>
              <w:rPr>
                <w:noProof/>
                <w:webHidden/>
              </w:rPr>
              <w:fldChar w:fldCharType="begin"/>
            </w:r>
            <w:r>
              <w:rPr>
                <w:noProof/>
                <w:webHidden/>
              </w:rPr>
              <w:instrText xml:space="preserve"> PAGEREF _Toc215925449 \h </w:instrText>
            </w:r>
            <w:r>
              <w:rPr>
                <w:noProof/>
                <w:webHidden/>
              </w:rPr>
            </w:r>
            <w:r>
              <w:rPr>
                <w:noProof/>
                <w:webHidden/>
              </w:rPr>
              <w:fldChar w:fldCharType="separate"/>
            </w:r>
            <w:r>
              <w:rPr>
                <w:noProof/>
                <w:webHidden/>
              </w:rPr>
              <w:t>6</w:t>
            </w:r>
            <w:r>
              <w:rPr>
                <w:noProof/>
                <w:webHidden/>
              </w:rPr>
              <w:fldChar w:fldCharType="end"/>
            </w:r>
          </w:hyperlink>
        </w:p>
        <w:p w14:paraId="0C5F6679" w14:textId="750E2CA6" w:rsidR="001C3A25" w:rsidRDefault="001C3A25">
          <w:pPr>
            <w:pStyle w:val="TOC3"/>
            <w:tabs>
              <w:tab w:val="right" w:leader="dot" w:pos="9016"/>
            </w:tabs>
            <w:rPr>
              <w:noProof/>
            </w:rPr>
          </w:pPr>
          <w:hyperlink w:anchor="_Toc215925450" w:history="1">
            <w:r w:rsidRPr="00AD5B16">
              <w:rPr>
                <w:rStyle w:val="Hyperlink"/>
                <w:noProof/>
              </w:rPr>
              <w:t>2.2.1 Core competencies and financial capacity of IKEA</w:t>
            </w:r>
            <w:r>
              <w:rPr>
                <w:noProof/>
                <w:webHidden/>
              </w:rPr>
              <w:tab/>
            </w:r>
            <w:r>
              <w:rPr>
                <w:noProof/>
                <w:webHidden/>
              </w:rPr>
              <w:fldChar w:fldCharType="begin"/>
            </w:r>
            <w:r>
              <w:rPr>
                <w:noProof/>
                <w:webHidden/>
              </w:rPr>
              <w:instrText xml:space="preserve"> PAGEREF _Toc215925450 \h </w:instrText>
            </w:r>
            <w:r>
              <w:rPr>
                <w:noProof/>
                <w:webHidden/>
              </w:rPr>
            </w:r>
            <w:r>
              <w:rPr>
                <w:noProof/>
                <w:webHidden/>
              </w:rPr>
              <w:fldChar w:fldCharType="separate"/>
            </w:r>
            <w:r>
              <w:rPr>
                <w:noProof/>
                <w:webHidden/>
              </w:rPr>
              <w:t>6</w:t>
            </w:r>
            <w:r>
              <w:rPr>
                <w:noProof/>
                <w:webHidden/>
              </w:rPr>
              <w:fldChar w:fldCharType="end"/>
            </w:r>
          </w:hyperlink>
        </w:p>
        <w:p w14:paraId="42EADE44" w14:textId="46DC7A49" w:rsidR="001C3A25" w:rsidRDefault="001C3A25">
          <w:pPr>
            <w:pStyle w:val="TOC3"/>
            <w:tabs>
              <w:tab w:val="right" w:leader="dot" w:pos="9016"/>
            </w:tabs>
            <w:rPr>
              <w:noProof/>
            </w:rPr>
          </w:pPr>
          <w:hyperlink w:anchor="_Toc215925451" w:history="1">
            <w:r w:rsidRPr="00AD5B16">
              <w:rPr>
                <w:rStyle w:val="Hyperlink"/>
                <w:noProof/>
              </w:rPr>
              <w:t>2.2.2 IKEA’s commitment to sustainability</w:t>
            </w:r>
            <w:r>
              <w:rPr>
                <w:noProof/>
                <w:webHidden/>
              </w:rPr>
              <w:tab/>
            </w:r>
            <w:r>
              <w:rPr>
                <w:noProof/>
                <w:webHidden/>
              </w:rPr>
              <w:fldChar w:fldCharType="begin"/>
            </w:r>
            <w:r>
              <w:rPr>
                <w:noProof/>
                <w:webHidden/>
              </w:rPr>
              <w:instrText xml:space="preserve"> PAGEREF _Toc215925451 \h </w:instrText>
            </w:r>
            <w:r>
              <w:rPr>
                <w:noProof/>
                <w:webHidden/>
              </w:rPr>
            </w:r>
            <w:r>
              <w:rPr>
                <w:noProof/>
                <w:webHidden/>
              </w:rPr>
              <w:fldChar w:fldCharType="separate"/>
            </w:r>
            <w:r>
              <w:rPr>
                <w:noProof/>
                <w:webHidden/>
              </w:rPr>
              <w:t>6</w:t>
            </w:r>
            <w:r>
              <w:rPr>
                <w:noProof/>
                <w:webHidden/>
              </w:rPr>
              <w:fldChar w:fldCharType="end"/>
            </w:r>
          </w:hyperlink>
        </w:p>
        <w:p w14:paraId="475DAAEA" w14:textId="69AC69CF" w:rsidR="001C3A25" w:rsidRDefault="001C3A25">
          <w:pPr>
            <w:pStyle w:val="TOC3"/>
            <w:tabs>
              <w:tab w:val="right" w:leader="dot" w:pos="9016"/>
            </w:tabs>
            <w:rPr>
              <w:noProof/>
            </w:rPr>
          </w:pPr>
          <w:hyperlink w:anchor="_Toc215925452" w:history="1">
            <w:r w:rsidRPr="00AD5B16">
              <w:rPr>
                <w:rStyle w:val="Hyperlink"/>
                <w:noProof/>
              </w:rPr>
              <w:t>2.2.3 Current sustainability and regulatory problems experienced at IKEA: Fish Bone Analysis</w:t>
            </w:r>
            <w:r>
              <w:rPr>
                <w:noProof/>
                <w:webHidden/>
              </w:rPr>
              <w:tab/>
            </w:r>
            <w:r>
              <w:rPr>
                <w:noProof/>
                <w:webHidden/>
              </w:rPr>
              <w:fldChar w:fldCharType="begin"/>
            </w:r>
            <w:r>
              <w:rPr>
                <w:noProof/>
                <w:webHidden/>
              </w:rPr>
              <w:instrText xml:space="preserve"> PAGEREF _Toc215925452 \h </w:instrText>
            </w:r>
            <w:r>
              <w:rPr>
                <w:noProof/>
                <w:webHidden/>
              </w:rPr>
            </w:r>
            <w:r>
              <w:rPr>
                <w:noProof/>
                <w:webHidden/>
              </w:rPr>
              <w:fldChar w:fldCharType="separate"/>
            </w:r>
            <w:r>
              <w:rPr>
                <w:noProof/>
                <w:webHidden/>
              </w:rPr>
              <w:t>7</w:t>
            </w:r>
            <w:r>
              <w:rPr>
                <w:noProof/>
                <w:webHidden/>
              </w:rPr>
              <w:fldChar w:fldCharType="end"/>
            </w:r>
          </w:hyperlink>
        </w:p>
        <w:p w14:paraId="6F72A3DA" w14:textId="17631524" w:rsidR="001C3A25" w:rsidRDefault="001C3A25">
          <w:pPr>
            <w:pStyle w:val="TOC2"/>
            <w:tabs>
              <w:tab w:val="right" w:leader="dot" w:pos="9016"/>
            </w:tabs>
            <w:rPr>
              <w:noProof/>
            </w:rPr>
          </w:pPr>
          <w:hyperlink w:anchor="_Toc215925453" w:history="1">
            <w:r w:rsidRPr="00AD5B16">
              <w:rPr>
                <w:rStyle w:val="Hyperlink"/>
                <w:noProof/>
              </w:rPr>
              <w:t>2.2 Proposing a foreign target market for internationalising IKEA</w:t>
            </w:r>
            <w:r>
              <w:rPr>
                <w:noProof/>
                <w:webHidden/>
              </w:rPr>
              <w:tab/>
            </w:r>
            <w:r>
              <w:rPr>
                <w:noProof/>
                <w:webHidden/>
              </w:rPr>
              <w:fldChar w:fldCharType="begin"/>
            </w:r>
            <w:r>
              <w:rPr>
                <w:noProof/>
                <w:webHidden/>
              </w:rPr>
              <w:instrText xml:space="preserve"> PAGEREF _Toc215925453 \h </w:instrText>
            </w:r>
            <w:r>
              <w:rPr>
                <w:noProof/>
                <w:webHidden/>
              </w:rPr>
            </w:r>
            <w:r>
              <w:rPr>
                <w:noProof/>
                <w:webHidden/>
              </w:rPr>
              <w:fldChar w:fldCharType="separate"/>
            </w:r>
            <w:r>
              <w:rPr>
                <w:noProof/>
                <w:webHidden/>
              </w:rPr>
              <w:t>8</w:t>
            </w:r>
            <w:r>
              <w:rPr>
                <w:noProof/>
                <w:webHidden/>
              </w:rPr>
              <w:fldChar w:fldCharType="end"/>
            </w:r>
          </w:hyperlink>
        </w:p>
        <w:p w14:paraId="1C04E207" w14:textId="51CA4924" w:rsidR="001C3A25" w:rsidRDefault="001C3A25">
          <w:pPr>
            <w:pStyle w:val="TOC3"/>
            <w:tabs>
              <w:tab w:val="right" w:leader="dot" w:pos="9016"/>
            </w:tabs>
            <w:rPr>
              <w:noProof/>
            </w:rPr>
          </w:pPr>
          <w:hyperlink w:anchor="_Toc215925454" w:history="1">
            <w:r w:rsidRPr="00AD5B16">
              <w:rPr>
                <w:rStyle w:val="Hyperlink"/>
                <w:noProof/>
              </w:rPr>
              <w:t>2.2.1 Market Attractiveness of South Africa</w:t>
            </w:r>
            <w:r>
              <w:rPr>
                <w:noProof/>
                <w:webHidden/>
              </w:rPr>
              <w:tab/>
            </w:r>
            <w:r>
              <w:rPr>
                <w:noProof/>
                <w:webHidden/>
              </w:rPr>
              <w:fldChar w:fldCharType="begin"/>
            </w:r>
            <w:r>
              <w:rPr>
                <w:noProof/>
                <w:webHidden/>
              </w:rPr>
              <w:instrText xml:space="preserve"> PAGEREF _Toc215925454 \h </w:instrText>
            </w:r>
            <w:r>
              <w:rPr>
                <w:noProof/>
                <w:webHidden/>
              </w:rPr>
            </w:r>
            <w:r>
              <w:rPr>
                <w:noProof/>
                <w:webHidden/>
              </w:rPr>
              <w:fldChar w:fldCharType="separate"/>
            </w:r>
            <w:r>
              <w:rPr>
                <w:noProof/>
                <w:webHidden/>
              </w:rPr>
              <w:t>8</w:t>
            </w:r>
            <w:r>
              <w:rPr>
                <w:noProof/>
                <w:webHidden/>
              </w:rPr>
              <w:fldChar w:fldCharType="end"/>
            </w:r>
          </w:hyperlink>
        </w:p>
        <w:p w14:paraId="025FD587" w14:textId="2DA5B592" w:rsidR="001C3A25" w:rsidRDefault="001C3A25">
          <w:pPr>
            <w:pStyle w:val="TOC3"/>
            <w:tabs>
              <w:tab w:val="right" w:leader="dot" w:pos="9016"/>
            </w:tabs>
            <w:rPr>
              <w:noProof/>
            </w:rPr>
          </w:pPr>
          <w:hyperlink w:anchor="_Toc215925455" w:history="1">
            <w:r w:rsidRPr="00AD5B16">
              <w:rPr>
                <w:rStyle w:val="Hyperlink"/>
                <w:noProof/>
              </w:rPr>
              <w:t>2.2.2 Justifying the selection of the target market and its alignment with strategic intent of IKEA</w:t>
            </w:r>
            <w:r>
              <w:rPr>
                <w:noProof/>
                <w:webHidden/>
              </w:rPr>
              <w:tab/>
            </w:r>
            <w:r>
              <w:rPr>
                <w:noProof/>
                <w:webHidden/>
              </w:rPr>
              <w:fldChar w:fldCharType="begin"/>
            </w:r>
            <w:r>
              <w:rPr>
                <w:noProof/>
                <w:webHidden/>
              </w:rPr>
              <w:instrText xml:space="preserve"> PAGEREF _Toc215925455 \h </w:instrText>
            </w:r>
            <w:r>
              <w:rPr>
                <w:noProof/>
                <w:webHidden/>
              </w:rPr>
            </w:r>
            <w:r>
              <w:rPr>
                <w:noProof/>
                <w:webHidden/>
              </w:rPr>
              <w:fldChar w:fldCharType="separate"/>
            </w:r>
            <w:r>
              <w:rPr>
                <w:noProof/>
                <w:webHidden/>
              </w:rPr>
              <w:t>8</w:t>
            </w:r>
            <w:r>
              <w:rPr>
                <w:noProof/>
                <w:webHidden/>
              </w:rPr>
              <w:fldChar w:fldCharType="end"/>
            </w:r>
          </w:hyperlink>
        </w:p>
        <w:p w14:paraId="318F4B40" w14:textId="530B079D" w:rsidR="001C3A25" w:rsidRDefault="001C3A25">
          <w:pPr>
            <w:pStyle w:val="TOC1"/>
            <w:tabs>
              <w:tab w:val="right" w:leader="dot" w:pos="9016"/>
            </w:tabs>
            <w:rPr>
              <w:noProof/>
            </w:rPr>
          </w:pPr>
          <w:hyperlink w:anchor="_Toc215925456" w:history="1">
            <w:r w:rsidRPr="00AD5B16">
              <w:rPr>
                <w:rStyle w:val="Hyperlink"/>
                <w:noProof/>
              </w:rPr>
              <w:t>3.0 Comprehensive Strategic Analysis</w:t>
            </w:r>
            <w:r>
              <w:rPr>
                <w:noProof/>
                <w:webHidden/>
              </w:rPr>
              <w:tab/>
            </w:r>
            <w:r>
              <w:rPr>
                <w:noProof/>
                <w:webHidden/>
              </w:rPr>
              <w:fldChar w:fldCharType="begin"/>
            </w:r>
            <w:r>
              <w:rPr>
                <w:noProof/>
                <w:webHidden/>
              </w:rPr>
              <w:instrText xml:space="preserve"> PAGEREF _Toc215925456 \h </w:instrText>
            </w:r>
            <w:r>
              <w:rPr>
                <w:noProof/>
                <w:webHidden/>
              </w:rPr>
            </w:r>
            <w:r>
              <w:rPr>
                <w:noProof/>
                <w:webHidden/>
              </w:rPr>
              <w:fldChar w:fldCharType="separate"/>
            </w:r>
            <w:r>
              <w:rPr>
                <w:noProof/>
                <w:webHidden/>
              </w:rPr>
              <w:t>9</w:t>
            </w:r>
            <w:r>
              <w:rPr>
                <w:noProof/>
                <w:webHidden/>
              </w:rPr>
              <w:fldChar w:fldCharType="end"/>
            </w:r>
          </w:hyperlink>
        </w:p>
        <w:p w14:paraId="61469A5C" w14:textId="6F9B14FB" w:rsidR="001C3A25" w:rsidRDefault="001C3A25">
          <w:pPr>
            <w:pStyle w:val="TOC2"/>
            <w:tabs>
              <w:tab w:val="right" w:leader="dot" w:pos="9016"/>
            </w:tabs>
            <w:rPr>
              <w:noProof/>
            </w:rPr>
          </w:pPr>
          <w:hyperlink w:anchor="_Toc215925457" w:history="1">
            <w:r w:rsidRPr="00AD5B16">
              <w:rPr>
                <w:rStyle w:val="Hyperlink"/>
                <w:noProof/>
              </w:rPr>
              <w:t>3.1 Macroenvironmental analysis of the South African Furniture market: PESTLE</w:t>
            </w:r>
            <w:r>
              <w:rPr>
                <w:noProof/>
                <w:webHidden/>
              </w:rPr>
              <w:tab/>
            </w:r>
            <w:r>
              <w:rPr>
                <w:noProof/>
                <w:webHidden/>
              </w:rPr>
              <w:fldChar w:fldCharType="begin"/>
            </w:r>
            <w:r>
              <w:rPr>
                <w:noProof/>
                <w:webHidden/>
              </w:rPr>
              <w:instrText xml:space="preserve"> PAGEREF _Toc215925457 \h </w:instrText>
            </w:r>
            <w:r>
              <w:rPr>
                <w:noProof/>
                <w:webHidden/>
              </w:rPr>
            </w:r>
            <w:r>
              <w:rPr>
                <w:noProof/>
                <w:webHidden/>
              </w:rPr>
              <w:fldChar w:fldCharType="separate"/>
            </w:r>
            <w:r>
              <w:rPr>
                <w:noProof/>
                <w:webHidden/>
              </w:rPr>
              <w:t>9</w:t>
            </w:r>
            <w:r>
              <w:rPr>
                <w:noProof/>
                <w:webHidden/>
              </w:rPr>
              <w:fldChar w:fldCharType="end"/>
            </w:r>
          </w:hyperlink>
        </w:p>
        <w:p w14:paraId="6C9CB088" w14:textId="0B1F7B9C" w:rsidR="001C3A25" w:rsidRDefault="001C3A25">
          <w:pPr>
            <w:pStyle w:val="TOC2"/>
            <w:tabs>
              <w:tab w:val="right" w:leader="dot" w:pos="9016"/>
            </w:tabs>
            <w:rPr>
              <w:noProof/>
            </w:rPr>
          </w:pPr>
          <w:hyperlink w:anchor="_Toc215925458" w:history="1">
            <w:r w:rsidRPr="00AD5B16">
              <w:rPr>
                <w:rStyle w:val="Hyperlink"/>
                <w:noProof/>
              </w:rPr>
              <w:t>3.2 Industry-driven Competitive Analysis of IKEA in South Africa: Porter’s Five Forces</w:t>
            </w:r>
            <w:r>
              <w:rPr>
                <w:noProof/>
                <w:webHidden/>
              </w:rPr>
              <w:tab/>
            </w:r>
            <w:r>
              <w:rPr>
                <w:noProof/>
                <w:webHidden/>
              </w:rPr>
              <w:fldChar w:fldCharType="begin"/>
            </w:r>
            <w:r>
              <w:rPr>
                <w:noProof/>
                <w:webHidden/>
              </w:rPr>
              <w:instrText xml:space="preserve"> PAGEREF _Toc215925458 \h </w:instrText>
            </w:r>
            <w:r>
              <w:rPr>
                <w:noProof/>
                <w:webHidden/>
              </w:rPr>
            </w:r>
            <w:r>
              <w:rPr>
                <w:noProof/>
                <w:webHidden/>
              </w:rPr>
              <w:fldChar w:fldCharType="separate"/>
            </w:r>
            <w:r>
              <w:rPr>
                <w:noProof/>
                <w:webHidden/>
              </w:rPr>
              <w:t>13</w:t>
            </w:r>
            <w:r>
              <w:rPr>
                <w:noProof/>
                <w:webHidden/>
              </w:rPr>
              <w:fldChar w:fldCharType="end"/>
            </w:r>
          </w:hyperlink>
        </w:p>
        <w:p w14:paraId="522D4DF0" w14:textId="0F170CB7" w:rsidR="001C3A25" w:rsidRDefault="001C3A25">
          <w:pPr>
            <w:pStyle w:val="TOC2"/>
            <w:tabs>
              <w:tab w:val="right" w:leader="dot" w:pos="9016"/>
            </w:tabs>
            <w:rPr>
              <w:noProof/>
            </w:rPr>
          </w:pPr>
          <w:hyperlink w:anchor="_Toc215925459" w:history="1">
            <w:r w:rsidRPr="00AD5B16">
              <w:rPr>
                <w:rStyle w:val="Hyperlink"/>
                <w:noProof/>
              </w:rPr>
              <w:t>3.3 Internal environmental analysis of IKEA</w:t>
            </w:r>
            <w:r>
              <w:rPr>
                <w:noProof/>
                <w:webHidden/>
              </w:rPr>
              <w:tab/>
            </w:r>
            <w:r>
              <w:rPr>
                <w:noProof/>
                <w:webHidden/>
              </w:rPr>
              <w:fldChar w:fldCharType="begin"/>
            </w:r>
            <w:r>
              <w:rPr>
                <w:noProof/>
                <w:webHidden/>
              </w:rPr>
              <w:instrText xml:space="preserve"> PAGEREF _Toc215925459 \h </w:instrText>
            </w:r>
            <w:r>
              <w:rPr>
                <w:noProof/>
                <w:webHidden/>
              </w:rPr>
            </w:r>
            <w:r>
              <w:rPr>
                <w:noProof/>
                <w:webHidden/>
              </w:rPr>
              <w:fldChar w:fldCharType="separate"/>
            </w:r>
            <w:r>
              <w:rPr>
                <w:noProof/>
                <w:webHidden/>
              </w:rPr>
              <w:t>15</w:t>
            </w:r>
            <w:r>
              <w:rPr>
                <w:noProof/>
                <w:webHidden/>
              </w:rPr>
              <w:fldChar w:fldCharType="end"/>
            </w:r>
          </w:hyperlink>
        </w:p>
        <w:p w14:paraId="2F13C5D5" w14:textId="3F198EC1" w:rsidR="001C3A25" w:rsidRDefault="001C3A25">
          <w:pPr>
            <w:pStyle w:val="TOC3"/>
            <w:tabs>
              <w:tab w:val="right" w:leader="dot" w:pos="9016"/>
            </w:tabs>
            <w:rPr>
              <w:noProof/>
            </w:rPr>
          </w:pPr>
          <w:hyperlink w:anchor="_Toc215925460" w:history="1">
            <w:r w:rsidRPr="00AD5B16">
              <w:rPr>
                <w:rStyle w:val="Hyperlink"/>
                <w:noProof/>
              </w:rPr>
              <w:t>3.3.1 Porter’s Value Chain Strategies</w:t>
            </w:r>
            <w:r>
              <w:rPr>
                <w:noProof/>
                <w:webHidden/>
              </w:rPr>
              <w:tab/>
            </w:r>
            <w:r>
              <w:rPr>
                <w:noProof/>
                <w:webHidden/>
              </w:rPr>
              <w:fldChar w:fldCharType="begin"/>
            </w:r>
            <w:r>
              <w:rPr>
                <w:noProof/>
                <w:webHidden/>
              </w:rPr>
              <w:instrText xml:space="preserve"> PAGEREF _Toc215925460 \h </w:instrText>
            </w:r>
            <w:r>
              <w:rPr>
                <w:noProof/>
                <w:webHidden/>
              </w:rPr>
            </w:r>
            <w:r>
              <w:rPr>
                <w:noProof/>
                <w:webHidden/>
              </w:rPr>
              <w:fldChar w:fldCharType="separate"/>
            </w:r>
            <w:r>
              <w:rPr>
                <w:noProof/>
                <w:webHidden/>
              </w:rPr>
              <w:t>15</w:t>
            </w:r>
            <w:r>
              <w:rPr>
                <w:noProof/>
                <w:webHidden/>
              </w:rPr>
              <w:fldChar w:fldCharType="end"/>
            </w:r>
          </w:hyperlink>
        </w:p>
        <w:p w14:paraId="24994776" w14:textId="0512C462" w:rsidR="001C3A25" w:rsidRDefault="001C3A25">
          <w:pPr>
            <w:pStyle w:val="TOC3"/>
            <w:tabs>
              <w:tab w:val="right" w:leader="dot" w:pos="9016"/>
            </w:tabs>
            <w:rPr>
              <w:noProof/>
            </w:rPr>
          </w:pPr>
          <w:hyperlink w:anchor="_Toc215925461" w:history="1">
            <w:r w:rsidRPr="00AD5B16">
              <w:rPr>
                <w:rStyle w:val="Hyperlink"/>
                <w:noProof/>
              </w:rPr>
              <w:t>3.3.2 Assessing how the core competencies of IKEA contributing to its sustainable competitive advantage: VRIO</w:t>
            </w:r>
            <w:r>
              <w:rPr>
                <w:noProof/>
                <w:webHidden/>
              </w:rPr>
              <w:tab/>
            </w:r>
            <w:r>
              <w:rPr>
                <w:noProof/>
                <w:webHidden/>
              </w:rPr>
              <w:fldChar w:fldCharType="begin"/>
            </w:r>
            <w:r>
              <w:rPr>
                <w:noProof/>
                <w:webHidden/>
              </w:rPr>
              <w:instrText xml:space="preserve"> PAGEREF _Toc215925461 \h </w:instrText>
            </w:r>
            <w:r>
              <w:rPr>
                <w:noProof/>
                <w:webHidden/>
              </w:rPr>
            </w:r>
            <w:r>
              <w:rPr>
                <w:noProof/>
                <w:webHidden/>
              </w:rPr>
              <w:fldChar w:fldCharType="separate"/>
            </w:r>
            <w:r>
              <w:rPr>
                <w:noProof/>
                <w:webHidden/>
              </w:rPr>
              <w:t>16</w:t>
            </w:r>
            <w:r>
              <w:rPr>
                <w:noProof/>
                <w:webHidden/>
              </w:rPr>
              <w:fldChar w:fldCharType="end"/>
            </w:r>
          </w:hyperlink>
        </w:p>
        <w:p w14:paraId="27572D7F" w14:textId="1780A7CD" w:rsidR="001C3A25" w:rsidRDefault="001C3A25">
          <w:pPr>
            <w:pStyle w:val="TOC2"/>
            <w:tabs>
              <w:tab w:val="right" w:leader="dot" w:pos="9016"/>
            </w:tabs>
            <w:rPr>
              <w:noProof/>
            </w:rPr>
          </w:pPr>
          <w:hyperlink w:anchor="_Toc215925462" w:history="1">
            <w:r w:rsidRPr="00AD5B16">
              <w:rPr>
                <w:rStyle w:val="Hyperlink"/>
                <w:noProof/>
              </w:rPr>
              <w:t>3.4 Critical Analysis on the limitations and effectiveness of analytical tools used above</w:t>
            </w:r>
            <w:r>
              <w:rPr>
                <w:noProof/>
                <w:webHidden/>
              </w:rPr>
              <w:tab/>
            </w:r>
            <w:r>
              <w:rPr>
                <w:noProof/>
                <w:webHidden/>
              </w:rPr>
              <w:fldChar w:fldCharType="begin"/>
            </w:r>
            <w:r>
              <w:rPr>
                <w:noProof/>
                <w:webHidden/>
              </w:rPr>
              <w:instrText xml:space="preserve"> PAGEREF _Toc215925462 \h </w:instrText>
            </w:r>
            <w:r>
              <w:rPr>
                <w:noProof/>
                <w:webHidden/>
              </w:rPr>
            </w:r>
            <w:r>
              <w:rPr>
                <w:noProof/>
                <w:webHidden/>
              </w:rPr>
              <w:fldChar w:fldCharType="separate"/>
            </w:r>
            <w:r>
              <w:rPr>
                <w:noProof/>
                <w:webHidden/>
              </w:rPr>
              <w:t>17</w:t>
            </w:r>
            <w:r>
              <w:rPr>
                <w:noProof/>
                <w:webHidden/>
              </w:rPr>
              <w:fldChar w:fldCharType="end"/>
            </w:r>
          </w:hyperlink>
        </w:p>
        <w:p w14:paraId="56791A62" w14:textId="7751D57A" w:rsidR="001C3A25" w:rsidRDefault="001C3A25">
          <w:pPr>
            <w:pStyle w:val="TOC1"/>
            <w:tabs>
              <w:tab w:val="right" w:leader="dot" w:pos="9016"/>
            </w:tabs>
            <w:rPr>
              <w:noProof/>
            </w:rPr>
          </w:pPr>
          <w:hyperlink w:anchor="_Toc215925463" w:history="1">
            <w:r w:rsidRPr="00AD5B16">
              <w:rPr>
                <w:rStyle w:val="Hyperlink"/>
                <w:noProof/>
              </w:rPr>
              <w:t>4.0 Strategic Development and Formulation</w:t>
            </w:r>
            <w:r>
              <w:rPr>
                <w:noProof/>
                <w:webHidden/>
              </w:rPr>
              <w:tab/>
            </w:r>
            <w:r>
              <w:rPr>
                <w:noProof/>
                <w:webHidden/>
              </w:rPr>
              <w:fldChar w:fldCharType="begin"/>
            </w:r>
            <w:r>
              <w:rPr>
                <w:noProof/>
                <w:webHidden/>
              </w:rPr>
              <w:instrText xml:space="preserve"> PAGEREF _Toc215925463 \h </w:instrText>
            </w:r>
            <w:r>
              <w:rPr>
                <w:noProof/>
                <w:webHidden/>
              </w:rPr>
            </w:r>
            <w:r>
              <w:rPr>
                <w:noProof/>
                <w:webHidden/>
              </w:rPr>
              <w:fldChar w:fldCharType="separate"/>
            </w:r>
            <w:r>
              <w:rPr>
                <w:noProof/>
                <w:webHidden/>
              </w:rPr>
              <w:t>19</w:t>
            </w:r>
            <w:r>
              <w:rPr>
                <w:noProof/>
                <w:webHidden/>
              </w:rPr>
              <w:fldChar w:fldCharType="end"/>
            </w:r>
          </w:hyperlink>
        </w:p>
        <w:p w14:paraId="7EF5F2BF" w14:textId="1CEEDF9B" w:rsidR="001C3A25" w:rsidRDefault="001C3A25">
          <w:pPr>
            <w:pStyle w:val="TOC2"/>
            <w:tabs>
              <w:tab w:val="right" w:leader="dot" w:pos="9016"/>
            </w:tabs>
            <w:rPr>
              <w:noProof/>
            </w:rPr>
          </w:pPr>
          <w:hyperlink w:anchor="_Toc215925464" w:history="1">
            <w:r w:rsidRPr="00AD5B16">
              <w:rPr>
                <w:rStyle w:val="Hyperlink"/>
                <w:noProof/>
              </w:rPr>
              <w:t>4.1 Discussion on Strategic organisation objectives of IKEA</w:t>
            </w:r>
            <w:r>
              <w:rPr>
                <w:noProof/>
                <w:webHidden/>
              </w:rPr>
              <w:tab/>
            </w:r>
            <w:r>
              <w:rPr>
                <w:noProof/>
                <w:webHidden/>
              </w:rPr>
              <w:fldChar w:fldCharType="begin"/>
            </w:r>
            <w:r>
              <w:rPr>
                <w:noProof/>
                <w:webHidden/>
              </w:rPr>
              <w:instrText xml:space="preserve"> PAGEREF _Toc215925464 \h </w:instrText>
            </w:r>
            <w:r>
              <w:rPr>
                <w:noProof/>
                <w:webHidden/>
              </w:rPr>
            </w:r>
            <w:r>
              <w:rPr>
                <w:noProof/>
                <w:webHidden/>
              </w:rPr>
              <w:fldChar w:fldCharType="separate"/>
            </w:r>
            <w:r>
              <w:rPr>
                <w:noProof/>
                <w:webHidden/>
              </w:rPr>
              <w:t>19</w:t>
            </w:r>
            <w:r>
              <w:rPr>
                <w:noProof/>
                <w:webHidden/>
              </w:rPr>
              <w:fldChar w:fldCharType="end"/>
            </w:r>
          </w:hyperlink>
        </w:p>
        <w:p w14:paraId="3C6E7EBA" w14:textId="3F2BC57A" w:rsidR="001C3A25" w:rsidRDefault="001C3A25">
          <w:pPr>
            <w:pStyle w:val="TOC2"/>
            <w:tabs>
              <w:tab w:val="right" w:leader="dot" w:pos="9016"/>
            </w:tabs>
            <w:rPr>
              <w:noProof/>
            </w:rPr>
          </w:pPr>
          <w:hyperlink w:anchor="_Toc215925465" w:history="1">
            <w:r w:rsidRPr="00AD5B16">
              <w:rPr>
                <w:rStyle w:val="Hyperlink"/>
                <w:noProof/>
              </w:rPr>
              <w:t>4.2 Proposing market entry modes for IKEA, aligning with its organisational objectives</w:t>
            </w:r>
            <w:r>
              <w:rPr>
                <w:noProof/>
                <w:webHidden/>
              </w:rPr>
              <w:tab/>
            </w:r>
            <w:r>
              <w:rPr>
                <w:noProof/>
                <w:webHidden/>
              </w:rPr>
              <w:fldChar w:fldCharType="begin"/>
            </w:r>
            <w:r>
              <w:rPr>
                <w:noProof/>
                <w:webHidden/>
              </w:rPr>
              <w:instrText xml:space="preserve"> PAGEREF _Toc215925465 \h </w:instrText>
            </w:r>
            <w:r>
              <w:rPr>
                <w:noProof/>
                <w:webHidden/>
              </w:rPr>
            </w:r>
            <w:r>
              <w:rPr>
                <w:noProof/>
                <w:webHidden/>
              </w:rPr>
              <w:fldChar w:fldCharType="separate"/>
            </w:r>
            <w:r>
              <w:rPr>
                <w:noProof/>
                <w:webHidden/>
              </w:rPr>
              <w:t>19</w:t>
            </w:r>
            <w:r>
              <w:rPr>
                <w:noProof/>
                <w:webHidden/>
              </w:rPr>
              <w:fldChar w:fldCharType="end"/>
            </w:r>
          </w:hyperlink>
        </w:p>
        <w:p w14:paraId="76006A6D" w14:textId="79066005" w:rsidR="001C3A25" w:rsidRDefault="001C3A25">
          <w:pPr>
            <w:pStyle w:val="TOC2"/>
            <w:tabs>
              <w:tab w:val="right" w:leader="dot" w:pos="9016"/>
            </w:tabs>
            <w:rPr>
              <w:noProof/>
            </w:rPr>
          </w:pPr>
          <w:hyperlink w:anchor="_Toc215925466" w:history="1">
            <w:r w:rsidRPr="00AD5B16">
              <w:rPr>
                <w:rStyle w:val="Hyperlink"/>
                <w:noProof/>
              </w:rPr>
              <w:t>4.3 Ansoff Matrix to formulate a market entry strategy for IKEA: Market Development Strategy</w:t>
            </w:r>
            <w:r>
              <w:rPr>
                <w:noProof/>
                <w:webHidden/>
              </w:rPr>
              <w:tab/>
            </w:r>
            <w:r>
              <w:rPr>
                <w:noProof/>
                <w:webHidden/>
              </w:rPr>
              <w:fldChar w:fldCharType="begin"/>
            </w:r>
            <w:r>
              <w:rPr>
                <w:noProof/>
                <w:webHidden/>
              </w:rPr>
              <w:instrText xml:space="preserve"> PAGEREF _Toc215925466 \h </w:instrText>
            </w:r>
            <w:r>
              <w:rPr>
                <w:noProof/>
                <w:webHidden/>
              </w:rPr>
            </w:r>
            <w:r>
              <w:rPr>
                <w:noProof/>
                <w:webHidden/>
              </w:rPr>
              <w:fldChar w:fldCharType="separate"/>
            </w:r>
            <w:r>
              <w:rPr>
                <w:noProof/>
                <w:webHidden/>
              </w:rPr>
              <w:t>20</w:t>
            </w:r>
            <w:r>
              <w:rPr>
                <w:noProof/>
                <w:webHidden/>
              </w:rPr>
              <w:fldChar w:fldCharType="end"/>
            </w:r>
          </w:hyperlink>
        </w:p>
        <w:p w14:paraId="08FFD508" w14:textId="5498CFB3" w:rsidR="001C3A25" w:rsidRDefault="001C3A25">
          <w:pPr>
            <w:pStyle w:val="TOC2"/>
            <w:tabs>
              <w:tab w:val="right" w:leader="dot" w:pos="9016"/>
            </w:tabs>
            <w:rPr>
              <w:noProof/>
            </w:rPr>
          </w:pPr>
          <w:hyperlink w:anchor="_Toc215925467" w:history="1">
            <w:r w:rsidRPr="00AD5B16">
              <w:rPr>
                <w:rStyle w:val="Hyperlink"/>
                <w:noProof/>
              </w:rPr>
              <w:t>4.4 Evaluating how IKEA should establish a competitive advantage in South Africa: Porter’s Diamond Model</w:t>
            </w:r>
            <w:r>
              <w:rPr>
                <w:noProof/>
                <w:webHidden/>
              </w:rPr>
              <w:tab/>
            </w:r>
            <w:r>
              <w:rPr>
                <w:noProof/>
                <w:webHidden/>
              </w:rPr>
              <w:fldChar w:fldCharType="begin"/>
            </w:r>
            <w:r>
              <w:rPr>
                <w:noProof/>
                <w:webHidden/>
              </w:rPr>
              <w:instrText xml:space="preserve"> PAGEREF _Toc215925467 \h </w:instrText>
            </w:r>
            <w:r>
              <w:rPr>
                <w:noProof/>
                <w:webHidden/>
              </w:rPr>
            </w:r>
            <w:r>
              <w:rPr>
                <w:noProof/>
                <w:webHidden/>
              </w:rPr>
              <w:fldChar w:fldCharType="separate"/>
            </w:r>
            <w:r>
              <w:rPr>
                <w:noProof/>
                <w:webHidden/>
              </w:rPr>
              <w:t>21</w:t>
            </w:r>
            <w:r>
              <w:rPr>
                <w:noProof/>
                <w:webHidden/>
              </w:rPr>
              <w:fldChar w:fldCharType="end"/>
            </w:r>
          </w:hyperlink>
        </w:p>
        <w:p w14:paraId="599C4A14" w14:textId="086ECA86" w:rsidR="001C3A25" w:rsidRDefault="001C3A25">
          <w:pPr>
            <w:pStyle w:val="TOC2"/>
            <w:tabs>
              <w:tab w:val="right" w:leader="dot" w:pos="9016"/>
            </w:tabs>
            <w:rPr>
              <w:noProof/>
            </w:rPr>
          </w:pPr>
          <w:hyperlink w:anchor="_Toc215925468" w:history="1">
            <w:r w:rsidRPr="00AD5B16">
              <w:rPr>
                <w:rStyle w:val="Hyperlink"/>
                <w:noProof/>
              </w:rPr>
              <w:t>4.5 Risk Mitigation Strategy aligned with CSR initiatives</w:t>
            </w:r>
            <w:r>
              <w:rPr>
                <w:noProof/>
                <w:webHidden/>
              </w:rPr>
              <w:tab/>
            </w:r>
            <w:r>
              <w:rPr>
                <w:noProof/>
                <w:webHidden/>
              </w:rPr>
              <w:fldChar w:fldCharType="begin"/>
            </w:r>
            <w:r>
              <w:rPr>
                <w:noProof/>
                <w:webHidden/>
              </w:rPr>
              <w:instrText xml:space="preserve"> PAGEREF _Toc215925468 \h </w:instrText>
            </w:r>
            <w:r>
              <w:rPr>
                <w:noProof/>
                <w:webHidden/>
              </w:rPr>
            </w:r>
            <w:r>
              <w:rPr>
                <w:noProof/>
                <w:webHidden/>
              </w:rPr>
              <w:fldChar w:fldCharType="separate"/>
            </w:r>
            <w:r>
              <w:rPr>
                <w:noProof/>
                <w:webHidden/>
              </w:rPr>
              <w:t>23</w:t>
            </w:r>
            <w:r>
              <w:rPr>
                <w:noProof/>
                <w:webHidden/>
              </w:rPr>
              <w:fldChar w:fldCharType="end"/>
            </w:r>
          </w:hyperlink>
        </w:p>
        <w:p w14:paraId="5BD2C79E" w14:textId="755F5FF7" w:rsidR="001C3A25" w:rsidRDefault="001C3A25">
          <w:pPr>
            <w:pStyle w:val="TOC2"/>
            <w:tabs>
              <w:tab w:val="right" w:leader="dot" w:pos="9016"/>
            </w:tabs>
            <w:rPr>
              <w:noProof/>
            </w:rPr>
          </w:pPr>
          <w:hyperlink w:anchor="_Toc215925469" w:history="1">
            <w:r w:rsidRPr="00AD5B16">
              <w:rPr>
                <w:rStyle w:val="Hyperlink"/>
                <w:noProof/>
              </w:rPr>
              <w:t>4.6 Gantt-chart illustrations of timeline in international expansion of IKEA in South Africa</w:t>
            </w:r>
            <w:r>
              <w:rPr>
                <w:noProof/>
                <w:webHidden/>
              </w:rPr>
              <w:tab/>
            </w:r>
            <w:r>
              <w:rPr>
                <w:noProof/>
                <w:webHidden/>
              </w:rPr>
              <w:fldChar w:fldCharType="begin"/>
            </w:r>
            <w:r>
              <w:rPr>
                <w:noProof/>
                <w:webHidden/>
              </w:rPr>
              <w:instrText xml:space="preserve"> PAGEREF _Toc215925469 \h </w:instrText>
            </w:r>
            <w:r>
              <w:rPr>
                <w:noProof/>
                <w:webHidden/>
              </w:rPr>
            </w:r>
            <w:r>
              <w:rPr>
                <w:noProof/>
                <w:webHidden/>
              </w:rPr>
              <w:fldChar w:fldCharType="separate"/>
            </w:r>
            <w:r>
              <w:rPr>
                <w:noProof/>
                <w:webHidden/>
              </w:rPr>
              <w:t>24</w:t>
            </w:r>
            <w:r>
              <w:rPr>
                <w:noProof/>
                <w:webHidden/>
              </w:rPr>
              <w:fldChar w:fldCharType="end"/>
            </w:r>
          </w:hyperlink>
        </w:p>
        <w:p w14:paraId="4040D6E2" w14:textId="59E97B1F" w:rsidR="001C3A25" w:rsidRDefault="001C3A25">
          <w:pPr>
            <w:pStyle w:val="TOC1"/>
            <w:tabs>
              <w:tab w:val="right" w:leader="dot" w:pos="9016"/>
            </w:tabs>
            <w:rPr>
              <w:noProof/>
            </w:rPr>
          </w:pPr>
          <w:hyperlink w:anchor="_Toc215925470" w:history="1">
            <w:r w:rsidRPr="00AD5B16">
              <w:rPr>
                <w:rStyle w:val="Hyperlink"/>
                <w:noProof/>
              </w:rPr>
              <w:t>5.0 Performance Evaluation Framework</w:t>
            </w:r>
            <w:r>
              <w:rPr>
                <w:noProof/>
                <w:webHidden/>
              </w:rPr>
              <w:tab/>
            </w:r>
            <w:r>
              <w:rPr>
                <w:noProof/>
                <w:webHidden/>
              </w:rPr>
              <w:fldChar w:fldCharType="begin"/>
            </w:r>
            <w:r>
              <w:rPr>
                <w:noProof/>
                <w:webHidden/>
              </w:rPr>
              <w:instrText xml:space="preserve"> PAGEREF _Toc215925470 \h </w:instrText>
            </w:r>
            <w:r>
              <w:rPr>
                <w:noProof/>
                <w:webHidden/>
              </w:rPr>
            </w:r>
            <w:r>
              <w:rPr>
                <w:noProof/>
                <w:webHidden/>
              </w:rPr>
              <w:fldChar w:fldCharType="separate"/>
            </w:r>
            <w:r>
              <w:rPr>
                <w:noProof/>
                <w:webHidden/>
              </w:rPr>
              <w:t>24</w:t>
            </w:r>
            <w:r>
              <w:rPr>
                <w:noProof/>
                <w:webHidden/>
              </w:rPr>
              <w:fldChar w:fldCharType="end"/>
            </w:r>
          </w:hyperlink>
        </w:p>
        <w:p w14:paraId="128077D1" w14:textId="46B409A0" w:rsidR="001C3A25" w:rsidRDefault="001C3A25">
          <w:pPr>
            <w:pStyle w:val="TOC2"/>
            <w:tabs>
              <w:tab w:val="right" w:leader="dot" w:pos="9016"/>
            </w:tabs>
            <w:rPr>
              <w:noProof/>
            </w:rPr>
          </w:pPr>
          <w:hyperlink w:anchor="_Toc215925471" w:history="1">
            <w:r w:rsidRPr="00AD5B16">
              <w:rPr>
                <w:rStyle w:val="Hyperlink"/>
                <w:noProof/>
              </w:rPr>
              <w:t>5.1 BSC Framework for identifying success metrics and KPIs</w:t>
            </w:r>
            <w:r>
              <w:rPr>
                <w:noProof/>
                <w:webHidden/>
              </w:rPr>
              <w:tab/>
            </w:r>
            <w:r>
              <w:rPr>
                <w:noProof/>
                <w:webHidden/>
              </w:rPr>
              <w:fldChar w:fldCharType="begin"/>
            </w:r>
            <w:r>
              <w:rPr>
                <w:noProof/>
                <w:webHidden/>
              </w:rPr>
              <w:instrText xml:space="preserve"> PAGEREF _Toc215925471 \h </w:instrText>
            </w:r>
            <w:r>
              <w:rPr>
                <w:noProof/>
                <w:webHidden/>
              </w:rPr>
            </w:r>
            <w:r>
              <w:rPr>
                <w:noProof/>
                <w:webHidden/>
              </w:rPr>
              <w:fldChar w:fldCharType="separate"/>
            </w:r>
            <w:r>
              <w:rPr>
                <w:noProof/>
                <w:webHidden/>
              </w:rPr>
              <w:t>24</w:t>
            </w:r>
            <w:r>
              <w:rPr>
                <w:noProof/>
                <w:webHidden/>
              </w:rPr>
              <w:fldChar w:fldCharType="end"/>
            </w:r>
          </w:hyperlink>
        </w:p>
        <w:p w14:paraId="65814CFD" w14:textId="1468C775" w:rsidR="001C3A25" w:rsidRDefault="001C3A25">
          <w:pPr>
            <w:pStyle w:val="TOC2"/>
            <w:tabs>
              <w:tab w:val="right" w:leader="dot" w:pos="9016"/>
            </w:tabs>
            <w:rPr>
              <w:noProof/>
            </w:rPr>
          </w:pPr>
          <w:hyperlink w:anchor="_Toc215925472" w:history="1">
            <w:r w:rsidRPr="00AD5B16">
              <w:rPr>
                <w:rStyle w:val="Hyperlink"/>
                <w:noProof/>
              </w:rPr>
              <w:t>5.2 Sustainability metrics for IKEA in South Africa: Triple Bottom Line Theory</w:t>
            </w:r>
            <w:r>
              <w:rPr>
                <w:noProof/>
                <w:webHidden/>
              </w:rPr>
              <w:tab/>
            </w:r>
            <w:r>
              <w:rPr>
                <w:noProof/>
                <w:webHidden/>
              </w:rPr>
              <w:fldChar w:fldCharType="begin"/>
            </w:r>
            <w:r>
              <w:rPr>
                <w:noProof/>
                <w:webHidden/>
              </w:rPr>
              <w:instrText xml:space="preserve"> PAGEREF _Toc215925472 \h </w:instrText>
            </w:r>
            <w:r>
              <w:rPr>
                <w:noProof/>
                <w:webHidden/>
              </w:rPr>
            </w:r>
            <w:r>
              <w:rPr>
                <w:noProof/>
                <w:webHidden/>
              </w:rPr>
              <w:fldChar w:fldCharType="separate"/>
            </w:r>
            <w:r>
              <w:rPr>
                <w:noProof/>
                <w:webHidden/>
              </w:rPr>
              <w:t>26</w:t>
            </w:r>
            <w:r>
              <w:rPr>
                <w:noProof/>
                <w:webHidden/>
              </w:rPr>
              <w:fldChar w:fldCharType="end"/>
            </w:r>
          </w:hyperlink>
        </w:p>
        <w:p w14:paraId="2C736B5D" w14:textId="4C6419C0" w:rsidR="001C3A25" w:rsidRDefault="001C3A25">
          <w:pPr>
            <w:pStyle w:val="TOC2"/>
            <w:tabs>
              <w:tab w:val="right" w:leader="dot" w:pos="9016"/>
            </w:tabs>
            <w:rPr>
              <w:noProof/>
            </w:rPr>
          </w:pPr>
          <w:hyperlink w:anchor="_Toc215925473" w:history="1">
            <w:r w:rsidRPr="00AD5B16">
              <w:rPr>
                <w:rStyle w:val="Hyperlink"/>
                <w:noProof/>
              </w:rPr>
              <w:t>5.3 Monitoring and Control with BCG Portfolio Matrix</w:t>
            </w:r>
            <w:r>
              <w:rPr>
                <w:noProof/>
                <w:webHidden/>
              </w:rPr>
              <w:tab/>
            </w:r>
            <w:r>
              <w:rPr>
                <w:noProof/>
                <w:webHidden/>
              </w:rPr>
              <w:fldChar w:fldCharType="begin"/>
            </w:r>
            <w:r>
              <w:rPr>
                <w:noProof/>
                <w:webHidden/>
              </w:rPr>
              <w:instrText xml:space="preserve"> PAGEREF _Toc215925473 \h </w:instrText>
            </w:r>
            <w:r>
              <w:rPr>
                <w:noProof/>
                <w:webHidden/>
              </w:rPr>
            </w:r>
            <w:r>
              <w:rPr>
                <w:noProof/>
                <w:webHidden/>
              </w:rPr>
              <w:fldChar w:fldCharType="separate"/>
            </w:r>
            <w:r>
              <w:rPr>
                <w:noProof/>
                <w:webHidden/>
              </w:rPr>
              <w:t>27</w:t>
            </w:r>
            <w:r>
              <w:rPr>
                <w:noProof/>
                <w:webHidden/>
              </w:rPr>
              <w:fldChar w:fldCharType="end"/>
            </w:r>
          </w:hyperlink>
        </w:p>
        <w:p w14:paraId="62EAA660" w14:textId="31447B5F" w:rsidR="001C3A25" w:rsidRDefault="001C3A25">
          <w:pPr>
            <w:pStyle w:val="TOC1"/>
            <w:tabs>
              <w:tab w:val="right" w:leader="dot" w:pos="9016"/>
            </w:tabs>
            <w:rPr>
              <w:noProof/>
            </w:rPr>
          </w:pPr>
          <w:hyperlink w:anchor="_Toc215925474" w:history="1">
            <w:r w:rsidRPr="00AD5B16">
              <w:rPr>
                <w:rStyle w:val="Hyperlink"/>
                <w:noProof/>
              </w:rPr>
              <w:t>6.0 Conclusion</w:t>
            </w:r>
            <w:r>
              <w:rPr>
                <w:noProof/>
                <w:webHidden/>
              </w:rPr>
              <w:tab/>
            </w:r>
            <w:r>
              <w:rPr>
                <w:noProof/>
                <w:webHidden/>
              </w:rPr>
              <w:fldChar w:fldCharType="begin"/>
            </w:r>
            <w:r>
              <w:rPr>
                <w:noProof/>
                <w:webHidden/>
              </w:rPr>
              <w:instrText xml:space="preserve"> PAGEREF _Toc215925474 \h </w:instrText>
            </w:r>
            <w:r>
              <w:rPr>
                <w:noProof/>
                <w:webHidden/>
              </w:rPr>
            </w:r>
            <w:r>
              <w:rPr>
                <w:noProof/>
                <w:webHidden/>
              </w:rPr>
              <w:fldChar w:fldCharType="separate"/>
            </w:r>
            <w:r>
              <w:rPr>
                <w:noProof/>
                <w:webHidden/>
              </w:rPr>
              <w:t>27</w:t>
            </w:r>
            <w:r>
              <w:rPr>
                <w:noProof/>
                <w:webHidden/>
              </w:rPr>
              <w:fldChar w:fldCharType="end"/>
            </w:r>
          </w:hyperlink>
        </w:p>
        <w:p w14:paraId="5EFD97AD" w14:textId="78818521" w:rsidR="001C3A25" w:rsidRDefault="001C3A25">
          <w:pPr>
            <w:pStyle w:val="TOC1"/>
            <w:tabs>
              <w:tab w:val="right" w:leader="dot" w:pos="9016"/>
            </w:tabs>
            <w:rPr>
              <w:noProof/>
            </w:rPr>
          </w:pPr>
          <w:hyperlink w:anchor="_Toc215925475" w:history="1">
            <w:r w:rsidRPr="00AD5B16">
              <w:rPr>
                <w:rStyle w:val="Hyperlink"/>
                <w:noProof/>
              </w:rPr>
              <w:t>7.0 References</w:t>
            </w:r>
            <w:r>
              <w:rPr>
                <w:noProof/>
                <w:webHidden/>
              </w:rPr>
              <w:tab/>
            </w:r>
            <w:r>
              <w:rPr>
                <w:noProof/>
                <w:webHidden/>
              </w:rPr>
              <w:fldChar w:fldCharType="begin"/>
            </w:r>
            <w:r>
              <w:rPr>
                <w:noProof/>
                <w:webHidden/>
              </w:rPr>
              <w:instrText xml:space="preserve"> PAGEREF _Toc215925475 \h </w:instrText>
            </w:r>
            <w:r>
              <w:rPr>
                <w:noProof/>
                <w:webHidden/>
              </w:rPr>
            </w:r>
            <w:r>
              <w:rPr>
                <w:noProof/>
                <w:webHidden/>
              </w:rPr>
              <w:fldChar w:fldCharType="separate"/>
            </w:r>
            <w:r>
              <w:rPr>
                <w:noProof/>
                <w:webHidden/>
              </w:rPr>
              <w:t>29</w:t>
            </w:r>
            <w:r>
              <w:rPr>
                <w:noProof/>
                <w:webHidden/>
              </w:rPr>
              <w:fldChar w:fldCharType="end"/>
            </w:r>
          </w:hyperlink>
        </w:p>
        <w:p w14:paraId="16460239" w14:textId="1BDD2A77" w:rsidR="001C3A25" w:rsidRDefault="001C3A25">
          <w:r>
            <w:rPr>
              <w:b/>
              <w:bCs/>
              <w:noProof/>
            </w:rPr>
            <w:fldChar w:fldCharType="end"/>
          </w:r>
        </w:p>
      </w:sdtContent>
    </w:sdt>
    <w:p w14:paraId="04AD9473" w14:textId="77777777" w:rsidR="00C60230" w:rsidRDefault="003C62BB">
      <w:pPr>
        <w:spacing w:after="200" w:line="360" w:lineRule="auto"/>
        <w:rPr>
          <w:b/>
          <w:bCs/>
          <w:sz w:val="24"/>
          <w:szCs w:val="24"/>
        </w:rPr>
      </w:pPr>
      <w:r>
        <w:br w:type="page"/>
      </w:r>
    </w:p>
    <w:p w14:paraId="1224B1FC" w14:textId="77777777" w:rsidR="00C60230" w:rsidRDefault="003C62BB">
      <w:pPr>
        <w:pStyle w:val="Heading1"/>
      </w:pPr>
      <w:bookmarkStart w:id="0" w:name="_Toc215925441"/>
      <w:r>
        <w:lastRenderedPageBreak/>
        <w:t>1.0 Introduction</w:t>
      </w:r>
      <w:bookmarkEnd w:id="0"/>
    </w:p>
    <w:p w14:paraId="24CCB87C" w14:textId="77777777" w:rsidR="00C60230" w:rsidRDefault="003C62BB">
      <w:pPr>
        <w:pStyle w:val="Heading2"/>
      </w:pPr>
      <w:bookmarkStart w:id="1" w:name="_Toc215925442"/>
      <w:r>
        <w:t xml:space="preserve">1.1 Brief background of the case </w:t>
      </w:r>
      <w:proofErr w:type="spellStart"/>
      <w:r>
        <w:t>organisation</w:t>
      </w:r>
      <w:proofErr w:type="spellEnd"/>
      <w:r>
        <w:t>: IKEA</w:t>
      </w:r>
      <w:bookmarkEnd w:id="1"/>
    </w:p>
    <w:p w14:paraId="5CCE3FC4" w14:textId="77777777" w:rsidR="00C60230" w:rsidRDefault="003C62BB">
      <w:pPr>
        <w:pStyle w:val="Heading3"/>
      </w:pPr>
      <w:bookmarkStart w:id="2" w:name="_Toc215925443"/>
      <w:r>
        <w:t>1.1.1 Vision, Mission and Values</w:t>
      </w:r>
      <w:bookmarkEnd w:id="2"/>
    </w:p>
    <w:p w14:paraId="6F71306C" w14:textId="77777777" w:rsidR="00C60230" w:rsidRDefault="003C62BB">
      <w:pPr>
        <w:spacing w:after="200" w:line="360" w:lineRule="auto"/>
        <w:jc w:val="both"/>
        <w:rPr>
          <w:sz w:val="24"/>
          <w:szCs w:val="24"/>
        </w:rPr>
      </w:pPr>
      <w:r>
        <w:rPr>
          <w:sz w:val="24"/>
          <w:szCs w:val="24"/>
        </w:rPr>
        <w:t xml:space="preserve">IKEA is a Swedish furniture retailer founded in 1943 by Ingvar Kamprad with the purpose of delivering well-designed and affordable furniture for every room. As per Forbes, IKEA operates more than 422 stores in 50 global markets (Forbes, 2024). Out of which, 70% of the stores </w:t>
      </w:r>
      <w:proofErr w:type="gramStart"/>
      <w:r>
        <w:rPr>
          <w:sz w:val="24"/>
          <w:szCs w:val="24"/>
        </w:rPr>
        <w:t>are located in</w:t>
      </w:r>
      <w:proofErr w:type="gramEnd"/>
      <w:r>
        <w:rPr>
          <w:sz w:val="24"/>
          <w:szCs w:val="24"/>
        </w:rPr>
        <w:t xml:space="preserve"> Europe. Additionally, the Swedish company ranked 5th and 33rd in Forbes’s “</w:t>
      </w:r>
      <w:r>
        <w:rPr>
          <w:i/>
          <w:iCs/>
          <w:sz w:val="24"/>
          <w:szCs w:val="24"/>
        </w:rPr>
        <w:t>World Top Companies for Women in 2025” and “World’s Best Employer in 2025</w:t>
      </w:r>
      <w:r>
        <w:rPr>
          <w:sz w:val="24"/>
          <w:szCs w:val="24"/>
        </w:rPr>
        <w:t xml:space="preserve">” (Forbes, 2024, p.1). The </w:t>
      </w:r>
      <w:r>
        <w:rPr>
          <w:b/>
          <w:bCs/>
          <w:i/>
          <w:iCs/>
          <w:sz w:val="24"/>
          <w:szCs w:val="24"/>
        </w:rPr>
        <w:t>vision</w:t>
      </w:r>
      <w:r>
        <w:rPr>
          <w:sz w:val="24"/>
          <w:szCs w:val="24"/>
        </w:rPr>
        <w:t xml:space="preserve"> statement of the company, </w:t>
      </w:r>
    </w:p>
    <w:p w14:paraId="645B807D" w14:textId="77777777" w:rsidR="00C60230" w:rsidRDefault="003C62BB">
      <w:pPr>
        <w:spacing w:after="200" w:line="360" w:lineRule="auto"/>
        <w:jc w:val="right"/>
        <w:rPr>
          <w:sz w:val="24"/>
          <w:szCs w:val="24"/>
        </w:rPr>
      </w:pPr>
      <w:r>
        <w:rPr>
          <w:sz w:val="24"/>
          <w:szCs w:val="24"/>
        </w:rPr>
        <w:t>“</w:t>
      </w:r>
      <w:r>
        <w:rPr>
          <w:i/>
          <w:iCs/>
          <w:sz w:val="24"/>
          <w:szCs w:val="24"/>
        </w:rPr>
        <w:t>To create a better everyday life for the many people</w:t>
      </w:r>
      <w:r>
        <w:rPr>
          <w:sz w:val="24"/>
          <w:szCs w:val="24"/>
        </w:rPr>
        <w:t>.”</w:t>
      </w:r>
    </w:p>
    <w:p w14:paraId="255D32EC" w14:textId="77777777" w:rsidR="00C60230" w:rsidRDefault="003C62BB">
      <w:pPr>
        <w:spacing w:after="200" w:line="360" w:lineRule="auto"/>
        <w:jc w:val="right"/>
        <w:rPr>
          <w:sz w:val="24"/>
          <w:szCs w:val="24"/>
        </w:rPr>
      </w:pPr>
      <w:r>
        <w:rPr>
          <w:sz w:val="24"/>
          <w:szCs w:val="24"/>
        </w:rPr>
        <w:t>Source: (IKEA, 2020, p.1)</w:t>
      </w:r>
    </w:p>
    <w:p w14:paraId="037756B6" w14:textId="77777777" w:rsidR="00C60230" w:rsidRDefault="003C62BB">
      <w:pPr>
        <w:spacing w:after="200" w:line="360" w:lineRule="auto"/>
        <w:jc w:val="both"/>
        <w:rPr>
          <w:sz w:val="24"/>
          <w:szCs w:val="24"/>
        </w:rPr>
      </w:pPr>
      <w:r>
        <w:rPr>
          <w:sz w:val="24"/>
          <w:szCs w:val="24"/>
        </w:rPr>
        <w:t xml:space="preserve">According to Mahalaxmi et al. (2024), the </w:t>
      </w:r>
      <w:r>
        <w:rPr>
          <w:b/>
          <w:bCs/>
          <w:i/>
          <w:iCs/>
          <w:sz w:val="24"/>
          <w:szCs w:val="24"/>
        </w:rPr>
        <w:t>mission</w:t>
      </w:r>
      <w:r>
        <w:rPr>
          <w:sz w:val="24"/>
          <w:szCs w:val="24"/>
        </w:rPr>
        <w:t xml:space="preserve"> statement of IKEA is to enable and inspire people to live more sustainably and eco-consciously. For this, IKEA invested in “</w:t>
      </w:r>
      <w:r>
        <w:rPr>
          <w:i/>
          <w:iCs/>
          <w:sz w:val="24"/>
          <w:szCs w:val="24"/>
        </w:rPr>
        <w:t>People &amp; Planet Positive”, “Forest Stewardship Council (FSC)” and “Environmental Stewardship</w:t>
      </w:r>
      <w:r>
        <w:rPr>
          <w:sz w:val="24"/>
          <w:szCs w:val="24"/>
        </w:rPr>
        <w:t xml:space="preserve">” to become a beacon of sustainably certified business (Mahalakshmi et al., 2024). Figure 1 shows that togetherness, simplicity, </w:t>
      </w:r>
      <w:proofErr w:type="spellStart"/>
      <w:r>
        <w:rPr>
          <w:sz w:val="24"/>
          <w:szCs w:val="24"/>
        </w:rPr>
        <w:t>lead</w:t>
      </w:r>
      <w:proofErr w:type="spellEnd"/>
      <w:r>
        <w:rPr>
          <w:sz w:val="24"/>
          <w:szCs w:val="24"/>
        </w:rPr>
        <w:t xml:space="preserve"> by example, give and take responsibility, renew and improve and others are the </w:t>
      </w:r>
      <w:r>
        <w:rPr>
          <w:b/>
          <w:bCs/>
          <w:i/>
          <w:iCs/>
          <w:sz w:val="24"/>
          <w:szCs w:val="24"/>
        </w:rPr>
        <w:t>core values</w:t>
      </w:r>
      <w:r>
        <w:rPr>
          <w:sz w:val="24"/>
          <w:szCs w:val="24"/>
        </w:rPr>
        <w:t xml:space="preserve"> at IKEA.</w:t>
      </w:r>
    </w:p>
    <w:p w14:paraId="144648D4" w14:textId="77777777" w:rsidR="00C60230" w:rsidRDefault="003C62BB">
      <w:pPr>
        <w:spacing w:after="200" w:line="360" w:lineRule="auto"/>
        <w:jc w:val="center"/>
        <w:rPr>
          <w:b/>
          <w:bCs/>
          <w:sz w:val="24"/>
          <w:szCs w:val="24"/>
        </w:rPr>
      </w:pPr>
      <w:r>
        <w:rPr>
          <w:b/>
          <w:bCs/>
          <w:noProof/>
          <w:sz w:val="24"/>
          <w:szCs w:val="24"/>
        </w:rPr>
        <w:lastRenderedPageBreak/>
        <w:drawing>
          <wp:inline distT="114300" distB="114300" distL="114300" distR="114300" wp14:anchorId="00D88540" wp14:editId="0D7C9044">
            <wp:extent cx="5731200" cy="3898900"/>
            <wp:effectExtent l="0" t="0" r="0" b="0"/>
            <wp:docPr id="1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731200" cy="3898900"/>
                    </a:xfrm>
                    <a:prstGeom prst="rect">
                      <a:avLst/>
                    </a:prstGeom>
                    <a:ln/>
                  </pic:spPr>
                </pic:pic>
              </a:graphicData>
            </a:graphic>
          </wp:inline>
        </w:drawing>
      </w:r>
    </w:p>
    <w:p w14:paraId="6764B625" w14:textId="77777777" w:rsidR="00C60230" w:rsidRDefault="003C62BB">
      <w:pPr>
        <w:spacing w:after="200" w:line="360" w:lineRule="auto"/>
        <w:jc w:val="center"/>
        <w:rPr>
          <w:b/>
          <w:bCs/>
          <w:sz w:val="24"/>
          <w:szCs w:val="24"/>
        </w:rPr>
      </w:pPr>
      <w:r>
        <w:rPr>
          <w:b/>
          <w:bCs/>
          <w:sz w:val="24"/>
          <w:szCs w:val="24"/>
        </w:rPr>
        <w:t xml:space="preserve">Figure 1: Common </w:t>
      </w:r>
      <w:proofErr w:type="spellStart"/>
      <w:r>
        <w:rPr>
          <w:b/>
          <w:bCs/>
          <w:sz w:val="24"/>
          <w:szCs w:val="24"/>
        </w:rPr>
        <w:t>organisation</w:t>
      </w:r>
      <w:proofErr w:type="spellEnd"/>
      <w:r>
        <w:rPr>
          <w:b/>
          <w:bCs/>
          <w:sz w:val="24"/>
          <w:szCs w:val="24"/>
        </w:rPr>
        <w:t xml:space="preserve"> values of IKEA</w:t>
      </w:r>
    </w:p>
    <w:p w14:paraId="1DAC8E13" w14:textId="77777777" w:rsidR="00C60230" w:rsidRDefault="003C62BB">
      <w:pPr>
        <w:spacing w:after="200" w:line="360" w:lineRule="auto"/>
        <w:jc w:val="center"/>
        <w:rPr>
          <w:b/>
          <w:bCs/>
          <w:sz w:val="24"/>
          <w:szCs w:val="24"/>
        </w:rPr>
      </w:pPr>
      <w:r>
        <w:rPr>
          <w:b/>
          <w:bCs/>
          <w:sz w:val="24"/>
          <w:szCs w:val="24"/>
        </w:rPr>
        <w:t>Source: (Al-</w:t>
      </w:r>
      <w:proofErr w:type="spellStart"/>
      <w:r>
        <w:rPr>
          <w:b/>
          <w:bCs/>
          <w:sz w:val="24"/>
          <w:szCs w:val="24"/>
        </w:rPr>
        <w:t>Zghool</w:t>
      </w:r>
      <w:proofErr w:type="spellEnd"/>
      <w:r>
        <w:rPr>
          <w:b/>
          <w:bCs/>
          <w:sz w:val="24"/>
          <w:szCs w:val="24"/>
        </w:rPr>
        <w:t>, 2021)</w:t>
      </w:r>
    </w:p>
    <w:p w14:paraId="7FD32034" w14:textId="77777777" w:rsidR="00C60230" w:rsidRDefault="003C62BB">
      <w:pPr>
        <w:pStyle w:val="Heading3"/>
      </w:pPr>
      <w:bookmarkStart w:id="3" w:name="_Toc215925444"/>
      <w:r>
        <w:t>1.1.2 Historical Timeline of IKEA</w:t>
      </w:r>
      <w:bookmarkEnd w:id="3"/>
    </w:p>
    <w:p w14:paraId="618758A9" w14:textId="77777777" w:rsidR="00C60230" w:rsidRDefault="003C62BB">
      <w:pPr>
        <w:spacing w:after="200" w:line="360" w:lineRule="auto"/>
        <w:jc w:val="both"/>
        <w:rPr>
          <w:sz w:val="24"/>
          <w:szCs w:val="24"/>
        </w:rPr>
      </w:pPr>
      <w:r>
        <w:rPr>
          <w:sz w:val="24"/>
          <w:szCs w:val="24"/>
        </w:rPr>
        <w:t xml:space="preserve">A 17-year-old Ingvar Kamprad founded IKEA to bridge the market gap for sustainable ready-to-assemble furniture, including home accessories and kitchen appliances. Figure 2 shows that IKEA was founded in 1930 and in a span of 10 years, the company introduced </w:t>
      </w:r>
      <w:proofErr w:type="gramStart"/>
      <w:r>
        <w:rPr>
          <w:sz w:val="24"/>
          <w:szCs w:val="24"/>
        </w:rPr>
        <w:t>a furniture</w:t>
      </w:r>
      <w:proofErr w:type="gramEnd"/>
      <w:r>
        <w:rPr>
          <w:sz w:val="24"/>
          <w:szCs w:val="24"/>
        </w:rPr>
        <w:t xml:space="preserve"> catalogue of kitchen appliances, home accessories and ready-to-assemble components. By the 1980s, the company I produced its Flat packages and expanded to England, France and the USA and Italy. In a period of 20 years, the brand grabbed its </w:t>
      </w:r>
      <w:proofErr w:type="spellStart"/>
      <w:r>
        <w:rPr>
          <w:sz w:val="24"/>
          <w:szCs w:val="24"/>
        </w:rPr>
        <w:t>internationalisation</w:t>
      </w:r>
      <w:proofErr w:type="spellEnd"/>
      <w:r>
        <w:rPr>
          <w:sz w:val="24"/>
          <w:szCs w:val="24"/>
        </w:rPr>
        <w:t xml:space="preserve"> opportunities in Japan, Russia and Turkey, Japan and Thailand. In 2024, IKEA had more than EUR 22,242 million total assets (EUR 10,918 million fixed assets, EUR 11,553 million current assets) (IKEA, 2024).</w:t>
      </w:r>
    </w:p>
    <w:p w14:paraId="20612948" w14:textId="77777777" w:rsidR="00C60230" w:rsidRDefault="003C62BB">
      <w:pPr>
        <w:spacing w:after="200" w:line="360" w:lineRule="auto"/>
        <w:jc w:val="center"/>
        <w:rPr>
          <w:b/>
          <w:bCs/>
          <w:sz w:val="24"/>
          <w:szCs w:val="24"/>
        </w:rPr>
      </w:pPr>
      <w:r>
        <w:rPr>
          <w:b/>
          <w:bCs/>
          <w:noProof/>
          <w:sz w:val="24"/>
          <w:szCs w:val="24"/>
        </w:rPr>
        <w:lastRenderedPageBreak/>
        <w:drawing>
          <wp:inline distT="114300" distB="114300" distL="114300" distR="114300" wp14:anchorId="7EB73407" wp14:editId="5553E624">
            <wp:extent cx="5731200" cy="1892300"/>
            <wp:effectExtent l="0" t="0" r="0" b="0"/>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731200" cy="1892300"/>
                    </a:xfrm>
                    <a:prstGeom prst="rect">
                      <a:avLst/>
                    </a:prstGeom>
                    <a:ln/>
                  </pic:spPr>
                </pic:pic>
              </a:graphicData>
            </a:graphic>
          </wp:inline>
        </w:drawing>
      </w:r>
    </w:p>
    <w:p w14:paraId="4A79797C" w14:textId="77777777" w:rsidR="00C60230" w:rsidRDefault="003C62BB">
      <w:pPr>
        <w:spacing w:after="200" w:line="360" w:lineRule="auto"/>
        <w:jc w:val="center"/>
        <w:rPr>
          <w:b/>
          <w:bCs/>
          <w:sz w:val="24"/>
          <w:szCs w:val="24"/>
        </w:rPr>
      </w:pPr>
      <w:r>
        <w:rPr>
          <w:b/>
          <w:bCs/>
          <w:sz w:val="24"/>
          <w:szCs w:val="24"/>
        </w:rPr>
        <w:t>Figure 2: History of IKEA</w:t>
      </w:r>
    </w:p>
    <w:p w14:paraId="31366B15" w14:textId="77777777" w:rsidR="00C60230" w:rsidRDefault="003C62BB">
      <w:pPr>
        <w:spacing w:after="200" w:line="360" w:lineRule="auto"/>
        <w:jc w:val="center"/>
        <w:rPr>
          <w:b/>
          <w:bCs/>
          <w:sz w:val="24"/>
          <w:szCs w:val="24"/>
        </w:rPr>
      </w:pPr>
      <w:r>
        <w:rPr>
          <w:b/>
          <w:bCs/>
          <w:sz w:val="24"/>
          <w:szCs w:val="24"/>
        </w:rPr>
        <w:t>Source: (Goel and Shraddha, 2018)</w:t>
      </w:r>
    </w:p>
    <w:p w14:paraId="0FB6C0BA" w14:textId="77777777" w:rsidR="00C60230" w:rsidRDefault="003C62BB">
      <w:pPr>
        <w:pStyle w:val="Heading3"/>
      </w:pPr>
      <w:bookmarkStart w:id="4" w:name="_Toc215925445"/>
      <w:r>
        <w:t>1.1.3 Current performance of IKEA in the global sustainable home furniture market</w:t>
      </w:r>
      <w:bookmarkEnd w:id="4"/>
    </w:p>
    <w:p w14:paraId="710C469B" w14:textId="77777777" w:rsidR="00C60230" w:rsidRDefault="003C62BB">
      <w:pPr>
        <w:spacing w:after="200" w:line="360" w:lineRule="auto"/>
        <w:jc w:val="both"/>
        <w:rPr>
          <w:sz w:val="24"/>
          <w:szCs w:val="24"/>
        </w:rPr>
      </w:pPr>
      <w:r>
        <w:rPr>
          <w:sz w:val="24"/>
          <w:szCs w:val="24"/>
        </w:rPr>
        <w:t xml:space="preserve">As per Mordor Intelligence, the sustainable home furniture market was valued at USD 508.59 billion and is currently growing at a 4.1% CAGR till 2030 (Mordor Intelligence, 2025). The sustainable home furniture market is perceived as fragmented with five major dominant players, for example, La-Z-Boy, IKEA, Herman Miller, Steinhoff International Holdings and Ashley Furniture Industries. The gross profit of the IKEA group increased from 9,968 million euros in 2009 to 13,860 million euros in 2024 (Statista, 2024). Flat-pack design, low price, ready-to-assemble model deeply contributed to IKEA's market positioning in the European and the Asian Pacific markets. Around 900 million customers visit and make purchases at IKEA </w:t>
      </w:r>
      <w:proofErr w:type="gramStart"/>
      <w:r>
        <w:rPr>
          <w:sz w:val="24"/>
          <w:szCs w:val="24"/>
        </w:rPr>
        <w:t>stores</w:t>
      </w:r>
      <w:proofErr w:type="gramEnd"/>
      <w:r>
        <w:rPr>
          <w:sz w:val="24"/>
          <w:szCs w:val="24"/>
        </w:rPr>
        <w:t xml:space="preserve"> and 4.6 billion people regularly visit the IKEA website.</w:t>
      </w:r>
    </w:p>
    <w:p w14:paraId="7EFD9A7F" w14:textId="77777777" w:rsidR="00C60230" w:rsidRDefault="003C62BB">
      <w:pPr>
        <w:pStyle w:val="Heading2"/>
      </w:pPr>
      <w:bookmarkStart w:id="5" w:name="_Toc215925446"/>
      <w:r>
        <w:t>1.2 Purpose of the strategic management report</w:t>
      </w:r>
      <w:bookmarkEnd w:id="5"/>
    </w:p>
    <w:p w14:paraId="621CF372" w14:textId="77777777" w:rsidR="00C60230" w:rsidRDefault="003C62BB">
      <w:pPr>
        <w:spacing w:after="200" w:line="360" w:lineRule="auto"/>
        <w:jc w:val="both"/>
        <w:rPr>
          <w:sz w:val="24"/>
          <w:szCs w:val="24"/>
        </w:rPr>
      </w:pPr>
      <w:r>
        <w:rPr>
          <w:sz w:val="24"/>
          <w:szCs w:val="24"/>
        </w:rPr>
        <w:t>The strategic management report aimed to propose a comprehensive “</w:t>
      </w:r>
      <w:proofErr w:type="spellStart"/>
      <w:r>
        <w:rPr>
          <w:sz w:val="24"/>
          <w:szCs w:val="24"/>
        </w:rPr>
        <w:t>Organisation</w:t>
      </w:r>
      <w:proofErr w:type="spellEnd"/>
      <w:r>
        <w:rPr>
          <w:sz w:val="24"/>
          <w:szCs w:val="24"/>
        </w:rPr>
        <w:t xml:space="preserve"> Expansion Plan” for IKEA. The overarching goal is obtained by </w:t>
      </w:r>
      <w:proofErr w:type="spellStart"/>
      <w:r>
        <w:rPr>
          <w:sz w:val="24"/>
          <w:szCs w:val="24"/>
        </w:rPr>
        <w:t>analysing</w:t>
      </w:r>
      <w:proofErr w:type="spellEnd"/>
      <w:r>
        <w:rPr>
          <w:sz w:val="24"/>
          <w:szCs w:val="24"/>
        </w:rPr>
        <w:t xml:space="preserve"> the external market trends (opportunities/threats) and internal assets/capabilities at IKEA. The purpose of the report is to present an evidence-based expansion strategy for IKEA.</w:t>
      </w:r>
    </w:p>
    <w:p w14:paraId="0BB43941" w14:textId="77777777" w:rsidR="00C60230" w:rsidRDefault="003C62BB">
      <w:pPr>
        <w:pStyle w:val="Heading2"/>
      </w:pPr>
      <w:bookmarkStart w:id="6" w:name="_Toc215925447"/>
      <w:r>
        <w:lastRenderedPageBreak/>
        <w:t>1.3 Structure of the report</w:t>
      </w:r>
      <w:bookmarkEnd w:id="6"/>
    </w:p>
    <w:p w14:paraId="1C05281D" w14:textId="77777777" w:rsidR="00C60230" w:rsidRDefault="003C62BB">
      <w:pPr>
        <w:spacing w:after="200" w:line="360" w:lineRule="auto"/>
        <w:jc w:val="both"/>
        <w:rPr>
          <w:sz w:val="24"/>
          <w:szCs w:val="24"/>
        </w:rPr>
      </w:pPr>
      <w:r>
        <w:rPr>
          <w:sz w:val="24"/>
          <w:szCs w:val="24"/>
        </w:rPr>
        <w:t xml:space="preserve">The report is divided into four major sections, namely, “selection of </w:t>
      </w:r>
      <w:proofErr w:type="spellStart"/>
      <w:r>
        <w:rPr>
          <w:sz w:val="24"/>
          <w:szCs w:val="24"/>
        </w:rPr>
        <w:t>organisations</w:t>
      </w:r>
      <w:proofErr w:type="spellEnd"/>
      <w:r>
        <w:rPr>
          <w:sz w:val="24"/>
          <w:szCs w:val="24"/>
        </w:rPr>
        <w:t xml:space="preserve"> and target market”, “comprehensive strategic analysis”, “strategic development and formulation” and “performance evaluation framework”. </w:t>
      </w:r>
    </w:p>
    <w:p w14:paraId="0CE0AE8A" w14:textId="77777777" w:rsidR="00C60230" w:rsidRDefault="003C62BB">
      <w:pPr>
        <w:pStyle w:val="Heading1"/>
      </w:pPr>
      <w:bookmarkStart w:id="7" w:name="_Toc215925448"/>
      <w:r>
        <w:t xml:space="preserve">2.0 Selection of </w:t>
      </w:r>
      <w:proofErr w:type="spellStart"/>
      <w:r>
        <w:t>Organisation</w:t>
      </w:r>
      <w:proofErr w:type="spellEnd"/>
      <w:r>
        <w:t xml:space="preserve"> and Target Market</w:t>
      </w:r>
      <w:bookmarkEnd w:id="7"/>
    </w:p>
    <w:p w14:paraId="22949AFC" w14:textId="77777777" w:rsidR="00C60230" w:rsidRDefault="003C62BB">
      <w:pPr>
        <w:pStyle w:val="Heading2"/>
      </w:pPr>
      <w:bookmarkStart w:id="8" w:name="_Toc215925449"/>
      <w:r>
        <w:t xml:space="preserve">2.1 Justification for choosing IKEA as the case </w:t>
      </w:r>
      <w:proofErr w:type="spellStart"/>
      <w:r>
        <w:t>organisation</w:t>
      </w:r>
      <w:proofErr w:type="spellEnd"/>
      <w:r>
        <w:t xml:space="preserve"> in the strategic management report</w:t>
      </w:r>
      <w:bookmarkEnd w:id="8"/>
    </w:p>
    <w:p w14:paraId="3A0A6786" w14:textId="77777777" w:rsidR="00C60230" w:rsidRDefault="003C62BB">
      <w:pPr>
        <w:pStyle w:val="Heading3"/>
      </w:pPr>
      <w:bookmarkStart w:id="9" w:name="_Toc215925450"/>
      <w:r>
        <w:t>2.2.1 Core competencies and financial capacity of IKEA</w:t>
      </w:r>
      <w:bookmarkEnd w:id="9"/>
    </w:p>
    <w:p w14:paraId="3C325F70" w14:textId="77777777" w:rsidR="00C60230" w:rsidRDefault="003C62BB">
      <w:pPr>
        <w:spacing w:after="200" w:line="360" w:lineRule="auto"/>
        <w:jc w:val="both"/>
        <w:rPr>
          <w:sz w:val="24"/>
          <w:szCs w:val="24"/>
        </w:rPr>
      </w:pPr>
      <w:r>
        <w:rPr>
          <w:sz w:val="24"/>
          <w:szCs w:val="24"/>
        </w:rPr>
        <w:t xml:space="preserve">Considering the findings of Goel and Garg (2018); </w:t>
      </w:r>
      <w:proofErr w:type="spellStart"/>
      <w:r>
        <w:rPr>
          <w:sz w:val="24"/>
          <w:szCs w:val="24"/>
        </w:rPr>
        <w:t>Alzghool</w:t>
      </w:r>
      <w:proofErr w:type="spellEnd"/>
      <w:r>
        <w:rPr>
          <w:sz w:val="24"/>
          <w:szCs w:val="24"/>
        </w:rPr>
        <w:t xml:space="preserve"> (2021); IKEA pioneered flat-pack design </w:t>
      </w:r>
      <w:proofErr w:type="gramStart"/>
      <w:r>
        <w:rPr>
          <w:sz w:val="24"/>
          <w:szCs w:val="24"/>
        </w:rPr>
        <w:t>in order to</w:t>
      </w:r>
      <w:proofErr w:type="gramEnd"/>
      <w:r>
        <w:rPr>
          <w:sz w:val="24"/>
          <w:szCs w:val="24"/>
        </w:rPr>
        <w:t xml:space="preserve"> make ready-to-assemble furniture more affordable. Also, the brand’s commitment to sustainability and affordability leverages new opportunities to target cost-conscious and environmentally friendly consumers across the globe. The brand also incorporates the Circular Economy processes by recycling, refurbishing and reusing its outdated furniture resources, instead of discarding them. Also, supply chain expertise and strong brand image increased IKEA's capacity to withstand market volatility and economic uncertainties. In terms of financial capacity, the 2025 Annual Report of IKEA revealed that the company generated an operating income of 26,306 million euros in FY 2025 (IKEA, 2025). However, the 2025 operating income of IKEA reduced by 232 million euros in comparison to 2024 values (26,538 million euros). The above evidence on IKEA revealed that the brand has the financial capacity to </w:t>
      </w:r>
      <w:proofErr w:type="spellStart"/>
      <w:r>
        <w:rPr>
          <w:sz w:val="24"/>
          <w:szCs w:val="24"/>
        </w:rPr>
        <w:t>internationalise</w:t>
      </w:r>
      <w:proofErr w:type="spellEnd"/>
      <w:r>
        <w:rPr>
          <w:sz w:val="24"/>
          <w:szCs w:val="24"/>
        </w:rPr>
        <w:t xml:space="preserve"> to new foreign markets in the coming years. </w:t>
      </w:r>
    </w:p>
    <w:p w14:paraId="73842AC5" w14:textId="77777777" w:rsidR="00C60230" w:rsidRDefault="003C62BB">
      <w:pPr>
        <w:pStyle w:val="Heading3"/>
      </w:pPr>
      <w:bookmarkStart w:id="10" w:name="_Toc215925451"/>
      <w:r>
        <w:t>2.2.2 IKEA’s commitment to sustainability</w:t>
      </w:r>
      <w:bookmarkEnd w:id="10"/>
    </w:p>
    <w:p w14:paraId="3069B4AA" w14:textId="77777777" w:rsidR="00C60230" w:rsidRDefault="003C62BB">
      <w:pPr>
        <w:spacing w:after="200" w:line="360" w:lineRule="auto"/>
        <w:jc w:val="both"/>
        <w:rPr>
          <w:sz w:val="24"/>
          <w:szCs w:val="24"/>
        </w:rPr>
      </w:pPr>
      <w:r>
        <w:rPr>
          <w:sz w:val="24"/>
          <w:szCs w:val="24"/>
        </w:rPr>
        <w:t xml:space="preserve">The sustainability report of IKEA revealed that 98% of wood used in the production and manufacturing of home furniture is either recycled or FRC certified (“Forest Stewardship Council”). The circular assessment of more than 9,500 product portfolios collectively contributed to reducing wood resource </w:t>
      </w:r>
      <w:proofErr w:type="gramStart"/>
      <w:r>
        <w:rPr>
          <w:sz w:val="24"/>
          <w:szCs w:val="24"/>
        </w:rPr>
        <w:t>wastage</w:t>
      </w:r>
      <w:proofErr w:type="gramEnd"/>
      <w:r>
        <w:rPr>
          <w:sz w:val="24"/>
          <w:szCs w:val="24"/>
        </w:rPr>
        <w:t xml:space="preserve"> across IKEA’s value chain. The above initiatives were carried out under IKEA’s “Climate-Positive” and “People &amp; Plant-Positive” agenda. </w:t>
      </w:r>
    </w:p>
    <w:p w14:paraId="6244A337" w14:textId="77777777" w:rsidR="00C60230" w:rsidRDefault="003C62BB">
      <w:pPr>
        <w:pStyle w:val="Heading3"/>
      </w:pPr>
      <w:bookmarkStart w:id="11" w:name="_Toc215925452"/>
      <w:r>
        <w:lastRenderedPageBreak/>
        <w:t>2.2.3 Current sustainability and regulatory problems experienced at IKEA: Fish Bone Analysis</w:t>
      </w:r>
      <w:bookmarkEnd w:id="11"/>
    </w:p>
    <w:p w14:paraId="7E365D6D" w14:textId="77777777" w:rsidR="00C60230" w:rsidRDefault="003C62BB">
      <w:pPr>
        <w:spacing w:after="200" w:line="360" w:lineRule="auto"/>
        <w:jc w:val="center"/>
        <w:rPr>
          <w:b/>
          <w:bCs/>
          <w:sz w:val="24"/>
          <w:szCs w:val="24"/>
        </w:rPr>
      </w:pPr>
      <w:r>
        <w:rPr>
          <w:b/>
          <w:bCs/>
          <w:noProof/>
          <w:sz w:val="24"/>
          <w:szCs w:val="24"/>
        </w:rPr>
        <w:drawing>
          <wp:inline distT="114300" distB="114300" distL="114300" distR="114300" wp14:anchorId="0EB0E366" wp14:editId="33107E3F">
            <wp:extent cx="5731200" cy="4267200"/>
            <wp:effectExtent l="25400" t="25400" r="25400" b="25400"/>
            <wp:docPr id="1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5731200" cy="4267200"/>
                    </a:xfrm>
                    <a:prstGeom prst="rect">
                      <a:avLst/>
                    </a:prstGeom>
                    <a:ln w="25400">
                      <a:solidFill>
                        <a:srgbClr val="000000"/>
                      </a:solidFill>
                      <a:prstDash val="solid"/>
                    </a:ln>
                  </pic:spPr>
                </pic:pic>
              </a:graphicData>
            </a:graphic>
          </wp:inline>
        </w:drawing>
      </w:r>
    </w:p>
    <w:p w14:paraId="06AB26BF" w14:textId="77777777" w:rsidR="00C60230" w:rsidRDefault="003C62BB">
      <w:pPr>
        <w:spacing w:after="200" w:line="360" w:lineRule="auto"/>
        <w:jc w:val="center"/>
        <w:rPr>
          <w:b/>
          <w:bCs/>
          <w:sz w:val="24"/>
          <w:szCs w:val="24"/>
        </w:rPr>
      </w:pPr>
      <w:r>
        <w:rPr>
          <w:b/>
          <w:bCs/>
          <w:sz w:val="24"/>
          <w:szCs w:val="24"/>
        </w:rPr>
        <w:t>Figure 3: Cause and effect analysis on “regulatory costs and illegal wood sourcing problem” at IKEA</w:t>
      </w:r>
    </w:p>
    <w:p w14:paraId="6EFA2282" w14:textId="77777777" w:rsidR="00C60230" w:rsidRDefault="003C62BB">
      <w:pPr>
        <w:spacing w:after="200" w:line="360" w:lineRule="auto"/>
        <w:jc w:val="center"/>
        <w:rPr>
          <w:b/>
          <w:bCs/>
          <w:sz w:val="24"/>
          <w:szCs w:val="24"/>
        </w:rPr>
      </w:pPr>
      <w:r>
        <w:rPr>
          <w:b/>
          <w:bCs/>
          <w:sz w:val="24"/>
          <w:szCs w:val="24"/>
        </w:rPr>
        <w:t>Source: (Self-created)</w:t>
      </w:r>
    </w:p>
    <w:p w14:paraId="0D0ACD1E" w14:textId="77777777" w:rsidR="00C60230" w:rsidRDefault="003C62BB">
      <w:pPr>
        <w:spacing w:after="200" w:line="360" w:lineRule="auto"/>
        <w:jc w:val="both"/>
        <w:rPr>
          <w:sz w:val="24"/>
          <w:szCs w:val="24"/>
        </w:rPr>
      </w:pPr>
      <w:r>
        <w:rPr>
          <w:sz w:val="24"/>
          <w:szCs w:val="24"/>
        </w:rPr>
        <w:t xml:space="preserve">Despite these ambitious results, IKEA is struggling to cope with the expensive nature of sustainable and regulatory irregularities. For example, IKEA faced legal allegations over using illegally sourced wood in the timber supply chain. Thus, IKEA is chosen for the assignment to propose evidence-based solutions to improve governance and transparency in its supply chain activities, during its process of </w:t>
      </w:r>
      <w:proofErr w:type="spellStart"/>
      <w:r>
        <w:rPr>
          <w:sz w:val="24"/>
          <w:szCs w:val="24"/>
        </w:rPr>
        <w:t>internationalising</w:t>
      </w:r>
      <w:proofErr w:type="spellEnd"/>
      <w:r>
        <w:rPr>
          <w:sz w:val="24"/>
          <w:szCs w:val="24"/>
        </w:rPr>
        <w:t xml:space="preserve"> to new foreign markets. </w:t>
      </w:r>
      <w:r>
        <w:rPr>
          <w:b/>
          <w:bCs/>
          <w:i/>
          <w:iCs/>
          <w:sz w:val="24"/>
          <w:szCs w:val="24"/>
        </w:rPr>
        <w:t>Figure 3</w:t>
      </w:r>
      <w:r>
        <w:rPr>
          <w:sz w:val="24"/>
          <w:szCs w:val="24"/>
        </w:rPr>
        <w:t xml:space="preserve"> shows that inconsistent timber harvesting laws, fragmented supply chain, poor transparency, siloed decision-making and outdated digital tracking collectively contributed to the Illegal wood sourcing problem at IKEA. The report will help to suggest evidence-based solutions </w:t>
      </w:r>
      <w:r>
        <w:rPr>
          <w:sz w:val="24"/>
          <w:szCs w:val="24"/>
        </w:rPr>
        <w:lastRenderedPageBreak/>
        <w:t>for improving the supply chain transparency of IKEA, while expanding to a new foreign market.</w:t>
      </w:r>
    </w:p>
    <w:p w14:paraId="726B9CFC" w14:textId="77777777" w:rsidR="00C60230" w:rsidRDefault="003C62BB">
      <w:pPr>
        <w:pStyle w:val="Heading2"/>
      </w:pPr>
      <w:bookmarkStart w:id="12" w:name="_Toc215925453"/>
      <w:r>
        <w:t xml:space="preserve">2.2 Proposing a foreign target market for </w:t>
      </w:r>
      <w:proofErr w:type="spellStart"/>
      <w:r>
        <w:t>internationalising</w:t>
      </w:r>
      <w:proofErr w:type="spellEnd"/>
      <w:r>
        <w:t xml:space="preserve"> IKEA</w:t>
      </w:r>
      <w:bookmarkEnd w:id="12"/>
    </w:p>
    <w:p w14:paraId="25726C61" w14:textId="77777777" w:rsidR="00C60230" w:rsidRDefault="003C62BB">
      <w:pPr>
        <w:pStyle w:val="Heading3"/>
      </w:pPr>
      <w:bookmarkStart w:id="13" w:name="_Toc215925454"/>
      <w:r>
        <w:t>2.2.1 Market Attractiveness of South Africa</w:t>
      </w:r>
      <w:bookmarkEnd w:id="13"/>
    </w:p>
    <w:p w14:paraId="31B49064" w14:textId="77777777" w:rsidR="00C60230" w:rsidRDefault="003C62BB">
      <w:pPr>
        <w:spacing w:after="200" w:line="360" w:lineRule="auto"/>
        <w:jc w:val="both"/>
        <w:rPr>
          <w:sz w:val="24"/>
          <w:szCs w:val="24"/>
        </w:rPr>
      </w:pPr>
      <w:r>
        <w:rPr>
          <w:sz w:val="24"/>
          <w:szCs w:val="24"/>
        </w:rPr>
        <w:t>The home furniture market in South Africa generated a revenue of US$1.51 billion in 2025 (Statista, 2025). On the other hand, Fortune Business Insights found that the home furniture and decor market is currently growing at a CAGR of 5.17% in the period, “2025-2032” (Fortune Business Insights, 2025). The above statistics indicate there is a consistent demand for affordable and sustainable home furniture and decor items in South Africa.</w:t>
      </w:r>
    </w:p>
    <w:p w14:paraId="77142D48" w14:textId="77777777" w:rsidR="00C60230" w:rsidRDefault="003C62BB">
      <w:pPr>
        <w:spacing w:after="200" w:line="360" w:lineRule="auto"/>
        <w:jc w:val="both"/>
        <w:rPr>
          <w:sz w:val="24"/>
          <w:szCs w:val="24"/>
        </w:rPr>
      </w:pPr>
      <w:r>
        <w:rPr>
          <w:sz w:val="24"/>
          <w:szCs w:val="24"/>
        </w:rPr>
        <w:t>From the economic perspective, it was found that South African GDP expanded by 0.6% in 2024, thus, rebounding from the detrimental impact of COVID-19 (</w:t>
      </w:r>
      <w:proofErr w:type="spellStart"/>
      <w:r>
        <w:rPr>
          <w:sz w:val="24"/>
          <w:szCs w:val="24"/>
        </w:rPr>
        <w:t>Thukwana</w:t>
      </w:r>
      <w:proofErr w:type="spellEnd"/>
      <w:r>
        <w:rPr>
          <w:sz w:val="24"/>
          <w:szCs w:val="24"/>
        </w:rPr>
        <w:t>, 2025). As per CWEIC (“Commonwealth Enterprise and Investment Council”), the middle-class population in South Africa increased to 313 million in 2025 from 111 million people in 1980 (CWEIC, 2025). The South African Government enacted a “</w:t>
      </w:r>
      <w:r>
        <w:rPr>
          <w:b/>
          <w:bCs/>
          <w:i/>
          <w:iCs/>
          <w:sz w:val="24"/>
          <w:szCs w:val="24"/>
        </w:rPr>
        <w:t>Special Economic Zones</w:t>
      </w:r>
      <w:r>
        <w:rPr>
          <w:sz w:val="24"/>
          <w:szCs w:val="24"/>
        </w:rPr>
        <w:t>” (SEZ) program in 2014 to develop more industrial development zones and boost economic freedom in the region (</w:t>
      </w:r>
      <w:proofErr w:type="spellStart"/>
      <w:r>
        <w:rPr>
          <w:sz w:val="24"/>
          <w:szCs w:val="24"/>
        </w:rPr>
        <w:t>Qumba</w:t>
      </w:r>
      <w:proofErr w:type="spellEnd"/>
      <w:r>
        <w:rPr>
          <w:sz w:val="24"/>
          <w:szCs w:val="24"/>
        </w:rPr>
        <w:t xml:space="preserve">, 2023).  </w:t>
      </w:r>
    </w:p>
    <w:p w14:paraId="5C1A2501" w14:textId="77777777" w:rsidR="00C60230" w:rsidRDefault="003C62BB">
      <w:pPr>
        <w:pStyle w:val="Heading3"/>
      </w:pPr>
      <w:bookmarkStart w:id="14" w:name="_Toc215925455"/>
      <w:r>
        <w:t>2.2.2 Justifying the selection of the target market and its alignment with strategic intent of IKEA</w:t>
      </w:r>
      <w:bookmarkEnd w:id="14"/>
    </w:p>
    <w:p w14:paraId="720A8F52" w14:textId="77777777" w:rsidR="00C60230" w:rsidRDefault="003C62BB">
      <w:pPr>
        <w:spacing w:after="200" w:line="360" w:lineRule="auto"/>
        <w:jc w:val="both"/>
        <w:rPr>
          <w:sz w:val="24"/>
          <w:szCs w:val="24"/>
        </w:rPr>
      </w:pPr>
      <w:r>
        <w:rPr>
          <w:sz w:val="24"/>
          <w:szCs w:val="24"/>
        </w:rPr>
        <w:t xml:space="preserve">Section 2.2.1 reveals that sustainability, affordability and free-pack furniture design are the strategic objectives and priorities for IKEA for </w:t>
      </w:r>
      <w:proofErr w:type="spellStart"/>
      <w:r>
        <w:rPr>
          <w:sz w:val="24"/>
          <w:szCs w:val="24"/>
        </w:rPr>
        <w:t>internationalisation</w:t>
      </w:r>
      <w:proofErr w:type="spellEnd"/>
      <w:r>
        <w:rPr>
          <w:sz w:val="24"/>
          <w:szCs w:val="24"/>
        </w:rPr>
        <w:t>. CCPI (“Climate Change Performance Index”) found out that South Africa ranked within the top 38 countries</w:t>
      </w:r>
      <w:r>
        <w:rPr>
          <w:b/>
          <w:bCs/>
          <w:i/>
          <w:iCs/>
          <w:sz w:val="24"/>
          <w:szCs w:val="24"/>
        </w:rPr>
        <w:t xml:space="preserve"> (see Figure 4)</w:t>
      </w:r>
      <w:r>
        <w:rPr>
          <w:sz w:val="24"/>
          <w:szCs w:val="24"/>
        </w:rPr>
        <w:t xml:space="preserve"> by raising voices for equity, sustainable development, climate justice and </w:t>
      </w:r>
      <w:proofErr w:type="spellStart"/>
      <w:r>
        <w:rPr>
          <w:sz w:val="24"/>
          <w:szCs w:val="24"/>
        </w:rPr>
        <w:t>decarbonisation</w:t>
      </w:r>
      <w:proofErr w:type="spellEnd"/>
      <w:r>
        <w:rPr>
          <w:sz w:val="24"/>
          <w:szCs w:val="24"/>
        </w:rPr>
        <w:t xml:space="preserve"> in 2025 (CCPI, 2025). The market reinforced the G20 and UNFCCC principles of climate ambition and </w:t>
      </w:r>
      <w:proofErr w:type="spellStart"/>
      <w:r>
        <w:rPr>
          <w:sz w:val="24"/>
          <w:szCs w:val="24"/>
        </w:rPr>
        <w:t>decarbonisation</w:t>
      </w:r>
      <w:proofErr w:type="spellEnd"/>
      <w:r>
        <w:rPr>
          <w:sz w:val="24"/>
          <w:szCs w:val="24"/>
        </w:rPr>
        <w:t xml:space="preserve"> with its Green Transport Strategy (CCPI, 2025). However, coal still dominates in the power sector of South Africa, thus, IKEA can have a strategic edge in South Africa by producing sustainable home furniture with renewable energy and recycling technology. </w:t>
      </w:r>
    </w:p>
    <w:p w14:paraId="1A293593" w14:textId="77777777" w:rsidR="00C60230" w:rsidRDefault="003C62BB">
      <w:pPr>
        <w:spacing w:after="200" w:line="360" w:lineRule="auto"/>
        <w:jc w:val="both"/>
        <w:rPr>
          <w:sz w:val="24"/>
          <w:szCs w:val="24"/>
        </w:rPr>
      </w:pPr>
      <w:r>
        <w:rPr>
          <w:sz w:val="24"/>
          <w:szCs w:val="24"/>
        </w:rPr>
        <w:lastRenderedPageBreak/>
        <w:t xml:space="preserve">The overarching goal can be fulfilled by </w:t>
      </w:r>
      <w:proofErr w:type="spellStart"/>
      <w:r>
        <w:rPr>
          <w:sz w:val="24"/>
          <w:szCs w:val="24"/>
        </w:rPr>
        <w:t>capitalising</w:t>
      </w:r>
      <w:proofErr w:type="spellEnd"/>
      <w:r>
        <w:rPr>
          <w:sz w:val="24"/>
          <w:szCs w:val="24"/>
        </w:rPr>
        <w:t xml:space="preserve"> on the market liberation and sustainability opportunities in South Africa, for example, “</w:t>
      </w:r>
      <w:r>
        <w:rPr>
          <w:i/>
          <w:iCs/>
          <w:sz w:val="24"/>
          <w:szCs w:val="24"/>
        </w:rPr>
        <w:t xml:space="preserve">Renewable Energy Independent Power Producer Procurement </w:t>
      </w:r>
      <w:proofErr w:type="spellStart"/>
      <w:r>
        <w:rPr>
          <w:i/>
          <w:iCs/>
          <w:sz w:val="24"/>
          <w:szCs w:val="24"/>
        </w:rPr>
        <w:t>Programme</w:t>
      </w:r>
      <w:proofErr w:type="spellEnd"/>
      <w:r>
        <w:rPr>
          <w:sz w:val="24"/>
          <w:szCs w:val="24"/>
        </w:rPr>
        <w:t>” (REIPPPP) (CCPI, 2025). Also, the consistent demand for functional furniture at an affordable price in South Africa closely fits with the strategic intent of IKEA (affordable and flat package designs). Also, the South African Government also enacted “National Forest Act 1988” for regulating illegal wood sourcing activities (</w:t>
      </w:r>
      <w:proofErr w:type="spellStart"/>
      <w:r>
        <w:rPr>
          <w:sz w:val="24"/>
          <w:szCs w:val="24"/>
        </w:rPr>
        <w:t>Sinthumule</w:t>
      </w:r>
      <w:proofErr w:type="spellEnd"/>
      <w:r>
        <w:rPr>
          <w:sz w:val="24"/>
          <w:szCs w:val="24"/>
        </w:rPr>
        <w:t xml:space="preserve">, 2025). </w:t>
      </w:r>
      <w:proofErr w:type="gramStart"/>
      <w:r>
        <w:rPr>
          <w:sz w:val="24"/>
          <w:szCs w:val="24"/>
        </w:rPr>
        <w:t>The regulatory</w:t>
      </w:r>
      <w:proofErr w:type="gramEnd"/>
      <w:r>
        <w:rPr>
          <w:sz w:val="24"/>
          <w:szCs w:val="24"/>
        </w:rPr>
        <w:t xml:space="preserve"> and legal protection will positively contribute to </w:t>
      </w:r>
      <w:proofErr w:type="gramStart"/>
      <w:r>
        <w:rPr>
          <w:sz w:val="24"/>
          <w:szCs w:val="24"/>
        </w:rPr>
        <w:t>improve</w:t>
      </w:r>
      <w:proofErr w:type="gramEnd"/>
      <w:r>
        <w:rPr>
          <w:sz w:val="24"/>
          <w:szCs w:val="24"/>
        </w:rPr>
        <w:t xml:space="preserve"> the governance and transparency outcomes of wood sourcing at IKEA. The above evidence justified the alignment of </w:t>
      </w:r>
      <w:proofErr w:type="spellStart"/>
      <w:r>
        <w:rPr>
          <w:sz w:val="24"/>
          <w:szCs w:val="24"/>
        </w:rPr>
        <w:t>organisational</w:t>
      </w:r>
      <w:proofErr w:type="spellEnd"/>
      <w:r>
        <w:rPr>
          <w:sz w:val="24"/>
          <w:szCs w:val="24"/>
        </w:rPr>
        <w:t xml:space="preserve"> strategy and priorities and market attributes in South Africa. </w:t>
      </w:r>
    </w:p>
    <w:p w14:paraId="39F91AC0" w14:textId="77777777" w:rsidR="00C60230" w:rsidRDefault="003C62BB">
      <w:pPr>
        <w:spacing w:after="200" w:line="360" w:lineRule="auto"/>
        <w:jc w:val="center"/>
        <w:rPr>
          <w:b/>
          <w:bCs/>
          <w:sz w:val="24"/>
          <w:szCs w:val="24"/>
        </w:rPr>
      </w:pPr>
      <w:r>
        <w:rPr>
          <w:b/>
          <w:bCs/>
          <w:noProof/>
          <w:sz w:val="24"/>
          <w:szCs w:val="24"/>
        </w:rPr>
        <w:drawing>
          <wp:inline distT="114300" distB="114300" distL="114300" distR="114300" wp14:anchorId="1AC80796" wp14:editId="06D7D106">
            <wp:extent cx="5486400" cy="1628775"/>
            <wp:effectExtent l="25400" t="25400" r="25400" b="25400"/>
            <wp:docPr id="1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5486400" cy="1628775"/>
                    </a:xfrm>
                    <a:prstGeom prst="rect">
                      <a:avLst/>
                    </a:prstGeom>
                    <a:ln w="25400">
                      <a:solidFill>
                        <a:srgbClr val="000000"/>
                      </a:solidFill>
                      <a:prstDash val="solid"/>
                    </a:ln>
                  </pic:spPr>
                </pic:pic>
              </a:graphicData>
            </a:graphic>
          </wp:inline>
        </w:drawing>
      </w:r>
    </w:p>
    <w:p w14:paraId="24840321" w14:textId="77777777" w:rsidR="00C60230" w:rsidRDefault="003C62BB">
      <w:pPr>
        <w:spacing w:after="200" w:line="360" w:lineRule="auto"/>
        <w:jc w:val="center"/>
        <w:rPr>
          <w:b/>
          <w:bCs/>
          <w:sz w:val="24"/>
          <w:szCs w:val="24"/>
        </w:rPr>
      </w:pPr>
      <w:r>
        <w:rPr>
          <w:b/>
          <w:bCs/>
          <w:sz w:val="24"/>
          <w:szCs w:val="24"/>
        </w:rPr>
        <w:t>Figure 4: CCPI rank of South Africa in 2025</w:t>
      </w:r>
    </w:p>
    <w:p w14:paraId="7778D87C" w14:textId="77777777" w:rsidR="00C60230" w:rsidRDefault="003C62BB">
      <w:pPr>
        <w:spacing w:after="200" w:line="360" w:lineRule="auto"/>
        <w:jc w:val="center"/>
        <w:rPr>
          <w:b/>
          <w:bCs/>
          <w:sz w:val="24"/>
          <w:szCs w:val="24"/>
        </w:rPr>
      </w:pPr>
      <w:r>
        <w:rPr>
          <w:b/>
          <w:bCs/>
          <w:sz w:val="24"/>
          <w:szCs w:val="24"/>
        </w:rPr>
        <w:t>Source: (CCPI, 2025)</w:t>
      </w:r>
    </w:p>
    <w:p w14:paraId="72160288" w14:textId="77777777" w:rsidR="00C60230" w:rsidRDefault="003C62BB">
      <w:pPr>
        <w:pStyle w:val="Heading1"/>
      </w:pPr>
      <w:bookmarkStart w:id="15" w:name="_Toc215925456"/>
      <w:r>
        <w:t>3.0 Comprehensive Strategic Analysis</w:t>
      </w:r>
      <w:bookmarkEnd w:id="15"/>
    </w:p>
    <w:p w14:paraId="516C146A" w14:textId="77777777" w:rsidR="00C60230" w:rsidRDefault="003C62BB">
      <w:pPr>
        <w:pStyle w:val="Heading2"/>
      </w:pPr>
      <w:bookmarkStart w:id="16" w:name="_Toc215925457"/>
      <w:r>
        <w:t>3.1 Macroenvironmental analysis of the South African Furniture market: PESTLE</w:t>
      </w:r>
      <w:bookmarkEnd w:id="16"/>
    </w:p>
    <w:tbl>
      <w:tblPr>
        <w:tblStyle w:val="a5"/>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30"/>
        <w:gridCol w:w="6045"/>
        <w:gridCol w:w="1725"/>
      </w:tblGrid>
      <w:tr w:rsidR="00C60230" w14:paraId="012E29D7" w14:textId="77777777">
        <w:tc>
          <w:tcPr>
            <w:tcW w:w="1230" w:type="dxa"/>
            <w:tcMar>
              <w:top w:w="100" w:type="dxa"/>
              <w:left w:w="100" w:type="dxa"/>
              <w:bottom w:w="100" w:type="dxa"/>
              <w:right w:w="100" w:type="dxa"/>
            </w:tcMar>
          </w:tcPr>
          <w:p w14:paraId="3A580DD6" w14:textId="77777777" w:rsidR="00C60230" w:rsidRDefault="003C62BB">
            <w:pPr>
              <w:widowControl w:val="0"/>
              <w:pBdr>
                <w:top w:val="nil"/>
                <w:left w:val="nil"/>
                <w:bottom w:val="nil"/>
                <w:right w:val="nil"/>
                <w:between w:val="nil"/>
              </w:pBdr>
              <w:spacing w:line="240" w:lineRule="auto"/>
              <w:jc w:val="center"/>
              <w:rPr>
                <w:b/>
                <w:bCs/>
                <w:sz w:val="24"/>
                <w:szCs w:val="24"/>
              </w:rPr>
            </w:pPr>
            <w:r>
              <w:rPr>
                <w:b/>
                <w:bCs/>
                <w:sz w:val="24"/>
                <w:szCs w:val="24"/>
              </w:rPr>
              <w:t>PESTLE dimensions</w:t>
            </w:r>
          </w:p>
        </w:tc>
        <w:tc>
          <w:tcPr>
            <w:tcW w:w="6045" w:type="dxa"/>
            <w:tcMar>
              <w:top w:w="100" w:type="dxa"/>
              <w:left w:w="100" w:type="dxa"/>
              <w:bottom w:w="100" w:type="dxa"/>
              <w:right w:w="100" w:type="dxa"/>
            </w:tcMar>
          </w:tcPr>
          <w:p w14:paraId="5F1790B9" w14:textId="77777777" w:rsidR="00C60230" w:rsidRDefault="003C62BB">
            <w:pPr>
              <w:widowControl w:val="0"/>
              <w:pBdr>
                <w:top w:val="nil"/>
                <w:left w:val="nil"/>
                <w:bottom w:val="nil"/>
                <w:right w:val="nil"/>
                <w:between w:val="nil"/>
              </w:pBdr>
              <w:spacing w:line="240" w:lineRule="auto"/>
              <w:jc w:val="center"/>
              <w:rPr>
                <w:b/>
                <w:bCs/>
                <w:sz w:val="24"/>
                <w:szCs w:val="24"/>
              </w:rPr>
            </w:pPr>
            <w:r>
              <w:rPr>
                <w:b/>
                <w:bCs/>
                <w:sz w:val="24"/>
                <w:szCs w:val="24"/>
              </w:rPr>
              <w:t>Description</w:t>
            </w:r>
          </w:p>
        </w:tc>
        <w:tc>
          <w:tcPr>
            <w:tcW w:w="1725" w:type="dxa"/>
            <w:tcMar>
              <w:top w:w="100" w:type="dxa"/>
              <w:left w:w="100" w:type="dxa"/>
              <w:bottom w:w="100" w:type="dxa"/>
              <w:right w:w="100" w:type="dxa"/>
            </w:tcMar>
          </w:tcPr>
          <w:p w14:paraId="2617FC13" w14:textId="77777777" w:rsidR="00C60230" w:rsidRDefault="003C62BB">
            <w:pPr>
              <w:widowControl w:val="0"/>
              <w:pBdr>
                <w:top w:val="nil"/>
                <w:left w:val="nil"/>
                <w:bottom w:val="nil"/>
                <w:right w:val="nil"/>
                <w:between w:val="nil"/>
              </w:pBdr>
              <w:spacing w:line="240" w:lineRule="auto"/>
              <w:jc w:val="center"/>
              <w:rPr>
                <w:b/>
                <w:bCs/>
                <w:sz w:val="24"/>
                <w:szCs w:val="24"/>
              </w:rPr>
            </w:pPr>
            <w:r>
              <w:rPr>
                <w:b/>
                <w:bCs/>
                <w:sz w:val="24"/>
                <w:szCs w:val="24"/>
              </w:rPr>
              <w:t>Opportunity/Threats for IKEA</w:t>
            </w:r>
          </w:p>
        </w:tc>
      </w:tr>
      <w:tr w:rsidR="00C60230" w14:paraId="4F05F147" w14:textId="77777777">
        <w:tc>
          <w:tcPr>
            <w:tcW w:w="1230" w:type="dxa"/>
            <w:tcMar>
              <w:top w:w="100" w:type="dxa"/>
              <w:left w:w="100" w:type="dxa"/>
              <w:bottom w:w="100" w:type="dxa"/>
              <w:right w:w="100" w:type="dxa"/>
            </w:tcMar>
          </w:tcPr>
          <w:p w14:paraId="6307D4C6"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Political</w:t>
            </w:r>
          </w:p>
        </w:tc>
        <w:tc>
          <w:tcPr>
            <w:tcW w:w="6045" w:type="dxa"/>
            <w:tcMar>
              <w:top w:w="100" w:type="dxa"/>
              <w:left w:w="100" w:type="dxa"/>
              <w:bottom w:w="100" w:type="dxa"/>
              <w:right w:w="100" w:type="dxa"/>
            </w:tcMar>
          </w:tcPr>
          <w:p w14:paraId="3E7AAE8F" w14:textId="77777777" w:rsidR="00C60230" w:rsidRDefault="003C62BB">
            <w:pPr>
              <w:widowControl w:val="0"/>
              <w:numPr>
                <w:ilvl w:val="0"/>
                <w:numId w:val="2"/>
              </w:numPr>
              <w:pBdr>
                <w:top w:val="nil"/>
                <w:left w:val="nil"/>
                <w:bottom w:val="nil"/>
                <w:right w:val="nil"/>
                <w:between w:val="nil"/>
              </w:pBdr>
              <w:spacing w:line="360" w:lineRule="auto"/>
              <w:jc w:val="both"/>
              <w:rPr>
                <w:b/>
                <w:bCs/>
                <w:sz w:val="24"/>
                <w:szCs w:val="24"/>
              </w:rPr>
            </w:pPr>
            <w:r>
              <w:rPr>
                <w:sz w:val="24"/>
                <w:szCs w:val="24"/>
              </w:rPr>
              <w:t>Around 49% of</w:t>
            </w:r>
            <w:r>
              <w:rPr>
                <w:b/>
                <w:bCs/>
                <w:sz w:val="24"/>
                <w:szCs w:val="24"/>
              </w:rPr>
              <w:t xml:space="preserve"> </w:t>
            </w:r>
            <w:r>
              <w:rPr>
                <w:sz w:val="24"/>
                <w:szCs w:val="24"/>
              </w:rPr>
              <w:t xml:space="preserve">surveyed South Africans believed that the </w:t>
            </w:r>
            <w:r>
              <w:rPr>
                <w:b/>
                <w:bCs/>
                <w:sz w:val="24"/>
                <w:szCs w:val="24"/>
              </w:rPr>
              <w:t>corruption</w:t>
            </w:r>
            <w:r>
              <w:rPr>
                <w:sz w:val="24"/>
                <w:szCs w:val="24"/>
              </w:rPr>
              <w:t xml:space="preserve"> level had increased in the last few years (Patel and Govindasamy, 2021).</w:t>
            </w:r>
          </w:p>
          <w:p w14:paraId="03878835" w14:textId="77777777" w:rsidR="00C60230" w:rsidRDefault="003C62BB">
            <w:pPr>
              <w:widowControl w:val="0"/>
              <w:numPr>
                <w:ilvl w:val="0"/>
                <w:numId w:val="2"/>
              </w:numPr>
              <w:pBdr>
                <w:top w:val="nil"/>
                <w:left w:val="nil"/>
                <w:bottom w:val="nil"/>
                <w:right w:val="nil"/>
                <w:between w:val="nil"/>
              </w:pBdr>
              <w:spacing w:line="360" w:lineRule="auto"/>
              <w:jc w:val="both"/>
              <w:rPr>
                <w:sz w:val="24"/>
                <w:szCs w:val="24"/>
              </w:rPr>
            </w:pPr>
            <w:r>
              <w:rPr>
                <w:b/>
                <w:bCs/>
                <w:sz w:val="24"/>
                <w:szCs w:val="24"/>
              </w:rPr>
              <w:lastRenderedPageBreak/>
              <w:t xml:space="preserve">Protectionist measures and </w:t>
            </w:r>
            <w:proofErr w:type="spellStart"/>
            <w:r>
              <w:rPr>
                <w:b/>
                <w:bCs/>
                <w:sz w:val="24"/>
                <w:szCs w:val="24"/>
              </w:rPr>
              <w:t>localisation</w:t>
            </w:r>
            <w:proofErr w:type="spellEnd"/>
            <w:r>
              <w:rPr>
                <w:sz w:val="24"/>
                <w:szCs w:val="24"/>
              </w:rPr>
              <w:t xml:space="preserve"> priorities of the South African Government acted as entry barriers for foreign companies (Bernstein, Bernstein and Bernstein, 2024).</w:t>
            </w:r>
          </w:p>
        </w:tc>
        <w:tc>
          <w:tcPr>
            <w:tcW w:w="1725" w:type="dxa"/>
            <w:shd w:val="clear" w:color="auto" w:fill="FF0000"/>
            <w:tcMar>
              <w:top w:w="100" w:type="dxa"/>
              <w:left w:w="100" w:type="dxa"/>
              <w:bottom w:w="100" w:type="dxa"/>
              <w:right w:w="100" w:type="dxa"/>
            </w:tcMar>
          </w:tcPr>
          <w:p w14:paraId="01810E15"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lastRenderedPageBreak/>
              <w:t>Threat</w:t>
            </w:r>
          </w:p>
        </w:tc>
      </w:tr>
      <w:tr w:rsidR="00C60230" w14:paraId="6CFDA84F" w14:textId="77777777">
        <w:tc>
          <w:tcPr>
            <w:tcW w:w="1230" w:type="dxa"/>
            <w:tcMar>
              <w:top w:w="100" w:type="dxa"/>
              <w:left w:w="100" w:type="dxa"/>
              <w:bottom w:w="100" w:type="dxa"/>
              <w:right w:w="100" w:type="dxa"/>
            </w:tcMar>
          </w:tcPr>
          <w:p w14:paraId="32060CBB"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Economic</w:t>
            </w:r>
          </w:p>
        </w:tc>
        <w:tc>
          <w:tcPr>
            <w:tcW w:w="6045" w:type="dxa"/>
            <w:tcMar>
              <w:top w:w="100" w:type="dxa"/>
              <w:left w:w="100" w:type="dxa"/>
              <w:bottom w:w="100" w:type="dxa"/>
              <w:right w:w="100" w:type="dxa"/>
            </w:tcMar>
          </w:tcPr>
          <w:p w14:paraId="2D23425E" w14:textId="77777777" w:rsidR="00C60230" w:rsidRDefault="003C62BB">
            <w:pPr>
              <w:widowControl w:val="0"/>
              <w:numPr>
                <w:ilvl w:val="0"/>
                <w:numId w:val="6"/>
              </w:numPr>
              <w:pBdr>
                <w:top w:val="nil"/>
                <w:left w:val="nil"/>
                <w:bottom w:val="nil"/>
                <w:right w:val="nil"/>
                <w:between w:val="nil"/>
              </w:pBdr>
              <w:spacing w:line="360" w:lineRule="auto"/>
              <w:jc w:val="both"/>
              <w:rPr>
                <w:sz w:val="24"/>
                <w:szCs w:val="24"/>
              </w:rPr>
            </w:pPr>
            <w:r>
              <w:rPr>
                <w:b/>
                <w:bCs/>
                <w:sz w:val="24"/>
                <w:szCs w:val="24"/>
              </w:rPr>
              <w:t>Inflation</w:t>
            </w:r>
            <w:r>
              <w:rPr>
                <w:sz w:val="24"/>
                <w:szCs w:val="24"/>
              </w:rPr>
              <w:t xml:space="preserve"> rate in South Africa dropped from 6% in October 2023 to 2.8% in October 2024, which boosts average household expenditure on furniture items (Acharya and Gumbi, 2024). </w:t>
            </w:r>
          </w:p>
          <w:p w14:paraId="3CB5E139" w14:textId="77777777" w:rsidR="00C60230" w:rsidRDefault="003C62BB">
            <w:pPr>
              <w:widowControl w:val="0"/>
              <w:numPr>
                <w:ilvl w:val="0"/>
                <w:numId w:val="6"/>
              </w:numPr>
              <w:pBdr>
                <w:top w:val="nil"/>
                <w:left w:val="nil"/>
                <w:bottom w:val="nil"/>
                <w:right w:val="nil"/>
                <w:between w:val="nil"/>
              </w:pBdr>
              <w:spacing w:line="360" w:lineRule="auto"/>
              <w:jc w:val="both"/>
              <w:rPr>
                <w:sz w:val="24"/>
                <w:szCs w:val="24"/>
              </w:rPr>
            </w:pPr>
            <w:r>
              <w:rPr>
                <w:sz w:val="24"/>
                <w:szCs w:val="24"/>
              </w:rPr>
              <w:t xml:space="preserve">The net </w:t>
            </w:r>
            <w:r>
              <w:rPr>
                <w:b/>
                <w:bCs/>
                <w:sz w:val="24"/>
                <w:szCs w:val="24"/>
              </w:rPr>
              <w:t>revenue</w:t>
            </w:r>
            <w:r>
              <w:rPr>
                <w:sz w:val="24"/>
                <w:szCs w:val="24"/>
              </w:rPr>
              <w:t xml:space="preserve"> generated by the South African Furniture market in 2021 was $4,822.2 and it is currently rising at a 6.5% CAGR in the period 2022 to 2030 (Grand View Research, 2025). </w:t>
            </w:r>
          </w:p>
        </w:tc>
        <w:tc>
          <w:tcPr>
            <w:tcW w:w="1725" w:type="dxa"/>
            <w:shd w:val="clear" w:color="auto" w:fill="00FF00"/>
            <w:tcMar>
              <w:top w:w="100" w:type="dxa"/>
              <w:left w:w="100" w:type="dxa"/>
              <w:bottom w:w="100" w:type="dxa"/>
              <w:right w:w="100" w:type="dxa"/>
            </w:tcMar>
          </w:tcPr>
          <w:p w14:paraId="288E0FB7"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Opportunity</w:t>
            </w:r>
          </w:p>
        </w:tc>
      </w:tr>
      <w:tr w:rsidR="00C60230" w14:paraId="30B3BA5C" w14:textId="77777777">
        <w:tc>
          <w:tcPr>
            <w:tcW w:w="1230" w:type="dxa"/>
            <w:tcMar>
              <w:top w:w="100" w:type="dxa"/>
              <w:left w:w="100" w:type="dxa"/>
              <w:bottom w:w="100" w:type="dxa"/>
              <w:right w:w="100" w:type="dxa"/>
            </w:tcMar>
          </w:tcPr>
          <w:p w14:paraId="5A2ECDD1"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Social</w:t>
            </w:r>
          </w:p>
        </w:tc>
        <w:tc>
          <w:tcPr>
            <w:tcW w:w="6045" w:type="dxa"/>
            <w:tcMar>
              <w:top w:w="100" w:type="dxa"/>
              <w:left w:w="100" w:type="dxa"/>
              <w:bottom w:w="100" w:type="dxa"/>
              <w:right w:w="100" w:type="dxa"/>
            </w:tcMar>
          </w:tcPr>
          <w:p w14:paraId="509AB326" w14:textId="77777777" w:rsidR="00C60230" w:rsidRDefault="003C62BB">
            <w:pPr>
              <w:widowControl w:val="0"/>
              <w:numPr>
                <w:ilvl w:val="0"/>
                <w:numId w:val="1"/>
              </w:numPr>
              <w:pBdr>
                <w:top w:val="nil"/>
                <w:left w:val="nil"/>
                <w:bottom w:val="nil"/>
                <w:right w:val="nil"/>
                <w:between w:val="nil"/>
              </w:pBdr>
              <w:spacing w:line="360" w:lineRule="auto"/>
              <w:jc w:val="both"/>
              <w:rPr>
                <w:sz w:val="24"/>
                <w:szCs w:val="24"/>
              </w:rPr>
            </w:pPr>
            <w:r>
              <w:rPr>
                <w:sz w:val="24"/>
                <w:szCs w:val="24"/>
              </w:rPr>
              <w:t xml:space="preserve">Around 65%, 59% and 50% of surveyed South Africans Indians preferred bamboo, reclaimed wood and recycled </w:t>
            </w:r>
            <w:r>
              <w:rPr>
                <w:b/>
                <w:bCs/>
                <w:sz w:val="24"/>
                <w:szCs w:val="24"/>
              </w:rPr>
              <w:t>materials</w:t>
            </w:r>
            <w:r>
              <w:rPr>
                <w:sz w:val="24"/>
                <w:szCs w:val="24"/>
              </w:rPr>
              <w:t xml:space="preserve">, respectively for their </w:t>
            </w:r>
            <w:r>
              <w:rPr>
                <w:b/>
                <w:bCs/>
                <w:sz w:val="24"/>
                <w:szCs w:val="24"/>
              </w:rPr>
              <w:t>sustainable office furniture</w:t>
            </w:r>
            <w:r>
              <w:rPr>
                <w:sz w:val="24"/>
                <w:szCs w:val="24"/>
              </w:rPr>
              <w:t xml:space="preserve"> (Watson, 2025).</w:t>
            </w:r>
          </w:p>
          <w:p w14:paraId="59D7AC0B" w14:textId="77777777" w:rsidR="00C60230" w:rsidRDefault="003C62BB">
            <w:pPr>
              <w:widowControl w:val="0"/>
              <w:numPr>
                <w:ilvl w:val="0"/>
                <w:numId w:val="1"/>
              </w:numPr>
              <w:pBdr>
                <w:top w:val="nil"/>
                <w:left w:val="nil"/>
                <w:bottom w:val="nil"/>
                <w:right w:val="nil"/>
                <w:between w:val="nil"/>
              </w:pBdr>
              <w:spacing w:line="360" w:lineRule="auto"/>
              <w:jc w:val="both"/>
              <w:rPr>
                <w:sz w:val="24"/>
                <w:szCs w:val="24"/>
              </w:rPr>
            </w:pPr>
            <w:r>
              <w:rPr>
                <w:sz w:val="24"/>
                <w:szCs w:val="24"/>
              </w:rPr>
              <w:t>Consumers in South Africa make</w:t>
            </w:r>
            <w:r>
              <w:rPr>
                <w:b/>
                <w:bCs/>
                <w:i/>
                <w:iCs/>
                <w:sz w:val="24"/>
                <w:szCs w:val="24"/>
              </w:rPr>
              <w:t xml:space="preserve"> purchase decisions considering the socio-environmental impact </w:t>
            </w:r>
            <w:r>
              <w:rPr>
                <w:sz w:val="24"/>
                <w:szCs w:val="24"/>
              </w:rPr>
              <w:t xml:space="preserve">of home </w:t>
            </w:r>
            <w:proofErr w:type="spellStart"/>
            <w:r>
              <w:rPr>
                <w:sz w:val="24"/>
                <w:szCs w:val="24"/>
              </w:rPr>
              <w:t>furnitures</w:t>
            </w:r>
            <w:proofErr w:type="spellEnd"/>
            <w:r>
              <w:rPr>
                <w:sz w:val="24"/>
                <w:szCs w:val="24"/>
              </w:rPr>
              <w:t xml:space="preserve"> (Statista, 2025). </w:t>
            </w:r>
          </w:p>
        </w:tc>
        <w:tc>
          <w:tcPr>
            <w:tcW w:w="1725" w:type="dxa"/>
            <w:shd w:val="clear" w:color="auto" w:fill="00FF00"/>
            <w:tcMar>
              <w:top w:w="100" w:type="dxa"/>
              <w:left w:w="100" w:type="dxa"/>
              <w:bottom w:w="100" w:type="dxa"/>
              <w:right w:w="100" w:type="dxa"/>
            </w:tcMar>
          </w:tcPr>
          <w:p w14:paraId="41F009C6"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Opportunity</w:t>
            </w:r>
          </w:p>
        </w:tc>
      </w:tr>
      <w:tr w:rsidR="00C60230" w14:paraId="413F9E76" w14:textId="77777777">
        <w:tc>
          <w:tcPr>
            <w:tcW w:w="1230" w:type="dxa"/>
            <w:tcMar>
              <w:top w:w="100" w:type="dxa"/>
              <w:left w:w="100" w:type="dxa"/>
              <w:bottom w:w="100" w:type="dxa"/>
              <w:right w:w="100" w:type="dxa"/>
            </w:tcMar>
          </w:tcPr>
          <w:p w14:paraId="7A01358F"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Technology</w:t>
            </w:r>
          </w:p>
        </w:tc>
        <w:tc>
          <w:tcPr>
            <w:tcW w:w="6045" w:type="dxa"/>
            <w:tcMar>
              <w:top w:w="100" w:type="dxa"/>
              <w:left w:w="100" w:type="dxa"/>
              <w:bottom w:w="100" w:type="dxa"/>
              <w:right w:w="100" w:type="dxa"/>
            </w:tcMar>
          </w:tcPr>
          <w:p w14:paraId="1B709C7F" w14:textId="77777777" w:rsidR="00C60230" w:rsidRDefault="003C62BB">
            <w:pPr>
              <w:widowControl w:val="0"/>
              <w:numPr>
                <w:ilvl w:val="0"/>
                <w:numId w:val="5"/>
              </w:numPr>
              <w:pBdr>
                <w:top w:val="nil"/>
                <w:left w:val="nil"/>
                <w:bottom w:val="nil"/>
                <w:right w:val="nil"/>
                <w:between w:val="nil"/>
              </w:pBdr>
              <w:spacing w:line="360" w:lineRule="auto"/>
              <w:jc w:val="both"/>
              <w:rPr>
                <w:sz w:val="24"/>
                <w:szCs w:val="24"/>
              </w:rPr>
            </w:pPr>
            <w:r>
              <w:rPr>
                <w:sz w:val="24"/>
                <w:szCs w:val="24"/>
              </w:rPr>
              <w:t xml:space="preserve">According to Business Insider Africa, the locals spend more than 9 hours a day on </w:t>
            </w:r>
            <w:r>
              <w:rPr>
                <w:b/>
                <w:bCs/>
                <w:i/>
                <w:iCs/>
                <w:sz w:val="24"/>
                <w:szCs w:val="24"/>
              </w:rPr>
              <w:t>social media;</w:t>
            </w:r>
            <w:r>
              <w:rPr>
                <w:sz w:val="24"/>
                <w:szCs w:val="24"/>
              </w:rPr>
              <w:t xml:space="preserve"> hence, they can be easily reached by e-commerce brands through digital marketing (Ekanem, 2025).</w:t>
            </w:r>
          </w:p>
        </w:tc>
        <w:tc>
          <w:tcPr>
            <w:tcW w:w="1725" w:type="dxa"/>
            <w:shd w:val="clear" w:color="auto" w:fill="00FF00"/>
            <w:tcMar>
              <w:top w:w="100" w:type="dxa"/>
              <w:left w:w="100" w:type="dxa"/>
              <w:bottom w:w="100" w:type="dxa"/>
              <w:right w:w="100" w:type="dxa"/>
            </w:tcMar>
          </w:tcPr>
          <w:p w14:paraId="4A307D31"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 xml:space="preserve">Opportunities </w:t>
            </w:r>
          </w:p>
        </w:tc>
      </w:tr>
      <w:tr w:rsidR="00C60230" w14:paraId="26A5E310" w14:textId="77777777">
        <w:tc>
          <w:tcPr>
            <w:tcW w:w="1230" w:type="dxa"/>
            <w:tcMar>
              <w:top w:w="100" w:type="dxa"/>
              <w:left w:w="100" w:type="dxa"/>
              <w:bottom w:w="100" w:type="dxa"/>
              <w:right w:w="100" w:type="dxa"/>
            </w:tcMar>
          </w:tcPr>
          <w:p w14:paraId="40AEF0A8"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Legal</w:t>
            </w:r>
          </w:p>
        </w:tc>
        <w:tc>
          <w:tcPr>
            <w:tcW w:w="6045" w:type="dxa"/>
            <w:tcMar>
              <w:top w:w="100" w:type="dxa"/>
              <w:left w:w="100" w:type="dxa"/>
              <w:bottom w:w="100" w:type="dxa"/>
              <w:right w:w="100" w:type="dxa"/>
            </w:tcMar>
          </w:tcPr>
          <w:p w14:paraId="12532411" w14:textId="77777777" w:rsidR="00C60230" w:rsidRDefault="003C62BB">
            <w:pPr>
              <w:widowControl w:val="0"/>
              <w:numPr>
                <w:ilvl w:val="0"/>
                <w:numId w:val="3"/>
              </w:numPr>
              <w:pBdr>
                <w:top w:val="nil"/>
                <w:left w:val="nil"/>
                <w:bottom w:val="nil"/>
                <w:right w:val="nil"/>
                <w:between w:val="nil"/>
              </w:pBdr>
              <w:spacing w:line="360" w:lineRule="auto"/>
              <w:jc w:val="both"/>
              <w:rPr>
                <w:sz w:val="24"/>
                <w:szCs w:val="24"/>
              </w:rPr>
            </w:pPr>
            <w:r>
              <w:rPr>
                <w:sz w:val="24"/>
                <w:szCs w:val="24"/>
              </w:rPr>
              <w:t xml:space="preserve">Regulation in wood sourcing under the </w:t>
            </w:r>
            <w:r>
              <w:rPr>
                <w:b/>
                <w:bCs/>
                <w:sz w:val="24"/>
                <w:szCs w:val="24"/>
              </w:rPr>
              <w:t>National Forest Act 1988.</w:t>
            </w:r>
          </w:p>
          <w:p w14:paraId="1A9B5B26" w14:textId="77777777" w:rsidR="00C60230" w:rsidRDefault="003C62BB">
            <w:pPr>
              <w:widowControl w:val="0"/>
              <w:numPr>
                <w:ilvl w:val="0"/>
                <w:numId w:val="3"/>
              </w:numPr>
              <w:pBdr>
                <w:top w:val="nil"/>
                <w:left w:val="nil"/>
                <w:bottom w:val="nil"/>
                <w:right w:val="nil"/>
                <w:between w:val="nil"/>
              </w:pBdr>
              <w:spacing w:line="360" w:lineRule="auto"/>
              <w:jc w:val="both"/>
              <w:rPr>
                <w:sz w:val="24"/>
                <w:szCs w:val="24"/>
              </w:rPr>
            </w:pPr>
            <w:r>
              <w:rPr>
                <w:b/>
                <w:bCs/>
                <w:sz w:val="24"/>
                <w:szCs w:val="24"/>
              </w:rPr>
              <w:t>Copyright laws, technology patents trademarks</w:t>
            </w:r>
            <w:r>
              <w:rPr>
                <w:sz w:val="24"/>
                <w:szCs w:val="24"/>
              </w:rPr>
              <w:t xml:space="preserve"> to safeguard the originality of the </w:t>
            </w:r>
            <w:r>
              <w:rPr>
                <w:sz w:val="24"/>
                <w:szCs w:val="24"/>
              </w:rPr>
              <w:lastRenderedPageBreak/>
              <w:t>businesses.</w:t>
            </w:r>
          </w:p>
        </w:tc>
        <w:tc>
          <w:tcPr>
            <w:tcW w:w="1725" w:type="dxa"/>
            <w:shd w:val="clear" w:color="auto" w:fill="00FF00"/>
            <w:tcMar>
              <w:top w:w="100" w:type="dxa"/>
              <w:left w:w="100" w:type="dxa"/>
              <w:bottom w:w="100" w:type="dxa"/>
              <w:right w:w="100" w:type="dxa"/>
            </w:tcMar>
          </w:tcPr>
          <w:p w14:paraId="55047268"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lastRenderedPageBreak/>
              <w:t xml:space="preserve">Opportunities </w:t>
            </w:r>
          </w:p>
        </w:tc>
      </w:tr>
      <w:tr w:rsidR="00C60230" w14:paraId="5C1E1F6A" w14:textId="77777777">
        <w:tc>
          <w:tcPr>
            <w:tcW w:w="1230" w:type="dxa"/>
            <w:tcMar>
              <w:top w:w="100" w:type="dxa"/>
              <w:left w:w="100" w:type="dxa"/>
              <w:bottom w:w="100" w:type="dxa"/>
              <w:right w:w="100" w:type="dxa"/>
            </w:tcMar>
          </w:tcPr>
          <w:p w14:paraId="4504AA23"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Environmental</w:t>
            </w:r>
          </w:p>
        </w:tc>
        <w:tc>
          <w:tcPr>
            <w:tcW w:w="6045" w:type="dxa"/>
            <w:tcMar>
              <w:top w:w="100" w:type="dxa"/>
              <w:left w:w="100" w:type="dxa"/>
              <w:bottom w:w="100" w:type="dxa"/>
              <w:right w:w="100" w:type="dxa"/>
            </w:tcMar>
          </w:tcPr>
          <w:p w14:paraId="5EFFEBF0" w14:textId="77777777" w:rsidR="00C60230" w:rsidRDefault="003C62BB">
            <w:pPr>
              <w:widowControl w:val="0"/>
              <w:numPr>
                <w:ilvl w:val="0"/>
                <w:numId w:val="4"/>
              </w:numPr>
              <w:pBdr>
                <w:top w:val="nil"/>
                <w:left w:val="nil"/>
                <w:bottom w:val="nil"/>
                <w:right w:val="nil"/>
                <w:between w:val="nil"/>
              </w:pBdr>
              <w:spacing w:line="360" w:lineRule="auto"/>
              <w:jc w:val="both"/>
              <w:rPr>
                <w:b/>
                <w:bCs/>
                <w:sz w:val="24"/>
                <w:szCs w:val="24"/>
              </w:rPr>
            </w:pPr>
            <w:r>
              <w:rPr>
                <w:b/>
                <w:bCs/>
                <w:sz w:val="24"/>
                <w:szCs w:val="24"/>
              </w:rPr>
              <w:t>Reliance on coal and fossil fuels.</w:t>
            </w:r>
          </w:p>
          <w:p w14:paraId="1B0B2D42" w14:textId="77777777" w:rsidR="00C60230" w:rsidRDefault="003C62BB">
            <w:pPr>
              <w:widowControl w:val="0"/>
              <w:numPr>
                <w:ilvl w:val="0"/>
                <w:numId w:val="4"/>
              </w:numPr>
              <w:pBdr>
                <w:top w:val="nil"/>
                <w:left w:val="nil"/>
                <w:bottom w:val="nil"/>
                <w:right w:val="nil"/>
                <w:between w:val="nil"/>
              </w:pBdr>
              <w:spacing w:line="360" w:lineRule="auto"/>
              <w:jc w:val="both"/>
              <w:rPr>
                <w:sz w:val="24"/>
                <w:szCs w:val="24"/>
              </w:rPr>
            </w:pPr>
            <w:r>
              <w:rPr>
                <w:b/>
                <w:bCs/>
                <w:sz w:val="24"/>
                <w:szCs w:val="24"/>
              </w:rPr>
              <w:t xml:space="preserve">REIPPPP, </w:t>
            </w:r>
            <w:proofErr w:type="spellStart"/>
            <w:r>
              <w:rPr>
                <w:b/>
                <w:bCs/>
                <w:sz w:val="24"/>
                <w:szCs w:val="24"/>
              </w:rPr>
              <w:t>decarbonisation</w:t>
            </w:r>
            <w:proofErr w:type="spellEnd"/>
            <w:r>
              <w:rPr>
                <w:b/>
                <w:bCs/>
                <w:sz w:val="24"/>
                <w:szCs w:val="24"/>
              </w:rPr>
              <w:t xml:space="preserve"> and climate ambition </w:t>
            </w:r>
            <w:r>
              <w:rPr>
                <w:sz w:val="24"/>
                <w:szCs w:val="24"/>
              </w:rPr>
              <w:t>of South Africa to achieve carbon neutrality</w:t>
            </w:r>
          </w:p>
        </w:tc>
        <w:tc>
          <w:tcPr>
            <w:tcW w:w="1725" w:type="dxa"/>
            <w:shd w:val="clear" w:color="auto" w:fill="FFFF00"/>
            <w:tcMar>
              <w:top w:w="100" w:type="dxa"/>
              <w:left w:w="100" w:type="dxa"/>
              <w:bottom w:w="100" w:type="dxa"/>
              <w:right w:w="100" w:type="dxa"/>
            </w:tcMar>
          </w:tcPr>
          <w:p w14:paraId="16D3F301"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Opportunities and Threats</w:t>
            </w:r>
          </w:p>
        </w:tc>
      </w:tr>
    </w:tbl>
    <w:p w14:paraId="0AA80C3D" w14:textId="77777777" w:rsidR="00C60230" w:rsidRDefault="003C62BB">
      <w:pPr>
        <w:spacing w:after="200" w:line="360" w:lineRule="auto"/>
        <w:jc w:val="center"/>
        <w:rPr>
          <w:b/>
          <w:bCs/>
          <w:sz w:val="24"/>
          <w:szCs w:val="24"/>
        </w:rPr>
      </w:pPr>
      <w:r>
        <w:rPr>
          <w:b/>
          <w:bCs/>
          <w:sz w:val="24"/>
          <w:szCs w:val="24"/>
        </w:rPr>
        <w:t>Table 1: PESTLE Analysis</w:t>
      </w:r>
    </w:p>
    <w:p w14:paraId="6BEA34C2" w14:textId="77777777" w:rsidR="00C60230" w:rsidRDefault="003C62BB">
      <w:pPr>
        <w:spacing w:after="200" w:line="360" w:lineRule="auto"/>
        <w:jc w:val="center"/>
        <w:rPr>
          <w:b/>
          <w:bCs/>
          <w:sz w:val="24"/>
          <w:szCs w:val="24"/>
        </w:rPr>
      </w:pPr>
      <w:r>
        <w:rPr>
          <w:b/>
          <w:bCs/>
          <w:sz w:val="24"/>
          <w:szCs w:val="24"/>
        </w:rPr>
        <w:t>Source: (Self-created)</w:t>
      </w:r>
    </w:p>
    <w:p w14:paraId="12F6E3F3" w14:textId="77777777" w:rsidR="00C60230" w:rsidRDefault="003C62BB">
      <w:pPr>
        <w:spacing w:after="200" w:line="360" w:lineRule="auto"/>
        <w:jc w:val="both"/>
        <w:rPr>
          <w:b/>
          <w:bCs/>
          <w:sz w:val="24"/>
          <w:szCs w:val="24"/>
        </w:rPr>
      </w:pPr>
      <w:r>
        <w:rPr>
          <w:b/>
          <w:bCs/>
          <w:sz w:val="24"/>
          <w:szCs w:val="24"/>
        </w:rPr>
        <w:t>Analysis</w:t>
      </w:r>
    </w:p>
    <w:p w14:paraId="2493A34B" w14:textId="77777777" w:rsidR="00C60230" w:rsidRDefault="003C62BB">
      <w:pPr>
        <w:spacing w:after="200" w:line="360" w:lineRule="auto"/>
        <w:jc w:val="both"/>
        <w:rPr>
          <w:sz w:val="24"/>
          <w:szCs w:val="24"/>
        </w:rPr>
      </w:pPr>
      <w:r>
        <w:rPr>
          <w:sz w:val="24"/>
          <w:szCs w:val="24"/>
        </w:rPr>
        <w:t xml:space="preserve">From the PESTLE analysis, it can be inferred that </w:t>
      </w:r>
      <w:proofErr w:type="gramStart"/>
      <w:r>
        <w:rPr>
          <w:sz w:val="24"/>
          <w:szCs w:val="24"/>
        </w:rPr>
        <w:t>the majority of</w:t>
      </w:r>
      <w:proofErr w:type="gramEnd"/>
      <w:r>
        <w:rPr>
          <w:sz w:val="24"/>
          <w:szCs w:val="24"/>
        </w:rPr>
        <w:t xml:space="preserve"> the South Africans (49%) believed that corruption had increased a lot in recent times in the country (</w:t>
      </w:r>
      <w:r>
        <w:rPr>
          <w:b/>
          <w:bCs/>
          <w:i/>
          <w:iCs/>
          <w:sz w:val="24"/>
          <w:szCs w:val="24"/>
        </w:rPr>
        <w:t>see Figure 5</w:t>
      </w:r>
      <w:r>
        <w:rPr>
          <w:sz w:val="24"/>
          <w:szCs w:val="24"/>
        </w:rPr>
        <w:t xml:space="preserve">). As a result, IKEA might experience liability risks while operating in South Africa. Also, a high degree of corruption, </w:t>
      </w:r>
      <w:proofErr w:type="spellStart"/>
      <w:r>
        <w:rPr>
          <w:sz w:val="24"/>
          <w:szCs w:val="24"/>
        </w:rPr>
        <w:t>localisation</w:t>
      </w:r>
      <w:proofErr w:type="spellEnd"/>
      <w:r>
        <w:rPr>
          <w:sz w:val="24"/>
          <w:szCs w:val="24"/>
        </w:rPr>
        <w:t xml:space="preserve"> and protectionist stance of the South African Government might have delayed the market entry of IKEA in South Africa. </w:t>
      </w:r>
    </w:p>
    <w:p w14:paraId="4EEC28B2" w14:textId="77777777" w:rsidR="00C60230" w:rsidRDefault="003C62BB">
      <w:pPr>
        <w:spacing w:after="200" w:line="360" w:lineRule="auto"/>
        <w:jc w:val="center"/>
        <w:rPr>
          <w:b/>
          <w:bCs/>
          <w:sz w:val="24"/>
          <w:szCs w:val="24"/>
        </w:rPr>
      </w:pPr>
      <w:r>
        <w:rPr>
          <w:b/>
          <w:bCs/>
          <w:noProof/>
          <w:sz w:val="24"/>
          <w:szCs w:val="24"/>
        </w:rPr>
        <w:drawing>
          <wp:inline distT="114300" distB="114300" distL="114300" distR="114300" wp14:anchorId="207A8A41" wp14:editId="1816A680">
            <wp:extent cx="5731200" cy="3035300"/>
            <wp:effectExtent l="25400" t="25400" r="25400" b="25400"/>
            <wp:docPr id="2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5"/>
                    <a:srcRect/>
                    <a:stretch>
                      <a:fillRect/>
                    </a:stretch>
                  </pic:blipFill>
                  <pic:spPr>
                    <a:xfrm>
                      <a:off x="0" y="0"/>
                      <a:ext cx="5731200" cy="3035300"/>
                    </a:xfrm>
                    <a:prstGeom prst="rect">
                      <a:avLst/>
                    </a:prstGeom>
                    <a:ln w="25400">
                      <a:solidFill>
                        <a:srgbClr val="000000"/>
                      </a:solidFill>
                      <a:prstDash val="solid"/>
                    </a:ln>
                  </pic:spPr>
                </pic:pic>
              </a:graphicData>
            </a:graphic>
          </wp:inline>
        </w:drawing>
      </w:r>
    </w:p>
    <w:p w14:paraId="54E21432" w14:textId="77777777" w:rsidR="00C60230" w:rsidRDefault="003C62BB">
      <w:pPr>
        <w:spacing w:after="200" w:line="360" w:lineRule="auto"/>
        <w:jc w:val="center"/>
        <w:rPr>
          <w:b/>
          <w:bCs/>
          <w:sz w:val="24"/>
          <w:szCs w:val="24"/>
        </w:rPr>
      </w:pPr>
      <w:r>
        <w:rPr>
          <w:b/>
          <w:bCs/>
          <w:sz w:val="24"/>
          <w:szCs w:val="24"/>
        </w:rPr>
        <w:t>Figure 5: Corruption in South Africa in 2021</w:t>
      </w:r>
    </w:p>
    <w:p w14:paraId="002DB2B6" w14:textId="77777777" w:rsidR="00C60230" w:rsidRDefault="003C62BB">
      <w:pPr>
        <w:spacing w:after="200" w:line="360" w:lineRule="auto"/>
        <w:jc w:val="center"/>
        <w:rPr>
          <w:b/>
          <w:bCs/>
          <w:sz w:val="24"/>
          <w:szCs w:val="24"/>
        </w:rPr>
      </w:pPr>
      <w:r>
        <w:rPr>
          <w:b/>
          <w:bCs/>
          <w:sz w:val="24"/>
          <w:szCs w:val="24"/>
        </w:rPr>
        <w:t>Source: (Patel and Govindasamy, 2021)</w:t>
      </w:r>
    </w:p>
    <w:p w14:paraId="742D9CD9" w14:textId="77777777" w:rsidR="00C60230" w:rsidRDefault="003C62BB">
      <w:pPr>
        <w:spacing w:after="200" w:line="360" w:lineRule="auto"/>
        <w:jc w:val="both"/>
        <w:rPr>
          <w:sz w:val="24"/>
          <w:szCs w:val="24"/>
        </w:rPr>
      </w:pPr>
      <w:r>
        <w:rPr>
          <w:sz w:val="24"/>
          <w:szCs w:val="24"/>
        </w:rPr>
        <w:lastRenderedPageBreak/>
        <w:t>On the other hand, a low inflation rate (2.8% in October 2024) (</w:t>
      </w:r>
      <w:r>
        <w:rPr>
          <w:b/>
          <w:bCs/>
          <w:i/>
          <w:iCs/>
          <w:sz w:val="24"/>
          <w:szCs w:val="24"/>
        </w:rPr>
        <w:t>Refer to Figure 6</w:t>
      </w:r>
      <w:r>
        <w:rPr>
          <w:sz w:val="24"/>
          <w:szCs w:val="24"/>
        </w:rPr>
        <w:t>) and 6.5% annual growth of the Furniture market (</w:t>
      </w:r>
      <w:r>
        <w:rPr>
          <w:b/>
          <w:bCs/>
          <w:i/>
          <w:iCs/>
          <w:sz w:val="24"/>
          <w:szCs w:val="24"/>
        </w:rPr>
        <w:t xml:space="preserve">Refer to Figure 7) </w:t>
      </w:r>
      <w:r>
        <w:rPr>
          <w:sz w:val="24"/>
          <w:szCs w:val="24"/>
        </w:rPr>
        <w:t>will also create an opportunity for IKEA to lower its operational costs in South Africa in comparison to European markets.</w:t>
      </w:r>
    </w:p>
    <w:p w14:paraId="14E71B89" w14:textId="77777777" w:rsidR="00C60230" w:rsidRDefault="003C62BB">
      <w:pPr>
        <w:spacing w:after="200" w:line="360" w:lineRule="auto"/>
        <w:jc w:val="center"/>
        <w:rPr>
          <w:b/>
          <w:bCs/>
          <w:sz w:val="24"/>
          <w:szCs w:val="24"/>
        </w:rPr>
      </w:pPr>
      <w:r>
        <w:rPr>
          <w:b/>
          <w:bCs/>
          <w:noProof/>
          <w:sz w:val="24"/>
          <w:szCs w:val="24"/>
        </w:rPr>
        <w:drawing>
          <wp:inline distT="114300" distB="114300" distL="114300" distR="114300" wp14:anchorId="37FE2988" wp14:editId="2C8C269E">
            <wp:extent cx="5731200" cy="3822700"/>
            <wp:effectExtent l="0" t="0" r="0" b="0"/>
            <wp:docPr id="1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5731200" cy="3822700"/>
                    </a:xfrm>
                    <a:prstGeom prst="rect">
                      <a:avLst/>
                    </a:prstGeom>
                    <a:ln/>
                  </pic:spPr>
                </pic:pic>
              </a:graphicData>
            </a:graphic>
          </wp:inline>
        </w:drawing>
      </w:r>
    </w:p>
    <w:p w14:paraId="01180B73" w14:textId="77777777" w:rsidR="00C60230" w:rsidRDefault="003C62BB">
      <w:pPr>
        <w:spacing w:after="200" w:line="360" w:lineRule="auto"/>
        <w:jc w:val="center"/>
        <w:rPr>
          <w:b/>
          <w:bCs/>
          <w:sz w:val="24"/>
          <w:szCs w:val="24"/>
        </w:rPr>
      </w:pPr>
      <w:r>
        <w:rPr>
          <w:b/>
          <w:bCs/>
          <w:sz w:val="24"/>
          <w:szCs w:val="24"/>
        </w:rPr>
        <w:t>Figure 6: Inflation rate trends in South Africa</w:t>
      </w:r>
    </w:p>
    <w:p w14:paraId="127BE27E" w14:textId="77777777" w:rsidR="00C60230" w:rsidRDefault="003C62BB">
      <w:pPr>
        <w:spacing w:after="200" w:line="360" w:lineRule="auto"/>
        <w:jc w:val="center"/>
        <w:rPr>
          <w:b/>
          <w:bCs/>
          <w:sz w:val="24"/>
          <w:szCs w:val="24"/>
        </w:rPr>
      </w:pPr>
      <w:r>
        <w:rPr>
          <w:b/>
          <w:bCs/>
          <w:sz w:val="24"/>
          <w:szCs w:val="24"/>
        </w:rPr>
        <w:t>Source: (Acharya and Gumbi, 2024)</w:t>
      </w:r>
    </w:p>
    <w:p w14:paraId="35ACB997" w14:textId="77777777" w:rsidR="00C60230" w:rsidRDefault="003C62BB">
      <w:pPr>
        <w:spacing w:after="200" w:line="360" w:lineRule="auto"/>
        <w:jc w:val="both"/>
        <w:rPr>
          <w:sz w:val="24"/>
          <w:szCs w:val="24"/>
        </w:rPr>
      </w:pPr>
      <w:r>
        <w:rPr>
          <w:sz w:val="24"/>
          <w:szCs w:val="24"/>
        </w:rPr>
        <w:t xml:space="preserve">Simultaneously, the social factors revealed that continuously increasing demand for bamboo (opined by 65%), recycled materials (opined by 50%) and reclaimed wood (opined by 59%) would facilitate a competitive advantage for IKEA with its FRC-certified material sourcing. From the technology and legal perspective, it can be observed that strong social media penetration (more than 9 hours/day) and stringent regulation might reduce legal liability and false allegations (illegal sourcing) on IKEA in South Africa. Lastly, the environmental factors such as coal dependencies, climate ambition goals, </w:t>
      </w:r>
      <w:proofErr w:type="spellStart"/>
      <w:r>
        <w:rPr>
          <w:sz w:val="24"/>
          <w:szCs w:val="24"/>
        </w:rPr>
        <w:t>decarbonisation</w:t>
      </w:r>
      <w:proofErr w:type="spellEnd"/>
      <w:r>
        <w:rPr>
          <w:sz w:val="24"/>
          <w:szCs w:val="24"/>
        </w:rPr>
        <w:t xml:space="preserve"> and REIPPPP posed threats as well as opportunities for IKEA’s operations in South Africa.</w:t>
      </w:r>
    </w:p>
    <w:p w14:paraId="3E58B594" w14:textId="77777777" w:rsidR="00C60230" w:rsidRDefault="003C62BB">
      <w:pPr>
        <w:spacing w:after="200" w:line="360" w:lineRule="auto"/>
        <w:jc w:val="center"/>
        <w:rPr>
          <w:b/>
          <w:bCs/>
          <w:sz w:val="24"/>
          <w:szCs w:val="24"/>
        </w:rPr>
      </w:pPr>
      <w:r>
        <w:rPr>
          <w:b/>
          <w:bCs/>
          <w:noProof/>
          <w:sz w:val="24"/>
          <w:szCs w:val="24"/>
        </w:rPr>
        <w:lastRenderedPageBreak/>
        <w:drawing>
          <wp:inline distT="114300" distB="114300" distL="114300" distR="114300" wp14:anchorId="17B23792" wp14:editId="2B0A8A0C">
            <wp:extent cx="5731200" cy="2806700"/>
            <wp:effectExtent l="0" t="0" r="0" b="0"/>
            <wp:docPr id="2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7"/>
                    <a:srcRect/>
                    <a:stretch>
                      <a:fillRect/>
                    </a:stretch>
                  </pic:blipFill>
                  <pic:spPr>
                    <a:xfrm>
                      <a:off x="0" y="0"/>
                      <a:ext cx="5731200" cy="2806700"/>
                    </a:xfrm>
                    <a:prstGeom prst="rect">
                      <a:avLst/>
                    </a:prstGeom>
                    <a:ln/>
                  </pic:spPr>
                </pic:pic>
              </a:graphicData>
            </a:graphic>
          </wp:inline>
        </w:drawing>
      </w:r>
    </w:p>
    <w:p w14:paraId="6C3AB725" w14:textId="77777777" w:rsidR="00C60230" w:rsidRDefault="003C62BB">
      <w:pPr>
        <w:spacing w:after="200" w:line="360" w:lineRule="auto"/>
        <w:jc w:val="center"/>
        <w:rPr>
          <w:b/>
          <w:bCs/>
          <w:sz w:val="24"/>
          <w:szCs w:val="24"/>
        </w:rPr>
      </w:pPr>
      <w:r>
        <w:rPr>
          <w:b/>
          <w:bCs/>
          <w:sz w:val="24"/>
          <w:szCs w:val="24"/>
        </w:rPr>
        <w:t>Figure 7: Economic growth of the South African furniture market</w:t>
      </w:r>
    </w:p>
    <w:p w14:paraId="2390F21E" w14:textId="77777777" w:rsidR="00C60230" w:rsidRDefault="003C62BB">
      <w:pPr>
        <w:spacing w:after="200" w:line="360" w:lineRule="auto"/>
        <w:jc w:val="center"/>
        <w:rPr>
          <w:b/>
          <w:bCs/>
          <w:sz w:val="24"/>
          <w:szCs w:val="24"/>
        </w:rPr>
      </w:pPr>
      <w:r>
        <w:rPr>
          <w:b/>
          <w:bCs/>
          <w:sz w:val="24"/>
          <w:szCs w:val="24"/>
        </w:rPr>
        <w:t>Source: (Grand View Research, 2025)</w:t>
      </w:r>
    </w:p>
    <w:p w14:paraId="0AA51D21" w14:textId="77777777" w:rsidR="00C60230" w:rsidRDefault="003C62BB">
      <w:pPr>
        <w:pStyle w:val="Heading2"/>
      </w:pPr>
      <w:bookmarkStart w:id="17" w:name="_Toc215925458"/>
      <w:r>
        <w:t>3.2 Industry-driven Competitive Analysis of IKEA in South Africa: Porter’s Five Forces</w:t>
      </w:r>
      <w:bookmarkEnd w:id="17"/>
    </w:p>
    <w:p w14:paraId="7B5B1F40" w14:textId="77777777" w:rsidR="00C60230" w:rsidRDefault="003C62BB">
      <w:pPr>
        <w:spacing w:after="200" w:line="360" w:lineRule="auto"/>
        <w:jc w:val="both"/>
        <w:rPr>
          <w:b/>
          <w:bCs/>
          <w:sz w:val="24"/>
          <w:szCs w:val="24"/>
        </w:rPr>
      </w:pPr>
      <w:r>
        <w:rPr>
          <w:b/>
          <w:bCs/>
          <w:i/>
          <w:iCs/>
          <w:sz w:val="24"/>
          <w:szCs w:val="24"/>
        </w:rPr>
        <w:t xml:space="preserve">Bargaining Power of Buyers: </w:t>
      </w:r>
      <w:r>
        <w:rPr>
          <w:b/>
          <w:bCs/>
          <w:sz w:val="24"/>
          <w:szCs w:val="24"/>
        </w:rPr>
        <w:t>HIGH</w:t>
      </w:r>
    </w:p>
    <w:p w14:paraId="71CAD727" w14:textId="77777777" w:rsidR="00C60230" w:rsidRDefault="003C62BB">
      <w:pPr>
        <w:spacing w:after="200" w:line="360" w:lineRule="auto"/>
        <w:jc w:val="both"/>
        <w:rPr>
          <w:sz w:val="24"/>
          <w:szCs w:val="24"/>
        </w:rPr>
      </w:pPr>
      <w:r>
        <w:rPr>
          <w:sz w:val="24"/>
          <w:szCs w:val="24"/>
        </w:rPr>
        <w:t xml:space="preserve">Relying only on FSC-certified reclaimed wood and bamboo might force IKEA to charge a higher price for its sustainable home furniture and decorations. As a result, working-class people might look for other alternatives </w:t>
      </w:r>
      <w:proofErr w:type="gramStart"/>
      <w:r>
        <w:rPr>
          <w:sz w:val="24"/>
          <w:szCs w:val="24"/>
        </w:rPr>
        <w:t>of</w:t>
      </w:r>
      <w:proofErr w:type="gramEnd"/>
      <w:r>
        <w:rPr>
          <w:sz w:val="24"/>
          <w:szCs w:val="24"/>
        </w:rPr>
        <w:t xml:space="preserve"> furniture that are available in the domestic market at a comparatively lower price. Thus, misalignment with the affordable as well as sustainable needs of local South Africans might lower their switching costs for IKEA. The findings of </w:t>
      </w:r>
      <w:proofErr w:type="spellStart"/>
      <w:r>
        <w:rPr>
          <w:sz w:val="24"/>
          <w:szCs w:val="24"/>
        </w:rPr>
        <w:t>Ganaie</w:t>
      </w:r>
      <w:proofErr w:type="spellEnd"/>
      <w:r>
        <w:rPr>
          <w:sz w:val="24"/>
          <w:szCs w:val="24"/>
        </w:rPr>
        <w:t xml:space="preserve"> and Bhat (2021); Zakiy and Haryanto (2021) mentioned that low switching cost of customers negatively influences brand loyalty and customer purchasing </w:t>
      </w:r>
      <w:proofErr w:type="spellStart"/>
      <w:r>
        <w:rPr>
          <w:sz w:val="24"/>
          <w:szCs w:val="24"/>
        </w:rPr>
        <w:t>behaviour</w:t>
      </w:r>
      <w:proofErr w:type="spellEnd"/>
      <w:r>
        <w:rPr>
          <w:sz w:val="24"/>
          <w:szCs w:val="24"/>
        </w:rPr>
        <w:t xml:space="preserve">. Thus, the bargaining power of customers/buyers will be high for IKEA in South Africa. The threat can be taken led through </w:t>
      </w:r>
      <w:proofErr w:type="spellStart"/>
      <w:r>
        <w:rPr>
          <w:sz w:val="24"/>
          <w:szCs w:val="24"/>
        </w:rPr>
        <w:t>customised</w:t>
      </w:r>
      <w:proofErr w:type="spellEnd"/>
      <w:r>
        <w:rPr>
          <w:sz w:val="24"/>
          <w:szCs w:val="24"/>
        </w:rPr>
        <w:t xml:space="preserve"> furniture manufacturing and introducing new value-range products within the existing portfolio of IKEA.</w:t>
      </w:r>
    </w:p>
    <w:p w14:paraId="0DACEB95" w14:textId="77777777" w:rsidR="00C60230" w:rsidRDefault="003C62BB">
      <w:pPr>
        <w:spacing w:after="200" w:line="360" w:lineRule="auto"/>
        <w:jc w:val="both"/>
        <w:rPr>
          <w:b/>
          <w:bCs/>
          <w:sz w:val="24"/>
          <w:szCs w:val="24"/>
        </w:rPr>
      </w:pPr>
      <w:r>
        <w:rPr>
          <w:b/>
          <w:bCs/>
          <w:i/>
          <w:iCs/>
          <w:sz w:val="24"/>
          <w:szCs w:val="24"/>
        </w:rPr>
        <w:t>Threat of New Entrants:</w:t>
      </w:r>
      <w:r>
        <w:rPr>
          <w:sz w:val="24"/>
          <w:szCs w:val="24"/>
        </w:rPr>
        <w:t xml:space="preserve"> </w:t>
      </w:r>
      <w:r>
        <w:rPr>
          <w:b/>
          <w:bCs/>
          <w:sz w:val="24"/>
          <w:szCs w:val="24"/>
        </w:rPr>
        <w:t>LOW</w:t>
      </w:r>
    </w:p>
    <w:p w14:paraId="3DD662B5" w14:textId="77777777" w:rsidR="00C60230" w:rsidRDefault="003C62BB">
      <w:pPr>
        <w:spacing w:after="200" w:line="360" w:lineRule="auto"/>
        <w:jc w:val="both"/>
        <w:rPr>
          <w:sz w:val="24"/>
          <w:szCs w:val="24"/>
        </w:rPr>
      </w:pPr>
      <w:r>
        <w:rPr>
          <w:sz w:val="24"/>
          <w:szCs w:val="24"/>
        </w:rPr>
        <w:t xml:space="preserve">The </w:t>
      </w:r>
      <w:proofErr w:type="spellStart"/>
      <w:r>
        <w:rPr>
          <w:sz w:val="24"/>
          <w:szCs w:val="24"/>
        </w:rPr>
        <w:t>localisation</w:t>
      </w:r>
      <w:proofErr w:type="spellEnd"/>
      <w:r>
        <w:rPr>
          <w:sz w:val="24"/>
          <w:szCs w:val="24"/>
        </w:rPr>
        <w:t xml:space="preserve"> and protectionist stance of the South African Government might fuel import duties and trade barriers for the new foreign businesses in South Africa. </w:t>
      </w:r>
      <w:r>
        <w:rPr>
          <w:sz w:val="24"/>
          <w:szCs w:val="24"/>
        </w:rPr>
        <w:lastRenderedPageBreak/>
        <w:t xml:space="preserve">Additionally, the high capital requirements in setting up wood processing factories and the strong brand value of IKEA made it difficult for the new entrants to compete with IKEA in South Africa. Thus, the threat of new foreign furniture businesses is </w:t>
      </w:r>
      <w:r>
        <w:rPr>
          <w:b/>
          <w:bCs/>
          <w:i/>
          <w:iCs/>
          <w:sz w:val="24"/>
          <w:szCs w:val="24"/>
        </w:rPr>
        <w:t>low</w:t>
      </w:r>
      <w:r>
        <w:rPr>
          <w:sz w:val="24"/>
          <w:szCs w:val="24"/>
        </w:rPr>
        <w:t xml:space="preserve"> for IKEA. </w:t>
      </w:r>
    </w:p>
    <w:p w14:paraId="6495A0B4" w14:textId="77777777" w:rsidR="00C60230" w:rsidRDefault="003C62BB">
      <w:pPr>
        <w:spacing w:after="200" w:line="360" w:lineRule="auto"/>
        <w:jc w:val="both"/>
        <w:rPr>
          <w:b/>
          <w:bCs/>
          <w:sz w:val="24"/>
          <w:szCs w:val="24"/>
        </w:rPr>
      </w:pPr>
      <w:r>
        <w:rPr>
          <w:b/>
          <w:bCs/>
          <w:i/>
          <w:iCs/>
          <w:sz w:val="24"/>
          <w:szCs w:val="24"/>
        </w:rPr>
        <w:t>Bargaining Power of Suppliers:</w:t>
      </w:r>
      <w:r>
        <w:rPr>
          <w:sz w:val="24"/>
          <w:szCs w:val="24"/>
        </w:rPr>
        <w:t xml:space="preserve"> </w:t>
      </w:r>
      <w:r>
        <w:rPr>
          <w:b/>
          <w:bCs/>
          <w:sz w:val="24"/>
          <w:szCs w:val="24"/>
        </w:rPr>
        <w:t>HIGH</w:t>
      </w:r>
    </w:p>
    <w:p w14:paraId="5B430942" w14:textId="77777777" w:rsidR="00C60230" w:rsidRDefault="003C62BB">
      <w:pPr>
        <w:spacing w:after="200" w:line="360" w:lineRule="auto"/>
        <w:jc w:val="both"/>
        <w:rPr>
          <w:sz w:val="24"/>
          <w:szCs w:val="24"/>
        </w:rPr>
      </w:pPr>
      <w:r>
        <w:rPr>
          <w:sz w:val="24"/>
          <w:szCs w:val="24"/>
        </w:rPr>
        <w:t xml:space="preserve">The sustainable timber suppliers and wood processors are comparatively fewer in number in comparison to furniture manufacturing businesses. As a result, IKEA might have to negotiate better prices with the supplier for the continuous supply of flat-pack components. To mitigate the above threat, IKEA needed to establish long-term contracts with FRC-certified timber and wood suppliers based on supply volumes and price of the supplies (Morten </w:t>
      </w:r>
      <w:proofErr w:type="spellStart"/>
      <w:r>
        <w:rPr>
          <w:sz w:val="24"/>
          <w:szCs w:val="24"/>
        </w:rPr>
        <w:t>Komdeur</w:t>
      </w:r>
      <w:proofErr w:type="spellEnd"/>
      <w:r>
        <w:rPr>
          <w:sz w:val="24"/>
          <w:szCs w:val="24"/>
        </w:rPr>
        <w:t xml:space="preserve"> and </w:t>
      </w:r>
      <w:proofErr w:type="spellStart"/>
      <w:r>
        <w:rPr>
          <w:sz w:val="24"/>
          <w:szCs w:val="24"/>
        </w:rPr>
        <w:t>Ingenbleek</w:t>
      </w:r>
      <w:proofErr w:type="spellEnd"/>
      <w:r>
        <w:rPr>
          <w:sz w:val="24"/>
          <w:szCs w:val="24"/>
        </w:rPr>
        <w:t>, 2021).</w:t>
      </w:r>
    </w:p>
    <w:p w14:paraId="35C70A16" w14:textId="77777777" w:rsidR="00C60230" w:rsidRDefault="003C62BB">
      <w:pPr>
        <w:spacing w:after="200" w:line="360" w:lineRule="auto"/>
        <w:jc w:val="both"/>
        <w:rPr>
          <w:b/>
          <w:bCs/>
          <w:sz w:val="24"/>
          <w:szCs w:val="24"/>
        </w:rPr>
      </w:pPr>
      <w:r>
        <w:rPr>
          <w:b/>
          <w:bCs/>
          <w:i/>
          <w:iCs/>
          <w:sz w:val="24"/>
          <w:szCs w:val="24"/>
        </w:rPr>
        <w:t xml:space="preserve">Threat of Substitutes: </w:t>
      </w:r>
      <w:r>
        <w:rPr>
          <w:b/>
          <w:bCs/>
          <w:sz w:val="24"/>
          <w:szCs w:val="24"/>
        </w:rPr>
        <w:t>MODERATE</w:t>
      </w:r>
    </w:p>
    <w:p w14:paraId="2FDAB10E" w14:textId="77777777" w:rsidR="00C60230" w:rsidRDefault="003C62BB">
      <w:pPr>
        <w:spacing w:after="200" w:line="360" w:lineRule="auto"/>
        <w:jc w:val="both"/>
        <w:rPr>
          <w:sz w:val="24"/>
          <w:szCs w:val="24"/>
        </w:rPr>
      </w:pPr>
      <w:r>
        <w:rPr>
          <w:sz w:val="24"/>
          <w:szCs w:val="24"/>
        </w:rPr>
        <w:t xml:space="preserve">The low-end income population in South Africa are fond of purchasing second-hand furniture due to their inability to afford costly new furniture (Sydor and Kacper Stańczyk, 2025). Thus, second-hand furniture might reduce the competitive advantage of flat-pack new furniture of IKEA in South Africa. Thus, the brand needed to scale the assembly features in its flat pack design (Yu, 2019). This will engage low-income population groups to purchase second-hand high-quality substitutes </w:t>
      </w:r>
      <w:proofErr w:type="gramStart"/>
      <w:r>
        <w:rPr>
          <w:sz w:val="24"/>
          <w:szCs w:val="24"/>
        </w:rPr>
        <w:t>of</w:t>
      </w:r>
      <w:proofErr w:type="gramEnd"/>
      <w:r>
        <w:rPr>
          <w:sz w:val="24"/>
          <w:szCs w:val="24"/>
        </w:rPr>
        <w:t xml:space="preserve"> </w:t>
      </w:r>
      <w:proofErr w:type="gramStart"/>
      <w:r>
        <w:rPr>
          <w:sz w:val="24"/>
          <w:szCs w:val="24"/>
        </w:rPr>
        <w:t>the IKEA</w:t>
      </w:r>
      <w:proofErr w:type="gramEnd"/>
      <w:r>
        <w:rPr>
          <w:sz w:val="24"/>
          <w:szCs w:val="24"/>
        </w:rPr>
        <w:t xml:space="preserve"> furniture at affordable prices.</w:t>
      </w:r>
    </w:p>
    <w:p w14:paraId="73C72F5D" w14:textId="77777777" w:rsidR="00C60230" w:rsidRDefault="003C62BB">
      <w:pPr>
        <w:spacing w:after="200" w:line="360" w:lineRule="auto"/>
        <w:jc w:val="both"/>
        <w:rPr>
          <w:b/>
          <w:bCs/>
          <w:sz w:val="24"/>
          <w:szCs w:val="24"/>
        </w:rPr>
      </w:pPr>
      <w:r>
        <w:rPr>
          <w:b/>
          <w:bCs/>
          <w:i/>
          <w:iCs/>
          <w:sz w:val="24"/>
          <w:szCs w:val="24"/>
        </w:rPr>
        <w:t xml:space="preserve">Rivalries between the existing businesses: </w:t>
      </w:r>
      <w:r>
        <w:rPr>
          <w:b/>
          <w:bCs/>
          <w:sz w:val="24"/>
          <w:szCs w:val="24"/>
        </w:rPr>
        <w:t>HIGH</w:t>
      </w:r>
    </w:p>
    <w:p w14:paraId="3B70F55A" w14:textId="77777777" w:rsidR="00C60230" w:rsidRDefault="003C62BB">
      <w:pPr>
        <w:spacing w:after="200" w:line="360" w:lineRule="auto"/>
        <w:jc w:val="both"/>
        <w:rPr>
          <w:sz w:val="24"/>
          <w:szCs w:val="24"/>
        </w:rPr>
      </w:pPr>
      <w:r>
        <w:rPr>
          <w:sz w:val="24"/>
          <w:szCs w:val="24"/>
        </w:rPr>
        <w:t>As per Mordor Intelligence, the market leaders of the Home Furniture industry in South Africa are La-Z-Boy, Ashley, Herman Miller, Steinhoff International and IKEA (Mordor Intelligence, 2025). The market concentration of the South African home furniture market is fragmented and highly competitive from the marketing and pricing aspects (</w:t>
      </w:r>
      <w:r>
        <w:rPr>
          <w:b/>
          <w:bCs/>
          <w:i/>
          <w:iCs/>
          <w:sz w:val="24"/>
          <w:szCs w:val="24"/>
        </w:rPr>
        <w:t>Refer to Figure 8</w:t>
      </w:r>
      <w:r>
        <w:rPr>
          <w:sz w:val="24"/>
          <w:szCs w:val="24"/>
        </w:rPr>
        <w:t xml:space="preserve">). To differentiate IKEA from the other rival companies, the former brand needed to strategically invest resources in digital experience, affordable pricing and design </w:t>
      </w:r>
      <w:proofErr w:type="spellStart"/>
      <w:r>
        <w:rPr>
          <w:sz w:val="24"/>
          <w:szCs w:val="24"/>
        </w:rPr>
        <w:t>customisation</w:t>
      </w:r>
      <w:proofErr w:type="spellEnd"/>
      <w:r>
        <w:rPr>
          <w:sz w:val="24"/>
          <w:szCs w:val="24"/>
        </w:rPr>
        <w:t xml:space="preserve"> (Paul et al., 2024; Meyer et al., 2023).</w:t>
      </w:r>
    </w:p>
    <w:p w14:paraId="77814D31" w14:textId="77777777" w:rsidR="00C60230" w:rsidRDefault="003C62BB">
      <w:pPr>
        <w:spacing w:after="200" w:line="360" w:lineRule="auto"/>
        <w:jc w:val="center"/>
        <w:rPr>
          <w:b/>
          <w:bCs/>
          <w:sz w:val="24"/>
          <w:szCs w:val="24"/>
        </w:rPr>
      </w:pPr>
      <w:r>
        <w:rPr>
          <w:b/>
          <w:bCs/>
          <w:noProof/>
          <w:sz w:val="24"/>
          <w:szCs w:val="24"/>
        </w:rPr>
        <w:lastRenderedPageBreak/>
        <w:drawing>
          <wp:inline distT="114300" distB="114300" distL="114300" distR="114300" wp14:anchorId="4E5EB611" wp14:editId="227B7D80">
            <wp:extent cx="5731200" cy="2108200"/>
            <wp:effectExtent l="25400" t="25400" r="25400" b="25400"/>
            <wp:docPr id="2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5731200" cy="2108200"/>
                    </a:xfrm>
                    <a:prstGeom prst="rect">
                      <a:avLst/>
                    </a:prstGeom>
                    <a:ln w="25400">
                      <a:solidFill>
                        <a:srgbClr val="000000"/>
                      </a:solidFill>
                      <a:prstDash val="solid"/>
                    </a:ln>
                  </pic:spPr>
                </pic:pic>
              </a:graphicData>
            </a:graphic>
          </wp:inline>
        </w:drawing>
      </w:r>
    </w:p>
    <w:p w14:paraId="367B464A" w14:textId="77777777" w:rsidR="00C60230" w:rsidRDefault="003C62BB">
      <w:pPr>
        <w:spacing w:after="200" w:line="360" w:lineRule="auto"/>
        <w:jc w:val="center"/>
        <w:rPr>
          <w:b/>
          <w:bCs/>
          <w:sz w:val="24"/>
          <w:szCs w:val="24"/>
        </w:rPr>
      </w:pPr>
      <w:r>
        <w:rPr>
          <w:b/>
          <w:bCs/>
          <w:sz w:val="24"/>
          <w:szCs w:val="24"/>
        </w:rPr>
        <w:t>Figure 8: Market Concentration in the South African Home Furniture Industry</w:t>
      </w:r>
    </w:p>
    <w:p w14:paraId="32445788" w14:textId="77777777" w:rsidR="00C60230" w:rsidRDefault="003C62BB">
      <w:pPr>
        <w:spacing w:after="200" w:line="360" w:lineRule="auto"/>
        <w:jc w:val="center"/>
        <w:rPr>
          <w:b/>
          <w:bCs/>
          <w:sz w:val="24"/>
          <w:szCs w:val="24"/>
        </w:rPr>
      </w:pPr>
      <w:r>
        <w:rPr>
          <w:b/>
          <w:bCs/>
          <w:sz w:val="24"/>
          <w:szCs w:val="24"/>
        </w:rPr>
        <w:t>Source: (Mordor Intelligence, 2025)</w:t>
      </w:r>
    </w:p>
    <w:p w14:paraId="02DEBD4C" w14:textId="77777777" w:rsidR="00C60230" w:rsidRDefault="003C62BB">
      <w:pPr>
        <w:pStyle w:val="Heading2"/>
      </w:pPr>
      <w:bookmarkStart w:id="18" w:name="_Toc215925459"/>
      <w:r>
        <w:t>3.3 Internal environmental analysis of IKEA</w:t>
      </w:r>
      <w:bookmarkEnd w:id="18"/>
    </w:p>
    <w:p w14:paraId="3610CBA0" w14:textId="77777777" w:rsidR="00C60230" w:rsidRDefault="003C62BB">
      <w:pPr>
        <w:pStyle w:val="Heading3"/>
      </w:pPr>
      <w:bookmarkStart w:id="19" w:name="_Toc215925460"/>
      <w:r>
        <w:t>3.3.1 Porter’s Value Chain Strategies</w:t>
      </w:r>
      <w:bookmarkEnd w:id="19"/>
    </w:p>
    <w:tbl>
      <w:tblPr>
        <w:tblStyle w:val="a6"/>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05"/>
        <w:gridCol w:w="6495"/>
      </w:tblGrid>
      <w:tr w:rsidR="00C60230" w14:paraId="540EE38D" w14:textId="77777777">
        <w:tc>
          <w:tcPr>
            <w:tcW w:w="2505" w:type="dxa"/>
            <w:tcMar>
              <w:top w:w="100" w:type="dxa"/>
              <w:left w:w="100" w:type="dxa"/>
              <w:bottom w:w="100" w:type="dxa"/>
              <w:right w:w="100" w:type="dxa"/>
            </w:tcMar>
          </w:tcPr>
          <w:p w14:paraId="3D6089C0" w14:textId="77777777" w:rsidR="00C60230" w:rsidRDefault="003C62BB">
            <w:pPr>
              <w:widowControl w:val="0"/>
              <w:pBdr>
                <w:top w:val="nil"/>
                <w:left w:val="nil"/>
                <w:bottom w:val="nil"/>
                <w:right w:val="nil"/>
                <w:between w:val="nil"/>
              </w:pBdr>
              <w:spacing w:line="360" w:lineRule="auto"/>
              <w:jc w:val="center"/>
              <w:rPr>
                <w:b/>
                <w:bCs/>
                <w:sz w:val="24"/>
                <w:szCs w:val="24"/>
              </w:rPr>
            </w:pPr>
            <w:r>
              <w:rPr>
                <w:b/>
                <w:bCs/>
                <w:sz w:val="24"/>
                <w:szCs w:val="24"/>
              </w:rPr>
              <w:t xml:space="preserve">Value chain activities </w:t>
            </w:r>
          </w:p>
        </w:tc>
        <w:tc>
          <w:tcPr>
            <w:tcW w:w="6495" w:type="dxa"/>
            <w:tcMar>
              <w:top w:w="100" w:type="dxa"/>
              <w:left w:w="100" w:type="dxa"/>
              <w:bottom w:w="100" w:type="dxa"/>
              <w:right w:w="100" w:type="dxa"/>
            </w:tcMar>
          </w:tcPr>
          <w:p w14:paraId="3B916650" w14:textId="77777777" w:rsidR="00C60230" w:rsidRDefault="003C62BB">
            <w:pPr>
              <w:widowControl w:val="0"/>
              <w:pBdr>
                <w:top w:val="nil"/>
                <w:left w:val="nil"/>
                <w:bottom w:val="nil"/>
                <w:right w:val="nil"/>
                <w:between w:val="nil"/>
              </w:pBdr>
              <w:spacing w:line="360" w:lineRule="auto"/>
              <w:jc w:val="center"/>
              <w:rPr>
                <w:b/>
                <w:bCs/>
                <w:sz w:val="24"/>
                <w:szCs w:val="24"/>
              </w:rPr>
            </w:pPr>
            <w:r>
              <w:rPr>
                <w:b/>
                <w:bCs/>
                <w:sz w:val="24"/>
                <w:szCs w:val="24"/>
              </w:rPr>
              <w:t xml:space="preserve">Description </w:t>
            </w:r>
          </w:p>
        </w:tc>
      </w:tr>
      <w:tr w:rsidR="00C60230" w14:paraId="60538876" w14:textId="77777777">
        <w:tc>
          <w:tcPr>
            <w:tcW w:w="2505" w:type="dxa"/>
            <w:tcMar>
              <w:top w:w="100" w:type="dxa"/>
              <w:left w:w="100" w:type="dxa"/>
              <w:bottom w:w="100" w:type="dxa"/>
              <w:right w:w="100" w:type="dxa"/>
            </w:tcMar>
          </w:tcPr>
          <w:p w14:paraId="5A3C85EB"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 xml:space="preserve">Inbound logistics </w:t>
            </w:r>
          </w:p>
        </w:tc>
        <w:tc>
          <w:tcPr>
            <w:tcW w:w="6495" w:type="dxa"/>
            <w:tcMar>
              <w:top w:w="100" w:type="dxa"/>
              <w:left w:w="100" w:type="dxa"/>
              <w:bottom w:w="100" w:type="dxa"/>
              <w:right w:w="100" w:type="dxa"/>
            </w:tcMar>
          </w:tcPr>
          <w:p w14:paraId="5EEA5F36"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The company established IKEA Supply AG, which manages 90% of the outsourced IKEA products from the global suppliers. IKEA established a long-term contract with wholesale subsidiaries, warehouse providers and transporters (IKEA, 2023).</w:t>
            </w:r>
          </w:p>
        </w:tc>
      </w:tr>
      <w:tr w:rsidR="00C60230" w14:paraId="53D09006" w14:textId="77777777">
        <w:tc>
          <w:tcPr>
            <w:tcW w:w="2505" w:type="dxa"/>
            <w:tcMar>
              <w:top w:w="100" w:type="dxa"/>
              <w:left w:w="100" w:type="dxa"/>
              <w:bottom w:w="100" w:type="dxa"/>
              <w:right w:w="100" w:type="dxa"/>
            </w:tcMar>
          </w:tcPr>
          <w:p w14:paraId="7FA6FBA4"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Operations</w:t>
            </w:r>
          </w:p>
        </w:tc>
        <w:tc>
          <w:tcPr>
            <w:tcW w:w="6495" w:type="dxa"/>
            <w:tcMar>
              <w:top w:w="100" w:type="dxa"/>
              <w:left w:w="100" w:type="dxa"/>
              <w:bottom w:w="100" w:type="dxa"/>
              <w:right w:w="100" w:type="dxa"/>
            </w:tcMar>
          </w:tcPr>
          <w:p w14:paraId="4410CE8B"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 xml:space="preserve">IKEA’s operations are connected to 33 production units, including sawmills and forestry, for the continuous production of wood components and home-based furniture (IKEA, 2023). However, </w:t>
            </w:r>
            <w:proofErr w:type="spellStart"/>
            <w:r>
              <w:rPr>
                <w:sz w:val="24"/>
                <w:szCs w:val="24"/>
              </w:rPr>
              <w:t>organisational</w:t>
            </w:r>
            <w:proofErr w:type="spellEnd"/>
            <w:r>
              <w:rPr>
                <w:sz w:val="24"/>
                <w:szCs w:val="24"/>
              </w:rPr>
              <w:t xml:space="preserve"> restructuring and recruitment blocks often vary operational efficiency at IKEA.</w:t>
            </w:r>
          </w:p>
        </w:tc>
      </w:tr>
      <w:tr w:rsidR="00C60230" w14:paraId="7E05E0E9" w14:textId="77777777">
        <w:tc>
          <w:tcPr>
            <w:tcW w:w="2505" w:type="dxa"/>
            <w:tcMar>
              <w:top w:w="100" w:type="dxa"/>
              <w:left w:w="100" w:type="dxa"/>
              <w:bottom w:w="100" w:type="dxa"/>
              <w:right w:w="100" w:type="dxa"/>
            </w:tcMar>
          </w:tcPr>
          <w:p w14:paraId="033214BE"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Outbound logistics</w:t>
            </w:r>
          </w:p>
        </w:tc>
        <w:tc>
          <w:tcPr>
            <w:tcW w:w="6495" w:type="dxa"/>
            <w:tcMar>
              <w:top w:w="100" w:type="dxa"/>
              <w:left w:w="100" w:type="dxa"/>
              <w:bottom w:w="100" w:type="dxa"/>
              <w:right w:w="100" w:type="dxa"/>
            </w:tcMar>
          </w:tcPr>
          <w:p w14:paraId="33527958"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 xml:space="preserve">IKEA has a distribution network of 12 franchise and company-owned traditional retail stores, small stores, and pickup points (IKEA, 2023). The robust distribution network </w:t>
            </w:r>
            <w:r>
              <w:rPr>
                <w:sz w:val="24"/>
                <w:szCs w:val="24"/>
              </w:rPr>
              <w:lastRenderedPageBreak/>
              <w:t>increases customer meeting points at IKEA to over 600 (IKEA, 2023). However, high energy prices fuel the transportation costs (outbound logistics) for the company.</w:t>
            </w:r>
          </w:p>
        </w:tc>
      </w:tr>
      <w:tr w:rsidR="00C60230" w14:paraId="4E7FA8EA" w14:textId="77777777">
        <w:tc>
          <w:tcPr>
            <w:tcW w:w="2505" w:type="dxa"/>
            <w:tcMar>
              <w:top w:w="100" w:type="dxa"/>
              <w:left w:w="100" w:type="dxa"/>
              <w:bottom w:w="100" w:type="dxa"/>
              <w:right w:w="100" w:type="dxa"/>
            </w:tcMar>
          </w:tcPr>
          <w:p w14:paraId="4292477A"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lastRenderedPageBreak/>
              <w:t>Service</w:t>
            </w:r>
          </w:p>
        </w:tc>
        <w:tc>
          <w:tcPr>
            <w:tcW w:w="6495" w:type="dxa"/>
            <w:tcMar>
              <w:top w:w="100" w:type="dxa"/>
              <w:left w:w="100" w:type="dxa"/>
              <w:bottom w:w="100" w:type="dxa"/>
              <w:right w:w="100" w:type="dxa"/>
            </w:tcMar>
          </w:tcPr>
          <w:p w14:paraId="00CCDE7A"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IKEA’s customer support and technical team offer guidance to customers and solve their problems related to newly added security features at IKEA furniture (Anchor and Lock feature, Furniture tip overs) (IKEA, 2023).</w:t>
            </w:r>
          </w:p>
        </w:tc>
      </w:tr>
      <w:tr w:rsidR="00C60230" w14:paraId="3B405410" w14:textId="77777777">
        <w:tc>
          <w:tcPr>
            <w:tcW w:w="2505" w:type="dxa"/>
            <w:tcMar>
              <w:top w:w="100" w:type="dxa"/>
              <w:left w:w="100" w:type="dxa"/>
              <w:bottom w:w="100" w:type="dxa"/>
              <w:right w:w="100" w:type="dxa"/>
            </w:tcMar>
          </w:tcPr>
          <w:p w14:paraId="127FF480"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Marketing and Sales</w:t>
            </w:r>
          </w:p>
        </w:tc>
        <w:tc>
          <w:tcPr>
            <w:tcW w:w="6495" w:type="dxa"/>
            <w:tcMar>
              <w:top w:w="100" w:type="dxa"/>
              <w:left w:w="100" w:type="dxa"/>
              <w:bottom w:w="100" w:type="dxa"/>
              <w:right w:w="100" w:type="dxa"/>
            </w:tcMar>
          </w:tcPr>
          <w:p w14:paraId="51D3891F"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 xml:space="preserve">IKEA invested in storytelling-driven social media campaigns to connect with the local population. For example, the brand committed EUR 20 million in digital marketing efforts </w:t>
            </w:r>
            <w:proofErr w:type="gramStart"/>
            <w:r>
              <w:rPr>
                <w:sz w:val="24"/>
                <w:szCs w:val="24"/>
              </w:rPr>
              <w:t>for increasing</w:t>
            </w:r>
            <w:proofErr w:type="gramEnd"/>
            <w:r>
              <w:rPr>
                <w:sz w:val="24"/>
                <w:szCs w:val="24"/>
              </w:rPr>
              <w:t xml:space="preserve"> brand sales in 2024 (IKEA, 2024)</w:t>
            </w:r>
          </w:p>
        </w:tc>
      </w:tr>
    </w:tbl>
    <w:p w14:paraId="2DE5AF92" w14:textId="77777777" w:rsidR="00C60230" w:rsidRDefault="003C62BB">
      <w:pPr>
        <w:spacing w:after="200" w:line="360" w:lineRule="auto"/>
        <w:jc w:val="center"/>
        <w:rPr>
          <w:b/>
          <w:bCs/>
          <w:sz w:val="24"/>
          <w:szCs w:val="24"/>
        </w:rPr>
      </w:pPr>
      <w:r>
        <w:rPr>
          <w:b/>
          <w:bCs/>
          <w:sz w:val="24"/>
          <w:szCs w:val="24"/>
        </w:rPr>
        <w:t xml:space="preserve">Table 2: Porter’s Value Chain Analysis </w:t>
      </w:r>
    </w:p>
    <w:p w14:paraId="5F8D51FF" w14:textId="77777777" w:rsidR="00C60230" w:rsidRDefault="003C62BB">
      <w:pPr>
        <w:spacing w:after="200" w:line="360" w:lineRule="auto"/>
        <w:jc w:val="center"/>
        <w:rPr>
          <w:b/>
          <w:bCs/>
          <w:sz w:val="24"/>
          <w:szCs w:val="24"/>
        </w:rPr>
      </w:pPr>
      <w:r>
        <w:rPr>
          <w:b/>
          <w:bCs/>
          <w:sz w:val="24"/>
          <w:szCs w:val="24"/>
        </w:rPr>
        <w:t>Source: (Self-created)</w:t>
      </w:r>
    </w:p>
    <w:p w14:paraId="4B8F9B4C" w14:textId="77777777" w:rsidR="00C60230" w:rsidRDefault="003C62BB">
      <w:pPr>
        <w:pStyle w:val="Heading3"/>
      </w:pPr>
      <w:bookmarkStart w:id="20" w:name="_Toc215925461"/>
      <w:r>
        <w:t>3.3.2 Assessing how the core competencies of IKEA contributing to its sustainable competitive advantage: VRIO</w:t>
      </w:r>
      <w:bookmarkEnd w:id="20"/>
    </w:p>
    <w:tbl>
      <w:tblPr>
        <w:tblStyle w:val="a7"/>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5"/>
        <w:gridCol w:w="1505"/>
        <w:gridCol w:w="1504"/>
        <w:gridCol w:w="1504"/>
        <w:gridCol w:w="1504"/>
        <w:gridCol w:w="1504"/>
      </w:tblGrid>
      <w:tr w:rsidR="00C60230" w14:paraId="4DCCF5D0" w14:textId="77777777">
        <w:tc>
          <w:tcPr>
            <w:tcW w:w="1505" w:type="dxa"/>
            <w:tcMar>
              <w:top w:w="100" w:type="dxa"/>
              <w:left w:w="100" w:type="dxa"/>
              <w:bottom w:w="100" w:type="dxa"/>
              <w:right w:w="100" w:type="dxa"/>
            </w:tcMar>
          </w:tcPr>
          <w:p w14:paraId="5F458F85"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 xml:space="preserve">Resource/capabilities </w:t>
            </w:r>
          </w:p>
        </w:tc>
        <w:tc>
          <w:tcPr>
            <w:tcW w:w="1505" w:type="dxa"/>
            <w:tcMar>
              <w:top w:w="100" w:type="dxa"/>
              <w:left w:w="100" w:type="dxa"/>
              <w:bottom w:w="100" w:type="dxa"/>
              <w:right w:w="100" w:type="dxa"/>
            </w:tcMar>
          </w:tcPr>
          <w:p w14:paraId="0A9FC427" w14:textId="77777777" w:rsidR="00C60230" w:rsidRDefault="003C62BB">
            <w:pPr>
              <w:widowControl w:val="0"/>
              <w:pBdr>
                <w:top w:val="nil"/>
                <w:left w:val="nil"/>
                <w:bottom w:val="nil"/>
                <w:right w:val="nil"/>
                <w:between w:val="nil"/>
              </w:pBdr>
              <w:spacing w:line="360" w:lineRule="auto"/>
              <w:jc w:val="both"/>
              <w:rPr>
                <w:b/>
                <w:bCs/>
                <w:sz w:val="24"/>
                <w:szCs w:val="24"/>
              </w:rPr>
            </w:pPr>
            <w:proofErr w:type="spellStart"/>
            <w:r>
              <w:rPr>
                <w:b/>
                <w:bCs/>
                <w:sz w:val="24"/>
                <w:szCs w:val="24"/>
              </w:rPr>
              <w:t>Valueable</w:t>
            </w:r>
            <w:proofErr w:type="spellEnd"/>
          </w:p>
        </w:tc>
        <w:tc>
          <w:tcPr>
            <w:tcW w:w="1504" w:type="dxa"/>
            <w:tcMar>
              <w:top w:w="100" w:type="dxa"/>
              <w:left w:w="100" w:type="dxa"/>
              <w:bottom w:w="100" w:type="dxa"/>
              <w:right w:w="100" w:type="dxa"/>
            </w:tcMar>
          </w:tcPr>
          <w:p w14:paraId="2E34AFAF"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Rare</w:t>
            </w:r>
          </w:p>
        </w:tc>
        <w:tc>
          <w:tcPr>
            <w:tcW w:w="1504" w:type="dxa"/>
            <w:tcMar>
              <w:top w:w="100" w:type="dxa"/>
              <w:left w:w="100" w:type="dxa"/>
              <w:bottom w:w="100" w:type="dxa"/>
              <w:right w:w="100" w:type="dxa"/>
            </w:tcMar>
          </w:tcPr>
          <w:p w14:paraId="3644AA29"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Costly to imitate</w:t>
            </w:r>
          </w:p>
        </w:tc>
        <w:tc>
          <w:tcPr>
            <w:tcW w:w="1504" w:type="dxa"/>
            <w:tcMar>
              <w:top w:w="100" w:type="dxa"/>
              <w:left w:w="100" w:type="dxa"/>
              <w:bottom w:w="100" w:type="dxa"/>
              <w:right w:w="100" w:type="dxa"/>
            </w:tcMar>
          </w:tcPr>
          <w:p w14:paraId="0340BBB8"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 xml:space="preserve">Exploit to </w:t>
            </w:r>
            <w:proofErr w:type="spellStart"/>
            <w:r>
              <w:rPr>
                <w:b/>
                <w:bCs/>
                <w:sz w:val="24"/>
                <w:szCs w:val="24"/>
              </w:rPr>
              <w:t>organisation</w:t>
            </w:r>
            <w:proofErr w:type="spellEnd"/>
            <w:r>
              <w:rPr>
                <w:b/>
                <w:bCs/>
                <w:sz w:val="24"/>
                <w:szCs w:val="24"/>
              </w:rPr>
              <w:t xml:space="preserve"> </w:t>
            </w:r>
          </w:p>
        </w:tc>
        <w:tc>
          <w:tcPr>
            <w:tcW w:w="1504" w:type="dxa"/>
            <w:tcMar>
              <w:top w:w="100" w:type="dxa"/>
              <w:left w:w="100" w:type="dxa"/>
              <w:bottom w:w="100" w:type="dxa"/>
              <w:right w:w="100" w:type="dxa"/>
            </w:tcMar>
          </w:tcPr>
          <w:p w14:paraId="656E26A2"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 xml:space="preserve">Competitive advantage </w:t>
            </w:r>
          </w:p>
        </w:tc>
      </w:tr>
      <w:tr w:rsidR="00C60230" w14:paraId="0DE265EF" w14:textId="77777777">
        <w:tc>
          <w:tcPr>
            <w:tcW w:w="1505" w:type="dxa"/>
            <w:tcMar>
              <w:top w:w="100" w:type="dxa"/>
              <w:left w:w="100" w:type="dxa"/>
              <w:bottom w:w="100" w:type="dxa"/>
              <w:right w:w="100" w:type="dxa"/>
            </w:tcMar>
          </w:tcPr>
          <w:p w14:paraId="4AFEF8B0"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Brand Value</w:t>
            </w:r>
          </w:p>
        </w:tc>
        <w:tc>
          <w:tcPr>
            <w:tcW w:w="1505" w:type="dxa"/>
            <w:tcMar>
              <w:top w:w="100" w:type="dxa"/>
              <w:left w:w="100" w:type="dxa"/>
              <w:bottom w:w="100" w:type="dxa"/>
              <w:right w:w="100" w:type="dxa"/>
            </w:tcMar>
          </w:tcPr>
          <w:p w14:paraId="329766C2"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Yes</w:t>
            </w:r>
          </w:p>
        </w:tc>
        <w:tc>
          <w:tcPr>
            <w:tcW w:w="1504" w:type="dxa"/>
            <w:tcMar>
              <w:top w:w="100" w:type="dxa"/>
              <w:left w:w="100" w:type="dxa"/>
              <w:bottom w:w="100" w:type="dxa"/>
              <w:right w:w="100" w:type="dxa"/>
            </w:tcMar>
          </w:tcPr>
          <w:p w14:paraId="754DECC0"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No</w:t>
            </w:r>
          </w:p>
        </w:tc>
        <w:tc>
          <w:tcPr>
            <w:tcW w:w="1504" w:type="dxa"/>
            <w:tcMar>
              <w:top w:w="100" w:type="dxa"/>
              <w:left w:w="100" w:type="dxa"/>
              <w:bottom w:w="100" w:type="dxa"/>
              <w:right w:w="100" w:type="dxa"/>
            </w:tcMar>
          </w:tcPr>
          <w:p w14:paraId="49807E81"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Yes</w:t>
            </w:r>
          </w:p>
        </w:tc>
        <w:tc>
          <w:tcPr>
            <w:tcW w:w="1504" w:type="dxa"/>
            <w:tcMar>
              <w:top w:w="100" w:type="dxa"/>
              <w:left w:w="100" w:type="dxa"/>
              <w:bottom w:w="100" w:type="dxa"/>
              <w:right w:w="100" w:type="dxa"/>
            </w:tcMar>
          </w:tcPr>
          <w:p w14:paraId="61820556"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Yes (can be exploited through franchising)</w:t>
            </w:r>
          </w:p>
        </w:tc>
        <w:tc>
          <w:tcPr>
            <w:tcW w:w="1504" w:type="dxa"/>
            <w:tcMar>
              <w:top w:w="100" w:type="dxa"/>
              <w:left w:w="100" w:type="dxa"/>
              <w:bottom w:w="100" w:type="dxa"/>
              <w:right w:w="100" w:type="dxa"/>
            </w:tcMar>
          </w:tcPr>
          <w:p w14:paraId="5413925A"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 xml:space="preserve">Temporary competitive advantage </w:t>
            </w:r>
          </w:p>
        </w:tc>
      </w:tr>
      <w:tr w:rsidR="00C60230" w14:paraId="2B35021C" w14:textId="77777777">
        <w:tc>
          <w:tcPr>
            <w:tcW w:w="1505" w:type="dxa"/>
            <w:tcMar>
              <w:top w:w="100" w:type="dxa"/>
              <w:left w:w="100" w:type="dxa"/>
              <w:bottom w:w="100" w:type="dxa"/>
              <w:right w:w="100" w:type="dxa"/>
            </w:tcMar>
          </w:tcPr>
          <w:p w14:paraId="416D3021"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 xml:space="preserve">Retail distribution network and supply chain </w:t>
            </w:r>
            <w:r>
              <w:rPr>
                <w:sz w:val="24"/>
                <w:szCs w:val="24"/>
              </w:rPr>
              <w:lastRenderedPageBreak/>
              <w:t>expertise</w:t>
            </w:r>
          </w:p>
        </w:tc>
        <w:tc>
          <w:tcPr>
            <w:tcW w:w="1505" w:type="dxa"/>
            <w:tcMar>
              <w:top w:w="100" w:type="dxa"/>
              <w:left w:w="100" w:type="dxa"/>
              <w:bottom w:w="100" w:type="dxa"/>
              <w:right w:w="100" w:type="dxa"/>
            </w:tcMar>
          </w:tcPr>
          <w:p w14:paraId="14DC4592"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lastRenderedPageBreak/>
              <w:t>Yes</w:t>
            </w:r>
          </w:p>
        </w:tc>
        <w:tc>
          <w:tcPr>
            <w:tcW w:w="1504" w:type="dxa"/>
            <w:tcMar>
              <w:top w:w="100" w:type="dxa"/>
              <w:left w:w="100" w:type="dxa"/>
              <w:bottom w:w="100" w:type="dxa"/>
              <w:right w:w="100" w:type="dxa"/>
            </w:tcMar>
          </w:tcPr>
          <w:p w14:paraId="6165B4E0"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Yes</w:t>
            </w:r>
          </w:p>
        </w:tc>
        <w:tc>
          <w:tcPr>
            <w:tcW w:w="1504" w:type="dxa"/>
            <w:tcMar>
              <w:top w:w="100" w:type="dxa"/>
              <w:left w:w="100" w:type="dxa"/>
              <w:bottom w:w="100" w:type="dxa"/>
              <w:right w:w="100" w:type="dxa"/>
            </w:tcMar>
          </w:tcPr>
          <w:p w14:paraId="15D8D01E"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Yes</w:t>
            </w:r>
          </w:p>
        </w:tc>
        <w:tc>
          <w:tcPr>
            <w:tcW w:w="1504" w:type="dxa"/>
            <w:tcMar>
              <w:top w:w="100" w:type="dxa"/>
              <w:left w:w="100" w:type="dxa"/>
              <w:bottom w:w="100" w:type="dxa"/>
              <w:right w:w="100" w:type="dxa"/>
            </w:tcMar>
          </w:tcPr>
          <w:p w14:paraId="39B4C11A"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Yes (in-house production and designing)</w:t>
            </w:r>
          </w:p>
        </w:tc>
        <w:tc>
          <w:tcPr>
            <w:tcW w:w="1504" w:type="dxa"/>
            <w:tcMar>
              <w:top w:w="100" w:type="dxa"/>
              <w:left w:w="100" w:type="dxa"/>
              <w:bottom w:w="100" w:type="dxa"/>
              <w:right w:w="100" w:type="dxa"/>
            </w:tcMar>
          </w:tcPr>
          <w:p w14:paraId="6660D0BE"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 xml:space="preserve">Sustainable Competitive Advantage </w:t>
            </w:r>
          </w:p>
        </w:tc>
      </w:tr>
      <w:tr w:rsidR="00C60230" w14:paraId="0DC865B9" w14:textId="77777777">
        <w:tc>
          <w:tcPr>
            <w:tcW w:w="1505" w:type="dxa"/>
            <w:tcMar>
              <w:top w:w="100" w:type="dxa"/>
              <w:left w:w="100" w:type="dxa"/>
              <w:bottom w:w="100" w:type="dxa"/>
              <w:right w:w="100" w:type="dxa"/>
            </w:tcMar>
          </w:tcPr>
          <w:p w14:paraId="2B9EB408"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Sustainable sourcing and procurement</w:t>
            </w:r>
          </w:p>
        </w:tc>
        <w:tc>
          <w:tcPr>
            <w:tcW w:w="1505" w:type="dxa"/>
            <w:tcMar>
              <w:top w:w="100" w:type="dxa"/>
              <w:left w:w="100" w:type="dxa"/>
              <w:bottom w:w="100" w:type="dxa"/>
              <w:right w:w="100" w:type="dxa"/>
            </w:tcMar>
          </w:tcPr>
          <w:p w14:paraId="026D51CE"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Yes</w:t>
            </w:r>
          </w:p>
        </w:tc>
        <w:tc>
          <w:tcPr>
            <w:tcW w:w="1504" w:type="dxa"/>
            <w:tcMar>
              <w:top w:w="100" w:type="dxa"/>
              <w:left w:w="100" w:type="dxa"/>
              <w:bottom w:w="100" w:type="dxa"/>
              <w:right w:w="100" w:type="dxa"/>
            </w:tcMar>
          </w:tcPr>
          <w:p w14:paraId="36E7F679"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Yes</w:t>
            </w:r>
          </w:p>
        </w:tc>
        <w:tc>
          <w:tcPr>
            <w:tcW w:w="1504" w:type="dxa"/>
            <w:tcMar>
              <w:top w:w="100" w:type="dxa"/>
              <w:left w:w="100" w:type="dxa"/>
              <w:bottom w:w="100" w:type="dxa"/>
              <w:right w:w="100" w:type="dxa"/>
            </w:tcMar>
          </w:tcPr>
          <w:p w14:paraId="7BE740FE"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Yes</w:t>
            </w:r>
          </w:p>
        </w:tc>
        <w:tc>
          <w:tcPr>
            <w:tcW w:w="1504" w:type="dxa"/>
            <w:tcMar>
              <w:top w:w="100" w:type="dxa"/>
              <w:left w:w="100" w:type="dxa"/>
              <w:bottom w:w="100" w:type="dxa"/>
              <w:right w:w="100" w:type="dxa"/>
            </w:tcMar>
          </w:tcPr>
          <w:p w14:paraId="71B55A97"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Yes (core to strategic intent and vision of IKEA)</w:t>
            </w:r>
          </w:p>
        </w:tc>
        <w:tc>
          <w:tcPr>
            <w:tcW w:w="1504" w:type="dxa"/>
            <w:tcMar>
              <w:top w:w="100" w:type="dxa"/>
              <w:left w:w="100" w:type="dxa"/>
              <w:bottom w:w="100" w:type="dxa"/>
              <w:right w:w="100" w:type="dxa"/>
            </w:tcMar>
          </w:tcPr>
          <w:p w14:paraId="556138AF"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 xml:space="preserve">Sustainable competitive advantage </w:t>
            </w:r>
          </w:p>
        </w:tc>
      </w:tr>
      <w:tr w:rsidR="00C60230" w14:paraId="3ADF5CF2" w14:textId="77777777">
        <w:tc>
          <w:tcPr>
            <w:tcW w:w="1505" w:type="dxa"/>
            <w:tcMar>
              <w:top w:w="100" w:type="dxa"/>
              <w:left w:w="100" w:type="dxa"/>
              <w:bottom w:w="100" w:type="dxa"/>
              <w:right w:w="100" w:type="dxa"/>
            </w:tcMar>
          </w:tcPr>
          <w:p w14:paraId="5BF31D02"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Portfolio of skilled leaders and managers</w:t>
            </w:r>
          </w:p>
        </w:tc>
        <w:tc>
          <w:tcPr>
            <w:tcW w:w="1505" w:type="dxa"/>
            <w:tcMar>
              <w:top w:w="100" w:type="dxa"/>
              <w:left w:w="100" w:type="dxa"/>
              <w:bottom w:w="100" w:type="dxa"/>
              <w:right w:w="100" w:type="dxa"/>
            </w:tcMar>
          </w:tcPr>
          <w:p w14:paraId="18ACB56A"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Yes</w:t>
            </w:r>
          </w:p>
        </w:tc>
        <w:tc>
          <w:tcPr>
            <w:tcW w:w="1504" w:type="dxa"/>
            <w:tcMar>
              <w:top w:w="100" w:type="dxa"/>
              <w:left w:w="100" w:type="dxa"/>
              <w:bottom w:w="100" w:type="dxa"/>
              <w:right w:w="100" w:type="dxa"/>
            </w:tcMar>
          </w:tcPr>
          <w:p w14:paraId="34B85543"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No</w:t>
            </w:r>
          </w:p>
        </w:tc>
        <w:tc>
          <w:tcPr>
            <w:tcW w:w="1504" w:type="dxa"/>
            <w:tcMar>
              <w:top w:w="100" w:type="dxa"/>
              <w:left w:w="100" w:type="dxa"/>
              <w:bottom w:w="100" w:type="dxa"/>
              <w:right w:w="100" w:type="dxa"/>
            </w:tcMar>
          </w:tcPr>
          <w:p w14:paraId="1EABB632"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Yes</w:t>
            </w:r>
          </w:p>
        </w:tc>
        <w:tc>
          <w:tcPr>
            <w:tcW w:w="1504" w:type="dxa"/>
            <w:tcMar>
              <w:top w:w="100" w:type="dxa"/>
              <w:left w:w="100" w:type="dxa"/>
              <w:bottom w:w="100" w:type="dxa"/>
              <w:right w:w="100" w:type="dxa"/>
            </w:tcMar>
          </w:tcPr>
          <w:p w14:paraId="3C796140"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No</w:t>
            </w:r>
          </w:p>
        </w:tc>
        <w:tc>
          <w:tcPr>
            <w:tcW w:w="1504" w:type="dxa"/>
            <w:tcMar>
              <w:top w:w="100" w:type="dxa"/>
              <w:left w:w="100" w:type="dxa"/>
              <w:bottom w:w="100" w:type="dxa"/>
              <w:right w:w="100" w:type="dxa"/>
            </w:tcMar>
          </w:tcPr>
          <w:p w14:paraId="179499DC"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Competitive Parity</w:t>
            </w:r>
          </w:p>
        </w:tc>
      </w:tr>
    </w:tbl>
    <w:p w14:paraId="25FD8975" w14:textId="77777777" w:rsidR="00C60230" w:rsidRDefault="003C62BB">
      <w:pPr>
        <w:spacing w:after="200" w:line="360" w:lineRule="auto"/>
        <w:jc w:val="center"/>
        <w:rPr>
          <w:b/>
          <w:bCs/>
          <w:sz w:val="24"/>
          <w:szCs w:val="24"/>
        </w:rPr>
      </w:pPr>
      <w:r>
        <w:rPr>
          <w:b/>
          <w:bCs/>
          <w:sz w:val="24"/>
          <w:szCs w:val="24"/>
        </w:rPr>
        <w:t>Table 3: VRIO Analysis of IKEA’s Competitive Advantage</w:t>
      </w:r>
    </w:p>
    <w:p w14:paraId="0A8F034E" w14:textId="77777777" w:rsidR="00C60230" w:rsidRDefault="003C62BB">
      <w:pPr>
        <w:spacing w:after="200" w:line="360" w:lineRule="auto"/>
        <w:jc w:val="center"/>
        <w:rPr>
          <w:b/>
          <w:bCs/>
          <w:sz w:val="24"/>
          <w:szCs w:val="24"/>
        </w:rPr>
      </w:pPr>
      <w:r>
        <w:rPr>
          <w:b/>
          <w:bCs/>
          <w:sz w:val="24"/>
          <w:szCs w:val="24"/>
        </w:rPr>
        <w:t>Source: (Self-created)</w:t>
      </w:r>
    </w:p>
    <w:p w14:paraId="2B7E8AD9" w14:textId="77777777" w:rsidR="00C60230" w:rsidRDefault="003C62BB">
      <w:pPr>
        <w:spacing w:after="200" w:line="360" w:lineRule="auto"/>
        <w:jc w:val="both"/>
        <w:rPr>
          <w:sz w:val="24"/>
          <w:szCs w:val="24"/>
        </w:rPr>
      </w:pPr>
      <w:r>
        <w:rPr>
          <w:sz w:val="24"/>
          <w:szCs w:val="24"/>
        </w:rPr>
        <w:t xml:space="preserve">From the VRIO analysis, it can be inferred that the global brand value of IKEA has a temporary competitive advantage because it can be imitated by international furniture companies. Foreign furniture brands with </w:t>
      </w:r>
      <w:proofErr w:type="gramStart"/>
      <w:r>
        <w:rPr>
          <w:sz w:val="24"/>
          <w:szCs w:val="24"/>
        </w:rPr>
        <w:t>franchising</w:t>
      </w:r>
      <w:proofErr w:type="gramEnd"/>
      <w:r>
        <w:rPr>
          <w:sz w:val="24"/>
          <w:szCs w:val="24"/>
        </w:rPr>
        <w:t xml:space="preserve"> can strike a firm balance between market entry risks and long-term contract rewards. On the other hand, sustainable sourcing, supply chain expertise, and a retail distribution network will leverage a sustainable competitive advantage to IKEA. For example, Statista (2025); Watson (2025) observed that South African Indians who look for sustainable office furniture will be loyal customers of IKEA.</w:t>
      </w:r>
    </w:p>
    <w:p w14:paraId="30A1738F" w14:textId="77777777" w:rsidR="00C60230" w:rsidRDefault="003C62BB">
      <w:pPr>
        <w:pStyle w:val="Heading2"/>
      </w:pPr>
      <w:bookmarkStart w:id="21" w:name="_Toc215925462"/>
      <w:r>
        <w:t>3.4 Critical Analysis on the limitations and effectiveness of analytical tools used above</w:t>
      </w:r>
      <w:bookmarkEnd w:id="21"/>
    </w:p>
    <w:tbl>
      <w:tblPr>
        <w:tblStyle w:val="a8"/>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8"/>
        <w:gridCol w:w="3009"/>
        <w:gridCol w:w="3009"/>
      </w:tblGrid>
      <w:tr w:rsidR="00C60230" w14:paraId="5280558B" w14:textId="77777777">
        <w:tc>
          <w:tcPr>
            <w:tcW w:w="3008" w:type="dxa"/>
            <w:tcMar>
              <w:top w:w="100" w:type="dxa"/>
              <w:left w:w="100" w:type="dxa"/>
              <w:bottom w:w="100" w:type="dxa"/>
              <w:right w:w="100" w:type="dxa"/>
            </w:tcMar>
          </w:tcPr>
          <w:p w14:paraId="3CDB0ECA"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Analytical tools</w:t>
            </w:r>
          </w:p>
        </w:tc>
        <w:tc>
          <w:tcPr>
            <w:tcW w:w="3009" w:type="dxa"/>
            <w:tcMar>
              <w:top w:w="100" w:type="dxa"/>
              <w:left w:w="100" w:type="dxa"/>
              <w:bottom w:w="100" w:type="dxa"/>
              <w:right w:w="100" w:type="dxa"/>
            </w:tcMar>
          </w:tcPr>
          <w:p w14:paraId="3AD32D0E"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Strengths</w:t>
            </w:r>
          </w:p>
        </w:tc>
        <w:tc>
          <w:tcPr>
            <w:tcW w:w="3009" w:type="dxa"/>
            <w:tcMar>
              <w:top w:w="100" w:type="dxa"/>
              <w:left w:w="100" w:type="dxa"/>
              <w:bottom w:w="100" w:type="dxa"/>
              <w:right w:w="100" w:type="dxa"/>
            </w:tcMar>
          </w:tcPr>
          <w:p w14:paraId="52744B79"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Limitations</w:t>
            </w:r>
          </w:p>
        </w:tc>
      </w:tr>
      <w:tr w:rsidR="00C60230" w14:paraId="3078B9FA" w14:textId="77777777">
        <w:tc>
          <w:tcPr>
            <w:tcW w:w="3008" w:type="dxa"/>
            <w:tcMar>
              <w:top w:w="100" w:type="dxa"/>
              <w:left w:w="100" w:type="dxa"/>
              <w:bottom w:w="100" w:type="dxa"/>
              <w:right w:w="100" w:type="dxa"/>
            </w:tcMar>
          </w:tcPr>
          <w:p w14:paraId="205EA79D"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PESTLE</w:t>
            </w:r>
          </w:p>
        </w:tc>
        <w:tc>
          <w:tcPr>
            <w:tcW w:w="3009" w:type="dxa"/>
            <w:tcMar>
              <w:top w:w="100" w:type="dxa"/>
              <w:left w:w="100" w:type="dxa"/>
              <w:bottom w:w="100" w:type="dxa"/>
              <w:right w:w="100" w:type="dxa"/>
            </w:tcMar>
          </w:tcPr>
          <w:p w14:paraId="6A50FE03"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 xml:space="preserve">Provide a holistic view of the external environment of the South African Home Furniture Market, especially, reflecting on market opportunities and </w:t>
            </w:r>
            <w:r>
              <w:rPr>
                <w:sz w:val="24"/>
                <w:szCs w:val="24"/>
              </w:rPr>
              <w:lastRenderedPageBreak/>
              <w:t>challenges for IKEA.</w:t>
            </w:r>
          </w:p>
        </w:tc>
        <w:tc>
          <w:tcPr>
            <w:tcW w:w="3009" w:type="dxa"/>
            <w:tcMar>
              <w:top w:w="100" w:type="dxa"/>
              <w:left w:w="100" w:type="dxa"/>
              <w:bottom w:w="100" w:type="dxa"/>
              <w:right w:w="100" w:type="dxa"/>
            </w:tcMar>
          </w:tcPr>
          <w:p w14:paraId="402D99F9"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lastRenderedPageBreak/>
              <w:t xml:space="preserve">The PESTLE analysis provides a limited description of the cultural distance between South Africa and Sweden. Also, the application of the </w:t>
            </w:r>
            <w:r>
              <w:rPr>
                <w:sz w:val="24"/>
                <w:szCs w:val="24"/>
              </w:rPr>
              <w:lastRenderedPageBreak/>
              <w:t>model is time-consuming.</w:t>
            </w:r>
          </w:p>
        </w:tc>
      </w:tr>
      <w:tr w:rsidR="00C60230" w14:paraId="20C4548C" w14:textId="77777777">
        <w:tc>
          <w:tcPr>
            <w:tcW w:w="3008" w:type="dxa"/>
            <w:tcMar>
              <w:top w:w="100" w:type="dxa"/>
              <w:left w:w="100" w:type="dxa"/>
              <w:bottom w:w="100" w:type="dxa"/>
              <w:right w:w="100" w:type="dxa"/>
            </w:tcMar>
          </w:tcPr>
          <w:p w14:paraId="22838177"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lastRenderedPageBreak/>
              <w:t>Porter’s Five Forces</w:t>
            </w:r>
          </w:p>
        </w:tc>
        <w:tc>
          <w:tcPr>
            <w:tcW w:w="3009" w:type="dxa"/>
            <w:tcMar>
              <w:top w:w="100" w:type="dxa"/>
              <w:left w:w="100" w:type="dxa"/>
              <w:bottom w:w="100" w:type="dxa"/>
              <w:right w:w="100" w:type="dxa"/>
            </w:tcMar>
          </w:tcPr>
          <w:p w14:paraId="2A0A7D4F"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 xml:space="preserve">Helped to </w:t>
            </w:r>
            <w:proofErr w:type="spellStart"/>
            <w:r>
              <w:rPr>
                <w:sz w:val="24"/>
                <w:szCs w:val="24"/>
              </w:rPr>
              <w:t>analyse</w:t>
            </w:r>
            <w:proofErr w:type="spellEnd"/>
            <w:r>
              <w:rPr>
                <w:sz w:val="24"/>
                <w:szCs w:val="24"/>
              </w:rPr>
              <w:t xml:space="preserve"> the market concentration, switching cost of local South Africans and the threat of suppliers and existing products for IKEA.</w:t>
            </w:r>
          </w:p>
        </w:tc>
        <w:tc>
          <w:tcPr>
            <w:tcW w:w="3009" w:type="dxa"/>
            <w:tcMar>
              <w:top w:w="100" w:type="dxa"/>
              <w:left w:w="100" w:type="dxa"/>
              <w:bottom w:w="100" w:type="dxa"/>
              <w:right w:w="100" w:type="dxa"/>
            </w:tcMar>
          </w:tcPr>
          <w:p w14:paraId="6F7619AF"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However, the model failed to quantify the threats of existing products, the bargaining power of suppliers, and buyers in sustainable FRC-certified wood sourcing and furniture production.</w:t>
            </w:r>
          </w:p>
        </w:tc>
      </w:tr>
      <w:tr w:rsidR="00C60230" w14:paraId="3F0B7793" w14:textId="77777777">
        <w:tc>
          <w:tcPr>
            <w:tcW w:w="3008" w:type="dxa"/>
            <w:tcMar>
              <w:top w:w="100" w:type="dxa"/>
              <w:left w:w="100" w:type="dxa"/>
              <w:bottom w:w="100" w:type="dxa"/>
              <w:right w:w="100" w:type="dxa"/>
            </w:tcMar>
          </w:tcPr>
          <w:p w14:paraId="26EC5002"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Porter’s Value Chain Model</w:t>
            </w:r>
          </w:p>
        </w:tc>
        <w:tc>
          <w:tcPr>
            <w:tcW w:w="3009" w:type="dxa"/>
            <w:tcMar>
              <w:top w:w="100" w:type="dxa"/>
              <w:left w:w="100" w:type="dxa"/>
              <w:bottom w:w="100" w:type="dxa"/>
              <w:right w:w="100" w:type="dxa"/>
            </w:tcMar>
          </w:tcPr>
          <w:p w14:paraId="52C62BB3"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Porter's Generic model is effective in assessing the resources/</w:t>
            </w:r>
            <w:proofErr w:type="gramStart"/>
            <w:r>
              <w:rPr>
                <w:sz w:val="24"/>
                <w:szCs w:val="24"/>
              </w:rPr>
              <w:t>competencies</w:t>
            </w:r>
            <w:proofErr w:type="gramEnd"/>
            <w:r>
              <w:rPr>
                <w:sz w:val="24"/>
                <w:szCs w:val="24"/>
              </w:rPr>
              <w:t xml:space="preserve"> contribution to IKEA’s global positioning. For example, IKEA Supply AG, </w:t>
            </w:r>
            <w:proofErr w:type="gramStart"/>
            <w:r>
              <w:rPr>
                <w:sz w:val="24"/>
                <w:szCs w:val="24"/>
              </w:rPr>
              <w:t>sourcing</w:t>
            </w:r>
            <w:proofErr w:type="gramEnd"/>
            <w:r>
              <w:rPr>
                <w:sz w:val="24"/>
                <w:szCs w:val="24"/>
              </w:rPr>
              <w:t xml:space="preserve"> from forestry and sawmills and their interconnection with 33 production units.</w:t>
            </w:r>
          </w:p>
        </w:tc>
        <w:tc>
          <w:tcPr>
            <w:tcW w:w="3009" w:type="dxa"/>
            <w:tcMar>
              <w:top w:w="100" w:type="dxa"/>
              <w:left w:w="100" w:type="dxa"/>
              <w:bottom w:w="100" w:type="dxa"/>
              <w:right w:w="100" w:type="dxa"/>
            </w:tcMar>
          </w:tcPr>
          <w:p w14:paraId="17875D1A"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However, the model is not suitable to associate the radical innovation opportunities for IKEA with the social, environmental and technology factors of the South African Home Furniture Market.</w:t>
            </w:r>
          </w:p>
        </w:tc>
      </w:tr>
      <w:tr w:rsidR="00C60230" w14:paraId="7C185602" w14:textId="77777777">
        <w:tc>
          <w:tcPr>
            <w:tcW w:w="3008" w:type="dxa"/>
            <w:tcMar>
              <w:top w:w="100" w:type="dxa"/>
              <w:left w:w="100" w:type="dxa"/>
              <w:bottom w:w="100" w:type="dxa"/>
              <w:right w:w="100" w:type="dxa"/>
            </w:tcMar>
          </w:tcPr>
          <w:p w14:paraId="35F72708"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VRIO</w:t>
            </w:r>
          </w:p>
        </w:tc>
        <w:tc>
          <w:tcPr>
            <w:tcW w:w="3009" w:type="dxa"/>
            <w:tcMar>
              <w:top w:w="100" w:type="dxa"/>
              <w:left w:w="100" w:type="dxa"/>
              <w:bottom w:w="100" w:type="dxa"/>
              <w:right w:w="100" w:type="dxa"/>
            </w:tcMar>
          </w:tcPr>
          <w:p w14:paraId="65A13592"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Highly effective in assessing the contribution of internal resources/capabilities to the sustainable competitive advantage of IKEA.</w:t>
            </w:r>
          </w:p>
        </w:tc>
        <w:tc>
          <w:tcPr>
            <w:tcW w:w="3009" w:type="dxa"/>
            <w:tcMar>
              <w:top w:w="100" w:type="dxa"/>
              <w:left w:w="100" w:type="dxa"/>
              <w:bottom w:w="100" w:type="dxa"/>
              <w:right w:w="100" w:type="dxa"/>
            </w:tcMar>
          </w:tcPr>
          <w:p w14:paraId="74910FCE"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The model provided a static view of the contribution made by internal resources/capabilities, instead of a holistic view.</w:t>
            </w:r>
          </w:p>
        </w:tc>
      </w:tr>
    </w:tbl>
    <w:p w14:paraId="4CA87473" w14:textId="77777777" w:rsidR="00C60230" w:rsidRDefault="003C62BB">
      <w:pPr>
        <w:spacing w:after="200" w:line="360" w:lineRule="auto"/>
        <w:jc w:val="center"/>
        <w:rPr>
          <w:b/>
          <w:bCs/>
          <w:sz w:val="24"/>
          <w:szCs w:val="24"/>
        </w:rPr>
      </w:pPr>
      <w:r>
        <w:rPr>
          <w:b/>
          <w:bCs/>
          <w:sz w:val="24"/>
          <w:szCs w:val="24"/>
        </w:rPr>
        <w:t>Table 4: Critical Analysis of strategic tools used</w:t>
      </w:r>
    </w:p>
    <w:p w14:paraId="75884501" w14:textId="77777777" w:rsidR="00C60230" w:rsidRDefault="003C62BB">
      <w:pPr>
        <w:spacing w:after="200" w:line="360" w:lineRule="auto"/>
        <w:jc w:val="center"/>
        <w:rPr>
          <w:b/>
          <w:bCs/>
          <w:sz w:val="24"/>
          <w:szCs w:val="24"/>
        </w:rPr>
      </w:pPr>
      <w:r>
        <w:rPr>
          <w:b/>
          <w:bCs/>
          <w:sz w:val="24"/>
          <w:szCs w:val="24"/>
        </w:rPr>
        <w:t>Source: (Self-created)</w:t>
      </w:r>
    </w:p>
    <w:p w14:paraId="07CC206B" w14:textId="77777777" w:rsidR="00C60230" w:rsidRDefault="00C60230">
      <w:pPr>
        <w:spacing w:after="200" w:line="360" w:lineRule="auto"/>
        <w:jc w:val="both"/>
        <w:rPr>
          <w:b/>
          <w:bCs/>
          <w:sz w:val="24"/>
          <w:szCs w:val="24"/>
        </w:rPr>
      </w:pPr>
    </w:p>
    <w:p w14:paraId="3D044F76" w14:textId="77777777" w:rsidR="00C60230" w:rsidRDefault="003C62BB">
      <w:pPr>
        <w:pStyle w:val="Heading1"/>
      </w:pPr>
      <w:bookmarkStart w:id="22" w:name="_Toc215925463"/>
      <w:r>
        <w:lastRenderedPageBreak/>
        <w:t>4.0 Strategic Development and Formulation</w:t>
      </w:r>
      <w:bookmarkEnd w:id="22"/>
    </w:p>
    <w:p w14:paraId="69692A3F" w14:textId="77777777" w:rsidR="00C60230" w:rsidRDefault="003C62BB">
      <w:pPr>
        <w:pStyle w:val="Heading2"/>
      </w:pPr>
      <w:bookmarkStart w:id="23" w:name="_Toc215925464"/>
      <w:r>
        <w:t xml:space="preserve">4.1 Discussion on Strategic </w:t>
      </w:r>
      <w:proofErr w:type="spellStart"/>
      <w:r>
        <w:t>organisation</w:t>
      </w:r>
      <w:proofErr w:type="spellEnd"/>
      <w:r>
        <w:t xml:space="preserve"> objectives of IKEA</w:t>
      </w:r>
      <w:bookmarkEnd w:id="23"/>
    </w:p>
    <w:p w14:paraId="02869E90" w14:textId="77777777" w:rsidR="00C60230" w:rsidRDefault="003C62BB">
      <w:pPr>
        <w:spacing w:after="200" w:line="360" w:lineRule="auto"/>
        <w:jc w:val="both"/>
        <w:rPr>
          <w:sz w:val="24"/>
          <w:szCs w:val="24"/>
        </w:rPr>
      </w:pPr>
      <w:r>
        <w:rPr>
          <w:sz w:val="24"/>
          <w:szCs w:val="24"/>
        </w:rPr>
        <w:t xml:space="preserve">The global strategic </w:t>
      </w:r>
      <w:proofErr w:type="gramStart"/>
      <w:r>
        <w:rPr>
          <w:sz w:val="24"/>
          <w:szCs w:val="24"/>
        </w:rPr>
        <w:t>objectives</w:t>
      </w:r>
      <w:proofErr w:type="gramEnd"/>
      <w:r>
        <w:rPr>
          <w:sz w:val="24"/>
          <w:szCs w:val="24"/>
        </w:rPr>
        <w:t xml:space="preserve"> of IKEA is concentrated around making its functional products affordable and accessible so that it could continue to “inspire, activate and lead us in our planning, decision-making and goal setting” so that the company can expand into potential new markets. Currently, IKEA’s strategic objective lies in accessibility to a wide range of home furnishings that could be of good quality and well-designed provided at low prices. For that, expanding into emerging markets to reduce its over-dependence on European and North American markets would be important to enable inclusive growth while leveraging the benefits of strengthened global supply chain networks built over the years. As Inter IKEA Holding B.V. Annual Report FY25 finds IKEA to commit to the 'objectives and key results' ('OKR'), this methodological framework would let the management pair clear objectives with measurable outcomes to make actions more concrete while tracking progress throughout. This can be associated with the initiative of developing customer-centric innovation and leveraging the benefits of omnichannel retail to match customer needs and </w:t>
      </w:r>
      <w:proofErr w:type="gramStart"/>
      <w:r>
        <w:rPr>
          <w:sz w:val="24"/>
          <w:szCs w:val="24"/>
        </w:rPr>
        <w:t>provide</w:t>
      </w:r>
      <w:proofErr w:type="gramEnd"/>
      <w:r>
        <w:rPr>
          <w:sz w:val="24"/>
          <w:szCs w:val="24"/>
        </w:rPr>
        <w:t xml:space="preserve"> a seamless customer experience expanding into new markets. </w:t>
      </w:r>
    </w:p>
    <w:p w14:paraId="017DAE77" w14:textId="77777777" w:rsidR="00C60230" w:rsidRDefault="003C62BB">
      <w:pPr>
        <w:pStyle w:val="Heading2"/>
      </w:pPr>
      <w:bookmarkStart w:id="24" w:name="_Toc215925465"/>
      <w:r>
        <w:t xml:space="preserve">4.2 Proposing market entry modes for IKEA, aligning with its </w:t>
      </w:r>
      <w:proofErr w:type="spellStart"/>
      <w:r>
        <w:t>organisational</w:t>
      </w:r>
      <w:proofErr w:type="spellEnd"/>
      <w:r>
        <w:t xml:space="preserve"> objectives</w:t>
      </w:r>
      <w:bookmarkEnd w:id="24"/>
    </w:p>
    <w:p w14:paraId="4D9ACEE4" w14:textId="77777777" w:rsidR="00C60230" w:rsidRDefault="003C62BB">
      <w:pPr>
        <w:spacing w:after="200" w:line="360" w:lineRule="auto"/>
        <w:jc w:val="both"/>
        <w:rPr>
          <w:sz w:val="24"/>
          <w:szCs w:val="24"/>
        </w:rPr>
      </w:pPr>
      <w:r>
        <w:rPr>
          <w:sz w:val="24"/>
          <w:szCs w:val="24"/>
        </w:rPr>
        <w:t xml:space="preserve">To successfully enter the South African market, IKEA would have to consider three market entry modes primarily. These include: </w:t>
      </w:r>
    </w:p>
    <w:p w14:paraId="46FFF27D" w14:textId="77777777" w:rsidR="00C60230" w:rsidRDefault="003C62BB">
      <w:pPr>
        <w:spacing w:after="200" w:line="360" w:lineRule="auto"/>
        <w:jc w:val="both"/>
        <w:rPr>
          <w:sz w:val="24"/>
          <w:szCs w:val="24"/>
        </w:rPr>
      </w:pPr>
      <w:proofErr w:type="gramStart"/>
      <w:r>
        <w:rPr>
          <w:b/>
          <w:bCs/>
          <w:sz w:val="24"/>
          <w:szCs w:val="24"/>
        </w:rPr>
        <w:t>Wholly-Owned</w:t>
      </w:r>
      <w:proofErr w:type="gramEnd"/>
      <w:r>
        <w:rPr>
          <w:b/>
          <w:bCs/>
          <w:sz w:val="24"/>
          <w:szCs w:val="24"/>
        </w:rPr>
        <w:t xml:space="preserve"> Subsidiaries (WOS):</w:t>
      </w:r>
      <w:r>
        <w:rPr>
          <w:sz w:val="24"/>
          <w:szCs w:val="24"/>
        </w:rPr>
        <w:t xml:space="preserve"> The market entry mode would be ideal to develop a stable and strategically important approach in the initial strategy that would allow IKEA </w:t>
      </w:r>
      <w:proofErr w:type="gramStart"/>
      <w:r>
        <w:rPr>
          <w:sz w:val="24"/>
          <w:szCs w:val="24"/>
        </w:rPr>
        <w:t>manage</w:t>
      </w:r>
      <w:proofErr w:type="gramEnd"/>
      <w:r>
        <w:rPr>
          <w:sz w:val="24"/>
          <w:szCs w:val="24"/>
        </w:rPr>
        <w:t xml:space="preserve"> flagship stores and warehouses independently. With maximum control over the subsidiaries in South Africa, IKEA can expect to manage the supply chain network and its sustainability objectives as per the specific business model requirement of the region without needing to share profits or proprietary knowledge (Bhat </w:t>
      </w:r>
      <w:r>
        <w:rPr>
          <w:i/>
          <w:iCs/>
          <w:sz w:val="24"/>
          <w:szCs w:val="24"/>
        </w:rPr>
        <w:t xml:space="preserve">et al., </w:t>
      </w:r>
      <w:r>
        <w:rPr>
          <w:sz w:val="24"/>
          <w:szCs w:val="24"/>
        </w:rPr>
        <w:t xml:space="preserve">2022). </w:t>
      </w:r>
    </w:p>
    <w:p w14:paraId="64068132" w14:textId="77777777" w:rsidR="00C60230" w:rsidRDefault="003C62BB">
      <w:pPr>
        <w:spacing w:after="200" w:line="360" w:lineRule="auto"/>
        <w:jc w:val="both"/>
        <w:rPr>
          <w:sz w:val="24"/>
          <w:szCs w:val="24"/>
        </w:rPr>
      </w:pPr>
      <w:r>
        <w:rPr>
          <w:b/>
          <w:bCs/>
          <w:sz w:val="24"/>
          <w:szCs w:val="24"/>
        </w:rPr>
        <w:t xml:space="preserve">Franchising: </w:t>
      </w:r>
      <w:r>
        <w:rPr>
          <w:sz w:val="24"/>
          <w:szCs w:val="24"/>
        </w:rPr>
        <w:t xml:space="preserve">According to </w:t>
      </w:r>
      <w:proofErr w:type="spellStart"/>
      <w:r>
        <w:rPr>
          <w:sz w:val="24"/>
          <w:szCs w:val="24"/>
        </w:rPr>
        <w:t>Franchiseio</w:t>
      </w:r>
      <w:proofErr w:type="spellEnd"/>
      <w:r>
        <w:rPr>
          <w:sz w:val="24"/>
          <w:szCs w:val="24"/>
        </w:rPr>
        <w:t xml:space="preserve"> (2025), 91% of franchise businesses report profitability within 2 full years of operation which shows the successful integration of franchising would be helpful because of its low investment but fast market </w:t>
      </w:r>
      <w:r>
        <w:rPr>
          <w:sz w:val="24"/>
          <w:szCs w:val="24"/>
        </w:rPr>
        <w:lastRenderedPageBreak/>
        <w:t xml:space="preserve">penetration. In this entry mode, IKEA would have to rely on local franchises to offer valuable market knowledge and leverage established networks to navigate through South Africa's local customs, regulations and cultural preferences. With a diverse demographics of 81.7% black, 8.5% </w:t>
      </w:r>
      <w:proofErr w:type="spellStart"/>
      <w:r>
        <w:rPr>
          <w:sz w:val="24"/>
          <w:szCs w:val="24"/>
        </w:rPr>
        <w:t>coloured</w:t>
      </w:r>
      <w:proofErr w:type="spellEnd"/>
      <w:r>
        <w:rPr>
          <w:sz w:val="24"/>
          <w:szCs w:val="24"/>
        </w:rPr>
        <w:t xml:space="preserve">, 2.6% Indian/Asian and 7.2% white in South African population, this market could pose a difficult challenge to take full control of brand standards and quality consistency because of wide preferences of target customers (South Africa Gateway, 2019). </w:t>
      </w:r>
    </w:p>
    <w:p w14:paraId="6897488F" w14:textId="77777777" w:rsidR="00C60230" w:rsidRDefault="003C62BB">
      <w:pPr>
        <w:spacing w:after="200" w:line="360" w:lineRule="auto"/>
        <w:jc w:val="both"/>
        <w:rPr>
          <w:sz w:val="24"/>
          <w:szCs w:val="24"/>
        </w:rPr>
      </w:pPr>
      <w:r>
        <w:rPr>
          <w:b/>
          <w:bCs/>
          <w:sz w:val="24"/>
          <w:szCs w:val="24"/>
        </w:rPr>
        <w:t xml:space="preserve">Joint ventures: </w:t>
      </w:r>
      <w:r>
        <w:rPr>
          <w:sz w:val="24"/>
          <w:szCs w:val="24"/>
        </w:rPr>
        <w:t xml:space="preserve">The third market entry mode would be joint ventures because South Africa with a complex regulatory environment because of its multi-cultural dynamics would require unique local demands. Therefore, it would be important for IKEA to mitigate the possibility of cultural misunderstandings and regulatory difficulties by building partnerships with local sourcing companies. For example, IKEA currently works with a local brand called ‘UrbanClap’ to help Indians assemble its DIY furniture IKEA shopping carts, when the management decided to expand into India (Bureau, 2018). A similar tactic can also be considered for the South African context. </w:t>
      </w:r>
    </w:p>
    <w:p w14:paraId="0EC77749" w14:textId="77777777" w:rsidR="00C60230" w:rsidRDefault="003C62BB">
      <w:pPr>
        <w:pStyle w:val="Heading2"/>
      </w:pPr>
      <w:bookmarkStart w:id="25" w:name="_Toc215925466"/>
      <w:r>
        <w:t>4.3 Ansoff Matrix to formulate a market entry strategy for IKEA: Market Development Strategy</w:t>
      </w:r>
      <w:bookmarkEnd w:id="25"/>
    </w:p>
    <w:p w14:paraId="1537DD20" w14:textId="77777777" w:rsidR="00C60230" w:rsidRDefault="003C62BB">
      <w:pPr>
        <w:spacing w:after="200" w:line="360" w:lineRule="auto"/>
        <w:jc w:val="both"/>
        <w:rPr>
          <w:sz w:val="24"/>
          <w:szCs w:val="24"/>
        </w:rPr>
      </w:pPr>
      <w:r>
        <w:rPr>
          <w:sz w:val="24"/>
          <w:szCs w:val="24"/>
        </w:rPr>
        <w:t xml:space="preserve">The Ansoff Matrix considers four primary strategies such as Market penetration, Market development, Product development and Diversification to assist businesses grow because it allows management to reflect combining two dimensions: existing versus new products and existing versus new market to evaluate. The market development strategy would be relevant in discussion here to emphasize on selling existing products to new markets because the strategy would involve entering new geographic regions to target new customer segments in South Africa based on existing lines of product. IKEA would introduce ready-to-assemble furniture, including home accessories and kitchen appliances in the South African market. </w:t>
      </w:r>
    </w:p>
    <w:p w14:paraId="1B2AD18B" w14:textId="77777777" w:rsidR="00C60230" w:rsidRDefault="003C62BB">
      <w:pPr>
        <w:spacing w:after="200" w:line="360" w:lineRule="auto"/>
        <w:ind w:firstLine="720"/>
        <w:jc w:val="both"/>
        <w:rPr>
          <w:sz w:val="24"/>
          <w:szCs w:val="24"/>
        </w:rPr>
      </w:pPr>
      <w:r>
        <w:rPr>
          <w:noProof/>
          <w:sz w:val="24"/>
          <w:szCs w:val="24"/>
        </w:rPr>
        <w:lastRenderedPageBreak/>
        <w:drawing>
          <wp:inline distT="114300" distB="114300" distL="114300" distR="114300" wp14:anchorId="768A4A60" wp14:editId="32542B87">
            <wp:extent cx="4210050" cy="2714625"/>
            <wp:effectExtent l="0" t="0" r="0" b="0"/>
            <wp:docPr id="2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9"/>
                    <a:srcRect l="1297" t="24619" r="3029" b="13263"/>
                    <a:stretch>
                      <a:fillRect/>
                    </a:stretch>
                  </pic:blipFill>
                  <pic:spPr>
                    <a:xfrm>
                      <a:off x="0" y="0"/>
                      <a:ext cx="4210050" cy="2714625"/>
                    </a:xfrm>
                    <a:prstGeom prst="rect">
                      <a:avLst/>
                    </a:prstGeom>
                    <a:ln/>
                  </pic:spPr>
                </pic:pic>
              </a:graphicData>
            </a:graphic>
          </wp:inline>
        </w:drawing>
      </w:r>
    </w:p>
    <w:p w14:paraId="54B58ED2" w14:textId="77777777" w:rsidR="00C60230" w:rsidRDefault="003C62BB">
      <w:pPr>
        <w:spacing w:after="200" w:line="360" w:lineRule="auto"/>
        <w:jc w:val="center"/>
        <w:rPr>
          <w:b/>
          <w:bCs/>
          <w:sz w:val="24"/>
          <w:szCs w:val="24"/>
        </w:rPr>
      </w:pPr>
      <w:r>
        <w:rPr>
          <w:b/>
          <w:bCs/>
          <w:sz w:val="24"/>
          <w:szCs w:val="24"/>
        </w:rPr>
        <w:t>Figure 9: All four dimensions of Ansoff Matrix</w:t>
      </w:r>
    </w:p>
    <w:p w14:paraId="5434F983" w14:textId="77777777" w:rsidR="00C60230" w:rsidRDefault="003C62BB">
      <w:pPr>
        <w:spacing w:after="200" w:line="360" w:lineRule="auto"/>
        <w:jc w:val="center"/>
        <w:rPr>
          <w:b/>
          <w:bCs/>
          <w:sz w:val="24"/>
          <w:szCs w:val="24"/>
        </w:rPr>
      </w:pPr>
      <w:r>
        <w:rPr>
          <w:b/>
          <w:bCs/>
          <w:sz w:val="24"/>
          <w:szCs w:val="24"/>
        </w:rPr>
        <w:t>Source: (</w:t>
      </w:r>
      <w:proofErr w:type="spellStart"/>
      <w:r>
        <w:rPr>
          <w:b/>
          <w:bCs/>
          <w:sz w:val="24"/>
          <w:szCs w:val="24"/>
        </w:rPr>
        <w:t>Waititu</w:t>
      </w:r>
      <w:proofErr w:type="spellEnd"/>
      <w:r>
        <w:rPr>
          <w:b/>
          <w:bCs/>
          <w:sz w:val="24"/>
          <w:szCs w:val="24"/>
        </w:rPr>
        <w:t xml:space="preserve">, Wambui and Kamande, 2025) </w:t>
      </w:r>
    </w:p>
    <w:p w14:paraId="0F54EDA9" w14:textId="77777777" w:rsidR="00C60230" w:rsidRDefault="003C62BB">
      <w:pPr>
        <w:spacing w:after="200" w:line="360" w:lineRule="auto"/>
        <w:jc w:val="both"/>
        <w:rPr>
          <w:b/>
          <w:bCs/>
          <w:sz w:val="24"/>
          <w:szCs w:val="24"/>
        </w:rPr>
      </w:pPr>
      <w:r>
        <w:rPr>
          <w:sz w:val="24"/>
          <w:szCs w:val="24"/>
        </w:rPr>
        <w:t xml:space="preserve">Under the strategy, IKEA would have to make sure to get its products to be culturally and economically appealing for the target population because offering durable furniture that could be tailored specifically for South African climate and housing types at an affordable price rate would make it more appealing to locals. A study by NIQ (2022) backs this as it claims that South Africa has been one of the most price-sensitive nations in the world as more than 50% of South Africans buy products whatever the brand is on promotion. This shows that the market adaptation strategy </w:t>
      </w:r>
      <w:proofErr w:type="gramStart"/>
      <w:r>
        <w:rPr>
          <w:sz w:val="24"/>
          <w:szCs w:val="24"/>
        </w:rPr>
        <w:t>has to</w:t>
      </w:r>
      <w:proofErr w:type="gramEnd"/>
      <w:r>
        <w:rPr>
          <w:sz w:val="24"/>
          <w:szCs w:val="24"/>
        </w:rPr>
        <w:t xml:space="preserve"> heavily </w:t>
      </w:r>
      <w:proofErr w:type="gramStart"/>
      <w:r>
        <w:rPr>
          <w:sz w:val="24"/>
          <w:szCs w:val="24"/>
        </w:rPr>
        <w:t>emphasize on</w:t>
      </w:r>
      <w:proofErr w:type="gramEnd"/>
      <w:r>
        <w:rPr>
          <w:sz w:val="24"/>
          <w:szCs w:val="24"/>
        </w:rPr>
        <w:t xml:space="preserve"> digital marketing and building partnership with local expertise such as planning on interior design for community set-up events to make sure that the brand can be positioned as ‘affordable’ and more ‘niche-specific’ for target customers. </w:t>
      </w:r>
    </w:p>
    <w:p w14:paraId="482E226B" w14:textId="77777777" w:rsidR="00C60230" w:rsidRDefault="003C62BB">
      <w:pPr>
        <w:pStyle w:val="Heading2"/>
      </w:pPr>
      <w:bookmarkStart w:id="26" w:name="_Toc215925467"/>
      <w:r>
        <w:t>4.4 Evaluating how IKEA should establish a competitive advantage in South Africa: Porter’s Diamond Model</w:t>
      </w:r>
      <w:bookmarkEnd w:id="26"/>
      <w:r>
        <w:t xml:space="preserve"> </w:t>
      </w:r>
    </w:p>
    <w:p w14:paraId="2CEB3B4A" w14:textId="77777777" w:rsidR="00C60230" w:rsidRDefault="003C62BB">
      <w:pPr>
        <w:spacing w:after="200" w:line="360" w:lineRule="auto"/>
        <w:jc w:val="both"/>
        <w:rPr>
          <w:sz w:val="24"/>
          <w:szCs w:val="24"/>
        </w:rPr>
      </w:pPr>
      <w:r>
        <w:rPr>
          <w:sz w:val="24"/>
          <w:szCs w:val="24"/>
        </w:rPr>
        <w:t xml:space="preserve">Porter's Diamond Model identifies four main points that could drive a nation's competitive advantage such as: </w:t>
      </w:r>
    </w:p>
    <w:p w14:paraId="574E463F" w14:textId="77777777" w:rsidR="00C60230" w:rsidRDefault="003C62BB">
      <w:pPr>
        <w:spacing w:after="200" w:line="360" w:lineRule="auto"/>
        <w:jc w:val="both"/>
        <w:rPr>
          <w:sz w:val="24"/>
          <w:szCs w:val="24"/>
        </w:rPr>
      </w:pPr>
      <w:r>
        <w:rPr>
          <w:b/>
          <w:bCs/>
          <w:sz w:val="24"/>
          <w:szCs w:val="24"/>
        </w:rPr>
        <w:t>Factor Conditions:</w:t>
      </w:r>
      <w:r>
        <w:rPr>
          <w:sz w:val="24"/>
          <w:szCs w:val="24"/>
        </w:rPr>
        <w:t xml:space="preserve"> As per the reports of Editorial (2023), the retail industry in South Africa is the second-largest employer and the third-largest sector of the South African economy. This makes the industry filled with skilled </w:t>
      </w:r>
      <w:proofErr w:type="spellStart"/>
      <w:r>
        <w:rPr>
          <w:sz w:val="24"/>
          <w:szCs w:val="24"/>
        </w:rPr>
        <w:t>labourers</w:t>
      </w:r>
      <w:proofErr w:type="spellEnd"/>
      <w:r>
        <w:rPr>
          <w:sz w:val="24"/>
          <w:szCs w:val="24"/>
        </w:rPr>
        <w:t xml:space="preserve"> who can be </w:t>
      </w:r>
      <w:r>
        <w:rPr>
          <w:sz w:val="24"/>
          <w:szCs w:val="24"/>
        </w:rPr>
        <w:lastRenderedPageBreak/>
        <w:t xml:space="preserve">trained for advanced logistical infrastructure operations and can have the capability to supply assistance in necessary local production for IKEA. For example, IKEA can consider developing local supplier programs to invest in skill development training to make sure that specialized skills can be leveraged with support of government incentives to build a strong competitive advantage entering South Africa. </w:t>
      </w:r>
    </w:p>
    <w:p w14:paraId="70E9B9D9" w14:textId="77777777" w:rsidR="00C60230" w:rsidRDefault="003C62BB">
      <w:pPr>
        <w:spacing w:after="200" w:line="360" w:lineRule="auto"/>
        <w:jc w:val="both"/>
        <w:rPr>
          <w:sz w:val="24"/>
          <w:szCs w:val="24"/>
        </w:rPr>
      </w:pPr>
      <w:r>
        <w:rPr>
          <w:noProof/>
          <w:sz w:val="24"/>
          <w:szCs w:val="24"/>
        </w:rPr>
        <w:drawing>
          <wp:inline distT="114300" distB="114300" distL="114300" distR="114300" wp14:anchorId="6216AE30" wp14:editId="1B25409B">
            <wp:extent cx="5731200" cy="2387600"/>
            <wp:effectExtent l="0" t="0" r="0" b="0"/>
            <wp:docPr id="2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t="17075" b="8885"/>
                    <a:stretch>
                      <a:fillRect/>
                    </a:stretch>
                  </pic:blipFill>
                  <pic:spPr>
                    <a:xfrm>
                      <a:off x="0" y="0"/>
                      <a:ext cx="5731200" cy="2387600"/>
                    </a:xfrm>
                    <a:prstGeom prst="rect">
                      <a:avLst/>
                    </a:prstGeom>
                    <a:ln/>
                  </pic:spPr>
                </pic:pic>
              </a:graphicData>
            </a:graphic>
          </wp:inline>
        </w:drawing>
      </w:r>
    </w:p>
    <w:p w14:paraId="518BA74D" w14:textId="77777777" w:rsidR="00C60230" w:rsidRDefault="003C62BB">
      <w:pPr>
        <w:spacing w:after="200" w:line="360" w:lineRule="auto"/>
        <w:jc w:val="center"/>
        <w:rPr>
          <w:b/>
          <w:bCs/>
          <w:sz w:val="24"/>
          <w:szCs w:val="24"/>
        </w:rPr>
      </w:pPr>
      <w:r>
        <w:rPr>
          <w:b/>
          <w:bCs/>
          <w:sz w:val="24"/>
          <w:szCs w:val="24"/>
        </w:rPr>
        <w:t xml:space="preserve">Figure 10: All four dimensions of Porter’s Diamond Model </w:t>
      </w:r>
    </w:p>
    <w:p w14:paraId="759E1D58" w14:textId="77777777" w:rsidR="00C60230" w:rsidRDefault="003C62BB">
      <w:pPr>
        <w:spacing w:after="200" w:line="360" w:lineRule="auto"/>
        <w:jc w:val="center"/>
        <w:rPr>
          <w:sz w:val="24"/>
          <w:szCs w:val="24"/>
        </w:rPr>
      </w:pPr>
      <w:r>
        <w:rPr>
          <w:b/>
          <w:bCs/>
          <w:sz w:val="24"/>
          <w:szCs w:val="24"/>
        </w:rPr>
        <w:t xml:space="preserve">Source: (Afshar and Shah, 2025) </w:t>
      </w:r>
    </w:p>
    <w:p w14:paraId="4DD8BA25" w14:textId="77777777" w:rsidR="00C60230" w:rsidRDefault="003C62BB">
      <w:pPr>
        <w:spacing w:after="200" w:line="360" w:lineRule="auto"/>
        <w:jc w:val="both"/>
        <w:rPr>
          <w:sz w:val="24"/>
          <w:szCs w:val="24"/>
        </w:rPr>
      </w:pPr>
      <w:r>
        <w:rPr>
          <w:b/>
          <w:bCs/>
          <w:sz w:val="24"/>
          <w:szCs w:val="24"/>
        </w:rPr>
        <w:t xml:space="preserve">Demand Conditions: </w:t>
      </w:r>
      <w:r>
        <w:rPr>
          <w:sz w:val="24"/>
          <w:szCs w:val="24"/>
        </w:rPr>
        <w:t xml:space="preserve">According to the African Development Bank (2019), the number of </w:t>
      </w:r>
      <w:proofErr w:type="gramStart"/>
      <w:r>
        <w:rPr>
          <w:sz w:val="24"/>
          <w:szCs w:val="24"/>
        </w:rPr>
        <w:t>middle class</w:t>
      </w:r>
      <w:proofErr w:type="gramEnd"/>
      <w:r>
        <w:rPr>
          <w:sz w:val="24"/>
          <w:szCs w:val="24"/>
        </w:rPr>
        <w:t xml:space="preserve"> South Africans have tripled over the last 30 years which shows the upward trajectory of growing demand for affordable home solutions among South African consumers. With the high demand, the market can be explored by IKEA by offering affordable but sustainable products to appeal to the market more often. </w:t>
      </w:r>
    </w:p>
    <w:p w14:paraId="0E69FCFA" w14:textId="77777777" w:rsidR="00C60230" w:rsidRDefault="003C62BB">
      <w:pPr>
        <w:spacing w:after="200" w:line="360" w:lineRule="auto"/>
        <w:jc w:val="both"/>
        <w:rPr>
          <w:sz w:val="24"/>
          <w:szCs w:val="24"/>
        </w:rPr>
      </w:pPr>
      <w:r>
        <w:rPr>
          <w:b/>
          <w:bCs/>
          <w:sz w:val="24"/>
          <w:szCs w:val="24"/>
        </w:rPr>
        <w:t>Related and Supporting Industries:</w:t>
      </w:r>
      <w:r>
        <w:rPr>
          <w:sz w:val="24"/>
          <w:szCs w:val="24"/>
        </w:rPr>
        <w:t xml:space="preserve"> With the emerging capabilities in transport and logistics and the rise of the e-commerce sector, manufacturing and distribution of retail furniture could be positively impacted. For example, IKEA can depend on the local supply chain through transportation and </w:t>
      </w:r>
      <w:proofErr w:type="spellStart"/>
      <w:r>
        <w:rPr>
          <w:sz w:val="24"/>
          <w:szCs w:val="24"/>
        </w:rPr>
        <w:t>logistic</w:t>
      </w:r>
      <w:proofErr w:type="spellEnd"/>
      <w:r>
        <w:rPr>
          <w:sz w:val="24"/>
          <w:szCs w:val="24"/>
        </w:rPr>
        <w:t xml:space="preserve"> advancements that would reduce import cost dependency and can have better </w:t>
      </w:r>
      <w:proofErr w:type="gramStart"/>
      <w:r>
        <w:rPr>
          <w:sz w:val="24"/>
          <w:szCs w:val="24"/>
        </w:rPr>
        <w:t>outcomes as a whole</w:t>
      </w:r>
      <w:proofErr w:type="gramEnd"/>
      <w:r>
        <w:rPr>
          <w:sz w:val="24"/>
          <w:szCs w:val="24"/>
        </w:rPr>
        <w:t xml:space="preserve">. </w:t>
      </w:r>
    </w:p>
    <w:p w14:paraId="131ACD01" w14:textId="77777777" w:rsidR="00C60230" w:rsidRDefault="003C62BB">
      <w:pPr>
        <w:spacing w:after="200" w:line="360" w:lineRule="auto"/>
        <w:jc w:val="both"/>
        <w:rPr>
          <w:sz w:val="24"/>
          <w:szCs w:val="24"/>
        </w:rPr>
      </w:pPr>
      <w:r>
        <w:rPr>
          <w:b/>
          <w:bCs/>
          <w:sz w:val="24"/>
          <w:szCs w:val="24"/>
        </w:rPr>
        <w:t>Firm Strategy, Structure, and Rivalry:</w:t>
      </w:r>
      <w:r>
        <w:rPr>
          <w:sz w:val="24"/>
          <w:szCs w:val="24"/>
        </w:rPr>
        <w:t xml:space="preserve"> IKEA may have to face local competition from South African-based companies such as </w:t>
      </w:r>
      <w:proofErr w:type="spellStart"/>
      <w:r>
        <w:rPr>
          <w:sz w:val="24"/>
          <w:szCs w:val="24"/>
        </w:rPr>
        <w:t>Coricraft</w:t>
      </w:r>
      <w:proofErr w:type="spellEnd"/>
      <w:r>
        <w:rPr>
          <w:sz w:val="24"/>
          <w:szCs w:val="24"/>
        </w:rPr>
        <w:t xml:space="preserve">, </w:t>
      </w:r>
      <w:proofErr w:type="spellStart"/>
      <w:r>
        <w:rPr>
          <w:sz w:val="24"/>
          <w:szCs w:val="24"/>
        </w:rPr>
        <w:t>Mr</w:t>
      </w:r>
      <w:proofErr w:type="spellEnd"/>
      <w:r>
        <w:rPr>
          <w:sz w:val="24"/>
          <w:szCs w:val="24"/>
        </w:rPr>
        <w:t xml:space="preserve"> Price Group, </w:t>
      </w:r>
      <w:proofErr w:type="spellStart"/>
      <w:r>
        <w:rPr>
          <w:sz w:val="24"/>
          <w:szCs w:val="24"/>
        </w:rPr>
        <w:t>Weylandts</w:t>
      </w:r>
      <w:proofErr w:type="spellEnd"/>
      <w:r>
        <w:rPr>
          <w:sz w:val="24"/>
          <w:szCs w:val="24"/>
        </w:rPr>
        <w:t xml:space="preserve"> etc. (Khan and Sarkar, 2024). To counter such competition, IKEA should have to </w:t>
      </w:r>
      <w:r>
        <w:rPr>
          <w:sz w:val="24"/>
          <w:szCs w:val="24"/>
        </w:rPr>
        <w:lastRenderedPageBreak/>
        <w:t xml:space="preserve">invest in affordability and leverage its strong international brand identity to provide superior customer experience through cost-efficient products, appealing to wider South African customers. </w:t>
      </w:r>
    </w:p>
    <w:p w14:paraId="06374C19" w14:textId="77777777" w:rsidR="00C60230" w:rsidRDefault="003C62BB">
      <w:pPr>
        <w:pStyle w:val="Heading2"/>
      </w:pPr>
      <w:bookmarkStart w:id="27" w:name="_Toc215925468"/>
      <w:r>
        <w:t>4.5 Risk Mitigation Strategy aligned with CSR initiatives</w:t>
      </w:r>
      <w:bookmarkEnd w:id="27"/>
    </w:p>
    <w:tbl>
      <w:tblPr>
        <w:tblStyle w:val="a9"/>
        <w:tblW w:w="9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25"/>
        <w:gridCol w:w="2700"/>
        <w:gridCol w:w="2385"/>
        <w:gridCol w:w="2610"/>
      </w:tblGrid>
      <w:tr w:rsidR="00C60230" w14:paraId="30980478" w14:textId="77777777">
        <w:tc>
          <w:tcPr>
            <w:tcW w:w="1425" w:type="dxa"/>
            <w:tcMar>
              <w:top w:w="100" w:type="dxa"/>
              <w:left w:w="100" w:type="dxa"/>
              <w:bottom w:w="100" w:type="dxa"/>
              <w:right w:w="100" w:type="dxa"/>
            </w:tcMar>
          </w:tcPr>
          <w:p w14:paraId="126F1F6B" w14:textId="77777777" w:rsidR="00C60230" w:rsidRDefault="003C62BB">
            <w:pPr>
              <w:widowControl w:val="0"/>
              <w:jc w:val="center"/>
              <w:rPr>
                <w:b/>
                <w:bCs/>
                <w:sz w:val="24"/>
                <w:szCs w:val="24"/>
              </w:rPr>
            </w:pPr>
            <w:r>
              <w:rPr>
                <w:b/>
                <w:bCs/>
                <w:sz w:val="24"/>
                <w:szCs w:val="24"/>
              </w:rPr>
              <w:t xml:space="preserve">Risk type </w:t>
            </w:r>
          </w:p>
        </w:tc>
        <w:tc>
          <w:tcPr>
            <w:tcW w:w="2700" w:type="dxa"/>
            <w:tcMar>
              <w:top w:w="100" w:type="dxa"/>
              <w:left w:w="100" w:type="dxa"/>
              <w:bottom w:w="100" w:type="dxa"/>
              <w:right w:w="100" w:type="dxa"/>
            </w:tcMar>
          </w:tcPr>
          <w:p w14:paraId="4C151886" w14:textId="77777777" w:rsidR="00C60230" w:rsidRDefault="003C62BB">
            <w:pPr>
              <w:widowControl w:val="0"/>
              <w:jc w:val="center"/>
              <w:rPr>
                <w:b/>
                <w:bCs/>
                <w:sz w:val="24"/>
                <w:szCs w:val="24"/>
              </w:rPr>
            </w:pPr>
            <w:r>
              <w:rPr>
                <w:b/>
                <w:bCs/>
                <w:sz w:val="24"/>
                <w:szCs w:val="24"/>
              </w:rPr>
              <w:t xml:space="preserve">Risk description </w:t>
            </w:r>
          </w:p>
        </w:tc>
        <w:tc>
          <w:tcPr>
            <w:tcW w:w="2385" w:type="dxa"/>
            <w:tcMar>
              <w:top w:w="100" w:type="dxa"/>
              <w:left w:w="100" w:type="dxa"/>
              <w:bottom w:w="100" w:type="dxa"/>
              <w:right w:w="100" w:type="dxa"/>
            </w:tcMar>
          </w:tcPr>
          <w:p w14:paraId="605A9F8C" w14:textId="77777777" w:rsidR="00C60230" w:rsidRDefault="003C62BB">
            <w:pPr>
              <w:widowControl w:val="0"/>
              <w:jc w:val="center"/>
              <w:rPr>
                <w:b/>
                <w:bCs/>
                <w:sz w:val="24"/>
                <w:szCs w:val="24"/>
              </w:rPr>
            </w:pPr>
            <w:r>
              <w:rPr>
                <w:b/>
                <w:bCs/>
                <w:sz w:val="24"/>
                <w:szCs w:val="24"/>
              </w:rPr>
              <w:t xml:space="preserve">Mitigation strategy </w:t>
            </w:r>
          </w:p>
        </w:tc>
        <w:tc>
          <w:tcPr>
            <w:tcW w:w="2610" w:type="dxa"/>
            <w:tcMar>
              <w:top w:w="100" w:type="dxa"/>
              <w:left w:w="100" w:type="dxa"/>
              <w:bottom w:w="100" w:type="dxa"/>
              <w:right w:w="100" w:type="dxa"/>
            </w:tcMar>
          </w:tcPr>
          <w:p w14:paraId="0FA7BA05" w14:textId="77777777" w:rsidR="00C60230" w:rsidRDefault="003C62BB">
            <w:pPr>
              <w:widowControl w:val="0"/>
              <w:jc w:val="center"/>
              <w:rPr>
                <w:b/>
                <w:bCs/>
                <w:sz w:val="24"/>
                <w:szCs w:val="24"/>
              </w:rPr>
            </w:pPr>
            <w:r>
              <w:rPr>
                <w:b/>
                <w:bCs/>
                <w:sz w:val="24"/>
                <w:szCs w:val="24"/>
              </w:rPr>
              <w:t xml:space="preserve">Alignment with CSR goals </w:t>
            </w:r>
          </w:p>
        </w:tc>
      </w:tr>
      <w:tr w:rsidR="00C60230" w14:paraId="05910F79" w14:textId="77777777">
        <w:tc>
          <w:tcPr>
            <w:tcW w:w="1425" w:type="dxa"/>
            <w:tcMar>
              <w:top w:w="100" w:type="dxa"/>
              <w:left w:w="100" w:type="dxa"/>
              <w:bottom w:w="100" w:type="dxa"/>
              <w:right w:w="100" w:type="dxa"/>
            </w:tcMar>
          </w:tcPr>
          <w:p w14:paraId="52F04157" w14:textId="77777777" w:rsidR="00C60230" w:rsidRDefault="003C62BB">
            <w:pPr>
              <w:widowControl w:val="0"/>
              <w:rPr>
                <w:sz w:val="24"/>
                <w:szCs w:val="24"/>
              </w:rPr>
            </w:pPr>
            <w:r>
              <w:rPr>
                <w:sz w:val="24"/>
                <w:szCs w:val="24"/>
              </w:rPr>
              <w:t xml:space="preserve">Financial </w:t>
            </w:r>
          </w:p>
        </w:tc>
        <w:tc>
          <w:tcPr>
            <w:tcW w:w="2700" w:type="dxa"/>
            <w:tcMar>
              <w:top w:w="100" w:type="dxa"/>
              <w:left w:w="100" w:type="dxa"/>
              <w:bottom w:w="100" w:type="dxa"/>
              <w:right w:w="100" w:type="dxa"/>
            </w:tcMar>
          </w:tcPr>
          <w:p w14:paraId="660786F6" w14:textId="77777777" w:rsidR="00C60230" w:rsidRDefault="003C62BB">
            <w:pPr>
              <w:widowControl w:val="0"/>
              <w:rPr>
                <w:sz w:val="24"/>
                <w:szCs w:val="24"/>
              </w:rPr>
            </w:pPr>
            <w:r>
              <w:rPr>
                <w:sz w:val="24"/>
                <w:szCs w:val="24"/>
              </w:rPr>
              <w:t>According to the World Bank collection of development indicators, stock price volatility in South Africa was reported to be at around 23.37% in 2021 (</w:t>
            </w:r>
            <w:proofErr w:type="spellStart"/>
            <w:r>
              <w:rPr>
                <w:sz w:val="24"/>
                <w:szCs w:val="24"/>
              </w:rPr>
              <w:t>Tradingeconomics</w:t>
            </w:r>
            <w:proofErr w:type="spellEnd"/>
            <w:r>
              <w:rPr>
                <w:sz w:val="24"/>
                <w:szCs w:val="24"/>
              </w:rPr>
              <w:t xml:space="preserve">, 2025). </w:t>
            </w:r>
          </w:p>
        </w:tc>
        <w:tc>
          <w:tcPr>
            <w:tcW w:w="2385" w:type="dxa"/>
            <w:tcMar>
              <w:top w:w="100" w:type="dxa"/>
              <w:left w:w="100" w:type="dxa"/>
              <w:bottom w:w="100" w:type="dxa"/>
              <w:right w:w="100" w:type="dxa"/>
            </w:tcMar>
          </w:tcPr>
          <w:p w14:paraId="49D17BD6" w14:textId="77777777" w:rsidR="00C60230" w:rsidRDefault="003C62BB">
            <w:pPr>
              <w:widowControl w:val="0"/>
              <w:rPr>
                <w:sz w:val="24"/>
                <w:szCs w:val="24"/>
              </w:rPr>
            </w:pPr>
            <w:r>
              <w:rPr>
                <w:sz w:val="24"/>
                <w:szCs w:val="24"/>
              </w:rPr>
              <w:t xml:space="preserve">Increasing local sourcing to reduce import dependency and offering tiered pricing of product lines would maintain accessibility of products. </w:t>
            </w:r>
          </w:p>
        </w:tc>
        <w:tc>
          <w:tcPr>
            <w:tcW w:w="2610" w:type="dxa"/>
            <w:tcMar>
              <w:top w:w="100" w:type="dxa"/>
              <w:left w:w="100" w:type="dxa"/>
              <w:bottom w:w="100" w:type="dxa"/>
              <w:right w:w="100" w:type="dxa"/>
            </w:tcMar>
          </w:tcPr>
          <w:p w14:paraId="04888CE0" w14:textId="77777777" w:rsidR="00C60230" w:rsidRDefault="003C62BB">
            <w:pPr>
              <w:widowControl w:val="0"/>
              <w:rPr>
                <w:sz w:val="24"/>
                <w:szCs w:val="24"/>
              </w:rPr>
            </w:pPr>
            <w:r>
              <w:rPr>
                <w:sz w:val="24"/>
                <w:szCs w:val="24"/>
              </w:rPr>
              <w:t>This strategy would go with the mission of affordability as initiated by IKEA that would encourage economic stability in the region through local supplier development.</w:t>
            </w:r>
          </w:p>
        </w:tc>
      </w:tr>
      <w:tr w:rsidR="00C60230" w14:paraId="2A56D488" w14:textId="77777777">
        <w:tc>
          <w:tcPr>
            <w:tcW w:w="1425" w:type="dxa"/>
            <w:tcMar>
              <w:top w:w="100" w:type="dxa"/>
              <w:left w:w="100" w:type="dxa"/>
              <w:bottom w:w="100" w:type="dxa"/>
              <w:right w:w="100" w:type="dxa"/>
            </w:tcMar>
          </w:tcPr>
          <w:p w14:paraId="290B3ADF" w14:textId="77777777" w:rsidR="00C60230" w:rsidRDefault="003C62BB">
            <w:pPr>
              <w:widowControl w:val="0"/>
              <w:rPr>
                <w:sz w:val="24"/>
                <w:szCs w:val="24"/>
              </w:rPr>
            </w:pPr>
            <w:r>
              <w:rPr>
                <w:sz w:val="24"/>
                <w:szCs w:val="24"/>
              </w:rPr>
              <w:t xml:space="preserve">Supply chain </w:t>
            </w:r>
          </w:p>
        </w:tc>
        <w:tc>
          <w:tcPr>
            <w:tcW w:w="2700" w:type="dxa"/>
            <w:tcMar>
              <w:top w:w="100" w:type="dxa"/>
              <w:left w:w="100" w:type="dxa"/>
              <w:bottom w:w="100" w:type="dxa"/>
              <w:right w:w="100" w:type="dxa"/>
            </w:tcMar>
          </w:tcPr>
          <w:p w14:paraId="2EDE5368" w14:textId="77777777" w:rsidR="00C60230" w:rsidRDefault="003C62BB">
            <w:pPr>
              <w:widowControl w:val="0"/>
              <w:rPr>
                <w:sz w:val="24"/>
                <w:szCs w:val="24"/>
              </w:rPr>
            </w:pPr>
            <w:r>
              <w:rPr>
                <w:sz w:val="24"/>
                <w:szCs w:val="24"/>
              </w:rPr>
              <w:t xml:space="preserve">Possibility of transportation delays and load-shedding in local factories can disrupt logistics and inventory flows. </w:t>
            </w:r>
          </w:p>
        </w:tc>
        <w:tc>
          <w:tcPr>
            <w:tcW w:w="2385" w:type="dxa"/>
            <w:tcMar>
              <w:top w:w="100" w:type="dxa"/>
              <w:left w:w="100" w:type="dxa"/>
              <w:bottom w:w="100" w:type="dxa"/>
              <w:right w:w="100" w:type="dxa"/>
            </w:tcMar>
          </w:tcPr>
          <w:p w14:paraId="223280D1" w14:textId="77777777" w:rsidR="00C60230" w:rsidRDefault="003C62BB">
            <w:pPr>
              <w:widowControl w:val="0"/>
              <w:rPr>
                <w:sz w:val="24"/>
                <w:szCs w:val="24"/>
              </w:rPr>
            </w:pPr>
            <w:r>
              <w:rPr>
                <w:sz w:val="24"/>
                <w:szCs w:val="24"/>
              </w:rPr>
              <w:t xml:space="preserve">Building a central distribution center near the capital </w:t>
            </w:r>
            <w:proofErr w:type="gramStart"/>
            <w:r>
              <w:rPr>
                <w:sz w:val="24"/>
                <w:szCs w:val="24"/>
              </w:rPr>
              <w:t>in  Cape</w:t>
            </w:r>
            <w:proofErr w:type="gramEnd"/>
            <w:r>
              <w:rPr>
                <w:sz w:val="24"/>
                <w:szCs w:val="24"/>
              </w:rPr>
              <w:t xml:space="preserve"> Town could be important to enable supply diversification across the South African market. </w:t>
            </w:r>
          </w:p>
        </w:tc>
        <w:tc>
          <w:tcPr>
            <w:tcW w:w="2610" w:type="dxa"/>
            <w:tcMar>
              <w:top w:w="100" w:type="dxa"/>
              <w:left w:w="100" w:type="dxa"/>
              <w:bottom w:w="100" w:type="dxa"/>
              <w:right w:w="100" w:type="dxa"/>
            </w:tcMar>
          </w:tcPr>
          <w:p w14:paraId="0684A912" w14:textId="77777777" w:rsidR="00C60230" w:rsidRDefault="003C62BB">
            <w:pPr>
              <w:widowControl w:val="0"/>
              <w:rPr>
                <w:sz w:val="24"/>
                <w:szCs w:val="24"/>
              </w:rPr>
            </w:pPr>
            <w:r>
              <w:rPr>
                <w:sz w:val="24"/>
                <w:szCs w:val="24"/>
              </w:rPr>
              <w:t>IKEA with this strategy can generate new job roles which could boost the local economy, aligning with its positive contribution toward social goals.</w:t>
            </w:r>
          </w:p>
        </w:tc>
      </w:tr>
      <w:tr w:rsidR="00C60230" w14:paraId="384008D4" w14:textId="77777777">
        <w:tc>
          <w:tcPr>
            <w:tcW w:w="1425" w:type="dxa"/>
            <w:tcMar>
              <w:top w:w="100" w:type="dxa"/>
              <w:left w:w="100" w:type="dxa"/>
              <w:bottom w:w="100" w:type="dxa"/>
              <w:right w:w="100" w:type="dxa"/>
            </w:tcMar>
          </w:tcPr>
          <w:p w14:paraId="602439B3" w14:textId="77777777" w:rsidR="00C60230" w:rsidRDefault="003C62BB">
            <w:pPr>
              <w:widowControl w:val="0"/>
              <w:rPr>
                <w:sz w:val="24"/>
                <w:szCs w:val="24"/>
              </w:rPr>
            </w:pPr>
            <w:r>
              <w:rPr>
                <w:sz w:val="24"/>
                <w:szCs w:val="24"/>
              </w:rPr>
              <w:t xml:space="preserve">Regulatory </w:t>
            </w:r>
          </w:p>
        </w:tc>
        <w:tc>
          <w:tcPr>
            <w:tcW w:w="2700" w:type="dxa"/>
            <w:tcMar>
              <w:top w:w="100" w:type="dxa"/>
              <w:left w:w="100" w:type="dxa"/>
              <w:bottom w:w="100" w:type="dxa"/>
              <w:right w:w="100" w:type="dxa"/>
            </w:tcMar>
          </w:tcPr>
          <w:p w14:paraId="68C66F20" w14:textId="77777777" w:rsidR="00C60230" w:rsidRDefault="003C62BB">
            <w:pPr>
              <w:widowControl w:val="0"/>
              <w:rPr>
                <w:sz w:val="24"/>
                <w:szCs w:val="24"/>
              </w:rPr>
            </w:pPr>
            <w:r>
              <w:rPr>
                <w:sz w:val="24"/>
                <w:szCs w:val="24"/>
              </w:rPr>
              <w:t xml:space="preserve">According to Davis (2024), the Financial Sector Conduct Authority (FSCA) was reported to impose a total of approximately ZAR 943 million in administrative penalties between FY23 and FY24, showcasing that failure to adhere to evolving government regulations can lead to </w:t>
            </w:r>
            <w:r>
              <w:rPr>
                <w:sz w:val="24"/>
                <w:szCs w:val="24"/>
              </w:rPr>
              <w:lastRenderedPageBreak/>
              <w:t xml:space="preserve">heavy fines. </w:t>
            </w:r>
          </w:p>
        </w:tc>
        <w:tc>
          <w:tcPr>
            <w:tcW w:w="2385" w:type="dxa"/>
            <w:tcMar>
              <w:top w:w="100" w:type="dxa"/>
              <w:left w:w="100" w:type="dxa"/>
              <w:bottom w:w="100" w:type="dxa"/>
              <w:right w:w="100" w:type="dxa"/>
            </w:tcMar>
          </w:tcPr>
          <w:p w14:paraId="1FA21C6F" w14:textId="77777777" w:rsidR="00C60230" w:rsidRDefault="003C62BB">
            <w:pPr>
              <w:widowControl w:val="0"/>
              <w:rPr>
                <w:sz w:val="24"/>
                <w:szCs w:val="24"/>
              </w:rPr>
            </w:pPr>
            <w:r>
              <w:rPr>
                <w:sz w:val="24"/>
                <w:szCs w:val="24"/>
              </w:rPr>
              <w:lastRenderedPageBreak/>
              <w:t>Forming a joint venture with any significant South African local partner familiar with these regulatory environments would be the first critical step to ensure transparent compliance with necessary operating standards.</w:t>
            </w:r>
          </w:p>
        </w:tc>
        <w:tc>
          <w:tcPr>
            <w:tcW w:w="2610" w:type="dxa"/>
            <w:tcMar>
              <w:top w:w="100" w:type="dxa"/>
              <w:left w:w="100" w:type="dxa"/>
              <w:bottom w:w="100" w:type="dxa"/>
              <w:right w:w="100" w:type="dxa"/>
            </w:tcMar>
          </w:tcPr>
          <w:p w14:paraId="292980D4" w14:textId="77777777" w:rsidR="00C60230" w:rsidRDefault="003C62BB">
            <w:pPr>
              <w:widowControl w:val="0"/>
              <w:rPr>
                <w:sz w:val="24"/>
                <w:szCs w:val="24"/>
              </w:rPr>
            </w:pPr>
            <w:r>
              <w:rPr>
                <w:sz w:val="24"/>
                <w:szCs w:val="24"/>
              </w:rPr>
              <w:t xml:space="preserve">This strategy would support the CSR commitment of IKEA toward ethical governance and fair </w:t>
            </w:r>
            <w:proofErr w:type="spellStart"/>
            <w:r>
              <w:rPr>
                <w:sz w:val="24"/>
                <w:szCs w:val="24"/>
              </w:rPr>
              <w:t>labour</w:t>
            </w:r>
            <w:proofErr w:type="spellEnd"/>
            <w:r>
              <w:rPr>
                <w:sz w:val="24"/>
                <w:szCs w:val="24"/>
              </w:rPr>
              <w:t xml:space="preserve"> practices to take on social responsibility through compliance maintenance as per local regulations of employment and safety laws. </w:t>
            </w:r>
          </w:p>
        </w:tc>
      </w:tr>
    </w:tbl>
    <w:p w14:paraId="0B9F6F41" w14:textId="77777777" w:rsidR="00C60230" w:rsidRDefault="00C60230">
      <w:pPr>
        <w:spacing w:after="200" w:line="360" w:lineRule="auto"/>
        <w:jc w:val="both"/>
        <w:rPr>
          <w:sz w:val="24"/>
          <w:szCs w:val="24"/>
        </w:rPr>
      </w:pPr>
    </w:p>
    <w:p w14:paraId="7E7BD9F7" w14:textId="77777777" w:rsidR="00C60230" w:rsidRDefault="003C62BB">
      <w:pPr>
        <w:pStyle w:val="Heading2"/>
      </w:pPr>
      <w:bookmarkStart w:id="28" w:name="_Toc215925469"/>
      <w:r>
        <w:t>4.6 Gantt-chart illustrations of timeline in international expansion of IKEA in South Africa</w:t>
      </w:r>
      <w:bookmarkEnd w:id="28"/>
    </w:p>
    <w:tbl>
      <w:tblPr>
        <w:tblStyle w:val="aa"/>
        <w:tblW w:w="9690" w:type="dxa"/>
        <w:tblBorders>
          <w:top w:val="nil"/>
          <w:left w:val="nil"/>
          <w:bottom w:val="nil"/>
          <w:right w:val="nil"/>
          <w:insideH w:val="nil"/>
          <w:insideV w:val="nil"/>
        </w:tblBorders>
        <w:tblLayout w:type="fixed"/>
        <w:tblLook w:val="0600" w:firstRow="0" w:lastRow="0" w:firstColumn="0" w:lastColumn="0" w:noHBand="1" w:noVBand="1"/>
      </w:tblPr>
      <w:tblGrid>
        <w:gridCol w:w="3690"/>
        <w:gridCol w:w="1050"/>
        <w:gridCol w:w="1020"/>
        <w:gridCol w:w="990"/>
        <w:gridCol w:w="990"/>
        <w:gridCol w:w="975"/>
        <w:gridCol w:w="975"/>
      </w:tblGrid>
      <w:tr w:rsidR="00C60230" w14:paraId="6B72167A" w14:textId="77777777">
        <w:trPr>
          <w:trHeight w:val="495"/>
        </w:trPr>
        <w:tc>
          <w:tcPr>
            <w:tcW w:w="3690" w:type="dxa"/>
            <w:tcBorders>
              <w:top w:val="single" w:sz="6" w:space="0" w:color="000000"/>
              <w:left w:val="single" w:sz="6" w:space="0" w:color="000000"/>
              <w:bottom w:val="single" w:sz="8" w:space="0" w:color="000000"/>
              <w:right w:val="single" w:sz="6" w:space="0" w:color="000000"/>
            </w:tcBorders>
            <w:shd w:val="clear" w:color="auto" w:fill="D9D9D9"/>
            <w:tcMar>
              <w:top w:w="40" w:type="dxa"/>
              <w:left w:w="40" w:type="dxa"/>
              <w:bottom w:w="40" w:type="dxa"/>
              <w:right w:w="40" w:type="dxa"/>
            </w:tcMar>
            <w:vAlign w:val="bottom"/>
          </w:tcPr>
          <w:p w14:paraId="7065D243" w14:textId="77777777" w:rsidR="00C60230" w:rsidRDefault="003C62BB">
            <w:pPr>
              <w:widowControl w:val="0"/>
              <w:jc w:val="center"/>
              <w:rPr>
                <w:sz w:val="24"/>
                <w:szCs w:val="24"/>
              </w:rPr>
            </w:pPr>
            <w:r>
              <w:rPr>
                <w:b/>
                <w:bCs/>
                <w:sz w:val="24"/>
                <w:szCs w:val="24"/>
              </w:rPr>
              <w:t>Task Activities</w:t>
            </w:r>
          </w:p>
        </w:tc>
        <w:tc>
          <w:tcPr>
            <w:tcW w:w="1050" w:type="dxa"/>
            <w:tcBorders>
              <w:top w:val="single" w:sz="6" w:space="0" w:color="CCCCCC"/>
              <w:left w:val="single" w:sz="6" w:space="0" w:color="000000"/>
              <w:bottom w:val="single" w:sz="6" w:space="0" w:color="999999"/>
              <w:right w:val="single" w:sz="6" w:space="0" w:color="999999"/>
            </w:tcBorders>
            <w:shd w:val="clear" w:color="auto" w:fill="BDD7EE"/>
            <w:tcMar>
              <w:top w:w="40" w:type="dxa"/>
              <w:left w:w="40" w:type="dxa"/>
              <w:bottom w:w="40" w:type="dxa"/>
              <w:right w:w="40" w:type="dxa"/>
            </w:tcMar>
            <w:vAlign w:val="bottom"/>
          </w:tcPr>
          <w:p w14:paraId="0D404629" w14:textId="77777777" w:rsidR="00C60230" w:rsidRDefault="003C62BB">
            <w:pPr>
              <w:widowControl w:val="0"/>
              <w:jc w:val="center"/>
              <w:rPr>
                <w:sz w:val="24"/>
                <w:szCs w:val="24"/>
              </w:rPr>
            </w:pPr>
            <w:r>
              <w:rPr>
                <w:b/>
                <w:bCs/>
                <w:sz w:val="24"/>
                <w:szCs w:val="24"/>
              </w:rPr>
              <w:t>Year 1 (Q1-Q2)</w:t>
            </w:r>
          </w:p>
        </w:tc>
        <w:tc>
          <w:tcPr>
            <w:tcW w:w="1020" w:type="dxa"/>
            <w:tcBorders>
              <w:top w:val="single" w:sz="6" w:space="0" w:color="CCCCCC"/>
              <w:left w:val="single" w:sz="6" w:space="0" w:color="000000"/>
              <w:bottom w:val="single" w:sz="6" w:space="0" w:color="999999"/>
              <w:right w:val="single" w:sz="6" w:space="0" w:color="999999"/>
            </w:tcBorders>
            <w:shd w:val="clear" w:color="auto" w:fill="BDD7EE"/>
            <w:tcMar>
              <w:top w:w="40" w:type="dxa"/>
              <w:left w:w="40" w:type="dxa"/>
              <w:bottom w:w="40" w:type="dxa"/>
              <w:right w:w="40" w:type="dxa"/>
            </w:tcMar>
            <w:vAlign w:val="bottom"/>
          </w:tcPr>
          <w:p w14:paraId="75D04312" w14:textId="77777777" w:rsidR="00C60230" w:rsidRDefault="003C62BB">
            <w:pPr>
              <w:widowControl w:val="0"/>
              <w:jc w:val="center"/>
              <w:rPr>
                <w:sz w:val="24"/>
                <w:szCs w:val="24"/>
              </w:rPr>
            </w:pPr>
            <w:r>
              <w:rPr>
                <w:b/>
                <w:bCs/>
                <w:sz w:val="24"/>
                <w:szCs w:val="24"/>
              </w:rPr>
              <w:t>Year 1 (Q3-Q4)</w:t>
            </w:r>
          </w:p>
        </w:tc>
        <w:tc>
          <w:tcPr>
            <w:tcW w:w="990" w:type="dxa"/>
            <w:tcBorders>
              <w:top w:val="single" w:sz="6" w:space="0" w:color="CCCCCC"/>
              <w:left w:val="single" w:sz="6" w:space="0" w:color="000000"/>
              <w:bottom w:val="single" w:sz="6" w:space="0" w:color="999999"/>
              <w:right w:val="single" w:sz="6" w:space="0" w:color="999999"/>
            </w:tcBorders>
            <w:shd w:val="clear" w:color="auto" w:fill="BDD7EE"/>
            <w:tcMar>
              <w:top w:w="40" w:type="dxa"/>
              <w:left w:w="40" w:type="dxa"/>
              <w:bottom w:w="40" w:type="dxa"/>
              <w:right w:w="40" w:type="dxa"/>
            </w:tcMar>
            <w:vAlign w:val="bottom"/>
          </w:tcPr>
          <w:p w14:paraId="51AA01E0" w14:textId="77777777" w:rsidR="00C60230" w:rsidRDefault="003C62BB">
            <w:pPr>
              <w:widowControl w:val="0"/>
              <w:jc w:val="center"/>
              <w:rPr>
                <w:sz w:val="24"/>
                <w:szCs w:val="24"/>
              </w:rPr>
            </w:pPr>
            <w:r>
              <w:rPr>
                <w:b/>
                <w:bCs/>
                <w:sz w:val="24"/>
                <w:szCs w:val="24"/>
              </w:rPr>
              <w:t>Year 2 (Q1-Q2)</w:t>
            </w:r>
          </w:p>
        </w:tc>
        <w:tc>
          <w:tcPr>
            <w:tcW w:w="990" w:type="dxa"/>
            <w:tcBorders>
              <w:top w:val="single" w:sz="6" w:space="0" w:color="CCCCCC"/>
              <w:left w:val="single" w:sz="6" w:space="0" w:color="000000"/>
              <w:bottom w:val="single" w:sz="6" w:space="0" w:color="999999"/>
              <w:right w:val="single" w:sz="6" w:space="0" w:color="999999"/>
            </w:tcBorders>
            <w:shd w:val="clear" w:color="auto" w:fill="BDD7EE"/>
            <w:tcMar>
              <w:top w:w="40" w:type="dxa"/>
              <w:left w:w="40" w:type="dxa"/>
              <w:bottom w:w="40" w:type="dxa"/>
              <w:right w:w="40" w:type="dxa"/>
            </w:tcMar>
            <w:vAlign w:val="bottom"/>
          </w:tcPr>
          <w:p w14:paraId="0216BD6E" w14:textId="77777777" w:rsidR="00C60230" w:rsidRDefault="003C62BB">
            <w:pPr>
              <w:widowControl w:val="0"/>
              <w:jc w:val="center"/>
              <w:rPr>
                <w:sz w:val="24"/>
                <w:szCs w:val="24"/>
              </w:rPr>
            </w:pPr>
            <w:r>
              <w:rPr>
                <w:b/>
                <w:bCs/>
                <w:sz w:val="24"/>
                <w:szCs w:val="24"/>
              </w:rPr>
              <w:t>Year 2 (Q3-Q4)</w:t>
            </w:r>
          </w:p>
        </w:tc>
        <w:tc>
          <w:tcPr>
            <w:tcW w:w="975" w:type="dxa"/>
            <w:tcBorders>
              <w:top w:val="single" w:sz="6" w:space="0" w:color="CCCCCC"/>
              <w:left w:val="single" w:sz="6" w:space="0" w:color="000000"/>
              <w:bottom w:val="single" w:sz="6" w:space="0" w:color="999999"/>
              <w:right w:val="single" w:sz="6" w:space="0" w:color="999999"/>
            </w:tcBorders>
            <w:shd w:val="clear" w:color="auto" w:fill="BDD7EE"/>
            <w:tcMar>
              <w:top w:w="40" w:type="dxa"/>
              <w:left w:w="40" w:type="dxa"/>
              <w:bottom w:w="40" w:type="dxa"/>
              <w:right w:w="40" w:type="dxa"/>
            </w:tcMar>
            <w:vAlign w:val="bottom"/>
          </w:tcPr>
          <w:p w14:paraId="3D6DCA47" w14:textId="77777777" w:rsidR="00C60230" w:rsidRDefault="003C62BB">
            <w:pPr>
              <w:widowControl w:val="0"/>
              <w:jc w:val="center"/>
              <w:rPr>
                <w:sz w:val="24"/>
                <w:szCs w:val="24"/>
              </w:rPr>
            </w:pPr>
            <w:r>
              <w:rPr>
                <w:b/>
                <w:bCs/>
                <w:sz w:val="24"/>
                <w:szCs w:val="24"/>
              </w:rPr>
              <w:t>Year 3 (Q1-Q2)</w:t>
            </w:r>
          </w:p>
        </w:tc>
        <w:tc>
          <w:tcPr>
            <w:tcW w:w="975" w:type="dxa"/>
            <w:tcBorders>
              <w:top w:val="single" w:sz="6" w:space="0" w:color="CCCCCC"/>
              <w:left w:val="single" w:sz="6" w:space="0" w:color="000000"/>
              <w:bottom w:val="single" w:sz="6" w:space="0" w:color="999999"/>
              <w:right w:val="single" w:sz="6" w:space="0" w:color="999999"/>
            </w:tcBorders>
            <w:shd w:val="clear" w:color="auto" w:fill="BDD7EE"/>
            <w:tcMar>
              <w:top w:w="40" w:type="dxa"/>
              <w:left w:w="40" w:type="dxa"/>
              <w:bottom w:w="40" w:type="dxa"/>
              <w:right w:w="40" w:type="dxa"/>
            </w:tcMar>
            <w:vAlign w:val="bottom"/>
          </w:tcPr>
          <w:p w14:paraId="37F5CACE" w14:textId="77777777" w:rsidR="00C60230" w:rsidRDefault="003C62BB">
            <w:pPr>
              <w:widowControl w:val="0"/>
              <w:jc w:val="center"/>
              <w:rPr>
                <w:sz w:val="24"/>
                <w:szCs w:val="24"/>
              </w:rPr>
            </w:pPr>
            <w:r>
              <w:rPr>
                <w:b/>
                <w:bCs/>
                <w:sz w:val="24"/>
                <w:szCs w:val="24"/>
              </w:rPr>
              <w:t>Year 3 (Q3-Q4)</w:t>
            </w:r>
          </w:p>
        </w:tc>
      </w:tr>
      <w:tr w:rsidR="00C60230" w14:paraId="25980F0F" w14:textId="77777777">
        <w:trPr>
          <w:trHeight w:val="315"/>
        </w:trPr>
        <w:tc>
          <w:tcPr>
            <w:tcW w:w="3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D537C4" w14:textId="77777777" w:rsidR="00C60230" w:rsidRDefault="003C62BB">
            <w:pPr>
              <w:widowControl w:val="0"/>
              <w:rPr>
                <w:sz w:val="24"/>
                <w:szCs w:val="24"/>
              </w:rPr>
            </w:pPr>
            <w:r>
              <w:rPr>
                <w:sz w:val="24"/>
                <w:szCs w:val="24"/>
              </w:rPr>
              <w:t xml:space="preserve">Market study and assessment over local partner selection </w:t>
            </w:r>
          </w:p>
        </w:tc>
        <w:tc>
          <w:tcPr>
            <w:tcW w:w="1050" w:type="dxa"/>
            <w:tcBorders>
              <w:top w:val="single" w:sz="6" w:space="0" w:color="CCCCCC"/>
              <w:left w:val="single" w:sz="8" w:space="0" w:color="000000"/>
              <w:bottom w:val="single" w:sz="6" w:space="0" w:color="999999"/>
              <w:right w:val="single" w:sz="6" w:space="0" w:color="999999"/>
            </w:tcBorders>
            <w:shd w:val="clear" w:color="auto" w:fill="FFE599"/>
            <w:tcMar>
              <w:top w:w="40" w:type="dxa"/>
              <w:left w:w="40" w:type="dxa"/>
              <w:bottom w:w="40" w:type="dxa"/>
              <w:right w:w="40" w:type="dxa"/>
            </w:tcMar>
            <w:vAlign w:val="bottom"/>
          </w:tcPr>
          <w:p w14:paraId="18C90DFB" w14:textId="77777777" w:rsidR="00C60230" w:rsidRDefault="00C60230">
            <w:pPr>
              <w:widowControl w:val="0"/>
              <w:rPr>
                <w:sz w:val="24"/>
                <w:szCs w:val="24"/>
              </w:rPr>
            </w:pPr>
          </w:p>
        </w:tc>
        <w:tc>
          <w:tcPr>
            <w:tcW w:w="1020"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bottom"/>
          </w:tcPr>
          <w:p w14:paraId="742A1D5D" w14:textId="77777777" w:rsidR="00C60230" w:rsidRDefault="00C60230">
            <w:pPr>
              <w:widowControl w:val="0"/>
              <w:rPr>
                <w:sz w:val="24"/>
                <w:szCs w:val="24"/>
              </w:rPr>
            </w:pPr>
          </w:p>
        </w:tc>
        <w:tc>
          <w:tcPr>
            <w:tcW w:w="990"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bottom"/>
          </w:tcPr>
          <w:p w14:paraId="0EB5680F" w14:textId="77777777" w:rsidR="00C60230" w:rsidRDefault="00C60230">
            <w:pPr>
              <w:widowControl w:val="0"/>
              <w:rPr>
                <w:sz w:val="24"/>
                <w:szCs w:val="24"/>
              </w:rPr>
            </w:pPr>
          </w:p>
        </w:tc>
        <w:tc>
          <w:tcPr>
            <w:tcW w:w="990"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bottom"/>
          </w:tcPr>
          <w:p w14:paraId="6065B0E2" w14:textId="77777777" w:rsidR="00C60230" w:rsidRDefault="00C60230">
            <w:pPr>
              <w:widowControl w:val="0"/>
              <w:rPr>
                <w:sz w:val="24"/>
                <w:szCs w:val="24"/>
              </w:rPr>
            </w:pPr>
          </w:p>
        </w:tc>
        <w:tc>
          <w:tcPr>
            <w:tcW w:w="975"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bottom"/>
          </w:tcPr>
          <w:p w14:paraId="383FB91A" w14:textId="77777777" w:rsidR="00C60230" w:rsidRDefault="00C60230">
            <w:pPr>
              <w:widowControl w:val="0"/>
              <w:rPr>
                <w:sz w:val="24"/>
                <w:szCs w:val="24"/>
              </w:rPr>
            </w:pPr>
          </w:p>
        </w:tc>
        <w:tc>
          <w:tcPr>
            <w:tcW w:w="975" w:type="dxa"/>
            <w:tcBorders>
              <w:top w:val="single" w:sz="6" w:space="0" w:color="CCCCCC"/>
              <w:left w:val="single" w:sz="6" w:space="0" w:color="CCCCCC"/>
              <w:bottom w:val="single" w:sz="6" w:space="0" w:color="999999"/>
              <w:right w:val="single" w:sz="6" w:space="0" w:color="999999"/>
            </w:tcBorders>
            <w:shd w:val="clear" w:color="auto" w:fill="FFFFFF"/>
            <w:tcMar>
              <w:top w:w="40" w:type="dxa"/>
              <w:left w:w="40" w:type="dxa"/>
              <w:bottom w:w="40" w:type="dxa"/>
              <w:right w:w="40" w:type="dxa"/>
            </w:tcMar>
            <w:vAlign w:val="bottom"/>
          </w:tcPr>
          <w:p w14:paraId="7FACDC9A" w14:textId="77777777" w:rsidR="00C60230" w:rsidRDefault="00C60230">
            <w:pPr>
              <w:widowControl w:val="0"/>
              <w:rPr>
                <w:sz w:val="24"/>
                <w:szCs w:val="24"/>
              </w:rPr>
            </w:pPr>
          </w:p>
        </w:tc>
      </w:tr>
      <w:tr w:rsidR="00C60230" w14:paraId="004EE804" w14:textId="77777777">
        <w:trPr>
          <w:trHeight w:val="315"/>
        </w:trPr>
        <w:tc>
          <w:tcPr>
            <w:tcW w:w="3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8689E4" w14:textId="77777777" w:rsidR="00C60230" w:rsidRDefault="003C62BB">
            <w:pPr>
              <w:widowControl w:val="0"/>
              <w:rPr>
                <w:sz w:val="24"/>
                <w:szCs w:val="24"/>
              </w:rPr>
            </w:pPr>
            <w:r>
              <w:rPr>
                <w:sz w:val="24"/>
                <w:szCs w:val="24"/>
              </w:rPr>
              <w:t xml:space="preserve">Evaluating legal and regulatory compliance standards and scout for initial supplier </w:t>
            </w:r>
          </w:p>
        </w:tc>
        <w:tc>
          <w:tcPr>
            <w:tcW w:w="1050" w:type="dxa"/>
            <w:tcBorders>
              <w:top w:val="single" w:sz="6" w:space="0" w:color="CCCCCC"/>
              <w:left w:val="single" w:sz="8" w:space="0" w:color="000000"/>
              <w:bottom w:val="single" w:sz="6" w:space="0" w:color="999999"/>
              <w:right w:val="single" w:sz="6" w:space="0" w:color="999999"/>
            </w:tcBorders>
            <w:tcMar>
              <w:top w:w="40" w:type="dxa"/>
              <w:left w:w="40" w:type="dxa"/>
              <w:bottom w:w="40" w:type="dxa"/>
              <w:right w:w="40" w:type="dxa"/>
            </w:tcMar>
            <w:vAlign w:val="bottom"/>
          </w:tcPr>
          <w:p w14:paraId="2564C8B2" w14:textId="77777777" w:rsidR="00C60230" w:rsidRDefault="00C60230">
            <w:pPr>
              <w:widowControl w:val="0"/>
              <w:rPr>
                <w:sz w:val="24"/>
                <w:szCs w:val="24"/>
              </w:rPr>
            </w:pPr>
          </w:p>
        </w:tc>
        <w:tc>
          <w:tcPr>
            <w:tcW w:w="1020" w:type="dxa"/>
            <w:tcBorders>
              <w:top w:val="single" w:sz="6" w:space="0" w:color="CCCCCC"/>
              <w:left w:val="single" w:sz="8" w:space="0" w:color="000000"/>
              <w:bottom w:val="single" w:sz="6" w:space="0" w:color="999999"/>
              <w:right w:val="single" w:sz="6" w:space="0" w:color="999999"/>
            </w:tcBorders>
            <w:shd w:val="clear" w:color="auto" w:fill="FFE599"/>
            <w:tcMar>
              <w:top w:w="40" w:type="dxa"/>
              <w:left w:w="40" w:type="dxa"/>
              <w:bottom w:w="40" w:type="dxa"/>
              <w:right w:w="40" w:type="dxa"/>
            </w:tcMar>
            <w:vAlign w:val="bottom"/>
          </w:tcPr>
          <w:p w14:paraId="2674187A" w14:textId="77777777" w:rsidR="00C60230" w:rsidRDefault="00C60230">
            <w:pPr>
              <w:widowControl w:val="0"/>
              <w:rPr>
                <w:sz w:val="24"/>
                <w:szCs w:val="24"/>
              </w:rPr>
            </w:pPr>
          </w:p>
        </w:tc>
        <w:tc>
          <w:tcPr>
            <w:tcW w:w="990" w:type="dxa"/>
            <w:tcBorders>
              <w:top w:val="single" w:sz="6" w:space="0" w:color="CCCCCC"/>
              <w:left w:val="single" w:sz="8" w:space="0" w:color="000000"/>
              <w:bottom w:val="single" w:sz="6" w:space="0" w:color="999999"/>
              <w:right w:val="single" w:sz="6" w:space="0" w:color="999999"/>
            </w:tcBorders>
            <w:shd w:val="clear" w:color="auto" w:fill="FFE599"/>
            <w:tcMar>
              <w:top w:w="40" w:type="dxa"/>
              <w:left w:w="40" w:type="dxa"/>
              <w:bottom w:w="40" w:type="dxa"/>
              <w:right w:w="40" w:type="dxa"/>
            </w:tcMar>
            <w:vAlign w:val="bottom"/>
          </w:tcPr>
          <w:p w14:paraId="4EDBC28E" w14:textId="77777777" w:rsidR="00C60230" w:rsidRDefault="00C60230">
            <w:pPr>
              <w:widowControl w:val="0"/>
              <w:rPr>
                <w:sz w:val="24"/>
                <w:szCs w:val="24"/>
              </w:rPr>
            </w:pPr>
          </w:p>
        </w:tc>
        <w:tc>
          <w:tcPr>
            <w:tcW w:w="990"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bottom"/>
          </w:tcPr>
          <w:p w14:paraId="5FC3B14D" w14:textId="77777777" w:rsidR="00C60230" w:rsidRDefault="00C60230">
            <w:pPr>
              <w:widowControl w:val="0"/>
              <w:rPr>
                <w:sz w:val="24"/>
                <w:szCs w:val="24"/>
              </w:rPr>
            </w:pPr>
          </w:p>
        </w:tc>
        <w:tc>
          <w:tcPr>
            <w:tcW w:w="975"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bottom"/>
          </w:tcPr>
          <w:p w14:paraId="7175D081" w14:textId="77777777" w:rsidR="00C60230" w:rsidRDefault="00C60230">
            <w:pPr>
              <w:widowControl w:val="0"/>
              <w:rPr>
                <w:sz w:val="24"/>
                <w:szCs w:val="24"/>
              </w:rPr>
            </w:pPr>
          </w:p>
        </w:tc>
        <w:tc>
          <w:tcPr>
            <w:tcW w:w="975" w:type="dxa"/>
            <w:tcBorders>
              <w:top w:val="single" w:sz="6" w:space="0" w:color="CCCCCC"/>
              <w:left w:val="single" w:sz="6" w:space="0" w:color="CCCCCC"/>
              <w:bottom w:val="single" w:sz="6" w:space="0" w:color="999999"/>
              <w:right w:val="single" w:sz="6" w:space="0" w:color="999999"/>
            </w:tcBorders>
            <w:shd w:val="clear" w:color="auto" w:fill="FFFFFF"/>
            <w:tcMar>
              <w:top w:w="40" w:type="dxa"/>
              <w:left w:w="40" w:type="dxa"/>
              <w:bottom w:w="40" w:type="dxa"/>
              <w:right w:w="40" w:type="dxa"/>
            </w:tcMar>
            <w:vAlign w:val="bottom"/>
          </w:tcPr>
          <w:p w14:paraId="4FCCD687" w14:textId="77777777" w:rsidR="00C60230" w:rsidRDefault="00C60230">
            <w:pPr>
              <w:widowControl w:val="0"/>
              <w:rPr>
                <w:sz w:val="24"/>
                <w:szCs w:val="24"/>
              </w:rPr>
            </w:pPr>
          </w:p>
        </w:tc>
      </w:tr>
      <w:tr w:rsidR="00C60230" w14:paraId="4578D00F" w14:textId="77777777">
        <w:trPr>
          <w:trHeight w:val="315"/>
        </w:trPr>
        <w:tc>
          <w:tcPr>
            <w:tcW w:w="3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27954D" w14:textId="77777777" w:rsidR="00C60230" w:rsidRDefault="003C62BB">
            <w:pPr>
              <w:widowControl w:val="0"/>
              <w:rPr>
                <w:sz w:val="24"/>
                <w:szCs w:val="24"/>
              </w:rPr>
            </w:pPr>
            <w:r>
              <w:rPr>
                <w:sz w:val="24"/>
                <w:szCs w:val="24"/>
              </w:rPr>
              <w:t>Executing store design and establishing warehouse facilities</w:t>
            </w:r>
          </w:p>
        </w:tc>
        <w:tc>
          <w:tcPr>
            <w:tcW w:w="1050" w:type="dxa"/>
            <w:tcBorders>
              <w:top w:val="single" w:sz="6" w:space="0" w:color="CCCCCC"/>
              <w:left w:val="single" w:sz="8" w:space="0" w:color="000000"/>
              <w:bottom w:val="single" w:sz="6" w:space="0" w:color="999999"/>
              <w:right w:val="single" w:sz="6" w:space="0" w:color="999999"/>
            </w:tcBorders>
            <w:tcMar>
              <w:top w:w="40" w:type="dxa"/>
              <w:left w:w="40" w:type="dxa"/>
              <w:bottom w:w="40" w:type="dxa"/>
              <w:right w:w="40" w:type="dxa"/>
            </w:tcMar>
            <w:vAlign w:val="bottom"/>
          </w:tcPr>
          <w:p w14:paraId="7F979F7C" w14:textId="77777777" w:rsidR="00C60230" w:rsidRDefault="00C60230">
            <w:pPr>
              <w:widowControl w:val="0"/>
              <w:rPr>
                <w:sz w:val="24"/>
                <w:szCs w:val="24"/>
              </w:rPr>
            </w:pPr>
          </w:p>
        </w:tc>
        <w:tc>
          <w:tcPr>
            <w:tcW w:w="1020"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bottom"/>
          </w:tcPr>
          <w:p w14:paraId="76CE51A7" w14:textId="77777777" w:rsidR="00C60230" w:rsidRDefault="00C60230">
            <w:pPr>
              <w:widowControl w:val="0"/>
              <w:rPr>
                <w:sz w:val="24"/>
                <w:szCs w:val="24"/>
              </w:rPr>
            </w:pPr>
          </w:p>
        </w:tc>
        <w:tc>
          <w:tcPr>
            <w:tcW w:w="990" w:type="dxa"/>
            <w:tcBorders>
              <w:top w:val="single" w:sz="6" w:space="0" w:color="CCCCCC"/>
              <w:left w:val="single" w:sz="8" w:space="0" w:color="000000"/>
              <w:bottom w:val="single" w:sz="6" w:space="0" w:color="999999"/>
              <w:right w:val="single" w:sz="6" w:space="0" w:color="999999"/>
            </w:tcBorders>
            <w:shd w:val="clear" w:color="auto" w:fill="FFE599"/>
            <w:tcMar>
              <w:top w:w="40" w:type="dxa"/>
              <w:left w:w="40" w:type="dxa"/>
              <w:bottom w:w="40" w:type="dxa"/>
              <w:right w:w="40" w:type="dxa"/>
            </w:tcMar>
            <w:vAlign w:val="bottom"/>
          </w:tcPr>
          <w:p w14:paraId="641F6C60" w14:textId="77777777" w:rsidR="00C60230" w:rsidRDefault="00C60230">
            <w:pPr>
              <w:widowControl w:val="0"/>
              <w:rPr>
                <w:sz w:val="24"/>
                <w:szCs w:val="24"/>
              </w:rPr>
            </w:pPr>
          </w:p>
        </w:tc>
        <w:tc>
          <w:tcPr>
            <w:tcW w:w="990" w:type="dxa"/>
            <w:tcBorders>
              <w:top w:val="single" w:sz="6" w:space="0" w:color="CCCCCC"/>
              <w:left w:val="single" w:sz="8" w:space="0" w:color="000000"/>
              <w:bottom w:val="single" w:sz="6" w:space="0" w:color="999999"/>
              <w:right w:val="single" w:sz="6" w:space="0" w:color="999999"/>
            </w:tcBorders>
            <w:shd w:val="clear" w:color="auto" w:fill="FFE599"/>
            <w:tcMar>
              <w:top w:w="40" w:type="dxa"/>
              <w:left w:w="40" w:type="dxa"/>
              <w:bottom w:w="40" w:type="dxa"/>
              <w:right w:w="40" w:type="dxa"/>
            </w:tcMar>
            <w:vAlign w:val="bottom"/>
          </w:tcPr>
          <w:p w14:paraId="248D90B1" w14:textId="77777777" w:rsidR="00C60230" w:rsidRDefault="00C60230">
            <w:pPr>
              <w:widowControl w:val="0"/>
              <w:rPr>
                <w:sz w:val="24"/>
                <w:szCs w:val="24"/>
              </w:rPr>
            </w:pPr>
          </w:p>
        </w:tc>
        <w:tc>
          <w:tcPr>
            <w:tcW w:w="975"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bottom"/>
          </w:tcPr>
          <w:p w14:paraId="65F4ACC4" w14:textId="77777777" w:rsidR="00C60230" w:rsidRDefault="00C60230">
            <w:pPr>
              <w:widowControl w:val="0"/>
              <w:rPr>
                <w:sz w:val="24"/>
                <w:szCs w:val="24"/>
              </w:rPr>
            </w:pPr>
          </w:p>
        </w:tc>
        <w:tc>
          <w:tcPr>
            <w:tcW w:w="975" w:type="dxa"/>
            <w:tcBorders>
              <w:top w:val="single" w:sz="6" w:space="0" w:color="CCCCCC"/>
              <w:left w:val="single" w:sz="6" w:space="0" w:color="CCCCCC"/>
              <w:bottom w:val="single" w:sz="6" w:space="0" w:color="999999"/>
              <w:right w:val="single" w:sz="6" w:space="0" w:color="999999"/>
            </w:tcBorders>
            <w:shd w:val="clear" w:color="auto" w:fill="FFFFFF"/>
            <w:tcMar>
              <w:top w:w="40" w:type="dxa"/>
              <w:left w:w="40" w:type="dxa"/>
              <w:bottom w:w="40" w:type="dxa"/>
              <w:right w:w="40" w:type="dxa"/>
            </w:tcMar>
            <w:vAlign w:val="bottom"/>
          </w:tcPr>
          <w:p w14:paraId="7694CC91" w14:textId="77777777" w:rsidR="00C60230" w:rsidRDefault="00C60230">
            <w:pPr>
              <w:widowControl w:val="0"/>
              <w:rPr>
                <w:sz w:val="24"/>
                <w:szCs w:val="24"/>
              </w:rPr>
            </w:pPr>
          </w:p>
        </w:tc>
      </w:tr>
      <w:tr w:rsidR="00C60230" w14:paraId="4CD17A37" w14:textId="77777777">
        <w:trPr>
          <w:trHeight w:val="315"/>
        </w:trPr>
        <w:tc>
          <w:tcPr>
            <w:tcW w:w="3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D2B32E" w14:textId="77777777" w:rsidR="00C60230" w:rsidRDefault="003C62BB">
            <w:pPr>
              <w:widowControl w:val="0"/>
              <w:rPr>
                <w:sz w:val="24"/>
                <w:szCs w:val="24"/>
              </w:rPr>
            </w:pPr>
            <w:r>
              <w:rPr>
                <w:sz w:val="24"/>
                <w:szCs w:val="24"/>
              </w:rPr>
              <w:t xml:space="preserve">Recruitment and staff training of local South African employees </w:t>
            </w:r>
          </w:p>
        </w:tc>
        <w:tc>
          <w:tcPr>
            <w:tcW w:w="1050" w:type="dxa"/>
            <w:tcBorders>
              <w:top w:val="single" w:sz="6" w:space="0" w:color="CCCCCC"/>
              <w:left w:val="single" w:sz="8" w:space="0" w:color="000000"/>
              <w:bottom w:val="single" w:sz="6" w:space="0" w:color="999999"/>
              <w:right w:val="single" w:sz="6" w:space="0" w:color="999999"/>
            </w:tcBorders>
            <w:tcMar>
              <w:top w:w="40" w:type="dxa"/>
              <w:left w:w="40" w:type="dxa"/>
              <w:bottom w:w="40" w:type="dxa"/>
              <w:right w:w="40" w:type="dxa"/>
            </w:tcMar>
            <w:vAlign w:val="bottom"/>
          </w:tcPr>
          <w:p w14:paraId="1C30BC7C" w14:textId="77777777" w:rsidR="00C60230" w:rsidRDefault="00C60230">
            <w:pPr>
              <w:widowControl w:val="0"/>
              <w:rPr>
                <w:sz w:val="24"/>
                <w:szCs w:val="24"/>
              </w:rPr>
            </w:pPr>
          </w:p>
        </w:tc>
        <w:tc>
          <w:tcPr>
            <w:tcW w:w="1020"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bottom"/>
          </w:tcPr>
          <w:p w14:paraId="14BBB38C" w14:textId="77777777" w:rsidR="00C60230" w:rsidRDefault="00C60230">
            <w:pPr>
              <w:widowControl w:val="0"/>
              <w:rPr>
                <w:sz w:val="24"/>
                <w:szCs w:val="24"/>
              </w:rPr>
            </w:pPr>
          </w:p>
        </w:tc>
        <w:tc>
          <w:tcPr>
            <w:tcW w:w="990"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bottom"/>
          </w:tcPr>
          <w:p w14:paraId="7FE3B4CF" w14:textId="77777777" w:rsidR="00C60230" w:rsidRDefault="00C60230">
            <w:pPr>
              <w:widowControl w:val="0"/>
              <w:rPr>
                <w:sz w:val="24"/>
                <w:szCs w:val="24"/>
              </w:rPr>
            </w:pPr>
          </w:p>
        </w:tc>
        <w:tc>
          <w:tcPr>
            <w:tcW w:w="990" w:type="dxa"/>
            <w:tcBorders>
              <w:top w:val="single" w:sz="6" w:space="0" w:color="CCCCCC"/>
              <w:left w:val="single" w:sz="8" w:space="0" w:color="000000"/>
              <w:bottom w:val="single" w:sz="6" w:space="0" w:color="999999"/>
              <w:right w:val="single" w:sz="6" w:space="0" w:color="999999"/>
            </w:tcBorders>
            <w:shd w:val="clear" w:color="auto" w:fill="FFE599"/>
            <w:tcMar>
              <w:top w:w="40" w:type="dxa"/>
              <w:left w:w="40" w:type="dxa"/>
              <w:bottom w:w="40" w:type="dxa"/>
              <w:right w:w="40" w:type="dxa"/>
            </w:tcMar>
            <w:vAlign w:val="bottom"/>
          </w:tcPr>
          <w:p w14:paraId="5D9C56D1" w14:textId="77777777" w:rsidR="00C60230" w:rsidRDefault="00C60230">
            <w:pPr>
              <w:widowControl w:val="0"/>
              <w:rPr>
                <w:sz w:val="24"/>
                <w:szCs w:val="24"/>
              </w:rPr>
            </w:pPr>
          </w:p>
        </w:tc>
        <w:tc>
          <w:tcPr>
            <w:tcW w:w="975" w:type="dxa"/>
            <w:tcBorders>
              <w:top w:val="single" w:sz="6" w:space="0" w:color="CCCCCC"/>
              <w:left w:val="single" w:sz="8" w:space="0" w:color="000000"/>
              <w:bottom w:val="single" w:sz="6" w:space="0" w:color="999999"/>
              <w:right w:val="single" w:sz="6" w:space="0" w:color="999999"/>
            </w:tcBorders>
            <w:shd w:val="clear" w:color="auto" w:fill="FFE599"/>
            <w:tcMar>
              <w:top w:w="40" w:type="dxa"/>
              <w:left w:w="40" w:type="dxa"/>
              <w:bottom w:w="40" w:type="dxa"/>
              <w:right w:w="40" w:type="dxa"/>
            </w:tcMar>
            <w:vAlign w:val="bottom"/>
          </w:tcPr>
          <w:p w14:paraId="51BB863D" w14:textId="77777777" w:rsidR="00C60230" w:rsidRDefault="00C60230">
            <w:pPr>
              <w:widowControl w:val="0"/>
              <w:rPr>
                <w:sz w:val="24"/>
                <w:szCs w:val="24"/>
              </w:rPr>
            </w:pPr>
          </w:p>
        </w:tc>
        <w:tc>
          <w:tcPr>
            <w:tcW w:w="975" w:type="dxa"/>
            <w:tcBorders>
              <w:top w:val="single" w:sz="6" w:space="0" w:color="CCCCCC"/>
              <w:left w:val="single" w:sz="6" w:space="0" w:color="CCCCCC"/>
              <w:bottom w:val="single" w:sz="6" w:space="0" w:color="999999"/>
              <w:right w:val="single" w:sz="6" w:space="0" w:color="999999"/>
            </w:tcBorders>
            <w:shd w:val="clear" w:color="auto" w:fill="FFFFFF"/>
            <w:tcMar>
              <w:top w:w="40" w:type="dxa"/>
              <w:left w:w="40" w:type="dxa"/>
              <w:bottom w:w="40" w:type="dxa"/>
              <w:right w:w="40" w:type="dxa"/>
            </w:tcMar>
            <w:vAlign w:val="bottom"/>
          </w:tcPr>
          <w:p w14:paraId="2219A4BC" w14:textId="77777777" w:rsidR="00C60230" w:rsidRDefault="00C60230">
            <w:pPr>
              <w:widowControl w:val="0"/>
              <w:rPr>
                <w:sz w:val="24"/>
                <w:szCs w:val="24"/>
              </w:rPr>
            </w:pPr>
          </w:p>
        </w:tc>
      </w:tr>
      <w:tr w:rsidR="00C60230" w14:paraId="607ED68F" w14:textId="77777777">
        <w:trPr>
          <w:trHeight w:val="315"/>
        </w:trPr>
        <w:tc>
          <w:tcPr>
            <w:tcW w:w="3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4A797B" w14:textId="77777777" w:rsidR="00C60230" w:rsidRDefault="003C62BB">
            <w:pPr>
              <w:widowControl w:val="0"/>
              <w:rPr>
                <w:sz w:val="24"/>
                <w:szCs w:val="24"/>
              </w:rPr>
            </w:pPr>
            <w:r>
              <w:rPr>
                <w:sz w:val="24"/>
                <w:szCs w:val="24"/>
              </w:rPr>
              <w:t xml:space="preserve">Pilot sourcing partnership through capital investments  </w:t>
            </w:r>
          </w:p>
        </w:tc>
        <w:tc>
          <w:tcPr>
            <w:tcW w:w="1050" w:type="dxa"/>
            <w:tcBorders>
              <w:top w:val="single" w:sz="6" w:space="0" w:color="CCCCCC"/>
              <w:left w:val="single" w:sz="8" w:space="0" w:color="000000"/>
              <w:bottom w:val="single" w:sz="6" w:space="0" w:color="999999"/>
              <w:right w:val="single" w:sz="6" w:space="0" w:color="999999"/>
            </w:tcBorders>
            <w:tcMar>
              <w:top w:w="40" w:type="dxa"/>
              <w:left w:w="40" w:type="dxa"/>
              <w:bottom w:w="40" w:type="dxa"/>
              <w:right w:w="40" w:type="dxa"/>
            </w:tcMar>
            <w:vAlign w:val="bottom"/>
          </w:tcPr>
          <w:p w14:paraId="132333EF" w14:textId="77777777" w:rsidR="00C60230" w:rsidRDefault="00C60230">
            <w:pPr>
              <w:widowControl w:val="0"/>
              <w:rPr>
                <w:sz w:val="24"/>
                <w:szCs w:val="24"/>
              </w:rPr>
            </w:pPr>
          </w:p>
        </w:tc>
        <w:tc>
          <w:tcPr>
            <w:tcW w:w="1020"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bottom"/>
          </w:tcPr>
          <w:p w14:paraId="488C1FE8" w14:textId="77777777" w:rsidR="00C60230" w:rsidRDefault="00C60230">
            <w:pPr>
              <w:widowControl w:val="0"/>
              <w:rPr>
                <w:sz w:val="24"/>
                <w:szCs w:val="24"/>
              </w:rPr>
            </w:pPr>
          </w:p>
        </w:tc>
        <w:tc>
          <w:tcPr>
            <w:tcW w:w="990"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bottom"/>
          </w:tcPr>
          <w:p w14:paraId="42B0D714" w14:textId="77777777" w:rsidR="00C60230" w:rsidRDefault="00C60230">
            <w:pPr>
              <w:widowControl w:val="0"/>
              <w:rPr>
                <w:sz w:val="24"/>
                <w:szCs w:val="24"/>
              </w:rPr>
            </w:pPr>
          </w:p>
        </w:tc>
        <w:tc>
          <w:tcPr>
            <w:tcW w:w="990" w:type="dxa"/>
            <w:tcBorders>
              <w:top w:val="single" w:sz="6" w:space="0" w:color="CCCCCC"/>
              <w:left w:val="single" w:sz="8" w:space="0" w:color="000000"/>
              <w:bottom w:val="single" w:sz="6" w:space="0" w:color="999999"/>
              <w:right w:val="single" w:sz="6" w:space="0" w:color="999999"/>
            </w:tcBorders>
            <w:shd w:val="clear" w:color="auto" w:fill="FFE599"/>
            <w:tcMar>
              <w:top w:w="40" w:type="dxa"/>
              <w:left w:w="40" w:type="dxa"/>
              <w:bottom w:w="40" w:type="dxa"/>
              <w:right w:w="40" w:type="dxa"/>
            </w:tcMar>
            <w:vAlign w:val="bottom"/>
          </w:tcPr>
          <w:p w14:paraId="15380544" w14:textId="77777777" w:rsidR="00C60230" w:rsidRDefault="00C60230">
            <w:pPr>
              <w:widowControl w:val="0"/>
              <w:rPr>
                <w:sz w:val="24"/>
                <w:szCs w:val="24"/>
              </w:rPr>
            </w:pPr>
          </w:p>
        </w:tc>
        <w:tc>
          <w:tcPr>
            <w:tcW w:w="975" w:type="dxa"/>
            <w:tcBorders>
              <w:top w:val="single" w:sz="6" w:space="0" w:color="CCCCCC"/>
              <w:left w:val="single" w:sz="8" w:space="0" w:color="000000"/>
              <w:bottom w:val="single" w:sz="6" w:space="0" w:color="999999"/>
              <w:right w:val="single" w:sz="6" w:space="0" w:color="999999"/>
            </w:tcBorders>
            <w:shd w:val="clear" w:color="auto" w:fill="FFE599"/>
            <w:tcMar>
              <w:top w:w="40" w:type="dxa"/>
              <w:left w:w="40" w:type="dxa"/>
              <w:bottom w:w="40" w:type="dxa"/>
              <w:right w:w="40" w:type="dxa"/>
            </w:tcMar>
            <w:vAlign w:val="bottom"/>
          </w:tcPr>
          <w:p w14:paraId="212EC3DE" w14:textId="77777777" w:rsidR="00C60230" w:rsidRDefault="00C60230">
            <w:pPr>
              <w:widowControl w:val="0"/>
              <w:rPr>
                <w:sz w:val="24"/>
                <w:szCs w:val="24"/>
              </w:rPr>
            </w:pPr>
          </w:p>
        </w:tc>
        <w:tc>
          <w:tcPr>
            <w:tcW w:w="975" w:type="dxa"/>
            <w:tcBorders>
              <w:top w:val="single" w:sz="6" w:space="0" w:color="CCCCCC"/>
              <w:left w:val="single" w:sz="6" w:space="0" w:color="CCCCCC"/>
              <w:bottom w:val="single" w:sz="6" w:space="0" w:color="999999"/>
              <w:right w:val="single" w:sz="6" w:space="0" w:color="999999"/>
            </w:tcBorders>
            <w:shd w:val="clear" w:color="auto" w:fill="FFFFFF"/>
            <w:tcMar>
              <w:top w:w="40" w:type="dxa"/>
              <w:left w:w="40" w:type="dxa"/>
              <w:bottom w:w="40" w:type="dxa"/>
              <w:right w:w="40" w:type="dxa"/>
            </w:tcMar>
            <w:vAlign w:val="bottom"/>
          </w:tcPr>
          <w:p w14:paraId="1A1CDE0A" w14:textId="77777777" w:rsidR="00C60230" w:rsidRDefault="00C60230">
            <w:pPr>
              <w:widowControl w:val="0"/>
              <w:rPr>
                <w:sz w:val="24"/>
                <w:szCs w:val="24"/>
              </w:rPr>
            </w:pPr>
          </w:p>
        </w:tc>
      </w:tr>
      <w:tr w:rsidR="00C60230" w14:paraId="0FCCACE4" w14:textId="77777777">
        <w:trPr>
          <w:trHeight w:val="315"/>
        </w:trPr>
        <w:tc>
          <w:tcPr>
            <w:tcW w:w="3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FA1D3D" w14:textId="77777777" w:rsidR="00C60230" w:rsidRDefault="003C62BB">
            <w:pPr>
              <w:widowControl w:val="0"/>
              <w:rPr>
                <w:sz w:val="24"/>
                <w:szCs w:val="24"/>
              </w:rPr>
            </w:pPr>
            <w:r>
              <w:rPr>
                <w:sz w:val="24"/>
                <w:szCs w:val="24"/>
              </w:rPr>
              <w:t xml:space="preserve">Evaluation and market adjustments as per the need </w:t>
            </w:r>
          </w:p>
        </w:tc>
        <w:tc>
          <w:tcPr>
            <w:tcW w:w="1050" w:type="dxa"/>
            <w:tcBorders>
              <w:top w:val="single" w:sz="6" w:space="0" w:color="CCCCCC"/>
              <w:left w:val="single" w:sz="8" w:space="0" w:color="000000"/>
              <w:bottom w:val="single" w:sz="6" w:space="0" w:color="999999"/>
              <w:right w:val="single" w:sz="6" w:space="0" w:color="999999"/>
            </w:tcBorders>
            <w:tcMar>
              <w:top w:w="40" w:type="dxa"/>
              <w:left w:w="40" w:type="dxa"/>
              <w:bottom w:w="40" w:type="dxa"/>
              <w:right w:w="40" w:type="dxa"/>
            </w:tcMar>
            <w:vAlign w:val="bottom"/>
          </w:tcPr>
          <w:p w14:paraId="22409F94" w14:textId="77777777" w:rsidR="00C60230" w:rsidRDefault="00C60230">
            <w:pPr>
              <w:widowControl w:val="0"/>
              <w:rPr>
                <w:sz w:val="24"/>
                <w:szCs w:val="24"/>
              </w:rPr>
            </w:pPr>
          </w:p>
        </w:tc>
        <w:tc>
          <w:tcPr>
            <w:tcW w:w="1020"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bottom"/>
          </w:tcPr>
          <w:p w14:paraId="2436B254" w14:textId="77777777" w:rsidR="00C60230" w:rsidRDefault="00C60230">
            <w:pPr>
              <w:widowControl w:val="0"/>
              <w:rPr>
                <w:sz w:val="24"/>
                <w:szCs w:val="24"/>
              </w:rPr>
            </w:pPr>
          </w:p>
        </w:tc>
        <w:tc>
          <w:tcPr>
            <w:tcW w:w="990"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bottom"/>
          </w:tcPr>
          <w:p w14:paraId="616417E1" w14:textId="77777777" w:rsidR="00C60230" w:rsidRDefault="00C60230">
            <w:pPr>
              <w:widowControl w:val="0"/>
              <w:rPr>
                <w:sz w:val="24"/>
                <w:szCs w:val="24"/>
              </w:rPr>
            </w:pPr>
          </w:p>
        </w:tc>
        <w:tc>
          <w:tcPr>
            <w:tcW w:w="990"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bottom"/>
          </w:tcPr>
          <w:p w14:paraId="57F50AFF" w14:textId="77777777" w:rsidR="00C60230" w:rsidRDefault="00C60230">
            <w:pPr>
              <w:widowControl w:val="0"/>
              <w:rPr>
                <w:sz w:val="24"/>
                <w:szCs w:val="24"/>
              </w:rPr>
            </w:pPr>
          </w:p>
        </w:tc>
        <w:tc>
          <w:tcPr>
            <w:tcW w:w="975" w:type="dxa"/>
            <w:tcBorders>
              <w:top w:val="single" w:sz="6" w:space="0" w:color="CCCCCC"/>
              <w:left w:val="single" w:sz="8" w:space="0" w:color="000000"/>
              <w:bottom w:val="single" w:sz="6" w:space="0" w:color="999999"/>
              <w:right w:val="single" w:sz="6" w:space="0" w:color="999999"/>
            </w:tcBorders>
            <w:shd w:val="clear" w:color="auto" w:fill="FFE599"/>
            <w:tcMar>
              <w:top w:w="40" w:type="dxa"/>
              <w:left w:w="40" w:type="dxa"/>
              <w:bottom w:w="40" w:type="dxa"/>
              <w:right w:w="40" w:type="dxa"/>
            </w:tcMar>
            <w:vAlign w:val="bottom"/>
          </w:tcPr>
          <w:p w14:paraId="6EB3C6EE" w14:textId="77777777" w:rsidR="00C60230" w:rsidRDefault="00C60230">
            <w:pPr>
              <w:widowControl w:val="0"/>
              <w:rPr>
                <w:sz w:val="24"/>
                <w:szCs w:val="24"/>
              </w:rPr>
            </w:pPr>
          </w:p>
        </w:tc>
        <w:tc>
          <w:tcPr>
            <w:tcW w:w="975" w:type="dxa"/>
            <w:tcBorders>
              <w:top w:val="single" w:sz="6" w:space="0" w:color="CCCCCC"/>
              <w:left w:val="single" w:sz="8" w:space="0" w:color="000000"/>
              <w:bottom w:val="single" w:sz="6" w:space="0" w:color="999999"/>
              <w:right w:val="single" w:sz="6" w:space="0" w:color="999999"/>
            </w:tcBorders>
            <w:shd w:val="clear" w:color="auto" w:fill="FFE599"/>
            <w:tcMar>
              <w:top w:w="40" w:type="dxa"/>
              <w:left w:w="40" w:type="dxa"/>
              <w:bottom w:w="40" w:type="dxa"/>
              <w:right w:w="40" w:type="dxa"/>
            </w:tcMar>
            <w:vAlign w:val="bottom"/>
          </w:tcPr>
          <w:p w14:paraId="01E380B1" w14:textId="77777777" w:rsidR="00C60230" w:rsidRDefault="00C60230">
            <w:pPr>
              <w:widowControl w:val="0"/>
              <w:rPr>
                <w:sz w:val="24"/>
                <w:szCs w:val="24"/>
              </w:rPr>
            </w:pPr>
          </w:p>
        </w:tc>
      </w:tr>
    </w:tbl>
    <w:p w14:paraId="3A116F36" w14:textId="77777777" w:rsidR="00C60230" w:rsidRDefault="00C60230">
      <w:pPr>
        <w:jc w:val="both"/>
        <w:rPr>
          <w:rFonts w:ascii="Times New Roman" w:eastAsia="Times New Roman" w:hAnsi="Times New Roman" w:cs="Times New Roman"/>
          <w:sz w:val="24"/>
          <w:szCs w:val="24"/>
        </w:rPr>
      </w:pPr>
    </w:p>
    <w:p w14:paraId="49E446EE" w14:textId="77777777" w:rsidR="00C60230" w:rsidRDefault="003C62BB">
      <w:pPr>
        <w:pStyle w:val="Heading1"/>
      </w:pPr>
      <w:bookmarkStart w:id="29" w:name="_Toc215925470"/>
      <w:r>
        <w:t>5.0 Performance Evaluation Framework</w:t>
      </w:r>
      <w:bookmarkEnd w:id="29"/>
    </w:p>
    <w:p w14:paraId="5581E9E8" w14:textId="77777777" w:rsidR="00C60230" w:rsidRDefault="003C62BB">
      <w:pPr>
        <w:pStyle w:val="Heading2"/>
      </w:pPr>
      <w:bookmarkStart w:id="30" w:name="_Toc215925471"/>
      <w:r>
        <w:t xml:space="preserve">5.1 BSC Framework for identifying </w:t>
      </w:r>
      <w:proofErr w:type="gramStart"/>
      <w:r>
        <w:t>success</w:t>
      </w:r>
      <w:proofErr w:type="gramEnd"/>
      <w:r>
        <w:t xml:space="preserve"> metrics and KPIs</w:t>
      </w:r>
      <w:bookmarkEnd w:id="30"/>
    </w:p>
    <w:p w14:paraId="73F75420" w14:textId="77777777" w:rsidR="00C60230" w:rsidRDefault="003C62BB">
      <w:pPr>
        <w:spacing w:after="200" w:line="360" w:lineRule="auto"/>
        <w:jc w:val="both"/>
        <w:rPr>
          <w:sz w:val="24"/>
          <w:szCs w:val="24"/>
        </w:rPr>
      </w:pPr>
      <w:r>
        <w:rPr>
          <w:sz w:val="24"/>
          <w:szCs w:val="24"/>
        </w:rPr>
        <w:t xml:space="preserve">A balanced scorecard (BSC) goes beyond traditional financial metrics to provide a more holistic view of an organization's performance through four key dimensions (El Fallahi, </w:t>
      </w:r>
      <w:proofErr w:type="spellStart"/>
      <w:r>
        <w:rPr>
          <w:sz w:val="24"/>
          <w:szCs w:val="24"/>
        </w:rPr>
        <w:t>Ibenrissoul</w:t>
      </w:r>
      <w:proofErr w:type="spellEnd"/>
      <w:r>
        <w:rPr>
          <w:sz w:val="24"/>
          <w:szCs w:val="24"/>
        </w:rPr>
        <w:t xml:space="preserve"> and El Amri, 2023). </w:t>
      </w:r>
    </w:p>
    <w:p w14:paraId="72635093" w14:textId="77777777" w:rsidR="00C60230" w:rsidRDefault="003C62BB">
      <w:pPr>
        <w:spacing w:after="200" w:line="360" w:lineRule="auto"/>
        <w:jc w:val="both"/>
        <w:rPr>
          <w:sz w:val="24"/>
          <w:szCs w:val="24"/>
        </w:rPr>
      </w:pPr>
      <w:r>
        <w:rPr>
          <w:b/>
          <w:bCs/>
          <w:sz w:val="24"/>
          <w:szCs w:val="24"/>
        </w:rPr>
        <w:t xml:space="preserve">Financial: </w:t>
      </w:r>
      <w:r>
        <w:rPr>
          <w:sz w:val="24"/>
          <w:szCs w:val="24"/>
        </w:rPr>
        <w:t xml:space="preserve">The return on investments should have to be 10% growth year-on-year since Year 1. Considering the initiative to support the cost reduction strategy for the energy-efficient initiative in the South Africa market, gross margin improvement for IKEA should be based on local sourcing growth. </w:t>
      </w:r>
    </w:p>
    <w:p w14:paraId="67170878" w14:textId="77777777" w:rsidR="00C60230" w:rsidRDefault="003C62BB">
      <w:pPr>
        <w:spacing w:after="200" w:line="360" w:lineRule="auto"/>
        <w:jc w:val="both"/>
        <w:rPr>
          <w:sz w:val="24"/>
          <w:szCs w:val="24"/>
        </w:rPr>
      </w:pPr>
      <w:r>
        <w:rPr>
          <w:b/>
          <w:bCs/>
          <w:sz w:val="24"/>
          <w:szCs w:val="24"/>
        </w:rPr>
        <w:t xml:space="preserve">Business processes: </w:t>
      </w:r>
      <w:r>
        <w:rPr>
          <w:sz w:val="24"/>
          <w:szCs w:val="24"/>
        </w:rPr>
        <w:t xml:space="preserve">The efficiency of the supply chain network should be measured with KPI of lead time less than 48 hours for all major cities across South </w:t>
      </w:r>
      <w:r>
        <w:rPr>
          <w:sz w:val="24"/>
          <w:szCs w:val="24"/>
        </w:rPr>
        <w:lastRenderedPageBreak/>
        <w:t xml:space="preserve">Africa. The inventory turnover ratio should also be evaluated as at least achieving a target of 25% </w:t>
      </w:r>
      <w:proofErr w:type="gramStart"/>
      <w:r>
        <w:rPr>
          <w:sz w:val="24"/>
          <w:szCs w:val="24"/>
        </w:rPr>
        <w:t>locally-sourced</w:t>
      </w:r>
      <w:proofErr w:type="gramEnd"/>
      <w:r>
        <w:rPr>
          <w:sz w:val="24"/>
          <w:szCs w:val="24"/>
        </w:rPr>
        <w:t xml:space="preserve"> materials by the end of Year 3 could be obtained as a successful venture for IKEA. </w:t>
      </w:r>
    </w:p>
    <w:p w14:paraId="79ACC12D" w14:textId="77777777" w:rsidR="00C60230" w:rsidRDefault="003C62BB">
      <w:pPr>
        <w:spacing w:after="200" w:line="360" w:lineRule="auto"/>
        <w:jc w:val="both"/>
        <w:rPr>
          <w:sz w:val="24"/>
          <w:szCs w:val="24"/>
        </w:rPr>
      </w:pPr>
      <w:r>
        <w:rPr>
          <w:noProof/>
          <w:sz w:val="24"/>
          <w:szCs w:val="24"/>
        </w:rPr>
        <w:drawing>
          <wp:inline distT="114300" distB="114300" distL="114300" distR="114300" wp14:anchorId="7F2C33A0" wp14:editId="5DC57F9A">
            <wp:extent cx="5731200" cy="2984500"/>
            <wp:effectExtent l="0" t="0" r="0" b="0"/>
            <wp:docPr id="2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1"/>
                    <a:srcRect/>
                    <a:stretch>
                      <a:fillRect/>
                    </a:stretch>
                  </pic:blipFill>
                  <pic:spPr>
                    <a:xfrm>
                      <a:off x="0" y="0"/>
                      <a:ext cx="5731200" cy="2984500"/>
                    </a:xfrm>
                    <a:prstGeom prst="rect">
                      <a:avLst/>
                    </a:prstGeom>
                    <a:ln/>
                  </pic:spPr>
                </pic:pic>
              </a:graphicData>
            </a:graphic>
          </wp:inline>
        </w:drawing>
      </w:r>
    </w:p>
    <w:p w14:paraId="737BD687" w14:textId="77777777" w:rsidR="00C60230" w:rsidRDefault="003C62BB">
      <w:pPr>
        <w:spacing w:after="200" w:line="360" w:lineRule="auto"/>
        <w:jc w:val="center"/>
        <w:rPr>
          <w:b/>
          <w:bCs/>
          <w:sz w:val="24"/>
          <w:szCs w:val="24"/>
        </w:rPr>
      </w:pPr>
      <w:r>
        <w:rPr>
          <w:b/>
          <w:bCs/>
          <w:sz w:val="24"/>
          <w:szCs w:val="24"/>
        </w:rPr>
        <w:t>Figure 11: BSC Framework</w:t>
      </w:r>
    </w:p>
    <w:p w14:paraId="70E1EA8F" w14:textId="77777777" w:rsidR="00C60230" w:rsidRDefault="003C62BB">
      <w:pPr>
        <w:spacing w:after="200" w:line="360" w:lineRule="auto"/>
        <w:jc w:val="center"/>
        <w:rPr>
          <w:b/>
          <w:bCs/>
          <w:sz w:val="24"/>
          <w:szCs w:val="24"/>
        </w:rPr>
      </w:pPr>
      <w:r>
        <w:rPr>
          <w:b/>
          <w:bCs/>
          <w:sz w:val="24"/>
          <w:szCs w:val="24"/>
        </w:rPr>
        <w:t xml:space="preserve">Source: (El Fallahi, </w:t>
      </w:r>
      <w:proofErr w:type="spellStart"/>
      <w:r>
        <w:rPr>
          <w:b/>
          <w:bCs/>
          <w:sz w:val="24"/>
          <w:szCs w:val="24"/>
        </w:rPr>
        <w:t>Ibenrissoul</w:t>
      </w:r>
      <w:proofErr w:type="spellEnd"/>
      <w:r>
        <w:rPr>
          <w:b/>
          <w:bCs/>
          <w:sz w:val="24"/>
          <w:szCs w:val="24"/>
        </w:rPr>
        <w:t xml:space="preserve"> and El Amri, 2023) </w:t>
      </w:r>
    </w:p>
    <w:p w14:paraId="25F050FC" w14:textId="77777777" w:rsidR="00C60230" w:rsidRDefault="003C62BB">
      <w:pPr>
        <w:spacing w:after="200" w:line="360" w:lineRule="auto"/>
        <w:jc w:val="both"/>
        <w:rPr>
          <w:sz w:val="24"/>
          <w:szCs w:val="24"/>
        </w:rPr>
      </w:pPr>
      <w:r>
        <w:rPr>
          <w:b/>
          <w:bCs/>
          <w:sz w:val="24"/>
          <w:szCs w:val="24"/>
        </w:rPr>
        <w:t xml:space="preserve">Customer: </w:t>
      </w:r>
      <w:r>
        <w:rPr>
          <w:sz w:val="24"/>
          <w:szCs w:val="24"/>
        </w:rPr>
        <w:t>IKEA should have to evaluate Customer Satisfaction Index (CSI) which is a metric that quantifies customer satisfaction with the services offered based on public survey outcomes (</w:t>
      </w:r>
      <w:proofErr w:type="spellStart"/>
      <w:r>
        <w:rPr>
          <w:sz w:val="24"/>
          <w:szCs w:val="24"/>
        </w:rPr>
        <w:t>Khudhair</w:t>
      </w:r>
      <w:proofErr w:type="spellEnd"/>
      <w:r>
        <w:rPr>
          <w:sz w:val="24"/>
          <w:szCs w:val="24"/>
        </w:rPr>
        <w:t xml:space="preserve">, </w:t>
      </w:r>
      <w:proofErr w:type="spellStart"/>
      <w:r>
        <w:rPr>
          <w:sz w:val="24"/>
          <w:szCs w:val="24"/>
        </w:rPr>
        <w:t>Alsadik</w:t>
      </w:r>
      <w:proofErr w:type="spellEnd"/>
      <w:r>
        <w:rPr>
          <w:sz w:val="24"/>
          <w:szCs w:val="24"/>
        </w:rPr>
        <w:t xml:space="preserve"> &amp; Jameel, 2021). A result of at least 80 to 85% of customer satisfaction and a Net Promoter Score (of over 60) would show the likelihood of a customer recommending IKEA services on the scale of 0 to 10 (Kabir and Simon, 2025). </w:t>
      </w:r>
    </w:p>
    <w:p w14:paraId="0F5F8FB8" w14:textId="77777777" w:rsidR="00C60230" w:rsidRDefault="003C62BB">
      <w:pPr>
        <w:spacing w:after="200" w:line="360" w:lineRule="auto"/>
        <w:jc w:val="both"/>
        <w:rPr>
          <w:b/>
          <w:bCs/>
          <w:sz w:val="24"/>
          <w:szCs w:val="24"/>
        </w:rPr>
      </w:pPr>
      <w:proofErr w:type="spellStart"/>
      <w:r>
        <w:rPr>
          <w:b/>
          <w:bCs/>
          <w:sz w:val="24"/>
          <w:szCs w:val="24"/>
        </w:rPr>
        <w:t>Organisational</w:t>
      </w:r>
      <w:proofErr w:type="spellEnd"/>
      <w:r>
        <w:rPr>
          <w:b/>
          <w:bCs/>
          <w:sz w:val="24"/>
          <w:szCs w:val="24"/>
        </w:rPr>
        <w:t xml:space="preserve"> capacity: </w:t>
      </w:r>
      <w:r>
        <w:rPr>
          <w:sz w:val="24"/>
          <w:szCs w:val="24"/>
        </w:rPr>
        <w:t>Improved</w:t>
      </w:r>
      <w:r>
        <w:rPr>
          <w:b/>
          <w:bCs/>
          <w:sz w:val="24"/>
          <w:szCs w:val="24"/>
        </w:rPr>
        <w:t xml:space="preserve"> </w:t>
      </w:r>
      <w:proofErr w:type="spellStart"/>
      <w:r>
        <w:rPr>
          <w:sz w:val="24"/>
          <w:szCs w:val="24"/>
        </w:rPr>
        <w:t>organisational</w:t>
      </w:r>
      <w:proofErr w:type="spellEnd"/>
      <w:r>
        <w:rPr>
          <w:sz w:val="24"/>
          <w:szCs w:val="24"/>
        </w:rPr>
        <w:t xml:space="preserve"> capability would have to be dependent on employee training programs because positive staff retention would showcase employee satisfaction operating in IKEA units. For example, the target of staff </w:t>
      </w:r>
      <w:proofErr w:type="gramStart"/>
      <w:r>
        <w:rPr>
          <w:sz w:val="24"/>
          <w:szCs w:val="24"/>
        </w:rPr>
        <w:t>retention rate</w:t>
      </w:r>
      <w:proofErr w:type="gramEnd"/>
      <w:r>
        <w:rPr>
          <w:sz w:val="24"/>
          <w:szCs w:val="24"/>
        </w:rPr>
        <w:t xml:space="preserve"> should be above 50% to make sure that productivity can continue to uphold Year 1 onwards. </w:t>
      </w:r>
    </w:p>
    <w:p w14:paraId="601933D9" w14:textId="77777777" w:rsidR="00C60230" w:rsidRDefault="003C62BB">
      <w:pPr>
        <w:pStyle w:val="Heading2"/>
      </w:pPr>
      <w:bookmarkStart w:id="31" w:name="_Toc215925472"/>
      <w:r>
        <w:lastRenderedPageBreak/>
        <w:t>5.2 Sustainability metrics for IKEA in South Africa: Triple Bottom Line Theory</w:t>
      </w:r>
      <w:bookmarkEnd w:id="31"/>
      <w:r>
        <w:t xml:space="preserve"> </w:t>
      </w:r>
    </w:p>
    <w:p w14:paraId="41E6F9E7" w14:textId="77777777" w:rsidR="00C60230" w:rsidRDefault="003C62BB">
      <w:pPr>
        <w:spacing w:after="200" w:line="360" w:lineRule="auto"/>
        <w:jc w:val="both"/>
        <w:rPr>
          <w:sz w:val="24"/>
          <w:szCs w:val="24"/>
        </w:rPr>
      </w:pPr>
      <w:r>
        <w:rPr>
          <w:sz w:val="24"/>
          <w:szCs w:val="24"/>
        </w:rPr>
        <w:t xml:space="preserve">The Triple Bottom Line (TBL) theory proposes the success of any company should be measured by three interconnected bottom lines that include ‘people’ as a measurement of social </w:t>
      </w:r>
      <w:proofErr w:type="gramStart"/>
      <w:r>
        <w:rPr>
          <w:sz w:val="24"/>
          <w:szCs w:val="24"/>
        </w:rPr>
        <w:t>responsibility, ‘</w:t>
      </w:r>
      <w:proofErr w:type="gramEnd"/>
      <w:r>
        <w:rPr>
          <w:sz w:val="24"/>
          <w:szCs w:val="24"/>
        </w:rPr>
        <w:t xml:space="preserve">planet’ as a measurement of environmental impact and ‘profit’ as a measurement of economic health (Kohli, 2025). </w:t>
      </w:r>
    </w:p>
    <w:p w14:paraId="550DE63D" w14:textId="77777777" w:rsidR="00C60230" w:rsidRDefault="003C62BB">
      <w:pPr>
        <w:spacing w:after="200" w:line="360" w:lineRule="auto"/>
        <w:jc w:val="both"/>
        <w:rPr>
          <w:b/>
          <w:bCs/>
          <w:sz w:val="24"/>
          <w:szCs w:val="24"/>
        </w:rPr>
      </w:pPr>
      <w:r>
        <w:rPr>
          <w:b/>
          <w:bCs/>
          <w:noProof/>
          <w:sz w:val="24"/>
          <w:szCs w:val="24"/>
        </w:rPr>
        <w:drawing>
          <wp:inline distT="114300" distB="114300" distL="114300" distR="114300" wp14:anchorId="7CBD2829" wp14:editId="7FBA9857">
            <wp:extent cx="5731200" cy="3810000"/>
            <wp:effectExtent l="0" t="0" r="0" b="0"/>
            <wp:docPr id="2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2"/>
                    <a:srcRect t="3238" b="12017"/>
                    <a:stretch>
                      <a:fillRect/>
                    </a:stretch>
                  </pic:blipFill>
                  <pic:spPr>
                    <a:xfrm>
                      <a:off x="0" y="0"/>
                      <a:ext cx="5731200" cy="3810000"/>
                    </a:xfrm>
                    <a:prstGeom prst="rect">
                      <a:avLst/>
                    </a:prstGeom>
                    <a:ln/>
                  </pic:spPr>
                </pic:pic>
              </a:graphicData>
            </a:graphic>
          </wp:inline>
        </w:drawing>
      </w:r>
    </w:p>
    <w:p w14:paraId="11468B67" w14:textId="77777777" w:rsidR="00C60230" w:rsidRDefault="003C62BB">
      <w:pPr>
        <w:spacing w:after="200" w:line="360" w:lineRule="auto"/>
        <w:jc w:val="center"/>
        <w:rPr>
          <w:b/>
          <w:bCs/>
          <w:sz w:val="24"/>
          <w:szCs w:val="24"/>
        </w:rPr>
      </w:pPr>
      <w:r>
        <w:rPr>
          <w:b/>
          <w:bCs/>
          <w:sz w:val="24"/>
          <w:szCs w:val="24"/>
        </w:rPr>
        <w:t>Figure 12: Triple Bottom Line (TBL) Framework</w:t>
      </w:r>
    </w:p>
    <w:p w14:paraId="5A5EAEB5" w14:textId="77777777" w:rsidR="00C60230" w:rsidRDefault="003C62BB">
      <w:pPr>
        <w:spacing w:after="200" w:line="360" w:lineRule="auto"/>
        <w:jc w:val="center"/>
        <w:rPr>
          <w:b/>
          <w:bCs/>
          <w:sz w:val="24"/>
          <w:szCs w:val="24"/>
        </w:rPr>
      </w:pPr>
      <w:r>
        <w:rPr>
          <w:b/>
          <w:bCs/>
          <w:sz w:val="24"/>
          <w:szCs w:val="24"/>
        </w:rPr>
        <w:t xml:space="preserve">Source: (Kohli, 2025) </w:t>
      </w:r>
    </w:p>
    <w:p w14:paraId="7D6129BF" w14:textId="77777777" w:rsidR="00C60230" w:rsidRDefault="003C62BB">
      <w:pPr>
        <w:spacing w:after="200" w:line="360" w:lineRule="auto"/>
        <w:jc w:val="both"/>
        <w:rPr>
          <w:sz w:val="24"/>
          <w:szCs w:val="24"/>
        </w:rPr>
      </w:pPr>
      <w:r>
        <w:rPr>
          <w:b/>
          <w:bCs/>
          <w:sz w:val="24"/>
          <w:szCs w:val="24"/>
        </w:rPr>
        <w:t xml:space="preserve">People: </w:t>
      </w:r>
      <w:r>
        <w:rPr>
          <w:sz w:val="24"/>
          <w:szCs w:val="24"/>
        </w:rPr>
        <w:t xml:space="preserve">The positive contribution to the South African society would be creating direct and indirect job opportunities as IKEA should target introducing 1,500-2,000 new job positions by Year 3 aligned with safety standard compliance and training development </w:t>
      </w:r>
      <w:proofErr w:type="spellStart"/>
      <w:r>
        <w:rPr>
          <w:sz w:val="24"/>
          <w:szCs w:val="24"/>
        </w:rPr>
        <w:t>programmes</w:t>
      </w:r>
      <w:proofErr w:type="spellEnd"/>
      <w:r>
        <w:rPr>
          <w:sz w:val="24"/>
          <w:szCs w:val="24"/>
        </w:rPr>
        <w:t xml:space="preserve"> to make sure that South African youths can be offered with opportunities to work in a diversified workforce. </w:t>
      </w:r>
    </w:p>
    <w:p w14:paraId="138B75FB" w14:textId="77777777" w:rsidR="00C60230" w:rsidRDefault="003C62BB">
      <w:pPr>
        <w:spacing w:after="200" w:line="360" w:lineRule="auto"/>
        <w:jc w:val="both"/>
        <w:rPr>
          <w:sz w:val="24"/>
          <w:szCs w:val="24"/>
        </w:rPr>
      </w:pPr>
      <w:r>
        <w:rPr>
          <w:b/>
          <w:bCs/>
          <w:sz w:val="24"/>
          <w:szCs w:val="24"/>
        </w:rPr>
        <w:t xml:space="preserve">Planet: </w:t>
      </w:r>
      <w:r>
        <w:rPr>
          <w:sz w:val="24"/>
          <w:szCs w:val="24"/>
        </w:rPr>
        <w:t xml:space="preserve">According to IKEA (2024), IKEA’s global climate footprint was estimated to be 21.3 million </w:t>
      </w:r>
      <w:proofErr w:type="spellStart"/>
      <w:r>
        <w:rPr>
          <w:sz w:val="24"/>
          <w:szCs w:val="24"/>
        </w:rPr>
        <w:t>tonnes</w:t>
      </w:r>
      <w:proofErr w:type="spellEnd"/>
      <w:r>
        <w:rPr>
          <w:sz w:val="24"/>
          <w:szCs w:val="24"/>
        </w:rPr>
        <w:t xml:space="preserve"> CO2 eq in absolute terms in 2024 which decreased by 5% compared to 2023. Such carbon footprint reduction goal accomplishment from local </w:t>
      </w:r>
      <w:r>
        <w:rPr>
          <w:sz w:val="24"/>
          <w:szCs w:val="24"/>
        </w:rPr>
        <w:lastRenderedPageBreak/>
        <w:t xml:space="preserve">sourcing and waste reduction could also potentially align with environmental sustainability objectives in South Africa. </w:t>
      </w:r>
    </w:p>
    <w:p w14:paraId="6839DFBE" w14:textId="77777777" w:rsidR="00C60230" w:rsidRDefault="003C62BB">
      <w:pPr>
        <w:spacing w:after="200" w:line="360" w:lineRule="auto"/>
        <w:jc w:val="both"/>
        <w:rPr>
          <w:b/>
          <w:bCs/>
          <w:sz w:val="24"/>
          <w:szCs w:val="24"/>
        </w:rPr>
      </w:pPr>
      <w:r>
        <w:rPr>
          <w:b/>
          <w:bCs/>
          <w:sz w:val="24"/>
          <w:szCs w:val="24"/>
        </w:rPr>
        <w:t xml:space="preserve">Profit: </w:t>
      </w:r>
      <w:r>
        <w:rPr>
          <w:sz w:val="24"/>
          <w:szCs w:val="24"/>
        </w:rPr>
        <w:t xml:space="preserve">The profitability should be based on each subsidiary unit in South Africa as long-term contribution to the country’s overall GDP should be considered as </w:t>
      </w:r>
      <w:proofErr w:type="gramStart"/>
      <w:r>
        <w:rPr>
          <w:sz w:val="24"/>
          <w:szCs w:val="24"/>
        </w:rPr>
        <w:t>a positive growth</w:t>
      </w:r>
      <w:proofErr w:type="gramEnd"/>
      <w:r>
        <w:rPr>
          <w:sz w:val="24"/>
          <w:szCs w:val="24"/>
        </w:rPr>
        <w:t xml:space="preserve">. </w:t>
      </w:r>
    </w:p>
    <w:p w14:paraId="0F4979C2" w14:textId="77777777" w:rsidR="00C60230" w:rsidRDefault="003C62BB">
      <w:pPr>
        <w:pStyle w:val="Heading2"/>
      </w:pPr>
      <w:bookmarkStart w:id="32" w:name="_Toc215925473"/>
      <w:r>
        <w:t>5.3 Monitoring and Control with BCG Portfolio Matrix</w:t>
      </w:r>
      <w:bookmarkEnd w:id="32"/>
    </w:p>
    <w:p w14:paraId="10D0B303" w14:textId="77777777" w:rsidR="00C60230" w:rsidRDefault="003C62BB">
      <w:pPr>
        <w:spacing w:after="200" w:line="360" w:lineRule="auto"/>
        <w:jc w:val="both"/>
        <w:rPr>
          <w:sz w:val="24"/>
          <w:szCs w:val="24"/>
        </w:rPr>
      </w:pPr>
      <w:r>
        <w:rPr>
          <w:sz w:val="24"/>
          <w:szCs w:val="24"/>
        </w:rPr>
        <w:t>The BCG Portfolio Matrix offers four categories that are determined by the product services relative to market share and market growth rate (</w:t>
      </w:r>
      <w:proofErr w:type="spellStart"/>
      <w:r>
        <w:rPr>
          <w:sz w:val="24"/>
          <w:szCs w:val="24"/>
        </w:rPr>
        <w:t>Czinkota</w:t>
      </w:r>
      <w:proofErr w:type="spellEnd"/>
      <w:r>
        <w:rPr>
          <w:sz w:val="24"/>
          <w:szCs w:val="24"/>
        </w:rPr>
        <w:t xml:space="preserve"> </w:t>
      </w:r>
      <w:r>
        <w:rPr>
          <w:i/>
          <w:iCs/>
          <w:sz w:val="24"/>
          <w:szCs w:val="24"/>
        </w:rPr>
        <w:t xml:space="preserve">et al., </w:t>
      </w:r>
      <w:r>
        <w:rPr>
          <w:sz w:val="24"/>
          <w:szCs w:val="24"/>
        </w:rPr>
        <w:t xml:space="preserve">2021). </w:t>
      </w:r>
    </w:p>
    <w:p w14:paraId="31704206" w14:textId="77777777" w:rsidR="00C60230" w:rsidRDefault="003C62BB">
      <w:pPr>
        <w:spacing w:after="200" w:line="360" w:lineRule="auto"/>
        <w:jc w:val="both"/>
        <w:rPr>
          <w:sz w:val="24"/>
          <w:szCs w:val="24"/>
        </w:rPr>
      </w:pPr>
      <w:r>
        <w:rPr>
          <w:b/>
          <w:bCs/>
          <w:sz w:val="24"/>
          <w:szCs w:val="24"/>
        </w:rPr>
        <w:t xml:space="preserve">Stars: </w:t>
      </w:r>
      <w:r>
        <w:rPr>
          <w:sz w:val="24"/>
          <w:szCs w:val="24"/>
        </w:rPr>
        <w:t xml:space="preserve">IKEA should target its best-selling affordable furniture including tables and sofas here to look for high-growth potential and increase its market share in the South African context. </w:t>
      </w:r>
    </w:p>
    <w:p w14:paraId="3AA1A20B" w14:textId="77777777" w:rsidR="00C60230" w:rsidRDefault="003C62BB">
      <w:pPr>
        <w:spacing w:after="200" w:line="360" w:lineRule="auto"/>
        <w:jc w:val="both"/>
        <w:rPr>
          <w:sz w:val="24"/>
          <w:szCs w:val="24"/>
        </w:rPr>
      </w:pPr>
      <w:r>
        <w:rPr>
          <w:b/>
          <w:bCs/>
          <w:sz w:val="24"/>
          <w:szCs w:val="24"/>
        </w:rPr>
        <w:t xml:space="preserve">Cash Cows: </w:t>
      </w:r>
      <w:r>
        <w:rPr>
          <w:sz w:val="24"/>
          <w:szCs w:val="24"/>
        </w:rPr>
        <w:t xml:space="preserve">Offerings such as home decor accessories or kitchenware could have stable demand and high market </w:t>
      </w:r>
      <w:proofErr w:type="gramStart"/>
      <w:r>
        <w:rPr>
          <w:sz w:val="24"/>
          <w:szCs w:val="24"/>
        </w:rPr>
        <w:t>margins</w:t>
      </w:r>
      <w:proofErr w:type="gramEnd"/>
      <w:r>
        <w:rPr>
          <w:sz w:val="24"/>
          <w:szCs w:val="24"/>
        </w:rPr>
        <w:t xml:space="preserve"> which could continue to generate steady cash flow. </w:t>
      </w:r>
    </w:p>
    <w:p w14:paraId="65D24CDF" w14:textId="77777777" w:rsidR="00C60230" w:rsidRDefault="003C62BB">
      <w:pPr>
        <w:spacing w:after="200" w:line="360" w:lineRule="auto"/>
        <w:jc w:val="both"/>
        <w:rPr>
          <w:sz w:val="24"/>
          <w:szCs w:val="24"/>
        </w:rPr>
      </w:pPr>
      <w:r>
        <w:rPr>
          <w:b/>
          <w:bCs/>
          <w:sz w:val="24"/>
          <w:szCs w:val="24"/>
        </w:rPr>
        <w:t xml:space="preserve">Question Marks: </w:t>
      </w:r>
      <w:r>
        <w:rPr>
          <w:sz w:val="24"/>
          <w:szCs w:val="24"/>
        </w:rPr>
        <w:t>Designs, particularly aligned with European or American market standards, could have low market share which can have potential for a selective customer segment.</w:t>
      </w:r>
    </w:p>
    <w:p w14:paraId="4FDBEEC9" w14:textId="77777777" w:rsidR="00C60230" w:rsidRDefault="003C62BB">
      <w:pPr>
        <w:spacing w:after="200" w:line="360" w:lineRule="auto"/>
        <w:jc w:val="both"/>
        <w:rPr>
          <w:b/>
          <w:bCs/>
          <w:sz w:val="24"/>
          <w:szCs w:val="24"/>
        </w:rPr>
      </w:pPr>
      <w:r>
        <w:rPr>
          <w:b/>
          <w:bCs/>
          <w:sz w:val="24"/>
          <w:szCs w:val="24"/>
        </w:rPr>
        <w:t xml:space="preserve">Dogs: </w:t>
      </w:r>
      <w:r>
        <w:rPr>
          <w:sz w:val="24"/>
          <w:szCs w:val="24"/>
        </w:rPr>
        <w:t>Those products that would be unsuitable for South African households would have to be completely avoided.</w:t>
      </w:r>
    </w:p>
    <w:p w14:paraId="436484D0" w14:textId="77777777" w:rsidR="00C60230" w:rsidRDefault="003C62BB">
      <w:pPr>
        <w:pStyle w:val="Heading1"/>
      </w:pPr>
      <w:bookmarkStart w:id="33" w:name="_Toc215925474"/>
      <w:r>
        <w:t>6.0 Conclusion</w:t>
      </w:r>
      <w:bookmarkEnd w:id="33"/>
    </w:p>
    <w:p w14:paraId="0247F9B5" w14:textId="77777777" w:rsidR="00C60230" w:rsidRDefault="003C62BB">
      <w:pPr>
        <w:spacing w:after="200" w:line="360" w:lineRule="auto"/>
        <w:jc w:val="both"/>
        <w:rPr>
          <w:sz w:val="24"/>
          <w:szCs w:val="24"/>
        </w:rPr>
      </w:pPr>
      <w:r>
        <w:rPr>
          <w:sz w:val="24"/>
          <w:szCs w:val="24"/>
        </w:rPr>
        <w:t xml:space="preserve">In conclusion, the report finds that the international expansion of IKEA into South Africa should have to be aligned with its organizational objectives as the proposed marketing plan for expansion should identify the core strengths of IKEA first to take advantage of. The report finds franchising could be important to understand that this method is a prudent approach to enter smaller and high-risk markets, particularly where a </w:t>
      </w:r>
      <w:proofErr w:type="gramStart"/>
      <w:r>
        <w:rPr>
          <w:sz w:val="24"/>
          <w:szCs w:val="24"/>
        </w:rPr>
        <w:t>culturally-distant</w:t>
      </w:r>
      <w:proofErr w:type="gramEnd"/>
      <w:r>
        <w:rPr>
          <w:sz w:val="24"/>
          <w:szCs w:val="24"/>
        </w:rPr>
        <w:t xml:space="preserve"> population such as South Africa’s can be found because differences in cultural preferences can make big brands difficult to meet specific goals to target customers. The report also suggests considering joint ventures because navigating local supply chains with the assistance of local expertise can </w:t>
      </w:r>
      <w:r>
        <w:rPr>
          <w:sz w:val="24"/>
          <w:szCs w:val="24"/>
        </w:rPr>
        <w:lastRenderedPageBreak/>
        <w:t xml:space="preserve">reduce the possibility of market risks in initial days of operation. Particularly, the company can also consider </w:t>
      </w:r>
      <w:proofErr w:type="gramStart"/>
      <w:r>
        <w:rPr>
          <w:sz w:val="24"/>
          <w:szCs w:val="24"/>
        </w:rPr>
        <w:t>to transition</w:t>
      </w:r>
      <w:proofErr w:type="gramEnd"/>
      <w:r>
        <w:rPr>
          <w:sz w:val="24"/>
          <w:szCs w:val="24"/>
        </w:rPr>
        <w:t xml:space="preserve"> to </w:t>
      </w:r>
      <w:proofErr w:type="gramStart"/>
      <w:r>
        <w:rPr>
          <w:sz w:val="24"/>
          <w:szCs w:val="24"/>
        </w:rPr>
        <w:t>Wholly-Owned</w:t>
      </w:r>
      <w:proofErr w:type="gramEnd"/>
      <w:r>
        <w:rPr>
          <w:sz w:val="24"/>
          <w:szCs w:val="24"/>
        </w:rPr>
        <w:t xml:space="preserve"> Subsidiaries (WOS) fully once the market is established (possibly within 2-3 years of market experience in South Africa).</w:t>
      </w:r>
    </w:p>
    <w:p w14:paraId="1E433593" w14:textId="77777777" w:rsidR="00C60230" w:rsidRDefault="00C60230">
      <w:pPr>
        <w:spacing w:after="200" w:line="360" w:lineRule="auto"/>
        <w:jc w:val="both"/>
        <w:rPr>
          <w:sz w:val="24"/>
          <w:szCs w:val="24"/>
        </w:rPr>
      </w:pPr>
    </w:p>
    <w:p w14:paraId="136B1150" w14:textId="77777777" w:rsidR="00C60230" w:rsidRDefault="003C62BB">
      <w:pPr>
        <w:spacing w:after="200" w:line="360" w:lineRule="auto"/>
        <w:jc w:val="both"/>
        <w:rPr>
          <w:sz w:val="24"/>
          <w:szCs w:val="24"/>
        </w:rPr>
      </w:pPr>
      <w:r>
        <w:br w:type="page"/>
      </w:r>
    </w:p>
    <w:p w14:paraId="0D83EA6E" w14:textId="77777777" w:rsidR="00C60230" w:rsidRDefault="003C62BB">
      <w:pPr>
        <w:pStyle w:val="Heading1"/>
        <w:rPr>
          <w:color w:val="2C3E50"/>
        </w:rPr>
      </w:pPr>
      <w:bookmarkStart w:id="34" w:name="_Toc215925475"/>
      <w:r>
        <w:lastRenderedPageBreak/>
        <w:t>7.0 References</w:t>
      </w:r>
      <w:bookmarkEnd w:id="34"/>
      <w:r>
        <w:t xml:space="preserve"> </w:t>
      </w:r>
    </w:p>
    <w:p w14:paraId="18C53290" w14:textId="77777777" w:rsidR="00C60230" w:rsidRDefault="003C62BB">
      <w:pPr>
        <w:spacing w:after="240" w:line="360" w:lineRule="auto"/>
        <w:jc w:val="both"/>
        <w:rPr>
          <w:sz w:val="24"/>
          <w:szCs w:val="24"/>
        </w:rPr>
      </w:pPr>
      <w:r>
        <w:rPr>
          <w:sz w:val="24"/>
          <w:szCs w:val="24"/>
        </w:rPr>
        <w:t xml:space="preserve">Acharya, B. and Gumbi, K. (2024) ‘South Africa inflation drops to lowest in over four years’, </w:t>
      </w:r>
      <w:r>
        <w:rPr>
          <w:i/>
          <w:iCs/>
          <w:sz w:val="24"/>
          <w:szCs w:val="24"/>
        </w:rPr>
        <w:t>Reuters</w:t>
      </w:r>
      <w:r>
        <w:rPr>
          <w:sz w:val="24"/>
          <w:szCs w:val="24"/>
        </w:rPr>
        <w:t xml:space="preserve">, 20 November. Available at: </w:t>
      </w:r>
      <w:hyperlink r:id="rId23">
        <w:r>
          <w:rPr>
            <w:color w:val="1155CC"/>
            <w:sz w:val="24"/>
            <w:szCs w:val="24"/>
            <w:u w:val="single"/>
          </w:rPr>
          <w:t>https://www.reuters.com/world/africa/south-african-consumer-inflation-falls-28-yy-october-2024-11-20/</w:t>
        </w:r>
      </w:hyperlink>
      <w:r>
        <w:rPr>
          <w:sz w:val="24"/>
          <w:szCs w:val="24"/>
        </w:rPr>
        <w:t xml:space="preserve">. </w:t>
      </w:r>
    </w:p>
    <w:p w14:paraId="6031856B" w14:textId="77777777" w:rsidR="00C60230" w:rsidRDefault="003C62BB">
      <w:pPr>
        <w:spacing w:after="200" w:line="360" w:lineRule="auto"/>
        <w:jc w:val="both"/>
        <w:rPr>
          <w:color w:val="2C3E50"/>
          <w:sz w:val="24"/>
          <w:szCs w:val="24"/>
        </w:rPr>
      </w:pPr>
      <w:r>
        <w:rPr>
          <w:color w:val="2C3E50"/>
          <w:sz w:val="24"/>
          <w:szCs w:val="24"/>
        </w:rPr>
        <w:t xml:space="preserve">African Development Bank. (2019). </w:t>
      </w:r>
      <w:r>
        <w:rPr>
          <w:i/>
          <w:iCs/>
          <w:color w:val="2C3E50"/>
          <w:sz w:val="24"/>
          <w:szCs w:val="24"/>
        </w:rPr>
        <w:t xml:space="preserve">Africa’s </w:t>
      </w:r>
      <w:proofErr w:type="gramStart"/>
      <w:r>
        <w:rPr>
          <w:i/>
          <w:iCs/>
          <w:color w:val="2C3E50"/>
          <w:sz w:val="24"/>
          <w:szCs w:val="24"/>
        </w:rPr>
        <w:t>Middle Class</w:t>
      </w:r>
      <w:proofErr w:type="gramEnd"/>
      <w:r>
        <w:rPr>
          <w:i/>
          <w:iCs/>
          <w:color w:val="2C3E50"/>
          <w:sz w:val="24"/>
          <w:szCs w:val="24"/>
        </w:rPr>
        <w:t xml:space="preserve"> Triples to more than 310m over Past 30 Years Due to Economic Growth and Rising Job Culture, Reports AfDB</w:t>
      </w:r>
      <w:r>
        <w:rPr>
          <w:color w:val="2C3E50"/>
          <w:sz w:val="24"/>
          <w:szCs w:val="24"/>
        </w:rPr>
        <w:t xml:space="preserve">. [online] Banque </w:t>
      </w:r>
      <w:proofErr w:type="spellStart"/>
      <w:r>
        <w:rPr>
          <w:color w:val="2C3E50"/>
          <w:sz w:val="24"/>
          <w:szCs w:val="24"/>
        </w:rPr>
        <w:t>africaine</w:t>
      </w:r>
      <w:proofErr w:type="spellEnd"/>
      <w:r>
        <w:rPr>
          <w:color w:val="2C3E50"/>
          <w:sz w:val="24"/>
          <w:szCs w:val="24"/>
        </w:rPr>
        <w:t xml:space="preserve"> de </w:t>
      </w:r>
      <w:proofErr w:type="spellStart"/>
      <w:r>
        <w:rPr>
          <w:color w:val="2C3E50"/>
          <w:sz w:val="24"/>
          <w:szCs w:val="24"/>
        </w:rPr>
        <w:t>développement</w:t>
      </w:r>
      <w:proofErr w:type="spellEnd"/>
      <w:r>
        <w:rPr>
          <w:color w:val="2C3E50"/>
          <w:sz w:val="24"/>
          <w:szCs w:val="24"/>
        </w:rPr>
        <w:t xml:space="preserve"> - </w:t>
      </w:r>
      <w:proofErr w:type="spellStart"/>
      <w:r>
        <w:rPr>
          <w:color w:val="2C3E50"/>
          <w:sz w:val="24"/>
          <w:szCs w:val="24"/>
        </w:rPr>
        <w:t>Bâtir</w:t>
      </w:r>
      <w:proofErr w:type="spellEnd"/>
      <w:r>
        <w:rPr>
          <w:color w:val="2C3E50"/>
          <w:sz w:val="24"/>
          <w:szCs w:val="24"/>
        </w:rPr>
        <w:t xml:space="preserve"> </w:t>
      </w:r>
      <w:proofErr w:type="spellStart"/>
      <w:r>
        <w:rPr>
          <w:color w:val="2C3E50"/>
          <w:sz w:val="24"/>
          <w:szCs w:val="24"/>
        </w:rPr>
        <w:t>aujourd’hui</w:t>
      </w:r>
      <w:proofErr w:type="spellEnd"/>
      <w:r>
        <w:rPr>
          <w:color w:val="2C3E50"/>
          <w:sz w:val="24"/>
          <w:szCs w:val="24"/>
        </w:rPr>
        <w:t xml:space="preserve">, </w:t>
      </w:r>
      <w:proofErr w:type="spellStart"/>
      <w:r>
        <w:rPr>
          <w:color w:val="2C3E50"/>
          <w:sz w:val="24"/>
          <w:szCs w:val="24"/>
        </w:rPr>
        <w:t>une</w:t>
      </w:r>
      <w:proofErr w:type="spellEnd"/>
      <w:r>
        <w:rPr>
          <w:color w:val="2C3E50"/>
          <w:sz w:val="24"/>
          <w:szCs w:val="24"/>
        </w:rPr>
        <w:t xml:space="preserve"> </w:t>
      </w:r>
      <w:proofErr w:type="spellStart"/>
      <w:r>
        <w:rPr>
          <w:color w:val="2C3E50"/>
          <w:sz w:val="24"/>
          <w:szCs w:val="24"/>
        </w:rPr>
        <w:t>meilleure</w:t>
      </w:r>
      <w:proofErr w:type="spellEnd"/>
      <w:r>
        <w:rPr>
          <w:color w:val="2C3E50"/>
          <w:sz w:val="24"/>
          <w:szCs w:val="24"/>
        </w:rPr>
        <w:t xml:space="preserve"> Afrique </w:t>
      </w:r>
      <w:proofErr w:type="spellStart"/>
      <w:r>
        <w:rPr>
          <w:color w:val="2C3E50"/>
          <w:sz w:val="24"/>
          <w:szCs w:val="24"/>
        </w:rPr>
        <w:t>demain</w:t>
      </w:r>
      <w:proofErr w:type="spellEnd"/>
      <w:r>
        <w:rPr>
          <w:color w:val="2C3E50"/>
          <w:sz w:val="24"/>
          <w:szCs w:val="24"/>
        </w:rPr>
        <w:t xml:space="preserve">. Available at: </w:t>
      </w:r>
      <w:hyperlink r:id="rId24">
        <w:r>
          <w:rPr>
            <w:color w:val="1155CC"/>
            <w:sz w:val="24"/>
            <w:szCs w:val="24"/>
            <w:u w:val="single"/>
          </w:rPr>
          <w:t>https://www.afdb.org/fr/news-and-events/africas-middle-class-triples-to-more-than-310m-over-past-30-years-due-to-economic-growth-and-rising-job-culture-reports-afdb-7986</w:t>
        </w:r>
      </w:hyperlink>
      <w:r>
        <w:rPr>
          <w:color w:val="2C3E50"/>
          <w:sz w:val="24"/>
          <w:szCs w:val="24"/>
        </w:rPr>
        <w:t xml:space="preserve">. </w:t>
      </w:r>
    </w:p>
    <w:p w14:paraId="66D8422B" w14:textId="77777777" w:rsidR="00C60230" w:rsidRDefault="003C62BB">
      <w:pPr>
        <w:spacing w:after="200" w:line="360" w:lineRule="auto"/>
        <w:jc w:val="both"/>
        <w:rPr>
          <w:color w:val="2C3E50"/>
          <w:sz w:val="24"/>
          <w:szCs w:val="24"/>
        </w:rPr>
      </w:pPr>
      <w:r>
        <w:rPr>
          <w:color w:val="222222"/>
          <w:sz w:val="24"/>
          <w:szCs w:val="24"/>
        </w:rPr>
        <w:t xml:space="preserve">Afshar, M.Z. and Shah, M.H. (2025). Leveraging Porter's Diamond Model: Public Sector Insights. </w:t>
      </w:r>
      <w:r>
        <w:rPr>
          <w:i/>
          <w:iCs/>
          <w:color w:val="222222"/>
          <w:sz w:val="24"/>
          <w:szCs w:val="24"/>
        </w:rPr>
        <w:t>The Critical Review of Social Sciences Studies</w:t>
      </w:r>
      <w:r>
        <w:rPr>
          <w:color w:val="222222"/>
          <w:sz w:val="24"/>
          <w:szCs w:val="24"/>
        </w:rPr>
        <w:t xml:space="preserve">, </w:t>
      </w:r>
      <w:r>
        <w:rPr>
          <w:i/>
          <w:iCs/>
          <w:color w:val="222222"/>
          <w:sz w:val="24"/>
          <w:szCs w:val="24"/>
        </w:rPr>
        <w:t>3</w:t>
      </w:r>
      <w:r>
        <w:rPr>
          <w:color w:val="222222"/>
          <w:sz w:val="24"/>
          <w:szCs w:val="24"/>
        </w:rPr>
        <w:t xml:space="preserve">(2), pp.2255-2271. </w:t>
      </w:r>
      <w:hyperlink r:id="rId25">
        <w:r>
          <w:rPr>
            <w:color w:val="1155CC"/>
            <w:sz w:val="24"/>
            <w:szCs w:val="24"/>
            <w:u w:val="single"/>
          </w:rPr>
          <w:t>http://thecrsss.com/index.php/Journal/article/download/614/645</w:t>
        </w:r>
      </w:hyperlink>
      <w:r>
        <w:rPr>
          <w:color w:val="222222"/>
          <w:sz w:val="24"/>
          <w:szCs w:val="24"/>
        </w:rPr>
        <w:t xml:space="preserve"> </w:t>
      </w:r>
    </w:p>
    <w:p w14:paraId="116F65D5" w14:textId="77777777" w:rsidR="00C60230" w:rsidRDefault="003C62BB">
      <w:pPr>
        <w:spacing w:after="200" w:line="360" w:lineRule="auto"/>
        <w:jc w:val="both"/>
        <w:rPr>
          <w:sz w:val="24"/>
          <w:szCs w:val="24"/>
        </w:rPr>
      </w:pPr>
      <w:r>
        <w:rPr>
          <w:sz w:val="24"/>
          <w:szCs w:val="24"/>
        </w:rPr>
        <w:t>Al-</w:t>
      </w:r>
      <w:proofErr w:type="spellStart"/>
      <w:r>
        <w:rPr>
          <w:sz w:val="24"/>
          <w:szCs w:val="24"/>
        </w:rPr>
        <w:t>Zghool</w:t>
      </w:r>
      <w:proofErr w:type="spellEnd"/>
      <w:r>
        <w:rPr>
          <w:sz w:val="24"/>
          <w:szCs w:val="24"/>
        </w:rPr>
        <w:t xml:space="preserve">, M.Z. (2021) </w:t>
      </w:r>
      <w:r>
        <w:rPr>
          <w:i/>
          <w:iCs/>
          <w:sz w:val="24"/>
          <w:szCs w:val="24"/>
        </w:rPr>
        <w:t>Case study: IKEA’s organizational culture and rewards management</w:t>
      </w:r>
      <w:r>
        <w:rPr>
          <w:sz w:val="24"/>
          <w:szCs w:val="24"/>
        </w:rPr>
        <w:t xml:space="preserve">. Available at: </w:t>
      </w:r>
      <w:hyperlink r:id="rId26">
        <w:r>
          <w:rPr>
            <w:color w:val="1155CC"/>
            <w:sz w:val="24"/>
            <w:szCs w:val="24"/>
            <w:u w:val="single"/>
          </w:rPr>
          <w:t>https://doi.org/10.13140/RG.2.2.30263.44969</w:t>
        </w:r>
      </w:hyperlink>
      <w:r>
        <w:rPr>
          <w:sz w:val="24"/>
          <w:szCs w:val="24"/>
        </w:rPr>
        <w:t xml:space="preserve">. </w:t>
      </w:r>
    </w:p>
    <w:p w14:paraId="79A259AB" w14:textId="77777777" w:rsidR="00C60230" w:rsidRDefault="003C62BB">
      <w:pPr>
        <w:spacing w:after="240" w:line="360" w:lineRule="auto"/>
        <w:jc w:val="both"/>
        <w:rPr>
          <w:sz w:val="24"/>
          <w:szCs w:val="24"/>
        </w:rPr>
      </w:pPr>
      <w:r>
        <w:rPr>
          <w:sz w:val="24"/>
          <w:szCs w:val="24"/>
        </w:rPr>
        <w:t xml:space="preserve">Bernstein, A., Bernstein, A. and Bernstein, A. (2024) </w:t>
      </w:r>
      <w:r>
        <w:rPr>
          <w:i/>
          <w:iCs/>
          <w:sz w:val="24"/>
          <w:szCs w:val="24"/>
        </w:rPr>
        <w:t>SA must ditch Trumpian protectionism to create jobs</w:t>
      </w:r>
      <w:r>
        <w:rPr>
          <w:sz w:val="24"/>
          <w:szCs w:val="24"/>
        </w:rPr>
        <w:t xml:space="preserve">, </w:t>
      </w:r>
      <w:r>
        <w:rPr>
          <w:i/>
          <w:iCs/>
          <w:sz w:val="24"/>
          <w:szCs w:val="24"/>
        </w:rPr>
        <w:t xml:space="preserve">CDE - The Centre </w:t>
      </w:r>
      <w:proofErr w:type="gramStart"/>
      <w:r>
        <w:rPr>
          <w:i/>
          <w:iCs/>
          <w:sz w:val="24"/>
          <w:szCs w:val="24"/>
        </w:rPr>
        <w:t>For</w:t>
      </w:r>
      <w:proofErr w:type="gramEnd"/>
      <w:r>
        <w:rPr>
          <w:i/>
          <w:iCs/>
          <w:sz w:val="24"/>
          <w:szCs w:val="24"/>
        </w:rPr>
        <w:t xml:space="preserve"> Development and Enterprise</w:t>
      </w:r>
      <w:r>
        <w:rPr>
          <w:sz w:val="24"/>
          <w:szCs w:val="24"/>
        </w:rPr>
        <w:t xml:space="preserve">. Available at: </w:t>
      </w:r>
      <w:hyperlink r:id="rId27">
        <w:r>
          <w:rPr>
            <w:color w:val="1155CC"/>
            <w:sz w:val="24"/>
            <w:szCs w:val="24"/>
            <w:u w:val="single"/>
          </w:rPr>
          <w:t>https://cde.org.za/sa-must-ditch-trumpian-protectionism-to-create-jobs/</w:t>
        </w:r>
      </w:hyperlink>
      <w:r>
        <w:rPr>
          <w:sz w:val="24"/>
          <w:szCs w:val="24"/>
        </w:rPr>
        <w:t xml:space="preserve">. </w:t>
      </w:r>
    </w:p>
    <w:p w14:paraId="6456E549" w14:textId="77777777" w:rsidR="00C60230" w:rsidRDefault="003C62BB">
      <w:pPr>
        <w:spacing w:after="200" w:line="360" w:lineRule="auto"/>
        <w:jc w:val="both"/>
        <w:rPr>
          <w:sz w:val="24"/>
          <w:szCs w:val="24"/>
        </w:rPr>
      </w:pPr>
      <w:r>
        <w:rPr>
          <w:color w:val="222222"/>
          <w:sz w:val="24"/>
          <w:szCs w:val="24"/>
        </w:rPr>
        <w:t xml:space="preserve">Bhat, M. N., Ikram, F., Rahman, M. N., and Naeem, M. H. (2022). Economic freedom of the world: wholly owned subsidiaries and joint ventures as binary response. </w:t>
      </w:r>
      <w:r>
        <w:rPr>
          <w:i/>
          <w:iCs/>
          <w:color w:val="222222"/>
          <w:sz w:val="24"/>
          <w:szCs w:val="24"/>
        </w:rPr>
        <w:t>Transnational Corporations Review</w:t>
      </w:r>
      <w:r>
        <w:rPr>
          <w:color w:val="222222"/>
          <w:sz w:val="24"/>
          <w:szCs w:val="24"/>
        </w:rPr>
        <w:t xml:space="preserve">, 1-18. </w:t>
      </w:r>
      <w:hyperlink r:id="rId28">
        <w:r>
          <w:rPr>
            <w:color w:val="1155CC"/>
            <w:sz w:val="24"/>
            <w:szCs w:val="24"/>
            <w:u w:val="single"/>
          </w:rPr>
          <w:t>https://www.researchgate.net/profile/Mohd-Bhat-11/publication/383610772_Economic_freedom_of_the_world_wholly_owned_subsidiaries_and_joint_ventures_as_binary_response/links/66d3fcca2390e50b2c2462ea/Economic-freedom-of-the-world-wholly-owned-subsidiaries-and-joint-ventures-as-binary-response.pdf</w:t>
        </w:r>
      </w:hyperlink>
      <w:r>
        <w:rPr>
          <w:color w:val="222222"/>
          <w:sz w:val="24"/>
          <w:szCs w:val="24"/>
        </w:rPr>
        <w:t xml:space="preserve"> </w:t>
      </w:r>
    </w:p>
    <w:p w14:paraId="74A71E92" w14:textId="77777777" w:rsidR="00C60230" w:rsidRDefault="003C62BB">
      <w:pPr>
        <w:spacing w:after="200" w:line="360" w:lineRule="auto"/>
        <w:jc w:val="both"/>
        <w:rPr>
          <w:sz w:val="24"/>
          <w:szCs w:val="24"/>
        </w:rPr>
      </w:pPr>
      <w:r>
        <w:rPr>
          <w:color w:val="2C3E50"/>
          <w:sz w:val="24"/>
          <w:szCs w:val="24"/>
        </w:rPr>
        <w:t xml:space="preserve">Bureau, E. (2018). </w:t>
      </w:r>
      <w:r>
        <w:rPr>
          <w:i/>
          <w:iCs/>
          <w:color w:val="2C3E50"/>
          <w:sz w:val="24"/>
          <w:szCs w:val="24"/>
        </w:rPr>
        <w:t>UrbanClap is now Assembly Partner for IKEA</w:t>
      </w:r>
      <w:r>
        <w:rPr>
          <w:color w:val="2C3E50"/>
          <w:sz w:val="24"/>
          <w:szCs w:val="24"/>
        </w:rPr>
        <w:t xml:space="preserve">. [online] The Economic Times. Available at: </w:t>
      </w:r>
      <w:hyperlink r:id="rId29">
        <w:r>
          <w:rPr>
            <w:color w:val="1155CC"/>
            <w:sz w:val="24"/>
            <w:szCs w:val="24"/>
            <w:u w:val="single"/>
          </w:rPr>
          <w:t>https://m.economictimes.com/small-</w:t>
        </w:r>
        <w:r>
          <w:rPr>
            <w:color w:val="1155CC"/>
            <w:sz w:val="24"/>
            <w:szCs w:val="24"/>
            <w:u w:val="single"/>
          </w:rPr>
          <w:lastRenderedPageBreak/>
          <w:t>biz/startups/newsbuzz/urbanclap-is-now-assembly-partner-for-ikea/articleshow/64299300.cms</w:t>
        </w:r>
      </w:hyperlink>
      <w:r>
        <w:rPr>
          <w:color w:val="2C3E50"/>
          <w:sz w:val="24"/>
          <w:szCs w:val="24"/>
        </w:rPr>
        <w:t xml:space="preserve">  [Accessed 23 Nov. 2025]. </w:t>
      </w:r>
    </w:p>
    <w:p w14:paraId="4A4CCD4F" w14:textId="77777777" w:rsidR="00C60230" w:rsidRDefault="003C62BB">
      <w:pPr>
        <w:spacing w:after="240" w:line="360" w:lineRule="auto"/>
        <w:jc w:val="both"/>
        <w:rPr>
          <w:sz w:val="24"/>
          <w:szCs w:val="24"/>
        </w:rPr>
      </w:pPr>
      <w:r>
        <w:rPr>
          <w:sz w:val="24"/>
          <w:szCs w:val="24"/>
        </w:rPr>
        <w:t xml:space="preserve">CCPI (2025) </w:t>
      </w:r>
      <w:r>
        <w:rPr>
          <w:i/>
          <w:iCs/>
          <w:sz w:val="24"/>
          <w:szCs w:val="24"/>
        </w:rPr>
        <w:t>South Africa – Climate Performance Ranking 2024 | Climate Change Performance Index</w:t>
      </w:r>
      <w:r>
        <w:rPr>
          <w:sz w:val="24"/>
          <w:szCs w:val="24"/>
        </w:rPr>
        <w:t xml:space="preserve">. Available at: </w:t>
      </w:r>
      <w:hyperlink r:id="rId30">
        <w:r>
          <w:rPr>
            <w:color w:val="1155CC"/>
            <w:sz w:val="24"/>
            <w:szCs w:val="24"/>
            <w:u w:val="single"/>
          </w:rPr>
          <w:t>https://ccpi.org/country/zaf/</w:t>
        </w:r>
      </w:hyperlink>
      <w:r>
        <w:rPr>
          <w:sz w:val="24"/>
          <w:szCs w:val="24"/>
        </w:rPr>
        <w:t xml:space="preserve">. </w:t>
      </w:r>
    </w:p>
    <w:p w14:paraId="7F6D3CB7" w14:textId="77777777" w:rsidR="00C60230" w:rsidRDefault="003C62BB">
      <w:pPr>
        <w:spacing w:after="240" w:line="360" w:lineRule="auto"/>
        <w:jc w:val="both"/>
        <w:rPr>
          <w:sz w:val="24"/>
          <w:szCs w:val="24"/>
        </w:rPr>
      </w:pPr>
      <w:r>
        <w:rPr>
          <w:sz w:val="24"/>
          <w:szCs w:val="24"/>
        </w:rPr>
        <w:t xml:space="preserve">CWEIC (2025) </w:t>
      </w:r>
      <w:r>
        <w:rPr>
          <w:i/>
          <w:iCs/>
          <w:sz w:val="24"/>
          <w:szCs w:val="24"/>
        </w:rPr>
        <w:t>As Africa’s middle class grows, here’s how retailers can seize the opportunity - CWEIC</w:t>
      </w:r>
      <w:r>
        <w:rPr>
          <w:sz w:val="24"/>
          <w:szCs w:val="24"/>
        </w:rPr>
        <w:t xml:space="preserve">, </w:t>
      </w:r>
      <w:r>
        <w:rPr>
          <w:i/>
          <w:iCs/>
          <w:sz w:val="24"/>
          <w:szCs w:val="24"/>
        </w:rPr>
        <w:t>CWEIC</w:t>
      </w:r>
      <w:r>
        <w:rPr>
          <w:sz w:val="24"/>
          <w:szCs w:val="24"/>
        </w:rPr>
        <w:t xml:space="preserve">. Available at: </w:t>
      </w:r>
      <w:hyperlink r:id="rId31">
        <w:r>
          <w:rPr>
            <w:color w:val="1155CC"/>
            <w:sz w:val="24"/>
            <w:szCs w:val="24"/>
            <w:u w:val="single"/>
          </w:rPr>
          <w:t>https://www.cweic.org/insights/as-africas-middle-class-grows-heres-how-retailers-can-seize-the-opportunity/</w:t>
        </w:r>
      </w:hyperlink>
      <w:r>
        <w:rPr>
          <w:sz w:val="24"/>
          <w:szCs w:val="24"/>
        </w:rPr>
        <w:t xml:space="preserve">. </w:t>
      </w:r>
    </w:p>
    <w:p w14:paraId="1CBF43B3" w14:textId="77777777" w:rsidR="00C60230" w:rsidRDefault="003C62BB">
      <w:pPr>
        <w:spacing w:after="200" w:line="360" w:lineRule="auto"/>
        <w:jc w:val="both"/>
        <w:rPr>
          <w:color w:val="2C3E50"/>
          <w:sz w:val="24"/>
          <w:szCs w:val="24"/>
        </w:rPr>
      </w:pPr>
      <w:proofErr w:type="spellStart"/>
      <w:r>
        <w:rPr>
          <w:color w:val="222222"/>
          <w:sz w:val="24"/>
          <w:szCs w:val="24"/>
        </w:rPr>
        <w:t>Czinkota</w:t>
      </w:r>
      <w:proofErr w:type="spellEnd"/>
      <w:r>
        <w:rPr>
          <w:color w:val="222222"/>
          <w:sz w:val="24"/>
          <w:szCs w:val="24"/>
        </w:rPr>
        <w:t xml:space="preserve">, M. R., </w:t>
      </w:r>
      <w:proofErr w:type="spellStart"/>
      <w:r>
        <w:rPr>
          <w:color w:val="222222"/>
          <w:sz w:val="24"/>
          <w:szCs w:val="24"/>
        </w:rPr>
        <w:t>Kotabe</w:t>
      </w:r>
      <w:proofErr w:type="spellEnd"/>
      <w:r>
        <w:rPr>
          <w:color w:val="222222"/>
          <w:sz w:val="24"/>
          <w:szCs w:val="24"/>
        </w:rPr>
        <w:t xml:space="preserve">, M., </w:t>
      </w:r>
      <w:proofErr w:type="spellStart"/>
      <w:r>
        <w:rPr>
          <w:color w:val="222222"/>
          <w:sz w:val="24"/>
          <w:szCs w:val="24"/>
        </w:rPr>
        <w:t>Vrontis</w:t>
      </w:r>
      <w:proofErr w:type="spellEnd"/>
      <w:r>
        <w:rPr>
          <w:color w:val="222222"/>
          <w:sz w:val="24"/>
          <w:szCs w:val="24"/>
        </w:rPr>
        <w:t xml:space="preserve">, D., and Shams, S. R. (2021). Product and service decisions. In </w:t>
      </w:r>
      <w:r>
        <w:rPr>
          <w:i/>
          <w:iCs/>
          <w:color w:val="222222"/>
          <w:sz w:val="24"/>
          <w:szCs w:val="24"/>
        </w:rPr>
        <w:t>Marketing Management: Past, Present and Future</w:t>
      </w:r>
      <w:r>
        <w:rPr>
          <w:color w:val="222222"/>
          <w:sz w:val="24"/>
          <w:szCs w:val="24"/>
        </w:rPr>
        <w:t xml:space="preserve"> (pp. 341-397). Cham: Springer International Publishing. </w:t>
      </w:r>
      <w:hyperlink r:id="rId32">
        <w:r>
          <w:rPr>
            <w:color w:val="1155CC"/>
            <w:sz w:val="24"/>
            <w:szCs w:val="24"/>
            <w:u w:val="single"/>
          </w:rPr>
          <w:t>https://www.researchgate.net/profile/Demetris-Vrontis/publication/354106344_Product_and_Service_Decisions/links/6252f0404f88c3119cefe3c8/Product-and-Service-Decisions.pdf</w:t>
        </w:r>
      </w:hyperlink>
      <w:r>
        <w:rPr>
          <w:color w:val="222222"/>
          <w:sz w:val="24"/>
          <w:szCs w:val="24"/>
        </w:rPr>
        <w:t xml:space="preserve"> </w:t>
      </w:r>
    </w:p>
    <w:p w14:paraId="7094F062" w14:textId="77777777" w:rsidR="00C60230" w:rsidRDefault="003C62BB">
      <w:pPr>
        <w:spacing w:after="200" w:line="360" w:lineRule="auto"/>
        <w:jc w:val="both"/>
        <w:rPr>
          <w:color w:val="2C3E50"/>
          <w:sz w:val="24"/>
          <w:szCs w:val="24"/>
        </w:rPr>
      </w:pPr>
      <w:r>
        <w:rPr>
          <w:color w:val="2C3E50"/>
          <w:sz w:val="24"/>
          <w:szCs w:val="24"/>
        </w:rPr>
        <w:t xml:space="preserve">Davis, K. (2024). </w:t>
      </w:r>
      <w:r>
        <w:rPr>
          <w:i/>
          <w:iCs/>
          <w:color w:val="2C3E50"/>
          <w:sz w:val="24"/>
          <w:szCs w:val="24"/>
        </w:rPr>
        <w:t>Regulatory instruments for financial sector compliance in South Africa</w:t>
      </w:r>
      <w:r>
        <w:rPr>
          <w:color w:val="2C3E50"/>
          <w:sz w:val="24"/>
          <w:szCs w:val="24"/>
        </w:rPr>
        <w:t xml:space="preserve">. [online] </w:t>
      </w:r>
      <w:proofErr w:type="spellStart"/>
      <w:r>
        <w:rPr>
          <w:color w:val="2C3E50"/>
          <w:sz w:val="24"/>
          <w:szCs w:val="24"/>
        </w:rPr>
        <w:t>Lexology</w:t>
      </w:r>
      <w:proofErr w:type="spellEnd"/>
      <w:r>
        <w:rPr>
          <w:color w:val="2C3E50"/>
          <w:sz w:val="24"/>
          <w:szCs w:val="24"/>
        </w:rPr>
        <w:t xml:space="preserve">. Available at: </w:t>
      </w:r>
      <w:hyperlink r:id="rId33">
        <w:r>
          <w:rPr>
            <w:color w:val="1155CC"/>
            <w:sz w:val="24"/>
            <w:szCs w:val="24"/>
            <w:u w:val="single"/>
          </w:rPr>
          <w:t>https://www.lexology.com/library/detail.aspx?g=c6191da3-5e5e-4e76-9fe6-7c058527bea4</w:t>
        </w:r>
      </w:hyperlink>
      <w:r>
        <w:rPr>
          <w:color w:val="2C3E50"/>
          <w:sz w:val="24"/>
          <w:szCs w:val="24"/>
        </w:rPr>
        <w:t xml:space="preserve">  [Accessed 23 Nov. 2025]. </w:t>
      </w:r>
    </w:p>
    <w:p w14:paraId="1CD6CEF3" w14:textId="77777777" w:rsidR="00C60230" w:rsidRDefault="003C62BB">
      <w:pPr>
        <w:spacing w:after="200" w:line="360" w:lineRule="auto"/>
        <w:jc w:val="both"/>
        <w:rPr>
          <w:color w:val="2C3E50"/>
          <w:sz w:val="24"/>
          <w:szCs w:val="24"/>
        </w:rPr>
      </w:pPr>
      <w:r>
        <w:rPr>
          <w:color w:val="2C3E50"/>
          <w:sz w:val="24"/>
          <w:szCs w:val="24"/>
        </w:rPr>
        <w:t xml:space="preserve">Editorial. (2023). </w:t>
      </w:r>
      <w:r>
        <w:rPr>
          <w:i/>
          <w:iCs/>
          <w:color w:val="2C3E50"/>
          <w:sz w:val="24"/>
          <w:szCs w:val="24"/>
        </w:rPr>
        <w:t>Shopping for economic growth: Retail sector continues to lead employment</w:t>
      </w:r>
      <w:r>
        <w:rPr>
          <w:color w:val="2C3E50"/>
          <w:sz w:val="24"/>
          <w:szCs w:val="24"/>
        </w:rPr>
        <w:t xml:space="preserve">. [online] Top Empowerment. Available at: </w:t>
      </w:r>
      <w:hyperlink r:id="rId34">
        <w:r>
          <w:rPr>
            <w:color w:val="1155CC"/>
            <w:sz w:val="24"/>
            <w:szCs w:val="24"/>
            <w:u w:val="single"/>
          </w:rPr>
          <w:t>https://topempowerment.co.za/shopping-for-economic-growth-retail-sector-continues-to-lead-employment/</w:t>
        </w:r>
      </w:hyperlink>
      <w:r>
        <w:rPr>
          <w:color w:val="2C3E50"/>
          <w:sz w:val="24"/>
          <w:szCs w:val="24"/>
        </w:rPr>
        <w:t xml:space="preserve">. </w:t>
      </w:r>
    </w:p>
    <w:p w14:paraId="77CDF0C1" w14:textId="77777777" w:rsidR="00C60230" w:rsidRDefault="003C62BB">
      <w:pPr>
        <w:spacing w:after="240" w:line="360" w:lineRule="auto"/>
        <w:jc w:val="both"/>
        <w:rPr>
          <w:sz w:val="24"/>
          <w:szCs w:val="24"/>
        </w:rPr>
      </w:pPr>
      <w:r>
        <w:rPr>
          <w:sz w:val="24"/>
          <w:szCs w:val="24"/>
        </w:rPr>
        <w:t xml:space="preserve">Ekanem, S. (2025) </w:t>
      </w:r>
      <w:r>
        <w:rPr>
          <w:i/>
          <w:iCs/>
          <w:sz w:val="24"/>
          <w:szCs w:val="24"/>
        </w:rPr>
        <w:t>South Africa tops 2025 global rankings for daily time using the internet</w:t>
      </w:r>
      <w:r>
        <w:rPr>
          <w:sz w:val="24"/>
          <w:szCs w:val="24"/>
        </w:rPr>
        <w:t xml:space="preserve">, </w:t>
      </w:r>
      <w:r>
        <w:rPr>
          <w:i/>
          <w:iCs/>
          <w:sz w:val="24"/>
          <w:szCs w:val="24"/>
        </w:rPr>
        <w:t>Business Insider Africa</w:t>
      </w:r>
      <w:r>
        <w:rPr>
          <w:sz w:val="24"/>
          <w:szCs w:val="24"/>
        </w:rPr>
        <w:t xml:space="preserve">. Available at: </w:t>
      </w:r>
      <w:hyperlink r:id="rId35">
        <w:r>
          <w:rPr>
            <w:color w:val="1155CC"/>
            <w:sz w:val="24"/>
            <w:szCs w:val="24"/>
            <w:u w:val="single"/>
          </w:rPr>
          <w:t>https://africa.businessinsider.com/local/lifestyle/south-africa-tops-2025-global-rankings-for-daily-time-using-the-internet/ecqrpvm</w:t>
        </w:r>
      </w:hyperlink>
      <w:r>
        <w:rPr>
          <w:sz w:val="24"/>
          <w:szCs w:val="24"/>
        </w:rPr>
        <w:t xml:space="preserve">. </w:t>
      </w:r>
    </w:p>
    <w:p w14:paraId="329A09F6" w14:textId="77777777" w:rsidR="00C60230" w:rsidRDefault="003C62BB">
      <w:pPr>
        <w:spacing w:after="200" w:line="360" w:lineRule="auto"/>
        <w:jc w:val="both"/>
        <w:rPr>
          <w:sz w:val="24"/>
          <w:szCs w:val="24"/>
        </w:rPr>
      </w:pPr>
      <w:r>
        <w:rPr>
          <w:color w:val="222222"/>
          <w:sz w:val="24"/>
          <w:szCs w:val="24"/>
        </w:rPr>
        <w:t xml:space="preserve">El Fallahi, F., </w:t>
      </w:r>
      <w:proofErr w:type="spellStart"/>
      <w:r>
        <w:rPr>
          <w:color w:val="222222"/>
          <w:sz w:val="24"/>
          <w:szCs w:val="24"/>
        </w:rPr>
        <w:t>Ibenrissoul</w:t>
      </w:r>
      <w:proofErr w:type="spellEnd"/>
      <w:r>
        <w:rPr>
          <w:color w:val="222222"/>
          <w:sz w:val="24"/>
          <w:szCs w:val="24"/>
        </w:rPr>
        <w:t xml:space="preserve">, A. and El Amri, A. (2023). Defining and Measuring Overall Performance in Emerging Countries: A Comprehensive Financial Perspective Review. </w:t>
      </w:r>
      <w:r>
        <w:rPr>
          <w:i/>
          <w:iCs/>
          <w:color w:val="222222"/>
          <w:sz w:val="24"/>
          <w:szCs w:val="24"/>
        </w:rPr>
        <w:t>Financial Markets, Institutions and Risks</w:t>
      </w:r>
      <w:r>
        <w:rPr>
          <w:color w:val="222222"/>
          <w:sz w:val="24"/>
          <w:szCs w:val="24"/>
        </w:rPr>
        <w:t xml:space="preserve">, </w:t>
      </w:r>
      <w:r>
        <w:rPr>
          <w:i/>
          <w:iCs/>
          <w:color w:val="222222"/>
          <w:sz w:val="24"/>
          <w:szCs w:val="24"/>
        </w:rPr>
        <w:t>7</w:t>
      </w:r>
      <w:r>
        <w:rPr>
          <w:color w:val="222222"/>
          <w:sz w:val="24"/>
          <w:szCs w:val="24"/>
        </w:rPr>
        <w:t xml:space="preserve">(3), pp.81-93. </w:t>
      </w:r>
      <w:hyperlink r:id="rId36">
        <w:r>
          <w:rPr>
            <w:color w:val="1155CC"/>
            <w:sz w:val="24"/>
            <w:szCs w:val="24"/>
            <w:u w:val="single"/>
          </w:rPr>
          <w:t>https://armgpublishing.com/wp-content/uploads/2023/10/FMIR_3_2023_7.pdf</w:t>
        </w:r>
      </w:hyperlink>
      <w:r>
        <w:rPr>
          <w:color w:val="222222"/>
          <w:sz w:val="24"/>
          <w:szCs w:val="24"/>
        </w:rPr>
        <w:t xml:space="preserve"> </w:t>
      </w:r>
    </w:p>
    <w:p w14:paraId="5A7CE0EE" w14:textId="77777777" w:rsidR="00C60230" w:rsidRDefault="003C62BB">
      <w:pPr>
        <w:spacing w:after="240" w:line="360" w:lineRule="auto"/>
        <w:jc w:val="both"/>
        <w:rPr>
          <w:sz w:val="24"/>
          <w:szCs w:val="24"/>
        </w:rPr>
      </w:pPr>
      <w:r>
        <w:rPr>
          <w:sz w:val="24"/>
          <w:szCs w:val="24"/>
        </w:rPr>
        <w:lastRenderedPageBreak/>
        <w:t xml:space="preserve">Forbes (2024) ‘IKEA on the Forbes Best Employers for New Grads List’, </w:t>
      </w:r>
      <w:r>
        <w:rPr>
          <w:i/>
          <w:iCs/>
          <w:sz w:val="24"/>
          <w:szCs w:val="24"/>
        </w:rPr>
        <w:t>Forbes</w:t>
      </w:r>
      <w:r>
        <w:rPr>
          <w:sz w:val="24"/>
          <w:szCs w:val="24"/>
        </w:rPr>
        <w:t xml:space="preserve">. Available at: </w:t>
      </w:r>
      <w:hyperlink r:id="rId37">
        <w:r>
          <w:rPr>
            <w:color w:val="1155CC"/>
            <w:sz w:val="24"/>
            <w:szCs w:val="24"/>
            <w:u w:val="single"/>
          </w:rPr>
          <w:t>https://www.forbes.com/companies/ikea/</w:t>
        </w:r>
      </w:hyperlink>
      <w:r>
        <w:rPr>
          <w:sz w:val="24"/>
          <w:szCs w:val="24"/>
        </w:rPr>
        <w:t xml:space="preserve">. </w:t>
      </w:r>
    </w:p>
    <w:p w14:paraId="03CDFE01" w14:textId="77777777" w:rsidR="00C60230" w:rsidRDefault="003C62BB">
      <w:pPr>
        <w:spacing w:after="240" w:line="360" w:lineRule="auto"/>
        <w:jc w:val="both"/>
        <w:rPr>
          <w:sz w:val="24"/>
          <w:szCs w:val="24"/>
        </w:rPr>
      </w:pPr>
      <w:r>
        <w:rPr>
          <w:sz w:val="24"/>
          <w:szCs w:val="24"/>
        </w:rPr>
        <w:t xml:space="preserve">Fortune Business Insights (2025) </w:t>
      </w:r>
      <w:r>
        <w:rPr>
          <w:i/>
          <w:iCs/>
          <w:sz w:val="24"/>
          <w:szCs w:val="24"/>
        </w:rPr>
        <w:t>South Africa Furniture Market Forecast Analysis | Report [2030]</w:t>
      </w:r>
      <w:r>
        <w:rPr>
          <w:sz w:val="24"/>
          <w:szCs w:val="24"/>
        </w:rPr>
        <w:t xml:space="preserve">, </w:t>
      </w:r>
      <w:r>
        <w:rPr>
          <w:i/>
          <w:iCs/>
          <w:sz w:val="24"/>
          <w:szCs w:val="24"/>
        </w:rPr>
        <w:t>www.fortunebusinessinsights.com</w:t>
      </w:r>
      <w:r>
        <w:rPr>
          <w:sz w:val="24"/>
          <w:szCs w:val="24"/>
        </w:rPr>
        <w:t xml:space="preserve">. Available at: </w:t>
      </w:r>
      <w:hyperlink r:id="rId38">
        <w:r>
          <w:rPr>
            <w:color w:val="1155CC"/>
            <w:sz w:val="24"/>
            <w:szCs w:val="24"/>
            <w:u w:val="single"/>
          </w:rPr>
          <w:t>https://www.fortunebusinessinsights.com/south-africa-furniture-market-108569</w:t>
        </w:r>
      </w:hyperlink>
      <w:r>
        <w:rPr>
          <w:sz w:val="24"/>
          <w:szCs w:val="24"/>
        </w:rPr>
        <w:t xml:space="preserve">. </w:t>
      </w:r>
    </w:p>
    <w:p w14:paraId="1096234A" w14:textId="77777777" w:rsidR="00C60230" w:rsidRDefault="003C62BB">
      <w:pPr>
        <w:spacing w:after="200" w:line="360" w:lineRule="auto"/>
        <w:jc w:val="both"/>
        <w:rPr>
          <w:sz w:val="24"/>
          <w:szCs w:val="24"/>
        </w:rPr>
      </w:pPr>
      <w:proofErr w:type="spellStart"/>
      <w:r>
        <w:rPr>
          <w:color w:val="2C3E50"/>
          <w:sz w:val="24"/>
          <w:szCs w:val="24"/>
        </w:rPr>
        <w:t>Franchiseio</w:t>
      </w:r>
      <w:proofErr w:type="spellEnd"/>
      <w:r>
        <w:rPr>
          <w:color w:val="2C3E50"/>
          <w:sz w:val="24"/>
          <w:szCs w:val="24"/>
        </w:rPr>
        <w:t xml:space="preserve">. (2025). </w:t>
      </w:r>
      <w:r>
        <w:rPr>
          <w:i/>
          <w:iCs/>
          <w:color w:val="2C3E50"/>
          <w:sz w:val="24"/>
          <w:szCs w:val="24"/>
        </w:rPr>
        <w:t>Blocked</w:t>
      </w:r>
      <w:r>
        <w:rPr>
          <w:color w:val="2C3E50"/>
          <w:sz w:val="24"/>
          <w:szCs w:val="24"/>
        </w:rPr>
        <w:t xml:space="preserve">. [online] Available at: </w:t>
      </w:r>
      <w:hyperlink r:id="rId39">
        <w:r>
          <w:rPr>
            <w:color w:val="1155CC"/>
            <w:sz w:val="24"/>
            <w:szCs w:val="24"/>
            <w:u w:val="single"/>
          </w:rPr>
          <w:t>https://franchiseio.com/franchise-success-rates-what-the-data-says-about-profitable-opportunities/</w:t>
        </w:r>
      </w:hyperlink>
      <w:r>
        <w:rPr>
          <w:color w:val="2C3E50"/>
          <w:sz w:val="24"/>
          <w:szCs w:val="24"/>
        </w:rPr>
        <w:t xml:space="preserve">  [Accessed 23 Nov. 2025]. </w:t>
      </w:r>
    </w:p>
    <w:p w14:paraId="6AD486D3" w14:textId="77777777" w:rsidR="00C60230" w:rsidRDefault="003C62BB">
      <w:pPr>
        <w:spacing w:after="240" w:line="360" w:lineRule="auto"/>
        <w:jc w:val="both"/>
        <w:rPr>
          <w:sz w:val="24"/>
          <w:szCs w:val="24"/>
        </w:rPr>
      </w:pPr>
      <w:proofErr w:type="spellStart"/>
      <w:r>
        <w:rPr>
          <w:sz w:val="24"/>
          <w:szCs w:val="24"/>
        </w:rPr>
        <w:t>Ganaie</w:t>
      </w:r>
      <w:proofErr w:type="spellEnd"/>
      <w:r>
        <w:rPr>
          <w:sz w:val="24"/>
          <w:szCs w:val="24"/>
        </w:rPr>
        <w:t xml:space="preserve">, T.A. and Bhat, M.A. (2021) ‘Switching Costs and Customer Loyalty: A Review of literature’, </w:t>
      </w:r>
      <w:r>
        <w:rPr>
          <w:i/>
          <w:iCs/>
          <w:sz w:val="24"/>
          <w:szCs w:val="24"/>
        </w:rPr>
        <w:t>International Journal of Management and Development Studies</w:t>
      </w:r>
      <w:r>
        <w:rPr>
          <w:sz w:val="24"/>
          <w:szCs w:val="24"/>
        </w:rPr>
        <w:t xml:space="preserve">, 10(05), pp. 7–14. Available at: </w:t>
      </w:r>
      <w:hyperlink r:id="rId40">
        <w:r>
          <w:rPr>
            <w:color w:val="1155CC"/>
            <w:sz w:val="24"/>
            <w:szCs w:val="24"/>
            <w:u w:val="single"/>
          </w:rPr>
          <w:t>https://doi.org/10.53983/ijmds.v10i05.369</w:t>
        </w:r>
      </w:hyperlink>
      <w:r>
        <w:rPr>
          <w:sz w:val="24"/>
          <w:szCs w:val="24"/>
        </w:rPr>
        <w:t xml:space="preserve">. </w:t>
      </w:r>
    </w:p>
    <w:p w14:paraId="76454EA6" w14:textId="77777777" w:rsidR="00C60230" w:rsidRDefault="003C62BB">
      <w:pPr>
        <w:spacing w:after="240" w:line="360" w:lineRule="auto"/>
        <w:jc w:val="both"/>
        <w:rPr>
          <w:sz w:val="24"/>
          <w:szCs w:val="24"/>
        </w:rPr>
      </w:pPr>
      <w:r>
        <w:rPr>
          <w:sz w:val="24"/>
          <w:szCs w:val="24"/>
        </w:rPr>
        <w:t xml:space="preserve">Grand View Research (2025) </w:t>
      </w:r>
      <w:r>
        <w:rPr>
          <w:i/>
          <w:iCs/>
          <w:sz w:val="24"/>
          <w:szCs w:val="24"/>
        </w:rPr>
        <w:t>South Africa Furniture Market Size &amp; Outlook, 2021-2030</w:t>
      </w:r>
      <w:r>
        <w:rPr>
          <w:sz w:val="24"/>
          <w:szCs w:val="24"/>
        </w:rPr>
        <w:t xml:space="preserve">, </w:t>
      </w:r>
      <w:r>
        <w:rPr>
          <w:i/>
          <w:iCs/>
          <w:sz w:val="24"/>
          <w:szCs w:val="24"/>
        </w:rPr>
        <w:t>Grandviewresearch.com</w:t>
      </w:r>
      <w:r>
        <w:rPr>
          <w:sz w:val="24"/>
          <w:szCs w:val="24"/>
        </w:rPr>
        <w:t xml:space="preserve">. Available at: </w:t>
      </w:r>
      <w:hyperlink r:id="rId41">
        <w:r>
          <w:rPr>
            <w:color w:val="1155CC"/>
            <w:sz w:val="24"/>
            <w:szCs w:val="24"/>
            <w:u w:val="single"/>
          </w:rPr>
          <w:t>https://www.grandviewresearch.com/horizon/outlook/furniture-market/south-africa</w:t>
        </w:r>
      </w:hyperlink>
      <w:r>
        <w:rPr>
          <w:sz w:val="24"/>
          <w:szCs w:val="24"/>
        </w:rPr>
        <w:t xml:space="preserve">  (Accessed: 23 November 2025).</w:t>
      </w:r>
    </w:p>
    <w:p w14:paraId="5BE73C33" w14:textId="77777777" w:rsidR="00C60230" w:rsidRDefault="003C62BB">
      <w:pPr>
        <w:spacing w:after="240" w:line="360" w:lineRule="auto"/>
        <w:jc w:val="both"/>
        <w:rPr>
          <w:sz w:val="24"/>
          <w:szCs w:val="24"/>
        </w:rPr>
      </w:pPr>
      <w:r>
        <w:rPr>
          <w:sz w:val="24"/>
          <w:szCs w:val="24"/>
        </w:rPr>
        <w:t xml:space="preserve">IKEA (2020) </w:t>
      </w:r>
      <w:r>
        <w:rPr>
          <w:i/>
          <w:iCs/>
          <w:sz w:val="24"/>
          <w:szCs w:val="24"/>
        </w:rPr>
        <w:t>The IKEA vision, values and business idea</w:t>
      </w:r>
      <w:r>
        <w:rPr>
          <w:sz w:val="24"/>
          <w:szCs w:val="24"/>
        </w:rPr>
        <w:t xml:space="preserve">, </w:t>
      </w:r>
      <w:r>
        <w:rPr>
          <w:i/>
          <w:iCs/>
          <w:sz w:val="24"/>
          <w:szCs w:val="24"/>
        </w:rPr>
        <w:t>IKEA</w:t>
      </w:r>
      <w:r>
        <w:rPr>
          <w:sz w:val="24"/>
          <w:szCs w:val="24"/>
        </w:rPr>
        <w:t xml:space="preserve">. Available at: </w:t>
      </w:r>
      <w:hyperlink r:id="rId42">
        <w:r>
          <w:rPr>
            <w:color w:val="1155CC"/>
            <w:sz w:val="24"/>
            <w:szCs w:val="24"/>
            <w:u w:val="single"/>
          </w:rPr>
          <w:t>https://www.ikea.com/us/en/this-is-ikea/about-us/the-ikea-vision-and-values-pub9aa779d0/</w:t>
        </w:r>
      </w:hyperlink>
      <w:r>
        <w:rPr>
          <w:sz w:val="24"/>
          <w:szCs w:val="24"/>
        </w:rPr>
        <w:t xml:space="preserve">. </w:t>
      </w:r>
    </w:p>
    <w:p w14:paraId="50FD6125" w14:textId="77777777" w:rsidR="00C60230" w:rsidRDefault="003C62BB">
      <w:pPr>
        <w:spacing w:after="240" w:line="360" w:lineRule="auto"/>
        <w:jc w:val="both"/>
        <w:rPr>
          <w:sz w:val="24"/>
          <w:szCs w:val="24"/>
        </w:rPr>
      </w:pPr>
      <w:r>
        <w:rPr>
          <w:sz w:val="24"/>
          <w:szCs w:val="24"/>
        </w:rPr>
        <w:t xml:space="preserve">IKEA (2023) </w:t>
      </w:r>
      <w:r>
        <w:rPr>
          <w:i/>
          <w:iCs/>
          <w:sz w:val="24"/>
          <w:szCs w:val="24"/>
        </w:rPr>
        <w:t>Inter IKEA Holding B.V. Annual Report FY23</w:t>
      </w:r>
      <w:r>
        <w:rPr>
          <w:sz w:val="24"/>
          <w:szCs w:val="24"/>
        </w:rPr>
        <w:t xml:space="preserve">. Available at: </w:t>
      </w:r>
      <w:hyperlink r:id="rId43">
        <w:r>
          <w:rPr>
            <w:color w:val="1155CC"/>
            <w:sz w:val="24"/>
            <w:szCs w:val="24"/>
            <w:u w:val="single"/>
          </w:rPr>
          <w:t>https://www.annualreports.com/HostedData/AnnualReportArchive/i/ikea_2023.pdf</w:t>
        </w:r>
      </w:hyperlink>
      <w:r>
        <w:rPr>
          <w:sz w:val="24"/>
          <w:szCs w:val="24"/>
        </w:rPr>
        <w:t xml:space="preserve">. </w:t>
      </w:r>
    </w:p>
    <w:p w14:paraId="2384A282" w14:textId="77777777" w:rsidR="00C60230" w:rsidRDefault="003C62BB">
      <w:pPr>
        <w:spacing w:after="240" w:line="360" w:lineRule="auto"/>
        <w:jc w:val="both"/>
        <w:rPr>
          <w:sz w:val="24"/>
          <w:szCs w:val="24"/>
        </w:rPr>
      </w:pPr>
      <w:r>
        <w:rPr>
          <w:sz w:val="24"/>
          <w:szCs w:val="24"/>
        </w:rPr>
        <w:t xml:space="preserve">IKEA (2024) </w:t>
      </w:r>
      <w:r>
        <w:rPr>
          <w:i/>
          <w:iCs/>
          <w:sz w:val="24"/>
          <w:szCs w:val="24"/>
        </w:rPr>
        <w:t>Inter IKEA Holding B.V. Annual Report FY24</w:t>
      </w:r>
      <w:r>
        <w:rPr>
          <w:sz w:val="24"/>
          <w:szCs w:val="24"/>
        </w:rPr>
        <w:t xml:space="preserve">. Available at: </w:t>
      </w:r>
      <w:hyperlink r:id="rId44">
        <w:r>
          <w:rPr>
            <w:color w:val="1155CC"/>
            <w:sz w:val="24"/>
            <w:szCs w:val="24"/>
            <w:u w:val="single"/>
          </w:rPr>
          <w:t>https://www.annualreports.com/HostedData/AnnualReports/PDF/ikea_2024.pdf</w:t>
        </w:r>
      </w:hyperlink>
      <w:r>
        <w:rPr>
          <w:sz w:val="24"/>
          <w:szCs w:val="24"/>
        </w:rPr>
        <w:t xml:space="preserve">. </w:t>
      </w:r>
    </w:p>
    <w:p w14:paraId="325B1571" w14:textId="77777777" w:rsidR="00C60230" w:rsidRDefault="003C62BB">
      <w:pPr>
        <w:spacing w:after="240" w:line="360" w:lineRule="auto"/>
        <w:jc w:val="both"/>
        <w:rPr>
          <w:sz w:val="24"/>
          <w:szCs w:val="24"/>
        </w:rPr>
      </w:pPr>
      <w:r>
        <w:rPr>
          <w:sz w:val="24"/>
          <w:szCs w:val="24"/>
        </w:rPr>
        <w:t xml:space="preserve">IKEA (2025) </w:t>
      </w:r>
      <w:r>
        <w:rPr>
          <w:i/>
          <w:iCs/>
          <w:sz w:val="24"/>
          <w:szCs w:val="24"/>
        </w:rPr>
        <w:t>Inter IKEA Holding B.V. Annual Report FY25</w:t>
      </w:r>
      <w:r>
        <w:rPr>
          <w:sz w:val="24"/>
          <w:szCs w:val="24"/>
        </w:rPr>
        <w:t xml:space="preserve">. Available at: </w:t>
      </w:r>
      <w:hyperlink r:id="rId45">
        <w:r>
          <w:rPr>
            <w:color w:val="1155CC"/>
            <w:sz w:val="24"/>
            <w:szCs w:val="24"/>
            <w:u w:val="single"/>
          </w:rPr>
          <w:t>https://www.inter.ikea.com/-/media/interikea/igi/financial-reports/fy25-financial-reports/inter-ikea-holding-bv-annual-report-fy25-final.pdf?rev=10c81cc96c064789932e13ebf6229492&amp;sc_lang=en</w:t>
        </w:r>
      </w:hyperlink>
      <w:r>
        <w:rPr>
          <w:sz w:val="24"/>
          <w:szCs w:val="24"/>
        </w:rPr>
        <w:t xml:space="preserve">. </w:t>
      </w:r>
    </w:p>
    <w:p w14:paraId="6B525D13" w14:textId="77777777" w:rsidR="00C60230" w:rsidRDefault="003C62BB">
      <w:pPr>
        <w:spacing w:after="200" w:line="360" w:lineRule="auto"/>
        <w:jc w:val="both"/>
        <w:rPr>
          <w:color w:val="2C3E50"/>
          <w:sz w:val="24"/>
          <w:szCs w:val="24"/>
        </w:rPr>
      </w:pPr>
      <w:r>
        <w:rPr>
          <w:color w:val="2C3E50"/>
          <w:sz w:val="24"/>
          <w:szCs w:val="24"/>
        </w:rPr>
        <w:lastRenderedPageBreak/>
        <w:t xml:space="preserve">IKEA. (2024). </w:t>
      </w:r>
      <w:r>
        <w:rPr>
          <w:i/>
          <w:iCs/>
          <w:color w:val="2C3E50"/>
          <w:sz w:val="24"/>
          <w:szCs w:val="24"/>
        </w:rPr>
        <w:t>Climate footprint across the IKEA value chain – IKEA Global</w:t>
      </w:r>
      <w:r>
        <w:rPr>
          <w:color w:val="2C3E50"/>
          <w:sz w:val="24"/>
          <w:szCs w:val="24"/>
        </w:rPr>
        <w:t xml:space="preserve">. [online] Ikea.com. Available at: </w:t>
      </w:r>
      <w:hyperlink r:id="rId46">
        <w:r>
          <w:rPr>
            <w:color w:val="1155CC"/>
            <w:sz w:val="24"/>
            <w:szCs w:val="24"/>
            <w:u w:val="single"/>
          </w:rPr>
          <w:t>https://www.ikea.com/global/en/our-business/sustainability/value-chain-climate-footprint/</w:t>
        </w:r>
      </w:hyperlink>
      <w:r>
        <w:rPr>
          <w:color w:val="2C3E50"/>
          <w:sz w:val="24"/>
          <w:szCs w:val="24"/>
        </w:rPr>
        <w:t xml:space="preserve">. </w:t>
      </w:r>
    </w:p>
    <w:p w14:paraId="51C9979D" w14:textId="77777777" w:rsidR="00C60230" w:rsidRDefault="003C62BB">
      <w:pPr>
        <w:spacing w:after="200" w:line="360" w:lineRule="auto"/>
        <w:jc w:val="both"/>
        <w:rPr>
          <w:color w:val="222222"/>
          <w:sz w:val="24"/>
          <w:szCs w:val="24"/>
        </w:rPr>
      </w:pPr>
      <w:r>
        <w:rPr>
          <w:color w:val="222222"/>
          <w:sz w:val="24"/>
          <w:szCs w:val="24"/>
        </w:rPr>
        <w:t xml:space="preserve">Kabir, M. M., and Simon, M. R. (2025). Assessing the impact of product customization on improving customers experience of IKEA in Finland. </w:t>
      </w:r>
      <w:hyperlink r:id="rId47">
        <w:r>
          <w:rPr>
            <w:color w:val="1155CC"/>
            <w:sz w:val="24"/>
            <w:szCs w:val="24"/>
            <w:u w:val="single"/>
          </w:rPr>
          <w:t>https://www.theseus.fi/bitstream/handle/10024/895171/Kabir_Simon.pdf?sequence=2</w:t>
        </w:r>
      </w:hyperlink>
      <w:r>
        <w:rPr>
          <w:color w:val="222222"/>
          <w:sz w:val="24"/>
          <w:szCs w:val="24"/>
        </w:rPr>
        <w:t xml:space="preserve"> </w:t>
      </w:r>
    </w:p>
    <w:p w14:paraId="3DCA49A9" w14:textId="77777777" w:rsidR="00C60230" w:rsidRDefault="003C62BB">
      <w:pPr>
        <w:spacing w:after="200" w:line="360" w:lineRule="auto"/>
        <w:jc w:val="both"/>
        <w:rPr>
          <w:sz w:val="24"/>
          <w:szCs w:val="24"/>
        </w:rPr>
      </w:pPr>
      <w:r>
        <w:rPr>
          <w:color w:val="2C3E50"/>
          <w:sz w:val="24"/>
          <w:szCs w:val="24"/>
        </w:rPr>
        <w:t xml:space="preserve">Khan, </w:t>
      </w:r>
      <w:proofErr w:type="spellStart"/>
      <w:r>
        <w:rPr>
          <w:color w:val="2C3E50"/>
          <w:sz w:val="24"/>
          <w:szCs w:val="24"/>
        </w:rPr>
        <w:t>Md.R</w:t>
      </w:r>
      <w:proofErr w:type="spellEnd"/>
      <w:r>
        <w:rPr>
          <w:color w:val="2C3E50"/>
          <w:sz w:val="24"/>
          <w:szCs w:val="24"/>
        </w:rPr>
        <w:t xml:space="preserve">. and Sarkar, U. (2024). Business leadership in the digital age: IKEA’s story in the retail and consumer sector. </w:t>
      </w:r>
      <w:r>
        <w:rPr>
          <w:i/>
          <w:iCs/>
          <w:color w:val="2C3E50"/>
          <w:sz w:val="24"/>
          <w:szCs w:val="24"/>
        </w:rPr>
        <w:t>Green Technologies and Sustainability</w:t>
      </w:r>
      <w:r>
        <w:rPr>
          <w:color w:val="2C3E50"/>
          <w:sz w:val="24"/>
          <w:szCs w:val="24"/>
        </w:rPr>
        <w:t xml:space="preserve">, 2(2), pp.100081–100081. </w:t>
      </w:r>
      <w:hyperlink r:id="rId48">
        <w:r>
          <w:rPr>
            <w:color w:val="1155CC"/>
            <w:sz w:val="24"/>
            <w:szCs w:val="24"/>
            <w:u w:val="single"/>
          </w:rPr>
          <w:t>https://www.sciencedirect.com/science/article/pii/S2949736124000083</w:t>
        </w:r>
      </w:hyperlink>
      <w:r>
        <w:rPr>
          <w:color w:val="2C3E50"/>
          <w:sz w:val="24"/>
          <w:szCs w:val="24"/>
        </w:rPr>
        <w:t xml:space="preserve"> </w:t>
      </w:r>
    </w:p>
    <w:p w14:paraId="1478BA41" w14:textId="77777777" w:rsidR="00C60230" w:rsidRDefault="003C62BB">
      <w:pPr>
        <w:spacing w:after="200" w:line="360" w:lineRule="auto"/>
        <w:jc w:val="both"/>
        <w:rPr>
          <w:color w:val="222222"/>
          <w:sz w:val="24"/>
          <w:szCs w:val="24"/>
        </w:rPr>
      </w:pPr>
      <w:proofErr w:type="spellStart"/>
      <w:r>
        <w:rPr>
          <w:color w:val="222222"/>
          <w:sz w:val="24"/>
          <w:szCs w:val="24"/>
        </w:rPr>
        <w:t>Khudhair</w:t>
      </w:r>
      <w:proofErr w:type="spellEnd"/>
      <w:r>
        <w:rPr>
          <w:color w:val="222222"/>
          <w:sz w:val="24"/>
          <w:szCs w:val="24"/>
        </w:rPr>
        <w:t xml:space="preserve">, H. A., </w:t>
      </w:r>
      <w:proofErr w:type="spellStart"/>
      <w:r>
        <w:rPr>
          <w:color w:val="222222"/>
          <w:sz w:val="24"/>
          <w:szCs w:val="24"/>
        </w:rPr>
        <w:t>Alsadik</w:t>
      </w:r>
      <w:proofErr w:type="spellEnd"/>
      <w:r>
        <w:rPr>
          <w:color w:val="222222"/>
          <w:sz w:val="24"/>
          <w:szCs w:val="24"/>
        </w:rPr>
        <w:t xml:space="preserve">, S. M., and Jameel, A. K. (2021). Estimation of transportation service quality for selected groups of users using customer satisfaction index. </w:t>
      </w:r>
      <w:r>
        <w:rPr>
          <w:i/>
          <w:iCs/>
          <w:color w:val="222222"/>
          <w:sz w:val="24"/>
          <w:szCs w:val="24"/>
        </w:rPr>
        <w:t>Periodicals of Engineering and Natural Sciences</w:t>
      </w:r>
      <w:r>
        <w:rPr>
          <w:color w:val="222222"/>
          <w:sz w:val="24"/>
          <w:szCs w:val="24"/>
        </w:rPr>
        <w:t xml:space="preserve">, </w:t>
      </w:r>
      <w:r>
        <w:rPr>
          <w:i/>
          <w:iCs/>
          <w:color w:val="222222"/>
          <w:sz w:val="24"/>
          <w:szCs w:val="24"/>
        </w:rPr>
        <w:t>9</w:t>
      </w:r>
      <w:r>
        <w:rPr>
          <w:color w:val="222222"/>
          <w:sz w:val="24"/>
          <w:szCs w:val="24"/>
        </w:rPr>
        <w:t xml:space="preserve">(2), 325-332. </w:t>
      </w:r>
      <w:hyperlink r:id="rId49">
        <w:r>
          <w:rPr>
            <w:color w:val="1155CC"/>
            <w:sz w:val="24"/>
            <w:szCs w:val="24"/>
            <w:u w:val="single"/>
          </w:rPr>
          <w:t>https://www.academia.edu/download/84962098/1810-4438-2-PB.pdf</w:t>
        </w:r>
      </w:hyperlink>
      <w:r>
        <w:rPr>
          <w:color w:val="222222"/>
          <w:sz w:val="24"/>
          <w:szCs w:val="24"/>
        </w:rPr>
        <w:t xml:space="preserve"> </w:t>
      </w:r>
    </w:p>
    <w:p w14:paraId="768E0BA1" w14:textId="77777777" w:rsidR="00C60230" w:rsidRDefault="003C62BB">
      <w:pPr>
        <w:spacing w:after="200" w:line="360" w:lineRule="auto"/>
        <w:jc w:val="both"/>
        <w:rPr>
          <w:color w:val="222222"/>
          <w:sz w:val="24"/>
          <w:szCs w:val="24"/>
        </w:rPr>
      </w:pPr>
      <w:r>
        <w:rPr>
          <w:color w:val="222222"/>
          <w:sz w:val="24"/>
          <w:szCs w:val="24"/>
        </w:rPr>
        <w:t xml:space="preserve">Kohli, N. (2025). Sustainable business practices in IKEA: a study on consumers perceptions. </w:t>
      </w:r>
      <w:hyperlink r:id="rId50">
        <w:r>
          <w:rPr>
            <w:color w:val="1155CC"/>
            <w:sz w:val="24"/>
            <w:szCs w:val="24"/>
            <w:u w:val="single"/>
          </w:rPr>
          <w:t>https://www.theseus.fi/bitstream/handle/10024/893651/Kohli_Neetu.pdf.pdf?sequence=2</w:t>
        </w:r>
      </w:hyperlink>
      <w:r>
        <w:rPr>
          <w:color w:val="222222"/>
          <w:sz w:val="24"/>
          <w:szCs w:val="24"/>
        </w:rPr>
        <w:t xml:space="preserve"> </w:t>
      </w:r>
    </w:p>
    <w:p w14:paraId="42610C49" w14:textId="77777777" w:rsidR="00C60230" w:rsidRDefault="003C62BB">
      <w:pPr>
        <w:spacing w:after="240" w:line="360" w:lineRule="auto"/>
        <w:jc w:val="both"/>
        <w:rPr>
          <w:sz w:val="24"/>
          <w:szCs w:val="24"/>
        </w:rPr>
      </w:pPr>
      <w:r>
        <w:rPr>
          <w:sz w:val="24"/>
          <w:szCs w:val="24"/>
        </w:rPr>
        <w:t xml:space="preserve">Mahalakshmi, S., Nallasivam, A., Kumar, S.H., Kalavathy, K.S. and Desai, K. (2024) ‘Sustainability by Design: IKEA’s Eco-Friendly Marketing Efforts’, </w:t>
      </w:r>
      <w:r>
        <w:rPr>
          <w:i/>
          <w:iCs/>
          <w:sz w:val="24"/>
          <w:szCs w:val="24"/>
        </w:rPr>
        <w:t>Advances in economics, business and management research</w:t>
      </w:r>
      <w:r>
        <w:rPr>
          <w:sz w:val="24"/>
          <w:szCs w:val="24"/>
        </w:rPr>
        <w:t xml:space="preserve">, pp. 145–161. Available at: </w:t>
      </w:r>
      <w:hyperlink r:id="rId51">
        <w:r>
          <w:rPr>
            <w:color w:val="1155CC"/>
            <w:sz w:val="24"/>
            <w:szCs w:val="24"/>
            <w:u w:val="single"/>
          </w:rPr>
          <w:t>https://www.researchgate.net/publication/378333261_Sustainability_by_Design_IKEA's_Eco-Friendly_Marketing_Efforts</w:t>
        </w:r>
      </w:hyperlink>
      <w:r>
        <w:rPr>
          <w:sz w:val="24"/>
          <w:szCs w:val="24"/>
        </w:rPr>
        <w:t xml:space="preserve">. </w:t>
      </w:r>
    </w:p>
    <w:p w14:paraId="20211C78" w14:textId="77777777" w:rsidR="00C60230" w:rsidRDefault="003C62BB">
      <w:pPr>
        <w:spacing w:after="240" w:line="360" w:lineRule="auto"/>
        <w:jc w:val="both"/>
        <w:rPr>
          <w:sz w:val="24"/>
          <w:szCs w:val="24"/>
        </w:rPr>
      </w:pPr>
      <w:r>
        <w:rPr>
          <w:sz w:val="24"/>
          <w:szCs w:val="24"/>
        </w:rPr>
        <w:t xml:space="preserve">Meyer, K.E., Li, J., </w:t>
      </w:r>
      <w:proofErr w:type="spellStart"/>
      <w:r>
        <w:rPr>
          <w:sz w:val="24"/>
          <w:szCs w:val="24"/>
        </w:rPr>
        <w:t>Brouthers</w:t>
      </w:r>
      <w:proofErr w:type="spellEnd"/>
      <w:r>
        <w:rPr>
          <w:sz w:val="24"/>
          <w:szCs w:val="24"/>
        </w:rPr>
        <w:t xml:space="preserve">, K.D. and Jean, R.-J. ‘‘Bryan’’ (2023) ‘International business in the digital age: Global strategies in a world of national institutions’, </w:t>
      </w:r>
      <w:r>
        <w:rPr>
          <w:i/>
          <w:iCs/>
          <w:sz w:val="24"/>
          <w:szCs w:val="24"/>
        </w:rPr>
        <w:t>Journal of International Business Studies</w:t>
      </w:r>
      <w:r>
        <w:rPr>
          <w:sz w:val="24"/>
          <w:szCs w:val="24"/>
        </w:rPr>
        <w:t xml:space="preserve">, 54(4), pp. 577–598. Available at: </w:t>
      </w:r>
      <w:hyperlink r:id="rId52">
        <w:r>
          <w:rPr>
            <w:color w:val="1155CC"/>
            <w:sz w:val="24"/>
            <w:szCs w:val="24"/>
            <w:u w:val="single"/>
          </w:rPr>
          <w:t>https://doi.org/10.1057/s41267-023-00618-x</w:t>
        </w:r>
      </w:hyperlink>
      <w:r>
        <w:rPr>
          <w:sz w:val="24"/>
          <w:szCs w:val="24"/>
        </w:rPr>
        <w:t xml:space="preserve">. </w:t>
      </w:r>
    </w:p>
    <w:p w14:paraId="314DFA2A" w14:textId="77777777" w:rsidR="00C60230" w:rsidRDefault="003C62BB">
      <w:pPr>
        <w:spacing w:after="240" w:line="360" w:lineRule="auto"/>
        <w:jc w:val="both"/>
        <w:rPr>
          <w:sz w:val="24"/>
          <w:szCs w:val="24"/>
        </w:rPr>
      </w:pPr>
      <w:r>
        <w:rPr>
          <w:sz w:val="24"/>
          <w:szCs w:val="24"/>
        </w:rPr>
        <w:t xml:space="preserve">Mordor Intelligence (2025) </w:t>
      </w:r>
      <w:r>
        <w:rPr>
          <w:i/>
          <w:iCs/>
          <w:sz w:val="24"/>
          <w:szCs w:val="24"/>
        </w:rPr>
        <w:t xml:space="preserve">Home Furniture Market Size &amp; Share Analysis - Growth Trends </w:t>
      </w:r>
      <w:proofErr w:type="gramStart"/>
      <w:r>
        <w:rPr>
          <w:i/>
          <w:iCs/>
          <w:sz w:val="24"/>
          <w:szCs w:val="24"/>
        </w:rPr>
        <w:t>And</w:t>
      </w:r>
      <w:proofErr w:type="gramEnd"/>
      <w:r>
        <w:rPr>
          <w:i/>
          <w:iCs/>
          <w:sz w:val="24"/>
          <w:szCs w:val="24"/>
        </w:rPr>
        <w:t xml:space="preserve"> Forecast (2025 - 2030) Source: </w:t>
      </w:r>
      <w:r>
        <w:rPr>
          <w:i/>
          <w:iCs/>
          <w:sz w:val="24"/>
          <w:szCs w:val="24"/>
        </w:rPr>
        <w:lastRenderedPageBreak/>
        <w:t>https://www.mordorintelligence.com/industry-reports/global-home-furniture-market</w:t>
      </w:r>
      <w:r>
        <w:rPr>
          <w:sz w:val="24"/>
          <w:szCs w:val="24"/>
        </w:rPr>
        <w:t xml:space="preserve">, </w:t>
      </w:r>
      <w:r>
        <w:rPr>
          <w:i/>
          <w:iCs/>
          <w:sz w:val="24"/>
          <w:szCs w:val="24"/>
        </w:rPr>
        <w:t>Mordorintelligence.com</w:t>
      </w:r>
      <w:r>
        <w:rPr>
          <w:sz w:val="24"/>
          <w:szCs w:val="24"/>
        </w:rPr>
        <w:t xml:space="preserve">. Available at: </w:t>
      </w:r>
      <w:hyperlink r:id="rId53">
        <w:r>
          <w:rPr>
            <w:color w:val="1155CC"/>
            <w:sz w:val="24"/>
            <w:szCs w:val="24"/>
            <w:u w:val="single"/>
          </w:rPr>
          <w:t>https://www.mordorintelligence.com/industry-reports/global-home-furniture-market</w:t>
        </w:r>
      </w:hyperlink>
      <w:r>
        <w:rPr>
          <w:sz w:val="24"/>
          <w:szCs w:val="24"/>
        </w:rPr>
        <w:t xml:space="preserve"> .</w:t>
      </w:r>
    </w:p>
    <w:p w14:paraId="1782FD8B" w14:textId="77777777" w:rsidR="00C60230" w:rsidRDefault="003C62BB">
      <w:pPr>
        <w:spacing w:after="240" w:line="360" w:lineRule="auto"/>
        <w:jc w:val="both"/>
        <w:rPr>
          <w:sz w:val="24"/>
          <w:szCs w:val="24"/>
        </w:rPr>
      </w:pPr>
      <w:r>
        <w:rPr>
          <w:sz w:val="24"/>
          <w:szCs w:val="24"/>
        </w:rPr>
        <w:t xml:space="preserve">Morten Komdeur, E.F. and </w:t>
      </w:r>
      <w:proofErr w:type="spellStart"/>
      <w:r>
        <w:rPr>
          <w:sz w:val="24"/>
          <w:szCs w:val="24"/>
        </w:rPr>
        <w:t>Ingenbleek</w:t>
      </w:r>
      <w:proofErr w:type="spellEnd"/>
      <w:r>
        <w:rPr>
          <w:sz w:val="24"/>
          <w:szCs w:val="24"/>
        </w:rPr>
        <w:t xml:space="preserve">, P.T.M. (2021) ‘The potential of blockchain technology in the procurement of sustainable timber products’, </w:t>
      </w:r>
      <w:r>
        <w:rPr>
          <w:i/>
          <w:iCs/>
          <w:sz w:val="24"/>
          <w:szCs w:val="24"/>
        </w:rPr>
        <w:t>International Wood Products Journal</w:t>
      </w:r>
      <w:r>
        <w:rPr>
          <w:sz w:val="24"/>
          <w:szCs w:val="24"/>
        </w:rPr>
        <w:t xml:space="preserve">, 12(4), pp. 1–9. Available at: </w:t>
      </w:r>
      <w:hyperlink r:id="rId54">
        <w:r>
          <w:rPr>
            <w:color w:val="1155CC"/>
            <w:sz w:val="24"/>
            <w:szCs w:val="24"/>
            <w:u w:val="single"/>
          </w:rPr>
          <w:t>https://doi.org/10.1080/20426445.2021.1967624</w:t>
        </w:r>
      </w:hyperlink>
      <w:r>
        <w:rPr>
          <w:sz w:val="24"/>
          <w:szCs w:val="24"/>
        </w:rPr>
        <w:t xml:space="preserve">. </w:t>
      </w:r>
    </w:p>
    <w:p w14:paraId="174580A2" w14:textId="77777777" w:rsidR="00C60230" w:rsidRDefault="003C62BB">
      <w:pPr>
        <w:spacing w:after="200" w:line="360" w:lineRule="auto"/>
        <w:jc w:val="both"/>
        <w:rPr>
          <w:color w:val="2C3E50"/>
          <w:sz w:val="24"/>
          <w:szCs w:val="24"/>
        </w:rPr>
      </w:pPr>
      <w:r>
        <w:rPr>
          <w:color w:val="2C3E50"/>
          <w:sz w:val="24"/>
          <w:szCs w:val="24"/>
        </w:rPr>
        <w:t xml:space="preserve">NIQ. (2022). </w:t>
      </w:r>
      <w:r>
        <w:rPr>
          <w:i/>
          <w:iCs/>
          <w:color w:val="2C3E50"/>
          <w:sz w:val="24"/>
          <w:szCs w:val="24"/>
        </w:rPr>
        <w:t>South African consumers reach tipping point of affordability</w:t>
      </w:r>
      <w:r>
        <w:rPr>
          <w:color w:val="2C3E50"/>
          <w:sz w:val="24"/>
          <w:szCs w:val="24"/>
        </w:rPr>
        <w:t xml:space="preserve">. [online] </w:t>
      </w:r>
      <w:proofErr w:type="spellStart"/>
      <w:r>
        <w:rPr>
          <w:color w:val="2C3E50"/>
          <w:sz w:val="24"/>
          <w:szCs w:val="24"/>
        </w:rPr>
        <w:t>NielsenIQ</w:t>
      </w:r>
      <w:proofErr w:type="spellEnd"/>
      <w:r>
        <w:rPr>
          <w:color w:val="2C3E50"/>
          <w:sz w:val="24"/>
          <w:szCs w:val="24"/>
        </w:rPr>
        <w:t xml:space="preserve">. Available at: </w:t>
      </w:r>
      <w:hyperlink r:id="rId55">
        <w:r>
          <w:rPr>
            <w:color w:val="1155CC"/>
            <w:sz w:val="24"/>
            <w:szCs w:val="24"/>
            <w:u w:val="single"/>
          </w:rPr>
          <w:t>https://nielseniq.com/global/en/insights/education/2022/south-african-consumers-reach-tipping-point-of-affordability/</w:t>
        </w:r>
      </w:hyperlink>
      <w:r>
        <w:rPr>
          <w:color w:val="2C3E50"/>
          <w:sz w:val="24"/>
          <w:szCs w:val="24"/>
        </w:rPr>
        <w:t xml:space="preserve">. </w:t>
      </w:r>
    </w:p>
    <w:p w14:paraId="60649719" w14:textId="77777777" w:rsidR="00C60230" w:rsidRDefault="003C62BB">
      <w:pPr>
        <w:spacing w:after="240" w:line="360" w:lineRule="auto"/>
        <w:jc w:val="both"/>
        <w:rPr>
          <w:sz w:val="24"/>
          <w:szCs w:val="24"/>
        </w:rPr>
      </w:pPr>
      <w:r>
        <w:rPr>
          <w:sz w:val="24"/>
          <w:szCs w:val="24"/>
        </w:rPr>
        <w:t xml:space="preserve">Patel, J. and Govindasamy, P. (2021) </w:t>
      </w:r>
      <w:r>
        <w:rPr>
          <w:i/>
          <w:iCs/>
          <w:sz w:val="24"/>
          <w:szCs w:val="24"/>
        </w:rPr>
        <w:t>AD476: South Africans see corruption as worsening during President Ramaphosa’s tenure</w:t>
      </w:r>
      <w:r>
        <w:rPr>
          <w:sz w:val="24"/>
          <w:szCs w:val="24"/>
        </w:rPr>
        <w:t xml:space="preserve">, </w:t>
      </w:r>
      <w:r>
        <w:rPr>
          <w:i/>
          <w:iCs/>
          <w:sz w:val="24"/>
          <w:szCs w:val="24"/>
        </w:rPr>
        <w:t>www.afrobarometer.org</w:t>
      </w:r>
      <w:r>
        <w:rPr>
          <w:sz w:val="24"/>
          <w:szCs w:val="24"/>
        </w:rPr>
        <w:t xml:space="preserve">. Available at: </w:t>
      </w:r>
      <w:hyperlink r:id="rId56">
        <w:r>
          <w:rPr>
            <w:color w:val="1155CC"/>
            <w:sz w:val="24"/>
            <w:szCs w:val="24"/>
            <w:u w:val="single"/>
          </w:rPr>
          <w:t>https://www.afrobarometer.org/publication/ad476-south-africans-see-corruption-worsening-during-president-ramaphosas-tenure/</w:t>
        </w:r>
      </w:hyperlink>
      <w:r>
        <w:rPr>
          <w:sz w:val="24"/>
          <w:szCs w:val="24"/>
        </w:rPr>
        <w:t xml:space="preserve">. </w:t>
      </w:r>
    </w:p>
    <w:p w14:paraId="0E058888" w14:textId="77777777" w:rsidR="00C60230" w:rsidRDefault="003C62BB">
      <w:pPr>
        <w:spacing w:after="240" w:line="360" w:lineRule="auto"/>
        <w:jc w:val="both"/>
        <w:rPr>
          <w:sz w:val="24"/>
          <w:szCs w:val="24"/>
        </w:rPr>
      </w:pPr>
      <w:r>
        <w:rPr>
          <w:sz w:val="24"/>
          <w:szCs w:val="24"/>
        </w:rPr>
        <w:t xml:space="preserve">Paul, J., Ueno, A., Dennis, C., </w:t>
      </w:r>
      <w:proofErr w:type="spellStart"/>
      <w:r>
        <w:rPr>
          <w:sz w:val="24"/>
          <w:szCs w:val="24"/>
        </w:rPr>
        <w:t>Alamanos</w:t>
      </w:r>
      <w:proofErr w:type="spellEnd"/>
      <w:r>
        <w:rPr>
          <w:sz w:val="24"/>
          <w:szCs w:val="24"/>
        </w:rPr>
        <w:t xml:space="preserve">, E., Curtis, L., </w:t>
      </w:r>
      <w:proofErr w:type="spellStart"/>
      <w:r>
        <w:rPr>
          <w:sz w:val="24"/>
          <w:szCs w:val="24"/>
        </w:rPr>
        <w:t>Foroudi</w:t>
      </w:r>
      <w:proofErr w:type="spellEnd"/>
      <w:r>
        <w:rPr>
          <w:sz w:val="24"/>
          <w:szCs w:val="24"/>
        </w:rPr>
        <w:t xml:space="preserve">, P., Kacprzak, A., Kunz, W.H., Liu, J., Marvi, R., Nair, S., Ozdemir, O., Pantano, E., Papadopoulos, T., Petit, O., Tyagi, S. and Wirtz, J. (2024) ‘Digital transformation: A multidisciplinary perspective and future research agenda’, </w:t>
      </w:r>
      <w:r>
        <w:rPr>
          <w:i/>
          <w:iCs/>
          <w:sz w:val="24"/>
          <w:szCs w:val="24"/>
        </w:rPr>
        <w:t>International Journal of Consumer Studies</w:t>
      </w:r>
      <w:r>
        <w:rPr>
          <w:sz w:val="24"/>
          <w:szCs w:val="24"/>
        </w:rPr>
        <w:t xml:space="preserve">, 48(2). Available at: </w:t>
      </w:r>
      <w:hyperlink r:id="rId57">
        <w:r>
          <w:rPr>
            <w:color w:val="1155CC"/>
            <w:sz w:val="24"/>
            <w:szCs w:val="24"/>
            <w:u w:val="single"/>
          </w:rPr>
          <w:t>https://doi.org/10.1111/ijcs.13015</w:t>
        </w:r>
      </w:hyperlink>
      <w:r>
        <w:rPr>
          <w:sz w:val="24"/>
          <w:szCs w:val="24"/>
        </w:rPr>
        <w:t xml:space="preserve">. </w:t>
      </w:r>
    </w:p>
    <w:p w14:paraId="055372D8" w14:textId="77777777" w:rsidR="00C60230" w:rsidRDefault="003C62BB">
      <w:pPr>
        <w:spacing w:after="240" w:line="360" w:lineRule="auto"/>
        <w:jc w:val="both"/>
        <w:rPr>
          <w:sz w:val="24"/>
          <w:szCs w:val="24"/>
        </w:rPr>
      </w:pPr>
      <w:proofErr w:type="spellStart"/>
      <w:r>
        <w:rPr>
          <w:sz w:val="24"/>
          <w:szCs w:val="24"/>
        </w:rPr>
        <w:t>Qumba</w:t>
      </w:r>
      <w:proofErr w:type="spellEnd"/>
      <w:r>
        <w:rPr>
          <w:sz w:val="24"/>
          <w:szCs w:val="24"/>
        </w:rPr>
        <w:t xml:space="preserve">, M.F. (2023) ‘Evaluating South Africa’s Special Economic Zones’, </w:t>
      </w:r>
      <w:r>
        <w:rPr>
          <w:i/>
          <w:iCs/>
          <w:sz w:val="24"/>
          <w:szCs w:val="24"/>
        </w:rPr>
        <w:t>Journal of African Law</w:t>
      </w:r>
      <w:r>
        <w:rPr>
          <w:sz w:val="24"/>
          <w:szCs w:val="24"/>
        </w:rPr>
        <w:t xml:space="preserve">, 67(2), pp. 275–295. Available at: </w:t>
      </w:r>
      <w:hyperlink r:id="rId58">
        <w:r>
          <w:rPr>
            <w:color w:val="1155CC"/>
            <w:sz w:val="24"/>
            <w:szCs w:val="24"/>
            <w:u w:val="single"/>
          </w:rPr>
          <w:t>https://doi.org/10.1017/S0021855323000128</w:t>
        </w:r>
      </w:hyperlink>
      <w:r>
        <w:rPr>
          <w:sz w:val="24"/>
          <w:szCs w:val="24"/>
        </w:rPr>
        <w:t xml:space="preserve">. </w:t>
      </w:r>
    </w:p>
    <w:p w14:paraId="6D698D1A" w14:textId="77777777" w:rsidR="00C60230" w:rsidRDefault="003C62BB">
      <w:pPr>
        <w:spacing w:after="240" w:line="360" w:lineRule="auto"/>
        <w:jc w:val="both"/>
        <w:rPr>
          <w:sz w:val="24"/>
          <w:szCs w:val="24"/>
        </w:rPr>
      </w:pPr>
      <w:proofErr w:type="spellStart"/>
      <w:r>
        <w:rPr>
          <w:sz w:val="24"/>
          <w:szCs w:val="24"/>
        </w:rPr>
        <w:t>Sinthumule</w:t>
      </w:r>
      <w:proofErr w:type="spellEnd"/>
      <w:r>
        <w:rPr>
          <w:sz w:val="24"/>
          <w:szCs w:val="24"/>
        </w:rPr>
        <w:t xml:space="preserve">, N.I. (2025) ‘The Role of Traditional Ecological Knowledge in Managing the Collection of Non-Timber Forest Products in Limpopo, South Africa: A Community-Based Resource Governance Approach’, </w:t>
      </w:r>
      <w:r>
        <w:rPr>
          <w:i/>
          <w:iCs/>
          <w:sz w:val="24"/>
          <w:szCs w:val="24"/>
        </w:rPr>
        <w:t>Human Ecology</w:t>
      </w:r>
      <w:r>
        <w:rPr>
          <w:sz w:val="24"/>
          <w:szCs w:val="24"/>
        </w:rPr>
        <w:t xml:space="preserve"> [Preprint]. Available at: </w:t>
      </w:r>
      <w:hyperlink r:id="rId59">
        <w:r>
          <w:rPr>
            <w:color w:val="1155CC"/>
            <w:sz w:val="24"/>
            <w:szCs w:val="24"/>
            <w:u w:val="single"/>
          </w:rPr>
          <w:t>https://doi.org/10.1007/s10745-025-00641-6</w:t>
        </w:r>
      </w:hyperlink>
      <w:r>
        <w:rPr>
          <w:sz w:val="24"/>
          <w:szCs w:val="24"/>
        </w:rPr>
        <w:t xml:space="preserve">. </w:t>
      </w:r>
    </w:p>
    <w:p w14:paraId="055706F9" w14:textId="77777777" w:rsidR="00C60230" w:rsidRDefault="003C62BB">
      <w:pPr>
        <w:spacing w:after="200" w:line="360" w:lineRule="auto"/>
        <w:jc w:val="both"/>
        <w:rPr>
          <w:sz w:val="24"/>
          <w:szCs w:val="24"/>
        </w:rPr>
      </w:pPr>
      <w:r>
        <w:rPr>
          <w:color w:val="2C3E50"/>
          <w:sz w:val="24"/>
          <w:szCs w:val="24"/>
        </w:rPr>
        <w:t xml:space="preserve">South Africa Gateway. (2019). </w:t>
      </w:r>
      <w:r>
        <w:rPr>
          <w:i/>
          <w:iCs/>
          <w:color w:val="2C3E50"/>
          <w:sz w:val="24"/>
          <w:szCs w:val="24"/>
        </w:rPr>
        <w:t>South Africa’s population | South Africa Gateway</w:t>
      </w:r>
      <w:r>
        <w:rPr>
          <w:color w:val="2C3E50"/>
          <w:sz w:val="24"/>
          <w:szCs w:val="24"/>
        </w:rPr>
        <w:t xml:space="preserve">. [online] South Africa Gateway. Available at: </w:t>
      </w:r>
      <w:hyperlink r:id="rId60">
        <w:r>
          <w:rPr>
            <w:color w:val="1155CC"/>
            <w:sz w:val="24"/>
            <w:szCs w:val="24"/>
            <w:u w:val="single"/>
          </w:rPr>
          <w:t>https://southafrica-info.com/people/south-africa-population/</w:t>
        </w:r>
      </w:hyperlink>
      <w:r>
        <w:rPr>
          <w:color w:val="2C3E50"/>
          <w:sz w:val="24"/>
          <w:szCs w:val="24"/>
        </w:rPr>
        <w:t xml:space="preserve">. </w:t>
      </w:r>
    </w:p>
    <w:p w14:paraId="76B340EA" w14:textId="77777777" w:rsidR="00C60230" w:rsidRDefault="003C62BB">
      <w:pPr>
        <w:spacing w:after="240" w:line="360" w:lineRule="auto"/>
        <w:jc w:val="both"/>
        <w:rPr>
          <w:sz w:val="24"/>
          <w:szCs w:val="24"/>
        </w:rPr>
      </w:pPr>
      <w:r>
        <w:rPr>
          <w:sz w:val="24"/>
          <w:szCs w:val="24"/>
        </w:rPr>
        <w:lastRenderedPageBreak/>
        <w:t xml:space="preserve">Statista (2024) </w:t>
      </w:r>
      <w:r>
        <w:rPr>
          <w:i/>
          <w:iCs/>
          <w:sz w:val="24"/>
          <w:szCs w:val="24"/>
        </w:rPr>
        <w:t>Gross profit of IKEA globally 2024| Statista</w:t>
      </w:r>
      <w:r>
        <w:rPr>
          <w:sz w:val="24"/>
          <w:szCs w:val="24"/>
        </w:rPr>
        <w:t xml:space="preserve">, </w:t>
      </w:r>
      <w:r>
        <w:rPr>
          <w:i/>
          <w:iCs/>
          <w:sz w:val="24"/>
          <w:szCs w:val="24"/>
        </w:rPr>
        <w:t>Statista</w:t>
      </w:r>
      <w:r>
        <w:rPr>
          <w:sz w:val="24"/>
          <w:szCs w:val="24"/>
        </w:rPr>
        <w:t xml:space="preserve">. Available at: </w:t>
      </w:r>
      <w:hyperlink r:id="rId61">
        <w:r>
          <w:rPr>
            <w:color w:val="1155CC"/>
            <w:sz w:val="24"/>
            <w:szCs w:val="24"/>
            <w:u w:val="single"/>
          </w:rPr>
          <w:t>https://www.statista.com/statistics/241801/gross-profit-of-ikea-worldwide/?srsltid=AfmBOorZk-6Rht52KDKUbqkaYp19WhyPPM9xG4l5byM5Cykm0Q0ogEfM</w:t>
        </w:r>
      </w:hyperlink>
      <w:r>
        <w:rPr>
          <w:sz w:val="24"/>
          <w:szCs w:val="24"/>
        </w:rPr>
        <w:t xml:space="preserve">  (Accessed: 23 November 2025).</w:t>
      </w:r>
    </w:p>
    <w:p w14:paraId="55CE55A1" w14:textId="77777777" w:rsidR="00C60230" w:rsidRDefault="003C62BB">
      <w:pPr>
        <w:spacing w:after="240" w:line="360" w:lineRule="auto"/>
        <w:jc w:val="both"/>
        <w:rPr>
          <w:sz w:val="24"/>
          <w:szCs w:val="24"/>
        </w:rPr>
      </w:pPr>
      <w:r>
        <w:rPr>
          <w:sz w:val="24"/>
          <w:szCs w:val="24"/>
        </w:rPr>
        <w:t xml:space="preserve">Statista (2025) </w:t>
      </w:r>
      <w:r>
        <w:rPr>
          <w:i/>
          <w:iCs/>
          <w:sz w:val="24"/>
          <w:szCs w:val="24"/>
        </w:rPr>
        <w:t>Furniture - South Africa | Statista Market Forecast</w:t>
      </w:r>
      <w:r>
        <w:rPr>
          <w:sz w:val="24"/>
          <w:szCs w:val="24"/>
        </w:rPr>
        <w:t xml:space="preserve">, </w:t>
      </w:r>
      <w:r>
        <w:rPr>
          <w:i/>
          <w:iCs/>
          <w:sz w:val="24"/>
          <w:szCs w:val="24"/>
        </w:rPr>
        <w:t>Statista</w:t>
      </w:r>
      <w:r>
        <w:rPr>
          <w:sz w:val="24"/>
          <w:szCs w:val="24"/>
        </w:rPr>
        <w:t xml:space="preserve">. Available at: </w:t>
      </w:r>
      <w:hyperlink r:id="rId62">
        <w:r>
          <w:rPr>
            <w:color w:val="1155CC"/>
            <w:sz w:val="24"/>
            <w:szCs w:val="24"/>
            <w:u w:val="single"/>
          </w:rPr>
          <w:t>https://www.statista.com/outlook/cmo/furniture/south-africa?srsltid=AfmBOopvyxIrgsXLG7B1RxdZQgHanNEv3U99EHw3KhcFyVOSsyWTi9LM</w:t>
        </w:r>
      </w:hyperlink>
      <w:r>
        <w:rPr>
          <w:sz w:val="24"/>
          <w:szCs w:val="24"/>
        </w:rPr>
        <w:t xml:space="preserve">  (Accessed: 23 November 2025).</w:t>
      </w:r>
    </w:p>
    <w:p w14:paraId="67B7EECE" w14:textId="77777777" w:rsidR="00C60230" w:rsidRDefault="003C62BB">
      <w:pPr>
        <w:spacing w:after="240" w:line="360" w:lineRule="auto"/>
        <w:jc w:val="both"/>
        <w:rPr>
          <w:sz w:val="24"/>
          <w:szCs w:val="24"/>
        </w:rPr>
      </w:pPr>
      <w:r>
        <w:rPr>
          <w:sz w:val="24"/>
          <w:szCs w:val="24"/>
        </w:rPr>
        <w:t xml:space="preserve">Sydor, M. and Kacper Stańczyk (2025) ‘Analyzing Joinery for Furniture Designed for Disassembly’, </w:t>
      </w:r>
      <w:r>
        <w:rPr>
          <w:i/>
          <w:iCs/>
          <w:sz w:val="24"/>
          <w:szCs w:val="24"/>
        </w:rPr>
        <w:t>Journal of Manufacturing and Materials Processing</w:t>
      </w:r>
      <w:r>
        <w:rPr>
          <w:sz w:val="24"/>
          <w:szCs w:val="24"/>
        </w:rPr>
        <w:t xml:space="preserve">, 9(5), pp. 162–162. Available at: </w:t>
      </w:r>
      <w:hyperlink r:id="rId63">
        <w:r>
          <w:rPr>
            <w:color w:val="1155CC"/>
            <w:sz w:val="24"/>
            <w:szCs w:val="24"/>
            <w:u w:val="single"/>
          </w:rPr>
          <w:t>https://doi.org/10.3390/jmmp9050162</w:t>
        </w:r>
      </w:hyperlink>
      <w:r>
        <w:rPr>
          <w:sz w:val="24"/>
          <w:szCs w:val="24"/>
        </w:rPr>
        <w:t xml:space="preserve">. </w:t>
      </w:r>
    </w:p>
    <w:p w14:paraId="16515591" w14:textId="77777777" w:rsidR="00C60230" w:rsidRDefault="003C62BB">
      <w:pPr>
        <w:spacing w:after="240" w:line="360" w:lineRule="auto"/>
        <w:jc w:val="both"/>
        <w:rPr>
          <w:sz w:val="24"/>
          <w:szCs w:val="24"/>
        </w:rPr>
      </w:pPr>
      <w:proofErr w:type="spellStart"/>
      <w:r>
        <w:rPr>
          <w:sz w:val="24"/>
          <w:szCs w:val="24"/>
        </w:rPr>
        <w:t>Thukwana</w:t>
      </w:r>
      <w:proofErr w:type="spellEnd"/>
      <w:r>
        <w:rPr>
          <w:sz w:val="24"/>
          <w:szCs w:val="24"/>
        </w:rPr>
        <w:t xml:space="preserve">, N. (2025) </w:t>
      </w:r>
      <w:r>
        <w:rPr>
          <w:i/>
          <w:iCs/>
          <w:sz w:val="24"/>
          <w:szCs w:val="24"/>
        </w:rPr>
        <w:t>South Africa’s GDP Grew at Slowest Pace Since Pandemic in 2024</w:t>
      </w:r>
      <w:r>
        <w:rPr>
          <w:sz w:val="24"/>
          <w:szCs w:val="24"/>
        </w:rPr>
        <w:t xml:space="preserve">, </w:t>
      </w:r>
      <w:r>
        <w:rPr>
          <w:i/>
          <w:iCs/>
          <w:sz w:val="24"/>
          <w:szCs w:val="24"/>
        </w:rPr>
        <w:t>Bloomberg.com</w:t>
      </w:r>
      <w:r>
        <w:rPr>
          <w:sz w:val="24"/>
          <w:szCs w:val="24"/>
        </w:rPr>
        <w:t xml:space="preserve">. Bloomberg. Available at: </w:t>
      </w:r>
      <w:hyperlink r:id="rId64">
        <w:r>
          <w:rPr>
            <w:color w:val="1155CC"/>
            <w:sz w:val="24"/>
            <w:szCs w:val="24"/>
            <w:u w:val="single"/>
          </w:rPr>
          <w:t>https://www.bloomberg.com/news/articles/2025-03-04/south-african-economy-shifted-back-to-growth-in-fourth-quarter</w:t>
        </w:r>
      </w:hyperlink>
      <w:r>
        <w:rPr>
          <w:sz w:val="24"/>
          <w:szCs w:val="24"/>
        </w:rPr>
        <w:t xml:space="preserve">. </w:t>
      </w:r>
    </w:p>
    <w:p w14:paraId="494C5166" w14:textId="77777777" w:rsidR="00C60230" w:rsidRDefault="003C62BB">
      <w:pPr>
        <w:spacing w:after="200" w:line="360" w:lineRule="auto"/>
        <w:jc w:val="both"/>
        <w:rPr>
          <w:color w:val="2C3E50"/>
          <w:sz w:val="24"/>
          <w:szCs w:val="24"/>
        </w:rPr>
      </w:pPr>
      <w:proofErr w:type="spellStart"/>
      <w:r>
        <w:rPr>
          <w:color w:val="2C3E50"/>
          <w:sz w:val="24"/>
          <w:szCs w:val="24"/>
        </w:rPr>
        <w:t>Tradingeconomics</w:t>
      </w:r>
      <w:proofErr w:type="spellEnd"/>
      <w:r>
        <w:rPr>
          <w:color w:val="2C3E50"/>
          <w:sz w:val="24"/>
          <w:szCs w:val="24"/>
        </w:rPr>
        <w:t xml:space="preserve">. (2025). </w:t>
      </w:r>
      <w:r>
        <w:rPr>
          <w:i/>
          <w:iCs/>
          <w:color w:val="2C3E50"/>
          <w:sz w:val="24"/>
          <w:szCs w:val="24"/>
        </w:rPr>
        <w:t>South Africa - Stock Price Volatility - 2025 Data 2026 Forecast 1996-2021 Historical</w:t>
      </w:r>
      <w:r>
        <w:rPr>
          <w:color w:val="2C3E50"/>
          <w:sz w:val="24"/>
          <w:szCs w:val="24"/>
        </w:rPr>
        <w:t xml:space="preserve">. [online] Available at: </w:t>
      </w:r>
      <w:hyperlink r:id="rId65">
        <w:r>
          <w:rPr>
            <w:color w:val="1155CC"/>
            <w:sz w:val="24"/>
            <w:szCs w:val="24"/>
            <w:u w:val="single"/>
          </w:rPr>
          <w:t>https://tradingeconomics.com/south-africa/stock-price-volatility-wb-data.html</w:t>
        </w:r>
      </w:hyperlink>
      <w:r>
        <w:rPr>
          <w:color w:val="2C3E50"/>
          <w:sz w:val="24"/>
          <w:szCs w:val="24"/>
        </w:rPr>
        <w:t xml:space="preserve">. </w:t>
      </w:r>
    </w:p>
    <w:p w14:paraId="0FDB98F7" w14:textId="77777777" w:rsidR="00C60230" w:rsidRDefault="003C62BB">
      <w:pPr>
        <w:spacing w:after="200" w:line="360" w:lineRule="auto"/>
        <w:jc w:val="both"/>
        <w:rPr>
          <w:sz w:val="24"/>
          <w:szCs w:val="24"/>
        </w:rPr>
      </w:pPr>
      <w:proofErr w:type="spellStart"/>
      <w:r>
        <w:rPr>
          <w:color w:val="222222"/>
          <w:sz w:val="24"/>
          <w:szCs w:val="24"/>
        </w:rPr>
        <w:t>Waititu</w:t>
      </w:r>
      <w:proofErr w:type="spellEnd"/>
      <w:r>
        <w:rPr>
          <w:color w:val="222222"/>
          <w:sz w:val="24"/>
          <w:szCs w:val="24"/>
        </w:rPr>
        <w:t xml:space="preserve">, J., Wambui, M., and Kamande, M. (2025). Ansoff’s Growth Strategies and Financial Performance in Kenya’s Leather Industry. </w:t>
      </w:r>
      <w:r>
        <w:rPr>
          <w:i/>
          <w:iCs/>
          <w:color w:val="222222"/>
          <w:sz w:val="24"/>
          <w:szCs w:val="24"/>
        </w:rPr>
        <w:t>The Journal of Accounting and Management</w:t>
      </w:r>
      <w:r>
        <w:rPr>
          <w:color w:val="222222"/>
          <w:sz w:val="24"/>
          <w:szCs w:val="24"/>
        </w:rPr>
        <w:t xml:space="preserve">, </w:t>
      </w:r>
      <w:r>
        <w:rPr>
          <w:i/>
          <w:iCs/>
          <w:color w:val="222222"/>
          <w:sz w:val="24"/>
          <w:szCs w:val="24"/>
        </w:rPr>
        <w:t>15</w:t>
      </w:r>
      <w:r>
        <w:rPr>
          <w:color w:val="222222"/>
          <w:sz w:val="24"/>
          <w:szCs w:val="24"/>
        </w:rPr>
        <w:t xml:space="preserve">(1), 130-140. </w:t>
      </w:r>
      <w:hyperlink r:id="rId66">
        <w:r>
          <w:rPr>
            <w:color w:val="1155CC"/>
            <w:sz w:val="24"/>
            <w:szCs w:val="24"/>
            <w:u w:val="single"/>
          </w:rPr>
          <w:t>https://dj.univ-danubius.ro/index.php/JAM/article/download/3362/3087</w:t>
        </w:r>
      </w:hyperlink>
      <w:r>
        <w:rPr>
          <w:color w:val="222222"/>
          <w:sz w:val="24"/>
          <w:szCs w:val="24"/>
        </w:rPr>
        <w:t xml:space="preserve"> </w:t>
      </w:r>
    </w:p>
    <w:p w14:paraId="7687E636" w14:textId="77777777" w:rsidR="00C60230" w:rsidRDefault="003C62BB">
      <w:pPr>
        <w:spacing w:after="240" w:line="360" w:lineRule="auto"/>
        <w:jc w:val="both"/>
        <w:rPr>
          <w:sz w:val="24"/>
          <w:szCs w:val="24"/>
        </w:rPr>
      </w:pPr>
      <w:r>
        <w:rPr>
          <w:sz w:val="24"/>
          <w:szCs w:val="24"/>
        </w:rPr>
        <w:t xml:space="preserve">Watson, J. (2025) </w:t>
      </w:r>
      <w:r>
        <w:rPr>
          <w:i/>
          <w:iCs/>
          <w:sz w:val="24"/>
          <w:szCs w:val="24"/>
        </w:rPr>
        <w:t>Office Furniture Trends in South Africa 2025: Sustainability &amp; Biophilic Design for Modern Workspaces</w:t>
      </w:r>
      <w:r>
        <w:rPr>
          <w:sz w:val="24"/>
          <w:szCs w:val="24"/>
        </w:rPr>
        <w:t xml:space="preserve">, </w:t>
      </w:r>
      <w:r>
        <w:rPr>
          <w:i/>
          <w:iCs/>
          <w:sz w:val="24"/>
          <w:szCs w:val="24"/>
        </w:rPr>
        <w:t>Office Stock</w:t>
      </w:r>
      <w:r>
        <w:rPr>
          <w:sz w:val="24"/>
          <w:szCs w:val="24"/>
        </w:rPr>
        <w:t xml:space="preserve">. Available at: </w:t>
      </w:r>
      <w:hyperlink r:id="rId67">
        <w:r>
          <w:rPr>
            <w:color w:val="1155CC"/>
            <w:sz w:val="24"/>
            <w:szCs w:val="24"/>
            <w:u w:val="single"/>
          </w:rPr>
          <w:t>https://officestock.co.za/blog/office-furniture-trends-in-south-africa-2025-sustainability-biophilic-design?srsltid=AfmBOorwD_p_-s-lbcCUH8gcGJz9PNJiuIFkJK-KXo88ZisVOdP4l6I4</w:t>
        </w:r>
      </w:hyperlink>
      <w:r>
        <w:rPr>
          <w:sz w:val="24"/>
          <w:szCs w:val="24"/>
        </w:rPr>
        <w:t xml:space="preserve">  (Accessed: 23 November 2025).</w:t>
      </w:r>
    </w:p>
    <w:p w14:paraId="5697A572" w14:textId="77777777" w:rsidR="00C60230" w:rsidRDefault="003C62BB">
      <w:pPr>
        <w:spacing w:after="240" w:line="360" w:lineRule="auto"/>
        <w:jc w:val="both"/>
        <w:rPr>
          <w:sz w:val="24"/>
          <w:szCs w:val="24"/>
        </w:rPr>
      </w:pPr>
      <w:r>
        <w:rPr>
          <w:sz w:val="24"/>
          <w:szCs w:val="24"/>
        </w:rPr>
        <w:lastRenderedPageBreak/>
        <w:t>Yu, R. (</w:t>
      </w:r>
      <w:proofErr w:type="gramStart"/>
      <w:r>
        <w:rPr>
          <w:sz w:val="24"/>
          <w:szCs w:val="24"/>
        </w:rPr>
        <w:t>2019) ‘</w:t>
      </w:r>
      <w:proofErr w:type="gramEnd"/>
      <w:r>
        <w:rPr>
          <w:sz w:val="24"/>
          <w:szCs w:val="24"/>
        </w:rPr>
        <w:t xml:space="preserve">Core Elements of IKEA’s Successful Product Design’, </w:t>
      </w:r>
      <w:r>
        <w:rPr>
          <w:i/>
          <w:iCs/>
          <w:sz w:val="24"/>
          <w:szCs w:val="24"/>
        </w:rPr>
        <w:t>Journal of Physics: Conference Series</w:t>
      </w:r>
      <w:r>
        <w:rPr>
          <w:sz w:val="24"/>
          <w:szCs w:val="24"/>
        </w:rPr>
        <w:t xml:space="preserve">, 1168(3), p. 032118. Available at: </w:t>
      </w:r>
      <w:hyperlink r:id="rId68">
        <w:r>
          <w:rPr>
            <w:color w:val="1155CC"/>
            <w:sz w:val="24"/>
            <w:szCs w:val="24"/>
            <w:u w:val="single"/>
          </w:rPr>
          <w:t>https://doi.org/10.1088/1742-6596/1168/3/032118</w:t>
        </w:r>
      </w:hyperlink>
      <w:r>
        <w:rPr>
          <w:sz w:val="24"/>
          <w:szCs w:val="24"/>
        </w:rPr>
        <w:t xml:space="preserve">. </w:t>
      </w:r>
    </w:p>
    <w:p w14:paraId="12B2DBC3" w14:textId="77777777" w:rsidR="00C60230" w:rsidRDefault="003C62BB">
      <w:pPr>
        <w:spacing w:after="240" w:line="360" w:lineRule="auto"/>
        <w:jc w:val="both"/>
        <w:rPr>
          <w:sz w:val="24"/>
          <w:szCs w:val="24"/>
        </w:rPr>
      </w:pPr>
      <w:r>
        <w:rPr>
          <w:sz w:val="24"/>
          <w:szCs w:val="24"/>
        </w:rPr>
        <w:t xml:space="preserve">Zakiy, M. and Haryanto, M. (2021) </w:t>
      </w:r>
      <w:r>
        <w:rPr>
          <w:i/>
          <w:iCs/>
          <w:sz w:val="24"/>
          <w:szCs w:val="24"/>
        </w:rPr>
        <w:t>Linking of Service Quality and Switching Costs with Turnover Intentions: The Mediating Role of Customer Loyalty</w:t>
      </w:r>
      <w:r>
        <w:rPr>
          <w:sz w:val="24"/>
          <w:szCs w:val="24"/>
        </w:rPr>
        <w:t xml:space="preserve">. Available at: </w:t>
      </w:r>
      <w:hyperlink r:id="rId69">
        <w:r>
          <w:rPr>
            <w:color w:val="1155CC"/>
            <w:sz w:val="24"/>
            <w:szCs w:val="24"/>
            <w:u w:val="single"/>
          </w:rPr>
          <w:t>https://www.atlantis-press.com/article/125951443.pdf</w:t>
        </w:r>
      </w:hyperlink>
      <w:r>
        <w:rPr>
          <w:sz w:val="24"/>
          <w:szCs w:val="24"/>
        </w:rPr>
        <w:t xml:space="preserve">  (Accessed: 23 November 2025).</w:t>
      </w:r>
    </w:p>
    <w:p w14:paraId="72A5770B" w14:textId="77777777" w:rsidR="00C60230" w:rsidRDefault="00C60230">
      <w:pPr>
        <w:spacing w:after="200" w:line="360" w:lineRule="auto"/>
        <w:jc w:val="both"/>
        <w:rPr>
          <w:sz w:val="24"/>
          <w:szCs w:val="24"/>
        </w:rPr>
      </w:pPr>
    </w:p>
    <w:p w14:paraId="50D4CB78" w14:textId="77777777" w:rsidR="00C60230" w:rsidRDefault="00C60230">
      <w:pPr>
        <w:spacing w:after="200" w:line="360" w:lineRule="auto"/>
        <w:jc w:val="both"/>
        <w:rPr>
          <w:sz w:val="24"/>
          <w:szCs w:val="24"/>
        </w:rPr>
      </w:pPr>
    </w:p>
    <w:p w14:paraId="0E8E98C8" w14:textId="77777777" w:rsidR="00C60230" w:rsidRDefault="00C60230">
      <w:pPr>
        <w:spacing w:after="200" w:line="360" w:lineRule="auto"/>
        <w:jc w:val="both"/>
        <w:rPr>
          <w:sz w:val="24"/>
          <w:szCs w:val="24"/>
        </w:rPr>
      </w:pPr>
    </w:p>
    <w:p w14:paraId="0F87F080" w14:textId="77777777" w:rsidR="00C60230" w:rsidRDefault="00C60230">
      <w:pPr>
        <w:spacing w:after="200" w:line="360" w:lineRule="auto"/>
        <w:jc w:val="both"/>
        <w:rPr>
          <w:sz w:val="24"/>
          <w:szCs w:val="24"/>
        </w:rPr>
      </w:pPr>
    </w:p>
    <w:p w14:paraId="6D2208AF" w14:textId="77777777" w:rsidR="00C60230" w:rsidRDefault="00C60230">
      <w:pPr>
        <w:spacing w:after="200" w:line="360" w:lineRule="auto"/>
        <w:jc w:val="both"/>
        <w:rPr>
          <w:b/>
          <w:bCs/>
          <w:sz w:val="24"/>
          <w:szCs w:val="24"/>
        </w:rPr>
      </w:pPr>
    </w:p>
    <w:p w14:paraId="4DB40587" w14:textId="77777777" w:rsidR="00C60230" w:rsidRDefault="00C60230">
      <w:pPr>
        <w:spacing w:after="200" w:line="360" w:lineRule="auto"/>
        <w:jc w:val="both"/>
        <w:rPr>
          <w:b/>
          <w:bCs/>
          <w:sz w:val="24"/>
          <w:szCs w:val="24"/>
        </w:rPr>
      </w:pPr>
    </w:p>
    <w:sectPr w:rsidR="00C60230">
      <w:footerReference w:type="default" r:id="rId70"/>
      <w:footerReference w:type="first" r:id="rId71"/>
      <w:pgSz w:w="11906" w:h="16838"/>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AB9834" w14:textId="77777777" w:rsidR="005F53CB" w:rsidRDefault="005F53CB">
      <w:pPr>
        <w:spacing w:line="240" w:lineRule="auto"/>
      </w:pPr>
      <w:r>
        <w:separator/>
      </w:r>
    </w:p>
  </w:endnote>
  <w:endnote w:type="continuationSeparator" w:id="0">
    <w:p w14:paraId="1528DE9F" w14:textId="77777777" w:rsidR="005F53CB" w:rsidRDefault="005F53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0F8CF339-DB83-408B-9C55-E6B203B97D72}"/>
  </w:font>
  <w:font w:name="Calibri">
    <w:panose1 w:val="020F0502020204030204"/>
    <w:charset w:val="00"/>
    <w:family w:val="swiss"/>
    <w:pitch w:val="variable"/>
    <w:sig w:usb0="E4002EFF" w:usb1="C200247B" w:usb2="00000009" w:usb3="00000000" w:csb0="000001FF" w:csb1="00000000"/>
    <w:embedRegular r:id="rId2" w:fontKey="{61CC9251-AD30-4D9D-A731-2BFB4030ADBC}"/>
  </w:font>
  <w:font w:name="Cambria">
    <w:panose1 w:val="02040503050406030204"/>
    <w:charset w:val="00"/>
    <w:family w:val="roman"/>
    <w:pitch w:val="variable"/>
    <w:sig w:usb0="E00006FF" w:usb1="420024FF" w:usb2="02000000" w:usb3="00000000" w:csb0="0000019F" w:csb1="00000000"/>
    <w:embedRegular r:id="rId3" w:fontKey="{D7335D3D-4154-4A59-8220-CA66C2FAC12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C8558" w14:textId="77777777" w:rsidR="00C60230" w:rsidRDefault="003C62BB">
    <w:pPr>
      <w:jc w:val="right"/>
      <w:rPr>
        <w:sz w:val="24"/>
        <w:szCs w:val="24"/>
      </w:rPr>
    </w:pPr>
    <w:r>
      <w:rPr>
        <w:sz w:val="24"/>
        <w:szCs w:val="24"/>
      </w:rPr>
      <w:fldChar w:fldCharType="begin"/>
    </w:r>
    <w:r>
      <w:rPr>
        <w:sz w:val="24"/>
        <w:szCs w:val="24"/>
      </w:rPr>
      <w:instrText>PAGE</w:instrText>
    </w:r>
    <w:r>
      <w:rPr>
        <w:sz w:val="24"/>
        <w:szCs w:val="24"/>
      </w:rPr>
      <w:fldChar w:fldCharType="separate"/>
    </w:r>
    <w:r w:rsidR="00101A13">
      <w:rPr>
        <w:noProof/>
        <w:sz w:val="24"/>
        <w:szCs w:val="24"/>
      </w:rPr>
      <w:t>35</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C3E27" w14:textId="77777777" w:rsidR="00C60230" w:rsidRDefault="00C6023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86FE1" w14:textId="77777777" w:rsidR="005F53CB" w:rsidRDefault="005F53CB">
      <w:pPr>
        <w:spacing w:line="240" w:lineRule="auto"/>
      </w:pPr>
      <w:r>
        <w:separator/>
      </w:r>
    </w:p>
  </w:footnote>
  <w:footnote w:type="continuationSeparator" w:id="0">
    <w:p w14:paraId="461C7B62" w14:textId="77777777" w:rsidR="005F53CB" w:rsidRDefault="005F53C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56ACC"/>
    <w:multiLevelType w:val="multilevel"/>
    <w:tmpl w:val="A9EEAE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E314E8"/>
    <w:multiLevelType w:val="multilevel"/>
    <w:tmpl w:val="8B64F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1D04EF5"/>
    <w:multiLevelType w:val="multilevel"/>
    <w:tmpl w:val="C2247F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5CB2375"/>
    <w:multiLevelType w:val="multilevel"/>
    <w:tmpl w:val="D98A0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C234D60"/>
    <w:multiLevelType w:val="multilevel"/>
    <w:tmpl w:val="64382C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4577279"/>
    <w:multiLevelType w:val="multilevel"/>
    <w:tmpl w:val="9C5617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42852678">
    <w:abstractNumId w:val="0"/>
  </w:num>
  <w:num w:numId="2" w16cid:durableId="838886161">
    <w:abstractNumId w:val="1"/>
  </w:num>
  <w:num w:numId="3" w16cid:durableId="771827459">
    <w:abstractNumId w:val="5"/>
  </w:num>
  <w:num w:numId="4" w16cid:durableId="458185199">
    <w:abstractNumId w:val="3"/>
  </w:num>
  <w:num w:numId="5" w16cid:durableId="1294287801">
    <w:abstractNumId w:val="2"/>
  </w:num>
  <w:num w:numId="6" w16cid:durableId="11793863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C60230"/>
    <w:rsid w:val="000B62F2"/>
    <w:rsid w:val="00101A13"/>
    <w:rsid w:val="001C3A25"/>
    <w:rsid w:val="00211BE2"/>
    <w:rsid w:val="00302724"/>
    <w:rsid w:val="003C62BB"/>
    <w:rsid w:val="004A3763"/>
    <w:rsid w:val="0057321C"/>
    <w:rsid w:val="005F53CB"/>
    <w:rsid w:val="007E00E0"/>
    <w:rsid w:val="008161A4"/>
    <w:rsid w:val="00C04179"/>
    <w:rsid w:val="00C602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0BD56"/>
  <w15:docId w15:val="{E580F9CD-4E6C-4448-9808-50C8B46CB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after="200" w:line="360" w:lineRule="auto"/>
      <w:jc w:val="both"/>
      <w:outlineLvl w:val="0"/>
    </w:pPr>
    <w:rPr>
      <w:b/>
      <w:bCs/>
      <w:sz w:val="24"/>
      <w:szCs w:val="24"/>
    </w:rPr>
  </w:style>
  <w:style w:type="paragraph" w:styleId="Heading2">
    <w:name w:val="heading 2"/>
    <w:basedOn w:val="Normal"/>
    <w:next w:val="Normal"/>
    <w:pPr>
      <w:keepNext/>
      <w:keepLines/>
      <w:spacing w:after="200" w:line="360" w:lineRule="auto"/>
      <w:jc w:val="both"/>
      <w:outlineLvl w:val="1"/>
    </w:pPr>
    <w:rPr>
      <w:b/>
      <w:bCs/>
      <w:sz w:val="24"/>
      <w:szCs w:val="24"/>
    </w:rPr>
  </w:style>
  <w:style w:type="paragraph" w:styleId="Heading3">
    <w:name w:val="heading 3"/>
    <w:basedOn w:val="Normal"/>
    <w:next w:val="Normal"/>
    <w:pPr>
      <w:keepNext/>
      <w:keepLines/>
      <w:spacing w:after="200" w:line="360" w:lineRule="auto"/>
      <w:jc w:val="both"/>
      <w:outlineLvl w:val="2"/>
    </w:pPr>
    <w:rPr>
      <w:b/>
      <w:bCs/>
      <w:sz w:val="24"/>
      <w:szCs w:val="24"/>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Pr>
  </w:style>
  <w:style w:type="paragraph" w:styleId="Subtitle">
    <w:name w:val="Subtitle"/>
    <w:basedOn w:val="Normal"/>
    <w:next w:val="Normal"/>
    <w:pPr>
      <w:keepNext/>
      <w:keepLines/>
      <w:spacing w:after="320"/>
    </w:pPr>
    <w:rPr>
      <w:color w:val="666666"/>
      <w:sz w:val="30"/>
      <w:szCs w:val="30"/>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101A1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1A13"/>
    <w:rPr>
      <w:rFonts w:ascii="Tahoma" w:hAnsi="Tahoma" w:cs="Tahoma"/>
      <w:sz w:val="16"/>
      <w:szCs w:val="16"/>
    </w:rPr>
  </w:style>
  <w:style w:type="paragraph" w:styleId="TOCHeading">
    <w:name w:val="TOC Heading"/>
    <w:basedOn w:val="Heading1"/>
    <w:next w:val="Normal"/>
    <w:uiPriority w:val="39"/>
    <w:unhideWhenUsed/>
    <w:qFormat/>
    <w:rsid w:val="001C3A25"/>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1C3A25"/>
    <w:pPr>
      <w:spacing w:after="100"/>
    </w:pPr>
  </w:style>
  <w:style w:type="paragraph" w:styleId="TOC2">
    <w:name w:val="toc 2"/>
    <w:basedOn w:val="Normal"/>
    <w:next w:val="Normal"/>
    <w:autoRedefine/>
    <w:uiPriority w:val="39"/>
    <w:unhideWhenUsed/>
    <w:rsid w:val="001C3A25"/>
    <w:pPr>
      <w:spacing w:after="100"/>
      <w:ind w:left="220"/>
    </w:pPr>
  </w:style>
  <w:style w:type="paragraph" w:styleId="TOC3">
    <w:name w:val="toc 3"/>
    <w:basedOn w:val="Normal"/>
    <w:next w:val="Normal"/>
    <w:autoRedefine/>
    <w:uiPriority w:val="39"/>
    <w:unhideWhenUsed/>
    <w:rsid w:val="001C3A25"/>
    <w:pPr>
      <w:spacing w:after="100"/>
      <w:ind w:left="440"/>
    </w:pPr>
  </w:style>
  <w:style w:type="character" w:styleId="Hyperlink">
    <w:name w:val="Hyperlink"/>
    <w:basedOn w:val="DefaultParagraphFont"/>
    <w:uiPriority w:val="99"/>
    <w:unhideWhenUsed/>
    <w:rsid w:val="001C3A2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13140/RG.2.2.30263.44969" TargetMode="External"/><Relationship Id="rId21" Type="http://schemas.openxmlformats.org/officeDocument/2006/relationships/image" Target="media/image13.png"/><Relationship Id="rId42" Type="http://schemas.openxmlformats.org/officeDocument/2006/relationships/hyperlink" Target="https://www.ikea.com/us/en/this-is-ikea/about-us/the-ikea-vision-and-values-pub9aa779d0/" TargetMode="External"/><Relationship Id="rId47" Type="http://schemas.openxmlformats.org/officeDocument/2006/relationships/hyperlink" Target="https://www.theseus.fi/bitstream/handle/10024/895171/Kabir_Simon.pdf?sequence=2" TargetMode="External"/><Relationship Id="rId63" Type="http://schemas.openxmlformats.org/officeDocument/2006/relationships/hyperlink" Target="https://doi.org/10.3390/jmmp9050162" TargetMode="External"/><Relationship Id="rId68" Type="http://schemas.openxmlformats.org/officeDocument/2006/relationships/hyperlink" Target="https://doi.org/10.1088/1742-6596/1168/3/032118" TargetMode="Externa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hyperlink" Target="https://m.economictimes.com/small-biz/startups/newsbuzz/urbanclap-is-now-assembly-partner-for-ikea/articleshow/64299300.cms" TargetMode="External"/><Relationship Id="rId11" Type="http://schemas.openxmlformats.org/officeDocument/2006/relationships/image" Target="media/image3.png"/><Relationship Id="rId24" Type="http://schemas.openxmlformats.org/officeDocument/2006/relationships/hyperlink" Target="https://www.afdb.org/fr/news-and-events/africas-middle-class-triples-to-more-than-310m-over-past-30-years-due-to-economic-growth-and-rising-job-culture-reports-afdb-7986" TargetMode="External"/><Relationship Id="rId32" Type="http://schemas.openxmlformats.org/officeDocument/2006/relationships/hyperlink" Target="https://www.researchgate.net/profile/Demetris-Vrontis/publication/354106344_Product_and_Service_Decisions/links/6252f0404f88c3119cefe3c8/Product-and-Service-Decisions.pdf" TargetMode="External"/><Relationship Id="rId37" Type="http://schemas.openxmlformats.org/officeDocument/2006/relationships/hyperlink" Target="https://www.forbes.com/companies/ikea/" TargetMode="External"/><Relationship Id="rId40" Type="http://schemas.openxmlformats.org/officeDocument/2006/relationships/hyperlink" Target="https://doi.org/10.53983/ijmds.v10i05.369" TargetMode="External"/><Relationship Id="rId45" Type="http://schemas.openxmlformats.org/officeDocument/2006/relationships/hyperlink" Target="https://www.inter.ikea.com/-/media/interikea/igi/financial-reports/fy25-financial-reports/inter-ikea-holding-bv-annual-report-fy25-final.pdf?rev=10c81cc96c064789932e13ebf6229492&amp;sc_lang=en" TargetMode="External"/><Relationship Id="rId53" Type="http://schemas.openxmlformats.org/officeDocument/2006/relationships/hyperlink" Target="https://www.mordorintelligence.com/industry-reports/global-home-furniture-market" TargetMode="External"/><Relationship Id="rId58" Type="http://schemas.openxmlformats.org/officeDocument/2006/relationships/hyperlink" Target="https://doi.org/10.1017/S0021855323000128" TargetMode="External"/><Relationship Id="rId66" Type="http://schemas.openxmlformats.org/officeDocument/2006/relationships/hyperlink" Target="https://dj.univ-danubius.ro/index.php/JAM/article/download/3362/3087" TargetMode="External"/><Relationship Id="rId5" Type="http://schemas.openxmlformats.org/officeDocument/2006/relationships/settings" Target="settings.xml"/><Relationship Id="rId61" Type="http://schemas.openxmlformats.org/officeDocument/2006/relationships/hyperlink" Target="https://www.statista.com/statistics/241801/gross-profit-of-ikea-worldwide/?srsltid=AfmBOorZk-6Rht52KDKUbqkaYp19WhyPPM9xG4l5byM5Cykm0Q0ogEfM" TargetMode="Externa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cde.org.za/sa-must-ditch-trumpian-protectionism-to-create-jobs/" TargetMode="External"/><Relationship Id="rId30" Type="http://schemas.openxmlformats.org/officeDocument/2006/relationships/hyperlink" Target="https://ccpi.org/country/zaf/" TargetMode="External"/><Relationship Id="rId35" Type="http://schemas.openxmlformats.org/officeDocument/2006/relationships/hyperlink" Target="https://africa.businessinsider.com/local/lifestyle/south-africa-tops-2025-global-rankings-for-daily-time-using-the-internet/ecqrpvm" TargetMode="External"/><Relationship Id="rId43" Type="http://schemas.openxmlformats.org/officeDocument/2006/relationships/hyperlink" Target="https://www.annualreports.com/HostedData/AnnualReportArchive/i/ikea_2023.pdf" TargetMode="External"/><Relationship Id="rId48" Type="http://schemas.openxmlformats.org/officeDocument/2006/relationships/hyperlink" Target="https://www.sciencedirect.com/science/article/pii/S2949736124000083" TargetMode="External"/><Relationship Id="rId56" Type="http://schemas.openxmlformats.org/officeDocument/2006/relationships/hyperlink" Target="https://www.afrobarometer.org/publication/ad476-south-africans-see-corruption-worsening-during-president-ramaphosas-tenure/" TargetMode="External"/><Relationship Id="rId64" Type="http://schemas.openxmlformats.org/officeDocument/2006/relationships/hyperlink" Target="https://www.bloomberg.com/news/articles/2025-03-04/south-african-economy-shifted-back-to-growth-in-fourth-quarter" TargetMode="External"/><Relationship Id="rId69" Type="http://schemas.openxmlformats.org/officeDocument/2006/relationships/hyperlink" Target="https://www.atlantis-press.com/article/125951443.pdf" TargetMode="External"/><Relationship Id="rId8" Type="http://schemas.openxmlformats.org/officeDocument/2006/relationships/endnotes" Target="endnotes.xml"/><Relationship Id="rId51" Type="http://schemas.openxmlformats.org/officeDocument/2006/relationships/hyperlink" Target="https://www.researchgate.net/publication/378333261_Sustainability_by_Design_IKEA's_Eco-Friendly_Marketing_Efforts" TargetMode="External"/><Relationship Id="rId72"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thecrsss.com/index.php/Journal/article/download/614/645" TargetMode="External"/><Relationship Id="rId33" Type="http://schemas.openxmlformats.org/officeDocument/2006/relationships/hyperlink" Target="https://www.lexology.com/library/detail.aspx?g=c6191da3-5e5e-4e76-9fe6-7c058527bea4" TargetMode="External"/><Relationship Id="rId38" Type="http://schemas.openxmlformats.org/officeDocument/2006/relationships/hyperlink" Target="https://www.fortunebusinessinsights.com/south-africa-furniture-market-108569" TargetMode="External"/><Relationship Id="rId46" Type="http://schemas.openxmlformats.org/officeDocument/2006/relationships/hyperlink" Target="https://www.ikea.com/global/en/our-business/sustainability/value-chain-climate-footprint/" TargetMode="External"/><Relationship Id="rId59" Type="http://schemas.openxmlformats.org/officeDocument/2006/relationships/hyperlink" Target="https://doi.org/10.1007/s10745-025-00641-6" TargetMode="External"/><Relationship Id="rId67" Type="http://schemas.openxmlformats.org/officeDocument/2006/relationships/hyperlink" Target="https://officestock.co.za/blog/office-furniture-trends-in-south-africa-2025-sustainability-biophilic-design?srsltid=AfmBOorwD_p_-s-lbcCUH8gcGJz9PNJiuIFkJK-KXo88ZisVOdP4l6I4" TargetMode="External"/><Relationship Id="rId20" Type="http://schemas.openxmlformats.org/officeDocument/2006/relationships/image" Target="media/image12.png"/><Relationship Id="rId41" Type="http://schemas.openxmlformats.org/officeDocument/2006/relationships/hyperlink" Target="https://www.grandviewresearch.com/horizon/outlook/furniture-market/south-africa" TargetMode="External"/><Relationship Id="rId54" Type="http://schemas.openxmlformats.org/officeDocument/2006/relationships/hyperlink" Target="https://doi.org/10.1080/20426445.2021.1967624" TargetMode="External"/><Relationship Id="rId62" Type="http://schemas.openxmlformats.org/officeDocument/2006/relationships/hyperlink" Target="https://www.statista.com/outlook/cmo/furniture/south-africa?srsltid=AfmBOopvyxIrgsXLG7B1RxdZQgHanNEv3U99EHw3KhcFyVOSsyWTi9LM"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reuters.com/world/africa/south-african-consumer-inflation-falls-28-yy-october-2024-11-20/" TargetMode="External"/><Relationship Id="rId28" Type="http://schemas.openxmlformats.org/officeDocument/2006/relationships/hyperlink" Target="https://www.researchgate.net/profile/Mohd-Bhat-11/publication/383610772_Economic_freedom_of_the_world_wholly_owned_subsidiaries_and_joint_ventures_as_binary_response/links/66d3fcca2390e50b2c2462ea/Economic-freedom-of-the-world-wholly-owned-subsidiaries-and-joint-ventures-as-binary-response.pdf" TargetMode="External"/><Relationship Id="rId36" Type="http://schemas.openxmlformats.org/officeDocument/2006/relationships/hyperlink" Target="https://armgpublishing.com/wp-content/uploads/2023/10/FMIR_3_2023_7.pdf" TargetMode="External"/><Relationship Id="rId49" Type="http://schemas.openxmlformats.org/officeDocument/2006/relationships/hyperlink" Target="https://www.academia.edu/download/84962098/1810-4438-2-PB.pdf" TargetMode="External"/><Relationship Id="rId57" Type="http://schemas.openxmlformats.org/officeDocument/2006/relationships/hyperlink" Target="https://doi.org/10.1111/ijcs.13015" TargetMode="External"/><Relationship Id="rId10" Type="http://schemas.openxmlformats.org/officeDocument/2006/relationships/image" Target="media/image2.png"/><Relationship Id="rId31" Type="http://schemas.openxmlformats.org/officeDocument/2006/relationships/hyperlink" Target="https://www.cweic.org/insights/as-africas-middle-class-grows-heres-how-retailers-can-seize-the-opportunity/" TargetMode="External"/><Relationship Id="rId44" Type="http://schemas.openxmlformats.org/officeDocument/2006/relationships/hyperlink" Target="https://www.annualreports.com/HostedData/AnnualReports/PDF/ikea_2024.pdf" TargetMode="External"/><Relationship Id="rId52" Type="http://schemas.openxmlformats.org/officeDocument/2006/relationships/hyperlink" Target="https://doi.org/10.1057/s41267-023-00618-x" TargetMode="External"/><Relationship Id="rId60" Type="http://schemas.openxmlformats.org/officeDocument/2006/relationships/hyperlink" Target="https://southafrica-info.com/people/south-africa-population/" TargetMode="External"/><Relationship Id="rId65" Type="http://schemas.openxmlformats.org/officeDocument/2006/relationships/hyperlink" Target="https://tradingeconomics.com/south-africa/stock-price-volatility-wb-data.html" TargetMode="External"/><Relationship Id="rId73"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franchiseio.com/franchise-success-rates-what-the-data-says-about-profitable-opportunities/" TargetMode="External"/><Relationship Id="rId34" Type="http://schemas.openxmlformats.org/officeDocument/2006/relationships/hyperlink" Target="https://topempowerment.co.za/shopping-for-economic-growth-retail-sector-continues-to-lead-employment/" TargetMode="External"/><Relationship Id="rId50" Type="http://schemas.openxmlformats.org/officeDocument/2006/relationships/hyperlink" Target="https://www.theseus.fi/bitstream/handle/10024/893651/Kohli_Neetu.pdf.pdf?sequence=2" TargetMode="External"/><Relationship Id="rId55" Type="http://schemas.openxmlformats.org/officeDocument/2006/relationships/hyperlink" Target="https://nielseniq.com/global/en/insights/education/2022/south-african-consumers-reach-tipping-point-of-affordability/" TargetMode="External"/><Relationship Id="rId7" Type="http://schemas.openxmlformats.org/officeDocument/2006/relationships/footnotes" Target="footnotes.xml"/><Relationship Id="rId71"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17fqVihJZ7bodjWons+k4ng7Bw==">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</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FEA15EE-074A-4CC9-9FFB-7CF6CC0E7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36</Pages>
  <Words>8522</Words>
  <Characters>48577</Characters>
  <Application>Microsoft Office Word</Application>
  <DocSecurity>0</DocSecurity>
  <Lines>404</Lines>
  <Paragraphs>113</Paragraphs>
  <ScaleCrop>false</ScaleCrop>
  <Company/>
  <LinksUpToDate>false</LinksUpToDate>
  <CharactersWithSpaces>56986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Sirajul Islam (2422222)</cp:lastModifiedBy>
  <cp:revision>5</cp:revision>
  <dcterms:created xsi:type="dcterms:W3CDTF">2025-11-23T13:15:00Z</dcterms:created>
  <dcterms:modified xsi:type="dcterms:W3CDTF">2025-12-21T16:31:00Z</dcterms:modified>
</cp:coreProperties>
</file>