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5E2CD" w14:textId="77777777" w:rsidR="00A3574B" w:rsidRDefault="00A3574B" w:rsidP="00EE50A8">
      <w:pPr>
        <w:jc w:val="center"/>
        <w:rPr>
          <w:rStyle w:val="Strong"/>
          <w:sz w:val="32"/>
          <w:szCs w:val="32"/>
        </w:rPr>
      </w:pPr>
    </w:p>
    <w:p w14:paraId="0EBAC351" w14:textId="77777777" w:rsidR="00A3574B" w:rsidRDefault="00A3574B" w:rsidP="00EE50A8">
      <w:pPr>
        <w:jc w:val="center"/>
        <w:rPr>
          <w:rStyle w:val="Strong"/>
          <w:sz w:val="32"/>
          <w:szCs w:val="32"/>
        </w:rPr>
      </w:pPr>
    </w:p>
    <w:p w14:paraId="2DE3C32F" w14:textId="77777777" w:rsidR="00433677" w:rsidRPr="00B93F19" w:rsidRDefault="00C07A08" w:rsidP="00EE50A8">
      <w:pPr>
        <w:jc w:val="center"/>
        <w:rPr>
          <w:rStyle w:val="Strong"/>
          <w:sz w:val="32"/>
          <w:szCs w:val="32"/>
        </w:rPr>
      </w:pPr>
      <w:r w:rsidRPr="00B93F19">
        <w:rPr>
          <w:rStyle w:val="Strong"/>
          <w:sz w:val="32"/>
          <w:szCs w:val="32"/>
        </w:rPr>
        <w:t>University of Wales Trinity Saint David</w:t>
      </w:r>
    </w:p>
    <w:p w14:paraId="15C3A3DD" w14:textId="77777777" w:rsidR="009119DD" w:rsidRPr="00B93F19" w:rsidRDefault="00C07A08" w:rsidP="009119DD">
      <w:pPr>
        <w:jc w:val="center"/>
        <w:rPr>
          <w:rStyle w:val="Strong"/>
          <w:sz w:val="32"/>
          <w:szCs w:val="32"/>
        </w:rPr>
      </w:pPr>
      <w:r>
        <w:rPr>
          <w:rStyle w:val="Strong"/>
          <w:sz w:val="32"/>
          <w:szCs w:val="32"/>
        </w:rPr>
        <w:t>Nursing Studies and Professional Healthcare</w:t>
      </w:r>
    </w:p>
    <w:p w14:paraId="0D721B32" w14:textId="77777777" w:rsidR="00213196" w:rsidRPr="00B93F19" w:rsidRDefault="00213196" w:rsidP="00EE50A8">
      <w:pPr>
        <w:jc w:val="center"/>
        <w:rPr>
          <w:rStyle w:val="Strong"/>
          <w:sz w:val="32"/>
          <w:szCs w:val="32"/>
        </w:rPr>
      </w:pPr>
    </w:p>
    <w:p w14:paraId="6D8A12B2" w14:textId="77777777" w:rsidR="00597617" w:rsidRDefault="00C07A08" w:rsidP="00EE50A8">
      <w:pPr>
        <w:jc w:val="center"/>
        <w:rPr>
          <w:rStyle w:val="Strong"/>
          <w:sz w:val="32"/>
          <w:szCs w:val="32"/>
        </w:rPr>
      </w:pPr>
      <w:r>
        <w:rPr>
          <w:noProof/>
        </w:rPr>
        <w:drawing>
          <wp:inline distT="0" distB="0" distL="0" distR="0" wp14:anchorId="6BD354C3" wp14:editId="2567B58D">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TSD_corp_logo2013_0"/>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55595" cy="1125220"/>
                    </a:xfrm>
                    <a:prstGeom prst="rect">
                      <a:avLst/>
                    </a:prstGeom>
                    <a:noFill/>
                    <a:ln>
                      <a:noFill/>
                    </a:ln>
                  </pic:spPr>
                </pic:pic>
              </a:graphicData>
            </a:graphic>
          </wp:inline>
        </w:drawing>
      </w:r>
    </w:p>
    <w:p w14:paraId="64FC2615" w14:textId="77777777" w:rsidR="00597617" w:rsidRDefault="00597617" w:rsidP="00EE50A8">
      <w:pPr>
        <w:jc w:val="center"/>
        <w:rPr>
          <w:rStyle w:val="Strong"/>
          <w:sz w:val="32"/>
          <w:szCs w:val="32"/>
        </w:rPr>
      </w:pPr>
    </w:p>
    <w:p w14:paraId="384DD15D" w14:textId="77777777" w:rsidR="00213196" w:rsidRPr="00B93F19" w:rsidRDefault="00C07A08" w:rsidP="00EE50A8">
      <w:pPr>
        <w:jc w:val="center"/>
        <w:rPr>
          <w:rStyle w:val="Strong"/>
          <w:sz w:val="32"/>
          <w:szCs w:val="32"/>
        </w:rPr>
      </w:pPr>
      <w:r>
        <w:rPr>
          <w:rStyle w:val="Strong"/>
          <w:sz w:val="32"/>
          <w:szCs w:val="32"/>
        </w:rPr>
        <w:t>Fundamentals of Care</w:t>
      </w:r>
    </w:p>
    <w:p w14:paraId="1C65BF8B" w14:textId="77777777" w:rsidR="00466EC6" w:rsidRPr="00B93F19" w:rsidRDefault="00C07A08" w:rsidP="00EE50A8">
      <w:pPr>
        <w:jc w:val="center"/>
        <w:rPr>
          <w:rStyle w:val="Strong"/>
          <w:sz w:val="32"/>
          <w:szCs w:val="32"/>
        </w:rPr>
      </w:pPr>
      <w:r>
        <w:rPr>
          <w:rStyle w:val="Strong"/>
          <w:sz w:val="32"/>
          <w:szCs w:val="32"/>
        </w:rPr>
        <w:t>BMNS4004</w:t>
      </w:r>
    </w:p>
    <w:p w14:paraId="0671FA69" w14:textId="77777777" w:rsidR="00532EB0" w:rsidRPr="00B93F19" w:rsidRDefault="00532EB0" w:rsidP="00EE50A8">
      <w:pPr>
        <w:jc w:val="center"/>
        <w:rPr>
          <w:rStyle w:val="Strong"/>
          <w:sz w:val="32"/>
          <w:szCs w:val="32"/>
        </w:rPr>
      </w:pPr>
    </w:p>
    <w:p w14:paraId="5DA0497C" w14:textId="77777777" w:rsidR="00597617" w:rsidRDefault="00597617" w:rsidP="00EE50A8">
      <w:pPr>
        <w:jc w:val="center"/>
        <w:rPr>
          <w:rStyle w:val="Strong"/>
          <w:sz w:val="32"/>
          <w:szCs w:val="32"/>
        </w:rPr>
      </w:pPr>
    </w:p>
    <w:p w14:paraId="693014DA" w14:textId="77777777" w:rsidR="00532EB0" w:rsidRPr="00B93F19" w:rsidRDefault="00C07A08" w:rsidP="00EE50A8">
      <w:pPr>
        <w:jc w:val="center"/>
        <w:rPr>
          <w:rStyle w:val="Strong"/>
          <w:sz w:val="32"/>
          <w:szCs w:val="32"/>
        </w:rPr>
      </w:pPr>
      <w:r w:rsidRPr="00B93F19">
        <w:rPr>
          <w:rStyle w:val="Strong"/>
          <w:sz w:val="32"/>
          <w:szCs w:val="32"/>
        </w:rPr>
        <w:t>C</w:t>
      </w:r>
      <w:r w:rsidR="009119DD">
        <w:rPr>
          <w:rStyle w:val="Strong"/>
          <w:sz w:val="32"/>
          <w:szCs w:val="32"/>
        </w:rPr>
        <w:t xml:space="preserve">arly </w:t>
      </w:r>
      <w:r w:rsidRPr="00B93F19">
        <w:rPr>
          <w:rStyle w:val="Strong"/>
          <w:sz w:val="32"/>
          <w:szCs w:val="32"/>
        </w:rPr>
        <w:t>Davies</w:t>
      </w:r>
    </w:p>
    <w:p w14:paraId="749CE43B" w14:textId="77777777" w:rsidR="00532EB0" w:rsidRPr="00B93F19" w:rsidRDefault="00C07A08" w:rsidP="00EE50A8">
      <w:pPr>
        <w:jc w:val="center"/>
        <w:rPr>
          <w:rStyle w:val="Strong"/>
          <w:sz w:val="32"/>
          <w:szCs w:val="32"/>
        </w:rPr>
      </w:pPr>
      <w:r>
        <w:rPr>
          <w:rStyle w:val="Strong"/>
          <w:sz w:val="32"/>
          <w:szCs w:val="32"/>
        </w:rPr>
        <w:t>2319545</w:t>
      </w:r>
    </w:p>
    <w:p w14:paraId="41ECA0FF" w14:textId="77777777" w:rsidR="00346068" w:rsidRPr="00B93F19" w:rsidRDefault="00C07A08" w:rsidP="00EE50A8">
      <w:pPr>
        <w:jc w:val="center"/>
        <w:rPr>
          <w:rStyle w:val="Strong"/>
          <w:sz w:val="32"/>
          <w:szCs w:val="32"/>
        </w:rPr>
      </w:pPr>
      <w:r>
        <w:rPr>
          <w:rStyle w:val="Strong"/>
          <w:sz w:val="32"/>
          <w:szCs w:val="32"/>
        </w:rPr>
        <w:t>17</w:t>
      </w:r>
      <w:r w:rsidRPr="00B93F19">
        <w:rPr>
          <w:rStyle w:val="Strong"/>
          <w:sz w:val="32"/>
          <w:szCs w:val="32"/>
        </w:rPr>
        <w:t>/</w:t>
      </w:r>
      <w:r w:rsidR="006D4B03">
        <w:rPr>
          <w:rStyle w:val="Strong"/>
          <w:sz w:val="32"/>
          <w:szCs w:val="32"/>
        </w:rPr>
        <w:t>1</w:t>
      </w:r>
      <w:r>
        <w:rPr>
          <w:rStyle w:val="Strong"/>
          <w:sz w:val="32"/>
          <w:szCs w:val="32"/>
        </w:rPr>
        <w:t>1</w:t>
      </w:r>
      <w:r w:rsidRPr="00B93F19">
        <w:rPr>
          <w:rStyle w:val="Strong"/>
          <w:sz w:val="32"/>
          <w:szCs w:val="32"/>
        </w:rPr>
        <w:t>/2023</w:t>
      </w:r>
    </w:p>
    <w:p w14:paraId="2DE93054" w14:textId="77777777" w:rsidR="00433677" w:rsidRDefault="00C07A08">
      <w:pPr>
        <w:spacing w:line="259" w:lineRule="auto"/>
        <w:rPr>
          <w:rStyle w:val="Strong"/>
        </w:rPr>
      </w:pPr>
      <w:r>
        <w:rPr>
          <w:rStyle w:val="Strong"/>
        </w:rPr>
        <w:br w:type="page"/>
      </w:r>
    </w:p>
    <w:p w14:paraId="65EFCA40" w14:textId="77777777" w:rsidR="00433677" w:rsidRDefault="00433677" w:rsidP="007C31F1">
      <w:pPr>
        <w:rPr>
          <w:rStyle w:val="Strong"/>
        </w:rPr>
        <w:sectPr w:rsidR="00433677" w:rsidSect="00433677">
          <w:footerReference w:type="even" r:id="rId9"/>
          <w:footerReference w:type="default" r:id="rId10"/>
          <w:footerReference w:type="first" r:id="rId11"/>
          <w:pgSz w:w="11906" w:h="16838"/>
          <w:pgMar w:top="1440" w:right="1440" w:bottom="1440" w:left="1440" w:header="708" w:footer="708" w:gutter="0"/>
          <w:pgNumType w:fmt="lowerRoman"/>
          <w:cols w:space="708"/>
          <w:titlePg/>
          <w:docGrid w:linePitch="360"/>
        </w:sectPr>
      </w:pPr>
    </w:p>
    <w:p w14:paraId="3B2EDAE2" w14:textId="77777777" w:rsidR="00A50900" w:rsidRPr="00E24E85" w:rsidRDefault="00C07A08" w:rsidP="00E24E85">
      <w:pPr>
        <w:pStyle w:val="Heading1"/>
        <w:numPr>
          <w:ilvl w:val="0"/>
          <w:numId w:val="0"/>
        </w:numPr>
        <w:ind w:left="432" w:hanging="432"/>
        <w:rPr>
          <w:rStyle w:val="Strong"/>
        </w:rPr>
      </w:pPr>
      <w:bookmarkStart w:id="0" w:name="_Toc148989767"/>
      <w:r w:rsidRPr="00E24E85">
        <w:rPr>
          <w:rStyle w:val="Strong"/>
        </w:rPr>
        <w:lastRenderedPageBreak/>
        <w:t>Introduction</w:t>
      </w:r>
      <w:bookmarkEnd w:id="0"/>
    </w:p>
    <w:p w14:paraId="0F8FDD95" w14:textId="77777777" w:rsidR="00BC027C" w:rsidRDefault="00C07A08" w:rsidP="00BC027C">
      <w:r w:rsidRPr="00B30BDE">
        <w:t xml:space="preserve">In this </w:t>
      </w:r>
      <w:r>
        <w:t>write</w:t>
      </w:r>
      <w:r w:rsidRPr="00B30BDE">
        <w:t>-up, I will discuss</w:t>
      </w:r>
      <w:r w:rsidR="007A3566">
        <w:t xml:space="preserve"> </w:t>
      </w:r>
      <w:r w:rsidR="007A3566" w:rsidRPr="007A3566">
        <w:t xml:space="preserve">Infection prevention and control (IPC) </w:t>
      </w:r>
      <w:r w:rsidR="007A3566">
        <w:t xml:space="preserve">and how they are </w:t>
      </w:r>
      <w:r w:rsidR="007A3566" w:rsidRPr="007A3566">
        <w:t xml:space="preserve">essential </w:t>
      </w:r>
      <w:r w:rsidR="007A3566">
        <w:t>to</w:t>
      </w:r>
      <w:r w:rsidR="007A3566" w:rsidRPr="007A3566">
        <w:t xml:space="preserve"> maintaining a safe and healthy environment within </w:t>
      </w:r>
      <w:r w:rsidR="007A3566">
        <w:t xml:space="preserve">the healthcare </w:t>
      </w:r>
      <w:r w:rsidR="00866135">
        <w:t xml:space="preserve">sector. </w:t>
      </w:r>
      <w:r w:rsidR="007A3566" w:rsidRPr="007A3566">
        <w:t xml:space="preserve">With the potential for the rapid spread of infectious diseases, it is essential to have a robust IPC strategy </w:t>
      </w:r>
      <w:r w:rsidR="00866135">
        <w:t xml:space="preserve">to protect vulnerable patients, healthcare workers and the wider community. </w:t>
      </w:r>
      <w:r>
        <w:t xml:space="preserve">To reduce risks and infections at the workplace, I will use operating theatres as my write-up on infection control. I currently work in this environment and see daily how important it is to sustain the basic IPC policy. </w:t>
      </w:r>
    </w:p>
    <w:p w14:paraId="1D344990" w14:textId="77777777" w:rsidR="006D4B03" w:rsidRDefault="00C07A08" w:rsidP="006D4B03">
      <w:r>
        <w:t>I will cover the following standard precautions:</w:t>
      </w:r>
    </w:p>
    <w:p w14:paraId="79F6E822" w14:textId="77777777" w:rsidR="006D4B03" w:rsidRDefault="00C07A08" w:rsidP="006D4B03">
      <w:pPr>
        <w:pStyle w:val="ListParagraph"/>
        <w:numPr>
          <w:ilvl w:val="0"/>
          <w:numId w:val="3"/>
        </w:numPr>
      </w:pPr>
      <w:r>
        <w:t>Hand hygiene at the five moments the World Health Organisation (WHO) described, including before and after each patient contact.</w:t>
      </w:r>
    </w:p>
    <w:p w14:paraId="103463DB" w14:textId="77777777" w:rsidR="006D4B03" w:rsidRDefault="00C07A08" w:rsidP="006D4B03">
      <w:pPr>
        <w:pStyle w:val="ListParagraph"/>
        <w:numPr>
          <w:ilvl w:val="0"/>
          <w:numId w:val="3"/>
        </w:numPr>
      </w:pPr>
      <w:r>
        <w:t>The correct use of Personal Protective Equipment (PPE).</w:t>
      </w:r>
    </w:p>
    <w:p w14:paraId="44E773A4" w14:textId="77777777" w:rsidR="006D4B03" w:rsidRDefault="00C07A08" w:rsidP="006D4B03">
      <w:pPr>
        <w:pStyle w:val="ListParagraph"/>
        <w:numPr>
          <w:ilvl w:val="0"/>
          <w:numId w:val="3"/>
        </w:numPr>
      </w:pPr>
      <w:r>
        <w:t>The safe disposal of waste</w:t>
      </w:r>
      <w:r w:rsidR="006860A0">
        <w:t xml:space="preserve"> and sharps</w:t>
      </w:r>
    </w:p>
    <w:p w14:paraId="7E4C456C" w14:textId="77777777" w:rsidR="006D4B03" w:rsidRDefault="00C07A08" w:rsidP="006D4B03">
      <w:pPr>
        <w:pStyle w:val="ListParagraph"/>
        <w:numPr>
          <w:ilvl w:val="0"/>
          <w:numId w:val="3"/>
        </w:numPr>
      </w:pPr>
      <w:r>
        <w:t>The safe management of used linen.</w:t>
      </w:r>
    </w:p>
    <w:p w14:paraId="4F10412F" w14:textId="77777777" w:rsidR="00BC027C" w:rsidRDefault="00C07A08" w:rsidP="00BC027C">
      <w:pPr>
        <w:pStyle w:val="ListParagraph"/>
        <w:numPr>
          <w:ilvl w:val="0"/>
          <w:numId w:val="3"/>
        </w:numPr>
      </w:pPr>
      <w:r>
        <w:t xml:space="preserve">Providing care in a suitably clean environment. </w:t>
      </w:r>
    </w:p>
    <w:p w14:paraId="3DA19924" w14:textId="77777777" w:rsidR="00BC027C" w:rsidRDefault="00BC027C" w:rsidP="00BC027C"/>
    <w:p w14:paraId="7B7CD796" w14:textId="77777777" w:rsidR="00BC027C" w:rsidRPr="00E24E85" w:rsidRDefault="00C07A08" w:rsidP="00BC027C">
      <w:pPr>
        <w:pStyle w:val="Heading1"/>
        <w:numPr>
          <w:ilvl w:val="0"/>
          <w:numId w:val="0"/>
        </w:numPr>
        <w:rPr>
          <w:b/>
          <w:bCs/>
        </w:rPr>
      </w:pPr>
      <w:r w:rsidRPr="00E24E85">
        <w:rPr>
          <w:b/>
          <w:bCs/>
        </w:rPr>
        <w:t xml:space="preserve">What is Infection Prevention &amp; Control? </w:t>
      </w:r>
    </w:p>
    <w:p w14:paraId="7F6789B4" w14:textId="1B0DB8E1" w:rsidR="006D4B03" w:rsidRDefault="00C07A08" w:rsidP="006D4B03">
      <w:r>
        <w:t xml:space="preserve">Infection prevention and control (IPC) is a practical, evidence-based approach to preventing patients and health workers from being harmed by avoidable infections. Effective IPC requires constant action at all levels of the health system, including policymakers, facility managers, health workers and those who access health services. IPC is unique </w:t>
      </w:r>
      <w:r w:rsidR="00900041">
        <w:t>in-patient</w:t>
      </w:r>
      <w:r>
        <w:t xml:space="preserve"> safety and quality of care, as it is universally relevant to every health worker and patient at every healthcare interaction. Defective IPC causes harm and can kill. With effective IPC it is possible to achieve quality health care delivery.</w:t>
      </w:r>
    </w:p>
    <w:p w14:paraId="421AB41A" w14:textId="77777777" w:rsidR="002A7F71" w:rsidRDefault="00C07A08" w:rsidP="006D4B03">
      <w:r>
        <w:t xml:space="preserve">Infection prevention and control affects all aspects of health care, including hand hygiene, surgical site infections, injection safety, antimicrobial resistance and how hospitals operate during and outside of emergencies. Programmes to support IPC are particularly important in low- and middle-income countries, where healthcare delivery and medical hygiene standards may be negatively affected by secondary infections. </w:t>
      </w:r>
    </w:p>
    <w:p w14:paraId="157C3113" w14:textId="1195ED4D" w:rsidR="006D4B03" w:rsidRDefault="00000000" w:rsidP="002A7F71">
      <w:pPr>
        <w:ind w:left="4320" w:firstLine="720"/>
      </w:pPr>
      <w:sdt>
        <w:sdtPr>
          <w:id w:val="-959029802"/>
          <w:citation/>
        </w:sdtPr>
        <w:sdtContent>
          <w:r w:rsidR="00C07A08">
            <w:fldChar w:fldCharType="begin"/>
          </w:r>
          <w:r w:rsidR="002A7F71">
            <w:instrText xml:space="preserve">CITATION WHO23 \l 2057 </w:instrText>
          </w:r>
          <w:r w:rsidR="00C07A08">
            <w:fldChar w:fldCharType="separate"/>
          </w:r>
          <w:r w:rsidR="00E24E85" w:rsidRPr="00E24E85">
            <w:rPr>
              <w:noProof/>
            </w:rPr>
            <w:t>(World Health Organisation, 2023)</w:t>
          </w:r>
          <w:r w:rsidR="00C07A08">
            <w:fldChar w:fldCharType="end"/>
          </w:r>
        </w:sdtContent>
      </w:sdt>
    </w:p>
    <w:p w14:paraId="58736165" w14:textId="6FECBA32" w:rsidR="006D4B03" w:rsidRDefault="00C07A08" w:rsidP="006D4B03">
      <w:r>
        <w:lastRenderedPageBreak/>
        <w:t xml:space="preserve">Studies show that surgical site infections (SSIs) constitute around 20% of hospital-acquired infections. So, infection prevention and control in operating theatres is essential for ensuring the safety of the patient. </w:t>
      </w:r>
      <w:r w:rsidR="009A7833">
        <w:tab/>
      </w:r>
      <w:r w:rsidR="009A7833">
        <w:tab/>
      </w:r>
      <w:r w:rsidR="009A7833">
        <w:tab/>
      </w:r>
      <w:r w:rsidR="009A7833">
        <w:tab/>
      </w:r>
      <w:sdt>
        <w:sdtPr>
          <w:id w:val="-320044049"/>
          <w:citation/>
        </w:sdtPr>
        <w:sdtContent>
          <w:r w:rsidR="00EB1729">
            <w:fldChar w:fldCharType="begin"/>
          </w:r>
          <w:r w:rsidR="002A7F71">
            <w:instrText xml:space="preserve">CITATION Cai22 \l 2057 </w:instrText>
          </w:r>
          <w:r w:rsidR="00EB1729">
            <w:fldChar w:fldCharType="separate"/>
          </w:r>
          <w:r w:rsidR="00E24E85" w:rsidRPr="00E24E85">
            <w:rPr>
              <w:noProof/>
            </w:rPr>
            <w:t>(Cairn Technology, 2022)</w:t>
          </w:r>
          <w:r w:rsidR="00EB1729">
            <w:fldChar w:fldCharType="end"/>
          </w:r>
        </w:sdtContent>
      </w:sdt>
    </w:p>
    <w:p w14:paraId="5D6C4212" w14:textId="77777777" w:rsidR="00EB1729" w:rsidRDefault="00EB1729" w:rsidP="006D4B03"/>
    <w:p w14:paraId="1D2F9956" w14:textId="77777777" w:rsidR="006D4B03" w:rsidRDefault="00C07A08" w:rsidP="006D4B03">
      <w:r>
        <w:t xml:space="preserve">The operating theatre should be aseptic, </w:t>
      </w:r>
      <w:r w:rsidR="00DC49CC">
        <w:t>highly sterile</w:t>
      </w:r>
      <w:r>
        <w:t>, and restricted. The following measures can help prevent and control infection in operating theatres:</w:t>
      </w:r>
    </w:p>
    <w:p w14:paraId="461A4831" w14:textId="77777777" w:rsidR="009A7833" w:rsidRDefault="00C07A08" w:rsidP="006D4B03">
      <w:pPr>
        <w:pStyle w:val="ListParagraph"/>
        <w:numPr>
          <w:ilvl w:val="0"/>
          <w:numId w:val="5"/>
        </w:numPr>
      </w:pPr>
      <w:r>
        <w:t>Proper ventilation with 20 air changes each hour.</w:t>
      </w:r>
    </w:p>
    <w:p w14:paraId="7950525E" w14:textId="77777777" w:rsidR="009A7833" w:rsidRDefault="00C07A08" w:rsidP="006D4B03">
      <w:pPr>
        <w:pStyle w:val="ListParagraph"/>
        <w:numPr>
          <w:ilvl w:val="0"/>
          <w:numId w:val="5"/>
        </w:numPr>
      </w:pPr>
      <w:r>
        <w:t>Separate doors for entry and exit. Sliding doors can minimise air currents as people enter and leave the room.</w:t>
      </w:r>
    </w:p>
    <w:p w14:paraId="1974E6CC" w14:textId="57B62D02" w:rsidR="009A7833" w:rsidRDefault="00C07A08" w:rsidP="00C45739">
      <w:pPr>
        <w:pStyle w:val="ListParagraph"/>
        <w:numPr>
          <w:ilvl w:val="0"/>
          <w:numId w:val="5"/>
        </w:numPr>
      </w:pPr>
      <w:r>
        <w:t xml:space="preserve">The operating theatre complex should be properly zoned based on the levels of cleanliness, the presence of microorganisms, and the types of procedures carried out. There should be separate areas for preparation and disposal, for scrubbing and gowning, and for the storage, sterilisation, assembly and washing of materials and equipment. </w:t>
      </w:r>
      <w:r>
        <w:tab/>
      </w:r>
      <w:r>
        <w:tab/>
      </w:r>
      <w:r>
        <w:tab/>
      </w:r>
      <w:r>
        <w:tab/>
      </w:r>
      <w:r>
        <w:tab/>
      </w:r>
      <w:r>
        <w:tab/>
      </w:r>
      <w:sdt>
        <w:sdtPr>
          <w:id w:val="-938668160"/>
          <w:citation/>
        </w:sdtPr>
        <w:sdtContent>
          <w:r>
            <w:fldChar w:fldCharType="begin"/>
          </w:r>
          <w:r w:rsidR="002A7F71">
            <w:instrText xml:space="preserve">CITATION Cai22 \l 2057 </w:instrText>
          </w:r>
          <w:r>
            <w:fldChar w:fldCharType="separate"/>
          </w:r>
          <w:r w:rsidR="00E24E85" w:rsidRPr="00E24E85">
            <w:rPr>
              <w:noProof/>
            </w:rPr>
            <w:t>(Cairn Technology, 2022)</w:t>
          </w:r>
          <w:r>
            <w:fldChar w:fldCharType="end"/>
          </w:r>
        </w:sdtContent>
      </w:sdt>
    </w:p>
    <w:p w14:paraId="34C6E352" w14:textId="77777777" w:rsidR="009A7833" w:rsidRDefault="009A7833" w:rsidP="009A7833">
      <w:pPr>
        <w:rPr>
          <w:rStyle w:val="Strong"/>
        </w:rPr>
      </w:pPr>
    </w:p>
    <w:p w14:paraId="4D0B9801" w14:textId="77777777" w:rsidR="00BC027C" w:rsidRDefault="00C07A08" w:rsidP="00BC027C">
      <w:pPr>
        <w:pStyle w:val="Heading1"/>
        <w:numPr>
          <w:ilvl w:val="0"/>
          <w:numId w:val="0"/>
        </w:numPr>
        <w:ind w:left="432" w:hanging="432"/>
        <w:rPr>
          <w:rStyle w:val="Strong"/>
        </w:rPr>
      </w:pPr>
      <w:r>
        <w:rPr>
          <w:rStyle w:val="Strong"/>
        </w:rPr>
        <w:t>Hand Hygiene</w:t>
      </w:r>
    </w:p>
    <w:p w14:paraId="50D348B0" w14:textId="77777777" w:rsidR="00BC027C" w:rsidRPr="00BC027C" w:rsidRDefault="00C07A08" w:rsidP="00BC027C">
      <w:pPr>
        <w:rPr>
          <w:rFonts w:eastAsia="Calibri" w:cs="Arial"/>
          <w:kern w:val="2"/>
          <w:szCs w:val="20"/>
          <w14:ligatures w14:val="standardContextual"/>
        </w:rPr>
      </w:pPr>
      <w:r w:rsidRPr="00BC027C">
        <w:rPr>
          <w:rFonts w:eastAsia="Calibri" w:cs="Arial"/>
          <w:kern w:val="2"/>
          <w:szCs w:val="20"/>
          <w14:ligatures w14:val="standardContextual"/>
        </w:rPr>
        <w:t>Hand washing</w:t>
      </w:r>
      <w:r>
        <w:rPr>
          <w:rFonts w:eastAsia="Calibri" w:cs="Arial"/>
          <w:kern w:val="2"/>
          <w:szCs w:val="20"/>
          <w14:ligatures w14:val="standardContextual"/>
        </w:rPr>
        <w:t xml:space="preserve"> and sanitisation</w:t>
      </w:r>
      <w:r w:rsidRPr="00BC027C">
        <w:rPr>
          <w:rFonts w:eastAsia="Calibri" w:cs="Arial"/>
          <w:kern w:val="2"/>
          <w:szCs w:val="20"/>
          <w14:ligatures w14:val="standardContextual"/>
        </w:rPr>
        <w:t xml:space="preserve"> </w:t>
      </w:r>
      <w:r w:rsidR="007F6F02">
        <w:rPr>
          <w:rFonts w:eastAsia="Calibri" w:cs="Arial"/>
          <w:kern w:val="2"/>
          <w:szCs w:val="20"/>
          <w14:ligatures w14:val="standardContextual"/>
        </w:rPr>
        <w:t xml:space="preserve">are fundamental </w:t>
      </w:r>
      <w:r w:rsidRPr="00BC027C">
        <w:rPr>
          <w:rFonts w:eastAsia="Calibri" w:cs="Arial"/>
          <w:kern w:val="2"/>
          <w:szCs w:val="20"/>
          <w14:ligatures w14:val="standardContextual"/>
        </w:rPr>
        <w:t xml:space="preserve">parts of working in the operating department </w:t>
      </w:r>
      <w:r w:rsidR="007F6F02">
        <w:rPr>
          <w:rFonts w:eastAsia="Calibri" w:cs="Arial"/>
          <w:kern w:val="2"/>
          <w:szCs w:val="20"/>
          <w14:ligatures w14:val="standardContextual"/>
        </w:rPr>
        <w:t xml:space="preserve">and preventing the transmission of </w:t>
      </w:r>
      <w:r w:rsidRPr="00BC027C">
        <w:rPr>
          <w:rFonts w:eastAsia="Calibri" w:cs="Arial"/>
          <w:kern w:val="2"/>
          <w:szCs w:val="20"/>
          <w14:ligatures w14:val="standardContextual"/>
        </w:rPr>
        <w:t>infection</w:t>
      </w:r>
      <w:r w:rsidR="007F6F02">
        <w:rPr>
          <w:rFonts w:eastAsia="Calibri" w:cs="Arial"/>
          <w:kern w:val="2"/>
          <w:szCs w:val="20"/>
          <w14:ligatures w14:val="standardContextual"/>
        </w:rPr>
        <w:t xml:space="preserve">s. The risk in this area </w:t>
      </w:r>
      <w:r w:rsidRPr="00BC027C">
        <w:rPr>
          <w:rFonts w:eastAsia="Calibri" w:cs="Arial"/>
          <w:kern w:val="2"/>
          <w:szCs w:val="20"/>
          <w14:ligatures w14:val="standardContextual"/>
        </w:rPr>
        <w:t>is higher due to open wounds. We always wash our hands before entering and leaving the room to ensure infection risks are kept to a minimum</w:t>
      </w:r>
      <w:r w:rsidR="007F6F02">
        <w:rPr>
          <w:rFonts w:eastAsia="Calibri" w:cs="Arial"/>
          <w:kern w:val="2"/>
          <w:szCs w:val="20"/>
          <w14:ligatures w14:val="standardContextual"/>
        </w:rPr>
        <w:t xml:space="preserve">, and personnel ensure that high standards are always adhered to. </w:t>
      </w:r>
    </w:p>
    <w:p w14:paraId="5498581C" w14:textId="77777777" w:rsidR="00BC027C" w:rsidRPr="00BC027C" w:rsidRDefault="00C07A08" w:rsidP="00BC027C">
      <w:pPr>
        <w:rPr>
          <w:rFonts w:eastAsia="Calibri" w:cs="Arial"/>
          <w:kern w:val="2"/>
          <w14:ligatures w14:val="standardContextual"/>
        </w:rPr>
      </w:pPr>
      <w:r w:rsidRPr="00BC027C">
        <w:rPr>
          <w:rFonts w:eastAsia="Calibri" w:cs="Arial"/>
          <w:kern w:val="2"/>
          <w14:ligatures w14:val="standardContextual"/>
        </w:rPr>
        <w:t xml:space="preserve">Health care-associated infections (HAIs) affect the quality of health care services, jeopardising patient safety and increasing health care costs. Infection prevention and control (IPC) is an evidence-based solution to prevent harm and reduce costs. Hand hygiene is vital for safe health care delivery, yet practices at the point of care remain suboptimal worldwide. </w:t>
      </w:r>
    </w:p>
    <w:p w14:paraId="737911A5" w14:textId="77777777" w:rsidR="00BC027C" w:rsidRPr="00BC027C" w:rsidRDefault="00C07A08" w:rsidP="00BC027C">
      <w:pPr>
        <w:rPr>
          <w:rFonts w:eastAsia="Calibri" w:cs="Arial"/>
          <w:kern w:val="2"/>
          <w:szCs w:val="20"/>
          <w14:ligatures w14:val="standardContextual"/>
        </w:rPr>
      </w:pPr>
      <w:r w:rsidRPr="00BC027C">
        <w:rPr>
          <w:rFonts w:eastAsia="Calibri" w:cs="Arial"/>
          <w:kern w:val="2"/>
          <w:szCs w:val="20"/>
          <w14:ligatures w14:val="standardContextual"/>
        </w:rPr>
        <w:t>There are five moments of hand hygiene that are:</w:t>
      </w:r>
    </w:p>
    <w:p w14:paraId="06A6E13A" w14:textId="77777777" w:rsidR="007F6F02" w:rsidRDefault="00C07A08" w:rsidP="00BC027C">
      <w:pPr>
        <w:pStyle w:val="ListParagraph"/>
        <w:numPr>
          <w:ilvl w:val="0"/>
          <w:numId w:val="7"/>
        </w:numPr>
        <w:rPr>
          <w:rFonts w:eastAsia="Calibri" w:cs="Arial"/>
          <w:kern w:val="2"/>
          <w:szCs w:val="20"/>
          <w14:ligatures w14:val="standardContextual"/>
        </w:rPr>
      </w:pPr>
      <w:r w:rsidRPr="007F6F02">
        <w:rPr>
          <w:rFonts w:eastAsia="Calibri" w:cs="Arial"/>
          <w:kern w:val="2"/>
          <w:szCs w:val="20"/>
          <w14:ligatures w14:val="standardContextual"/>
        </w:rPr>
        <w:t>Before touching a patient</w:t>
      </w:r>
      <w:r>
        <w:rPr>
          <w:rFonts w:eastAsia="Calibri" w:cs="Arial"/>
          <w:kern w:val="2"/>
          <w:szCs w:val="20"/>
          <w14:ligatures w14:val="standardContextual"/>
        </w:rPr>
        <w:t xml:space="preserve">. </w:t>
      </w:r>
    </w:p>
    <w:p w14:paraId="4B1B3254" w14:textId="77777777" w:rsidR="007F6F02" w:rsidRDefault="00C07A08" w:rsidP="00BC027C">
      <w:pPr>
        <w:pStyle w:val="ListParagraph"/>
        <w:numPr>
          <w:ilvl w:val="0"/>
          <w:numId w:val="7"/>
        </w:numPr>
        <w:rPr>
          <w:rFonts w:eastAsia="Calibri" w:cs="Arial"/>
          <w:kern w:val="2"/>
          <w:szCs w:val="20"/>
          <w14:ligatures w14:val="standardContextual"/>
        </w:rPr>
      </w:pPr>
      <w:r w:rsidRPr="007F6F02">
        <w:rPr>
          <w:rFonts w:eastAsia="Calibri" w:cs="Arial"/>
          <w:kern w:val="2"/>
          <w:szCs w:val="20"/>
          <w14:ligatures w14:val="standardContextual"/>
        </w:rPr>
        <w:t>Before the clean/aseptic procedure</w:t>
      </w:r>
      <w:r>
        <w:rPr>
          <w:rFonts w:eastAsia="Calibri" w:cs="Arial"/>
          <w:kern w:val="2"/>
          <w:szCs w:val="20"/>
          <w14:ligatures w14:val="standardContextual"/>
        </w:rPr>
        <w:t xml:space="preserve">. </w:t>
      </w:r>
    </w:p>
    <w:p w14:paraId="6D66AC8F" w14:textId="77777777" w:rsidR="007F6F02" w:rsidRDefault="00C07A08" w:rsidP="00BC027C">
      <w:pPr>
        <w:pStyle w:val="ListParagraph"/>
        <w:numPr>
          <w:ilvl w:val="0"/>
          <w:numId w:val="7"/>
        </w:numPr>
        <w:rPr>
          <w:rFonts w:eastAsia="Calibri" w:cs="Arial"/>
          <w:kern w:val="2"/>
          <w:szCs w:val="20"/>
          <w14:ligatures w14:val="standardContextual"/>
        </w:rPr>
      </w:pPr>
      <w:r w:rsidRPr="007F6F02">
        <w:rPr>
          <w:rFonts w:eastAsia="Calibri" w:cs="Arial"/>
          <w:kern w:val="2"/>
          <w:szCs w:val="20"/>
          <w14:ligatures w14:val="standardContextual"/>
        </w:rPr>
        <w:t>After body fluid exposure risks</w:t>
      </w:r>
    </w:p>
    <w:p w14:paraId="16F6E74F" w14:textId="77777777" w:rsidR="007F6F02" w:rsidRDefault="00C07A08" w:rsidP="00BC027C">
      <w:pPr>
        <w:pStyle w:val="ListParagraph"/>
        <w:numPr>
          <w:ilvl w:val="0"/>
          <w:numId w:val="7"/>
        </w:numPr>
        <w:rPr>
          <w:rFonts w:eastAsia="Calibri" w:cs="Arial"/>
          <w:kern w:val="2"/>
          <w:szCs w:val="20"/>
          <w14:ligatures w14:val="standardContextual"/>
        </w:rPr>
      </w:pPr>
      <w:r w:rsidRPr="007F6F02">
        <w:rPr>
          <w:rFonts w:eastAsia="Calibri" w:cs="Arial"/>
          <w:kern w:val="2"/>
          <w:szCs w:val="20"/>
          <w14:ligatures w14:val="standardContextual"/>
        </w:rPr>
        <w:t>After touching a patient</w:t>
      </w:r>
    </w:p>
    <w:p w14:paraId="191470D5" w14:textId="77777777" w:rsidR="00692C2F" w:rsidRDefault="00C07A08" w:rsidP="00BC027C">
      <w:pPr>
        <w:pStyle w:val="ListParagraph"/>
        <w:numPr>
          <w:ilvl w:val="0"/>
          <w:numId w:val="7"/>
        </w:numPr>
        <w:rPr>
          <w:rFonts w:eastAsia="Calibri" w:cs="Arial"/>
          <w:kern w:val="2"/>
          <w:szCs w:val="20"/>
          <w14:ligatures w14:val="standardContextual"/>
        </w:rPr>
      </w:pPr>
      <w:r w:rsidRPr="007F6F02">
        <w:rPr>
          <w:rFonts w:eastAsia="Calibri" w:cs="Arial"/>
          <w:kern w:val="2"/>
          <w:szCs w:val="20"/>
          <w14:ligatures w14:val="standardContextual"/>
        </w:rPr>
        <w:t xml:space="preserve">After touching a patient’s surroundings </w:t>
      </w:r>
      <w:r w:rsidR="007F6F02">
        <w:rPr>
          <w:rFonts w:eastAsia="Calibri" w:cs="Arial"/>
          <w:kern w:val="2"/>
          <w:szCs w:val="20"/>
          <w14:ligatures w14:val="standardContextual"/>
        </w:rPr>
        <w:tab/>
      </w:r>
    </w:p>
    <w:p w14:paraId="40395885" w14:textId="5746E6FC" w:rsidR="00BC027C" w:rsidRPr="007F6F02" w:rsidRDefault="00000000" w:rsidP="00692C2F">
      <w:pPr>
        <w:pStyle w:val="ListParagraph"/>
        <w:ind w:left="5040"/>
        <w:rPr>
          <w:rFonts w:eastAsia="Calibri" w:cs="Arial"/>
          <w:kern w:val="2"/>
          <w:szCs w:val="20"/>
          <w14:ligatures w14:val="standardContextual"/>
        </w:rPr>
      </w:pPr>
      <w:sdt>
        <w:sdtPr>
          <w:rPr>
            <w:rFonts w:eastAsia="Calibri" w:cs="Arial"/>
            <w:kern w:val="2"/>
            <w:szCs w:val="20"/>
            <w14:ligatures w14:val="standardContextual"/>
          </w:rPr>
          <w:id w:val="-264228190"/>
          <w:citation/>
        </w:sdtPr>
        <w:sdtContent>
          <w:r w:rsidR="007F6F02">
            <w:rPr>
              <w:rFonts w:eastAsia="Calibri" w:cs="Arial"/>
              <w:kern w:val="2"/>
              <w:szCs w:val="20"/>
              <w14:ligatures w14:val="standardContextual"/>
            </w:rPr>
            <w:fldChar w:fldCharType="begin"/>
          </w:r>
          <w:r w:rsidR="002A7F71">
            <w:rPr>
              <w:rFonts w:eastAsia="Calibri" w:cs="Arial"/>
              <w:kern w:val="2"/>
              <w:szCs w:val="20"/>
              <w14:ligatures w14:val="standardContextual"/>
            </w:rPr>
            <w:instrText xml:space="preserve">CITATION Wor09 \l 2057 </w:instrText>
          </w:r>
          <w:r w:rsidR="007F6F02">
            <w:rPr>
              <w:rFonts w:eastAsia="Calibri" w:cs="Arial"/>
              <w:kern w:val="2"/>
              <w:szCs w:val="20"/>
              <w14:ligatures w14:val="standardContextual"/>
            </w:rPr>
            <w:fldChar w:fldCharType="separate"/>
          </w:r>
          <w:r w:rsidR="00E24E85" w:rsidRPr="00E24E85">
            <w:rPr>
              <w:rFonts w:eastAsia="Calibri" w:cs="Arial"/>
              <w:noProof/>
              <w:kern w:val="2"/>
              <w:szCs w:val="20"/>
              <w14:ligatures w14:val="standardContextual"/>
            </w:rPr>
            <w:t>(World Health Organisation , 2009)</w:t>
          </w:r>
          <w:r w:rsidR="007F6F02">
            <w:rPr>
              <w:rFonts w:eastAsia="Calibri" w:cs="Arial"/>
              <w:kern w:val="2"/>
              <w:szCs w:val="20"/>
              <w14:ligatures w14:val="standardContextual"/>
            </w:rPr>
            <w:fldChar w:fldCharType="end"/>
          </w:r>
        </w:sdtContent>
      </w:sdt>
    </w:p>
    <w:p w14:paraId="7305C88B" w14:textId="77777777" w:rsidR="00BC027C" w:rsidRDefault="00C07A08" w:rsidP="00BC027C">
      <w:pPr>
        <w:rPr>
          <w:rFonts w:eastAsia="Calibri" w:cs="Arial"/>
          <w:kern w:val="2"/>
          <w:szCs w:val="20"/>
          <w14:ligatures w14:val="standardContextual"/>
        </w:rPr>
      </w:pPr>
      <w:r w:rsidRPr="00BC027C">
        <w:rPr>
          <w:rFonts w:eastAsia="Calibri" w:cs="Arial"/>
          <w:kern w:val="2"/>
          <w:szCs w:val="20"/>
          <w14:ligatures w14:val="standardContextual"/>
        </w:rPr>
        <w:lastRenderedPageBreak/>
        <w:t xml:space="preserve">These are important to protect the workforce and the patient from harmful germs in the healthcare environment. </w:t>
      </w:r>
    </w:p>
    <w:p w14:paraId="3FEB81B8" w14:textId="77777777" w:rsidR="00DC49CC" w:rsidRPr="00BC027C" w:rsidRDefault="00C07A08" w:rsidP="00BC027C">
      <w:pPr>
        <w:rPr>
          <w:rFonts w:eastAsia="Calibri" w:cs="Arial"/>
          <w:kern w:val="2"/>
          <w:szCs w:val="20"/>
          <w14:ligatures w14:val="standardContextual"/>
        </w:rPr>
      </w:pPr>
      <w:r>
        <w:rPr>
          <w:rFonts w:eastAsia="Calibri" w:cs="Arial"/>
          <w:kern w:val="2"/>
          <w:szCs w:val="20"/>
          <w14:ligatures w14:val="standardContextual"/>
        </w:rPr>
        <w:t>Hand sanitisers, including alcohol rubs, provide an effective and convenient alternative to hand washing with soap and water. Sanitisers are provided in every department to ensure we use them before entering and leaving the operating theatr</w:t>
      </w:r>
      <w:r w:rsidR="00B26B57">
        <w:rPr>
          <w:rFonts w:eastAsia="Calibri" w:cs="Arial"/>
          <w:kern w:val="2"/>
          <w:szCs w:val="20"/>
          <w14:ligatures w14:val="standardContextual"/>
        </w:rPr>
        <w:t xml:space="preserve">e. Washing hands effectively with soap is essential only when hands are visibly dirty. </w:t>
      </w:r>
    </w:p>
    <w:p w14:paraId="48DC482F" w14:textId="77777777" w:rsidR="00BC027C" w:rsidRPr="00BC027C" w:rsidRDefault="00C07A08" w:rsidP="00BC027C">
      <w:pPr>
        <w:rPr>
          <w:rFonts w:eastAsia="Calibri" w:cs="Arial"/>
          <w:kern w:val="2"/>
          <w:szCs w:val="20"/>
          <w14:ligatures w14:val="standardContextual"/>
        </w:rPr>
      </w:pPr>
      <w:r w:rsidRPr="00BC027C">
        <w:rPr>
          <w:rFonts w:eastAsia="Calibri" w:cs="Arial"/>
          <w:kern w:val="2"/>
          <w:szCs w:val="20"/>
          <w14:ligatures w14:val="standardContextual"/>
        </w:rPr>
        <w:t>When providing direct care, we must ensure that we are bare below the elbows before we start our handwashing techniques. This includes keeping hands free of jewellery and watches, wearing short sleeves or sleeves rolled up, and ensuring nobody has nail polish or acrylic nails.</w:t>
      </w:r>
    </w:p>
    <w:p w14:paraId="45CA12D5" w14:textId="7763A551" w:rsidR="007F6F02" w:rsidRDefault="00C07A08" w:rsidP="00B8247D">
      <w:pPr>
        <w:rPr>
          <w:rFonts w:eastAsia="Calibri" w:cs="Arial"/>
          <w:kern w:val="2"/>
          <w:szCs w:val="20"/>
          <w14:ligatures w14:val="standardContextual"/>
        </w:rPr>
      </w:pPr>
      <w:r w:rsidRPr="00BC027C">
        <w:rPr>
          <w:rFonts w:eastAsia="Calibri" w:cs="Arial"/>
          <w:kern w:val="2"/>
          <w:szCs w:val="20"/>
          <w14:ligatures w14:val="standardContextual"/>
        </w:rPr>
        <w:t>Jewellery inhibits good hand washing. Dirt and bacteria can remain beneath jewellery after hand washing. Long sleeves prevent washing of wrists and will easily become contaminated and so a route of transmissions of microorganisms.</w:t>
      </w:r>
      <w:r>
        <w:rPr>
          <w:rFonts w:eastAsia="Calibri" w:cs="Arial"/>
          <w:kern w:val="2"/>
          <w:szCs w:val="20"/>
          <w14:ligatures w14:val="standardContextual"/>
        </w:rPr>
        <w:t xml:space="preserve"> </w:t>
      </w:r>
      <w:r>
        <w:rPr>
          <w:rFonts w:eastAsia="Calibri" w:cs="Arial"/>
          <w:kern w:val="2"/>
          <w:szCs w:val="20"/>
          <w14:ligatures w14:val="standardContextual"/>
        </w:rPr>
        <w:tab/>
      </w:r>
      <w:sdt>
        <w:sdtPr>
          <w:rPr>
            <w:rFonts w:eastAsia="Calibri" w:cs="Arial"/>
            <w:kern w:val="2"/>
            <w:szCs w:val="20"/>
            <w14:ligatures w14:val="standardContextual"/>
          </w:rPr>
          <w:id w:val="-1989088372"/>
          <w:citation/>
        </w:sdtPr>
        <w:sdtContent>
          <w:r>
            <w:rPr>
              <w:rFonts w:eastAsia="Calibri" w:cs="Arial"/>
              <w:kern w:val="2"/>
              <w:szCs w:val="20"/>
              <w14:ligatures w14:val="standardContextual"/>
            </w:rPr>
            <w:fldChar w:fldCharType="begin"/>
          </w:r>
          <w:r w:rsidR="00C70C64">
            <w:rPr>
              <w:rFonts w:eastAsia="Calibri" w:cs="Arial"/>
              <w:kern w:val="2"/>
              <w:szCs w:val="20"/>
              <w14:ligatures w14:val="standardContextual"/>
            </w:rPr>
            <w:instrText xml:space="preserve">CITATION Dou15 \l 2057 </w:instrText>
          </w:r>
          <w:r>
            <w:rPr>
              <w:rFonts w:eastAsia="Calibri" w:cs="Arial"/>
              <w:kern w:val="2"/>
              <w:szCs w:val="20"/>
              <w14:ligatures w14:val="standardContextual"/>
            </w:rPr>
            <w:fldChar w:fldCharType="separate"/>
          </w:r>
          <w:r w:rsidR="00E24E85" w:rsidRPr="00E24E85">
            <w:rPr>
              <w:rFonts w:eastAsia="Calibri" w:cs="Arial"/>
              <w:noProof/>
              <w:kern w:val="2"/>
              <w:szCs w:val="20"/>
              <w14:ligatures w14:val="standardContextual"/>
            </w:rPr>
            <w:t>(Dougherty &amp; Lister, 2015)</w:t>
          </w:r>
          <w:r>
            <w:rPr>
              <w:rFonts w:eastAsia="Calibri" w:cs="Arial"/>
              <w:kern w:val="2"/>
              <w:szCs w:val="20"/>
              <w14:ligatures w14:val="standardContextual"/>
            </w:rPr>
            <w:fldChar w:fldCharType="end"/>
          </w:r>
        </w:sdtContent>
      </w:sdt>
    </w:p>
    <w:p w14:paraId="74415476" w14:textId="77777777" w:rsidR="006860A0" w:rsidRDefault="006860A0" w:rsidP="00692C2F">
      <w:pPr>
        <w:ind w:left="5760"/>
        <w:rPr>
          <w:rFonts w:eastAsia="Calibri" w:cs="Arial"/>
          <w:kern w:val="2"/>
          <w:szCs w:val="20"/>
          <w14:ligatures w14:val="standardContextual"/>
        </w:rPr>
      </w:pPr>
    </w:p>
    <w:p w14:paraId="09521FF7" w14:textId="77777777" w:rsidR="00C70C64" w:rsidRPr="00E24E85" w:rsidRDefault="00C07A08" w:rsidP="00893D79">
      <w:pPr>
        <w:pStyle w:val="Heading1"/>
        <w:numPr>
          <w:ilvl w:val="0"/>
          <w:numId w:val="0"/>
        </w:numPr>
        <w:rPr>
          <w:rFonts w:eastAsia="Calibri"/>
          <w:b/>
          <w:bCs/>
        </w:rPr>
      </w:pPr>
      <w:r w:rsidRPr="00E24E85">
        <w:rPr>
          <w:rFonts w:eastAsia="Calibri"/>
          <w:b/>
          <w:bCs/>
        </w:rPr>
        <w:t xml:space="preserve">Personal and Protective Equipment (PPE) </w:t>
      </w:r>
    </w:p>
    <w:p w14:paraId="2EA10C31" w14:textId="77777777" w:rsidR="00C70C64" w:rsidRPr="00C70C64" w:rsidRDefault="00C07A08" w:rsidP="00C70C64">
      <w:pPr>
        <w:rPr>
          <w:rFonts w:eastAsia="Calibri" w:cs="Arial"/>
          <w:kern w:val="2"/>
          <w:szCs w:val="20"/>
          <w14:ligatures w14:val="standardContextual"/>
        </w:rPr>
      </w:pPr>
      <w:r w:rsidRPr="00C70C64">
        <w:rPr>
          <w:rFonts w:eastAsia="Calibri" w:cs="Arial"/>
          <w:kern w:val="2"/>
          <w:szCs w:val="20"/>
          <w14:ligatures w14:val="standardContextual"/>
        </w:rPr>
        <w:t xml:space="preserve">Theatre Personal Protective Equipment (PPE) is essential to maintain whilst working in the surgical area. This helps keep the workforce and the patient safe before, during, and after surgery takes </w:t>
      </w:r>
      <w:r w:rsidR="00B26B57" w:rsidRPr="00C70C64">
        <w:rPr>
          <w:rFonts w:eastAsia="Calibri" w:cs="Arial"/>
          <w:kern w:val="2"/>
          <w:szCs w:val="20"/>
          <w14:ligatures w14:val="standardContextual"/>
        </w:rPr>
        <w:t>place.</w:t>
      </w:r>
      <w:r w:rsidR="00B26B57">
        <w:rPr>
          <w:rFonts w:eastAsia="Calibri" w:cs="Arial"/>
          <w:kern w:val="2"/>
          <w:szCs w:val="20"/>
          <w14:ligatures w14:val="standardContextual"/>
        </w:rPr>
        <w:t xml:space="preserve"> Gloves should be worn when touching body fluids,</w:t>
      </w:r>
      <w:r w:rsidR="00893D79">
        <w:rPr>
          <w:rFonts w:eastAsia="Calibri" w:cs="Arial"/>
          <w:kern w:val="2"/>
          <w:szCs w:val="20"/>
          <w14:ligatures w14:val="standardContextual"/>
        </w:rPr>
        <w:t xml:space="preserve"> </w:t>
      </w:r>
      <w:r w:rsidR="00B26B57">
        <w:rPr>
          <w:rFonts w:eastAsia="Calibri" w:cs="Arial"/>
          <w:kern w:val="2"/>
          <w:szCs w:val="20"/>
          <w14:ligatures w14:val="standardContextual"/>
        </w:rPr>
        <w:t>blood,</w:t>
      </w:r>
      <w:r w:rsidR="00893D79">
        <w:rPr>
          <w:rFonts w:eastAsia="Calibri" w:cs="Arial"/>
          <w:kern w:val="2"/>
          <w:szCs w:val="20"/>
          <w14:ligatures w14:val="standardContextual"/>
        </w:rPr>
        <w:t xml:space="preserve"> </w:t>
      </w:r>
      <w:r w:rsidR="00B26B57">
        <w:rPr>
          <w:rFonts w:eastAsia="Calibri" w:cs="Arial"/>
          <w:kern w:val="2"/>
          <w:szCs w:val="20"/>
          <w14:ligatures w14:val="standardContextual"/>
        </w:rPr>
        <w:t xml:space="preserve">contaminated </w:t>
      </w:r>
      <w:r w:rsidR="00B8247D">
        <w:rPr>
          <w:rFonts w:eastAsia="Calibri" w:cs="Arial"/>
          <w:kern w:val="2"/>
          <w:szCs w:val="20"/>
          <w14:ligatures w14:val="standardContextual"/>
        </w:rPr>
        <w:t>items,</w:t>
      </w:r>
      <w:r w:rsidR="00B26B57">
        <w:rPr>
          <w:rFonts w:eastAsia="Calibri" w:cs="Arial"/>
          <w:kern w:val="2"/>
          <w:szCs w:val="20"/>
          <w14:ligatures w14:val="standardContextual"/>
        </w:rPr>
        <w:t xml:space="preserve"> and any direct patient contact activities. Gloves are a single-used item and should be changed after each patient, followed by hand </w:t>
      </w:r>
      <w:r w:rsidR="006860A0">
        <w:rPr>
          <w:rFonts w:eastAsia="Calibri" w:cs="Arial"/>
          <w:kern w:val="2"/>
          <w:szCs w:val="20"/>
          <w14:ligatures w14:val="standardContextual"/>
        </w:rPr>
        <w:t>washing. Disposable</w:t>
      </w:r>
      <w:r w:rsidR="00B26B57">
        <w:rPr>
          <w:rFonts w:eastAsia="Calibri" w:cs="Arial"/>
          <w:kern w:val="2"/>
          <w:szCs w:val="20"/>
          <w14:ligatures w14:val="standardContextual"/>
        </w:rPr>
        <w:t xml:space="preserve"> aprons/gowns are designed to protect staff from standard precautions such as soiling during patient care, clothing from moisture and close skin-to-skin contact.</w:t>
      </w:r>
      <w:r w:rsidRPr="00C70C64">
        <w:rPr>
          <w:rFonts w:eastAsia="Calibri" w:cs="Arial"/>
          <w:kern w:val="2"/>
          <w:szCs w:val="20"/>
          <w14:ligatures w14:val="standardContextual"/>
        </w:rPr>
        <w:t xml:space="preserve"> The operating theatre attire is wearing scrubs, which we change into clean every day and out of after each day to minimise any infection from other areas of the department</w:t>
      </w:r>
      <w:r w:rsidR="006860A0">
        <w:rPr>
          <w:rFonts w:eastAsia="Calibri" w:cs="Arial"/>
          <w:kern w:val="2"/>
          <w:szCs w:val="20"/>
          <w14:ligatures w14:val="standardContextual"/>
        </w:rPr>
        <w:t xml:space="preserve">. Available PPE </w:t>
      </w:r>
      <w:r w:rsidRPr="00C70C64">
        <w:rPr>
          <w:rFonts w:eastAsia="Calibri" w:cs="Arial"/>
          <w:kern w:val="2"/>
          <w:szCs w:val="20"/>
          <w14:ligatures w14:val="standardContextual"/>
        </w:rPr>
        <w:t>such as surgical caps</w:t>
      </w:r>
      <w:r w:rsidR="006860A0">
        <w:rPr>
          <w:rFonts w:eastAsia="Calibri" w:cs="Arial"/>
          <w:kern w:val="2"/>
          <w:szCs w:val="20"/>
          <w14:ligatures w14:val="standardContextual"/>
        </w:rPr>
        <w:t>,</w:t>
      </w:r>
      <w:r w:rsidRPr="00C70C64">
        <w:rPr>
          <w:rFonts w:eastAsia="Calibri" w:cs="Arial"/>
          <w:kern w:val="2"/>
          <w:szCs w:val="20"/>
          <w14:ligatures w14:val="standardContextual"/>
        </w:rPr>
        <w:t xml:space="preserve"> masks</w:t>
      </w:r>
      <w:r w:rsidR="006860A0">
        <w:rPr>
          <w:rFonts w:eastAsia="Calibri" w:cs="Arial"/>
          <w:kern w:val="2"/>
          <w:szCs w:val="20"/>
          <w14:ligatures w14:val="standardContextual"/>
        </w:rPr>
        <w:t xml:space="preserve"> and goggles</w:t>
      </w:r>
      <w:r w:rsidRPr="00C70C64">
        <w:rPr>
          <w:rFonts w:eastAsia="Calibri" w:cs="Arial"/>
          <w:kern w:val="2"/>
          <w:szCs w:val="20"/>
          <w14:ligatures w14:val="standardContextual"/>
        </w:rPr>
        <w:t xml:space="preserve"> are disposable; this is to ensure that our hair is covered, and masks help prevent the transmission of any infectious agents near the open wound</w:t>
      </w:r>
      <w:r w:rsidR="00B26B57">
        <w:rPr>
          <w:rFonts w:eastAsia="Calibri" w:cs="Arial"/>
          <w:kern w:val="2"/>
          <w:szCs w:val="20"/>
          <w14:ligatures w14:val="standardContextual"/>
        </w:rPr>
        <w:t xml:space="preserve"> and </w:t>
      </w:r>
      <w:r w:rsidRPr="00C70C64">
        <w:rPr>
          <w:rFonts w:eastAsia="Calibri" w:cs="Arial"/>
          <w:kern w:val="2"/>
          <w:szCs w:val="20"/>
          <w14:ligatures w14:val="standardContextual"/>
        </w:rPr>
        <w:t xml:space="preserve">can also protect us from any splashbacks </w:t>
      </w:r>
      <w:r w:rsidR="006860A0">
        <w:rPr>
          <w:rFonts w:eastAsia="Calibri" w:cs="Arial"/>
          <w:kern w:val="2"/>
          <w:szCs w:val="20"/>
          <w14:ligatures w14:val="standardContextual"/>
        </w:rPr>
        <w:t xml:space="preserve">that may become in contact with your eyes, nose, or mouth </w:t>
      </w:r>
      <w:r w:rsidRPr="00C70C64">
        <w:rPr>
          <w:rFonts w:eastAsia="Calibri" w:cs="Arial"/>
          <w:kern w:val="2"/>
          <w:szCs w:val="20"/>
          <w14:ligatures w14:val="standardContextual"/>
        </w:rPr>
        <w:t xml:space="preserve">from the surgical area. Scrub staff, Surgeons and any other healthcare professionals touching or near the surgical sterile area should apply a sterile gown after they have done their surgical aseptic handwash. This reduces the risk of contamination. Footwear worn in theatres should be kept for theatre wear only and cleaned regularly to remove contaminants. </w:t>
      </w:r>
    </w:p>
    <w:p w14:paraId="735D75E2" w14:textId="4FCB3BCD" w:rsidR="00B8247D" w:rsidRDefault="00C07A08" w:rsidP="00C70C64">
      <w:pPr>
        <w:rPr>
          <w:rFonts w:eastAsia="Calibri" w:cs="Arial"/>
          <w:kern w:val="2"/>
          <w:szCs w:val="20"/>
          <w14:ligatures w14:val="standardContextual"/>
        </w:rPr>
      </w:pPr>
      <w:r>
        <w:rPr>
          <w:rFonts w:eastAsia="Calibri" w:cs="Arial"/>
          <w:kern w:val="2"/>
          <w:szCs w:val="20"/>
          <w14:ligatures w14:val="standardContextual"/>
        </w:rPr>
        <w:t>Association for Perioperative Practice states; t</w:t>
      </w:r>
      <w:r w:rsidR="00C70C64" w:rsidRPr="00893D79">
        <w:rPr>
          <w:rFonts w:eastAsia="Calibri" w:cs="Arial"/>
          <w:kern w:val="2"/>
          <w:szCs w:val="20"/>
          <w14:ligatures w14:val="standardContextual"/>
        </w:rPr>
        <w:t xml:space="preserve">he purpose of theatre attire is to provide a barrier that protects the patient from microorganisms shed into the environment from surgical </w:t>
      </w:r>
      <w:r w:rsidR="00C70C64" w:rsidRPr="00893D79">
        <w:rPr>
          <w:rFonts w:eastAsia="Calibri" w:cs="Arial"/>
          <w:kern w:val="2"/>
          <w:szCs w:val="20"/>
          <w14:ligatures w14:val="standardContextual"/>
        </w:rPr>
        <w:lastRenderedPageBreak/>
        <w:t xml:space="preserve">staff, and to protect the outside environment from theatre contaminants. Theatre attire is also a means of identifying theatre staff. </w:t>
      </w:r>
      <w:r w:rsidR="00893D79" w:rsidRPr="00893D79">
        <w:rPr>
          <w:rFonts w:eastAsia="Calibri" w:cs="Arial"/>
          <w:kern w:val="2"/>
          <w:szCs w:val="20"/>
          <w14:ligatures w14:val="standardContextual"/>
        </w:rPr>
        <w:t>All personnel entering restricted areas of the operating department wear designated theatre attire, thus decreasing the potential for wound infections in surgical patients. The National Institute for Health and Clinical Excellence (NICE 2008) concluded that all staff should wear specific non-sterile theatre wear in all areas where operations are undertaken.</w:t>
      </w:r>
      <w:r>
        <w:rPr>
          <w:rFonts w:eastAsia="Calibri" w:cs="Arial"/>
          <w:kern w:val="2"/>
          <w:szCs w:val="20"/>
          <w14:ligatures w14:val="standardContextual"/>
        </w:rPr>
        <w:tab/>
      </w:r>
      <w:r>
        <w:rPr>
          <w:rFonts w:eastAsia="Calibri" w:cs="Arial"/>
          <w:kern w:val="2"/>
          <w:szCs w:val="20"/>
          <w14:ligatures w14:val="standardContextual"/>
        </w:rPr>
        <w:tab/>
      </w:r>
      <w:sdt>
        <w:sdtPr>
          <w:rPr>
            <w:rFonts w:eastAsia="Calibri" w:cs="Arial"/>
            <w:kern w:val="2"/>
            <w:szCs w:val="20"/>
            <w14:ligatures w14:val="standardContextual"/>
          </w:rPr>
          <w:id w:val="1718080811"/>
          <w:citation/>
        </w:sdtPr>
        <w:sdtContent>
          <w:r>
            <w:rPr>
              <w:rFonts w:eastAsia="Calibri" w:cs="Arial"/>
              <w:kern w:val="2"/>
              <w:szCs w:val="20"/>
              <w14:ligatures w14:val="standardContextual"/>
            </w:rPr>
            <w:fldChar w:fldCharType="begin"/>
          </w:r>
          <w:r>
            <w:rPr>
              <w:rFonts w:eastAsia="Calibri" w:cs="Arial"/>
              <w:kern w:val="2"/>
              <w:szCs w:val="20"/>
              <w14:ligatures w14:val="standardContextual"/>
            </w:rPr>
            <w:instrText xml:space="preserve"> CITATION Ass11 \l 2057 </w:instrText>
          </w:r>
          <w:r>
            <w:rPr>
              <w:rFonts w:eastAsia="Calibri" w:cs="Arial"/>
              <w:kern w:val="2"/>
              <w:szCs w:val="20"/>
              <w14:ligatures w14:val="standardContextual"/>
            </w:rPr>
            <w:fldChar w:fldCharType="separate"/>
          </w:r>
          <w:r w:rsidR="00E24E85" w:rsidRPr="00E24E85">
            <w:rPr>
              <w:rFonts w:eastAsia="Calibri" w:cs="Arial"/>
              <w:noProof/>
              <w:kern w:val="2"/>
              <w:szCs w:val="20"/>
              <w14:ligatures w14:val="standardContextual"/>
            </w:rPr>
            <w:t>(Association for Perioperative Practice (AfPP), 2011)</w:t>
          </w:r>
          <w:r>
            <w:rPr>
              <w:rFonts w:eastAsia="Calibri" w:cs="Arial"/>
              <w:kern w:val="2"/>
              <w:szCs w:val="20"/>
              <w14:ligatures w14:val="standardContextual"/>
            </w:rPr>
            <w:fldChar w:fldCharType="end"/>
          </w:r>
        </w:sdtContent>
      </w:sdt>
    </w:p>
    <w:p w14:paraId="6380673F" w14:textId="77777777" w:rsidR="00B8247D" w:rsidRDefault="00B8247D" w:rsidP="00C70C64">
      <w:pPr>
        <w:rPr>
          <w:rFonts w:eastAsia="Calibri" w:cs="Arial"/>
          <w:kern w:val="2"/>
          <w:szCs w:val="20"/>
          <w14:ligatures w14:val="standardContextual"/>
        </w:rPr>
      </w:pPr>
    </w:p>
    <w:p w14:paraId="5005B760" w14:textId="77777777" w:rsidR="001B62E9" w:rsidRPr="00E24E85" w:rsidRDefault="00C07A08" w:rsidP="001B62E9">
      <w:pPr>
        <w:pStyle w:val="Heading1"/>
        <w:numPr>
          <w:ilvl w:val="0"/>
          <w:numId w:val="0"/>
        </w:numPr>
        <w:ind w:left="432" w:hanging="432"/>
        <w:rPr>
          <w:b/>
          <w:bCs/>
        </w:rPr>
      </w:pPr>
      <w:r w:rsidRPr="00E24E85">
        <w:rPr>
          <w:b/>
          <w:bCs/>
        </w:rPr>
        <w:t>Safe Disposal of Waste</w:t>
      </w:r>
      <w:r w:rsidR="006860A0" w:rsidRPr="00E24E85">
        <w:rPr>
          <w:b/>
          <w:bCs/>
        </w:rPr>
        <w:t xml:space="preserve"> and Sharps </w:t>
      </w:r>
      <w:r w:rsidRPr="00E24E85">
        <w:rPr>
          <w:b/>
          <w:bCs/>
        </w:rPr>
        <w:t xml:space="preserve"> </w:t>
      </w:r>
    </w:p>
    <w:p w14:paraId="0658AF67" w14:textId="555BCD96" w:rsidR="001B62E9" w:rsidRDefault="00C07A08" w:rsidP="001B62E9">
      <w:r w:rsidRPr="001B62E9">
        <w:t>There are many ways to dispose of waste</w:t>
      </w:r>
      <w:r w:rsidR="006860A0">
        <w:t xml:space="preserve"> and sharps</w:t>
      </w:r>
      <w:r w:rsidRPr="001B62E9">
        <w:t xml:space="preserve"> in </w:t>
      </w:r>
      <w:r w:rsidR="006860A0">
        <w:t xml:space="preserve">operating </w:t>
      </w:r>
      <w:r w:rsidRPr="001B62E9">
        <w:t xml:space="preserve">theatres. Sharps boxes must be signed, dated, and disposed of safely once at the full limit. Waste bags must be labelled and used correctly, using the correct colour-coded waste bag. There are different colour codes for the waste to identify correct disposal waste; in </w:t>
      </w:r>
      <w:r w:rsidR="006860A0">
        <w:t>T</w:t>
      </w:r>
      <w:r w:rsidRPr="001B62E9">
        <w:t xml:space="preserve">heatres the </w:t>
      </w:r>
      <w:proofErr w:type="gramStart"/>
      <w:r w:rsidRPr="001B62E9">
        <w:t>most commonly used</w:t>
      </w:r>
      <w:proofErr w:type="gramEnd"/>
      <w:r w:rsidRPr="001B62E9">
        <w:t xml:space="preserve"> colour coded waste are as follows:</w:t>
      </w:r>
    </w:p>
    <w:p w14:paraId="3DEAE097" w14:textId="77777777" w:rsidR="00E24E85" w:rsidRPr="001B62E9" w:rsidRDefault="00E24E85" w:rsidP="001B62E9">
      <w:pPr>
        <w:rPr>
          <w:b/>
          <w:bCs/>
          <w:u w:val="single"/>
        </w:rPr>
      </w:pPr>
    </w:p>
    <w:p w14:paraId="134DA783" w14:textId="77777777" w:rsidR="001B62E9" w:rsidRPr="001B62E9" w:rsidRDefault="00C07A08" w:rsidP="001B62E9">
      <w:r w:rsidRPr="00BD29D7">
        <w:rPr>
          <w:color w:val="FFFF00"/>
        </w:rPr>
        <w:t>Yellow</w:t>
      </w:r>
      <w:r w:rsidRPr="001B62E9">
        <w:t xml:space="preserve"> - The </w:t>
      </w:r>
      <w:r w:rsidR="00BD29D7">
        <w:t>Y</w:t>
      </w:r>
      <w:r w:rsidRPr="001B62E9">
        <w:t>ellow clinical highly infectious waste stream is hazardous and is for category A pathogens and medicinally contaminated waste. This waste stream requires incineration.</w:t>
      </w:r>
    </w:p>
    <w:p w14:paraId="251FFCB2" w14:textId="77777777" w:rsidR="001B62E9" w:rsidRPr="001B62E9" w:rsidRDefault="00C07A08" w:rsidP="001B62E9">
      <w:r w:rsidRPr="00BD29D7">
        <w:rPr>
          <w:color w:val="FFC000"/>
        </w:rPr>
        <w:t>Orange</w:t>
      </w:r>
      <w:r w:rsidRPr="001B62E9">
        <w:t xml:space="preserve"> - The </w:t>
      </w:r>
      <w:r w:rsidR="00BD29D7">
        <w:t>O</w:t>
      </w:r>
      <w:r w:rsidRPr="001B62E9">
        <w:t>range clinical infectious waste stream is for hazardous and non-hazardous waste from patients with known or suspected infectious diseases. Medicines and anatomical waste must not be disposed of in this stream.</w:t>
      </w:r>
    </w:p>
    <w:p w14:paraId="572E03AB" w14:textId="77777777" w:rsidR="001B62E9" w:rsidRPr="001B62E9" w:rsidRDefault="00C07A08" w:rsidP="001B62E9">
      <w:r w:rsidRPr="00BD29D7">
        <w:rPr>
          <w:color w:val="FFFF00"/>
        </w:rPr>
        <w:t>Yellow</w:t>
      </w:r>
      <w:r w:rsidRPr="001B62E9">
        <w:t xml:space="preserve"> </w:t>
      </w:r>
      <w:r>
        <w:t>&amp; B</w:t>
      </w:r>
      <w:r w:rsidRPr="001B62E9">
        <w:t xml:space="preserve">lack - The </w:t>
      </w:r>
      <w:r w:rsidR="00BD29D7">
        <w:t>Yellow and Black</w:t>
      </w:r>
      <w:r w:rsidRPr="001B62E9">
        <w:t xml:space="preserve"> offensive waste stream, also known as the tiger stripe, is for non-hazardous, non-infectious waste that cannot be placed into the mixed municipal waste stream. This waste stream can be recycled, incinerated or deep landfilled.</w:t>
      </w:r>
    </w:p>
    <w:p w14:paraId="1B4F8A25" w14:textId="77777777" w:rsidR="001B62E9" w:rsidRPr="001B62E9" w:rsidRDefault="00C07A08" w:rsidP="001B62E9">
      <w:r w:rsidRPr="00BD29D7">
        <w:rPr>
          <w:color w:val="4472C4" w:themeColor="accent1"/>
        </w:rPr>
        <w:t>Blue</w:t>
      </w:r>
      <w:r w:rsidRPr="001B62E9">
        <w:t xml:space="preserve"> - The </w:t>
      </w:r>
      <w:r w:rsidR="00BD29D7">
        <w:t>B</w:t>
      </w:r>
      <w:r w:rsidRPr="001B62E9">
        <w:t>lue medicinal waste stream is for non-hazardous medicines and denatured drugs that require disposal and pose no risk of containing cytotoxic or cytostatic properties. This waste stream requires disposal by incineration.</w:t>
      </w:r>
    </w:p>
    <w:p w14:paraId="55736ACF" w14:textId="77777777" w:rsidR="001B62E9" w:rsidRPr="001B62E9" w:rsidRDefault="00C07A08" w:rsidP="001B62E9">
      <w:r w:rsidRPr="00BD29D7">
        <w:rPr>
          <w:color w:val="7030A0"/>
        </w:rPr>
        <w:t>Purple</w:t>
      </w:r>
      <w:r w:rsidRPr="001B62E9">
        <w:t xml:space="preserve"> - The </w:t>
      </w:r>
      <w:r w:rsidR="00BD29D7">
        <w:t>P</w:t>
      </w:r>
      <w:r w:rsidRPr="001B62E9">
        <w:t>urple waste stream is for hazardous waste contaminated by chemotherapy-related drugs and some medicines which contain cytotoxic or cytostatic properties.</w:t>
      </w:r>
    </w:p>
    <w:p w14:paraId="47D557F9" w14:textId="33A11D92" w:rsidR="001B62E9" w:rsidRDefault="00C07A08" w:rsidP="00B8247D">
      <w:r w:rsidRPr="00BD29D7">
        <w:rPr>
          <w:color w:val="FF0000"/>
        </w:rPr>
        <w:t>Red</w:t>
      </w:r>
      <w:r w:rsidR="00B8247D">
        <w:rPr>
          <w:color w:val="FF0000"/>
        </w:rPr>
        <w:t xml:space="preserve"> </w:t>
      </w:r>
      <w:r w:rsidRPr="001B62E9">
        <w:t xml:space="preserve">- The </w:t>
      </w:r>
      <w:r w:rsidR="00BD29D7">
        <w:t>R</w:t>
      </w:r>
      <w:r w:rsidRPr="001B62E9">
        <w:t xml:space="preserve">ed anatomical waste stream is for all body parts that require disposal and is </w:t>
      </w:r>
      <w:r w:rsidR="00B8247D" w:rsidRPr="001B62E9">
        <w:t>most associated</w:t>
      </w:r>
      <w:r w:rsidRPr="001B62E9">
        <w:t xml:space="preserve"> with surgical procedures. This waste stream contains hazardous and non-hazardous waste. This waste stream is incinerated.</w:t>
      </w:r>
      <w:r w:rsidR="002A7F71">
        <w:tab/>
      </w:r>
      <w:sdt>
        <w:sdtPr>
          <w:id w:val="1293090808"/>
          <w:citation/>
        </w:sdtPr>
        <w:sdtContent>
          <w:r w:rsidR="002A7F71">
            <w:fldChar w:fldCharType="begin"/>
          </w:r>
          <w:r w:rsidR="002A7F71">
            <w:instrText xml:space="preserve"> CITATION Ini23 \l 2057 </w:instrText>
          </w:r>
          <w:r w:rsidR="002A7F71">
            <w:fldChar w:fldCharType="separate"/>
          </w:r>
          <w:r w:rsidR="00E24E85" w:rsidRPr="00E24E85">
            <w:rPr>
              <w:noProof/>
            </w:rPr>
            <w:t>(Initial, 2023)</w:t>
          </w:r>
          <w:r w:rsidR="002A7F71">
            <w:fldChar w:fldCharType="end"/>
          </w:r>
        </w:sdtContent>
      </w:sdt>
    </w:p>
    <w:p w14:paraId="07FB0059" w14:textId="4349084F" w:rsidR="00E24E85" w:rsidRDefault="00E24E85" w:rsidP="00B8247D"/>
    <w:p w14:paraId="5E9CBDF4" w14:textId="77777777" w:rsidR="00EE2857" w:rsidRDefault="00C07A08" w:rsidP="006860A0">
      <w:r>
        <w:lastRenderedPageBreak/>
        <w:t>The term “sharps” includes items such as needles, scalpels, razor blades, medication ampules, and any other sharp items that may cause a penetrating injury, laceration, or puncture to the skin. Sharps contaminated with an infected patient’s blood can transit more than 20 diseases, including hepatitis B, C and Human Immunodeficiency virus (HIV).</w:t>
      </w:r>
    </w:p>
    <w:p w14:paraId="3E3012F5" w14:textId="77777777" w:rsidR="003739FD" w:rsidRDefault="00C07A08" w:rsidP="006860A0">
      <w:r>
        <w:t>The safe handling and disposal of needles and other sharp instruments forms part of an overall strategy to protect staff, patients, and visitors from exposure to blood-borne pathogens. As with many IPC procedures, the assessment and management of risks associated with the use of sharps is paramount, and safe systems of work and engineering controls must be in place to minimise any identified risks.</w:t>
      </w:r>
    </w:p>
    <w:p w14:paraId="55540842" w14:textId="6E442D9C" w:rsidR="006860A0" w:rsidRPr="00EE2857" w:rsidRDefault="00000000" w:rsidP="003739FD">
      <w:pPr>
        <w:ind w:left="4320"/>
        <w:rPr>
          <w:color w:val="FF0000"/>
        </w:rPr>
      </w:pPr>
      <w:sdt>
        <w:sdtPr>
          <w:id w:val="1088894435"/>
          <w:citation/>
        </w:sdtPr>
        <w:sdtContent>
          <w:r w:rsidR="002E53D8">
            <w:fldChar w:fldCharType="begin"/>
          </w:r>
          <w:r w:rsidR="002E53D8">
            <w:instrText xml:space="preserve"> CITATION Hea20 \l 2057 </w:instrText>
          </w:r>
          <w:r w:rsidR="002E53D8">
            <w:fldChar w:fldCharType="separate"/>
          </w:r>
          <w:r w:rsidR="00E24E85" w:rsidRPr="00E24E85">
            <w:rPr>
              <w:noProof/>
            </w:rPr>
            <w:t>(Healthcare Management Trust (HMT), 2020)</w:t>
          </w:r>
          <w:r w:rsidR="002E53D8">
            <w:fldChar w:fldCharType="end"/>
          </w:r>
        </w:sdtContent>
      </w:sdt>
      <w:r w:rsidR="00EE2857" w:rsidRPr="00EE2857">
        <w:rPr>
          <w:color w:val="FF0000"/>
        </w:rPr>
        <w:t xml:space="preserve"> </w:t>
      </w:r>
    </w:p>
    <w:p w14:paraId="5DEF4858" w14:textId="77777777" w:rsidR="00E24E85" w:rsidRDefault="00E24E85" w:rsidP="002A7F71">
      <w:pPr>
        <w:pStyle w:val="Heading1"/>
        <w:numPr>
          <w:ilvl w:val="0"/>
          <w:numId w:val="0"/>
        </w:numPr>
      </w:pPr>
    </w:p>
    <w:p w14:paraId="13CDC237" w14:textId="3FBD583F" w:rsidR="001B62E9" w:rsidRPr="00E24E85" w:rsidRDefault="00C07A08" w:rsidP="002A7F71">
      <w:pPr>
        <w:pStyle w:val="Heading1"/>
        <w:numPr>
          <w:ilvl w:val="0"/>
          <w:numId w:val="0"/>
        </w:numPr>
        <w:rPr>
          <w:b/>
          <w:bCs/>
        </w:rPr>
      </w:pPr>
      <w:r w:rsidRPr="00E24E85">
        <w:rPr>
          <w:b/>
          <w:bCs/>
        </w:rPr>
        <w:t xml:space="preserve">Safe Management for used </w:t>
      </w:r>
      <w:proofErr w:type="gramStart"/>
      <w:r w:rsidR="00B8247D" w:rsidRPr="00E24E85">
        <w:rPr>
          <w:b/>
          <w:bCs/>
        </w:rPr>
        <w:t>Linen</w:t>
      </w:r>
      <w:proofErr w:type="gramEnd"/>
    </w:p>
    <w:p w14:paraId="57A08395" w14:textId="77777777" w:rsidR="001B62E9" w:rsidRDefault="00C07A08" w:rsidP="001B62E9">
      <w:r w:rsidRPr="001B62E9">
        <w:t>Management of soiled linen in the healthcare environment as with waste, soiled linen must be managed to minimise any risk to any person coming in</w:t>
      </w:r>
      <w:r w:rsidR="00B8247D">
        <w:t xml:space="preserve"> </w:t>
      </w:r>
      <w:r w:rsidRPr="001B62E9">
        <w:t xml:space="preserve">to contact with it. This is done by clearly identifying any soiled linen that may present a risk </w:t>
      </w:r>
      <w:proofErr w:type="gramStart"/>
      <w:r w:rsidRPr="001B62E9">
        <w:t>through the use of</w:t>
      </w:r>
      <w:proofErr w:type="gramEnd"/>
      <w:r w:rsidRPr="001B62E9">
        <w:t xml:space="preserve"> colour coding and limiting any contact with such linen through the use of a water-soluble bags to contain the linen so that the laundry staff do not have to handle it before it goes into the washer</w:t>
      </w:r>
      <w:r w:rsidR="002A7F71">
        <w:t xml:space="preserve">. </w:t>
      </w:r>
    </w:p>
    <w:p w14:paraId="43E4CF88" w14:textId="082C2D53" w:rsidR="002A7F71" w:rsidRPr="001B62E9" w:rsidRDefault="00C07A08" w:rsidP="001B62E9">
      <w:r>
        <w:tab/>
      </w:r>
      <w:r>
        <w:tab/>
      </w:r>
      <w:r>
        <w:tab/>
      </w:r>
      <w:r>
        <w:tab/>
      </w:r>
      <w:r>
        <w:tab/>
      </w:r>
      <w:r>
        <w:tab/>
      </w:r>
      <w:r>
        <w:tab/>
      </w:r>
      <w:r>
        <w:tab/>
      </w:r>
      <w:sdt>
        <w:sdtPr>
          <w:id w:val="1762801604"/>
          <w:citation/>
        </w:sdtPr>
        <w:sdtContent>
          <w:r>
            <w:fldChar w:fldCharType="begin"/>
          </w:r>
          <w:r>
            <w:instrText xml:space="preserve"> CITATION Dou15 \l 2057 </w:instrText>
          </w:r>
          <w:r>
            <w:fldChar w:fldCharType="separate"/>
          </w:r>
          <w:r w:rsidR="00E24E85" w:rsidRPr="00E24E85">
            <w:rPr>
              <w:noProof/>
            </w:rPr>
            <w:t>(Dougherty &amp; Lister, 2015)</w:t>
          </w:r>
          <w:r>
            <w:fldChar w:fldCharType="end"/>
          </w:r>
        </w:sdtContent>
      </w:sdt>
    </w:p>
    <w:p w14:paraId="3BFA7D88" w14:textId="723DF3C4" w:rsidR="002A7F71" w:rsidRDefault="00C07A08" w:rsidP="00B8247D">
      <w:r w:rsidRPr="001B62E9">
        <w:t>Hospital waste contains microorganisms that are potentially harmful and can infect healthcare workers and other patients as well as the public.</w:t>
      </w:r>
      <w:r>
        <w:tab/>
      </w:r>
      <w:r w:rsidRPr="001B62E9">
        <w:t xml:space="preserve"> </w:t>
      </w:r>
      <w:sdt>
        <w:sdtPr>
          <w:id w:val="654652837"/>
          <w:citation/>
        </w:sdtPr>
        <w:sdtContent>
          <w:r>
            <w:fldChar w:fldCharType="begin"/>
          </w:r>
          <w:r>
            <w:instrText xml:space="preserve"> CITATION All22 \l 2057 </w:instrText>
          </w:r>
          <w:r>
            <w:fldChar w:fldCharType="separate"/>
          </w:r>
          <w:r w:rsidR="00E24E85" w:rsidRPr="00E24E85">
            <w:rPr>
              <w:noProof/>
            </w:rPr>
            <w:t>(Allan, 2022)</w:t>
          </w:r>
          <w:r>
            <w:fldChar w:fldCharType="end"/>
          </w:r>
        </w:sdtContent>
      </w:sdt>
    </w:p>
    <w:p w14:paraId="13AE9E2E" w14:textId="77777777" w:rsidR="001B62E9" w:rsidRPr="001B62E9" w:rsidRDefault="00C07A08" w:rsidP="001B62E9">
      <w:r>
        <w:tab/>
      </w:r>
      <w:r>
        <w:tab/>
      </w:r>
      <w:r>
        <w:tab/>
      </w:r>
      <w:r>
        <w:tab/>
      </w:r>
      <w:r>
        <w:tab/>
      </w:r>
      <w:r>
        <w:tab/>
      </w:r>
      <w:r>
        <w:tab/>
      </w:r>
      <w:r>
        <w:tab/>
      </w:r>
      <w:r>
        <w:tab/>
      </w:r>
      <w:r>
        <w:tab/>
      </w:r>
    </w:p>
    <w:p w14:paraId="2CF70109" w14:textId="77777777" w:rsidR="001B62E9" w:rsidRPr="00E24E85" w:rsidRDefault="00C07A08" w:rsidP="00C30E74">
      <w:pPr>
        <w:pStyle w:val="Heading1"/>
        <w:numPr>
          <w:ilvl w:val="0"/>
          <w:numId w:val="0"/>
        </w:numPr>
        <w:ind w:left="432" w:hanging="432"/>
        <w:rPr>
          <w:b/>
          <w:bCs/>
        </w:rPr>
      </w:pPr>
      <w:r w:rsidRPr="00E24E85">
        <w:rPr>
          <w:b/>
          <w:bCs/>
        </w:rPr>
        <w:t xml:space="preserve">Providing </w:t>
      </w:r>
      <w:r w:rsidR="00C30E74" w:rsidRPr="00E24E85">
        <w:rPr>
          <w:b/>
          <w:bCs/>
        </w:rPr>
        <w:t>C</w:t>
      </w:r>
      <w:r w:rsidRPr="00E24E85">
        <w:rPr>
          <w:b/>
          <w:bCs/>
        </w:rPr>
        <w:t xml:space="preserve">are in a </w:t>
      </w:r>
      <w:r w:rsidR="00C30E74" w:rsidRPr="00E24E85">
        <w:rPr>
          <w:b/>
          <w:bCs/>
        </w:rPr>
        <w:t>C</w:t>
      </w:r>
      <w:r w:rsidRPr="00E24E85">
        <w:rPr>
          <w:b/>
          <w:bCs/>
        </w:rPr>
        <w:t xml:space="preserve">lean </w:t>
      </w:r>
      <w:r w:rsidR="00C30E74" w:rsidRPr="00E24E85">
        <w:rPr>
          <w:b/>
          <w:bCs/>
        </w:rPr>
        <w:t>E</w:t>
      </w:r>
      <w:r w:rsidRPr="00E24E85">
        <w:rPr>
          <w:b/>
          <w:bCs/>
        </w:rPr>
        <w:t xml:space="preserve">nvironment </w:t>
      </w:r>
    </w:p>
    <w:p w14:paraId="1AEF8433" w14:textId="17627DFA" w:rsidR="001B62E9" w:rsidRDefault="00C07A08" w:rsidP="00B8247D">
      <w:r w:rsidRPr="001B62E9">
        <w:t>From floor to ceiling, all surfaces should be washable and with a minimum of joints. This will help reduce the accumulation of dust and other particulates.</w:t>
      </w:r>
      <w:r w:rsidR="00C30E74">
        <w:tab/>
      </w:r>
      <w:sdt>
        <w:sdtPr>
          <w:id w:val="386074702"/>
          <w:citation/>
        </w:sdtPr>
        <w:sdtContent>
          <w:r w:rsidR="00C30E74">
            <w:fldChar w:fldCharType="begin"/>
          </w:r>
          <w:r w:rsidR="00C30E74">
            <w:instrText xml:space="preserve"> CITATION Cai22 \l 2057 </w:instrText>
          </w:r>
          <w:r w:rsidR="00C30E74">
            <w:fldChar w:fldCharType="separate"/>
          </w:r>
          <w:r w:rsidR="00E24E85" w:rsidRPr="00E24E85">
            <w:rPr>
              <w:noProof/>
            </w:rPr>
            <w:t>(Cairn Technology, 2022)</w:t>
          </w:r>
          <w:r w:rsidR="00C30E74">
            <w:fldChar w:fldCharType="end"/>
          </w:r>
        </w:sdtContent>
      </w:sdt>
    </w:p>
    <w:p w14:paraId="6C799A3E" w14:textId="77777777" w:rsidR="001B62E9" w:rsidRPr="001B62E9" w:rsidRDefault="00C07A08" w:rsidP="001B62E9">
      <w:r w:rsidRPr="001B62E9">
        <w:t>Cleaning the operating theatre and its immediate environment minimises patients’ and health care workers’ exposure to potentially infectious microorganisms.</w:t>
      </w:r>
    </w:p>
    <w:p w14:paraId="101F1C0F" w14:textId="77777777" w:rsidR="001B62E9" w:rsidRPr="001B62E9" w:rsidRDefault="00C07A08" w:rsidP="001B62E9">
      <w:r w:rsidRPr="001B62E9">
        <w:t>Cleaning happens at various times:</w:t>
      </w:r>
    </w:p>
    <w:p w14:paraId="148435B5" w14:textId="77777777" w:rsidR="001B62E9" w:rsidRPr="001B62E9" w:rsidRDefault="00C07A08" w:rsidP="001B62E9">
      <w:pPr>
        <w:numPr>
          <w:ilvl w:val="0"/>
          <w:numId w:val="8"/>
        </w:numPr>
      </w:pPr>
      <w:r w:rsidRPr="001B62E9">
        <w:t>When preparing a new operating theatre</w:t>
      </w:r>
    </w:p>
    <w:p w14:paraId="2F0D1475" w14:textId="77777777" w:rsidR="001B62E9" w:rsidRPr="001B62E9" w:rsidRDefault="00C07A08" w:rsidP="001B62E9">
      <w:pPr>
        <w:numPr>
          <w:ilvl w:val="0"/>
          <w:numId w:val="8"/>
        </w:numPr>
      </w:pPr>
      <w:r w:rsidRPr="001B62E9">
        <w:t xml:space="preserve">Every day, before surgery </w:t>
      </w:r>
      <w:r w:rsidR="003739FD" w:rsidRPr="001B62E9">
        <w:t>begins.</w:t>
      </w:r>
    </w:p>
    <w:p w14:paraId="23D68CB8" w14:textId="77777777" w:rsidR="001B62E9" w:rsidRPr="001B62E9" w:rsidRDefault="00C07A08" w:rsidP="001B62E9">
      <w:pPr>
        <w:numPr>
          <w:ilvl w:val="0"/>
          <w:numId w:val="8"/>
        </w:numPr>
      </w:pPr>
      <w:r w:rsidRPr="001B62E9">
        <w:lastRenderedPageBreak/>
        <w:t>Between patients</w:t>
      </w:r>
    </w:p>
    <w:p w14:paraId="78E13BDE" w14:textId="77777777" w:rsidR="001B62E9" w:rsidRPr="001B62E9" w:rsidRDefault="00C07A08" w:rsidP="001B62E9">
      <w:pPr>
        <w:numPr>
          <w:ilvl w:val="0"/>
          <w:numId w:val="8"/>
        </w:numPr>
      </w:pPr>
      <w:r w:rsidRPr="001B62E9">
        <w:t>After the last operation of the day (known as terminal cleaning)</w:t>
      </w:r>
    </w:p>
    <w:p w14:paraId="73C2A95C" w14:textId="77777777" w:rsidR="00C30E74" w:rsidRDefault="00C07A08" w:rsidP="001B62E9">
      <w:pPr>
        <w:numPr>
          <w:ilvl w:val="0"/>
          <w:numId w:val="8"/>
        </w:numPr>
      </w:pPr>
      <w:r w:rsidRPr="001B62E9">
        <w:t xml:space="preserve">Deeper cleans are carried out once a week and/or once a month. </w:t>
      </w:r>
    </w:p>
    <w:p w14:paraId="0DE8160D" w14:textId="7B2A11D2" w:rsidR="00C30E74" w:rsidRDefault="00000000" w:rsidP="00C30E74">
      <w:pPr>
        <w:ind w:left="5040" w:firstLine="720"/>
      </w:pPr>
      <w:sdt>
        <w:sdtPr>
          <w:id w:val="2010790122"/>
          <w:citation/>
        </w:sdtPr>
        <w:sdtContent>
          <w:r w:rsidR="00C07A08">
            <w:fldChar w:fldCharType="begin"/>
          </w:r>
          <w:r w:rsidR="00C07A08">
            <w:instrText xml:space="preserve"> CITATION Mat21 \l 2057 </w:instrText>
          </w:r>
          <w:r w:rsidR="00C07A08">
            <w:fldChar w:fldCharType="separate"/>
          </w:r>
          <w:r w:rsidR="00E24E85" w:rsidRPr="00E24E85">
            <w:rPr>
              <w:noProof/>
            </w:rPr>
            <w:t>(Mathenge &amp; Prasad, 2021)</w:t>
          </w:r>
          <w:r w:rsidR="00C07A08">
            <w:fldChar w:fldCharType="end"/>
          </w:r>
        </w:sdtContent>
      </w:sdt>
    </w:p>
    <w:p w14:paraId="1BA2AC4B" w14:textId="77777777" w:rsidR="00C70C64" w:rsidRPr="00E24E85" w:rsidRDefault="00C70C64" w:rsidP="00C70C64">
      <w:pPr>
        <w:rPr>
          <w:b/>
          <w:bCs/>
        </w:rPr>
      </w:pPr>
    </w:p>
    <w:p w14:paraId="4AB87C3B" w14:textId="77777777" w:rsidR="00F97077" w:rsidRPr="00E24E85" w:rsidRDefault="00C07A08" w:rsidP="00F97077">
      <w:pPr>
        <w:pStyle w:val="Heading1"/>
        <w:numPr>
          <w:ilvl w:val="0"/>
          <w:numId w:val="0"/>
        </w:numPr>
        <w:ind w:left="432" w:hanging="432"/>
        <w:rPr>
          <w:b/>
          <w:bCs/>
        </w:rPr>
      </w:pPr>
      <w:r w:rsidRPr="00E24E85">
        <w:rPr>
          <w:b/>
          <w:bCs/>
        </w:rPr>
        <w:t>Conclusion</w:t>
      </w:r>
    </w:p>
    <w:p w14:paraId="2282CC1C" w14:textId="77777777" w:rsidR="00F97077" w:rsidRDefault="00C07A08" w:rsidP="00C70C64">
      <w:r>
        <w:t xml:space="preserve">This </w:t>
      </w:r>
      <w:r w:rsidRPr="00F97077">
        <w:t>Infection prevention and control</w:t>
      </w:r>
      <w:r>
        <w:t xml:space="preserve"> (IPC) write-up has shown how critical it is to </w:t>
      </w:r>
      <w:r w:rsidRPr="00F97077">
        <w:t>ensure patient safety and the well-being of healthcare workers. This comprehensive approach involves a series of measures and practices to minimi</w:t>
      </w:r>
      <w:r>
        <w:t>s</w:t>
      </w:r>
      <w:r w:rsidRPr="00F97077">
        <w:t>e the risk of spreading infections. By implementing rigorous hand hygiene, proper disinfection, and adherence to standardi</w:t>
      </w:r>
      <w:r>
        <w:t>s</w:t>
      </w:r>
      <w:r w:rsidRPr="00F97077">
        <w:t>ed protocols, healthcare facilities can significantly reduce the transmission of infectious diseases.</w:t>
      </w:r>
    </w:p>
    <w:p w14:paraId="53E7BD2F" w14:textId="77777777" w:rsidR="00F97077" w:rsidRDefault="00C07A08" w:rsidP="00C70C64">
      <w:r w:rsidRPr="00F97077">
        <w:t>Furthermore, personal protective equipment (PPE) is essential to safeguard healthcare workers from potential exposure to pathogens. Correctly using masks, gloves, gowns, and eye protection can help create a barrier against infection</w:t>
      </w:r>
      <w:r>
        <w:t>.</w:t>
      </w:r>
    </w:p>
    <w:p w14:paraId="635E91E8" w14:textId="08B02148" w:rsidR="00F97077" w:rsidRDefault="00C07A08" w:rsidP="00C70C64">
      <w:r w:rsidRPr="00F97077">
        <w:t xml:space="preserve">Education and training play a vital role in infection prevention and control. They empower healthcare personnel with the knowledge and skills to identify, contain, and manage infections effectively. Ongoing training and awareness programs are essential to keeping healthcare professionals </w:t>
      </w:r>
      <w:r w:rsidR="00900041" w:rsidRPr="00F97077">
        <w:t>up to date</w:t>
      </w:r>
      <w:r w:rsidRPr="00F97077">
        <w:t xml:space="preserve"> with the latest guidelines and strategies.</w:t>
      </w:r>
    </w:p>
    <w:p w14:paraId="13CDE28A" w14:textId="77777777" w:rsidR="00F97077" w:rsidRDefault="00C07A08" w:rsidP="00C70C64">
      <w:r w:rsidRPr="00F97077">
        <w:t>In conclusion, infection prevention and control are essential components of healthcare systems worldwide. They protect patients and healthcare workers and contribute to public health by reducing the spread of infectious diseases. Continual commitment to these practices, along with research and innovation, will ensure safer and more effective healthcare environments in the future.</w:t>
      </w:r>
    </w:p>
    <w:p w14:paraId="5C7876D0" w14:textId="77777777" w:rsidR="00C70C64" w:rsidRDefault="00C70C64" w:rsidP="00C70C64"/>
    <w:p w14:paraId="1472E9A0" w14:textId="77777777" w:rsidR="00C70C64" w:rsidRDefault="00C70C64" w:rsidP="00C70C64"/>
    <w:p w14:paraId="17794D5C" w14:textId="77777777" w:rsidR="00C70C64" w:rsidRDefault="00C70C64" w:rsidP="00C70C64"/>
    <w:p w14:paraId="239978AC" w14:textId="77777777" w:rsidR="00C70C64" w:rsidRDefault="00C70C64" w:rsidP="00C70C64"/>
    <w:p w14:paraId="51B72571" w14:textId="76B6C650" w:rsidR="00C70C64" w:rsidRDefault="00C70C64" w:rsidP="00C70C64"/>
    <w:p w14:paraId="5CE2D383" w14:textId="04D92A86" w:rsidR="00E24E85" w:rsidRDefault="00E24E85" w:rsidP="00C70C64"/>
    <w:sdt>
      <w:sdtPr>
        <w:id w:val="1970161677"/>
        <w:docPartObj>
          <w:docPartGallery w:val="Bibliographies"/>
          <w:docPartUnique/>
        </w:docPartObj>
      </w:sdtPr>
      <w:sdtContent>
        <w:p w14:paraId="7A243A69" w14:textId="77777777" w:rsidR="006D4B03" w:rsidRPr="00E24E85" w:rsidRDefault="00C07A08" w:rsidP="00C70C64">
          <w:pPr>
            <w:rPr>
              <w:rStyle w:val="Heading1Char"/>
              <w:b/>
              <w:bCs/>
            </w:rPr>
          </w:pPr>
          <w:r w:rsidRPr="00E24E85">
            <w:rPr>
              <w:rStyle w:val="Heading1Char"/>
              <w:b/>
              <w:bCs/>
            </w:rPr>
            <w:t>References</w:t>
          </w:r>
        </w:p>
        <w:sdt>
          <w:sdtPr>
            <w:id w:val="-573587230"/>
            <w:bibliography/>
          </w:sdtPr>
          <w:sdtContent>
            <w:p w14:paraId="2F91D6D0" w14:textId="77777777" w:rsidR="00E24E85" w:rsidRDefault="00C07A08" w:rsidP="00E24E85">
              <w:pPr>
                <w:pStyle w:val="Bibliography"/>
                <w:rPr>
                  <w:noProof/>
                  <w:sz w:val="24"/>
                  <w:szCs w:val="24"/>
                </w:rPr>
              </w:pPr>
              <w:r>
                <w:fldChar w:fldCharType="begin"/>
              </w:r>
              <w:r>
                <w:instrText>BIBLIOGRAPHY</w:instrText>
              </w:r>
              <w:r>
                <w:fldChar w:fldCharType="separate"/>
              </w:r>
              <w:r w:rsidR="00E24E85">
                <w:rPr>
                  <w:noProof/>
                </w:rPr>
                <w:t xml:space="preserve">Allan, L., 2022. </w:t>
              </w:r>
              <w:r w:rsidR="00E24E85">
                <w:rPr>
                  <w:i/>
                  <w:iCs/>
                  <w:noProof/>
                </w:rPr>
                <w:t xml:space="preserve">Waste Disposal in Hospitals. </w:t>
              </w:r>
              <w:r w:rsidR="00E24E85">
                <w:rPr>
                  <w:noProof/>
                </w:rPr>
                <w:t xml:space="preserve">[Online] </w:t>
              </w:r>
              <w:r w:rsidR="00E24E85">
                <w:rPr>
                  <w:noProof/>
                </w:rPr>
                <w:br/>
                <w:t xml:space="preserve">Available at: </w:t>
              </w:r>
              <w:r w:rsidR="00E24E85">
                <w:rPr>
                  <w:noProof/>
                  <w:u w:val="single"/>
                </w:rPr>
                <w:t>https://cpdonline.co.uk/knowledge-base/care/waste-disposal-hospitals/</w:t>
              </w:r>
              <w:r w:rsidR="00E24E85">
                <w:rPr>
                  <w:noProof/>
                </w:rPr>
                <w:br/>
                <w:t>[Accessed 21 10 2023].</w:t>
              </w:r>
            </w:p>
            <w:p w14:paraId="08EAB58B" w14:textId="77777777" w:rsidR="00E24E85" w:rsidRDefault="00E24E85" w:rsidP="00E24E85">
              <w:pPr>
                <w:pStyle w:val="Bibliography"/>
                <w:rPr>
                  <w:noProof/>
                </w:rPr>
              </w:pPr>
              <w:r>
                <w:rPr>
                  <w:noProof/>
                </w:rPr>
                <w:t xml:space="preserve">Association for Perioperative Practice (AfPP), 2011. </w:t>
              </w:r>
              <w:r>
                <w:rPr>
                  <w:i/>
                  <w:iCs/>
                  <w:noProof/>
                </w:rPr>
                <w:t xml:space="preserve">Theatre Attire Poster. </w:t>
              </w:r>
              <w:r>
                <w:rPr>
                  <w:noProof/>
                </w:rPr>
                <w:t xml:space="preserve">[Online] </w:t>
              </w:r>
              <w:r>
                <w:rPr>
                  <w:noProof/>
                </w:rPr>
                <w:br/>
                <w:t xml:space="preserve">Available at: </w:t>
              </w:r>
              <w:r>
                <w:rPr>
                  <w:noProof/>
                  <w:u w:val="single"/>
                </w:rPr>
                <w:t>https://www.afpp.org.uk/filegrab/theatre-attire-a2-poster-v5-final.pdf?ref=1458</w:t>
              </w:r>
              <w:r>
                <w:rPr>
                  <w:noProof/>
                </w:rPr>
                <w:br/>
                <w:t>[Accessed 07 November 2023].</w:t>
              </w:r>
            </w:p>
            <w:p w14:paraId="2F435004" w14:textId="77777777" w:rsidR="00E24E85" w:rsidRDefault="00E24E85" w:rsidP="00E24E85">
              <w:pPr>
                <w:pStyle w:val="Bibliography"/>
                <w:rPr>
                  <w:noProof/>
                </w:rPr>
              </w:pPr>
              <w:r>
                <w:rPr>
                  <w:noProof/>
                </w:rPr>
                <w:t xml:space="preserve">Cairn Technology, 2022. </w:t>
              </w:r>
              <w:r>
                <w:rPr>
                  <w:i/>
                  <w:iCs/>
                  <w:noProof/>
                </w:rPr>
                <w:t xml:space="preserve">Cleaning for Infection Prevention and Control in Operating Theatres. </w:t>
              </w:r>
              <w:r>
                <w:rPr>
                  <w:noProof/>
                </w:rPr>
                <w:t xml:space="preserve">[Online] </w:t>
              </w:r>
              <w:r>
                <w:rPr>
                  <w:noProof/>
                </w:rPr>
                <w:br/>
                <w:t xml:space="preserve">Available at: </w:t>
              </w:r>
              <w:r>
                <w:rPr>
                  <w:noProof/>
                  <w:u w:val="single"/>
                </w:rPr>
                <w:t>https://cairntechnology.com/cleaning-infection-control-operating-theatres/#:~:text=The%20operating%20theatre%20should%20be%20aseptic%2C%20highly-sterile%2C%20and,currents%20as%20people%20enter%20and%20leave%20the%20room.</w:t>
              </w:r>
              <w:r>
                <w:rPr>
                  <w:noProof/>
                </w:rPr>
                <w:br/>
                <w:t>[Accessed 27 10 2023].</w:t>
              </w:r>
            </w:p>
            <w:p w14:paraId="44617DF9" w14:textId="77777777" w:rsidR="00E24E85" w:rsidRDefault="00E24E85" w:rsidP="00E24E85">
              <w:pPr>
                <w:pStyle w:val="Bibliography"/>
                <w:rPr>
                  <w:noProof/>
                </w:rPr>
              </w:pPr>
              <w:r>
                <w:rPr>
                  <w:noProof/>
                </w:rPr>
                <w:t xml:space="preserve">Dougherty, L. &amp; Lister, S., 2015. </w:t>
              </w:r>
              <w:r>
                <w:rPr>
                  <w:i/>
                  <w:iCs/>
                  <w:noProof/>
                </w:rPr>
                <w:t xml:space="preserve">The Royal Marsden Manual of Clinical Nursing Procedures. </w:t>
              </w:r>
              <w:r>
                <w:rPr>
                  <w:noProof/>
                </w:rPr>
                <w:t>Ninth ed. London: Wiley Blackwell.</w:t>
              </w:r>
            </w:p>
            <w:p w14:paraId="6B2A8F19" w14:textId="77777777" w:rsidR="00E24E85" w:rsidRDefault="00E24E85" w:rsidP="00E24E85">
              <w:pPr>
                <w:pStyle w:val="Bibliography"/>
                <w:rPr>
                  <w:noProof/>
                </w:rPr>
              </w:pPr>
              <w:r>
                <w:rPr>
                  <w:noProof/>
                </w:rPr>
                <w:t xml:space="preserve">Healthcare Management Trust (HMT), 2020. </w:t>
              </w:r>
              <w:r>
                <w:rPr>
                  <w:i/>
                  <w:iCs/>
                  <w:noProof/>
                </w:rPr>
                <w:t xml:space="preserve">HMT-Sancta Maria - Policies - Infection Control. </w:t>
              </w:r>
              <w:r>
                <w:rPr>
                  <w:noProof/>
                </w:rPr>
                <w:t xml:space="preserve">[Online] </w:t>
              </w:r>
              <w:r>
                <w:rPr>
                  <w:noProof/>
                </w:rPr>
                <w:br/>
                <w:t xml:space="preserve">Available at: </w:t>
              </w:r>
              <w:r>
                <w:rPr>
                  <w:noProof/>
                  <w:u w:val="single"/>
                </w:rPr>
                <w:t>https://hmt-sanctamaria.policystat.com/policy/10534042/latest#autoid-8azdd</w:t>
              </w:r>
              <w:r>
                <w:rPr>
                  <w:noProof/>
                </w:rPr>
                <w:br/>
                <w:t>[Accessed 07 11 2023].</w:t>
              </w:r>
            </w:p>
            <w:p w14:paraId="5AC0A386" w14:textId="77777777" w:rsidR="00E24E85" w:rsidRDefault="00E24E85" w:rsidP="00E24E85">
              <w:pPr>
                <w:pStyle w:val="Bibliography"/>
                <w:rPr>
                  <w:noProof/>
                </w:rPr>
              </w:pPr>
              <w:r>
                <w:rPr>
                  <w:noProof/>
                </w:rPr>
                <w:t xml:space="preserve">Initial, 2023. </w:t>
              </w:r>
              <w:r>
                <w:rPr>
                  <w:i/>
                  <w:iCs/>
                  <w:noProof/>
                </w:rPr>
                <w:t xml:space="preserve">Colour Coding Guide. </w:t>
              </w:r>
              <w:r>
                <w:rPr>
                  <w:noProof/>
                </w:rPr>
                <w:t xml:space="preserve">[Online] </w:t>
              </w:r>
              <w:r>
                <w:rPr>
                  <w:noProof/>
                </w:rPr>
                <w:br/>
                <w:t xml:space="preserve">Available at: </w:t>
              </w:r>
              <w:r>
                <w:rPr>
                  <w:noProof/>
                  <w:u w:val="single"/>
                </w:rPr>
                <w:t>https://www.initial.co.uk/colour-coding-guide/</w:t>
              </w:r>
              <w:r>
                <w:rPr>
                  <w:noProof/>
                </w:rPr>
                <w:br/>
                <w:t>[Accessed 21 10 2023].</w:t>
              </w:r>
            </w:p>
            <w:p w14:paraId="2B4E25D2" w14:textId="77777777" w:rsidR="00E24E85" w:rsidRDefault="00E24E85" w:rsidP="00E24E85">
              <w:pPr>
                <w:pStyle w:val="Bibliography"/>
                <w:rPr>
                  <w:noProof/>
                </w:rPr>
              </w:pPr>
              <w:r>
                <w:rPr>
                  <w:noProof/>
                </w:rPr>
                <w:t xml:space="preserve">Mathenge, C. &amp; Prasad, Y. G., 2021. Cleaning the Operating Theatre. </w:t>
              </w:r>
              <w:r>
                <w:rPr>
                  <w:i/>
                  <w:iCs/>
                  <w:noProof/>
                </w:rPr>
                <w:t xml:space="preserve">Community Eye Health, </w:t>
              </w:r>
              <w:r>
                <w:rPr>
                  <w:noProof/>
                </w:rPr>
                <w:t>Volume 34, pp. 25-26.</w:t>
              </w:r>
            </w:p>
            <w:p w14:paraId="700DB078" w14:textId="77777777" w:rsidR="00E24E85" w:rsidRDefault="00E24E85" w:rsidP="00E24E85">
              <w:pPr>
                <w:pStyle w:val="Bibliography"/>
                <w:rPr>
                  <w:noProof/>
                </w:rPr>
              </w:pPr>
              <w:r>
                <w:rPr>
                  <w:noProof/>
                </w:rPr>
                <w:t xml:space="preserve">World Health Organisation , 2009. </w:t>
              </w:r>
              <w:r>
                <w:rPr>
                  <w:i/>
                  <w:iCs/>
                  <w:noProof/>
                </w:rPr>
                <w:t xml:space="preserve">Your 5 moments for hand hygiene. </w:t>
              </w:r>
              <w:r>
                <w:rPr>
                  <w:noProof/>
                </w:rPr>
                <w:t xml:space="preserve">[Online] </w:t>
              </w:r>
              <w:r>
                <w:rPr>
                  <w:noProof/>
                </w:rPr>
                <w:br/>
                <w:t xml:space="preserve">Available at: </w:t>
              </w:r>
              <w:r>
                <w:rPr>
                  <w:noProof/>
                  <w:u w:val="single"/>
                </w:rPr>
                <w:t>https://cdn.who.int/media/docs/default-source/integrated-health-services-(ihs)/infection-prevention-and-control/your-5-moments-for-hand-hygiene-poster.pdf?sfvrsn=83e2fb0e_16</w:t>
              </w:r>
              <w:r>
                <w:rPr>
                  <w:noProof/>
                </w:rPr>
                <w:br/>
                <w:t>[Accessed 22 10 2023].</w:t>
              </w:r>
            </w:p>
            <w:p w14:paraId="5837DADC" w14:textId="77777777" w:rsidR="00E24E85" w:rsidRDefault="00E24E85" w:rsidP="00E24E85">
              <w:pPr>
                <w:pStyle w:val="Bibliography"/>
                <w:rPr>
                  <w:noProof/>
                </w:rPr>
              </w:pPr>
              <w:r>
                <w:rPr>
                  <w:noProof/>
                </w:rPr>
                <w:lastRenderedPageBreak/>
                <w:t xml:space="preserve">World Health Organisation, 2023. </w:t>
              </w:r>
              <w:r>
                <w:rPr>
                  <w:i/>
                  <w:iCs/>
                  <w:noProof/>
                </w:rPr>
                <w:t xml:space="preserve">Infection Prevention and Control. </w:t>
              </w:r>
              <w:r>
                <w:rPr>
                  <w:noProof/>
                </w:rPr>
                <w:t xml:space="preserve">[Online] </w:t>
              </w:r>
              <w:r>
                <w:rPr>
                  <w:noProof/>
                </w:rPr>
                <w:br/>
                <w:t xml:space="preserve">Available at: </w:t>
              </w:r>
              <w:r>
                <w:rPr>
                  <w:noProof/>
                  <w:u w:val="single"/>
                </w:rPr>
                <w:t>https://www.who.int/health-topics/infection-prevention-and-control#tab=tab_1</w:t>
              </w:r>
              <w:r>
                <w:rPr>
                  <w:noProof/>
                </w:rPr>
                <w:br/>
                <w:t>[Accessed 20 10 2023].</w:t>
              </w:r>
            </w:p>
            <w:p w14:paraId="46CB9C75" w14:textId="77777777" w:rsidR="00EB1729" w:rsidRDefault="00C07A08" w:rsidP="00E24E85">
              <w:pPr>
                <w:rPr>
                  <w:b/>
                  <w:bCs/>
                </w:rPr>
              </w:pPr>
              <w:r>
                <w:rPr>
                  <w:b/>
                  <w:bCs/>
                </w:rPr>
                <w:fldChar w:fldCharType="end"/>
              </w:r>
            </w:p>
            <w:p w14:paraId="0C3E0F2C" w14:textId="77777777" w:rsidR="006D4B03" w:rsidRDefault="00000000" w:rsidP="006D4B03"/>
          </w:sdtContent>
        </w:sdt>
      </w:sdtContent>
    </w:sdt>
    <w:p w14:paraId="43D8B638" w14:textId="77777777" w:rsidR="00A50900" w:rsidRPr="007C31F1" w:rsidRDefault="00A50900" w:rsidP="007C31F1">
      <w:pPr>
        <w:rPr>
          <w:rStyle w:val="Strong"/>
        </w:rPr>
      </w:pPr>
    </w:p>
    <w:sectPr w:rsidR="00A50900" w:rsidRPr="007C31F1" w:rsidSect="004336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930B4" w14:textId="77777777" w:rsidR="006D0B20" w:rsidRDefault="006D0B20">
      <w:pPr>
        <w:spacing w:after="0" w:line="240" w:lineRule="auto"/>
      </w:pPr>
      <w:r>
        <w:separator/>
      </w:r>
    </w:p>
  </w:endnote>
  <w:endnote w:type="continuationSeparator" w:id="0">
    <w:p w14:paraId="25D09322" w14:textId="77777777" w:rsidR="006D0B20" w:rsidRDefault="006D0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570A6" w14:textId="77777777" w:rsidR="00A50900" w:rsidRDefault="00C07A08">
    <w:pPr>
      <w:pStyle w:val="Footer"/>
    </w:pPr>
    <w:r>
      <w:rPr>
        <w:noProof/>
      </w:rPr>
      <mc:AlternateContent>
        <mc:Choice Requires="wps">
          <w:drawing>
            <wp:anchor distT="0" distB="0" distL="0" distR="0" simplePos="0" relativeHeight="251660288" behindDoc="0" locked="0" layoutInCell="1" allowOverlap="1" wp14:anchorId="4C352E28" wp14:editId="2F38A4C6">
              <wp:simplePos x="0" y="0"/>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7F0E816" w14:textId="77777777" w:rsidR="00A50900" w:rsidRPr="00A50900" w:rsidRDefault="00C07A08">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C352E28"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17F0E816" w14:textId="77777777" w:rsidR="00A50900" w:rsidRPr="00A50900" w:rsidRDefault="00C07A08">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10EECF6E" w14:textId="77777777" w:rsidR="00433677" w:rsidRDefault="00C07A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986DD1"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CF4F1" w14:textId="77777777" w:rsidR="00A50900" w:rsidRDefault="00C07A08">
    <w:pPr>
      <w:pStyle w:val="Footer"/>
    </w:pPr>
    <w:r>
      <w:rPr>
        <w:noProof/>
      </w:rPr>
      <mc:AlternateContent>
        <mc:Choice Requires="wps">
          <w:drawing>
            <wp:anchor distT="0" distB="0" distL="0" distR="0" simplePos="0" relativeHeight="251658240" behindDoc="0" locked="0" layoutInCell="1" allowOverlap="1" wp14:anchorId="2B161D84" wp14:editId="0A7725C7">
              <wp:simplePos x="0" y="0"/>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047ABFC" w14:textId="77777777" w:rsidR="00A50900" w:rsidRPr="00A50900" w:rsidRDefault="00C07A08">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B161D84"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1047ABFC" w14:textId="77777777" w:rsidR="00A50900" w:rsidRPr="00A50900" w:rsidRDefault="00C07A08">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C9B91" w14:textId="77777777" w:rsidR="006D0B20" w:rsidRDefault="006D0B20">
      <w:pPr>
        <w:spacing w:after="0" w:line="240" w:lineRule="auto"/>
      </w:pPr>
      <w:r>
        <w:separator/>
      </w:r>
    </w:p>
  </w:footnote>
  <w:footnote w:type="continuationSeparator" w:id="0">
    <w:p w14:paraId="3F2B35D1" w14:textId="77777777" w:rsidR="006D0B20" w:rsidRDefault="006D0B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269A8"/>
    <w:multiLevelType w:val="multilevel"/>
    <w:tmpl w:val="50D43A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7B4F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E4963E6"/>
    <w:multiLevelType w:val="hybridMultilevel"/>
    <w:tmpl w:val="90D843AE"/>
    <w:lvl w:ilvl="0" w:tplc="D012D8DA">
      <w:start w:val="3"/>
      <w:numFmt w:val="bullet"/>
      <w:lvlText w:val="•"/>
      <w:lvlJc w:val="left"/>
      <w:pPr>
        <w:ind w:left="720" w:hanging="360"/>
      </w:pPr>
      <w:rPr>
        <w:rFonts w:ascii="Arial" w:eastAsiaTheme="minorHAnsi" w:hAnsi="Arial" w:cs="Arial" w:hint="default"/>
      </w:rPr>
    </w:lvl>
    <w:lvl w:ilvl="1" w:tplc="A73AC746">
      <w:start w:val="1"/>
      <w:numFmt w:val="bullet"/>
      <w:lvlText w:val="o"/>
      <w:lvlJc w:val="left"/>
      <w:pPr>
        <w:ind w:left="1440" w:hanging="360"/>
      </w:pPr>
      <w:rPr>
        <w:rFonts w:ascii="Courier New" w:hAnsi="Courier New" w:cs="Courier New" w:hint="default"/>
      </w:rPr>
    </w:lvl>
    <w:lvl w:ilvl="2" w:tplc="840E915A">
      <w:start w:val="1"/>
      <w:numFmt w:val="bullet"/>
      <w:lvlText w:val=""/>
      <w:lvlJc w:val="left"/>
      <w:pPr>
        <w:ind w:left="2160" w:hanging="360"/>
      </w:pPr>
      <w:rPr>
        <w:rFonts w:ascii="Wingdings" w:hAnsi="Wingdings" w:hint="default"/>
      </w:rPr>
    </w:lvl>
    <w:lvl w:ilvl="3" w:tplc="D25EF27C">
      <w:start w:val="1"/>
      <w:numFmt w:val="bullet"/>
      <w:lvlText w:val=""/>
      <w:lvlJc w:val="left"/>
      <w:pPr>
        <w:ind w:left="2880" w:hanging="360"/>
      </w:pPr>
      <w:rPr>
        <w:rFonts w:ascii="Symbol" w:hAnsi="Symbol" w:hint="default"/>
      </w:rPr>
    </w:lvl>
    <w:lvl w:ilvl="4" w:tplc="1090E3BA" w:tentative="1">
      <w:start w:val="1"/>
      <w:numFmt w:val="bullet"/>
      <w:lvlText w:val="o"/>
      <w:lvlJc w:val="left"/>
      <w:pPr>
        <w:ind w:left="3600" w:hanging="360"/>
      </w:pPr>
      <w:rPr>
        <w:rFonts w:ascii="Courier New" w:hAnsi="Courier New" w:cs="Courier New" w:hint="default"/>
      </w:rPr>
    </w:lvl>
    <w:lvl w:ilvl="5" w:tplc="EA1AA568" w:tentative="1">
      <w:start w:val="1"/>
      <w:numFmt w:val="bullet"/>
      <w:lvlText w:val=""/>
      <w:lvlJc w:val="left"/>
      <w:pPr>
        <w:ind w:left="4320" w:hanging="360"/>
      </w:pPr>
      <w:rPr>
        <w:rFonts w:ascii="Wingdings" w:hAnsi="Wingdings" w:hint="default"/>
      </w:rPr>
    </w:lvl>
    <w:lvl w:ilvl="6" w:tplc="09ECF180" w:tentative="1">
      <w:start w:val="1"/>
      <w:numFmt w:val="bullet"/>
      <w:lvlText w:val=""/>
      <w:lvlJc w:val="left"/>
      <w:pPr>
        <w:ind w:left="5040" w:hanging="360"/>
      </w:pPr>
      <w:rPr>
        <w:rFonts w:ascii="Symbol" w:hAnsi="Symbol" w:hint="default"/>
      </w:rPr>
    </w:lvl>
    <w:lvl w:ilvl="7" w:tplc="3FB6869C" w:tentative="1">
      <w:start w:val="1"/>
      <w:numFmt w:val="bullet"/>
      <w:lvlText w:val="o"/>
      <w:lvlJc w:val="left"/>
      <w:pPr>
        <w:ind w:left="5760" w:hanging="360"/>
      </w:pPr>
      <w:rPr>
        <w:rFonts w:ascii="Courier New" w:hAnsi="Courier New" w:cs="Courier New" w:hint="default"/>
      </w:rPr>
    </w:lvl>
    <w:lvl w:ilvl="8" w:tplc="8FA2A674" w:tentative="1">
      <w:start w:val="1"/>
      <w:numFmt w:val="bullet"/>
      <w:lvlText w:val=""/>
      <w:lvlJc w:val="left"/>
      <w:pPr>
        <w:ind w:left="6480" w:hanging="360"/>
      </w:pPr>
      <w:rPr>
        <w:rFonts w:ascii="Wingdings" w:hAnsi="Wingdings" w:hint="default"/>
      </w:rPr>
    </w:lvl>
  </w:abstractNum>
  <w:abstractNum w:abstractNumId="3" w15:restartNumberingAfterBreak="0">
    <w:nsid w:val="3DF06757"/>
    <w:multiLevelType w:val="hybridMultilevel"/>
    <w:tmpl w:val="51767BAA"/>
    <w:lvl w:ilvl="0" w:tplc="89749DB8">
      <w:start w:val="1"/>
      <w:numFmt w:val="decimal"/>
      <w:lvlText w:val="%1."/>
      <w:lvlJc w:val="left"/>
      <w:pPr>
        <w:ind w:left="720" w:hanging="360"/>
      </w:pPr>
      <w:rPr>
        <w:rFonts w:hint="default"/>
      </w:rPr>
    </w:lvl>
    <w:lvl w:ilvl="1" w:tplc="2F5C556C" w:tentative="1">
      <w:start w:val="1"/>
      <w:numFmt w:val="lowerLetter"/>
      <w:lvlText w:val="%2."/>
      <w:lvlJc w:val="left"/>
      <w:pPr>
        <w:ind w:left="1440" w:hanging="360"/>
      </w:pPr>
    </w:lvl>
    <w:lvl w:ilvl="2" w:tplc="93941202" w:tentative="1">
      <w:start w:val="1"/>
      <w:numFmt w:val="lowerRoman"/>
      <w:lvlText w:val="%3."/>
      <w:lvlJc w:val="right"/>
      <w:pPr>
        <w:ind w:left="2160" w:hanging="180"/>
      </w:pPr>
    </w:lvl>
    <w:lvl w:ilvl="3" w:tplc="310606D6" w:tentative="1">
      <w:start w:val="1"/>
      <w:numFmt w:val="decimal"/>
      <w:lvlText w:val="%4."/>
      <w:lvlJc w:val="left"/>
      <w:pPr>
        <w:ind w:left="2880" w:hanging="360"/>
      </w:pPr>
    </w:lvl>
    <w:lvl w:ilvl="4" w:tplc="9F02B8A0" w:tentative="1">
      <w:start w:val="1"/>
      <w:numFmt w:val="lowerLetter"/>
      <w:lvlText w:val="%5."/>
      <w:lvlJc w:val="left"/>
      <w:pPr>
        <w:ind w:left="3600" w:hanging="360"/>
      </w:pPr>
    </w:lvl>
    <w:lvl w:ilvl="5" w:tplc="85BC0136" w:tentative="1">
      <w:start w:val="1"/>
      <w:numFmt w:val="lowerRoman"/>
      <w:lvlText w:val="%6."/>
      <w:lvlJc w:val="right"/>
      <w:pPr>
        <w:ind w:left="4320" w:hanging="180"/>
      </w:pPr>
    </w:lvl>
    <w:lvl w:ilvl="6" w:tplc="C74E6F4C" w:tentative="1">
      <w:start w:val="1"/>
      <w:numFmt w:val="decimal"/>
      <w:lvlText w:val="%7."/>
      <w:lvlJc w:val="left"/>
      <w:pPr>
        <w:ind w:left="5040" w:hanging="360"/>
      </w:pPr>
    </w:lvl>
    <w:lvl w:ilvl="7" w:tplc="47306794" w:tentative="1">
      <w:start w:val="1"/>
      <w:numFmt w:val="lowerLetter"/>
      <w:lvlText w:val="%8."/>
      <w:lvlJc w:val="left"/>
      <w:pPr>
        <w:ind w:left="5760" w:hanging="360"/>
      </w:pPr>
    </w:lvl>
    <w:lvl w:ilvl="8" w:tplc="021C3982" w:tentative="1">
      <w:start w:val="1"/>
      <w:numFmt w:val="lowerRoman"/>
      <w:lvlText w:val="%9."/>
      <w:lvlJc w:val="right"/>
      <w:pPr>
        <w:ind w:left="6480" w:hanging="180"/>
      </w:pPr>
    </w:lvl>
  </w:abstractNum>
  <w:abstractNum w:abstractNumId="4" w15:restartNumberingAfterBreak="0">
    <w:nsid w:val="4378252D"/>
    <w:multiLevelType w:val="hybridMultilevel"/>
    <w:tmpl w:val="768401CE"/>
    <w:lvl w:ilvl="0" w:tplc="08090001">
      <w:start w:val="1"/>
      <w:numFmt w:val="bullet"/>
      <w:lvlText w:val=""/>
      <w:lvlJc w:val="left"/>
      <w:pPr>
        <w:ind w:left="720" w:hanging="360"/>
      </w:pPr>
      <w:rPr>
        <w:rFonts w:ascii="Symbol" w:hAnsi="Symbol" w:hint="default"/>
      </w:rPr>
    </w:lvl>
    <w:lvl w:ilvl="1" w:tplc="3D3C775E" w:tentative="1">
      <w:start w:val="1"/>
      <w:numFmt w:val="lowerLetter"/>
      <w:lvlText w:val="%2."/>
      <w:lvlJc w:val="left"/>
      <w:pPr>
        <w:ind w:left="1440" w:hanging="360"/>
      </w:pPr>
    </w:lvl>
    <w:lvl w:ilvl="2" w:tplc="B180F3F8" w:tentative="1">
      <w:start w:val="1"/>
      <w:numFmt w:val="lowerRoman"/>
      <w:lvlText w:val="%3."/>
      <w:lvlJc w:val="right"/>
      <w:pPr>
        <w:ind w:left="2160" w:hanging="180"/>
      </w:pPr>
    </w:lvl>
    <w:lvl w:ilvl="3" w:tplc="3BCEAF3E" w:tentative="1">
      <w:start w:val="1"/>
      <w:numFmt w:val="decimal"/>
      <w:lvlText w:val="%4."/>
      <w:lvlJc w:val="left"/>
      <w:pPr>
        <w:ind w:left="2880" w:hanging="360"/>
      </w:pPr>
    </w:lvl>
    <w:lvl w:ilvl="4" w:tplc="872891DC" w:tentative="1">
      <w:start w:val="1"/>
      <w:numFmt w:val="lowerLetter"/>
      <w:lvlText w:val="%5."/>
      <w:lvlJc w:val="left"/>
      <w:pPr>
        <w:ind w:left="3600" w:hanging="360"/>
      </w:pPr>
    </w:lvl>
    <w:lvl w:ilvl="5" w:tplc="0A8AA83C" w:tentative="1">
      <w:start w:val="1"/>
      <w:numFmt w:val="lowerRoman"/>
      <w:lvlText w:val="%6."/>
      <w:lvlJc w:val="right"/>
      <w:pPr>
        <w:ind w:left="4320" w:hanging="180"/>
      </w:pPr>
    </w:lvl>
    <w:lvl w:ilvl="6" w:tplc="86446DA8" w:tentative="1">
      <w:start w:val="1"/>
      <w:numFmt w:val="decimal"/>
      <w:lvlText w:val="%7."/>
      <w:lvlJc w:val="left"/>
      <w:pPr>
        <w:ind w:left="5040" w:hanging="360"/>
      </w:pPr>
    </w:lvl>
    <w:lvl w:ilvl="7" w:tplc="5B3A5472" w:tentative="1">
      <w:start w:val="1"/>
      <w:numFmt w:val="lowerLetter"/>
      <w:lvlText w:val="%8."/>
      <w:lvlJc w:val="left"/>
      <w:pPr>
        <w:ind w:left="5760" w:hanging="360"/>
      </w:pPr>
    </w:lvl>
    <w:lvl w:ilvl="8" w:tplc="0D0CFFFA" w:tentative="1">
      <w:start w:val="1"/>
      <w:numFmt w:val="lowerRoman"/>
      <w:lvlText w:val="%9."/>
      <w:lvlJc w:val="right"/>
      <w:pPr>
        <w:ind w:left="6480" w:hanging="180"/>
      </w:pPr>
    </w:lvl>
  </w:abstractNum>
  <w:abstractNum w:abstractNumId="5" w15:restartNumberingAfterBreak="0">
    <w:nsid w:val="4E1B235D"/>
    <w:multiLevelType w:val="hybridMultilevel"/>
    <w:tmpl w:val="AC04C3F2"/>
    <w:lvl w:ilvl="0" w:tplc="D2BAB3D8">
      <w:start w:val="1"/>
      <w:numFmt w:val="decimal"/>
      <w:lvlText w:val="%1."/>
      <w:lvlJc w:val="left"/>
      <w:pPr>
        <w:ind w:left="720" w:hanging="360"/>
      </w:pPr>
    </w:lvl>
    <w:lvl w:ilvl="1" w:tplc="0742DA24" w:tentative="1">
      <w:start w:val="1"/>
      <w:numFmt w:val="lowerLetter"/>
      <w:lvlText w:val="%2."/>
      <w:lvlJc w:val="left"/>
      <w:pPr>
        <w:ind w:left="1440" w:hanging="360"/>
      </w:pPr>
    </w:lvl>
    <w:lvl w:ilvl="2" w:tplc="573E4F2A" w:tentative="1">
      <w:start w:val="1"/>
      <w:numFmt w:val="lowerRoman"/>
      <w:lvlText w:val="%3."/>
      <w:lvlJc w:val="right"/>
      <w:pPr>
        <w:ind w:left="2160" w:hanging="180"/>
      </w:pPr>
    </w:lvl>
    <w:lvl w:ilvl="3" w:tplc="7A826E3E" w:tentative="1">
      <w:start w:val="1"/>
      <w:numFmt w:val="decimal"/>
      <w:lvlText w:val="%4."/>
      <w:lvlJc w:val="left"/>
      <w:pPr>
        <w:ind w:left="2880" w:hanging="360"/>
      </w:pPr>
    </w:lvl>
    <w:lvl w:ilvl="4" w:tplc="B96C0300" w:tentative="1">
      <w:start w:val="1"/>
      <w:numFmt w:val="lowerLetter"/>
      <w:lvlText w:val="%5."/>
      <w:lvlJc w:val="left"/>
      <w:pPr>
        <w:ind w:left="3600" w:hanging="360"/>
      </w:pPr>
    </w:lvl>
    <w:lvl w:ilvl="5" w:tplc="56927AC6" w:tentative="1">
      <w:start w:val="1"/>
      <w:numFmt w:val="lowerRoman"/>
      <w:lvlText w:val="%6."/>
      <w:lvlJc w:val="right"/>
      <w:pPr>
        <w:ind w:left="4320" w:hanging="180"/>
      </w:pPr>
    </w:lvl>
    <w:lvl w:ilvl="6" w:tplc="6C686952" w:tentative="1">
      <w:start w:val="1"/>
      <w:numFmt w:val="decimal"/>
      <w:lvlText w:val="%7."/>
      <w:lvlJc w:val="left"/>
      <w:pPr>
        <w:ind w:left="5040" w:hanging="360"/>
      </w:pPr>
    </w:lvl>
    <w:lvl w:ilvl="7" w:tplc="D1148C3E" w:tentative="1">
      <w:start w:val="1"/>
      <w:numFmt w:val="lowerLetter"/>
      <w:lvlText w:val="%8."/>
      <w:lvlJc w:val="left"/>
      <w:pPr>
        <w:ind w:left="5760" w:hanging="360"/>
      </w:pPr>
    </w:lvl>
    <w:lvl w:ilvl="8" w:tplc="CFD00486" w:tentative="1">
      <w:start w:val="1"/>
      <w:numFmt w:val="lowerRoman"/>
      <w:lvlText w:val="%9."/>
      <w:lvlJc w:val="right"/>
      <w:pPr>
        <w:ind w:left="6480" w:hanging="180"/>
      </w:pPr>
    </w:lvl>
  </w:abstractNum>
  <w:abstractNum w:abstractNumId="6" w15:restartNumberingAfterBreak="0">
    <w:nsid w:val="5D623026"/>
    <w:multiLevelType w:val="hybridMultilevel"/>
    <w:tmpl w:val="B1D85B7C"/>
    <w:lvl w:ilvl="0" w:tplc="5A54CFE4">
      <w:start w:val="1"/>
      <w:numFmt w:val="decimal"/>
      <w:lvlText w:val="%1."/>
      <w:lvlJc w:val="left"/>
      <w:pPr>
        <w:ind w:left="720" w:hanging="360"/>
      </w:pPr>
    </w:lvl>
    <w:lvl w:ilvl="1" w:tplc="D92891E4" w:tentative="1">
      <w:start w:val="1"/>
      <w:numFmt w:val="lowerLetter"/>
      <w:lvlText w:val="%2."/>
      <w:lvlJc w:val="left"/>
      <w:pPr>
        <w:ind w:left="1440" w:hanging="360"/>
      </w:pPr>
    </w:lvl>
    <w:lvl w:ilvl="2" w:tplc="77A6A9AC" w:tentative="1">
      <w:start w:val="1"/>
      <w:numFmt w:val="lowerRoman"/>
      <w:lvlText w:val="%3."/>
      <w:lvlJc w:val="right"/>
      <w:pPr>
        <w:ind w:left="2160" w:hanging="180"/>
      </w:pPr>
    </w:lvl>
    <w:lvl w:ilvl="3" w:tplc="AB205D36" w:tentative="1">
      <w:start w:val="1"/>
      <w:numFmt w:val="decimal"/>
      <w:lvlText w:val="%4."/>
      <w:lvlJc w:val="left"/>
      <w:pPr>
        <w:ind w:left="2880" w:hanging="360"/>
      </w:pPr>
    </w:lvl>
    <w:lvl w:ilvl="4" w:tplc="4D0E76F6" w:tentative="1">
      <w:start w:val="1"/>
      <w:numFmt w:val="lowerLetter"/>
      <w:lvlText w:val="%5."/>
      <w:lvlJc w:val="left"/>
      <w:pPr>
        <w:ind w:left="3600" w:hanging="360"/>
      </w:pPr>
    </w:lvl>
    <w:lvl w:ilvl="5" w:tplc="52608B2A" w:tentative="1">
      <w:start w:val="1"/>
      <w:numFmt w:val="lowerRoman"/>
      <w:lvlText w:val="%6."/>
      <w:lvlJc w:val="right"/>
      <w:pPr>
        <w:ind w:left="4320" w:hanging="180"/>
      </w:pPr>
    </w:lvl>
    <w:lvl w:ilvl="6" w:tplc="5D68B1A2" w:tentative="1">
      <w:start w:val="1"/>
      <w:numFmt w:val="decimal"/>
      <w:lvlText w:val="%7."/>
      <w:lvlJc w:val="left"/>
      <w:pPr>
        <w:ind w:left="5040" w:hanging="360"/>
      </w:pPr>
    </w:lvl>
    <w:lvl w:ilvl="7" w:tplc="0C1271BA" w:tentative="1">
      <w:start w:val="1"/>
      <w:numFmt w:val="lowerLetter"/>
      <w:lvlText w:val="%8."/>
      <w:lvlJc w:val="left"/>
      <w:pPr>
        <w:ind w:left="5760" w:hanging="360"/>
      </w:pPr>
    </w:lvl>
    <w:lvl w:ilvl="8" w:tplc="5C3A778A" w:tentative="1">
      <w:start w:val="1"/>
      <w:numFmt w:val="lowerRoman"/>
      <w:lvlText w:val="%9."/>
      <w:lvlJc w:val="right"/>
      <w:pPr>
        <w:ind w:left="6480" w:hanging="180"/>
      </w:pPr>
    </w:lvl>
  </w:abstractNum>
  <w:abstractNum w:abstractNumId="7" w15:restartNumberingAfterBreak="0">
    <w:nsid w:val="79463C05"/>
    <w:multiLevelType w:val="hybridMultilevel"/>
    <w:tmpl w:val="904C50DC"/>
    <w:lvl w:ilvl="0" w:tplc="C1F21220">
      <w:start w:val="3"/>
      <w:numFmt w:val="bullet"/>
      <w:lvlText w:val="•"/>
      <w:lvlJc w:val="left"/>
      <w:pPr>
        <w:ind w:left="720" w:hanging="360"/>
      </w:pPr>
      <w:rPr>
        <w:rFonts w:ascii="Arial" w:eastAsiaTheme="minorHAnsi" w:hAnsi="Arial" w:cs="Arial" w:hint="default"/>
      </w:rPr>
    </w:lvl>
    <w:lvl w:ilvl="1" w:tplc="9CCCAD54" w:tentative="1">
      <w:start w:val="1"/>
      <w:numFmt w:val="bullet"/>
      <w:lvlText w:val="o"/>
      <w:lvlJc w:val="left"/>
      <w:pPr>
        <w:ind w:left="1440" w:hanging="360"/>
      </w:pPr>
      <w:rPr>
        <w:rFonts w:ascii="Courier New" w:hAnsi="Courier New" w:cs="Courier New" w:hint="default"/>
      </w:rPr>
    </w:lvl>
    <w:lvl w:ilvl="2" w:tplc="11428F28" w:tentative="1">
      <w:start w:val="1"/>
      <w:numFmt w:val="bullet"/>
      <w:lvlText w:val=""/>
      <w:lvlJc w:val="left"/>
      <w:pPr>
        <w:ind w:left="2160" w:hanging="360"/>
      </w:pPr>
      <w:rPr>
        <w:rFonts w:ascii="Wingdings" w:hAnsi="Wingdings" w:hint="default"/>
      </w:rPr>
    </w:lvl>
    <w:lvl w:ilvl="3" w:tplc="8F6A7E54" w:tentative="1">
      <w:start w:val="1"/>
      <w:numFmt w:val="bullet"/>
      <w:lvlText w:val=""/>
      <w:lvlJc w:val="left"/>
      <w:pPr>
        <w:ind w:left="2880" w:hanging="360"/>
      </w:pPr>
      <w:rPr>
        <w:rFonts w:ascii="Symbol" w:hAnsi="Symbol" w:hint="default"/>
      </w:rPr>
    </w:lvl>
    <w:lvl w:ilvl="4" w:tplc="CEDC89B0" w:tentative="1">
      <w:start w:val="1"/>
      <w:numFmt w:val="bullet"/>
      <w:lvlText w:val="o"/>
      <w:lvlJc w:val="left"/>
      <w:pPr>
        <w:ind w:left="3600" w:hanging="360"/>
      </w:pPr>
      <w:rPr>
        <w:rFonts w:ascii="Courier New" w:hAnsi="Courier New" w:cs="Courier New" w:hint="default"/>
      </w:rPr>
    </w:lvl>
    <w:lvl w:ilvl="5" w:tplc="ADF8A7EC" w:tentative="1">
      <w:start w:val="1"/>
      <w:numFmt w:val="bullet"/>
      <w:lvlText w:val=""/>
      <w:lvlJc w:val="left"/>
      <w:pPr>
        <w:ind w:left="4320" w:hanging="360"/>
      </w:pPr>
      <w:rPr>
        <w:rFonts w:ascii="Wingdings" w:hAnsi="Wingdings" w:hint="default"/>
      </w:rPr>
    </w:lvl>
    <w:lvl w:ilvl="6" w:tplc="8FE6DAC6" w:tentative="1">
      <w:start w:val="1"/>
      <w:numFmt w:val="bullet"/>
      <w:lvlText w:val=""/>
      <w:lvlJc w:val="left"/>
      <w:pPr>
        <w:ind w:left="5040" w:hanging="360"/>
      </w:pPr>
      <w:rPr>
        <w:rFonts w:ascii="Symbol" w:hAnsi="Symbol" w:hint="default"/>
      </w:rPr>
    </w:lvl>
    <w:lvl w:ilvl="7" w:tplc="87565198" w:tentative="1">
      <w:start w:val="1"/>
      <w:numFmt w:val="bullet"/>
      <w:lvlText w:val="o"/>
      <w:lvlJc w:val="left"/>
      <w:pPr>
        <w:ind w:left="5760" w:hanging="360"/>
      </w:pPr>
      <w:rPr>
        <w:rFonts w:ascii="Courier New" w:hAnsi="Courier New" w:cs="Courier New" w:hint="default"/>
      </w:rPr>
    </w:lvl>
    <w:lvl w:ilvl="8" w:tplc="9110847A" w:tentative="1">
      <w:start w:val="1"/>
      <w:numFmt w:val="bullet"/>
      <w:lvlText w:val=""/>
      <w:lvlJc w:val="left"/>
      <w:pPr>
        <w:ind w:left="6480" w:hanging="360"/>
      </w:pPr>
      <w:rPr>
        <w:rFonts w:ascii="Wingdings" w:hAnsi="Wingdings" w:hint="default"/>
      </w:rPr>
    </w:lvl>
  </w:abstractNum>
  <w:num w:numId="1" w16cid:durableId="1663124678">
    <w:abstractNumId w:val="1"/>
  </w:num>
  <w:num w:numId="2" w16cid:durableId="625891382">
    <w:abstractNumId w:val="5"/>
  </w:num>
  <w:num w:numId="3" w16cid:durableId="2051151982">
    <w:abstractNumId w:val="4"/>
  </w:num>
  <w:num w:numId="4" w16cid:durableId="1049762908">
    <w:abstractNumId w:val="7"/>
  </w:num>
  <w:num w:numId="5" w16cid:durableId="483619017">
    <w:abstractNumId w:val="2"/>
  </w:num>
  <w:num w:numId="6" w16cid:durableId="1476795262">
    <w:abstractNumId w:val="6"/>
  </w:num>
  <w:num w:numId="7" w16cid:durableId="629674105">
    <w:abstractNumId w:val="3"/>
  </w:num>
  <w:num w:numId="8" w16cid:durableId="1523126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62A6A"/>
    <w:rsid w:val="000A36DE"/>
    <w:rsid w:val="000B5E26"/>
    <w:rsid w:val="001620E5"/>
    <w:rsid w:val="001B62E9"/>
    <w:rsid w:val="002063A7"/>
    <w:rsid w:val="00213196"/>
    <w:rsid w:val="002A7F71"/>
    <w:rsid w:val="002C3BD5"/>
    <w:rsid w:val="002C4FE6"/>
    <w:rsid w:val="002E53D8"/>
    <w:rsid w:val="002E6306"/>
    <w:rsid w:val="00346068"/>
    <w:rsid w:val="00373307"/>
    <w:rsid w:val="003739FD"/>
    <w:rsid w:val="003B309B"/>
    <w:rsid w:val="003B5D89"/>
    <w:rsid w:val="003C4394"/>
    <w:rsid w:val="004255A6"/>
    <w:rsid w:val="00433677"/>
    <w:rsid w:val="00466EC6"/>
    <w:rsid w:val="004B2BF0"/>
    <w:rsid w:val="004D5A85"/>
    <w:rsid w:val="00532EB0"/>
    <w:rsid w:val="00597617"/>
    <w:rsid w:val="005D3687"/>
    <w:rsid w:val="006652D2"/>
    <w:rsid w:val="006860A0"/>
    <w:rsid w:val="00692C2F"/>
    <w:rsid w:val="006979B9"/>
    <w:rsid w:val="006D0B20"/>
    <w:rsid w:val="006D4B03"/>
    <w:rsid w:val="006F130B"/>
    <w:rsid w:val="007511E2"/>
    <w:rsid w:val="007A3566"/>
    <w:rsid w:val="007C31F1"/>
    <w:rsid w:val="007F3BFD"/>
    <w:rsid w:val="007F6F02"/>
    <w:rsid w:val="0082026C"/>
    <w:rsid w:val="00866135"/>
    <w:rsid w:val="00893D79"/>
    <w:rsid w:val="00900041"/>
    <w:rsid w:val="009119DD"/>
    <w:rsid w:val="00993D34"/>
    <w:rsid w:val="009A7833"/>
    <w:rsid w:val="00A01FB6"/>
    <w:rsid w:val="00A330A6"/>
    <w:rsid w:val="00A3574B"/>
    <w:rsid w:val="00A4571F"/>
    <w:rsid w:val="00A50900"/>
    <w:rsid w:val="00A656DC"/>
    <w:rsid w:val="00A735D0"/>
    <w:rsid w:val="00B053BD"/>
    <w:rsid w:val="00B26B57"/>
    <w:rsid w:val="00B30BDE"/>
    <w:rsid w:val="00B52865"/>
    <w:rsid w:val="00B5516E"/>
    <w:rsid w:val="00B8247D"/>
    <w:rsid w:val="00B93F19"/>
    <w:rsid w:val="00BC027C"/>
    <w:rsid w:val="00BD29D7"/>
    <w:rsid w:val="00C07A08"/>
    <w:rsid w:val="00C229F4"/>
    <w:rsid w:val="00C30E74"/>
    <w:rsid w:val="00C45739"/>
    <w:rsid w:val="00C70C64"/>
    <w:rsid w:val="00CA5AF2"/>
    <w:rsid w:val="00CC0E06"/>
    <w:rsid w:val="00D077AD"/>
    <w:rsid w:val="00D52097"/>
    <w:rsid w:val="00DA7AEF"/>
    <w:rsid w:val="00DC49CC"/>
    <w:rsid w:val="00DE0094"/>
    <w:rsid w:val="00E24E85"/>
    <w:rsid w:val="00E54D4C"/>
    <w:rsid w:val="00E553A9"/>
    <w:rsid w:val="00EB1729"/>
    <w:rsid w:val="00EE2857"/>
    <w:rsid w:val="00EE50A8"/>
    <w:rsid w:val="00F46757"/>
    <w:rsid w:val="00F843D0"/>
    <w:rsid w:val="00F97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511336"/>
  <w15:chartTrackingRefBased/>
  <w15:docId w15:val="{C3BA3EF1-D544-4F73-AF5D-503D2227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6D4B03"/>
  </w:style>
  <w:style w:type="character" w:styleId="UnresolvedMention">
    <w:name w:val="Unresolved Mention"/>
    <w:basedOn w:val="DefaultParagraphFont"/>
    <w:uiPriority w:val="99"/>
    <w:semiHidden/>
    <w:unhideWhenUsed/>
    <w:rsid w:val="00C70C64"/>
    <w:rPr>
      <w:color w:val="605E5C"/>
      <w:shd w:val="clear" w:color="auto" w:fill="E1DFDD"/>
    </w:rPr>
  </w:style>
  <w:style w:type="character" w:styleId="FollowedHyperlink">
    <w:name w:val="FollowedHyperlink"/>
    <w:basedOn w:val="DefaultParagraphFont"/>
    <w:uiPriority w:val="99"/>
    <w:semiHidden/>
    <w:unhideWhenUsed/>
    <w:rsid w:val="001B62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80960">
      <w:bodyDiv w:val="1"/>
      <w:marLeft w:val="0"/>
      <w:marRight w:val="0"/>
      <w:marTop w:val="0"/>
      <w:marBottom w:val="0"/>
      <w:divBdr>
        <w:top w:val="none" w:sz="0" w:space="0" w:color="auto"/>
        <w:left w:val="none" w:sz="0" w:space="0" w:color="auto"/>
        <w:bottom w:val="none" w:sz="0" w:space="0" w:color="auto"/>
        <w:right w:val="none" w:sz="0" w:space="0" w:color="auto"/>
      </w:divBdr>
    </w:div>
    <w:div w:id="585773604">
      <w:bodyDiv w:val="1"/>
      <w:marLeft w:val="0"/>
      <w:marRight w:val="0"/>
      <w:marTop w:val="0"/>
      <w:marBottom w:val="0"/>
      <w:divBdr>
        <w:top w:val="none" w:sz="0" w:space="0" w:color="auto"/>
        <w:left w:val="none" w:sz="0" w:space="0" w:color="auto"/>
        <w:bottom w:val="none" w:sz="0" w:space="0" w:color="auto"/>
        <w:right w:val="none" w:sz="0" w:space="0" w:color="auto"/>
      </w:divBdr>
    </w:div>
    <w:div w:id="985620135">
      <w:bodyDiv w:val="1"/>
      <w:marLeft w:val="0"/>
      <w:marRight w:val="0"/>
      <w:marTop w:val="0"/>
      <w:marBottom w:val="0"/>
      <w:divBdr>
        <w:top w:val="none" w:sz="0" w:space="0" w:color="auto"/>
        <w:left w:val="none" w:sz="0" w:space="0" w:color="auto"/>
        <w:bottom w:val="none" w:sz="0" w:space="0" w:color="auto"/>
        <w:right w:val="none" w:sz="0" w:space="0" w:color="auto"/>
      </w:divBdr>
    </w:div>
    <w:div w:id="995692520">
      <w:bodyDiv w:val="1"/>
      <w:marLeft w:val="0"/>
      <w:marRight w:val="0"/>
      <w:marTop w:val="0"/>
      <w:marBottom w:val="0"/>
      <w:divBdr>
        <w:top w:val="none" w:sz="0" w:space="0" w:color="auto"/>
        <w:left w:val="none" w:sz="0" w:space="0" w:color="auto"/>
        <w:bottom w:val="none" w:sz="0" w:space="0" w:color="auto"/>
        <w:right w:val="none" w:sz="0" w:space="0" w:color="auto"/>
      </w:divBdr>
    </w:div>
    <w:div w:id="1157527798">
      <w:bodyDiv w:val="1"/>
      <w:marLeft w:val="0"/>
      <w:marRight w:val="0"/>
      <w:marTop w:val="0"/>
      <w:marBottom w:val="0"/>
      <w:divBdr>
        <w:top w:val="none" w:sz="0" w:space="0" w:color="auto"/>
        <w:left w:val="none" w:sz="0" w:space="0" w:color="auto"/>
        <w:bottom w:val="none" w:sz="0" w:space="0" w:color="auto"/>
        <w:right w:val="none" w:sz="0" w:space="0" w:color="auto"/>
      </w:divBdr>
    </w:div>
    <w:div w:id="1417090752">
      <w:bodyDiv w:val="1"/>
      <w:marLeft w:val="0"/>
      <w:marRight w:val="0"/>
      <w:marTop w:val="0"/>
      <w:marBottom w:val="0"/>
      <w:divBdr>
        <w:top w:val="none" w:sz="0" w:space="0" w:color="auto"/>
        <w:left w:val="none" w:sz="0" w:space="0" w:color="auto"/>
        <w:bottom w:val="none" w:sz="0" w:space="0" w:color="auto"/>
        <w:right w:val="none" w:sz="0" w:space="0" w:color="auto"/>
      </w:divBdr>
    </w:div>
    <w:div w:id="1563523825">
      <w:bodyDiv w:val="1"/>
      <w:marLeft w:val="0"/>
      <w:marRight w:val="0"/>
      <w:marTop w:val="0"/>
      <w:marBottom w:val="0"/>
      <w:divBdr>
        <w:top w:val="none" w:sz="0" w:space="0" w:color="auto"/>
        <w:left w:val="none" w:sz="0" w:space="0" w:color="auto"/>
        <w:bottom w:val="none" w:sz="0" w:space="0" w:color="auto"/>
        <w:right w:val="none" w:sz="0" w:space="0" w:color="auto"/>
      </w:divBdr>
    </w:div>
    <w:div w:id="1700549001">
      <w:bodyDiv w:val="1"/>
      <w:marLeft w:val="0"/>
      <w:marRight w:val="0"/>
      <w:marTop w:val="0"/>
      <w:marBottom w:val="0"/>
      <w:divBdr>
        <w:top w:val="none" w:sz="0" w:space="0" w:color="auto"/>
        <w:left w:val="none" w:sz="0" w:space="0" w:color="auto"/>
        <w:bottom w:val="none" w:sz="0" w:space="0" w:color="auto"/>
        <w:right w:val="none" w:sz="0" w:space="0" w:color="auto"/>
      </w:divBdr>
    </w:div>
    <w:div w:id="1870677596">
      <w:bodyDiv w:val="1"/>
      <w:marLeft w:val="0"/>
      <w:marRight w:val="0"/>
      <w:marTop w:val="0"/>
      <w:marBottom w:val="0"/>
      <w:divBdr>
        <w:top w:val="none" w:sz="0" w:space="0" w:color="auto"/>
        <w:left w:val="none" w:sz="0" w:space="0" w:color="auto"/>
        <w:bottom w:val="none" w:sz="0" w:space="0" w:color="auto"/>
        <w:right w:val="none" w:sz="0" w:space="0" w:color="auto"/>
      </w:divBdr>
    </w:div>
    <w:div w:id="1949699241">
      <w:bodyDiv w:val="1"/>
      <w:marLeft w:val="0"/>
      <w:marRight w:val="0"/>
      <w:marTop w:val="0"/>
      <w:marBottom w:val="0"/>
      <w:divBdr>
        <w:top w:val="none" w:sz="0" w:space="0" w:color="auto"/>
        <w:left w:val="none" w:sz="0" w:space="0" w:color="auto"/>
        <w:bottom w:val="none" w:sz="0" w:space="0" w:color="auto"/>
        <w:right w:val="none" w:sz="0" w:space="0" w:color="auto"/>
      </w:divBdr>
    </w:div>
    <w:div w:id="1998344158">
      <w:bodyDiv w:val="1"/>
      <w:marLeft w:val="0"/>
      <w:marRight w:val="0"/>
      <w:marTop w:val="0"/>
      <w:marBottom w:val="0"/>
      <w:divBdr>
        <w:top w:val="none" w:sz="0" w:space="0" w:color="auto"/>
        <w:left w:val="none" w:sz="0" w:space="0" w:color="auto"/>
        <w:bottom w:val="none" w:sz="0" w:space="0" w:color="auto"/>
        <w:right w:val="none" w:sz="0" w:space="0" w:color="auto"/>
      </w:divBdr>
    </w:div>
    <w:div w:id="2032146900">
      <w:bodyDiv w:val="1"/>
      <w:marLeft w:val="0"/>
      <w:marRight w:val="0"/>
      <w:marTop w:val="0"/>
      <w:marBottom w:val="0"/>
      <w:divBdr>
        <w:top w:val="none" w:sz="0" w:space="0" w:color="auto"/>
        <w:left w:val="none" w:sz="0" w:space="0" w:color="auto"/>
        <w:bottom w:val="none" w:sz="0" w:space="0" w:color="auto"/>
        <w:right w:val="none" w:sz="0" w:space="0" w:color="auto"/>
      </w:divBdr>
    </w:div>
    <w:div w:id="211675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Dou15</b:Tag>
    <b:SourceType>Book</b:SourceType>
    <b:Guid>{EB65829B-EFC5-4364-81E3-498D83271D89}</b:Guid>
    <b:Title>The Royal Marsden Manual of Clinical Nursing Procedures</b:Title>
    <b:Year>2015</b:Year>
    <b:Author>
      <b:Author>
        <b:NameList>
          <b:Person>
            <b:Last>Dougherty</b:Last>
            <b:First>Lisa</b:First>
          </b:Person>
          <b:Person>
            <b:Last>Lister</b:Last>
            <b:First>Sara</b:First>
          </b:Person>
        </b:NameList>
      </b:Author>
    </b:Author>
    <b:City>London</b:City>
    <b:Publisher>Wiley Blackwell</b:Publisher>
    <b:Edition>Ninth</b:Edition>
    <b:RefOrder>4</b:RefOrder>
  </b:Source>
  <b:Source>
    <b:Tag>Ini23</b:Tag>
    <b:SourceType>InternetSite</b:SourceType>
    <b:Guid>{CA4C1739-3926-4F14-B45D-696D55024AD6}</b:Guid>
    <b:Title>Colour Coding Guide</b:Title>
    <b:Year>2023</b:Year>
    <b:Author>
      <b:Author>
        <b:Corporate>Initial</b:Corporate>
      </b:Author>
    </b:Author>
    <b:YearAccessed>2023</b:YearAccessed>
    <b:MonthAccessed>10</b:MonthAccessed>
    <b:DayAccessed>21</b:DayAccessed>
    <b:URL>https://www.initial.co.uk/colour-coding-guide/</b:URL>
    <b:RefOrder>6</b:RefOrder>
  </b:Source>
  <b:Source>
    <b:Tag>Wor09</b:Tag>
    <b:SourceType>InternetSite</b:SourceType>
    <b:Guid>{01E338CB-84EF-44D8-AAD3-A08BF716FB86}</b:Guid>
    <b:Author>
      <b:Author>
        <b:Corporate>World Health Organisation </b:Corporate>
      </b:Author>
    </b:Author>
    <b:Title>Your 5 moments for hand hygiene</b:Title>
    <b:Year>2009</b:Year>
    <b:YearAccessed>2023</b:YearAccessed>
    <b:MonthAccessed>10</b:MonthAccessed>
    <b:DayAccessed>22</b:DayAccessed>
    <b:URL>https://cdn.who.int/media/docs/default-source/integrated-health-services-(ihs)/infection-prevention-and-control/your-5-moments-for-hand-hygiene-poster.pdf?sfvrsn=83e2fb0e_16</b:URL>
    <b:RefOrder>3</b:RefOrder>
  </b:Source>
  <b:Source>
    <b:Tag>Cai22</b:Tag>
    <b:SourceType>InternetSite</b:SourceType>
    <b:Guid>{F92BAD5E-8F0A-411D-B359-DC29EE03558B}</b:Guid>
    <b:Author>
      <b:Author>
        <b:Corporate>Cairn Technology</b:Corporate>
      </b:Author>
    </b:Author>
    <b:Title>Cleaning for Infection Prevention and Control in Operating Theatres</b:Title>
    <b:Year>2022</b:Year>
    <b:YearAccessed>2023</b:YearAccessed>
    <b:MonthAccessed>10</b:MonthAccessed>
    <b:DayAccessed>27</b:DayAccessed>
    <b:URL>https://cairntechnology.com/cleaning-infection-control-operating-theatres/#:~:text=The%20operating%20theatre%20should%20be%20aseptic%2C%20highly-sterile%2C%20and,currents%20as%20people%20enter%20and%20leave%20the%20room.</b:URL>
    <b:RefOrder>2</b:RefOrder>
  </b:Source>
  <b:Source>
    <b:Tag>WHO23</b:Tag>
    <b:SourceType>InternetSite</b:SourceType>
    <b:Guid>{35F8BA0F-26A6-4042-AB9E-8F04CCF2163B}</b:Guid>
    <b:Author>
      <b:Author>
        <b:Corporate>World Health Organisation</b:Corporate>
      </b:Author>
    </b:Author>
    <b:Title>Infection Prevention and Control</b:Title>
    <b:InternetSiteTitle>WHO.int/health</b:InternetSiteTitle>
    <b:Year>2023</b:Year>
    <b:Month>10</b:Month>
    <b:Day>17</b:Day>
    <b:URL>https://www.who.int/health-topics/infection-prevention-and-control#tab=tab_1</b:URL>
    <b:YearAccessed>2023</b:YearAccessed>
    <b:MonthAccessed>10</b:MonthAccessed>
    <b:DayAccessed>20</b:DayAccessed>
    <b:RefOrder>1</b:RefOrder>
  </b:Source>
  <b:Source>
    <b:Tag>All22</b:Tag>
    <b:SourceType>InternetSite</b:SourceType>
    <b:Guid>{75F77A98-625A-490E-A291-6586C564A06D}</b:Guid>
    <b:Author>
      <b:Author>
        <b:NameList>
          <b:Person>
            <b:Last>Allan</b:Last>
            <b:First>Laura</b:First>
          </b:Person>
        </b:NameList>
      </b:Author>
    </b:Author>
    <b:Title>Waste Disposal in Hospitals</b:Title>
    <b:Year>2022</b:Year>
    <b:YearAccessed>2023</b:YearAccessed>
    <b:MonthAccessed>10</b:MonthAccessed>
    <b:DayAccessed>21</b:DayAccessed>
    <b:URL>https://cpdonline.co.uk/knowledge-base/care/waste-disposal-hospitals/</b:URL>
    <b:RefOrder>8</b:RefOrder>
  </b:Source>
  <b:Source>
    <b:Tag>Mat21</b:Tag>
    <b:SourceType>JournalArticle</b:SourceType>
    <b:Guid>{346D105F-726A-4F80-BE8D-4CB31299E333}</b:Guid>
    <b:Title>Cleaning the Operating Theatre</b:Title>
    <b:Year>2021</b:Year>
    <b:Author>
      <b:Author>
        <b:NameList>
          <b:Person>
            <b:Last>Mathenge</b:Last>
            <b:First>Ciku</b:First>
          </b:Person>
          <b:Person>
            <b:Last>Prasad</b:Last>
            <b:First>Yadav</b:First>
            <b:Middle>Ganesh</b:Middle>
          </b:Person>
        </b:NameList>
      </b:Author>
    </b:Author>
    <b:JournalName>Community Eye Health</b:JournalName>
    <b:Pages>25-26</b:Pages>
    <b:Volume>34</b:Volume>
    <b:RefOrder>9</b:RefOrder>
  </b:Source>
  <b:Source>
    <b:Tag>Hea20</b:Tag>
    <b:SourceType>DocumentFromInternetSite</b:SourceType>
    <b:Guid>{749C4040-E6B0-46C2-A285-BFA4CFF60905}</b:Guid>
    <b:Title>HMT-Sancta Maria - Policies - Infection Control</b:Title>
    <b:Year>2020</b:Year>
    <b:Author>
      <b:Author>
        <b:Corporate>Healthcare Management Trust (HMT)</b:Corporate>
      </b:Author>
    </b:Author>
    <b:Month>September</b:Month>
    <b:YearAccessed>2023</b:YearAccessed>
    <b:MonthAccessed>11</b:MonthAccessed>
    <b:DayAccessed>07</b:DayAccessed>
    <b:URL>https://hmt-sanctamaria.policystat.com/policy/10534042/latest#autoid-8azdd</b:URL>
    <b:RefOrder>7</b:RefOrder>
  </b:Source>
  <b:Source>
    <b:Tag>Ass11</b:Tag>
    <b:SourceType>DocumentFromInternetSite</b:SourceType>
    <b:Guid>{AF447B79-6C4F-4E2B-97CD-126F8FE9F64C}</b:Guid>
    <b:Author>
      <b:Author>
        <b:Corporate>Association for Perioperative Practice (AfPP)</b:Corporate>
      </b:Author>
    </b:Author>
    <b:Title>Theatre Attire Poster</b:Title>
    <b:Year>2011</b:Year>
    <b:Month>September</b:Month>
    <b:YearAccessed>2023</b:YearAccessed>
    <b:MonthAccessed>November</b:MonthAccessed>
    <b:DayAccessed>07</b:DayAccessed>
    <b:URL>https://www.afpp.org.uk/filegrab/theatre-attire-a2-poster-v5-final.pdf?ref=1458</b:URL>
    <b:RefOrder>5</b:RefOrder>
  </b:Source>
</b:Sources>
</file>

<file path=customXml/itemProps1.xml><?xml version="1.0" encoding="utf-8"?>
<ds:datastoreItem xmlns:ds="http://schemas.openxmlformats.org/officeDocument/2006/customXml" ds:itemID="{0340E686-F5EE-41C5-9ADF-3913BDEEE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2052</Words>
  <Characters>12350</Characters>
  <Application>Microsoft Office Word</Application>
  <DocSecurity>0</DocSecurity>
  <Lines>236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Davies, Cori</dc:creator>
  <cp:lastModifiedBy>Carly Davies (2319545)</cp:lastModifiedBy>
  <cp:revision>3</cp:revision>
  <dcterms:created xsi:type="dcterms:W3CDTF">2023-11-16T21:49:00Z</dcterms:created>
  <dcterms:modified xsi:type="dcterms:W3CDTF">2023-11-16T21:55:00Z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MSIP_Label_73aa366c-74b9-492b-a1b9-5472c41e7d31_ActionId">
    <vt:lpwstr>e44ea6dc-f75d-42c3-95d3-fb32a4097d37</vt:lpwstr>
  </property>
  <property fmtid="{D5CDD505-2E9C-101B-9397-08002B2CF9AE}" pid="6" name="MSIP_Label_73aa366c-74b9-492b-a1b9-5472c41e7d31_ContentBits">
    <vt:lpwstr>2</vt:lpwstr>
  </property>
  <property fmtid="{D5CDD505-2E9C-101B-9397-08002B2CF9AE}" pid="7" name="MSIP_Label_73aa366c-74b9-492b-a1b9-5472c41e7d31_Enabled">
    <vt:lpwstr>true</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etDate">
    <vt:lpwstr>2023-01-05T09:02:09Z</vt:lpwstr>
  </property>
  <property fmtid="{D5CDD505-2E9C-101B-9397-08002B2CF9AE}" pid="11" name="MSIP_Label_73aa366c-74b9-492b-a1b9-5472c41e7d31_SiteId">
    <vt:lpwstr>44bbd632-fe04-42d7-933e-2649dcd22649</vt:lpwstr>
  </property>
  <property fmtid="{D5CDD505-2E9C-101B-9397-08002B2CF9AE}" pid="12" name="GrammarlyDocumentId">
    <vt:lpwstr>b3cc57e60d308f716575e1499d315f57d5c792e208130ffa172e95311d413c25</vt:lpwstr>
  </property>
</Properties>
</file>