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59BE32E2" w:rsidR="003F7DD7" w:rsidRDefault="003F7DD7" w:rsidP="003F7DD7">
      <w:pPr>
        <w:rPr>
          <w:sz w:val="24"/>
          <w:szCs w:val="24"/>
        </w:rPr>
      </w:pPr>
      <w:r w:rsidRPr="006C2F1B">
        <w:rPr>
          <w:sz w:val="36"/>
          <w:szCs w:val="36"/>
        </w:rPr>
        <w:t>Name:</w:t>
      </w:r>
      <w:r w:rsidR="00F00566">
        <w:rPr>
          <w:sz w:val="36"/>
          <w:szCs w:val="36"/>
        </w:rPr>
        <w:t xml:space="preserve"> Adriana Pandelea</w:t>
      </w:r>
    </w:p>
    <w:p w14:paraId="1EF03A2C" w14:textId="77777777" w:rsidR="003F7DD7" w:rsidRDefault="003F7DD7" w:rsidP="003F7DD7">
      <w:pPr>
        <w:rPr>
          <w:sz w:val="24"/>
          <w:szCs w:val="24"/>
        </w:rPr>
      </w:pPr>
    </w:p>
    <w:p w14:paraId="00F47272" w14:textId="29159FEA" w:rsidR="003F7DD7" w:rsidRPr="00626D81" w:rsidRDefault="003F7DD7" w:rsidP="003F7DD7">
      <w:r w:rsidRPr="00626D81">
        <w:rPr>
          <w:sz w:val="32"/>
          <w:szCs w:val="32"/>
        </w:rPr>
        <w:t>Student ID:</w:t>
      </w:r>
      <w:r w:rsidR="00F00566">
        <w:rPr>
          <w:sz w:val="32"/>
          <w:szCs w:val="32"/>
        </w:rPr>
        <w:t xml:space="preserve"> 2537169</w:t>
      </w:r>
    </w:p>
    <w:p w14:paraId="3CD72554" w14:textId="77777777" w:rsidR="003F7DD7" w:rsidRDefault="003F7DD7" w:rsidP="003F7DD7">
      <w:pPr>
        <w:rPr>
          <w:sz w:val="24"/>
          <w:szCs w:val="24"/>
        </w:rPr>
      </w:pPr>
    </w:p>
    <w:p w14:paraId="24BFDDE9" w14:textId="1D860947" w:rsidR="003F7DD7" w:rsidRDefault="003F7DD7" w:rsidP="003F7DD7">
      <w:pPr>
        <w:rPr>
          <w:sz w:val="32"/>
          <w:szCs w:val="32"/>
        </w:rPr>
      </w:pPr>
      <w:r w:rsidRPr="006C2F1B">
        <w:rPr>
          <w:sz w:val="32"/>
          <w:szCs w:val="32"/>
        </w:rPr>
        <w:t>Module Name:</w:t>
      </w:r>
      <w:r w:rsidR="00F00566">
        <w:rPr>
          <w:sz w:val="32"/>
          <w:szCs w:val="32"/>
        </w:rPr>
        <w:t xml:space="preserve"> Effective Teamworking and Communication Module</w:t>
      </w:r>
    </w:p>
    <w:p w14:paraId="6FB10324" w14:textId="77777777" w:rsidR="003F7DD7" w:rsidRDefault="003F7DD7" w:rsidP="003F7DD7">
      <w:pPr>
        <w:rPr>
          <w:sz w:val="32"/>
          <w:szCs w:val="32"/>
        </w:rPr>
      </w:pPr>
    </w:p>
    <w:p w14:paraId="0EC78F7C" w14:textId="52286BC3" w:rsidR="006C2F1B" w:rsidRDefault="003F7DD7" w:rsidP="003F7DD7">
      <w:pPr>
        <w:rPr>
          <w:sz w:val="24"/>
          <w:szCs w:val="24"/>
        </w:rPr>
      </w:pPr>
      <w:r>
        <w:rPr>
          <w:sz w:val="32"/>
          <w:szCs w:val="32"/>
        </w:rPr>
        <w:t>Lecturer’s Name:</w:t>
      </w:r>
      <w:r w:rsidR="00F00566">
        <w:rPr>
          <w:sz w:val="32"/>
          <w:szCs w:val="32"/>
        </w:rPr>
        <w:t xml:space="preserve"> Ibrahim Rufai</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10860" w:type="dxa"/>
        <w:tblInd w:w="-118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0860"/>
      </w:tblGrid>
      <w:tr w:rsidR="006A3E97" w:rsidRPr="002203CA" w14:paraId="0797A758" w14:textId="77777777" w:rsidTr="00F253CE">
        <w:trPr>
          <w:cantSplit/>
          <w:trHeight w:hRule="exact" w:val="4154"/>
        </w:trPr>
        <w:tc>
          <w:tcPr>
            <w:tcW w:w="10860" w:type="dxa"/>
            <w:noWrap/>
          </w:tcPr>
          <w:p w14:paraId="5E0AF27A" w14:textId="65051CDE" w:rsidR="00891FB9" w:rsidRPr="002203CA" w:rsidRDefault="00891FB9" w:rsidP="006F1A94">
            <w:pPr>
              <w:jc w:val="both"/>
              <w:rPr>
                <w:rFonts w:cstheme="minorHAnsi"/>
                <w:sz w:val="24"/>
                <w:szCs w:val="24"/>
              </w:rPr>
            </w:pPr>
          </w:p>
          <w:p w14:paraId="120B5D9F" w14:textId="2F602377" w:rsidR="00891FB9" w:rsidRDefault="00F00566" w:rsidP="006F1A94">
            <w:pPr>
              <w:jc w:val="both"/>
              <w:rPr>
                <w:rFonts w:cstheme="minorHAnsi"/>
                <w:sz w:val="24"/>
                <w:szCs w:val="24"/>
              </w:rPr>
            </w:pPr>
            <w:r>
              <w:rPr>
                <w:rFonts w:cstheme="minorHAnsi"/>
                <w:sz w:val="24"/>
                <w:szCs w:val="24"/>
              </w:rPr>
              <w:t>Teamwork refers to the collaborative way in which people join their efforts, expertise and work to accomplish a common goal (Stewart, Snyder and Kou, 2013. Teamwork entails communication, trust, cooperation and shared responsibility. Grote and Kozlowski (2023) state that it is essential to hold oneself responsible as a group and make a joint commitment. So, teamwork includes the process of organizing individual efforts, constructive handling of disagreements and the cooperation towards a shared purpose.</w:t>
            </w:r>
            <w:r w:rsidR="0099633B">
              <w:rPr>
                <w:rFonts w:cstheme="minorHAnsi"/>
                <w:sz w:val="24"/>
                <w:szCs w:val="24"/>
              </w:rPr>
              <w:t xml:space="preserve"> This is shown in the video with six students exhibiting various strengths undertaking and academic project.</w:t>
            </w:r>
          </w:p>
          <w:p w14:paraId="1B347011" w14:textId="012DBF1C" w:rsidR="0099633B" w:rsidRPr="002203CA" w:rsidRDefault="0099633B" w:rsidP="006F1A94">
            <w:pPr>
              <w:jc w:val="both"/>
              <w:rPr>
                <w:rFonts w:cstheme="minorHAnsi"/>
                <w:sz w:val="24"/>
                <w:szCs w:val="24"/>
              </w:rPr>
            </w:pPr>
            <w:r>
              <w:rPr>
                <w:rFonts w:cstheme="minorHAnsi"/>
                <w:sz w:val="24"/>
                <w:szCs w:val="24"/>
              </w:rPr>
              <w:t xml:space="preserve">Lena brings with he a lot of research and accuracy, whereas Omar brings confidence and persuasive speech. Hannah provides analytical, Kenji fosters group cohesion, Priya is a networker and problem solver and Alex a technologist. The conflict between Omar and Lena, though, is a challenge to teamwork in the beginning. Pria suggested a middle ground to accept the framework by Omar and giving Lena 48 hours to confirm the information. </w:t>
            </w: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pPr w:leftFromText="180" w:rightFromText="180" w:horzAnchor="margin" w:tblpX="-1180" w:tblpY="-1095"/>
        <w:tblW w:w="117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1700"/>
      </w:tblGrid>
      <w:tr w:rsidR="00773777" w:rsidRPr="002203CA" w14:paraId="5D663AB9" w14:textId="77777777" w:rsidTr="00F253CE">
        <w:trPr>
          <w:cantSplit/>
          <w:trHeight w:hRule="exact" w:val="6590"/>
        </w:trPr>
        <w:tc>
          <w:tcPr>
            <w:tcW w:w="11700" w:type="dxa"/>
            <w:noWrap/>
          </w:tcPr>
          <w:p w14:paraId="254DA816" w14:textId="77777777" w:rsidR="0099633B" w:rsidRDefault="0099633B" w:rsidP="00F253CE">
            <w:pPr>
              <w:spacing w:before="200" w:after="200" w:line="360" w:lineRule="auto"/>
              <w:jc w:val="both"/>
              <w:rPr>
                <w:rFonts w:ascii="Calibri" w:eastAsia="Calibri" w:hAnsi="Calibri" w:cs="Calibri"/>
                <w:sz w:val="24"/>
                <w:szCs w:val="24"/>
              </w:rPr>
            </w:pPr>
            <w:r>
              <w:rPr>
                <w:rFonts w:ascii="Calibri" w:eastAsia="Calibri" w:hAnsi="Calibri" w:cs="Calibri"/>
                <w:sz w:val="24"/>
                <w:szCs w:val="24"/>
              </w:rPr>
              <w:lastRenderedPageBreak/>
              <w:t>The scene symbolizes the Storming phase of the Tuckman Team Development Model. According to Tuckman (1965), this stage entails disagreements, contradicting views, inter-personal tensions and difficulties over how the work is to be done. The members of the team start stating their personal preferences, challenging suggestions and justifying their methods. As a result, communication might be a challenge as people have different goals or differ on the most appropriate path.</w:t>
            </w:r>
          </w:p>
          <w:p w14:paraId="2F36139C" w14:textId="77777777" w:rsidR="0099633B" w:rsidRDefault="0099633B" w:rsidP="00F253CE">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Omar mentions in the video that the team has been arguing for two </w:t>
            </w:r>
            <w:proofErr w:type="gramStart"/>
            <w:r>
              <w:rPr>
                <w:rFonts w:ascii="Calibri" w:eastAsia="Calibri" w:hAnsi="Calibri" w:cs="Calibri"/>
                <w:sz w:val="24"/>
                <w:szCs w:val="24"/>
              </w:rPr>
              <w:t>hours</w:t>
            </w:r>
            <w:proofErr w:type="gramEnd"/>
            <w:r>
              <w:rPr>
                <w:rFonts w:ascii="Calibri" w:eastAsia="Calibri" w:hAnsi="Calibri" w:cs="Calibri"/>
                <w:sz w:val="24"/>
                <w:szCs w:val="24"/>
              </w:rPr>
              <w:t xml:space="preserve"> and the team members look concerned. Omar disagrees with Lena, and Lena defends herself, continuing the argument. Hannah also appears to be distressed, indicating that the conflict is impacting the broader community. Omar lays stress on progressing his framework, and Lena lays stress on accuracy and credible evidence. Such conflicting priorities and unresolved tensions are typical of Storming as the team has not yet achieved a successful means of resolving its differences. The scene depicts the value of constructive communication and conflict management to advance towards more effective teamwork (Sokman, 2023).</w:t>
            </w:r>
          </w:p>
          <w:p w14:paraId="53295E22" w14:textId="77777777" w:rsidR="00773777" w:rsidRPr="002203CA" w:rsidRDefault="00773777" w:rsidP="00F253CE">
            <w:pPr>
              <w:jc w:val="both"/>
              <w:rPr>
                <w:rFonts w:cstheme="minorHAnsi"/>
                <w:sz w:val="24"/>
                <w:szCs w:val="24"/>
              </w:rPr>
            </w:pPr>
          </w:p>
          <w:p w14:paraId="750D2959" w14:textId="77777777" w:rsidR="00773777" w:rsidRPr="002203CA" w:rsidRDefault="00773777" w:rsidP="00F253CE">
            <w:pPr>
              <w:jc w:val="both"/>
              <w:rPr>
                <w:rFonts w:cstheme="minorHAnsi"/>
                <w:sz w:val="24"/>
                <w:szCs w:val="24"/>
              </w:rPr>
            </w:pPr>
          </w:p>
          <w:p w14:paraId="14F823DC" w14:textId="77777777" w:rsidR="00773777" w:rsidRPr="002203CA" w:rsidRDefault="00773777" w:rsidP="00F253CE">
            <w:pPr>
              <w:jc w:val="both"/>
              <w:rPr>
                <w:rFonts w:cstheme="minorHAnsi"/>
                <w:sz w:val="24"/>
                <w:szCs w:val="24"/>
              </w:rPr>
            </w:pPr>
          </w:p>
          <w:p w14:paraId="0E847163" w14:textId="77777777" w:rsidR="00773777" w:rsidRPr="002203CA" w:rsidRDefault="00773777" w:rsidP="00F253CE">
            <w:pPr>
              <w:jc w:val="both"/>
              <w:rPr>
                <w:rFonts w:cstheme="minorHAnsi"/>
                <w:sz w:val="24"/>
                <w:szCs w:val="24"/>
              </w:rPr>
            </w:pPr>
          </w:p>
          <w:p w14:paraId="09FE9ADD" w14:textId="77777777" w:rsidR="00773777" w:rsidRPr="002203CA" w:rsidRDefault="00773777" w:rsidP="00F253CE">
            <w:pPr>
              <w:jc w:val="both"/>
              <w:rPr>
                <w:rFonts w:cstheme="minorHAnsi"/>
                <w:sz w:val="24"/>
                <w:szCs w:val="24"/>
              </w:rPr>
            </w:pPr>
          </w:p>
          <w:p w14:paraId="0787D719" w14:textId="77777777" w:rsidR="00773777" w:rsidRPr="002203CA" w:rsidRDefault="00773777" w:rsidP="00F253CE">
            <w:pPr>
              <w:jc w:val="both"/>
              <w:rPr>
                <w:rFonts w:cstheme="minorHAnsi"/>
                <w:sz w:val="24"/>
                <w:szCs w:val="24"/>
              </w:rPr>
            </w:pPr>
          </w:p>
          <w:p w14:paraId="01538026" w14:textId="77777777" w:rsidR="00773777" w:rsidRPr="002203CA" w:rsidRDefault="00773777" w:rsidP="00F253CE">
            <w:pPr>
              <w:jc w:val="both"/>
              <w:rPr>
                <w:rFonts w:cstheme="minorHAnsi"/>
                <w:sz w:val="24"/>
                <w:szCs w:val="24"/>
              </w:rPr>
            </w:pPr>
          </w:p>
          <w:p w14:paraId="7B67EFC4" w14:textId="77777777" w:rsidR="00773777" w:rsidRPr="002203CA" w:rsidRDefault="00773777" w:rsidP="00F253CE">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11700" w:type="dxa"/>
        <w:tblInd w:w="-118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1700"/>
      </w:tblGrid>
      <w:tr w:rsidR="00773777" w:rsidRPr="002203CA" w14:paraId="0BA8C591" w14:textId="77777777" w:rsidTr="00F253CE">
        <w:trPr>
          <w:cantSplit/>
          <w:trHeight w:hRule="exact" w:val="6113"/>
        </w:trPr>
        <w:tc>
          <w:tcPr>
            <w:tcW w:w="11700" w:type="dxa"/>
            <w:noWrap/>
          </w:tcPr>
          <w:p w14:paraId="612D27D5" w14:textId="77777777" w:rsidR="00F253CE" w:rsidRDefault="00F253CE" w:rsidP="00F253CE">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The stage of the team in the last two minutes may be determined by analyzing whether the team members are making an agreement or are working on their plan. The model created by Tuckman differentiates Norming, when the team members become cooperative and share the responsibilities, and </w:t>
            </w:r>
            <w:proofErr w:type="gramStart"/>
            <w:r>
              <w:rPr>
                <w:rFonts w:ascii="Calibri" w:eastAsia="Calibri" w:hAnsi="Calibri" w:cs="Calibri"/>
                <w:sz w:val="24"/>
                <w:szCs w:val="24"/>
              </w:rPr>
              <w:t>Performing</w:t>
            </w:r>
            <w:proofErr w:type="gramEnd"/>
            <w:r>
              <w:rPr>
                <w:rFonts w:ascii="Calibri" w:eastAsia="Calibri" w:hAnsi="Calibri" w:cs="Calibri"/>
                <w:sz w:val="24"/>
                <w:szCs w:val="24"/>
              </w:rPr>
              <w:t>, when the team is effective in working to achieve its goals (Zirar et al., 2025). Making a compromise does not, by itself, imply the Performing stage.</w:t>
            </w:r>
          </w:p>
          <w:p w14:paraId="1C5E0D98" w14:textId="77777777" w:rsidR="00F253CE" w:rsidRDefault="00F253CE" w:rsidP="00F253CE">
            <w:pPr>
              <w:spacing w:before="200" w:after="200" w:line="360" w:lineRule="auto"/>
              <w:jc w:val="both"/>
              <w:rPr>
                <w:rFonts w:ascii="Calibri" w:eastAsia="Calibri" w:hAnsi="Calibri" w:cs="Calibri"/>
                <w:sz w:val="24"/>
                <w:szCs w:val="24"/>
              </w:rPr>
            </w:pPr>
            <w:r>
              <w:rPr>
                <w:rFonts w:ascii="Calibri" w:eastAsia="Calibri" w:hAnsi="Calibri" w:cs="Calibri"/>
                <w:sz w:val="24"/>
                <w:szCs w:val="24"/>
              </w:rPr>
              <w:t>The previous conflict gives a background on which to evaluate the development of the team. Priya defends the framework developed by Omar and provides Lena with 48 hours to confirm the data, and it is a means to strike the balance between progress and accuracy. In case the last scene is depicted by members being satisfied with this compromise, defining the tasks and establishing a working relationship, then Norming is the more suitable description. In case they then organize their work and proactively put the agreed plan in practice, Performing might be reasonable. Implementation could rely on the input of Alex, Lena and the other members of the team due to their technical abilities. Consequently, the overall classification must indicate the actual behaviour of the team in the final scene but not the agreement only (Agustian et al., 2023).</w:t>
            </w: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11250" w:type="dxa"/>
        <w:tblInd w:w="-10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1250"/>
      </w:tblGrid>
      <w:tr w:rsidR="00773777" w:rsidRPr="002203CA" w14:paraId="3B2F8C66" w14:textId="77777777" w:rsidTr="00F253CE">
        <w:trPr>
          <w:cantSplit/>
          <w:trHeight w:hRule="exact" w:val="6158"/>
        </w:trPr>
        <w:tc>
          <w:tcPr>
            <w:tcW w:w="11250" w:type="dxa"/>
            <w:noWrap/>
          </w:tcPr>
          <w:p w14:paraId="1BA7D673" w14:textId="77777777" w:rsidR="00F253CE" w:rsidRDefault="00F253CE" w:rsidP="00F253CE">
            <w:pPr>
              <w:spacing w:before="200" w:after="200" w:line="360" w:lineRule="auto"/>
              <w:jc w:val="both"/>
              <w:rPr>
                <w:rFonts w:ascii="Calibri" w:eastAsia="Calibri" w:hAnsi="Calibri" w:cs="Calibri"/>
                <w:sz w:val="24"/>
                <w:szCs w:val="24"/>
              </w:rPr>
            </w:pPr>
            <w:r>
              <w:rPr>
                <w:rFonts w:ascii="Calibri" w:eastAsia="Calibri" w:hAnsi="Calibri" w:cs="Calibri"/>
                <w:sz w:val="24"/>
                <w:szCs w:val="24"/>
              </w:rPr>
              <w:t>Group decision-making refers to the process where members of the team share the information, analyze options and choose a course of action to accomplish a common goal (Yunita et al., 2023). It entails thinking about various views, debating possible solutions and weighing their pros and cons. A good group decision-making process helps people to pool their knowledge and expertise. Nevertheless, the quality of the final decision can be spoiled by domination, unresolved differences and lack of evaluation (Zercher et al., 2025).</w:t>
            </w:r>
          </w:p>
          <w:p w14:paraId="10DAB845" w14:textId="77777777" w:rsidR="00F253CE" w:rsidRDefault="00F253CE" w:rsidP="00F253CE">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This process is demonstrated in the video when Omar and Lena disagree regarding project structure and accuracy of the data. Omar encourages his framework, and Lena underlines intensive verification. Priya suggests that she sponsor the framework of Omar but give Lena 48 hours to </w:t>
            </w:r>
            <w:proofErr w:type="gramStart"/>
            <w:r>
              <w:rPr>
                <w:rFonts w:ascii="Calibri" w:eastAsia="Calibri" w:hAnsi="Calibri" w:cs="Calibri"/>
                <w:sz w:val="24"/>
                <w:szCs w:val="24"/>
              </w:rPr>
              <w:t>verify  the</w:t>
            </w:r>
            <w:proofErr w:type="gramEnd"/>
            <w:r>
              <w:rPr>
                <w:rFonts w:ascii="Calibri" w:eastAsia="Calibri" w:hAnsi="Calibri" w:cs="Calibri"/>
                <w:sz w:val="24"/>
                <w:szCs w:val="24"/>
              </w:rPr>
              <w:t xml:space="preserve"> evidence. This trade-off combines both the desire to move forward with the desire to be accurate and incorporates the concerns of both members into a feasible solution. It shows how collective decision-making can be made to suit various points of view instead of just giving preference to the most convincing person. Nevertheless, the decision will be of quality depending on the verification of the evidence and the agreed approach that corresponds to the objectives of the project (Bates et al., 2023).</w:t>
            </w: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pPr w:leftFromText="180" w:rightFromText="180" w:vertAnchor="text" w:horzAnchor="margin" w:tblpX="-1180" w:tblpY="-1319"/>
        <w:tblW w:w="1169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1690"/>
      </w:tblGrid>
      <w:tr w:rsidR="00872C48" w:rsidRPr="002203CA" w14:paraId="08404DCF" w14:textId="77777777" w:rsidTr="00212AA8">
        <w:trPr>
          <w:cantSplit/>
          <w:trHeight w:hRule="exact" w:val="3600"/>
        </w:trPr>
        <w:tc>
          <w:tcPr>
            <w:tcW w:w="11690" w:type="dxa"/>
            <w:noWrap/>
          </w:tcPr>
          <w:p w14:paraId="636CE499" w14:textId="77777777" w:rsidR="00872C48" w:rsidRPr="002203CA" w:rsidRDefault="00872C48" w:rsidP="00212AA8">
            <w:pPr>
              <w:jc w:val="both"/>
              <w:rPr>
                <w:rFonts w:cstheme="minorHAnsi"/>
                <w:sz w:val="24"/>
                <w:szCs w:val="24"/>
              </w:rPr>
            </w:pPr>
          </w:p>
          <w:p w14:paraId="638ABD96" w14:textId="77777777" w:rsidR="00872C48" w:rsidRPr="002203CA" w:rsidRDefault="00872C48" w:rsidP="00212AA8">
            <w:pPr>
              <w:jc w:val="both"/>
              <w:rPr>
                <w:rFonts w:cstheme="minorHAnsi"/>
                <w:sz w:val="24"/>
                <w:szCs w:val="24"/>
              </w:rPr>
            </w:pPr>
          </w:p>
          <w:p w14:paraId="5C9814EF" w14:textId="77777777" w:rsidR="00872C48" w:rsidRPr="002203CA" w:rsidRDefault="00872C48" w:rsidP="00212AA8">
            <w:pPr>
              <w:jc w:val="both"/>
              <w:rPr>
                <w:rFonts w:cstheme="minorHAnsi"/>
                <w:sz w:val="24"/>
                <w:szCs w:val="24"/>
              </w:rPr>
            </w:pPr>
          </w:p>
          <w:p w14:paraId="5167EED0" w14:textId="77777777" w:rsidR="00872C48" w:rsidRPr="002203CA" w:rsidRDefault="00872C48" w:rsidP="00212AA8">
            <w:pPr>
              <w:jc w:val="both"/>
              <w:rPr>
                <w:rFonts w:cstheme="minorHAnsi"/>
                <w:sz w:val="24"/>
                <w:szCs w:val="24"/>
              </w:rPr>
            </w:pPr>
          </w:p>
          <w:p w14:paraId="1B41812C" w14:textId="77777777" w:rsidR="00872C48" w:rsidRPr="002203CA" w:rsidRDefault="00872C48" w:rsidP="00212AA8">
            <w:pPr>
              <w:jc w:val="both"/>
              <w:rPr>
                <w:rFonts w:cstheme="minorHAnsi"/>
                <w:sz w:val="24"/>
                <w:szCs w:val="24"/>
              </w:rPr>
            </w:pPr>
          </w:p>
          <w:p w14:paraId="3B054622" w14:textId="77777777" w:rsidR="00872C48" w:rsidRPr="002203CA" w:rsidRDefault="00872C48" w:rsidP="00212AA8">
            <w:pPr>
              <w:jc w:val="both"/>
              <w:rPr>
                <w:rFonts w:cstheme="minorHAnsi"/>
                <w:sz w:val="24"/>
                <w:szCs w:val="24"/>
              </w:rPr>
            </w:pPr>
          </w:p>
          <w:p w14:paraId="54605553" w14:textId="77777777" w:rsidR="00872C48" w:rsidRPr="002203CA" w:rsidRDefault="00872C48" w:rsidP="00212AA8">
            <w:pPr>
              <w:jc w:val="both"/>
              <w:rPr>
                <w:rFonts w:cstheme="minorHAnsi"/>
                <w:sz w:val="24"/>
                <w:szCs w:val="24"/>
              </w:rPr>
            </w:pPr>
          </w:p>
          <w:p w14:paraId="0EB63C3A" w14:textId="77777777" w:rsidR="00872C48" w:rsidRPr="002203CA" w:rsidRDefault="00872C48" w:rsidP="00212AA8">
            <w:pPr>
              <w:jc w:val="both"/>
              <w:rPr>
                <w:rFonts w:cstheme="minorHAnsi"/>
                <w:sz w:val="24"/>
                <w:szCs w:val="24"/>
              </w:rPr>
            </w:pPr>
          </w:p>
          <w:p w14:paraId="00314634" w14:textId="77777777" w:rsidR="00872C48" w:rsidRPr="002203CA" w:rsidRDefault="00872C48" w:rsidP="00212AA8">
            <w:pPr>
              <w:jc w:val="both"/>
              <w:rPr>
                <w:rFonts w:cstheme="minorHAnsi"/>
                <w:sz w:val="24"/>
                <w:szCs w:val="24"/>
              </w:rPr>
            </w:pPr>
          </w:p>
          <w:p w14:paraId="7D5EF727" w14:textId="77777777" w:rsidR="00872C48" w:rsidRPr="002203CA" w:rsidRDefault="00872C48" w:rsidP="00212AA8">
            <w:pPr>
              <w:jc w:val="both"/>
              <w:rPr>
                <w:rFonts w:cstheme="minorHAnsi"/>
                <w:sz w:val="24"/>
                <w:szCs w:val="24"/>
              </w:rPr>
            </w:pPr>
          </w:p>
          <w:p w14:paraId="3F3C9133" w14:textId="77777777" w:rsidR="00872C48" w:rsidRPr="002203CA" w:rsidRDefault="00872C48" w:rsidP="00212AA8">
            <w:pPr>
              <w:jc w:val="both"/>
              <w:rPr>
                <w:rFonts w:cstheme="minorHAnsi"/>
                <w:sz w:val="24"/>
                <w:szCs w:val="24"/>
              </w:rPr>
            </w:pPr>
          </w:p>
          <w:p w14:paraId="119B2753" w14:textId="77777777" w:rsidR="00872C48" w:rsidRPr="002203CA" w:rsidRDefault="00872C48" w:rsidP="00212AA8">
            <w:pPr>
              <w:jc w:val="both"/>
              <w:rPr>
                <w:rFonts w:cstheme="minorHAnsi"/>
                <w:sz w:val="24"/>
                <w:szCs w:val="24"/>
              </w:rPr>
            </w:pPr>
          </w:p>
        </w:tc>
      </w:tr>
    </w:tbl>
    <w:tbl>
      <w:tblPr>
        <w:tblStyle w:val="TableGrid"/>
        <w:tblW w:w="11700" w:type="dxa"/>
        <w:tblInd w:w="-1175" w:type="dxa"/>
        <w:tblLook w:val="04A0" w:firstRow="1" w:lastRow="0" w:firstColumn="1" w:lastColumn="0" w:noHBand="0" w:noVBand="1"/>
      </w:tblPr>
      <w:tblGrid>
        <w:gridCol w:w="11700"/>
      </w:tblGrid>
      <w:tr w:rsidR="00872C48" w14:paraId="5640B8B3" w14:textId="77777777" w:rsidTr="00872C48">
        <w:trPr>
          <w:trHeight w:val="3833"/>
        </w:trPr>
        <w:tc>
          <w:tcPr>
            <w:tcW w:w="11700" w:type="dxa"/>
          </w:tcPr>
          <w:p w14:paraId="21F06B2F" w14:textId="77777777" w:rsidR="00872C48" w:rsidRDefault="00872C48" w:rsidP="00872C48">
            <w:pPr>
              <w:spacing w:before="200" w:after="200" w:line="360" w:lineRule="auto"/>
              <w:jc w:val="both"/>
              <w:rPr>
                <w:rFonts w:ascii="Calibri" w:eastAsia="Calibri" w:hAnsi="Calibri" w:cs="Calibri"/>
                <w:sz w:val="24"/>
                <w:szCs w:val="24"/>
              </w:rPr>
            </w:pPr>
            <w:r>
              <w:rPr>
                <w:rFonts w:ascii="Calibri" w:eastAsia="Calibri" w:hAnsi="Calibri" w:cs="Calibri"/>
                <w:sz w:val="24"/>
                <w:szCs w:val="24"/>
              </w:rPr>
              <w:t>Nominal Group Technique (NGT) is a systematic decision-making technique that helps to generate ideas, promote equal participation and set priorities (Vahedian-Shahroodi et al., 2023). It has common phases such as silent generation of ideas, round robin sharing, clarification and voting or ranking. The participants first generate ideas on their own, then present them in an organized manner, and then compare the merits and debate on the potential solutions. This design minimizes the power of influential people and gives fewer vocal members a chance to play (Tsao and Nogues, 2024).</w:t>
            </w:r>
          </w:p>
          <w:p w14:paraId="1F4CA2A6" w14:textId="77777777" w:rsidR="00872C48" w:rsidRDefault="00872C48" w:rsidP="00872C48">
            <w:pPr>
              <w:spacing w:before="200" w:after="200" w:line="360" w:lineRule="auto"/>
              <w:jc w:val="both"/>
              <w:rPr>
                <w:rFonts w:ascii="Calibri" w:eastAsia="Calibri" w:hAnsi="Calibri" w:cs="Calibri"/>
                <w:sz w:val="24"/>
                <w:szCs w:val="24"/>
              </w:rPr>
            </w:pPr>
            <w:r>
              <w:rPr>
                <w:rFonts w:ascii="Calibri" w:eastAsia="Calibri" w:hAnsi="Calibri" w:cs="Calibri"/>
                <w:sz w:val="24"/>
                <w:szCs w:val="24"/>
              </w:rPr>
              <w:t>The conflict between Omar and Lena explains why NGT may be beneficial to the team, especially since Hannah feels uneasy when the team is arguing. The members were free to propose solutions on their own, post every idea consecutively, explain its pros and cons and vote on the best alternative. As an illustration, they might contrast an immediate adoption of the framework offered by Omar with giving Lena some time to confirm the supportive evidences. The compromise by Priya can be seen as an effort to come to terms with varying opinions which is pragmatic, yet it does not prove that the team officially operated with NGT. The technique could make the decision-making process more inclusive, structured and transparent (Liu et al., 2025).</w:t>
            </w:r>
          </w:p>
          <w:p w14:paraId="34345229" w14:textId="77777777" w:rsidR="00872C48" w:rsidRDefault="00872C48" w:rsidP="00872C48">
            <w:pPr>
              <w:pStyle w:val="Heading2"/>
              <w:jc w:val="center"/>
            </w:pPr>
          </w:p>
        </w:tc>
      </w:tr>
    </w:tbl>
    <w:p w14:paraId="4830E546" w14:textId="2325ADDF" w:rsidR="00773777" w:rsidRPr="00872C48" w:rsidRDefault="00773777" w:rsidP="00872C48">
      <w:pPr>
        <w:pStyle w:val="Heading2"/>
        <w:jc w:val="cente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lastRenderedPageBreak/>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11880" w:type="dxa"/>
        <w:tblInd w:w="-127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1880"/>
      </w:tblGrid>
      <w:tr w:rsidR="00773777" w:rsidRPr="002203CA" w14:paraId="677245E6" w14:textId="77777777" w:rsidTr="00872C48">
        <w:trPr>
          <w:cantSplit/>
          <w:trHeight w:hRule="exact" w:val="5483"/>
        </w:trPr>
        <w:tc>
          <w:tcPr>
            <w:tcW w:w="11880" w:type="dxa"/>
            <w:noWrap/>
          </w:tcPr>
          <w:p w14:paraId="002B88FE" w14:textId="60443E5F" w:rsidR="00872C48" w:rsidRDefault="00872C48" w:rsidP="00872C48">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Priya demonstrates the Collaborating mode of the Thomas–Kilmann Conflict Mode Instrument. This mode is a mixture of high assertiveness and high cooperativeness, that is, people express themselves and take into account the needs of other people, at the same time. Collaboration aims at finding a resolution that suits the </w:t>
            </w:r>
            <w:proofErr w:type="gramStart"/>
            <w:r>
              <w:rPr>
                <w:rFonts w:ascii="Calibri" w:eastAsia="Calibri" w:hAnsi="Calibri" w:cs="Calibri"/>
                <w:sz w:val="24"/>
                <w:szCs w:val="24"/>
              </w:rPr>
              <w:t>principle</w:t>
            </w:r>
            <w:proofErr w:type="gramEnd"/>
            <w:r>
              <w:rPr>
                <w:rFonts w:ascii="Calibri" w:eastAsia="Calibri" w:hAnsi="Calibri" w:cs="Calibri"/>
                <w:sz w:val="24"/>
                <w:szCs w:val="24"/>
              </w:rPr>
              <w:t xml:space="preserve"> interests of the individuals involved and not to compel an individual to give up or merely accepting the other side (Kahane, 2025</w:t>
            </w:r>
            <w:proofErr w:type="gramStart"/>
            <w:r>
              <w:rPr>
                <w:rFonts w:ascii="Calibri" w:eastAsia="Calibri" w:hAnsi="Calibri" w:cs="Calibri"/>
                <w:sz w:val="24"/>
                <w:szCs w:val="24"/>
              </w:rPr>
              <w:t>).When</w:t>
            </w:r>
            <w:proofErr w:type="gramEnd"/>
            <w:r>
              <w:rPr>
                <w:rFonts w:ascii="Calibri" w:eastAsia="Calibri" w:hAnsi="Calibri" w:cs="Calibri"/>
                <w:sz w:val="24"/>
                <w:szCs w:val="24"/>
              </w:rPr>
              <w:t xml:space="preserve"> Priya writes that they do not need to decide between being quick and being comprehensive, she disproves the belief that the framework used by Omar and the verification needs that Lena has are incompatible. She agrees with the structure by Omar and allows Lena 48 hours to investigate the evidence. This approach  keeps the continuation of progress without ruling out the significance of accuracy. Priya does not refuse Lena her worries nor does he insist Omar should drop his offer. Rather, she puts together their inputs into a mutually  beneficial  solution. Her intervention has the effect of shifting the focus of personal disagreement to the academic goal that they both share, thus making collaboration the most suitable type of classification of her conflict-management behaviour (Sukhadeve and Keshtty, 2026).</w:t>
            </w: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11790" w:type="dxa"/>
        <w:tblInd w:w="-127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1790"/>
      </w:tblGrid>
      <w:tr w:rsidR="00773777" w:rsidRPr="002203CA" w14:paraId="6EAE9EBF" w14:textId="77777777" w:rsidTr="009A01AE">
        <w:trPr>
          <w:cantSplit/>
          <w:trHeight w:hRule="exact" w:val="5087"/>
        </w:trPr>
        <w:tc>
          <w:tcPr>
            <w:tcW w:w="11790" w:type="dxa"/>
            <w:noWrap/>
          </w:tcPr>
          <w:p w14:paraId="58523154" w14:textId="77777777" w:rsidR="009A01AE" w:rsidRDefault="009A01AE" w:rsidP="009A01AE">
            <w:pPr>
              <w:spacing w:before="200" w:after="200" w:line="360" w:lineRule="auto"/>
              <w:jc w:val="both"/>
              <w:rPr>
                <w:rFonts w:ascii="Calibri" w:eastAsia="Calibri" w:hAnsi="Calibri" w:cs="Calibri"/>
                <w:sz w:val="24"/>
                <w:szCs w:val="24"/>
              </w:rPr>
            </w:pPr>
            <w:r>
              <w:rPr>
                <w:rFonts w:ascii="Calibri" w:eastAsia="Calibri" w:hAnsi="Calibri" w:cs="Calibri"/>
                <w:sz w:val="24"/>
                <w:szCs w:val="24"/>
              </w:rPr>
              <w:t>Hannah portrays the Avoiding conflict style in Thomas-Kilmann model. The avoidance entails low assertiveness and low cooperativeness whereby a person avoids an argument instead of having to face opposing interests (Furnham, Cuppello and Semmelink, 2026). This behaviour can arise in case a person is not comfortable or is expecting to get a negative response or is convinced that speaking out might escalate the conflict. Though avoidance can momentarily minimize confrontation, it can avoid the crucial views on a decision.</w:t>
            </w:r>
          </w:p>
          <w:p w14:paraId="643B41B3" w14:textId="77777777" w:rsidR="009A01AE" w:rsidRDefault="009A01AE" w:rsidP="009A01AE">
            <w:pPr>
              <w:spacing w:before="200" w:after="200" w:line="360" w:lineRule="auto"/>
              <w:jc w:val="both"/>
              <w:rPr>
                <w:rFonts w:ascii="Calibri" w:eastAsia="Calibri" w:hAnsi="Calibri" w:cs="Calibri"/>
                <w:sz w:val="24"/>
                <w:szCs w:val="24"/>
              </w:rPr>
            </w:pPr>
            <w:r>
              <w:rPr>
                <w:rFonts w:ascii="Calibri" w:eastAsia="Calibri" w:hAnsi="Calibri" w:cs="Calibri"/>
                <w:sz w:val="24"/>
                <w:szCs w:val="24"/>
              </w:rPr>
              <w:t>When Omar and Lena are arguing, Hannah retreats into her chair and withdraws  when she is interrupted. These actions imply less involvement and withdraw  of the current conflict. This reaction is avoidance as she avoids further insisting on her input and being an active party to the conflict. As a result, valuable information might be left unspoken, giving way to more aggressive individuals to speak up. The team might solve this issue by setting up a turn-taking policy and asking Hannah to be involved without interruption. These would promote equal engagement and enhance group communication effectiveness (Wade et al., 2024).</w:t>
            </w: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11880" w:type="dxa"/>
        <w:tblInd w:w="-127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1880"/>
      </w:tblGrid>
      <w:tr w:rsidR="00773777" w:rsidRPr="002203CA" w14:paraId="7F44B7FC" w14:textId="77777777" w:rsidTr="009A01AE">
        <w:trPr>
          <w:cantSplit/>
          <w:trHeight w:hRule="exact" w:val="5060"/>
        </w:trPr>
        <w:tc>
          <w:tcPr>
            <w:tcW w:w="11880" w:type="dxa"/>
            <w:noWrap/>
          </w:tcPr>
          <w:p w14:paraId="0C09E6B9" w14:textId="448CA2E7" w:rsidR="009A01AE" w:rsidRDefault="009A01AE" w:rsidP="009A01AE">
            <w:pPr>
              <w:spacing w:before="200" w:after="200" w:line="360" w:lineRule="auto"/>
              <w:jc w:val="both"/>
              <w:rPr>
                <w:rFonts w:ascii="Calibri" w:eastAsia="Calibri" w:hAnsi="Calibri" w:cs="Calibri"/>
                <w:sz w:val="24"/>
                <w:szCs w:val="24"/>
              </w:rPr>
            </w:pPr>
            <w:r>
              <w:rPr>
                <w:rFonts w:ascii="Calibri" w:eastAsia="Calibri" w:hAnsi="Calibri" w:cs="Calibri"/>
                <w:sz w:val="24"/>
                <w:szCs w:val="24"/>
              </w:rPr>
              <w:lastRenderedPageBreak/>
              <w:t>Alex portrays mostly the Implementer role in the Team Role Theory of Belbin. Implementers take ideas and bring them to life through organising work, creating workable procedures and enhancing efficiency. His analytical style, his tendency to organize project data indicates he would be able to assist the team to organize its working in a systematic way. He can also exhibit the Specialist role as his computer science background gives him technical knowledge that might be valuable in supporting the project needs (Belbin and Brown, 2022</w:t>
            </w:r>
            <w:proofErr w:type="gramStart"/>
            <w:r>
              <w:rPr>
                <w:rFonts w:ascii="Calibri" w:eastAsia="Calibri" w:hAnsi="Calibri" w:cs="Calibri"/>
                <w:sz w:val="24"/>
                <w:szCs w:val="24"/>
              </w:rPr>
              <w:t>).Priya</w:t>
            </w:r>
            <w:proofErr w:type="gramEnd"/>
            <w:r>
              <w:rPr>
                <w:rFonts w:ascii="Calibri" w:eastAsia="Calibri" w:hAnsi="Calibri" w:cs="Calibri"/>
                <w:sz w:val="24"/>
                <w:szCs w:val="24"/>
              </w:rPr>
              <w:t xml:space="preserve"> exhibits the aspects of Coordinator and Teamworker roles. Coordinators explain goals and assist in organising tasks, whereas </w:t>
            </w:r>
            <w:proofErr w:type="spellStart"/>
            <w:r>
              <w:rPr>
                <w:rFonts w:ascii="Calibri" w:eastAsia="Calibri" w:hAnsi="Calibri" w:cs="Calibri"/>
                <w:sz w:val="24"/>
                <w:szCs w:val="24"/>
              </w:rPr>
              <w:t>Teamworkers</w:t>
            </w:r>
            <w:proofErr w:type="spellEnd"/>
            <w:r>
              <w:rPr>
                <w:rFonts w:ascii="Calibri" w:eastAsia="Calibri" w:hAnsi="Calibri" w:cs="Calibri"/>
                <w:sz w:val="24"/>
                <w:szCs w:val="24"/>
              </w:rPr>
              <w:t xml:space="preserve"> promote </w:t>
            </w:r>
            <w:proofErr w:type="spellStart"/>
            <w:proofErr w:type="gramStart"/>
            <w:r>
              <w:rPr>
                <w:rFonts w:ascii="Calibri" w:eastAsia="Calibri" w:hAnsi="Calibri" w:cs="Calibri"/>
                <w:sz w:val="24"/>
                <w:szCs w:val="24"/>
              </w:rPr>
              <w:t>collaboration</w:t>
            </w:r>
            <w:r>
              <w:rPr>
                <w:rFonts w:ascii="Calibri" w:eastAsia="Calibri" w:hAnsi="Calibri" w:cs="Calibri"/>
                <w:sz w:val="24"/>
                <w:szCs w:val="24"/>
              </w:rPr>
              <w:t>.</w:t>
            </w:r>
            <w:r>
              <w:rPr>
                <w:rFonts w:ascii="Calibri" w:eastAsia="Calibri" w:hAnsi="Calibri" w:cs="Calibri"/>
                <w:sz w:val="24"/>
                <w:szCs w:val="24"/>
              </w:rPr>
              <w:t>Her</w:t>
            </w:r>
            <w:proofErr w:type="spellEnd"/>
            <w:proofErr w:type="gramEnd"/>
            <w:r>
              <w:rPr>
                <w:rFonts w:ascii="Calibri" w:eastAsia="Calibri" w:hAnsi="Calibri" w:cs="Calibri"/>
                <w:sz w:val="24"/>
                <w:szCs w:val="24"/>
              </w:rPr>
              <w:t xml:space="preserve"> mediation between Omar and Lena confirms these interpretations since she recognises the importance of not only progress but also accuracy of data. Her networking skills can also suggest the Resource Investigator job, which implies searching opportunities and introducing valuable ideas to the group (Shepherd, Sattari and Patzelt, 2022). In general, Alex will provide more practical and technical skills whereas Priya is able to combine different viewpoints and keep the collaboration going.</w:t>
            </w: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12073" w:type="dxa"/>
        <w:tblInd w:w="-1265" w:type="dxa"/>
        <w:tblLook w:val="04A0" w:firstRow="1" w:lastRow="0" w:firstColumn="1" w:lastColumn="0" w:noHBand="0" w:noVBand="1"/>
      </w:tblPr>
      <w:tblGrid>
        <w:gridCol w:w="12073"/>
      </w:tblGrid>
      <w:tr w:rsidR="00EF4387" w14:paraId="24A17FC7" w14:textId="77777777" w:rsidTr="009A01AE">
        <w:trPr>
          <w:trHeight w:val="6137"/>
        </w:trPr>
        <w:tc>
          <w:tcPr>
            <w:tcW w:w="12073" w:type="dxa"/>
          </w:tcPr>
          <w:p w14:paraId="5A5D9708" w14:textId="77777777" w:rsidR="009A01AE" w:rsidRDefault="009A01AE" w:rsidP="009A01AE">
            <w:pPr>
              <w:spacing w:before="200" w:after="200" w:line="360" w:lineRule="auto"/>
              <w:jc w:val="both"/>
              <w:rPr>
                <w:rFonts w:ascii="Calibri" w:eastAsia="Calibri" w:hAnsi="Calibri" w:cs="Calibri"/>
                <w:sz w:val="24"/>
                <w:szCs w:val="24"/>
              </w:rPr>
            </w:pPr>
            <w:r>
              <w:rPr>
                <w:rFonts w:ascii="Calibri" w:eastAsia="Calibri" w:hAnsi="Calibri" w:cs="Calibri"/>
                <w:sz w:val="24"/>
                <w:szCs w:val="24"/>
              </w:rPr>
              <w:t>Omar mainly exhibits the Shaper role in Team Role Theory introduced by Belbin. Shapers are energetic, assertive and determined to maintain momentum towards objectives (Neves, 2024). They provoke others, motivate them to do something and make efforts to overcome barriers. These qualities are exhibited by Omar, who is confident, communicates persuasively, makes decisions quickly and is determined to propel his framework. Nonetheless, over assertion may cause interpersonal strain whereby the other members may feel that their views are not being heard.</w:t>
            </w:r>
          </w:p>
          <w:p w14:paraId="5377F17C" w14:textId="77777777" w:rsidR="009A01AE" w:rsidRDefault="009A01AE" w:rsidP="009A01AE">
            <w:pPr>
              <w:spacing w:before="200" w:after="200" w:line="360" w:lineRule="auto"/>
              <w:jc w:val="both"/>
              <w:rPr>
                <w:rFonts w:ascii="Calibri" w:eastAsia="Calibri" w:hAnsi="Calibri" w:cs="Calibri"/>
                <w:sz w:val="24"/>
                <w:szCs w:val="24"/>
              </w:rPr>
            </w:pPr>
            <w:r>
              <w:rPr>
                <w:rFonts w:ascii="Calibri" w:eastAsia="Calibri" w:hAnsi="Calibri" w:cs="Calibri"/>
                <w:sz w:val="24"/>
                <w:szCs w:val="24"/>
              </w:rPr>
              <w:t>Lena exhibits aspects of Completer Finisher and Monitor Evaluator. Completer Finishers are concerned with detail, accuracy and quality whereas Monitor Evaluators are critical of information and objective in their evaluation of alternatives. These interpretations are supported by her thorough research, focus on sound evidences and demand on verification. Omar encourages progress and Lena ensures the quality of the analysis, but they sometimes clash in their approaches; however, when the team can balance between timely decisions and evidence-based analysis, they can help one another. Omar can stop the unnecessary delays,  and the scrutiny of Lena can decrease the chances of mistakes. Teamwork needs to have momentum and critical evaluation (Owen, 2023).</w:t>
            </w: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1865BD1B" w14:textId="77777777" w:rsidR="009A01AE" w:rsidRDefault="009A01AE" w:rsidP="009A01AE">
      <w:pPr>
        <w:jc w:val="both"/>
        <w:rPr>
          <w:rFonts w:cstheme="minorHAnsi"/>
          <w:b/>
          <w:bCs/>
          <w:sz w:val="24"/>
          <w:szCs w:val="24"/>
        </w:rPr>
      </w:pPr>
      <w:r w:rsidRPr="00594AA4">
        <w:rPr>
          <w:rFonts w:cstheme="minorHAnsi"/>
          <w:b/>
          <w:bCs/>
          <w:sz w:val="24"/>
          <w:szCs w:val="24"/>
        </w:rPr>
        <w:lastRenderedPageBreak/>
        <w:t>Question 10</w:t>
      </w:r>
    </w:p>
    <w:p w14:paraId="12147F24" w14:textId="77777777" w:rsidR="009A01AE" w:rsidRPr="00E25F30" w:rsidRDefault="009A01AE" w:rsidP="009A01A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11700" w:type="dxa"/>
        <w:tblInd w:w="-1085" w:type="dxa"/>
        <w:tblLook w:val="04A0" w:firstRow="1" w:lastRow="0" w:firstColumn="1" w:lastColumn="0" w:noHBand="0" w:noVBand="1"/>
      </w:tblPr>
      <w:tblGrid>
        <w:gridCol w:w="11700"/>
      </w:tblGrid>
      <w:tr w:rsidR="007B532D" w14:paraId="2069BD07" w14:textId="77777777" w:rsidTr="007B532D">
        <w:trPr>
          <w:trHeight w:val="4292"/>
        </w:trPr>
        <w:tc>
          <w:tcPr>
            <w:tcW w:w="11700" w:type="dxa"/>
          </w:tcPr>
          <w:p w14:paraId="21276CB8" w14:textId="1AB0B48A" w:rsidR="007B532D" w:rsidRDefault="007B532D" w:rsidP="007B532D">
            <w:pPr>
              <w:spacing w:before="200" w:after="200" w:line="360" w:lineRule="auto"/>
              <w:jc w:val="both"/>
              <w:rPr>
                <w:rFonts w:ascii="Calibri" w:eastAsia="Calibri" w:hAnsi="Calibri" w:cs="Calibri"/>
                <w:sz w:val="24"/>
                <w:szCs w:val="24"/>
              </w:rPr>
            </w:pPr>
            <w:r>
              <w:rPr>
                <w:rFonts w:ascii="Calibri" w:eastAsia="Calibri" w:hAnsi="Calibri" w:cs="Calibri"/>
                <w:sz w:val="24"/>
                <w:szCs w:val="24"/>
              </w:rPr>
              <w:t xml:space="preserve">The </w:t>
            </w:r>
            <w:proofErr w:type="gramStart"/>
            <w:r>
              <w:rPr>
                <w:rFonts w:ascii="Calibri" w:eastAsia="Calibri" w:hAnsi="Calibri" w:cs="Calibri"/>
                <w:sz w:val="24"/>
                <w:szCs w:val="24"/>
              </w:rPr>
              <w:t>Coordinator</w:t>
            </w:r>
            <w:proofErr w:type="gramEnd"/>
            <w:r>
              <w:rPr>
                <w:rFonts w:ascii="Calibri" w:eastAsia="Calibri" w:hAnsi="Calibri" w:cs="Calibri"/>
                <w:sz w:val="24"/>
                <w:szCs w:val="24"/>
              </w:rPr>
              <w:t xml:space="preserve"> role would be my </w:t>
            </w:r>
            <w:proofErr w:type="gramStart"/>
            <w:r>
              <w:rPr>
                <w:rFonts w:ascii="Calibri" w:eastAsia="Calibri" w:hAnsi="Calibri" w:cs="Calibri"/>
                <w:sz w:val="24"/>
                <w:szCs w:val="24"/>
              </w:rPr>
              <w:t>preferred  role</w:t>
            </w:r>
            <w:proofErr w:type="gramEnd"/>
            <w:r>
              <w:rPr>
                <w:rFonts w:ascii="Calibri" w:eastAsia="Calibri" w:hAnsi="Calibri" w:cs="Calibri"/>
                <w:sz w:val="24"/>
                <w:szCs w:val="24"/>
              </w:rPr>
              <w:t xml:space="preserve"> within this team, as I would make it a point to clarify the common goal, identify personal strengths, and make sure that the members contribute their part well. Coordinators assist teams in planning their activities, assign tasks and stay on track (Zasa and Buganza, 2023). This position would allow me to support Lena in her thorough research, Omar in his self-confidence, Hannah in her ability to think critically, Kenji in his supportive attitude, Priya in her problem solving skills and Alex in his technical skills. The first thing that I would do is to make sure that personal strengths are used to achieve a single </w:t>
            </w:r>
            <w:proofErr w:type="spellStart"/>
            <w:proofErr w:type="gramStart"/>
            <w:r>
              <w:rPr>
                <w:rFonts w:ascii="Calibri" w:eastAsia="Calibri" w:hAnsi="Calibri" w:cs="Calibri"/>
                <w:sz w:val="24"/>
                <w:szCs w:val="24"/>
              </w:rPr>
              <w:t>objective.I</w:t>
            </w:r>
            <w:proofErr w:type="spellEnd"/>
            <w:proofErr w:type="gramEnd"/>
            <w:r>
              <w:rPr>
                <w:rFonts w:ascii="Calibri" w:eastAsia="Calibri" w:hAnsi="Calibri" w:cs="Calibri"/>
                <w:sz w:val="24"/>
                <w:szCs w:val="24"/>
              </w:rPr>
              <w:t xml:space="preserve"> would also facilitate in respectful communication and effective decision-making, especially in cases of disagreement. In the discussion between Omar and Lena, I would admit the importance of the suggested framework and verification of evidence and at the same time make sure that no one could be interrupted in their opinion. I would then assist in the clarification of responsibilities, setting up of deadlines and tracking of progress. The role of the Coordinator would enable me to strike a balance between opposing views and maintain the team on track towards its goals. Through fostering a sense of collaboration, suitable delegation and joint responsibility, I would seek to create trust and ensure successful project delivery (Hajli, Baydarova and Nisar, 2025).</w:t>
            </w:r>
          </w:p>
          <w:p w14:paraId="40BFFD6B" w14:textId="77777777" w:rsidR="007B532D" w:rsidRDefault="007B532D" w:rsidP="00A77C0E">
            <w:pPr>
              <w:jc w:val="both"/>
              <w:rPr>
                <w:rFonts w:cstheme="minorHAnsi"/>
                <w:sz w:val="24"/>
                <w:szCs w:val="24"/>
              </w:rPr>
            </w:pPr>
          </w:p>
        </w:tc>
      </w:tr>
    </w:tbl>
    <w:p w14:paraId="697A1649" w14:textId="77777777" w:rsidR="00A77C0E" w:rsidRPr="002203CA" w:rsidRDefault="00A77C0E" w:rsidP="00A77C0E">
      <w:pPr>
        <w:jc w:val="both"/>
        <w:rPr>
          <w:rFonts w:cstheme="minorHAnsi"/>
          <w:sz w:val="24"/>
          <w:szCs w:val="24"/>
        </w:rPr>
      </w:pP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52A62463" w14:textId="77777777" w:rsidR="009A01AE" w:rsidRPr="006B33ED" w:rsidRDefault="009A01AE" w:rsidP="009A01AE">
      <w:pPr>
        <w:jc w:val="both"/>
        <w:rPr>
          <w:rFonts w:cstheme="minorHAnsi"/>
          <w:b/>
          <w:bCs/>
          <w:sz w:val="24"/>
          <w:szCs w:val="24"/>
        </w:rPr>
      </w:pPr>
      <w:r>
        <w:rPr>
          <w:rFonts w:cstheme="minorHAnsi"/>
          <w:b/>
          <w:bCs/>
          <w:sz w:val="24"/>
          <w:szCs w:val="24"/>
        </w:rPr>
        <w:t>R</w:t>
      </w:r>
      <w:r w:rsidRPr="006B33ED">
        <w:rPr>
          <w:rFonts w:cstheme="minorHAnsi"/>
          <w:b/>
          <w:bCs/>
          <w:sz w:val="24"/>
          <w:szCs w:val="24"/>
        </w:rPr>
        <w:t>eferences list</w:t>
      </w:r>
    </w:p>
    <w:tbl>
      <w:tblPr>
        <w:tblStyle w:val="TableGrid"/>
        <w:tblW w:w="11790" w:type="dxa"/>
        <w:tblInd w:w="-1175" w:type="dxa"/>
        <w:tblLook w:val="04A0" w:firstRow="1" w:lastRow="0" w:firstColumn="1" w:lastColumn="0" w:noHBand="0" w:noVBand="1"/>
      </w:tblPr>
      <w:tblGrid>
        <w:gridCol w:w="11790"/>
      </w:tblGrid>
      <w:tr w:rsidR="007B532D" w14:paraId="1256D8A0" w14:textId="77777777" w:rsidTr="007B532D">
        <w:trPr>
          <w:trHeight w:val="3167"/>
        </w:trPr>
        <w:tc>
          <w:tcPr>
            <w:tcW w:w="11790" w:type="dxa"/>
          </w:tcPr>
          <w:p w14:paraId="21B78BC5" w14:textId="77777777" w:rsidR="007B532D" w:rsidRDefault="007B532D" w:rsidP="007B532D">
            <w:pPr>
              <w:spacing w:before="240" w:after="240" w:line="360" w:lineRule="auto"/>
              <w:jc w:val="both"/>
              <w:rPr>
                <w:rFonts w:ascii="Calibri" w:eastAsia="Calibri" w:hAnsi="Calibri" w:cs="Calibri"/>
                <w:sz w:val="24"/>
                <w:szCs w:val="24"/>
              </w:rPr>
            </w:pPr>
            <w:r>
              <w:rPr>
                <w:rFonts w:ascii="Calibri" w:eastAsia="Calibri" w:hAnsi="Calibri" w:cs="Calibri"/>
                <w:sz w:val="24"/>
                <w:szCs w:val="24"/>
              </w:rPr>
              <w:t>Adham, T.K.I., (2023). Conflict resolution in team: Analyzing the of conflicts and best skills for resolution. Scholars Journal of Engineering and Technology, 11(08), pp.152-162.</w:t>
            </w:r>
          </w:p>
          <w:p w14:paraId="1979CCF3" w14:textId="77777777" w:rsidR="007B532D" w:rsidRDefault="007B532D" w:rsidP="007B532D">
            <w:pPr>
              <w:spacing w:before="240" w:after="240" w:line="360" w:lineRule="auto"/>
              <w:jc w:val="both"/>
              <w:rPr>
                <w:rFonts w:ascii="Calibri" w:eastAsia="Calibri" w:hAnsi="Calibri" w:cs="Calibri"/>
                <w:sz w:val="24"/>
                <w:szCs w:val="24"/>
              </w:rPr>
            </w:pPr>
            <w:r>
              <w:rPr>
                <w:rFonts w:ascii="Calibri" w:eastAsia="Calibri" w:hAnsi="Calibri" w:cs="Calibri"/>
                <w:sz w:val="24"/>
                <w:szCs w:val="24"/>
              </w:rPr>
              <w:t>Agustian, K., Pohan, A., Zen, A., Wiwin, W. and Malik, A.J., (2023). Human resource management strategies in achieving competitive advantage in business administration. Journal of Contemporary Administration and Management (ADMAN), 1(2), pp.108-117.</w:t>
            </w:r>
          </w:p>
          <w:p w14:paraId="70B84B95" w14:textId="77777777" w:rsidR="007B532D" w:rsidRDefault="007B532D" w:rsidP="007B532D">
            <w:pPr>
              <w:spacing w:before="240" w:after="240" w:line="360" w:lineRule="auto"/>
              <w:jc w:val="both"/>
              <w:rPr>
                <w:rFonts w:ascii="Calibri" w:eastAsia="Calibri" w:hAnsi="Calibri" w:cs="Calibri"/>
                <w:sz w:val="24"/>
                <w:szCs w:val="24"/>
              </w:rPr>
            </w:pPr>
            <w:r>
              <w:rPr>
                <w:rFonts w:ascii="Calibri" w:eastAsia="Calibri" w:hAnsi="Calibri" w:cs="Calibri"/>
                <w:sz w:val="24"/>
                <w:szCs w:val="24"/>
              </w:rPr>
              <w:lastRenderedPageBreak/>
              <w:t>Bates, G., Le Gouais, A., Barnfield, A., Callway, R., Hasan, M.N., Koksal, C., Kwon, H.R., Montel, L., Peake-Jones, S., White, J. and Bondy, K., (2023). Balancing autonomy and collaboration in large-scale and disciplinary diverse teams for successful qualitative research. International journal of qualitative methods, 22, p.16094069221144594.</w:t>
            </w:r>
          </w:p>
          <w:p w14:paraId="69389401" w14:textId="77777777" w:rsidR="007B532D" w:rsidRDefault="007B532D" w:rsidP="007B532D">
            <w:pPr>
              <w:spacing w:before="240" w:after="240" w:line="360" w:lineRule="auto"/>
              <w:jc w:val="both"/>
              <w:rPr>
                <w:rFonts w:ascii="Calibri" w:eastAsia="Calibri" w:hAnsi="Calibri" w:cs="Calibri"/>
                <w:sz w:val="24"/>
                <w:szCs w:val="24"/>
              </w:rPr>
            </w:pPr>
            <w:r>
              <w:rPr>
                <w:rFonts w:ascii="Calibri" w:eastAsia="Calibri" w:hAnsi="Calibri" w:cs="Calibri"/>
                <w:sz w:val="24"/>
                <w:szCs w:val="24"/>
              </w:rPr>
              <w:t>Belbin, R.M. and Brown, V., (2022). Team roles at work. Routledge.</w:t>
            </w:r>
          </w:p>
          <w:p w14:paraId="3A92D463" w14:textId="77777777" w:rsidR="007B532D" w:rsidRDefault="007B532D" w:rsidP="007B532D">
            <w:pPr>
              <w:spacing w:before="240" w:after="240" w:line="360" w:lineRule="auto"/>
              <w:jc w:val="both"/>
              <w:rPr>
                <w:rFonts w:ascii="Calibri" w:eastAsia="Calibri" w:hAnsi="Calibri" w:cs="Calibri"/>
                <w:sz w:val="24"/>
                <w:szCs w:val="24"/>
              </w:rPr>
            </w:pPr>
            <w:r>
              <w:rPr>
                <w:rFonts w:ascii="Calibri" w:eastAsia="Calibri" w:hAnsi="Calibri" w:cs="Calibri"/>
                <w:sz w:val="24"/>
                <w:szCs w:val="24"/>
              </w:rPr>
              <w:t>Furnham, A., Cuppello, S. and Semmelink, D.S., (2026). Personality and Interpersonal Influence: Low Adjustment and Low Competitiveness is Associated With Low Assertiveness. Psychological Reports, 129(3), pp.2122-2139.</w:t>
            </w:r>
          </w:p>
          <w:p w14:paraId="2DEAB4A1" w14:textId="77777777" w:rsidR="007B532D" w:rsidRDefault="007B532D" w:rsidP="007B532D">
            <w:pPr>
              <w:spacing w:before="240" w:after="240" w:line="360" w:lineRule="auto"/>
              <w:jc w:val="both"/>
              <w:rPr>
                <w:rFonts w:ascii="Calibri" w:eastAsia="Calibri" w:hAnsi="Calibri" w:cs="Calibri"/>
                <w:sz w:val="24"/>
                <w:szCs w:val="24"/>
              </w:rPr>
            </w:pPr>
            <w:r>
              <w:rPr>
                <w:rFonts w:ascii="Calibri" w:eastAsia="Calibri" w:hAnsi="Calibri" w:cs="Calibri"/>
                <w:sz w:val="24"/>
                <w:szCs w:val="24"/>
              </w:rPr>
              <w:t>Grote, G. and Kozlowski, S.W., (2023). Teamwork doesn’t just happen: policy recommendations from over half a century of team research. Behavioral Science &amp; Policy, 9(1), pp.59-76.</w:t>
            </w:r>
          </w:p>
          <w:p w14:paraId="20205616" w14:textId="77777777" w:rsidR="007B532D" w:rsidRDefault="007B532D" w:rsidP="007B532D">
            <w:pPr>
              <w:spacing w:before="240" w:after="240" w:line="360" w:lineRule="auto"/>
              <w:jc w:val="both"/>
              <w:rPr>
                <w:rFonts w:ascii="Calibri" w:eastAsia="Calibri" w:hAnsi="Calibri" w:cs="Calibri"/>
                <w:sz w:val="24"/>
                <w:szCs w:val="24"/>
              </w:rPr>
            </w:pPr>
            <w:r>
              <w:rPr>
                <w:rFonts w:ascii="Calibri" w:eastAsia="Calibri" w:hAnsi="Calibri" w:cs="Calibri"/>
                <w:sz w:val="24"/>
                <w:szCs w:val="24"/>
              </w:rPr>
              <w:t>Hajli, N., Baydarova, I. and Nisar, T., (2025). Digital entrepreneurial ecosystem: the role of the sharing economy in driving innovation. Entrepreneurship &amp; Regional Development, 37(5-6), pp.785-815.</w:t>
            </w:r>
          </w:p>
          <w:p w14:paraId="1DBDB85F" w14:textId="77777777" w:rsidR="007B532D" w:rsidRDefault="007B532D" w:rsidP="00773777">
            <w:pPr>
              <w:jc w:val="both"/>
              <w:rPr>
                <w:rFonts w:cstheme="minorHAnsi"/>
                <w:sz w:val="24"/>
                <w:szCs w:val="24"/>
              </w:rPr>
            </w:pPr>
          </w:p>
        </w:tc>
      </w:tr>
    </w:tbl>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C3C27" w14:textId="77777777" w:rsidR="001359A3" w:rsidRPr="002203CA" w:rsidRDefault="001359A3" w:rsidP="002203CA">
      <w:pPr>
        <w:spacing w:after="0" w:line="240" w:lineRule="auto"/>
      </w:pPr>
      <w:r w:rsidRPr="002203CA">
        <w:separator/>
      </w:r>
    </w:p>
  </w:endnote>
  <w:endnote w:type="continuationSeparator" w:id="0">
    <w:p w14:paraId="0C9A6806" w14:textId="77777777" w:rsidR="001359A3" w:rsidRPr="002203CA" w:rsidRDefault="001359A3"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F06D0" w14:textId="77777777" w:rsidR="001359A3" w:rsidRPr="002203CA" w:rsidRDefault="001359A3" w:rsidP="002203CA">
      <w:pPr>
        <w:spacing w:after="0" w:line="240" w:lineRule="auto"/>
      </w:pPr>
      <w:r w:rsidRPr="002203CA">
        <w:separator/>
      </w:r>
    </w:p>
  </w:footnote>
  <w:footnote w:type="continuationSeparator" w:id="0">
    <w:p w14:paraId="15407A38" w14:textId="77777777" w:rsidR="001359A3" w:rsidRPr="002203CA" w:rsidRDefault="001359A3"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C93F6A"/>
    <w:multiLevelType w:val="hybridMultilevel"/>
    <w:tmpl w:val="FC2C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081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359A3"/>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233EF"/>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B532D"/>
    <w:rsid w:val="007C41B6"/>
    <w:rsid w:val="007F16AF"/>
    <w:rsid w:val="007F6A01"/>
    <w:rsid w:val="008004EE"/>
    <w:rsid w:val="00811B2C"/>
    <w:rsid w:val="008304BB"/>
    <w:rsid w:val="008403C1"/>
    <w:rsid w:val="00855C5E"/>
    <w:rsid w:val="00872C48"/>
    <w:rsid w:val="00884D33"/>
    <w:rsid w:val="00891FB9"/>
    <w:rsid w:val="008A3741"/>
    <w:rsid w:val="008D2E35"/>
    <w:rsid w:val="008E2DE7"/>
    <w:rsid w:val="00906BF1"/>
    <w:rsid w:val="00922879"/>
    <w:rsid w:val="0092472D"/>
    <w:rsid w:val="00934E70"/>
    <w:rsid w:val="00981F8E"/>
    <w:rsid w:val="0099633B"/>
    <w:rsid w:val="00996C20"/>
    <w:rsid w:val="009A01AE"/>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0566"/>
    <w:rsid w:val="00F0469F"/>
    <w:rsid w:val="00F126F3"/>
    <w:rsid w:val="00F253CE"/>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872C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2C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872C48"/>
    <w:rPr>
      <w:rFonts w:asciiTheme="majorHAnsi" w:eastAsiaTheme="majorEastAsia" w:hAnsiTheme="majorHAnsi" w:cstheme="majorBidi"/>
      <w:color w:val="2F5496" w:themeColor="accent1" w:themeShade="BF"/>
      <w:sz w:val="32"/>
      <w:szCs w:val="32"/>
      <w:lang w:val="en-GB"/>
    </w:rPr>
  </w:style>
  <w:style w:type="paragraph" w:styleId="NoSpacing">
    <w:name w:val="No Spacing"/>
    <w:uiPriority w:val="1"/>
    <w:qFormat/>
    <w:rsid w:val="00872C48"/>
    <w:pPr>
      <w:spacing w:after="0" w:line="240" w:lineRule="auto"/>
    </w:pPr>
    <w:rPr>
      <w:lang w:val="en-GB"/>
    </w:rPr>
  </w:style>
  <w:style w:type="character" w:customStyle="1" w:styleId="Heading2Char">
    <w:name w:val="Heading 2 Char"/>
    <w:basedOn w:val="DefaultParagraphFont"/>
    <w:link w:val="Heading2"/>
    <w:uiPriority w:val="9"/>
    <w:rsid w:val="00872C48"/>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5" ma:contentTypeDescription="Create a new document." ma:contentTypeScope="" ma:versionID="e9327beaba6548f8c4b9bb6a523290bb">
  <xsd:schema xmlns:xsd="http://www.w3.org/2001/XMLSchema" xmlns:xs="http://www.w3.org/2001/XMLSchema" xmlns:p="http://schemas.microsoft.com/office/2006/metadata/properties" xmlns:ns3="47118e50-3d7b-4530-b084-771c49f595b5" targetNamespace="http://schemas.microsoft.com/office/2006/metadata/properties" ma:root="true" ma:fieldsID="e5ea1e075605d9092e9698224c3a6e7c"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customXml/itemProps2.xml><?xml version="1.0" encoding="utf-8"?>
<ds:datastoreItem xmlns:ds="http://schemas.openxmlformats.org/officeDocument/2006/customXml" ds:itemID="{5655363C-B1B8-4B92-A193-E187B485C5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3AF162-DE6C-4900-81CE-8F0846DF963F}">
  <ds:schemaRefs>
    <ds:schemaRef ds:uri="http://schemas.microsoft.com/sharepoint/v3/contenttype/forms"/>
  </ds:schemaRefs>
</ds:datastoreItem>
</file>

<file path=customXml/itemProps4.xml><?xml version="1.0" encoding="utf-8"?>
<ds:datastoreItem xmlns:ds="http://schemas.openxmlformats.org/officeDocument/2006/customXml" ds:itemID="{6C97E8C8-80A2-49C2-BF0B-766B72C72ACA}">
  <ds:schemaRefs>
    <ds:schemaRef ds:uri="http://schemas.microsoft.com/office/2006/metadata/properties"/>
    <ds:schemaRef ds:uri="http://schemas.microsoft.com/office/infopath/2007/PartnerControls"/>
    <ds:schemaRef ds:uri="47118e50-3d7b-4530-b084-771c49f595b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2732</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Sorin-Marius Pandelea (2537441)</cp:lastModifiedBy>
  <cp:revision>2</cp:revision>
  <dcterms:created xsi:type="dcterms:W3CDTF">2026-10-14T08:49:00Z</dcterms:created>
  <dcterms:modified xsi:type="dcterms:W3CDTF">2026-10-14T08:49:00Z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