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5A73CA4">
      <w:pPr>
        <w:pStyle w:val="2"/>
        <w:keepNext/>
        <w:keepLines/>
        <w:spacing w:before="322" w:beforeAutospacing="0" w:after="322" w:afterAutospacing="0"/>
        <w:jc w:val="center"/>
        <w:rPr>
          <w:rFonts w:ascii="Arial" w:hAnsi="Arial" w:eastAsia="Arial" w:cs="Arial"/>
          <w:b w:val="0"/>
          <w:bCs w:val="0"/>
          <w:i w:val="0"/>
          <w:iCs w:val="0"/>
          <w:caps w:val="0"/>
          <w:smallCaps w:val="0"/>
          <w:color w:val="156082" w:themeColor="accent1" w:themeTint="FF"/>
          <w:sz w:val="48"/>
          <w:szCs w:val="48"/>
          <w:lang w:val="en-GB"/>
          <w14:textFill>
            <w14:solidFill>
              <w14:schemeClr w14:val="accent1">
                <w14:lumMod w14:val="100000"/>
                <w14:lumOff w14:val="0"/>
              </w14:schemeClr>
            </w14:solidFill>
          </w14:textFill>
        </w:rPr>
      </w:pPr>
      <w:r>
        <w:rPr>
          <w:rFonts w:ascii="Arial" w:hAnsi="Arial" w:eastAsia="Arial" w:cs="Arial"/>
          <w:b/>
          <w:bCs/>
          <w:i w:val="0"/>
          <w:iCs w:val="0"/>
          <w:caps w:val="0"/>
          <w:smallCaps w:val="0"/>
          <w:color w:val="156082" w:themeColor="accent1" w:themeTint="FF"/>
          <w:sz w:val="48"/>
          <w:szCs w:val="48"/>
          <w:lang w:val="en-GB"/>
          <w14:textFill>
            <w14:solidFill>
              <w14:schemeClr w14:val="accent1">
                <w14:lumMod w14:val="100000"/>
                <w14:lumOff w14:val="0"/>
              </w14:schemeClr>
            </w14:solidFill>
          </w14:textFill>
        </w:rPr>
        <w:t>GIS Suitability Analysis for the Ring Ouzel (</w:t>
      </w:r>
      <w:r>
        <w:rPr>
          <w:rFonts w:ascii="Arial" w:hAnsi="Arial" w:eastAsia="Arial" w:cs="Arial"/>
          <w:b/>
          <w:bCs/>
          <w:i/>
          <w:iCs/>
          <w:caps w:val="0"/>
          <w:smallCaps w:val="0"/>
          <w:color w:val="156082" w:themeColor="accent1" w:themeTint="FF"/>
          <w:sz w:val="48"/>
          <w:szCs w:val="48"/>
          <w:lang w:val="en-GB"/>
          <w14:textFill>
            <w14:solidFill>
              <w14:schemeClr w14:val="accent1">
                <w14:lumMod w14:val="100000"/>
                <w14:lumOff w14:val="0"/>
              </w14:schemeClr>
            </w14:solidFill>
          </w14:textFill>
        </w:rPr>
        <w:t>Turdus torquatus</w:t>
      </w:r>
      <w:r>
        <w:rPr>
          <w:rFonts w:ascii="Arial" w:hAnsi="Arial" w:eastAsia="Arial" w:cs="Arial"/>
          <w:b/>
          <w:bCs/>
          <w:i w:val="0"/>
          <w:iCs w:val="0"/>
          <w:caps w:val="0"/>
          <w:smallCaps w:val="0"/>
          <w:color w:val="156082" w:themeColor="accent1" w:themeTint="FF"/>
          <w:sz w:val="48"/>
          <w:szCs w:val="48"/>
          <w:lang w:val="en-GB"/>
          <w14:textFill>
            <w14:solidFill>
              <w14:schemeClr w14:val="accent1">
                <w14:lumMod w14:val="100000"/>
                <w14:lumOff w14:val="0"/>
              </w14:schemeClr>
            </w14:solidFill>
          </w14:textFill>
        </w:rPr>
        <w:t>) in South Wales: A Simplified Multi Criteria Evaluation Approach for Conservation Planning</w:t>
      </w:r>
    </w:p>
    <w:p w14:paraId="66A1B06B">
      <w:pP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472D910F">
      <w:pPr>
        <w:spacing w:before="240" w:beforeAutospacing="0" w:after="240" w:afterAutospacing="0"/>
        <w:jc w:val="cente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Module: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ACBA7005 GIS and Habitat Management</w:t>
      </w:r>
    </w:p>
    <w:p w14:paraId="53BA5F4F">
      <w:pPr>
        <w:spacing w:before="240" w:beforeAutospacing="0" w:after="240" w:afterAutospacing="0"/>
        <w:jc w:val="cente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Programme: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MSc Environmental Conservation and Management</w:t>
      </w:r>
    </w:p>
    <w:p w14:paraId="356895EF">
      <w:pPr>
        <w:spacing w:before="240" w:beforeAutospacing="0" w:after="240" w:afterAutospacing="0"/>
        <w:jc w:val="cente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Student ID:</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2512610</w:t>
      </w:r>
    </w:p>
    <w:p w14:paraId="1371BF96">
      <w:pPr>
        <w:spacing w:before="240" w:beforeAutospacing="0" w:after="240" w:afterAutospacing="0"/>
        <w:jc w:val="cente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Submission Date: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May 2026</w:t>
      </w:r>
    </w:p>
    <w:p w14:paraId="5D4A8C6B">
      <w:pPr>
        <w:spacing w:before="240" w:beforeAutospacing="0" w:after="240" w:afterAutospacing="0"/>
        <w:jc w:val="cente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t>Word Count:</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~6,500 words (Excluding Tables and References)</w:t>
      </w:r>
    </w:p>
    <w:p w14:paraId="005A2D7D">
      <w:pP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02CA3B50">
      <w:pP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16989791">
      <w:pPr>
        <w:pStyle w:val="3"/>
        <w:keepNext/>
        <w:keepLines/>
        <w:spacing w:before="299" w:beforeAutospacing="0" w:after="299" w:afterAutospacing="0"/>
        <w:rPr>
          <w:rFonts w:ascii="Arial" w:hAnsi="Arial" w:eastAsia="Arial" w:cs="Arial"/>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p>
    <w:p w14:paraId="427A1490">
      <w:r>
        <w:br w:type="page"/>
      </w:r>
    </w:p>
    <w:p w14:paraId="03C959BF">
      <w:pPr>
        <w:pStyle w:val="3"/>
        <w:keepNext/>
        <w:keepLines/>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ascii="Arial" w:hAnsi="Arial" w:eastAsia="Arial" w:cs="Arial"/>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1.</w:t>
      </w: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 xml:space="preserve"> Introduction to Biodiversity Loss and GIS Enabled Habitat Management</w:t>
      </w:r>
    </w:p>
    <w:p w14:paraId="3000D4EF">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1.1 The Global Biodiversity Crisis and Upland Specialists:</w:t>
      </w:r>
    </w:p>
    <w:p w14:paraId="6A94C994">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The accelerating loss of global biodiversity is one of the most pressing environmental issues in the 21st century. Species are being lost at 100 1,000 times higher rates due to anthropogenic activities, and habitat loss, fragmentation, and degradation have been named as drivers of species loss (IPBES, 2019; Ceballos et al., 2015). In this context upland specialist species are subject to disproportionate threats because of their ecological and habitat preferences, which are strong and rely on very specific habitat mosaics, many of which are under threat from land use change and climate variability (Pearce Higgins et al., 2017).</w:t>
      </w:r>
    </w:p>
    <w:p w14:paraId="21110068">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In the UK, the last decade has seen a decline in biodiversity, and with this upland birds have shown especially worrying trends. The Red List species Ring Ouzel (Turdus torquatus) has contracted by more than 50% in Britain between 1970 and 2012, with breeding populations becoming more patchily distributed and contracting northwards (Wotton et al., 2016; Burfield and Brooke, 2005). Significantly influenced by broader ecosystem changes, the population trends of this species provide an important ecological indication of the health of upland ecosystems.</w:t>
      </w:r>
    </w:p>
    <w:p w14:paraId="031FA193">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1.2 Evolution from Traditional to GIS Enabled Conservation:</w:t>
      </w:r>
    </w:p>
    <w:p w14:paraId="0F203F61">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Field surveys, expert knowledge, and manual mapping were key components of traditional habitat management approaches. These approaches were helpful for providing baseline information of environmental features, but lacked spatial resolution, temporal coverage, or the ability to account for multiple environmental measures at once (Heywood et al., 2011). Geographic Information Systems (GIS) have revolutionized conservation practice, changing from descriptive inventory mapping to prediction modelling and creating scenarios. </w:t>
      </w:r>
    </w:p>
    <w:p w14:paraId="363C6FFD">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Modern GIS is not just a mapping tool, it is an advanced decision support system, which combines spatial analysis, remote sensing and statistical modelling to face complex conservation problems (Longley et al., 2015). This change from the traditional to the GIS has had a significant impact on the management of upland conservation, due to the fact that topographic, climatic and land use trends combine to make up complex spatial patterns traditional methods are not able to help analyze this. </w:t>
      </w:r>
    </w:p>
    <w:p w14:paraId="342E3DE6">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GIS technology helps conservation professionals to:</w:t>
      </w:r>
    </w:p>
    <w:p w14:paraId="548FA7CD">
      <w:pPr>
        <w:pStyle w:val="10"/>
        <w:numPr>
          <w:ilvl w:val="0"/>
          <w:numId w:val="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Use various data layers (topographic, vegetative, climatic, anthropogenic) on multiple spatial and temporal scales </w:t>
      </w:r>
    </w:p>
    <w:p w14:paraId="19C5F150">
      <w:pPr>
        <w:pStyle w:val="10"/>
        <w:numPr>
          <w:ilvl w:val="0"/>
          <w:numId w:val="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Functional modeling habitat suitability with Multi Criteria Evaluation (MCE) methods </w:t>
      </w:r>
    </w:p>
    <w:p w14:paraId="1C5C761B">
      <w:pPr>
        <w:pStyle w:val="10"/>
        <w:numPr>
          <w:ilvl w:val="0"/>
          <w:numId w:val="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Systematically plan where conservation efforts focus through spatial prioritisation </w:t>
      </w:r>
    </w:p>
    <w:p w14:paraId="7A99FE7C">
      <w:pPr>
        <w:pStyle w:val="10"/>
        <w:numPr>
          <w:ilvl w:val="0"/>
          <w:numId w:val="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Continue to track change over time using repeat surveys and remote sensing analysis </w:t>
      </w:r>
    </w:p>
    <w:p w14:paraId="29A77D5D">
      <w:pPr>
        <w:pStyle w:val="10"/>
        <w:numPr>
          <w:ilvl w:val="0"/>
          <w:numId w:val="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Share results with stakeholders in professional cartographic products.</w:t>
      </w:r>
    </w:p>
    <w:p w14:paraId="2D5D2D43">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1.3 The Role of GIS in Contemporary Habitat Management:</w:t>
      </w:r>
    </w:p>
    <w:p w14:paraId="4196DB8D">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 fact, GIS is used in modern day conservation practice for several important functions beyond just maps. Wood's suitability modelling analytical framework allows to choose environmental regions where conditions are conducive for target species (known ecological requirements) (Guisan Zimmermann 2000). This method is especially useful for a species where habitat quality depends upon a combination of topographic features, vegetation structure and foraging resources, for example the Ring Ouzel. </w:t>
      </w:r>
    </w:p>
    <w:p w14:paraId="120CF37E">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Second, GIS can aid in evidence based decision making by providing a quantitative measure for the extent and distribution of suitable habitat, which can help conservation managers to prioritize interventions or allocate resources (Margules and Pressey, 2000). Overlaying conservation priority value onto land ownership, access rights and management constraints enables realistic planning to occur taking both ecological and socio economic factors into account. </w:t>
      </w:r>
    </w:p>
    <w:p w14:paraId="453ED2AB">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Third, GIS is useful for adaptive management as it allows the ability to use baseline data to measure the effectiveness of management. Repeat surveys and model validation allow for the evaluation of whether or not management is achieving the desired result and can help guide management changes as needed (Williams et al., 2009).</w:t>
      </w:r>
    </w:p>
    <w:p w14:paraId="57BE2DCC">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1.4 Theoretical Foundations: McHarg's Layer Cake Model:</w:t>
      </w:r>
    </w:p>
    <w:p w14:paraId="71866D0D">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theoretical background of the suitability analysis using GIS is based upon the principles of Ian McHarg (1969) in his book “Design with Nature,” where he presented the principles of layer cake modelling. McHarg suggested that the environment could be expressed as discrete layers for each of which a different layer weight could be assigned and then layered to determine the areas most suited or constraining. Such an approach is still generalized in modern day habitat suitability modelling and is the basis of the method used in this analysis.</w:t>
      </w:r>
    </w:p>
    <w:p w14:paraId="6A6A6E4F">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McHarg's methodology involves:</w:t>
      </w:r>
    </w:p>
    <w:p w14:paraId="05A996F1">
      <w:pPr>
        <w:pStyle w:val="10"/>
        <w:numPr>
          <w:ilvl w:val="0"/>
          <w:numId w:val="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Determination of environmental variables based in species ecology. </w:t>
      </w:r>
    </w:p>
    <w:p w14:paraId="34222326">
      <w:pPr>
        <w:pStyle w:val="10"/>
        <w:numPr>
          <w:ilvl w:val="0"/>
          <w:numId w:val="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Standardising layers to a common measurement scale </w:t>
      </w:r>
    </w:p>
    <w:p w14:paraId="46F25333">
      <w:pPr>
        <w:pStyle w:val="10"/>
        <w:numPr>
          <w:ilvl w:val="0"/>
          <w:numId w:val="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Assigning relative weights </w:t>
      </w:r>
    </w:p>
    <w:p w14:paraId="506A34C4">
      <w:pPr>
        <w:pStyle w:val="10"/>
        <w:numPr>
          <w:ilvl w:val="0"/>
          <w:numId w:val="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Combining layers with mathematical functions </w:t>
      </w:r>
    </w:p>
    <w:p w14:paraId="786D6B2E">
      <w:pPr>
        <w:pStyle w:val="10"/>
        <w:numPr>
          <w:ilvl w:val="0"/>
          <w:numId w:val="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Analyzing results to determine priority areas</w:t>
      </w:r>
    </w:p>
    <w:p w14:paraId="09CDFA33">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assignment puts the principles of McHarg into practice, a conservation example of the Ring Ouzel in South Wales, and shows how modern GIS can provide and make operational theoretical principles to generate ‘conservation intelligence' which can form part of the work pipeline without being too complicated or difficult.</w:t>
      </w:r>
    </w:p>
    <w:p w14:paraId="63909925">
      <w:pPr>
        <w:pStyle w:val="3"/>
        <w:keepNext/>
        <w:keepLines/>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2. Site and Target Species Selection: Ecological Significance and Conservation Context:</w:t>
      </w:r>
    </w:p>
    <w:p w14:paraId="2F0E56DE">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2.1 Ring Ouzel (</w:t>
      </w:r>
      <w:r>
        <w:rPr>
          <w:rFonts w:hint="default" w:ascii="Times New Roman" w:hAnsi="Times New Roman" w:eastAsia="Arial" w:cs="Times New Roman"/>
          <w:b/>
          <w:bCs/>
          <w:i/>
          <w:iCs/>
          <w:caps w:val="0"/>
          <w:smallCaps w:val="0"/>
          <w:color w:val="156082" w:themeColor="accent1" w:themeTint="FF"/>
          <w:sz w:val="28"/>
          <w:szCs w:val="28"/>
          <w:lang w:val="en-GB"/>
          <w14:textFill>
            <w14:solidFill>
              <w14:schemeClr w14:val="accent1">
                <w14:lumMod w14:val="100000"/>
                <w14:lumOff w14:val="0"/>
              </w14:schemeClr>
            </w14:solidFill>
          </w14:textFill>
        </w:rPr>
        <w:t>Turdus torquatus</w:t>
      </w: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 Species Profile and Conservation Status:</w:t>
      </w:r>
    </w:p>
    <w:p w14:paraId="2A7F46B1">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 medium sized thrush (Turdidae) that breeds in upland habitat throughout the UK and winters in Atlas Mountains (Snow and Perrins, 1998). It is possible to clearly differentiate between sexes in adult birds by their glossy black coloration and their fine colour borders on the wing feathers, and a contrasting white crescent ("bib") on the breast. Adult males and females can be easily identified by their fine colour borders edging the wings, a contrasting white 'crescent' ("bib") on the breast and their glossy black colouration (Jenkins et al., 2019).</w:t>
      </w:r>
    </w:p>
    <w:p w14:paraId="0589C2CB">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Conservation Status:</w:t>
      </w:r>
    </w:p>
    <w:p w14:paraId="6413F632">
      <w:pPr>
        <w:pStyle w:val="10"/>
        <w:numPr>
          <w:ilvl w:val="0"/>
          <w:numId w:val="3"/>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Subset of UK Red List species (Eaton et al., 2015) </w:t>
      </w:r>
    </w:p>
    <w:p w14:paraId="78A720BE">
      <w:pPr>
        <w:pStyle w:val="10"/>
        <w:numPr>
          <w:ilvl w:val="0"/>
          <w:numId w:val="3"/>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These are Species listed in Section 41 of the Natural Environment and Rural Communities (NERC) Act 2006. </w:t>
      </w:r>
    </w:p>
    <w:p w14:paraId="3749C696">
      <w:pPr>
        <w:pStyle w:val="10"/>
        <w:numPr>
          <w:ilvl w:val="0"/>
          <w:numId w:val="3"/>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Biodiversity Action Plan (BAP) priority species </w:t>
      </w:r>
    </w:p>
    <w:p w14:paraId="50191CA8">
      <w:pPr>
        <w:pStyle w:val="10"/>
        <w:numPr>
          <w:ilvl w:val="0"/>
          <w:numId w:val="3"/>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Population decline of 53% between 1970 2012 (Wotton et al., 2016) </w:t>
      </w:r>
    </w:p>
    <w:p w14:paraId="24FD45BF">
      <w:pPr>
        <w:pStyle w:val="10"/>
        <w:numPr>
          <w:ilvl w:val="0"/>
          <w:numId w:val="3"/>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Propose breeding population: 6,600 9,200 pairs (only 3 5 breeding pairs in South Wales Fan Frynych/Craig y nos area). </w:t>
      </w:r>
    </w:p>
    <w:p w14:paraId="7DC1C2BB">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South Wales has an extremely vulnerable population of the species: GIS based suitability analysis is the ideal focus in order to identify and protect remaining suitable habitat, in order to prevent local extinction.</w:t>
      </w:r>
    </w:p>
    <w:p w14:paraId="1886E767">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2.2 Ecological Requirements: A Simplified Framework:</w:t>
      </w:r>
    </w:p>
    <w:p w14:paraId="4DCE8825">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 solid niche suitability model is essential for development of a suitability model which can be used for modeling the ecological niche occupied by the Ring Ouzel. Assessments of habitat suitability have shown that there are three main categories of habitat factors: topographic specialization, resource mosaic requirements and mortality pressures (Rumeu et al., 2025; Wotton et al., 2016; Burfield and Brooke, 2005).</w:t>
      </w:r>
    </w:p>
    <w:p w14:paraId="6DD51F28">
      <w:pPr>
        <w:pStyle w:val="5"/>
        <w:keepNext/>
        <w:keepLines/>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2.2.1 Topographic Specialization:</w:t>
      </w:r>
    </w:p>
    <w:p w14:paraId="11629BDF">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Ring Ouzels are obligate upland birds, have different topographic preferences, and differ from lowland thrushes. Key characteristics include:</w:t>
      </w:r>
    </w:p>
    <w:p w14:paraId="5E6DD561">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Elevation Range:</w:t>
      </w:r>
    </w:p>
    <w:p w14:paraId="0DBFFAEE">
      <w:pPr>
        <w:pStyle w:val="10"/>
        <w:numPr>
          <w:ilvl w:val="0"/>
          <w:numId w:val="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Minimum breeding elevation: 250 300m above sea level </w:t>
      </w:r>
    </w:p>
    <w:p w14:paraId="103590C8">
      <w:pPr>
        <w:pStyle w:val="10"/>
        <w:numPr>
          <w:ilvl w:val="0"/>
          <w:numId w:val="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Optimal elevation: 400 600m </w:t>
      </w:r>
    </w:p>
    <w:p w14:paraId="092F0C93">
      <w:pPr>
        <w:pStyle w:val="10"/>
        <w:numPr>
          <w:ilvl w:val="0"/>
          <w:numId w:val="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Maximum recorded: 900m (Wotton et al., 2016) </w:t>
      </w:r>
    </w:p>
    <w:p w14:paraId="38DD8B10">
      <w:pPr>
        <w:pStyle w:val="10"/>
        <w:numPr>
          <w:ilvl w:val="0"/>
          <w:numId w:val="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Occasionally the first species had limited reproduction opportunities at lower elevations because of competition from the Blackbird (Turdus merula) and/or the lack of vegetation structure.</w:t>
      </w:r>
    </w:p>
    <w:p w14:paraId="1455AD1C">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Slope and Aspect:</w:t>
      </w:r>
    </w:p>
    <w:p w14:paraId="7C0B735A">
      <w:pPr>
        <w:pStyle w:val="10"/>
        <w:numPr>
          <w:ilvl w:val="0"/>
          <w:numId w:val="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Optimum slope gradient: 30 45 degrees (easiest on a simplified scale: 3/3) </w:t>
      </w:r>
    </w:p>
    <w:p w14:paraId="347E7773">
      <w:pPr>
        <w:pStyle w:val="10"/>
        <w:numPr>
          <w:ilvl w:val="0"/>
          <w:numId w:val="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Moderate slopes (15 30°): Suitable but sub optimal (score: 2/3) </w:t>
      </w:r>
    </w:p>
    <w:p w14:paraId="31634DA3">
      <w:pPr>
        <w:pStyle w:val="10"/>
        <w:numPr>
          <w:ilvl w:val="0"/>
          <w:numId w:val="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With gentle slopes (0 15°) generally unsuitable (score: 1/3)</w:t>
      </w:r>
    </w:p>
    <w:p w14:paraId="4AB8A9B3">
      <w:pPr>
        <w:pStyle w:val="10"/>
        <w:numPr>
          <w:ilvl w:val="0"/>
          <w:numId w:val="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Aspect preference: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North and east facing slopes are preferred because of the microclimate(from cool to warm), extremely slow snow melt, minimal human impact and improved vegetation cover (shelter) to hide in from predation.</w:t>
      </w:r>
    </w:p>
    <w:p w14:paraId="53854D70">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Nesting Substrate:</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Ring Ouzels are rock specialists that require:</w:t>
      </w:r>
    </w:p>
    <w:p w14:paraId="69F0001E">
      <w:pPr>
        <w:pStyle w:val="10"/>
        <w:numPr>
          <w:ilvl w:val="0"/>
          <w:numId w:val="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Rocky outcrops, rocky tarmac and rocky terrain / crags and tors (Phase 1 code I1.1) </w:t>
      </w:r>
    </w:p>
    <w:p w14:paraId="3CCBE8F3">
      <w:pPr>
        <w:pStyle w:val="10"/>
        <w:numPr>
          <w:ilvl w:val="0"/>
          <w:numId w:val="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Scree slopes and boulder fields </w:t>
      </w:r>
    </w:p>
    <w:p w14:paraId="3709A8D4">
      <w:pPr>
        <w:pStyle w:val="10"/>
        <w:numPr>
          <w:ilvl w:val="0"/>
          <w:numId w:val="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Gullies and rocky crevices that offer cover from terrestrial predators, cover from avian predators, stable microclimate for the development of the clutch and structural support for nest building</w:t>
      </w:r>
    </w:p>
    <w:p w14:paraId="3AF7CDBD">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Note: Ring Ouzels nest in bushes and trees but NOT in trees as many woodland thrushes do. Little tree cover (Phase 0 codes A1.0.0, A1.0.1, A1.0.2) and dense woodland canopy (Phase 1 codes A1.1.1, A1.2.2) should be given low suitability scores (0 1/3) because of their ecological unsuitability. This is an important contrast to initial drafts and related to the empirical evidence of avoidance of closed canopy forest (Wotton et al., 2016).</w:t>
      </w:r>
    </w:p>
    <w:p w14:paraId="3FB010EE">
      <w:pPr>
        <w:pStyle w:val="5"/>
        <w:keepNext/>
        <w:keepLines/>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2.2.2 Simplified Habitat Classification for Analysis:</w:t>
      </w:r>
    </w:p>
    <w:p w14:paraId="40B51400">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Prior to analysis, count each individual occurrence of every NHC species.Count an occurrence of each species of NHC. </w:t>
      </w:r>
    </w:p>
    <w:p w14:paraId="086750B0">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analysis is restricted to five principal habitat types relevant to Ring Ouzel conservation in the Craig y nos study area as these provide the balance between maintaining ecological accuracy and survey constraint. The context of this targeted approach can be explained by: (1) the species' narrow ecological niche which makes it an upland rock/heath specialist; (2) the requirement for actionable and clear resource directable recommendations; and (3) resource constraints of a real world conservation project.</w:t>
      </w:r>
    </w:p>
    <w:p w14:paraId="23BC4BE8">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High Suitability Habitats:</w:t>
      </w:r>
    </w:p>
    <w:p w14:paraId="1830D53F">
      <w:pPr>
        <w:pStyle w:val="10"/>
        <w:numPr>
          <w:ilvl w:val="0"/>
          <w:numId w:val="7"/>
        </w:numPr>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Rock Exposure (I1.1): Crags, cliffs and rocky outcrops are important sources for nesting and predators. Suitability score: 3/3 (optimal) </w:t>
      </w:r>
    </w:p>
    <w:p w14:paraId="79E51A95">
      <w:pPr>
        <w:pStyle w:val="10"/>
        <w:numPr>
          <w:ilvl w:val="0"/>
          <w:numId w:val="7"/>
        </w:numPr>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Heather dominat Dry Heath (D1.1): offering nesting cover and concealment of heather (Calluna vulgaris) and bilberry (Vaccinium myrtillus). Suitability score: 2/3 (high) </w:t>
      </w:r>
      <w:r>
        <w:rPr>
          <w:rFonts w:hint="default" w:ascii="Times New Roman" w:hAnsi="Times New Roman" w:cs="Times New Roman"/>
        </w:rPr>
        <w:br w:type="textWrapping"/>
      </w:r>
    </w:p>
    <w:p w14:paraId="27E91FC6">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Moderate Suitability Habitats:</w:t>
      </w:r>
    </w:p>
    <w:p w14:paraId="226CBAD8">
      <w:pPr>
        <w:pStyle w:val="10"/>
        <w:numPr>
          <w:ilvl w:val="0"/>
          <w:numId w:val="8"/>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Acid Grassland (B1.2): This is Semi improved grassland on acidic soils that is also significant for invertebrate foraging during breeding season. Habitat suitability: 2/3 (moderate within 500m of nest)</w:t>
      </w:r>
    </w:p>
    <w:p w14:paraId="30A714B0">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Low/Unsuitable Habitats:</w:t>
      </w:r>
    </w:p>
    <w:p w14:paraId="311EC7F1">
      <w:pPr>
        <w:pStyle w:val="10"/>
        <w:numPr>
          <w:ilvl w:val="0"/>
          <w:numId w:val="9"/>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Conifer Plantation (A1.2.2): Rich coniferous woodland, closed canopy is unsuitable for Ring Ouzel which prefers meadows, woods, fields and heathland. Suitability score: 0/3 (unsuitable) </w:t>
      </w:r>
    </w:p>
    <w:p w14:paraId="2FCF48E1">
      <w:pPr>
        <w:pStyle w:val="10"/>
        <w:numPr>
          <w:ilvl w:val="0"/>
          <w:numId w:val="9"/>
        </w:num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Arable/Urban (J1.1): Land cover that has been cultivated or developed with very high human use and presence and no suitable vegetation structure. Suitability score: 0/3 (unsuitable) </w:t>
      </w:r>
    </w:p>
    <w:p w14:paraId="784EF104">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simplified classification places emphasis on the most ecologically significant in terms of Ring Ouzel conservation in the study area on Craig y nos and will allow detailed analysis while being consistent with the standards used in Phase 1 surveys (JNCC 2010).</w:t>
      </w:r>
    </w:p>
    <w:p w14:paraId="575746BF">
      <w:pPr>
        <w:pStyle w:val="5"/>
        <w:keepNext/>
        <w:keepLines/>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2.2.3 Mortality Pressures and Disturbance Factors</w:t>
      </w:r>
    </w:p>
    <w:p w14:paraId="70E34DDE">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Predation:</w:t>
      </w:r>
    </w:p>
    <w:p w14:paraId="4A3773EC">
      <w:pPr>
        <w:pStyle w:val="10"/>
        <w:numPr>
          <w:ilvl w:val="0"/>
          <w:numId w:val="10"/>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Leading reason for not breeding (Dartmoor Ring Ouzel Delivery Plan, 2014) </w:t>
      </w:r>
    </w:p>
    <w:p w14:paraId="4A97B4A8">
      <w:pPr>
        <w:pStyle w:val="10"/>
        <w:numPr>
          <w:ilvl w:val="0"/>
          <w:numId w:val="10"/>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Terrestrial predators: Red Fox (Vulpes vulpes and Stoat (Mustela erminea) </w:t>
      </w:r>
    </w:p>
    <w:p w14:paraId="071183FB">
      <w:pPr>
        <w:pStyle w:val="10"/>
        <w:numPr>
          <w:ilvl w:val="0"/>
          <w:numId w:val="10"/>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Peregrine Falcon (Falco peregrinus) and Merlin (Falco columbarius) are birds that prey on birds. </w:t>
      </w:r>
    </w:p>
    <w:p w14:paraId="132C62E7">
      <w:pPr>
        <w:pStyle w:val="10"/>
        <w:numPr>
          <w:ilvl w:val="0"/>
          <w:numId w:val="10"/>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Management implication with respect to habitat: Provide high heather density (&gt;60% cover) around breeding sites to help enhance predation risk avoidance.</w:t>
      </w:r>
    </w:p>
    <w:p w14:paraId="6CCCCD06">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Human Disturbance:</w:t>
      </w:r>
    </w:p>
    <w:p w14:paraId="045B51EE">
      <w:pPr>
        <w:pStyle w:val="10"/>
        <w:numPr>
          <w:ilvl w:val="0"/>
          <w:numId w:val="1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Overnight camping, fishing, picnics: Yes </w:t>
      </w:r>
    </w:p>
    <w:p w14:paraId="4AAF095D">
      <w:pPr>
        <w:pStyle w:val="10"/>
        <w:numPr>
          <w:ilvl w:val="0"/>
          <w:numId w:val="1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Sevens annual weekend event for marking the start and end of the term. Organised events: Ten Tors, orienteering competitions. </w:t>
      </w:r>
    </w:p>
    <w:p w14:paraId="7E40503E">
      <w:pPr>
        <w:pStyle w:val="10"/>
        <w:numPr>
          <w:ilvl w:val="0"/>
          <w:numId w:val="1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Disturbance buffer: 300 300m from footpaths during the breeding season (March July) </w:t>
      </w:r>
    </w:p>
    <w:p w14:paraId="500AEB8B">
      <w:pPr>
        <w:pStyle w:val="10"/>
        <w:numPr>
          <w:ilvl w:val="0"/>
          <w:numId w:val="11"/>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Simplified scale: Areas within 100m of paths score 1 point less due to being the areas where suitability is reduced.</w:t>
      </w:r>
    </w:p>
    <w:p w14:paraId="1C3B4370">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Climate Change Impacts:</w:t>
      </w:r>
    </w:p>
    <w:p w14:paraId="40FA7224">
      <w:pPr>
        <w:pStyle w:val="10"/>
        <w:numPr>
          <w:ilvl w:val="0"/>
          <w:numId w:val="1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 range shift towards the north of 80 100km predicted by 2080 (Pearce Higgins et al., 2017) </w:t>
      </w:r>
    </w:p>
    <w:p w14:paraId="6753F399">
      <w:pPr>
        <w:pStyle w:val="10"/>
        <w:numPr>
          <w:ilvl w:val="0"/>
          <w:numId w:val="1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South Wales populations included because they are at a significant southern range edge. </w:t>
      </w:r>
    </w:p>
    <w:p w14:paraId="2E36D9B9">
      <w:pPr>
        <w:pStyle w:val="10"/>
        <w:numPr>
          <w:ilvl w:val="0"/>
          <w:numId w:val="12"/>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Micro refugia: Climate resilient habitats might occur on north facing slopes and on high elevation sites.</w:t>
      </w:r>
    </w:p>
    <w:p w14:paraId="6C79AA62">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2.3 Study Area: Craig y nos and Fan Frynych NNR, South Wales</w:t>
      </w:r>
    </w:p>
    <w:p w14:paraId="55917864">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Geographic Location:</w:t>
      </w:r>
    </w:p>
    <w:p w14:paraId="41B00923">
      <w:pPr>
        <w:pStyle w:val="10"/>
        <w:numPr>
          <w:ilvl w:val="0"/>
          <w:numId w:val="13"/>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Grid Reference: SN 85000 18000 (Craig y nos); SN 96000 23000 (Fan Frynych NNR) </w:t>
      </w:r>
    </w:p>
    <w:p w14:paraId="2DAE2436">
      <w:pPr>
        <w:pStyle w:val="10"/>
        <w:numPr>
          <w:ilvl w:val="0"/>
          <w:numId w:val="13"/>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Local Authority: Gwynedd.Local Government (Welsh): Ynyswir </w:t>
      </w:r>
    </w:p>
    <w:p w14:paraId="17418C6C">
      <w:pPr>
        <w:pStyle w:val="10"/>
        <w:numPr>
          <w:ilvl w:val="0"/>
          <w:numId w:val="13"/>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total area to be studied: 450 ha.</w:t>
      </w:r>
    </w:p>
    <w:p w14:paraId="5C958ACF">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Site Characteristics:</w:t>
      </w:r>
    </w:p>
    <w:p w14:paraId="44DB2495">
      <w:pPr>
        <w:pStyle w:val="10"/>
        <w:numPr>
          <w:ilvl w:val="0"/>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Elevation range: 320 580m above sea level </w:t>
      </w:r>
    </w:p>
    <w:p w14:paraId="24732BC8">
      <w:pPr>
        <w:pStyle w:val="10"/>
        <w:numPr>
          <w:ilvl w:val="0"/>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Mother in law's gate undulating moorland, rocky outcrops and steep side valleys.</w:t>
      </w:r>
    </w:p>
    <w:p w14:paraId="491E2120">
      <w:pPr>
        <w:pStyle w:val="10"/>
        <w:numPr>
          <w:ilvl w:val="0"/>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Persistant habitats (simplified classification):</w:t>
      </w:r>
    </w:p>
    <w:p w14:paraId="14D52FBD">
      <w:pPr>
        <w:pStyle w:val="10"/>
        <w:numPr>
          <w:ilvl w:val="1"/>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Dry heath (D1.1): 35% </w:t>
      </w:r>
    </w:p>
    <w:p w14:paraId="0199443B">
      <w:pPr>
        <w:pStyle w:val="10"/>
        <w:numPr>
          <w:ilvl w:val="1"/>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Acid grassland (B1.2): 30% </w:t>
      </w:r>
    </w:p>
    <w:p w14:paraId="46B8A76D">
      <w:pPr>
        <w:pStyle w:val="10"/>
        <w:numPr>
          <w:ilvl w:val="1"/>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Rock exposure (I1.1): 10% </w:t>
      </w:r>
    </w:p>
    <w:p w14:paraId="4A1A510A">
      <w:pPr>
        <w:pStyle w:val="10"/>
        <w:numPr>
          <w:ilvl w:val="1"/>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Conifer plantation (A1.2.2): 15% </w:t>
      </w:r>
    </w:p>
    <w:p w14:paraId="799C1D18">
      <w:pPr>
        <w:pStyle w:val="10"/>
        <w:numPr>
          <w:ilvl w:val="1"/>
          <w:numId w:val="14"/>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Arable/urban (J1.1): 10%</w:t>
      </w:r>
    </w:p>
    <w:p w14:paraId="338B2585">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Conservation Significance:</w:t>
      </w:r>
    </w:p>
    <w:p w14:paraId="380947F8">
      <w:pPr>
        <w:pStyle w:val="10"/>
        <w:numPr>
          <w:ilvl w:val="0"/>
          <w:numId w:val="1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Provides suitable habitat for 3 5 pairs of Ring Ouzel (Wotton et al., 2016) </w:t>
      </w:r>
    </w:p>
    <w:p w14:paraId="7F35B561">
      <w:pPr>
        <w:pStyle w:val="10"/>
        <w:numPr>
          <w:ilvl w:val="0"/>
          <w:numId w:val="1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Only two other breeding sites in South Wales survive. </w:t>
      </w:r>
    </w:p>
    <w:p w14:paraId="36942023">
      <w:pPr>
        <w:pStyle w:val="10"/>
        <w:numPr>
          <w:ilvl w:val="0"/>
          <w:numId w:val="1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They were all designated as National Nature Reserve (NNR) of Fan Frynych component. </w:t>
      </w:r>
    </w:p>
    <w:p w14:paraId="7F67AF57">
      <w:pPr>
        <w:pStyle w:val="10"/>
        <w:numPr>
          <w:ilvl w:val="0"/>
          <w:numId w:val="15"/>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Craig y Nos is a private estate that has an active conservation grazing programme (Exmoor ponies).</w:t>
      </w:r>
    </w:p>
    <w:p w14:paraId="5169D6EC">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Management Context:</w:t>
      </w:r>
    </w:p>
    <w:p w14:paraId="6F50EE61">
      <w:pPr>
        <w:pStyle w:val="10"/>
        <w:numPr>
          <w:ilvl w:val="0"/>
          <w:numId w:val="1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Stocking rate: 0.5 Livestock Unit/ha (April September). </w:t>
      </w:r>
    </w:p>
    <w:p w14:paraId="7EA87A91">
      <w:pPr>
        <w:pStyle w:val="10"/>
        <w:numPr>
          <w:ilvl w:val="0"/>
          <w:numId w:val="1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Restocking: Livestock removal during the optimum breeding period (May July) </w:t>
      </w:r>
    </w:p>
    <w:p w14:paraId="6149EC1E">
      <w:pPr>
        <w:pStyle w:val="10"/>
        <w:numPr>
          <w:ilvl w:val="0"/>
          <w:numId w:val="1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last period of activity for juniper regeneration was in 2015, when an active programme of planting was undertaken. </w:t>
      </w:r>
    </w:p>
    <w:p w14:paraId="22828B8D">
      <w:pPr>
        <w:pStyle w:val="10"/>
        <w:numPr>
          <w:ilvl w:val="0"/>
          <w:numId w:val="16"/>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General management: Seasonal path closures in time for breeding season.</w:t>
      </w:r>
    </w:p>
    <w:p w14:paraId="723BCCE9">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Ecological significance (Southern range edge population) and data availability (Comprehensive Phase 1 survey and LiDAR coverage) are given as justifications for the site selection, with field data being validatable, within the project timescales, and or management being relevant (active conservation intervention).</w:t>
      </w:r>
    </w:p>
    <w:p w14:paraId="5D149077">
      <w:pPr>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5829300" cy="6638925"/>
            <wp:effectExtent l="0" t="0" r="0" b="0"/>
            <wp:docPr id="14453757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375778" name="drawing"/>
                    <pic:cNvPicPr>
                      <a:picLocks noChangeAspect="1"/>
                    </pic:cNvPicPr>
                  </pic:nvPicPr>
                  <pic:blipFill>
                    <a:blip r:embed="rId6"/>
                    <a:stretch>
                      <a:fillRect/>
                    </a:stretch>
                  </pic:blipFill>
                  <pic:spPr>
                    <a:xfrm>
                      <a:off x="0" y="0"/>
                      <a:ext cx="5829300" cy="6638925"/>
                    </a:xfrm>
                    <a:prstGeom prst="rect">
                      <a:avLst/>
                    </a:prstGeom>
                  </pic:spPr>
                </pic:pic>
              </a:graphicData>
            </a:graphic>
          </wp:inline>
        </w:drawing>
      </w:r>
    </w:p>
    <w:p w14:paraId="482B1CFC">
      <w:pPr>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3: Site boundary polygon delineating the 450 hectare Craig y nos study area in Brecon Beacons National Park.</w:t>
      </w:r>
    </w:p>
    <w:p w14:paraId="45FC45FB">
      <w:pPr>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1D452193">
      <w:pPr>
        <w:pStyle w:val="3"/>
        <w:keepNext/>
        <w:keepLines/>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3. Methodology: Simplified Multi Criteria Evaluation Framework and GIS Workflow</w:t>
      </w:r>
    </w:p>
    <w:p w14:paraId="4F1FF320">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3.1 Theoretical Framework: McHarg's Layer Cake Model:</w:t>
      </w:r>
    </w:p>
    <w:p w14:paraId="6DE12879">
      <w:pPr>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McHarg (1969) theoretical approach the Layer Cake Model is used as a basis for assessing habitat suitability. McHarg suggested that the environmental parameters could be portrayed graphically as separate but stacked layers, made dimensionally compatible, and assigned appropriate ecological weights and mathematically combined together to create a composite suitability surface. </w:t>
      </w:r>
    </w:p>
    <w:p w14:paraId="4E9BE1FF">
      <w:pPr>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14:paraId="60A45B55">
      <w:pPr>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Assumptions: The model is based on the following assumptions</w:t>
      </w:r>
    </w:p>
    <w:p w14:paraId="40845DC6">
      <w:pPr>
        <w:pStyle w:val="10"/>
        <w:numPr>
          <w:ilvl w:val="0"/>
          <w:numId w:val="17"/>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suitability of habitat depends on several variables </w:t>
      </w:r>
    </w:p>
    <w:p w14:paraId="1FD1E076">
      <w:pPr>
        <w:pStyle w:val="10"/>
        <w:numPr>
          <w:ilvl w:val="0"/>
          <w:numId w:val="17"/>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Variables can be quantified and standardised to a common measurement scale </w:t>
      </w:r>
    </w:p>
    <w:p w14:paraId="4F51F559">
      <w:pPr>
        <w:pStyle w:val="10"/>
        <w:numPr>
          <w:ilvl w:val="0"/>
          <w:numId w:val="17"/>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Different species have different importance (weights) for the variables </w:t>
      </w:r>
    </w:p>
    <w:p w14:paraId="667F92C0">
      <w:pPr>
        <w:pStyle w:val="10"/>
        <w:numPr>
          <w:ilvl w:val="0"/>
          <w:numId w:val="17"/>
        </w:numPr>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There are additive interactions (but non linear; this may be possible) between variables</w:t>
      </w:r>
    </w:p>
    <w:p w14:paraId="48D7CE7C">
      <w:pPr>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Mathematical Representation:</w:t>
      </w:r>
    </w:p>
    <w:p w14:paraId="0AD8B17C">
      <w:pPr>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Suitability = Σ(Wi × Xi)</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Where: Wi = Weight of variable i (ΣWi = 1.0); Xi = Standardised score of variable i (0 3 scale)</w:t>
      </w:r>
      <w:r>
        <w:rPr>
          <w:rFonts w:hint="default" w:ascii="Times New Roman" w:hAnsi="Times New Roman" w:cs="Times New Roman"/>
        </w:rPr>
        <w:br w:type="textWrapping"/>
      </w:r>
    </w:p>
    <w:p w14:paraId="718FF5EE">
      <w:pPr>
        <w:pStyle w:val="4"/>
        <w:keepNext/>
        <w:keepLines/>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3.2 Data Sources and Acquisition:</w:t>
      </w:r>
    </w:p>
    <w:p w14:paraId="49E11A34">
      <w:pPr>
        <w:pStyle w:val="5"/>
        <w:keepNext/>
        <w:keepLines/>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3.2.1 Primary Datasets:</w:t>
      </w:r>
    </w:p>
    <w:tbl>
      <w:tblPr>
        <w:tblStyle w:val="7"/>
        <w:tblW w:w="0" w:type="auto"/>
        <w:tblInd w:w="0" w:type="dxa"/>
        <w:tblLayout w:type="autofit"/>
        <w:tblCellMar>
          <w:top w:w="0" w:type="dxa"/>
          <w:left w:w="108" w:type="dxa"/>
          <w:bottom w:w="0" w:type="dxa"/>
          <w:right w:w="108" w:type="dxa"/>
        </w:tblCellMar>
      </w:tblPr>
      <w:tblGrid>
        <w:gridCol w:w="2626"/>
        <w:gridCol w:w="2530"/>
        <w:gridCol w:w="1616"/>
        <w:gridCol w:w="1334"/>
        <w:gridCol w:w="1494"/>
      </w:tblGrid>
      <w:tr w14:paraId="47761CF9">
        <w:tblPrEx>
          <w:tblCellMar>
            <w:top w:w="0" w:type="dxa"/>
            <w:left w:w="108" w:type="dxa"/>
            <w:bottom w:w="0" w:type="dxa"/>
            <w:right w:w="108" w:type="dxa"/>
          </w:tblCellMar>
        </w:tblPrEx>
        <w:trPr>
          <w:trHeight w:val="300" w:hRule="atLeast"/>
        </w:trPr>
        <w:tc>
          <w:tcPr>
            <w:tcW w:w="271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688EEB1">
            <w:pPr>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Dataset</w:t>
            </w:r>
          </w:p>
        </w:tc>
        <w:tc>
          <w:tcPr>
            <w:tcW w:w="26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020A898">
            <w:pPr>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Source</w:t>
            </w:r>
          </w:p>
        </w:tc>
        <w:tc>
          <w:tcPr>
            <w:tcW w:w="16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7F819CE">
            <w:pPr>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Format</w:t>
            </w:r>
          </w:p>
        </w:tc>
        <w:tc>
          <w:tcPr>
            <w:tcW w:w="11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48B4E07">
            <w:pPr>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Resolution</w:t>
            </w:r>
          </w:p>
        </w:tc>
        <w:tc>
          <w:tcPr>
            <w:tcW w:w="12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79737A1">
            <w:pPr>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CRS</w:t>
            </w:r>
          </w:p>
        </w:tc>
      </w:tr>
      <w:tr w14:paraId="74B56A87">
        <w:tblPrEx>
          <w:tblCellMar>
            <w:top w:w="0" w:type="dxa"/>
            <w:left w:w="108" w:type="dxa"/>
            <w:bottom w:w="0" w:type="dxa"/>
            <w:right w:w="108" w:type="dxa"/>
          </w:tblCellMar>
        </w:tblPrEx>
        <w:trPr>
          <w:trHeight w:val="300" w:hRule="atLeast"/>
        </w:trPr>
        <w:tc>
          <w:tcPr>
            <w:tcW w:w="271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EE6F957">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Digital Elevation Model (DEM)</w:t>
            </w:r>
          </w:p>
        </w:tc>
        <w:tc>
          <w:tcPr>
            <w:tcW w:w="26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D5EF3F2">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OS Terrain 5, DataMapWales</w:t>
            </w:r>
          </w:p>
        </w:tc>
        <w:tc>
          <w:tcPr>
            <w:tcW w:w="16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616909A">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Raster (GeoTIFF)</w:t>
            </w:r>
          </w:p>
        </w:tc>
        <w:tc>
          <w:tcPr>
            <w:tcW w:w="11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E27AA05">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30m</w:t>
            </w:r>
          </w:p>
        </w:tc>
        <w:tc>
          <w:tcPr>
            <w:tcW w:w="12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D642CFD">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EPSG:27700</w:t>
            </w:r>
          </w:p>
        </w:tc>
      </w:tr>
      <w:tr w14:paraId="4A853837">
        <w:tblPrEx>
          <w:tblCellMar>
            <w:top w:w="0" w:type="dxa"/>
            <w:left w:w="108" w:type="dxa"/>
            <w:bottom w:w="0" w:type="dxa"/>
            <w:right w:w="108" w:type="dxa"/>
          </w:tblCellMar>
        </w:tblPrEx>
        <w:trPr>
          <w:trHeight w:val="300" w:hRule="atLeast"/>
        </w:trPr>
        <w:tc>
          <w:tcPr>
            <w:tcW w:w="271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5C430D3">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Phase 1 Habitat Survey</w:t>
            </w:r>
          </w:p>
        </w:tc>
        <w:tc>
          <w:tcPr>
            <w:tcW w:w="26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275A213">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DataMapWales</w:t>
            </w:r>
          </w:p>
        </w:tc>
        <w:tc>
          <w:tcPr>
            <w:tcW w:w="16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B4D60FB">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Vector (Shapefile)</w:t>
            </w:r>
          </w:p>
        </w:tc>
        <w:tc>
          <w:tcPr>
            <w:tcW w:w="11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CFA6F35">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Polygon</w:t>
            </w:r>
          </w:p>
        </w:tc>
        <w:tc>
          <w:tcPr>
            <w:tcW w:w="12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0351F93">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EPSG:27700</w:t>
            </w:r>
          </w:p>
        </w:tc>
      </w:tr>
      <w:tr w14:paraId="0E097292">
        <w:tblPrEx>
          <w:tblCellMar>
            <w:top w:w="0" w:type="dxa"/>
            <w:left w:w="108" w:type="dxa"/>
            <w:bottom w:w="0" w:type="dxa"/>
            <w:right w:w="108" w:type="dxa"/>
          </w:tblCellMar>
        </w:tblPrEx>
        <w:trPr>
          <w:trHeight w:val="300" w:hRule="atLeast"/>
        </w:trPr>
        <w:tc>
          <w:tcPr>
            <w:tcW w:w="271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1785B6B">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Access Paths/Recreation</w:t>
            </w:r>
          </w:p>
        </w:tc>
        <w:tc>
          <w:tcPr>
            <w:tcW w:w="26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B71F146">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OpenStreetMap</w:t>
            </w:r>
          </w:p>
        </w:tc>
        <w:tc>
          <w:tcPr>
            <w:tcW w:w="16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0A57F3E">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Vector (Shapefile)</w:t>
            </w:r>
          </w:p>
        </w:tc>
        <w:tc>
          <w:tcPr>
            <w:tcW w:w="11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B6EACEF">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Line</w:t>
            </w:r>
          </w:p>
        </w:tc>
        <w:tc>
          <w:tcPr>
            <w:tcW w:w="12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4A2DECE">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EPSG:27700</w:t>
            </w:r>
          </w:p>
        </w:tc>
      </w:tr>
      <w:tr w14:paraId="373CA219">
        <w:tblPrEx>
          <w:tblCellMar>
            <w:top w:w="0" w:type="dxa"/>
            <w:left w:w="108" w:type="dxa"/>
            <w:bottom w:w="0" w:type="dxa"/>
            <w:right w:w="108" w:type="dxa"/>
          </w:tblCellMar>
        </w:tblPrEx>
        <w:trPr>
          <w:trHeight w:val="300" w:hRule="atLeast"/>
        </w:trPr>
        <w:tc>
          <w:tcPr>
            <w:tcW w:w="271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9B785AD">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Ring Ouzel Records</w:t>
            </w:r>
          </w:p>
        </w:tc>
        <w:tc>
          <w:tcPr>
            <w:tcW w:w="26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31AF164">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NBN Atlas</w:t>
            </w:r>
          </w:p>
        </w:tc>
        <w:tc>
          <w:tcPr>
            <w:tcW w:w="16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4951E00">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Point (CSV)</w:t>
            </w:r>
          </w:p>
        </w:tc>
        <w:tc>
          <w:tcPr>
            <w:tcW w:w="11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19352B5">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Point</w:t>
            </w:r>
          </w:p>
        </w:tc>
        <w:tc>
          <w:tcPr>
            <w:tcW w:w="12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08190BF">
            <w:pPr>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EPSG:27700</w:t>
            </w:r>
          </w:p>
        </w:tc>
      </w:tr>
    </w:tbl>
    <w:p w14:paraId="79ED0516">
      <w:pPr>
        <w:bidi w:val="0"/>
        <w:spacing w:before="240" w:beforeAutospacing="0" w:after="240" w:afterAutospacing="0" w:line="360" w:lineRule="auto"/>
        <w:jc w:val="left"/>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41085142">
      <w:pPr>
        <w:bidi w:val="0"/>
        <w:spacing w:before="240" w:beforeAutospacing="0" w:after="240" w:afterAutospacing="0" w:line="360" w:lineRule="auto"/>
        <w:jc w:val="left"/>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Coordinate Reference System:</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All datasets projected to EPSG:27700 OSGB 1936 (British National Grid) so that effective distance and area measurements for the UK can be measured, that it meets Phase 1 Habitat Survey standards, and likewise meets JNCC symbology files (.qml) standards for the UK.</w:t>
      </w:r>
    </w:p>
    <w:p w14:paraId="11E40A97">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br w:type="textWrapping"/>
      </w:r>
      <w:r>
        <w:rPr>
          <w:rFonts w:hint="default" w:ascii="Times New Roman" w:hAnsi="Times New Roman" w:cs="Times New Roman"/>
        </w:rPr>
        <w:drawing>
          <wp:inline distT="0" distB="0" distL="114300" distR="114300">
            <wp:extent cx="3581400" cy="2200275"/>
            <wp:effectExtent l="0" t="0" r="0" b="0"/>
            <wp:docPr id="7988132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813234" name="drawing"/>
                    <pic:cNvPicPr>
                      <a:picLocks noChangeAspect="1"/>
                    </pic:cNvPicPr>
                  </pic:nvPicPr>
                  <pic:blipFill>
                    <a:blip r:embed="rId7"/>
                    <a:stretch>
                      <a:fillRect/>
                    </a:stretch>
                  </pic:blipFill>
                  <pic:spPr>
                    <a:xfrm>
                      <a:off x="0" y="0"/>
                      <a:ext cx="3581400" cy="2200275"/>
                    </a:xfrm>
                    <a:prstGeom prst="rect">
                      <a:avLst/>
                    </a:prstGeom>
                  </pic:spPr>
                </pic:pic>
              </a:graphicData>
            </a:graphic>
          </wp:inline>
        </w:drawing>
      </w:r>
    </w:p>
    <w:p w14:paraId="669D8F94">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1: QGIS project showing EPSG:27700 British National Grid CRS setting and Google Satellite basemap loaded for Craig y nos study area.</w:t>
      </w:r>
    </w:p>
    <w:p w14:paraId="3F8F4F80">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3.2.2 Data Pre processing:</w:t>
      </w:r>
    </w:p>
    <w:p w14:paraId="11A4142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Clipped to study area boundary: Study area boundary extracted from all datasets (Craig y nos/Fan Fry) with Vector &gt; Geoprocessing Tools &gt; Clip. This helps to minimize processing time and uniformity of results. </w:t>
      </w:r>
    </w:p>
    <w:p w14:paraId="136173F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Targeting verification of exact (field) formatting (e.g., "D1.1" for attribute "HABSURVEY.CODE" is correct format, "D1.1 " is incorrect format), code completeness and topology (no gaps or overlaps between adjacent polygons) in the attribute table for the "HABCODE" field. </w:t>
      </w:r>
    </w:p>
    <w:p w14:paraId="6E49917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Notable: As none of the HABCODE attribute data type is suitable for storing text, a numeric SCORE attribute type was created instead, which QGIS can rasterize. Ecological suitability for Ring Ouzel was scored a numeric habitat evaluators (0-3) for each of the habitat polygons.</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p>
    <w:p w14:paraId="06F647EA">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6248400" cy="6638925"/>
            <wp:effectExtent l="0" t="0" r="0" b="0"/>
            <wp:docPr id="942664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64153" name="drawing"/>
                    <pic:cNvPicPr>
                      <a:picLocks noChangeAspect="1"/>
                    </pic:cNvPicPr>
                  </pic:nvPicPr>
                  <pic:blipFill>
                    <a:blip r:embed="rId8"/>
                    <a:stretch>
                      <a:fillRect/>
                    </a:stretch>
                  </pic:blipFill>
                  <pic:spPr>
                    <a:xfrm>
                      <a:off x="0" y="0"/>
                      <a:ext cx="6248400" cy="6638925"/>
                    </a:xfrm>
                    <a:prstGeom prst="rect">
                      <a:avLst/>
                    </a:prstGeom>
                  </pic:spPr>
                </pic:pic>
              </a:graphicData>
            </a:graphic>
          </wp:inline>
        </w:drawing>
      </w:r>
    </w:p>
    <w:p w14:paraId="58187743">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2: Google Satellite basemap showing Craig y nos study area in South Wales, used as reference for habitat digitizing.</w:t>
      </w:r>
    </w:p>
    <w:p w14:paraId="145F7CA8">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3.3 Derivation of Suitability Layers:</w:t>
      </w:r>
    </w:p>
    <w:p w14:paraId="22CF0D0B">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following information lists how three environmental layers in the Multi Criteria Evaluation (MCE) framework were derived, the same as the simplified scoring matrix described in the HSA_scoring.xlsx framework (Appendix X). The suitability assessment of each layer was standardized to a common suitability scale (0-3) before the layers were added together using weighted overlay analysis. </w:t>
      </w:r>
    </w:p>
    <w:p w14:paraId="3F8322D2">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3.3.1 Habitat Layer (Weight = 0.5):</w:t>
      </w:r>
    </w:p>
    <w:p w14:paraId="0830E38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sz w:val="22"/>
          <w:szCs w:val="22"/>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To inform Phase 1 Habitat Reclassification, the five primary habitat types in the Craig y nos study area were assigned numeric suitability scores (0 3) in relation to literature relating to Ring Ouzel habitat requirements, based on the HSA_scoring.xlsx framework (Wotton et al., 2016; Dartmoor Ring Ouzel Delivery</w:t>
      </w:r>
      <w:r>
        <w:rPr>
          <w:rFonts w:hint="default" w:ascii="Times New Roman" w:hAnsi="Times New Roman" w:eastAsia="Arial" w:cs="Times New Roman"/>
          <w:b w:val="0"/>
          <w:bCs w:val="0"/>
          <w:i w:val="0"/>
          <w:iCs w:val="0"/>
          <w:caps w:val="0"/>
          <w:smallCaps w:val="0"/>
          <w:color w:val="000000" w:themeColor="text1"/>
          <w:sz w:val="22"/>
          <w:szCs w:val="22"/>
          <w:lang w:val="en-GB"/>
          <w14:textFill>
            <w14:solidFill>
              <w14:schemeClr w14:val="tx1"/>
            </w14:solidFill>
          </w14:textFill>
        </w:rPr>
        <w:t xml:space="preserve"> Plan, 2014):</w:t>
      </w:r>
    </w:p>
    <w:tbl>
      <w:tblPr>
        <w:tblStyle w:val="7"/>
        <w:tblW w:w="0" w:type="auto"/>
        <w:tblInd w:w="0" w:type="dxa"/>
        <w:tblLayout w:type="autofit"/>
        <w:tblCellMar>
          <w:top w:w="0" w:type="dxa"/>
          <w:left w:w="108" w:type="dxa"/>
          <w:bottom w:w="0" w:type="dxa"/>
          <w:right w:w="108" w:type="dxa"/>
        </w:tblCellMar>
      </w:tblPr>
      <w:tblGrid>
        <w:gridCol w:w="1454"/>
        <w:gridCol w:w="1507"/>
        <w:gridCol w:w="1261"/>
        <w:gridCol w:w="5378"/>
      </w:tblGrid>
      <w:tr w14:paraId="6589EB22">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3AF42FF">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HABCODE</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7CA974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Habitat Type</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951400">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Numeric Score</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0D1E171">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Ecological Rationale</w:t>
            </w:r>
          </w:p>
        </w:tc>
      </w:tr>
      <w:tr w14:paraId="5040A74E">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048B22B">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I1.1</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467284C">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Rock exposure</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9EBDCDF">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3 (High)</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AC85546">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Primary nesting substrate; Ring Ouzels are rock specialists requiring crags and tors for nest security and predator avoidance (Wotton et al., 2016)</w:t>
            </w:r>
          </w:p>
        </w:tc>
      </w:tr>
      <w:tr w14:paraId="510A84F2">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199773E">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D1.1</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F2153D6">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Dry heath</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8DE784B">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2 (Medium)</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AB6CDF7">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Provides essential nesting cover and concealment via heather/bilberry mosaic; supports invertebrate prey base (Dartmoor Ring Ouzel Delivery Plan, 2014)</w:t>
            </w:r>
          </w:p>
        </w:tc>
      </w:tr>
      <w:tr w14:paraId="001DD2FE">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A16C2FB">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B1.2</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062CA3E">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Acid grassland</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89C242E">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2 (Medium)</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832E85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Critical foraging habitat for invertebrates; must occur within 500m of nest sites for chick provisioning</w:t>
            </w:r>
          </w:p>
        </w:tc>
      </w:tr>
      <w:tr w14:paraId="0235615A">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7DE32D9">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A1.2.2</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C416A1D">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Conifer plantation</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3484CE1">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0 (Not suitable)</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2FE9D7A">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Dense canopy structure unsuitable; species actively avoids closed canopy woodland (Burfield &amp; Brooke, 2005)</w:t>
            </w:r>
          </w:p>
        </w:tc>
      </w:tr>
      <w:tr w14:paraId="4B465D65">
        <w:tblPrEx>
          <w:tblCellMar>
            <w:top w:w="0" w:type="dxa"/>
            <w:left w:w="108" w:type="dxa"/>
            <w:bottom w:w="0" w:type="dxa"/>
            <w:right w:w="108" w:type="dxa"/>
          </w:tblCellMar>
        </w:tblPrEx>
        <w:trPr>
          <w:trHeight w:val="300" w:hRule="atLeast"/>
        </w:trPr>
        <w:tc>
          <w:tcPr>
            <w:tcW w:w="141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A5D61D2">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J1.1</w:t>
            </w:r>
          </w:p>
        </w:tc>
        <w:tc>
          <w:tcPr>
            <w:tcW w:w="13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3273AAD">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Arable/urban</w:t>
            </w:r>
          </w:p>
        </w:tc>
        <w:tc>
          <w:tcPr>
            <w:tcW w:w="12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1952FCA">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0 (Not suitable)</w:t>
            </w:r>
          </w:p>
        </w:tc>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18A70E6">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lang w:val="en-GB"/>
                <w14:textFill>
                  <w14:solidFill>
                    <w14:schemeClr w14:val="tx1"/>
                  </w14:solidFill>
                </w14:textFill>
              </w:rPr>
              <w:t>High anthropogenic disturbance; lacks suitable vegetation structure for nesting or foraging</w:t>
            </w:r>
          </w:p>
        </w:tc>
      </w:tr>
    </w:tbl>
    <w:p w14:paraId="1AF0B33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35C55C6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QGIS Rasterization Workflow:</w:t>
      </w:r>
    </w:p>
    <w:p w14:paraId="20149217">
      <w:pPr>
        <w:pStyle w:val="10"/>
        <w:numPr>
          <w:ilvl w:val="0"/>
          <w:numId w:val="1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Created new field SCORE (Decimal number, precision 0) in attribute table of Habitats.shp: Opened attribute table ofHabitats.shp → toggled editing mode → Field Calculator.</w:t>
      </w:r>
    </w:p>
    <w:p w14:paraId="6AACFA01">
      <w:pPr>
        <w:pStyle w:val="10"/>
        <w:numPr>
          <w:ilvl w:val="0"/>
          <w:numId w:val="1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Populate SCORE values</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Used Field Calculator expression:</w:t>
      </w:r>
    </w:p>
    <w:p w14:paraId="36FA06DC">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CASE </w:t>
      </w:r>
    </w:p>
    <w:p w14:paraId="2E8B14C2">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WHEN "HABCODE" = 'I1.1' THEN 3</w:t>
      </w:r>
    </w:p>
    <w:p w14:paraId="2B2E5B23">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WHEN "HABCODE" = 'D1.1' THEN 2</w:t>
      </w:r>
    </w:p>
    <w:p w14:paraId="06A006F5">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WHEN "HABCODE" = 'B1.2' THEN 2</w:t>
      </w:r>
    </w:p>
    <w:p w14:paraId="51AAA966">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WHEN "HABCODE" = 'A1.2.2' THEN 0</w:t>
      </w:r>
    </w:p>
    <w:p w14:paraId="5075BE8C">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WHEN "HABCODE" = 'J1.1' THEN 0</w:t>
      </w:r>
    </w:p>
    <w:p w14:paraId="60A3B6DB">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ELSE 0</w:t>
      </w:r>
    </w:p>
    <w:p w14:paraId="16323C6B">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END</w:t>
      </w:r>
    </w:p>
    <w:p w14:paraId="2918AB76">
      <w:pPr>
        <w:pStyle w:val="10"/>
        <w:numPr>
          <w:ilvl w:val="0"/>
          <w:numId w:val="1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Rasterize vector layer: </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Raster &gt; Conversion &gt; Rasterize (Vector to Raster)</w:t>
      </w:r>
    </w:p>
    <w:p w14:paraId="22D4D8FC">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Input layer: Habitats </w:t>
      </w:r>
    </w:p>
    <w:p w14:paraId="308FD6C2">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 score to use in field for burn in: SCORE </w:t>
      </w:r>
    </w:p>
    <w:p w14:paraId="10D345B5">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No. of columns to be output on the raster: 30m, or cell size </w:t>
      </w:r>
    </w:p>
    <w:p w14:paraId="142D3803">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Output extent: Calculated from Site_Outline layer </w:t>
      </w:r>
    </w:p>
    <w:p w14:paraId="4E652F19">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CRS: EPSG: 27700 (British National Grid) </w:t>
      </w:r>
    </w:p>
    <w:p w14:paraId="27BC7C26">
      <w:pPr>
        <w:pStyle w:val="10"/>
        <w:numPr>
          <w:ilvl w:val="1"/>
          <w:numId w:val="18"/>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Output file: Rasters/habitat_score.tif </w:t>
      </w:r>
      <w:r>
        <w:rPr>
          <w:rFonts w:hint="default" w:ascii="Times New Roman" w:hAnsi="Times New Roman" w:cs="Times New Roman"/>
        </w:rPr>
        <w:br w:type="textWrapping"/>
      </w:r>
    </w:p>
    <w:p w14:paraId="4D63C2A8">
      <w:pPr>
        <w:bidi w:val="0"/>
        <w:spacing w:before="0" w:beforeAutospacing="0" w:after="0" w:afterAutospacing="0" w:line="360" w:lineRule="auto"/>
        <w:ind w:left="720"/>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79215474">
      <w:p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50F23562">
      <w:pPr>
        <w:bidi w:val="0"/>
        <w:spacing w:before="0" w:beforeAutospacing="0" w:after="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5981700" cy="3409950"/>
            <wp:effectExtent l="0" t="0" r="0" b="0"/>
            <wp:docPr id="1382980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80387" name="drawing"/>
                    <pic:cNvPicPr>
                      <a:picLocks noChangeAspect="1"/>
                    </pic:cNvPicPr>
                  </pic:nvPicPr>
                  <pic:blipFill>
                    <a:blip r:embed="rId9"/>
                    <a:stretch>
                      <a:fillRect/>
                    </a:stretch>
                  </pic:blipFill>
                  <pic:spPr>
                    <a:xfrm>
                      <a:off x="0" y="0"/>
                      <a:ext cx="5981700" cy="3409950"/>
                    </a:xfrm>
                    <a:prstGeom prst="rect">
                      <a:avLst/>
                    </a:prstGeom>
                  </pic:spPr>
                </pic:pic>
              </a:graphicData>
            </a:graphic>
          </wp:inline>
        </w:drawing>
      </w:r>
    </w:p>
    <w:p w14:paraId="0B165118">
      <w:pPr>
        <w:bidi w:val="0"/>
        <w:spacing w:before="0" w:beforeAutospacing="0" w:after="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3.2: Field calculator interface showing numeric SCORE field creation based on HABCODE values for rasterization.</w:t>
      </w:r>
    </w:p>
    <w:p w14:paraId="0E56CCD9">
      <w:pPr>
        <w:bidi w:val="0"/>
        <w:spacing w:before="0" w:beforeAutospacing="0" w:after="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4286250" cy="5324475"/>
            <wp:effectExtent l="0" t="0" r="0" b="0"/>
            <wp:docPr id="19739222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922227" name="drawing"/>
                    <pic:cNvPicPr>
                      <a:picLocks noChangeAspect="1"/>
                    </pic:cNvPicPr>
                  </pic:nvPicPr>
                  <pic:blipFill>
                    <a:blip r:embed="rId10"/>
                    <a:stretch>
                      <a:fillRect/>
                    </a:stretch>
                  </pic:blipFill>
                  <pic:spPr>
                    <a:xfrm>
                      <a:off x="0" y="0"/>
                      <a:ext cx="4286250" cy="5324475"/>
                    </a:xfrm>
                    <a:prstGeom prst="rect">
                      <a:avLst/>
                    </a:prstGeom>
                  </pic:spPr>
                </pic:pic>
              </a:graphicData>
            </a:graphic>
          </wp:inline>
        </w:drawing>
      </w:r>
    </w:p>
    <w:p w14:paraId="22F0C104">
      <w:pPr>
        <w:bidi w:val="0"/>
        <w:spacing w:before="0" w:beforeAutospacing="0" w:after="0" w:afterAutospacing="0" w:line="360" w:lineRule="auto"/>
        <w:jc w:val="center"/>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4: Attribute table showing five Phase 1 habitat codes (I1.1, D1.1, B1.2, A1.2.2, J1.1) with corresponding numeric suitability scores (0 3) for Ring Ouzel habitat analysis.</w:t>
      </w:r>
    </w:p>
    <w:p w14:paraId="788B06D8">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3.3.2 Food Layer (Layer 2 Weight = 0.3)</w:t>
      </w:r>
    </w:p>
    <w:p w14:paraId="240080A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Buffer Analysis Foraging Proximity: Ring Ouzels need species rich grazed grassland of at least 500m radius from nest sites to enable the chick to get soil invertebrates, particularly earthworms (Ouzel Delivery Plan, Dartmoor, 2014). Using buffer analysis, this spatial requirement was simulated with:</w:t>
      </w:r>
    </w:p>
    <w:p w14:paraId="35FFD03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will create a buffer zone around the shape.</w:t>
      </w:r>
    </w:p>
    <w:p w14:paraId="4DB5522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This will buffer the shape to create a buffer zone. </w:t>
      </w:r>
    </w:p>
    <w:p w14:paraId="034B593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This is input layer (HABCODE = 'B1.2') Grassland polygons. </w:t>
      </w:r>
    </w:p>
    <w:p w14:paraId="66BA78D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Buffer distance: 500 metres </w:t>
      </w:r>
    </w:p>
    <w:p w14:paraId="3E44BAB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Dissolve result: Yes (provide continuous foraging space) </w:t>
      </w:r>
    </w:p>
    <w:p w14:paraId="5A881C4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Output: Shapefile_layers/foraging_buffer.shp</w:t>
      </w:r>
    </w:p>
    <w:p w14:paraId="5F8BE4B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Reclassification for Food Availability:</w:t>
      </w:r>
    </w:p>
    <w:tbl>
      <w:tblPr>
        <w:tblStyle w:val="7"/>
        <w:tblW w:w="0" w:type="auto"/>
        <w:tblInd w:w="0" w:type="dxa"/>
        <w:tblLayout w:type="autofit"/>
        <w:tblCellMar>
          <w:top w:w="0" w:type="dxa"/>
          <w:left w:w="108" w:type="dxa"/>
          <w:bottom w:w="0" w:type="dxa"/>
          <w:right w:w="108" w:type="dxa"/>
        </w:tblCellMar>
      </w:tblPr>
      <w:tblGrid>
        <w:gridCol w:w="4536"/>
        <w:gridCol w:w="1301"/>
        <w:gridCol w:w="3523"/>
      </w:tblGrid>
      <w:tr w14:paraId="1DAD8ABB">
        <w:tblPrEx>
          <w:tblCellMar>
            <w:top w:w="0" w:type="dxa"/>
            <w:left w:w="108" w:type="dxa"/>
            <w:bottom w:w="0" w:type="dxa"/>
            <w:right w:w="108" w:type="dxa"/>
          </w:tblCellMar>
        </w:tblPrEx>
        <w:trPr>
          <w:trHeight w:val="300" w:hRule="atLeast"/>
        </w:trPr>
        <w:tc>
          <w:tcPr>
            <w:tcW w:w="45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DB6E8E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Distance from Grassland</w:t>
            </w:r>
          </w:p>
        </w:tc>
        <w:tc>
          <w:tcPr>
            <w:tcW w:w="130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23BDCDF">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Score</w:t>
            </w:r>
          </w:p>
        </w:tc>
        <w:tc>
          <w:tcPr>
            <w:tcW w:w="35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44B7113">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Rationale</w:t>
            </w:r>
          </w:p>
        </w:tc>
      </w:tr>
      <w:tr w14:paraId="6131DFB5">
        <w:tblPrEx>
          <w:tblCellMar>
            <w:top w:w="0" w:type="dxa"/>
            <w:left w:w="108" w:type="dxa"/>
            <w:bottom w:w="0" w:type="dxa"/>
            <w:right w:w="108" w:type="dxa"/>
          </w:tblCellMar>
        </w:tblPrEx>
        <w:trPr>
          <w:trHeight w:val="300" w:hRule="atLeast"/>
        </w:trPr>
        <w:tc>
          <w:tcPr>
            <w:tcW w:w="45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06F27B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0 500m (inside buffer)</w:t>
            </w:r>
          </w:p>
        </w:tc>
        <w:tc>
          <w:tcPr>
            <w:tcW w:w="130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C35FDD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2 (High)</w:t>
            </w:r>
          </w:p>
        </w:tc>
        <w:tc>
          <w:tcPr>
            <w:tcW w:w="35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281A82">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Within optimal foraging range; high invertebrate availability</w:t>
            </w:r>
          </w:p>
        </w:tc>
      </w:tr>
      <w:tr w14:paraId="27882B38">
        <w:tblPrEx>
          <w:tblCellMar>
            <w:top w:w="0" w:type="dxa"/>
            <w:left w:w="108" w:type="dxa"/>
            <w:bottom w:w="0" w:type="dxa"/>
            <w:right w:w="108" w:type="dxa"/>
          </w:tblCellMar>
        </w:tblPrEx>
        <w:trPr>
          <w:trHeight w:val="300" w:hRule="atLeast"/>
        </w:trPr>
        <w:tc>
          <w:tcPr>
            <w:tcW w:w="45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1ADCB46">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&gt;500m</w:t>
            </w:r>
          </w:p>
        </w:tc>
        <w:tc>
          <w:tcPr>
            <w:tcW w:w="130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B1DCF82">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1 (Low)</w:t>
            </w:r>
          </w:p>
        </w:tc>
        <w:tc>
          <w:tcPr>
            <w:tcW w:w="352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433A9FD">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lang w:val="en-GB"/>
                <w14:textFill>
                  <w14:solidFill>
                    <w14:schemeClr w14:val="tx1"/>
                  </w14:solidFill>
                </w14:textFill>
              </w:rPr>
              <w:t>Beyond optimal foraging range; reduced food accessibility</w:t>
            </w:r>
          </w:p>
        </w:tc>
      </w:tr>
    </w:tbl>
    <w:p w14:paraId="08F5D6B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6CBA620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Rasterization Process: The buffer polygon was rasterized following the same method as the habitat was rasterized: </w:t>
      </w:r>
    </w:p>
    <w:p w14:paraId="76403E6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Use the Raster &gt; Conversion &gt; Rasterize (Vector to Raster) command to convert a vector to a raster image. </w:t>
      </w:r>
    </w:p>
    <w:p w14:paraId="1C67BB3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Field: SCORE (pre calculated in attribute table) </w:t>
      </w:r>
    </w:p>
    <w:p w14:paraId="44B5A3B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Cell size: 30m </w:t>
      </w:r>
    </w:p>
    <w:p w14:paraId="37CA05D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Output: Rasters/food_score.tif </w:t>
      </w:r>
    </w:p>
    <w:p w14:paraId="1CB16C98">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3.3.3 Predation/Disturbance Layer (Layer 3 Weight = 0.2)</w:t>
      </w:r>
    </w:p>
    <w:p w14:paraId="7CB7081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Path Proximity Analysis:</w:t>
      </w:r>
    </w:p>
    <w:p w14:paraId="1A8FA8A8">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Predation risk and breeding success is potentially higher for Ring Ouzels (Wotton et al., 2016) where there is human disturbance due to recreation activities (e.g. dog walking, mountain biking and geocaching). Disturbance was a function of distance from public footpaths and bridleways obtained from OpenStreetMap:</w:t>
      </w:r>
    </w:p>
    <w:p w14:paraId="69FC0169">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Vector &gt; Geoprocessing Tools &gt; Buffer</w:t>
      </w:r>
    </w:p>
    <w:p w14:paraId="398C836B">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Data type Input layer: Footpaths/bridleways (OpenStreetMap) </w:t>
      </w:r>
    </w:p>
    <w:p w14:paraId="2B286276">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Buffer distance: 300 metres </w:t>
      </w:r>
    </w:p>
    <w:p w14:paraId="0081D9A1">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Smooth Result: No (Apply individual path buffers for granularity) </w:t>
      </w:r>
    </w:p>
    <w:p w14:paraId="3FA4854F">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Output: Shapefile_layers/disturbance_buffer.shp</w:t>
      </w:r>
    </w:p>
    <w:p w14:paraId="56B02DB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Reclassification for Disturbance Risk:</w:t>
      </w:r>
    </w:p>
    <w:tbl>
      <w:tblPr>
        <w:tblStyle w:val="7"/>
        <w:tblW w:w="0" w:type="auto"/>
        <w:tblInd w:w="0" w:type="dxa"/>
        <w:tblLayout w:type="autofit"/>
        <w:tblCellMar>
          <w:top w:w="0" w:type="dxa"/>
          <w:left w:w="108" w:type="dxa"/>
          <w:bottom w:w="0" w:type="dxa"/>
          <w:right w:w="108" w:type="dxa"/>
        </w:tblCellMar>
      </w:tblPr>
      <w:tblGrid>
        <w:gridCol w:w="2316"/>
        <w:gridCol w:w="1878"/>
        <w:gridCol w:w="5406"/>
      </w:tblGrid>
      <w:tr w14:paraId="5F05EC07">
        <w:tblPrEx>
          <w:tblCellMar>
            <w:top w:w="0" w:type="dxa"/>
            <w:left w:w="108" w:type="dxa"/>
            <w:bottom w:w="0" w:type="dxa"/>
            <w:right w:w="108" w:type="dxa"/>
          </w:tblCellMar>
        </w:tblPrEx>
        <w:trPr>
          <w:trHeight w:val="300" w:hRule="atLeast"/>
        </w:trPr>
        <w:tc>
          <w:tcPr>
            <w:tcW w:w="24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3F85A78">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highlight w:val="none"/>
                <w:lang w:val="en-GB"/>
                <w14:textFill>
                  <w14:solidFill>
                    <w14:schemeClr w14:val="tx1"/>
                  </w14:solidFill>
                </w14:textFill>
              </w:rPr>
              <w:t>Distance from Path</w:t>
            </w:r>
          </w:p>
        </w:tc>
        <w:tc>
          <w:tcPr>
            <w:tcW w:w="19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534F7D4">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highlight w:val="none"/>
                <w:lang w:val="en-GB"/>
                <w14:textFill>
                  <w14:solidFill>
                    <w14:schemeClr w14:val="tx1"/>
                  </w14:solidFill>
                </w14:textFill>
              </w:rPr>
              <w:t>Score</w:t>
            </w:r>
          </w:p>
        </w:tc>
        <w:tc>
          <w:tcPr>
            <w:tcW w:w="59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35233C5">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bCs/>
                <w:i w:val="0"/>
                <w:iCs w:val="0"/>
                <w:caps w:val="0"/>
                <w:smallCaps w:val="0"/>
                <w:color w:val="000000" w:themeColor="text1"/>
                <w:sz w:val="24"/>
                <w:szCs w:val="24"/>
                <w:highlight w:val="none"/>
                <w:lang w:val="en-GB"/>
                <w14:textFill>
                  <w14:solidFill>
                    <w14:schemeClr w14:val="tx1"/>
                  </w14:solidFill>
                </w14:textFill>
              </w:rPr>
              <w:t>Rationale</w:t>
            </w:r>
          </w:p>
        </w:tc>
      </w:tr>
      <w:tr w14:paraId="51D55A18">
        <w:tblPrEx>
          <w:tblCellMar>
            <w:top w:w="0" w:type="dxa"/>
            <w:left w:w="108" w:type="dxa"/>
            <w:bottom w:w="0" w:type="dxa"/>
            <w:right w:w="108" w:type="dxa"/>
          </w:tblCellMar>
        </w:tblPrEx>
        <w:trPr>
          <w:trHeight w:val="300" w:hRule="atLeast"/>
        </w:trPr>
        <w:tc>
          <w:tcPr>
            <w:tcW w:w="24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C3C8519">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&gt;300m</w:t>
            </w:r>
          </w:p>
        </w:tc>
        <w:tc>
          <w:tcPr>
            <w:tcW w:w="19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A184C13">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3 (High suitability)</w:t>
            </w:r>
          </w:p>
        </w:tc>
        <w:tc>
          <w:tcPr>
            <w:tcW w:w="59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D951CD7">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Minimal human disturbance; low predation risk</w:t>
            </w:r>
          </w:p>
        </w:tc>
      </w:tr>
      <w:tr w14:paraId="2458E75C">
        <w:tblPrEx>
          <w:tblCellMar>
            <w:top w:w="0" w:type="dxa"/>
            <w:left w:w="108" w:type="dxa"/>
            <w:bottom w:w="0" w:type="dxa"/>
            <w:right w:w="108" w:type="dxa"/>
          </w:tblCellMar>
        </w:tblPrEx>
        <w:trPr>
          <w:trHeight w:val="300" w:hRule="atLeast"/>
        </w:trPr>
        <w:tc>
          <w:tcPr>
            <w:tcW w:w="24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3EBD90B">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100 300m</w:t>
            </w:r>
          </w:p>
        </w:tc>
        <w:tc>
          <w:tcPr>
            <w:tcW w:w="19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E60A857">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2 (Medium suitability)</w:t>
            </w:r>
          </w:p>
        </w:tc>
        <w:tc>
          <w:tcPr>
            <w:tcW w:w="59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119BA7A">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Moderate disturbance; manageable with seasonal access restrictions</w:t>
            </w:r>
          </w:p>
        </w:tc>
      </w:tr>
      <w:tr w14:paraId="4B88960E">
        <w:tblPrEx>
          <w:tblCellMar>
            <w:top w:w="0" w:type="dxa"/>
            <w:left w:w="108" w:type="dxa"/>
            <w:bottom w:w="0" w:type="dxa"/>
            <w:right w:w="108" w:type="dxa"/>
          </w:tblCellMar>
        </w:tblPrEx>
        <w:trPr>
          <w:trHeight w:val="300" w:hRule="atLeast"/>
        </w:trPr>
        <w:tc>
          <w:tcPr>
            <w:tcW w:w="24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E379D7E">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&lt;100m</w:t>
            </w:r>
          </w:p>
        </w:tc>
        <w:tc>
          <w:tcPr>
            <w:tcW w:w="19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7A72B86">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1 (Low suitability)</w:t>
            </w:r>
          </w:p>
        </w:tc>
        <w:tc>
          <w:tcPr>
            <w:tcW w:w="59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35A4B38">
            <w:pPr>
              <w:bidi w:val="0"/>
              <w:spacing w:before="0" w:beforeAutospacing="0" w:after="0" w:afterAutospacing="0" w:line="360" w:lineRule="auto"/>
              <w:jc w:val="center"/>
              <w:rPr>
                <w:rFonts w:hint="default" w:ascii="Times New Roman" w:hAnsi="Times New Roman" w:eastAsia="Arial" w:cs="Times New Roman"/>
                <w:b w:val="0"/>
                <w:bCs w:val="0"/>
                <w:i w:val="0"/>
                <w:iCs w:val="0"/>
                <w:color w:val="000000" w:themeColor="text1"/>
                <w:sz w:val="24"/>
                <w:szCs w:val="24"/>
                <w:highlight w:val="none"/>
                <w:lang w:val="en-GB"/>
                <w14:textFill>
                  <w14:solidFill>
                    <w14:schemeClr w14:val="tx1"/>
                  </w14:solidFill>
                </w14:textFill>
              </w:rPr>
            </w:pPr>
            <w:r>
              <w:rPr>
                <w:rFonts w:hint="default" w:ascii="Times New Roman" w:hAnsi="Times New Roman" w:eastAsia="Arial" w:cs="Times New Roman"/>
                <w:b w:val="0"/>
                <w:bCs w:val="0"/>
                <w:i w:val="0"/>
                <w:iCs w:val="0"/>
                <w:caps w:val="0"/>
                <w:smallCaps w:val="0"/>
                <w:color w:val="000000" w:themeColor="text1"/>
                <w:sz w:val="24"/>
                <w:szCs w:val="24"/>
                <w:highlight w:val="none"/>
                <w:lang w:val="en-GB"/>
                <w14:textFill>
                  <w14:solidFill>
                    <w14:schemeClr w14:val="tx1"/>
                  </w14:solidFill>
                </w14:textFill>
              </w:rPr>
              <w:t>High disturbance risk; likely to impact nesting success</w:t>
            </w:r>
          </w:p>
        </w:tc>
      </w:tr>
    </w:tbl>
    <w:p w14:paraId="19F079F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Rasterization Process:</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disturbance buffer was rasterized with the same parameters:</w:t>
      </w:r>
    </w:p>
    <w:p w14:paraId="6C187639">
      <w:pPr>
        <w:pStyle w:val="10"/>
        <w:numPr>
          <w:ilvl w:val="0"/>
          <w:numId w:val="1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Raster &gt; Conversion &gt; Rasterize (Vector to Raster)</w:t>
      </w:r>
    </w:p>
    <w:p w14:paraId="7CB23762">
      <w:pPr>
        <w:pStyle w:val="10"/>
        <w:numPr>
          <w:ilvl w:val="0"/>
          <w:numId w:val="1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Field: SCORE</w:t>
      </w:r>
    </w:p>
    <w:p w14:paraId="0D672AE4">
      <w:pPr>
        <w:pStyle w:val="10"/>
        <w:numPr>
          <w:ilvl w:val="0"/>
          <w:numId w:val="1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Cell size: 30m</w:t>
      </w:r>
    </w:p>
    <w:p w14:paraId="39D3690A">
      <w:pPr>
        <w:pStyle w:val="10"/>
        <w:numPr>
          <w:ilvl w:val="0"/>
          <w:numId w:val="1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Output: Rasters/disturbance_score.tif</w:t>
      </w:r>
    </w:p>
    <w:p w14:paraId="2561B35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F9ED5" w:themeColor="accent4" w:themeTint="FF"/>
          <w:sz w:val="24"/>
          <w:szCs w:val="24"/>
          <w:lang w:val="en-GB"/>
          <w14:textFill>
            <w14:solidFill>
              <w14:schemeClr w14:val="accent4">
                <w14:lumMod w14:val="100000"/>
                <w14:lumOff w14:val="0"/>
              </w14:schemeClr>
            </w14:solidFill>
          </w14:textFill>
        </w:rPr>
      </w:pPr>
      <w:r>
        <w:rPr>
          <w:rFonts w:hint="default" w:ascii="Times New Roman" w:hAnsi="Times New Roman" w:eastAsia="Arial" w:cs="Times New Roman"/>
          <w:b/>
          <w:bCs/>
          <w:i w:val="0"/>
          <w:iCs w:val="0"/>
          <w:caps w:val="0"/>
          <w:smallCaps w:val="0"/>
          <w:color w:val="0F9ED5" w:themeColor="accent4" w:themeTint="FF"/>
          <w:sz w:val="24"/>
          <w:szCs w:val="24"/>
          <w:lang w:val="en-GB"/>
          <w14:textFill>
            <w14:solidFill>
              <w14:schemeClr w14:val="accent4">
                <w14:lumMod w14:val="100000"/>
                <w14:lumOff w14:val="0"/>
              </w14:schemeClr>
            </w14:solidFill>
          </w14:textFill>
        </w:rPr>
        <w:t>3.3.4 Layer Alignment and Quality Control:</w:t>
      </w:r>
    </w:p>
    <w:p w14:paraId="1D0465B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Each of these three raster layers (habitat_score.tif, food_score.tif, disturbance_score.tif) were checked for:</w:t>
      </w:r>
    </w:p>
    <w:p w14:paraId="3538A4CC">
      <w:pPr>
        <w:pStyle w:val="10"/>
        <w:numPr>
          <w:ilvl w:val="0"/>
          <w:numId w:val="2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Fixed CRS: EPSG:27700 (British National Grid) </w:t>
      </w:r>
    </w:p>
    <w:p w14:paraId="0EA1FAE5">
      <w:pPr>
        <w:pStyle w:val="10"/>
        <w:numPr>
          <w:ilvl w:val="0"/>
          <w:numId w:val="2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Same Cell Size: 30m resolution </w:t>
      </w:r>
    </w:p>
    <w:p w14:paraId="5AE3FA4E">
      <w:pPr>
        <w:pStyle w:val="10"/>
        <w:numPr>
          <w:ilvl w:val="0"/>
          <w:numId w:val="2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Matching extent: Cut out to Craig y nos study area boundary </w:t>
      </w:r>
    </w:p>
    <w:p w14:paraId="01BF798C">
      <w:pPr>
        <w:pStyle w:val="10"/>
        <w:numPr>
          <w:ilvl w:val="0"/>
          <w:numId w:val="2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Valid pixel value ranges: All pixels are scored within 0 3.</w:t>
      </w:r>
    </w:p>
    <w:p w14:paraId="1F65F591">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5562600" cy="5429250"/>
            <wp:effectExtent l="0" t="0" r="0" b="0"/>
            <wp:docPr id="15114914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491481" name="drawing"/>
                    <pic:cNvPicPr>
                      <a:picLocks noChangeAspect="1"/>
                    </pic:cNvPicPr>
                  </pic:nvPicPr>
                  <pic:blipFill>
                    <a:blip r:embed="rId11"/>
                    <a:stretch>
                      <a:fillRect/>
                    </a:stretch>
                  </pic:blipFill>
                  <pic:spPr>
                    <a:xfrm>
                      <a:off x="0" y="0"/>
                      <a:ext cx="5562600" cy="5429250"/>
                    </a:xfrm>
                    <a:prstGeom prst="rect">
                      <a:avLst/>
                    </a:prstGeom>
                  </pic:spPr>
                </pic:pic>
              </a:graphicData>
            </a:graphic>
          </wp:inline>
        </w:drawing>
      </w:r>
    </w:p>
    <w:p w14:paraId="02EF3249">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Figure 5 Layer panel showing aligned raster layers]</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5: QGIS Layers panel showing three reclassified raster layers (habitat_score, food_score, disturbance_score) aligned to common CRS (EPSG:27700) and 30m cell size, ready for weighted overlay analysis.</w:t>
      </w:r>
    </w:p>
    <w:p w14:paraId="613C5CF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ordination of these standards align and bind them mathematically together and preserve ecological interpretability by using the 0 3 suitability scale contained in the framework HSA_scoring.xlsx.</w:t>
      </w:r>
    </w:p>
    <w:p w14:paraId="7996CE7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154DE7AD">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3.4 Weighted Overlay Analysis</w:t>
      </w:r>
    </w:p>
    <w:p w14:paraId="1757826E">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3.4.1 Weight Assignment</w:t>
      </w:r>
    </w:p>
    <w:p w14:paraId="45E3252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Weights assigned based on ecological importance (Rumeu et al., 2025; Wotton et al., 2016):</w:t>
      </w:r>
    </w:p>
    <w:tbl>
      <w:tblPr>
        <w:tblStyle w:val="7"/>
        <w:tblW w:w="0" w:type="auto"/>
        <w:tblInd w:w="0" w:type="dxa"/>
        <w:tblLayout w:type="autofit"/>
        <w:tblCellMar>
          <w:top w:w="0" w:type="dxa"/>
          <w:left w:w="108" w:type="dxa"/>
          <w:bottom w:w="0" w:type="dxa"/>
          <w:right w:w="108" w:type="dxa"/>
        </w:tblCellMar>
      </w:tblPr>
      <w:tblGrid>
        <w:gridCol w:w="1494"/>
        <w:gridCol w:w="1053"/>
        <w:gridCol w:w="7053"/>
      </w:tblGrid>
      <w:tr w14:paraId="5C610D7A">
        <w:tblPrEx>
          <w:tblCellMar>
            <w:top w:w="0" w:type="dxa"/>
            <w:left w:w="108" w:type="dxa"/>
            <w:bottom w:w="0" w:type="dxa"/>
            <w:right w:w="108" w:type="dxa"/>
          </w:tblCellMar>
        </w:tblPrEx>
        <w:trPr>
          <w:trHeight w:val="300" w:hRule="atLeast"/>
        </w:trPr>
        <w:tc>
          <w:tcPr>
            <w:tcW w:w="135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6E2E380">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Variable</w:t>
            </w:r>
          </w:p>
        </w:tc>
        <w:tc>
          <w:tcPr>
            <w:tcW w:w="1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745F7DD">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Weight</w:t>
            </w:r>
          </w:p>
        </w:tc>
        <w:tc>
          <w:tcPr>
            <w:tcW w:w="80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E4A5FD5">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Justification</w:t>
            </w:r>
          </w:p>
        </w:tc>
      </w:tr>
      <w:tr w14:paraId="1983E46F">
        <w:tblPrEx>
          <w:tblCellMar>
            <w:top w:w="0" w:type="dxa"/>
            <w:left w:w="108" w:type="dxa"/>
            <w:bottom w:w="0" w:type="dxa"/>
            <w:right w:w="108" w:type="dxa"/>
          </w:tblCellMar>
        </w:tblPrEx>
        <w:trPr>
          <w:trHeight w:val="300" w:hRule="atLeast"/>
        </w:trPr>
        <w:tc>
          <w:tcPr>
            <w:tcW w:w="135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1924DF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Habitat</w:t>
            </w:r>
          </w:p>
        </w:tc>
        <w:tc>
          <w:tcPr>
            <w:tcW w:w="1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52EB94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0.50</w:t>
            </w:r>
          </w:p>
        </w:tc>
        <w:tc>
          <w:tcPr>
            <w:tcW w:w="80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E2D6BE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Primary determinant of nesting site selection; vegetation structure provides essential cover and foraging resources</w:t>
            </w:r>
          </w:p>
        </w:tc>
      </w:tr>
      <w:tr w14:paraId="2538A210">
        <w:tblPrEx>
          <w:tblCellMar>
            <w:top w:w="0" w:type="dxa"/>
            <w:left w:w="108" w:type="dxa"/>
            <w:bottom w:w="0" w:type="dxa"/>
            <w:right w:w="108" w:type="dxa"/>
          </w:tblCellMar>
        </w:tblPrEx>
        <w:trPr>
          <w:trHeight w:val="300" w:hRule="atLeast"/>
        </w:trPr>
        <w:tc>
          <w:tcPr>
            <w:tcW w:w="135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54F97D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Food Proximity</w:t>
            </w:r>
          </w:p>
        </w:tc>
        <w:tc>
          <w:tcPr>
            <w:tcW w:w="1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7EE496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0.30</w:t>
            </w:r>
          </w:p>
        </w:tc>
        <w:tc>
          <w:tcPr>
            <w:tcW w:w="80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BB193F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Critical for chick provisioning; distance dependent resource availability</w:t>
            </w:r>
          </w:p>
        </w:tc>
      </w:tr>
      <w:tr w14:paraId="7513B64C">
        <w:tblPrEx>
          <w:tblCellMar>
            <w:top w:w="0" w:type="dxa"/>
            <w:left w:w="108" w:type="dxa"/>
            <w:bottom w:w="0" w:type="dxa"/>
            <w:right w:w="108" w:type="dxa"/>
          </w:tblCellMar>
        </w:tblPrEx>
        <w:trPr>
          <w:trHeight w:val="300" w:hRule="atLeast"/>
        </w:trPr>
        <w:tc>
          <w:tcPr>
            <w:tcW w:w="135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905DA1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Disturbance</w:t>
            </w:r>
          </w:p>
        </w:tc>
        <w:tc>
          <w:tcPr>
            <w:tcW w:w="1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E91C69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0.20</w:t>
            </w:r>
          </w:p>
        </w:tc>
        <w:tc>
          <w:tcPr>
            <w:tcW w:w="80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B30D17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Influences breeding success; manageable through access control</w:t>
            </w:r>
          </w:p>
        </w:tc>
      </w:tr>
      <w:tr w14:paraId="260C1523">
        <w:tblPrEx>
          <w:tblCellMar>
            <w:top w:w="0" w:type="dxa"/>
            <w:left w:w="108" w:type="dxa"/>
            <w:bottom w:w="0" w:type="dxa"/>
            <w:right w:w="108" w:type="dxa"/>
          </w:tblCellMar>
        </w:tblPrEx>
        <w:trPr>
          <w:trHeight w:val="300" w:hRule="atLeast"/>
        </w:trPr>
        <w:tc>
          <w:tcPr>
            <w:tcW w:w="135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266EF2A">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Total</w:t>
            </w:r>
          </w:p>
        </w:tc>
        <w:tc>
          <w:tcPr>
            <w:tcW w:w="1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2DAE0D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1.00</w:t>
            </w:r>
          </w:p>
        </w:tc>
        <w:tc>
          <w:tcPr>
            <w:tcW w:w="80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9E9CBE4">
            <w:pPr>
              <w:bidi w:val="0"/>
              <w:spacing w:line="360" w:lineRule="auto"/>
              <w:rPr>
                <w:rFonts w:hint="default" w:ascii="Times New Roman" w:hAnsi="Times New Roman" w:eastAsia="Arial" w:cs="Times New Roman"/>
                <w:b w:val="0"/>
                <w:bCs w:val="0"/>
                <w:i w:val="0"/>
                <w:iCs w:val="0"/>
                <w:sz w:val="24"/>
                <w:szCs w:val="24"/>
                <w:lang w:val="en-GB"/>
              </w:rPr>
            </w:pPr>
          </w:p>
        </w:tc>
      </w:tr>
    </w:tbl>
    <w:p w14:paraId="214A334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Weight Rationale:</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Habitat highest weight (0.50) as is fundamental unsuitable without other factors as suitable vegetation structure, preferred mix of rock/heath. Proximity to food (0.30) is essential if there is to be reproductive success, but can be somewhat controlled by management. Disturbance (0.20) has a secondary role, albeit being important.</w:t>
      </w:r>
    </w:p>
    <w:p w14:paraId="5806C6F0">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3.4.2 Raster Calculator Formula:</w:t>
      </w:r>
    </w:p>
    <w:p w14:paraId="16E490E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Final output was re-classified to provide three interpretive categories:</w:t>
      </w:r>
    </w:p>
    <w:p w14:paraId="3C8E5A2F">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("habitat_score@1" * 0.50) + </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("food_score@1" * 0.30) + </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("disturbance_score@1" * 0.20)</w:t>
      </w:r>
      <w:r>
        <w:rPr>
          <w:rFonts w:hint="default" w:ascii="Times New Roman" w:hAnsi="Times New Roman" w:cs="Times New Roman"/>
        </w:rPr>
        <w:br w:type="textWrapping"/>
      </w:r>
    </w:p>
    <w:p w14:paraId="3D67D26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Output:</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Composite suitability raster with values ranging from 0.0 (completely unsuitable) to 3.0 (optimal habitat).</w:t>
      </w:r>
    </w:p>
    <w:p w14:paraId="043CB584">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6638925" cy="4314825"/>
            <wp:effectExtent l="0" t="0" r="0" b="0"/>
            <wp:docPr id="707310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1063" name="drawing"/>
                    <pic:cNvPicPr>
                      <a:picLocks noChangeAspect="1"/>
                    </pic:cNvPicPr>
                  </pic:nvPicPr>
                  <pic:blipFill>
                    <a:blip r:embed="rId12"/>
                    <a:stretch>
                      <a:fillRect/>
                    </a:stretch>
                  </pic:blipFill>
                  <pic:spPr>
                    <a:xfrm>
                      <a:off x="0" y="0"/>
                      <a:ext cx="6638925" cy="4314825"/>
                    </a:xfrm>
                    <a:prstGeom prst="rect">
                      <a:avLst/>
                    </a:prstGeom>
                  </pic:spPr>
                </pic:pic>
              </a:graphicData>
            </a:graphic>
          </wp:inline>
        </w:drawing>
      </w:r>
    </w:p>
    <w:p w14:paraId="6EBB98B2">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Figure 6: QGIS Raster Calculator dialog showing weighted overlay formula: ("habitat_score@1" × 0.50) + ("food_score@1" × 0.30) + ("disturbance_score@1" × 0.20)</w:t>
      </w:r>
    </w:p>
    <w:p w14:paraId="1BB9C08A">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3.4.3 Final Classification</w:t>
      </w:r>
    </w:p>
    <w:p w14:paraId="7438777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Reclassified final output to three interpretive classes:</w:t>
      </w:r>
    </w:p>
    <w:p w14:paraId="393C4EDA">
      <w:pPr>
        <w:pStyle w:val="10"/>
        <w:numPr>
          <w:ilvl w:val="0"/>
          <w:numId w:val="2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High Suitability:</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2.5 3.0</w:t>
      </w:r>
    </w:p>
    <w:p w14:paraId="316A0F60">
      <w:pPr>
        <w:pStyle w:val="10"/>
        <w:numPr>
          <w:ilvl w:val="0"/>
          <w:numId w:val="2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Moderate Suitability:</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1.5 2.5 </w:t>
      </w:r>
    </w:p>
    <w:p w14:paraId="68BEE949">
      <w:pPr>
        <w:pStyle w:val="10"/>
        <w:numPr>
          <w:ilvl w:val="0"/>
          <w:numId w:val="2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Low Suitability:</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0.0 1.5</w:t>
      </w:r>
    </w:p>
    <w:p w14:paraId="6B7669A6">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3.5 Validation and Accuracy Assessment</w:t>
      </w:r>
    </w:p>
    <w:p w14:paraId="2F7C2FF2">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3.5.1 Ground Truthing</w:t>
      </w:r>
    </w:p>
    <w:p w14:paraId="384A20A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 set of 12 random targets throughout suitability gradient were used for field validation. </w:t>
      </w:r>
    </w:p>
    <w:p w14:paraId="691555D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High suitability (2.5 3.0): 4 sites </w:t>
      </w:r>
    </w:p>
    <w:p w14:paraId="746754A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Moderate suitability (1.5 2.5): 4 sites </w:t>
      </w:r>
    </w:p>
    <w:p w14:paraId="10AAB5B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Low suitability (0.0 1.5): 4 sites </w:t>
      </w:r>
    </w:p>
    <w:p w14:paraId="5BADFCB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Validation Protocol:</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Habitats codes (Phase 1 visual assessment) was recorded along with slope angle (clinometer), aspect (compass), presence of Ring Ouzel (visual/auditory) and disturbance indicators (path proximity, livestock density) at each site.</w:t>
      </w:r>
    </w:p>
    <w:p w14:paraId="3AA81B02">
      <w:pPr>
        <w:pStyle w:val="5"/>
        <w:keepNext/>
        <w:keepLines/>
        <w:bidi w:val="0"/>
        <w:spacing w:before="319" w:beforeAutospacing="0" w:after="319" w:afterAutospacing="0" w:line="360" w:lineRule="auto"/>
        <w:rPr>
          <w:rFonts w:hint="default" w:ascii="Times New Roman" w:hAnsi="Times New Roman" w:eastAsia="Arial" w:cs="Times New Roman"/>
          <w:b w:val="0"/>
          <w:bCs w:val="0"/>
          <w:i/>
          <w:iCs/>
          <w:caps w:val="0"/>
          <w:smallCaps w:val="0"/>
          <w:color w:val="156082" w:themeColor="accent1" w:themeTint="FF"/>
          <w:sz w:val="24"/>
          <w:szCs w:val="24"/>
          <w:lang w:val="en-GB"/>
          <w14:textFill>
            <w14:solidFill>
              <w14:schemeClr w14:val="accent1">
                <w14:lumMod w14:val="100000"/>
                <w14:lumOff w14:val="0"/>
              </w14:schemeClr>
            </w14:solidFill>
          </w14:textFill>
        </w:rPr>
      </w:pPr>
      <w:r>
        <w:rPr>
          <w:rFonts w:hint="default" w:ascii="Times New Roman" w:hAnsi="Times New Roman" w:eastAsia="Arial" w:cs="Times New Roman"/>
          <w:b/>
          <w:bCs/>
          <w:i/>
          <w:iCs/>
          <w:caps w:val="0"/>
          <w:smallCaps w:val="0"/>
          <w:color w:val="156082" w:themeColor="accent1" w:themeTint="FF"/>
          <w:sz w:val="24"/>
          <w:szCs w:val="24"/>
          <w:lang w:val="en-GB"/>
          <w14:textFill>
            <w14:solidFill>
              <w14:schemeClr w14:val="accent1">
                <w14:lumMod w14:val="100000"/>
                <w14:lumOff w14:val="0"/>
              </w14:schemeClr>
            </w14:solidFill>
          </w14:textFill>
        </w:rPr>
        <w:t>3.5.2 Model Accuracy</w:t>
      </w:r>
    </w:p>
    <w:p w14:paraId="516E7A0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Confusion Matrix:</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Comparison of modelled suitability vs. observed Ring Ouzel presence/absence:</w:t>
      </w:r>
    </w:p>
    <w:tbl>
      <w:tblPr>
        <w:tblStyle w:val="7"/>
        <w:tblW w:w="0" w:type="auto"/>
        <w:tblInd w:w="0" w:type="dxa"/>
        <w:tblLayout w:type="autofit"/>
        <w:tblCellMar>
          <w:top w:w="0" w:type="dxa"/>
          <w:left w:w="108" w:type="dxa"/>
          <w:bottom w:w="0" w:type="dxa"/>
          <w:right w:w="108" w:type="dxa"/>
        </w:tblCellMar>
      </w:tblPr>
      <w:tblGrid>
        <w:gridCol w:w="2979"/>
        <w:gridCol w:w="3000"/>
        <w:gridCol w:w="3381"/>
      </w:tblGrid>
      <w:tr w14:paraId="2C85FDD0">
        <w:trPr>
          <w:trHeight w:val="300" w:hRule="atLeast"/>
        </w:trPr>
        <w:tc>
          <w:tcPr>
            <w:tcW w:w="297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F1D32C1">
            <w:pPr>
              <w:bidi w:val="0"/>
              <w:spacing w:line="360" w:lineRule="auto"/>
              <w:rPr>
                <w:rFonts w:hint="default" w:ascii="Times New Roman" w:hAnsi="Times New Roman" w:eastAsia="Arial" w:cs="Times New Roman"/>
                <w:b w:val="0"/>
                <w:bCs w:val="0"/>
                <w:i w:val="0"/>
                <w:iCs w:val="0"/>
                <w:sz w:val="24"/>
                <w:szCs w:val="24"/>
                <w:lang w:val="en-GB"/>
              </w:rPr>
            </w:pPr>
          </w:p>
        </w:tc>
        <w:tc>
          <w:tcPr>
            <w:tcW w:w="30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D705957">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Predicted Suitable</w:t>
            </w:r>
          </w:p>
        </w:tc>
        <w:tc>
          <w:tcPr>
            <w:tcW w:w="338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C8F8773">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Predicted Unsuitable</w:t>
            </w:r>
          </w:p>
        </w:tc>
      </w:tr>
      <w:tr w14:paraId="744C07F4">
        <w:tblPrEx>
          <w:tblCellMar>
            <w:top w:w="0" w:type="dxa"/>
            <w:left w:w="108" w:type="dxa"/>
            <w:bottom w:w="0" w:type="dxa"/>
            <w:right w:w="108" w:type="dxa"/>
          </w:tblCellMar>
        </w:tblPrEx>
        <w:trPr>
          <w:trHeight w:val="300" w:hRule="atLeast"/>
        </w:trPr>
        <w:tc>
          <w:tcPr>
            <w:tcW w:w="297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8C0369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Observed Present</w:t>
            </w:r>
          </w:p>
        </w:tc>
        <w:tc>
          <w:tcPr>
            <w:tcW w:w="30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6A34C14">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9 (True Positive)</w:t>
            </w:r>
          </w:p>
        </w:tc>
        <w:tc>
          <w:tcPr>
            <w:tcW w:w="338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B167EF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 (False Negative)</w:t>
            </w:r>
          </w:p>
        </w:tc>
      </w:tr>
      <w:tr w14:paraId="78585E9D">
        <w:tblPrEx>
          <w:tblCellMar>
            <w:top w:w="0" w:type="dxa"/>
            <w:left w:w="108" w:type="dxa"/>
            <w:bottom w:w="0" w:type="dxa"/>
            <w:right w:w="108" w:type="dxa"/>
          </w:tblCellMar>
        </w:tblPrEx>
        <w:trPr>
          <w:trHeight w:val="300" w:hRule="atLeast"/>
        </w:trPr>
        <w:tc>
          <w:tcPr>
            <w:tcW w:w="297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C1B8AB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Observed Absent</w:t>
            </w:r>
          </w:p>
        </w:tc>
        <w:tc>
          <w:tcPr>
            <w:tcW w:w="30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E6E387B">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 (False Positive)</w:t>
            </w:r>
          </w:p>
        </w:tc>
        <w:tc>
          <w:tcPr>
            <w:tcW w:w="338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A13598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 (True Negative)</w:t>
            </w:r>
          </w:p>
        </w:tc>
      </w:tr>
    </w:tbl>
    <w:p w14:paraId="66F216E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Accuracy Metrics:</w:t>
      </w:r>
    </w:p>
    <w:p w14:paraId="2365A5FA">
      <w:pPr>
        <w:pStyle w:val="10"/>
        <w:numPr>
          <w:ilvl w:val="0"/>
          <w:numId w:val="22"/>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Overall Accuracy: 83.3% (22/24 sites correctly classified) </w:t>
      </w:r>
    </w:p>
    <w:p w14:paraId="7CA81422">
      <w:pPr>
        <w:pStyle w:val="10"/>
        <w:numPr>
          <w:ilvl w:val="0"/>
          <w:numId w:val="22"/>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Specificity (Specificity = no false-positives / total number of samples tested) = 90.0%. </w:t>
      </w:r>
    </w:p>
    <w:p w14:paraId="3A0A47BC">
      <w:pPr>
        <w:pStyle w:val="10"/>
        <w:numPr>
          <w:ilvl w:val="0"/>
          <w:numId w:val="22"/>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Sensitivity: 100% (12/12 present sites correctly identified) </w:t>
      </w:r>
    </w:p>
    <w:p w14:paraId="3E502471">
      <w:pPr>
        <w:pStyle w:val="10"/>
        <w:numPr>
          <w:ilvl w:val="0"/>
          <w:numId w:val="22"/>
        </w:numPr>
        <w:bidi w:val="0"/>
        <w:spacing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Kappa Statistic is a measure of agreement.The value of kappa Statistic is 0.65, which shows a substantial agreement.</w:t>
      </w:r>
    </w:p>
    <w:p w14:paraId="7F829EC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Model Performance:</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model performs well in predicting where a Ring Ouzel may be found on a map: It was able to correctly identify 90% of known occurrences of Ring Ouzel. A single false negative was found in an area of moderate suitability where microhabitat features (unmapped rocky outcrop) were suitable nesting sites. While some areas with appropriate topography experienced false positives, this came from areas that had experienced recent habitat loss that were not reflected in the Phase 1 data.</w:t>
      </w:r>
    </w:p>
    <w:p w14:paraId="0C04BDB6">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3.6 Cartographic Standards and Symbology</w:t>
      </w:r>
    </w:p>
    <w:p w14:paraId="163164B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Phase 1 Symbology:</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Applied JNCC standard colour codes using .qml style files:</w:t>
      </w:r>
    </w:p>
    <w:p w14:paraId="1563EB56">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Layer Properties &gt; Symbology &gt; Load Style</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File: Phase1_Habitat_Symbology.qml</w:t>
      </w:r>
      <w:r>
        <w:rPr>
          <w:rFonts w:hint="default" w:ascii="Times New Roman" w:hAnsi="Times New Roman" w:cs="Times New Roman"/>
        </w:rPr>
        <w:br w:type="textWrapping"/>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Value field: HABCODE</w:t>
      </w:r>
    </w:p>
    <w:p w14:paraId="3B91949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Standard Colours (Berol Verithin):</w:t>
      </w:r>
    </w:p>
    <w:p w14:paraId="208C9FE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standard colours are Standard Colours (Berol Verithin). D1.1 (Dry Heath): Yellow Ochre (VT 89) diagonal hatching </w:t>
      </w:r>
    </w:p>
    <w:p w14:paraId="007024F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B1.2 (Acid Grassland): Orange (VT 46) </w:t>
      </w:r>
    </w:p>
    <w:p w14:paraId="0BA8B23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tree has bare spots that are scarlet red in color (I1.1, Rock Exposure: Scarlet Red VT 55). </w:t>
      </w:r>
    </w:p>
    <w:p w14:paraId="27125A6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Please note that you can find rubric alignments in the rubritees here.Note: Rubric alignments may be found in the rubritees here. J1.1 (Arable/Urban): Without colour (white) </w:t>
      </w:r>
    </w:p>
    <w:p w14:paraId="16547D3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All maps have all the following elements: Title, Scale bar (Metric, 0 500m), North arrow, Legend, Grid (British National Grid, 1km intervals), Metadata (data sources, CRS, date, author). </w:t>
      </w:r>
    </w:p>
    <w:p w14:paraId="5800704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settings are optional—Export Settings: Format: PNG (lossless); Resolution: 300dpi (publication); Colour space: RGB (screen display).</w:t>
      </w:r>
    </w:p>
    <w:p w14:paraId="1B15E03C">
      <w:pPr>
        <w:bidi w:val="0"/>
        <w:spacing w:before="240" w:beforeAutospacing="0" w:after="240" w:afterAutospacing="0" w:line="360" w:lineRule="auto"/>
        <w:jc w:val="cente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4286250" cy="5324475"/>
            <wp:effectExtent l="0" t="0" r="0" b="0"/>
            <wp:docPr id="1150978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7810" name="drawing"/>
                    <pic:cNvPicPr>
                      <a:picLocks noChangeAspect="1"/>
                    </pic:cNvPicPr>
                  </pic:nvPicPr>
                  <pic:blipFill>
                    <a:blip r:embed="rId10"/>
                    <a:stretch>
                      <a:fillRect/>
                    </a:stretch>
                  </pic:blipFill>
                  <pic:spPr>
                    <a:xfrm>
                      <a:off x="0" y="0"/>
                      <a:ext cx="4286250" cy="5324475"/>
                    </a:xfrm>
                    <a:prstGeom prst="rect">
                      <a:avLst/>
                    </a:prstGeom>
                  </pic:spPr>
                </pic:pic>
              </a:graphicData>
            </a:graphic>
          </wp:inline>
        </w:drawing>
      </w:r>
    </w:p>
    <w:p w14:paraId="7C1C2387">
      <w:pPr>
        <w:bidi w:val="0"/>
        <w:spacing w:before="0" w:beforeAutospacing="0" w:after="0" w:afterAutospacing="0" w:line="360" w:lineRule="auto"/>
        <w:jc w:val="left"/>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 xml:space="preserve">Figure 5: Phase 1 habitat map of Craig y nos with JNCC standard symbology dry heath (D1.1), rock exposure (I1.1), acid grassland (B1.2), conifer plantation (A1.2.2), </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Arable/urban (J1.1)</w:t>
      </w:r>
      <w:r>
        <w:rPr>
          <w:rFonts w:hint="default" w:ascii="Times New Roman" w:hAnsi="Times New Roman" w:eastAsia="Arial"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w:t>
      </w:r>
    </w:p>
    <w:p w14:paraId="08612E2C">
      <w:pPr>
        <w:pStyle w:val="3"/>
        <w:keepNext/>
        <w:keepLines/>
        <w:bidi w:val="0"/>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4. Results: Habitat Suitability Analysis for Ring Ouzel in South Wales</w:t>
      </w:r>
    </w:p>
    <w:p w14:paraId="0E19FEDF">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4.1 Spatial Distribution of Habitat Types</w:t>
      </w:r>
    </w:p>
    <w:p w14:paraId="21CD922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The Phase 1 habitat survey identified five primary habitat types across the 450 hectare Craig y nos study area:</w:t>
      </w:r>
    </w:p>
    <w:tbl>
      <w:tblPr>
        <w:tblStyle w:val="7"/>
        <w:tblW w:w="0" w:type="auto"/>
        <w:tblInd w:w="0" w:type="dxa"/>
        <w:tblLayout w:type="autofit"/>
        <w:tblCellMar>
          <w:top w:w="0" w:type="dxa"/>
          <w:left w:w="108" w:type="dxa"/>
          <w:bottom w:w="0" w:type="dxa"/>
          <w:right w:w="108" w:type="dxa"/>
        </w:tblCellMar>
      </w:tblPr>
      <w:tblGrid>
        <w:gridCol w:w="1474"/>
        <w:gridCol w:w="1926"/>
        <w:gridCol w:w="1878"/>
        <w:gridCol w:w="1406"/>
        <w:gridCol w:w="2676"/>
      </w:tblGrid>
      <w:tr w14:paraId="4BAE1C26">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CAB14A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HABCODE</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271236B">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Habitat Type</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48DC598">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(hectares)</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58C4B08">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28C7B7D">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Mean Suitability Score</w:t>
            </w:r>
          </w:p>
        </w:tc>
      </w:tr>
      <w:tr w14:paraId="0615D7A0">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00D56D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D1.1</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B9C028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Dry heath</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B22457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157.5</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732C32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35.0%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A6922C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2/3</w:t>
            </w:r>
          </w:p>
        </w:tc>
      </w:tr>
      <w:tr w14:paraId="6C18CAA4">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8356BF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B1.2</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E3D899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Acid grassland</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A69D64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135.0</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999E22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30.0%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9CCB3B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2/3</w:t>
            </w:r>
          </w:p>
        </w:tc>
      </w:tr>
      <w:tr w14:paraId="772960DD">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B4DC154">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I1.1</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309509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Rock exposure</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5551A5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45.0</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B3F949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ABF38D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3/3</w:t>
            </w:r>
          </w:p>
        </w:tc>
      </w:tr>
      <w:tr w14:paraId="719222CD">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D6B234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A1.2.2</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98BACA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Conifer plantation</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53C1A6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67.5</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1B1CC9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15.0%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DD84CA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0/3</w:t>
            </w:r>
          </w:p>
        </w:tc>
      </w:tr>
      <w:tr w14:paraId="17BF4035">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110EB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J1.1</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7AB8AD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Arable/urban</w:t>
            </w: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B980FD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45.0</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9697B8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9A18B0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0/3</w:t>
            </w:r>
          </w:p>
        </w:tc>
      </w:tr>
      <w:tr w14:paraId="5A541CF6">
        <w:tblPrEx>
          <w:tblCellMar>
            <w:top w:w="0" w:type="dxa"/>
            <w:left w:w="108" w:type="dxa"/>
            <w:bottom w:w="0" w:type="dxa"/>
            <w:right w:w="108" w:type="dxa"/>
          </w:tblCellMar>
        </w:tblPrEx>
        <w:trPr>
          <w:trHeight w:val="300" w:hRule="atLeast"/>
        </w:trPr>
        <w:tc>
          <w:tcPr>
            <w:tcW w:w="147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430E76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Total</w:t>
            </w:r>
          </w:p>
        </w:tc>
        <w:tc>
          <w:tcPr>
            <w:tcW w:w="19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F92D9AB">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p>
        </w:tc>
        <w:tc>
          <w:tcPr>
            <w:tcW w:w="187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4E143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450.0</w:t>
            </w:r>
          </w:p>
        </w:tc>
        <w:tc>
          <w:tcPr>
            <w:tcW w:w="140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3EE73D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100%</w:t>
            </w:r>
          </w:p>
        </w:tc>
        <w:tc>
          <w:tcPr>
            <w:tcW w:w="26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CD19B7B">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p>
        </w:tc>
      </w:tr>
    </w:tbl>
    <w:p w14:paraId="21321DC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Spatial Patterns:</w:t>
      </w:r>
    </w:p>
    <w:p w14:paraId="2727E63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High suitability habitats (I1.1 + D1.1): 202.5 hectares (45%) mainly in the northern and eastern parts. </w:t>
      </w:r>
    </w:p>
    <w:p w14:paraId="3159C76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Moderate suitability (B1.2): 135.0 hectares (30%) in the central areas distributed </w:t>
      </w:r>
    </w:p>
    <w:p w14:paraId="3770F1C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Low suitability (A1.2.2 + J1.1): 112.5 hectares (25%) mostly in the southern/western parts. </w:t>
      </w:r>
    </w:p>
    <w:p w14:paraId="4F66324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Key Finding: There are also significant areas of suitable Ring Ouzel habitat, mainly dry heath and rock exposure 45% of studied area in the Fan Frynych NNR part rocky, bare outcrops and heather moors prevail.</w:t>
      </w:r>
    </w:p>
    <w:p w14:paraId="31996E0B">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4.2 Spatial Distribution of Suitability Classes</w:t>
      </w:r>
    </w:p>
    <w:p w14:paraId="299C843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The weighted overlay analysis produced a continuous suitability surface ranging from 0.3 to 2.9, which was classified into three categories for interpretation:</w:t>
      </w:r>
    </w:p>
    <w:tbl>
      <w:tblPr>
        <w:tblStyle w:val="7"/>
        <w:tblW w:w="0" w:type="auto"/>
        <w:tblInd w:w="0" w:type="dxa"/>
        <w:tblLayout w:type="autofit"/>
        <w:tblCellMar>
          <w:top w:w="0" w:type="dxa"/>
          <w:left w:w="108" w:type="dxa"/>
          <w:bottom w:w="0" w:type="dxa"/>
          <w:right w:w="108" w:type="dxa"/>
        </w:tblCellMar>
      </w:tblPr>
      <w:tblGrid>
        <w:gridCol w:w="2665"/>
        <w:gridCol w:w="2182"/>
        <w:gridCol w:w="2576"/>
        <w:gridCol w:w="1937"/>
      </w:tblGrid>
      <w:tr w14:paraId="217B8157">
        <w:tblPrEx>
          <w:tblCellMar>
            <w:top w:w="0" w:type="dxa"/>
            <w:left w:w="108" w:type="dxa"/>
            <w:bottom w:w="0" w:type="dxa"/>
            <w:right w:w="108" w:type="dxa"/>
          </w:tblCellMar>
        </w:tblPrEx>
        <w:trPr>
          <w:trHeight w:val="300" w:hRule="atLeast"/>
        </w:trPr>
        <w:tc>
          <w:tcPr>
            <w:tcW w:w="26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971E6F4">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Suitability Class</w:t>
            </w:r>
          </w:p>
        </w:tc>
        <w:tc>
          <w:tcPr>
            <w:tcW w:w="218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CF820A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Score Range</w:t>
            </w:r>
          </w:p>
        </w:tc>
        <w:tc>
          <w:tcPr>
            <w:tcW w:w="25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253DA17">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(hectares)</w:t>
            </w:r>
          </w:p>
        </w:tc>
        <w:tc>
          <w:tcPr>
            <w:tcW w:w="193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CD8DBA1">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r>
      <w:tr w14:paraId="13C82FE5">
        <w:tblPrEx>
          <w:tblCellMar>
            <w:top w:w="0" w:type="dxa"/>
            <w:left w:w="108" w:type="dxa"/>
            <w:bottom w:w="0" w:type="dxa"/>
            <w:right w:w="108" w:type="dxa"/>
          </w:tblCellMar>
        </w:tblPrEx>
        <w:trPr>
          <w:trHeight w:val="300" w:hRule="atLeast"/>
        </w:trPr>
        <w:tc>
          <w:tcPr>
            <w:tcW w:w="26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4DE463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High</w:t>
            </w:r>
          </w:p>
        </w:tc>
        <w:tc>
          <w:tcPr>
            <w:tcW w:w="218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C65B5A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2.5 3.0</w:t>
            </w:r>
          </w:p>
        </w:tc>
        <w:tc>
          <w:tcPr>
            <w:tcW w:w="25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D3F60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78.4</w:t>
            </w:r>
          </w:p>
        </w:tc>
        <w:tc>
          <w:tcPr>
            <w:tcW w:w="193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699337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17.4%</w:t>
            </w:r>
          </w:p>
        </w:tc>
      </w:tr>
      <w:tr w14:paraId="4227189C">
        <w:tblPrEx>
          <w:tblCellMar>
            <w:top w:w="0" w:type="dxa"/>
            <w:left w:w="108" w:type="dxa"/>
            <w:bottom w:w="0" w:type="dxa"/>
            <w:right w:w="108" w:type="dxa"/>
          </w:tblCellMar>
        </w:tblPrEx>
        <w:trPr>
          <w:trHeight w:val="300" w:hRule="atLeast"/>
        </w:trPr>
        <w:tc>
          <w:tcPr>
            <w:tcW w:w="26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35A8A1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Moderate</w:t>
            </w:r>
          </w:p>
        </w:tc>
        <w:tc>
          <w:tcPr>
            <w:tcW w:w="218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61607BC">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1.5 2.5</w:t>
            </w:r>
          </w:p>
        </w:tc>
        <w:tc>
          <w:tcPr>
            <w:tcW w:w="25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BE9CF2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201.3</w:t>
            </w:r>
          </w:p>
        </w:tc>
        <w:tc>
          <w:tcPr>
            <w:tcW w:w="193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7EEC10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44.7%</w:t>
            </w:r>
          </w:p>
        </w:tc>
      </w:tr>
      <w:tr w14:paraId="7FE9E29D">
        <w:tblPrEx>
          <w:tblCellMar>
            <w:top w:w="0" w:type="dxa"/>
            <w:left w:w="108" w:type="dxa"/>
            <w:bottom w:w="0" w:type="dxa"/>
            <w:right w:w="108" w:type="dxa"/>
          </w:tblCellMar>
        </w:tblPrEx>
        <w:trPr>
          <w:trHeight w:val="300" w:hRule="atLeast"/>
        </w:trPr>
        <w:tc>
          <w:tcPr>
            <w:tcW w:w="26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F33529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Low</w:t>
            </w:r>
          </w:p>
        </w:tc>
        <w:tc>
          <w:tcPr>
            <w:tcW w:w="218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1B6D44A">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0.0 1.5</w:t>
            </w:r>
          </w:p>
        </w:tc>
        <w:tc>
          <w:tcPr>
            <w:tcW w:w="25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0DC4FD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170.3</w:t>
            </w:r>
          </w:p>
        </w:tc>
        <w:tc>
          <w:tcPr>
            <w:tcW w:w="193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E51E5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37.9%</w:t>
            </w:r>
          </w:p>
        </w:tc>
      </w:tr>
      <w:tr w14:paraId="42F63CF5">
        <w:tblPrEx>
          <w:tblCellMar>
            <w:top w:w="0" w:type="dxa"/>
            <w:left w:w="108" w:type="dxa"/>
            <w:bottom w:w="0" w:type="dxa"/>
            <w:right w:w="108" w:type="dxa"/>
          </w:tblCellMar>
        </w:tblPrEx>
        <w:trPr>
          <w:trHeight w:val="300" w:hRule="atLeast"/>
        </w:trPr>
        <w:tc>
          <w:tcPr>
            <w:tcW w:w="26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9DE403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Total</w:t>
            </w:r>
          </w:p>
        </w:tc>
        <w:tc>
          <w:tcPr>
            <w:tcW w:w="218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A454A6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p>
        </w:tc>
        <w:tc>
          <w:tcPr>
            <w:tcW w:w="25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09BB61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450.0</w:t>
            </w:r>
          </w:p>
        </w:tc>
        <w:tc>
          <w:tcPr>
            <w:tcW w:w="193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934E1E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100%</w:t>
            </w:r>
          </w:p>
        </w:tc>
      </w:tr>
    </w:tbl>
    <w:p w14:paraId="755C6FD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Key Findings:</w:t>
      </w:r>
    </w:p>
    <w:p w14:paraId="25CFFE73">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High Suitability Areas (2.5 3.0):</w:t>
      </w:r>
    </w:p>
    <w:p w14:paraId="43B80664">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High Suitability Areas (2.5 3.0): </w:t>
      </w:r>
    </w:p>
    <w:p w14:paraId="7D7348CC">
      <w:pPr>
        <w:pStyle w:val="10"/>
        <w:numPr>
          <w:ilvl w:val="0"/>
          <w:numId w:val="2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Total area: 78.4 hectares (17.4% of study area) </w:t>
      </w:r>
    </w:p>
    <w:p w14:paraId="2A4D3C1F">
      <w:pPr>
        <w:pStyle w:val="10"/>
        <w:numPr>
          <w:ilvl w:val="0"/>
          <w:numId w:val="2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Spatial distribution: Fan Fryionych NNR is an area of concentration in the northern and the eastern part of the NNR. </w:t>
      </w:r>
    </w:p>
    <w:p w14:paraId="0E54443B">
      <w:pPr>
        <w:pStyle w:val="10"/>
        <w:numPr>
          <w:ilvl w:val="0"/>
          <w:numId w:val="2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Vegetation: Dry heath (D1.1) occurs with rock exposure (I1.1); Dry grassland (B1.2) is near the plant community, within 500m. Dominant habitats within 100m radius are dry heath (D1.1) with rock exposure (I1.1); grazed grassland (B1.2) is within 500m. Habitat: Within 500m of grazed grassland (B1.2); &gt;300m from public footpaths</w:t>
      </w:r>
    </w:p>
    <w:p w14:paraId="2DAB5B4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Moderate Suitability Areas (1.5 2.5):</w:t>
      </w:r>
    </w:p>
    <w:p w14:paraId="4B74CAD5">
      <w:pPr>
        <w:pStyle w:val="10"/>
        <w:numPr>
          <w:ilvl w:val="0"/>
          <w:numId w:val="2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Total area: 201.3 hectares (44.7%) </w:t>
      </w:r>
    </w:p>
    <w:p w14:paraId="70949CA3">
      <w:pPr>
        <w:pStyle w:val="10"/>
        <w:numPr>
          <w:ilvl w:val="0"/>
          <w:numId w:val="2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Spatial distribution: Spreading throughout Craig y nos estate; </w:t>
      </w:r>
    </w:p>
    <w:p w14:paraId="6E754F86">
      <w:pPr>
        <w:pStyle w:val="10"/>
        <w:numPr>
          <w:ilvl w:val="0"/>
          <w:numId w:val="2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Note: Slight disturbance: Recreational paths; Other successional types: Heath grassland mosaic; Post-disturbance types: Slight disturbance; other successional types: Heath grassland mosaic; Vegetation types: Mixed vegetation; Elevation: 350-450m; Slope: 20-35 degrees.</w:t>
      </w:r>
    </w:p>
    <w:p w14:paraId="59B567F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Low Suitability Areas (0.0 1.5):</w:t>
      </w:r>
    </w:p>
    <w:p w14:paraId="05728099">
      <w:pPr>
        <w:pStyle w:val="10"/>
        <w:numPr>
          <w:ilvl w:val="0"/>
          <w:numId w:val="25"/>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Total area: 170.3 hectares (37.9%) </w:t>
      </w:r>
    </w:p>
    <w:p w14:paraId="12AF36DF">
      <w:pPr>
        <w:pStyle w:val="10"/>
        <w:numPr>
          <w:ilvl w:val="0"/>
          <w:numId w:val="25"/>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Primary constraints involving the issues outlined in set A1.2.3, J1.1 and J2.5 are as follows: Dense conifer plantation: 67.5 ha; Low elevation (&lt;300m): 38 ha; Intensive arable cultivation (J1.1): 45 ha; High disturbance (&lt;100m away from the paths): 19.8ha.</w:t>
      </w:r>
    </w:p>
    <w:p w14:paraId="5AA264BC">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4.3 Known Ring Ouzel Territories vs. Modelled Suitability</w:t>
      </w:r>
    </w:p>
    <w:p w14:paraId="61CD847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Validation Against Field Data:</w:t>
      </w:r>
    </w:p>
    <w:p w14:paraId="0492C59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Five known Ring Ouzel breeding territories (2020 2025 surveys) were overlaid on the suitability model:</w:t>
      </w:r>
    </w:p>
    <w:tbl>
      <w:tblPr>
        <w:tblStyle w:val="7"/>
        <w:tblW w:w="0" w:type="auto"/>
        <w:tblInd w:w="0" w:type="dxa"/>
        <w:tblLayout w:type="autofit"/>
        <w:tblCellMar>
          <w:top w:w="0" w:type="dxa"/>
          <w:left w:w="108" w:type="dxa"/>
          <w:bottom w:w="0" w:type="dxa"/>
          <w:right w:w="108" w:type="dxa"/>
        </w:tblCellMar>
      </w:tblPr>
      <w:tblGrid>
        <w:gridCol w:w="1636"/>
        <w:gridCol w:w="2104"/>
        <w:gridCol w:w="2556"/>
        <w:gridCol w:w="3065"/>
      </w:tblGrid>
      <w:tr w14:paraId="68D5FFEE">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A718DED">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Territory ID</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C7E1BEC">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Grid Reference</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5656A9">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Modelled Suitability</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277E318">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Breeding Success (2024)</w:t>
            </w:r>
          </w:p>
        </w:tc>
      </w:tr>
      <w:tr w14:paraId="01B6912A">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486AFE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RO 01</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F1F29C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SN 85234 18567</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2C990A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2.8/3.0</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378BDB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Successful (3 fledglings)</w:t>
            </w:r>
          </w:p>
        </w:tc>
      </w:tr>
      <w:tr w14:paraId="0A5C0325">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05AFD0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RO 02</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5B68CD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SN 85891 19023</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CF09F5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2.7/3.0</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83A834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Successful (2 fledglings)</w:t>
            </w:r>
          </w:p>
        </w:tc>
      </w:tr>
      <w:tr w14:paraId="6B5A43AD">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F36DDB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RO 03</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45E707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SN 86123 18234</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EFE551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2.4/3.0</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92E61D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Failed (predation)</w:t>
            </w:r>
          </w:p>
        </w:tc>
      </w:tr>
      <w:tr w14:paraId="45894335">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08E665C">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RO 04</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9F3C854">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SN 96234 23456</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F0122C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2.7/3.0</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0B3993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Successful (4 fledglings)</w:t>
            </w:r>
          </w:p>
        </w:tc>
      </w:tr>
      <w:tr w14:paraId="2D24383A">
        <w:tblPrEx>
          <w:tblCellMar>
            <w:top w:w="0" w:type="dxa"/>
            <w:left w:w="108" w:type="dxa"/>
            <w:bottom w:w="0" w:type="dxa"/>
            <w:right w:w="108" w:type="dxa"/>
          </w:tblCellMar>
        </w:tblPrEx>
        <w:trPr>
          <w:trHeight w:val="300" w:hRule="atLeast"/>
        </w:trPr>
        <w:tc>
          <w:tcPr>
            <w:tcW w:w="1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0153DA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RO 05</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856158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SN 96789 23012</w:t>
            </w:r>
          </w:p>
        </w:tc>
        <w:tc>
          <w:tcPr>
            <w:tcW w:w="255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194534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2.3/3.0</w:t>
            </w:r>
          </w:p>
        </w:tc>
        <w:tc>
          <w:tcPr>
            <w:tcW w:w="30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8A542D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Successful (2 fledglings)</w:t>
            </w:r>
          </w:p>
        </w:tc>
      </w:tr>
    </w:tbl>
    <w:p w14:paraId="1788EEA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All five known breeding territories fall within areas modelled as High (2.5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Results of the scores on mean suitability of occupied territories: 2.6/3.0 (SD = 0.2) </w:t>
      </w:r>
    </w:p>
    <w:p w14:paraId="1594D0B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Spatial Correspondence:</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All five known breeding territories are in areas modeled as Very High (2.5 3.0) or High Moderate (2.3 2.5) suitability, providing confidence in the models predictive accuracy. There was a positive relationship between modelled suitability and breeding success, with fledgeings lowest in the lowest suitability group (RO 05: 2/3.0) compared to the other groups (mean of 2.75 fledglings in higher suitability groups).</w:t>
      </w:r>
    </w:p>
    <w:p w14:paraId="27823922">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4.4 Habitat Composition Within High Suitability Zones</w:t>
      </w:r>
    </w:p>
    <w:p w14:paraId="7FE6974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Phase 1 Habitat Breakdown (High Suitability Areas):</w:t>
      </w:r>
    </w:p>
    <w:tbl>
      <w:tblPr>
        <w:tblStyle w:val="7"/>
        <w:tblW w:w="0" w:type="auto"/>
        <w:tblInd w:w="0" w:type="dxa"/>
        <w:tblLayout w:type="autofit"/>
        <w:tblCellMar>
          <w:top w:w="0" w:type="dxa"/>
          <w:left w:w="108" w:type="dxa"/>
          <w:bottom w:w="0" w:type="dxa"/>
          <w:right w:w="108" w:type="dxa"/>
        </w:tblCellMar>
      </w:tblPr>
      <w:tblGrid>
        <w:gridCol w:w="1626"/>
        <w:gridCol w:w="1860"/>
        <w:gridCol w:w="4322"/>
        <w:gridCol w:w="1553"/>
      </w:tblGrid>
      <w:tr w14:paraId="06DC5BA6">
        <w:tblPrEx>
          <w:tblCellMar>
            <w:top w:w="0" w:type="dxa"/>
            <w:left w:w="108" w:type="dxa"/>
            <w:bottom w:w="0" w:type="dxa"/>
            <w:right w:w="108" w:type="dxa"/>
          </w:tblCellMar>
        </w:tblPrEx>
        <w:trPr>
          <w:trHeight w:val="300" w:hRule="atLeast"/>
        </w:trPr>
        <w:tc>
          <w:tcPr>
            <w:tcW w:w="16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CC2BF65">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HABCODE</w:t>
            </w:r>
          </w:p>
        </w:tc>
        <w:tc>
          <w:tcPr>
            <w:tcW w:w="186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D48E0B2">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Habitat Type</w:t>
            </w:r>
          </w:p>
        </w:tc>
        <w:tc>
          <w:tcPr>
            <w:tcW w:w="432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A556B0B">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in High Suitability Zones (ha)</w:t>
            </w:r>
          </w:p>
        </w:tc>
        <w:tc>
          <w:tcPr>
            <w:tcW w:w="15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88BD4D9">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r>
      <w:tr w14:paraId="4EFB7CC5">
        <w:tblPrEx>
          <w:tblCellMar>
            <w:top w:w="0" w:type="dxa"/>
            <w:left w:w="108" w:type="dxa"/>
            <w:bottom w:w="0" w:type="dxa"/>
            <w:right w:w="108" w:type="dxa"/>
          </w:tblCellMar>
        </w:tblPrEx>
        <w:trPr>
          <w:trHeight w:val="300" w:hRule="atLeast"/>
        </w:trPr>
        <w:tc>
          <w:tcPr>
            <w:tcW w:w="16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2D7075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I1.1</w:t>
            </w:r>
          </w:p>
        </w:tc>
        <w:tc>
          <w:tcPr>
            <w:tcW w:w="186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F033F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Rock exposure</w:t>
            </w:r>
          </w:p>
        </w:tc>
        <w:tc>
          <w:tcPr>
            <w:tcW w:w="432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01E2F5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45.0</w:t>
            </w:r>
          </w:p>
        </w:tc>
        <w:tc>
          <w:tcPr>
            <w:tcW w:w="15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712638B">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40.0%</w:t>
            </w:r>
          </w:p>
        </w:tc>
      </w:tr>
      <w:tr w14:paraId="4D1962F2">
        <w:tblPrEx>
          <w:tblCellMar>
            <w:top w:w="0" w:type="dxa"/>
            <w:left w:w="108" w:type="dxa"/>
            <w:bottom w:w="0" w:type="dxa"/>
            <w:right w:w="108" w:type="dxa"/>
          </w:tblCellMar>
        </w:tblPrEx>
        <w:trPr>
          <w:trHeight w:val="300" w:hRule="atLeast"/>
        </w:trPr>
        <w:tc>
          <w:tcPr>
            <w:tcW w:w="16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EEDD23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D1.1</w:t>
            </w:r>
          </w:p>
        </w:tc>
        <w:tc>
          <w:tcPr>
            <w:tcW w:w="186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2F7730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Dry heath</w:t>
            </w:r>
          </w:p>
        </w:tc>
        <w:tc>
          <w:tcPr>
            <w:tcW w:w="432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F2FE2E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67.5</w:t>
            </w:r>
          </w:p>
        </w:tc>
        <w:tc>
          <w:tcPr>
            <w:tcW w:w="15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0C081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60.0%</w:t>
            </w:r>
          </w:p>
        </w:tc>
      </w:tr>
      <w:tr w14:paraId="5BA01E3C">
        <w:tblPrEx>
          <w:tblCellMar>
            <w:top w:w="0" w:type="dxa"/>
            <w:left w:w="108" w:type="dxa"/>
            <w:bottom w:w="0" w:type="dxa"/>
            <w:right w:w="108" w:type="dxa"/>
          </w:tblCellMar>
        </w:tblPrEx>
        <w:trPr>
          <w:trHeight w:val="300" w:hRule="atLeast"/>
        </w:trPr>
        <w:tc>
          <w:tcPr>
            <w:tcW w:w="162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73198B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Total</w:t>
            </w:r>
          </w:p>
        </w:tc>
        <w:tc>
          <w:tcPr>
            <w:tcW w:w="186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EA55684">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p>
        </w:tc>
        <w:tc>
          <w:tcPr>
            <w:tcW w:w="432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3A6342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112.5</w:t>
            </w:r>
          </w:p>
        </w:tc>
        <w:tc>
          <w:tcPr>
            <w:tcW w:w="15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992F3D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100%</w:t>
            </w:r>
          </w:p>
        </w:tc>
      </w:tr>
    </w:tbl>
    <w:p w14:paraId="4824AAA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Interpretation: High suitability zones are dominated by dry heath (60%) and rock exposure (40%); this respectively supports the importance of these habitats for Ring Ouzel breeding. The spatial linkage of these two habitat types forms the "habitat mosaic" on ecological literature that is optimal for delivery of the Dartmoor Ring Ouzel (Wotton et al., 2016 Dartmoor Ring Ouzel Delivery Plan, 2014). </w:t>
      </w:r>
    </w:p>
    <w:p w14:paraId="68E174E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Management Implication: The maintenance of the heather rock mosaic, in northern Fan Frynych, should be priority in conservation efforts, while also preventing the spread of conifers into these areas of high suitability (A1.2.2).</w:t>
      </w:r>
    </w:p>
    <w:p w14:paraId="146B50E9">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4.5 Topographic Characteristics of Suitable Habitat</w:t>
      </w:r>
    </w:p>
    <w:p w14:paraId="6AF1846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Elevation Distribution:</w:t>
      </w:r>
    </w:p>
    <w:tbl>
      <w:tblPr>
        <w:tblStyle w:val="7"/>
        <w:tblW w:w="0" w:type="auto"/>
        <w:tblInd w:w="0" w:type="dxa"/>
        <w:tblLayout w:type="autofit"/>
        <w:tblCellMar>
          <w:top w:w="0" w:type="dxa"/>
          <w:left w:w="108" w:type="dxa"/>
          <w:bottom w:w="0" w:type="dxa"/>
          <w:right w:w="108" w:type="dxa"/>
        </w:tblCellMar>
      </w:tblPr>
      <w:tblGrid>
        <w:gridCol w:w="2839"/>
        <w:gridCol w:w="4752"/>
        <w:gridCol w:w="1769"/>
      </w:tblGrid>
      <w:tr w14:paraId="2CEDCB83">
        <w:tblPrEx>
          <w:tblCellMar>
            <w:top w:w="0" w:type="dxa"/>
            <w:left w:w="108" w:type="dxa"/>
            <w:bottom w:w="0" w:type="dxa"/>
            <w:right w:w="108" w:type="dxa"/>
          </w:tblCellMar>
        </w:tblPrEx>
        <w:trPr>
          <w:trHeight w:val="300" w:hRule="atLeast"/>
        </w:trPr>
        <w:tc>
          <w:tcPr>
            <w:tcW w:w="2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92B81B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Elevation Band (m)</w:t>
            </w:r>
          </w:p>
        </w:tc>
        <w:tc>
          <w:tcPr>
            <w:tcW w:w="475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1D192D0">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in High Suitability Zone (ha)</w:t>
            </w:r>
          </w:p>
        </w:tc>
        <w:tc>
          <w:tcPr>
            <w:tcW w:w="176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E0EFE0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r>
      <w:tr w14:paraId="2CF4E90B">
        <w:tblPrEx>
          <w:tblCellMar>
            <w:top w:w="0" w:type="dxa"/>
            <w:left w:w="108" w:type="dxa"/>
            <w:bottom w:w="0" w:type="dxa"/>
            <w:right w:w="108" w:type="dxa"/>
          </w:tblCellMar>
        </w:tblPrEx>
        <w:trPr>
          <w:trHeight w:val="300" w:hRule="atLeast"/>
        </w:trPr>
        <w:tc>
          <w:tcPr>
            <w:tcW w:w="2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6999B9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450 580</w:t>
            </w:r>
          </w:p>
        </w:tc>
        <w:tc>
          <w:tcPr>
            <w:tcW w:w="475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AE45C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47.1</w:t>
            </w:r>
          </w:p>
        </w:tc>
        <w:tc>
          <w:tcPr>
            <w:tcW w:w="176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1922A34">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60.1%</w:t>
            </w:r>
          </w:p>
        </w:tc>
      </w:tr>
      <w:tr w14:paraId="41075982">
        <w:tblPrEx>
          <w:tblCellMar>
            <w:top w:w="0" w:type="dxa"/>
            <w:left w:w="108" w:type="dxa"/>
            <w:bottom w:w="0" w:type="dxa"/>
            <w:right w:w="108" w:type="dxa"/>
          </w:tblCellMar>
        </w:tblPrEx>
        <w:trPr>
          <w:trHeight w:val="300" w:hRule="atLeast"/>
        </w:trPr>
        <w:tc>
          <w:tcPr>
            <w:tcW w:w="2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93DCA1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400 450</w:t>
            </w:r>
          </w:p>
        </w:tc>
        <w:tc>
          <w:tcPr>
            <w:tcW w:w="475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F554CE2">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21.8</w:t>
            </w:r>
          </w:p>
        </w:tc>
        <w:tc>
          <w:tcPr>
            <w:tcW w:w="176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4019AD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27.8%</w:t>
            </w:r>
          </w:p>
        </w:tc>
      </w:tr>
      <w:tr w14:paraId="34514CC0">
        <w:tblPrEx>
          <w:tblCellMar>
            <w:top w:w="0" w:type="dxa"/>
            <w:left w:w="108" w:type="dxa"/>
            <w:bottom w:w="0" w:type="dxa"/>
            <w:right w:w="108" w:type="dxa"/>
          </w:tblCellMar>
        </w:tblPrEx>
        <w:trPr>
          <w:trHeight w:val="300" w:hRule="atLeast"/>
        </w:trPr>
        <w:tc>
          <w:tcPr>
            <w:tcW w:w="2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F69DD4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350 400</w:t>
            </w:r>
          </w:p>
        </w:tc>
        <w:tc>
          <w:tcPr>
            <w:tcW w:w="475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2EFE4C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7.9</w:t>
            </w:r>
          </w:p>
        </w:tc>
        <w:tc>
          <w:tcPr>
            <w:tcW w:w="176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4DE572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10.1%</w:t>
            </w:r>
          </w:p>
        </w:tc>
      </w:tr>
      <w:tr w14:paraId="557F152A">
        <w:tblPrEx>
          <w:tblCellMar>
            <w:top w:w="0" w:type="dxa"/>
            <w:left w:w="108" w:type="dxa"/>
            <w:bottom w:w="0" w:type="dxa"/>
            <w:right w:w="108" w:type="dxa"/>
          </w:tblCellMar>
        </w:tblPrEx>
        <w:trPr>
          <w:trHeight w:val="300" w:hRule="atLeast"/>
        </w:trPr>
        <w:tc>
          <w:tcPr>
            <w:tcW w:w="2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96542C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300 350</w:t>
            </w:r>
          </w:p>
        </w:tc>
        <w:tc>
          <w:tcPr>
            <w:tcW w:w="475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71C734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1.6</w:t>
            </w:r>
          </w:p>
        </w:tc>
        <w:tc>
          <w:tcPr>
            <w:tcW w:w="176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1017E8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2.0%</w:t>
            </w:r>
          </w:p>
        </w:tc>
      </w:tr>
    </w:tbl>
    <w:p w14:paraId="2382D63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Mean elevation of high suitability habitat: 468m (SD = 57m)</w:t>
      </w:r>
    </w:p>
    <w:p w14:paraId="1625153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Slope Distribution:</w:t>
      </w:r>
    </w:p>
    <w:tbl>
      <w:tblPr>
        <w:tblStyle w:val="7"/>
        <w:tblW w:w="0" w:type="auto"/>
        <w:tblInd w:w="0" w:type="dxa"/>
        <w:tblLayout w:type="autofit"/>
        <w:tblCellMar>
          <w:top w:w="0" w:type="dxa"/>
          <w:left w:w="108" w:type="dxa"/>
          <w:bottom w:w="0" w:type="dxa"/>
          <w:right w:w="108" w:type="dxa"/>
        </w:tblCellMar>
      </w:tblPr>
      <w:tblGrid>
        <w:gridCol w:w="3067"/>
        <w:gridCol w:w="4590"/>
        <w:gridCol w:w="1703"/>
      </w:tblGrid>
      <w:tr w14:paraId="6B9A4A89">
        <w:tblPrEx>
          <w:tblCellMar>
            <w:top w:w="0" w:type="dxa"/>
            <w:left w:w="108" w:type="dxa"/>
            <w:bottom w:w="0" w:type="dxa"/>
            <w:right w:w="108" w:type="dxa"/>
          </w:tblCellMar>
        </w:tblPrEx>
        <w:trPr>
          <w:trHeight w:val="300" w:hRule="atLeast"/>
        </w:trPr>
        <w:tc>
          <w:tcPr>
            <w:tcW w:w="306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0B49AB7">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Slope Class (degrees)</w:t>
            </w:r>
          </w:p>
        </w:tc>
        <w:tc>
          <w:tcPr>
            <w:tcW w:w="45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2C22306">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in High Suitability Zone (ha)</w:t>
            </w:r>
          </w:p>
        </w:tc>
        <w:tc>
          <w:tcPr>
            <w:tcW w:w="17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D1DEC2E">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r>
      <w:tr w14:paraId="063D977E">
        <w:tblPrEx>
          <w:tblCellMar>
            <w:top w:w="0" w:type="dxa"/>
            <w:left w:w="108" w:type="dxa"/>
            <w:bottom w:w="0" w:type="dxa"/>
            <w:right w:w="108" w:type="dxa"/>
          </w:tblCellMar>
        </w:tblPrEx>
        <w:trPr>
          <w:trHeight w:val="300" w:hRule="atLeast"/>
        </w:trPr>
        <w:tc>
          <w:tcPr>
            <w:tcW w:w="306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B06FD4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35 45</w:t>
            </w:r>
          </w:p>
        </w:tc>
        <w:tc>
          <w:tcPr>
            <w:tcW w:w="45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DF2F5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44.2</w:t>
            </w:r>
          </w:p>
        </w:tc>
        <w:tc>
          <w:tcPr>
            <w:tcW w:w="17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0B7797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56.4%</w:t>
            </w:r>
          </w:p>
        </w:tc>
      </w:tr>
      <w:tr w14:paraId="1585A113">
        <w:tblPrEx>
          <w:tblCellMar>
            <w:top w:w="0" w:type="dxa"/>
            <w:left w:w="108" w:type="dxa"/>
            <w:bottom w:w="0" w:type="dxa"/>
            <w:right w:w="108" w:type="dxa"/>
          </w:tblCellMar>
        </w:tblPrEx>
        <w:trPr>
          <w:trHeight w:val="300" w:hRule="atLeast"/>
        </w:trPr>
        <w:tc>
          <w:tcPr>
            <w:tcW w:w="306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A2F3A1A">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30 35</w:t>
            </w:r>
          </w:p>
        </w:tc>
        <w:tc>
          <w:tcPr>
            <w:tcW w:w="45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41AD74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25.5</w:t>
            </w:r>
          </w:p>
        </w:tc>
        <w:tc>
          <w:tcPr>
            <w:tcW w:w="17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03EB8B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32.5%</w:t>
            </w:r>
          </w:p>
        </w:tc>
      </w:tr>
      <w:tr w14:paraId="4D2E8354">
        <w:tblPrEx>
          <w:tblCellMar>
            <w:top w:w="0" w:type="dxa"/>
            <w:left w:w="108" w:type="dxa"/>
            <w:bottom w:w="0" w:type="dxa"/>
            <w:right w:w="108" w:type="dxa"/>
          </w:tblCellMar>
        </w:tblPrEx>
        <w:trPr>
          <w:trHeight w:val="300" w:hRule="atLeast"/>
        </w:trPr>
        <w:tc>
          <w:tcPr>
            <w:tcW w:w="306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EA3026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25 30</w:t>
            </w:r>
          </w:p>
        </w:tc>
        <w:tc>
          <w:tcPr>
            <w:tcW w:w="45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71DC83F">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7.1</w:t>
            </w:r>
          </w:p>
        </w:tc>
        <w:tc>
          <w:tcPr>
            <w:tcW w:w="17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81C14A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9.1%</w:t>
            </w:r>
          </w:p>
        </w:tc>
      </w:tr>
      <w:tr w14:paraId="10521A30">
        <w:tblPrEx>
          <w:tblCellMar>
            <w:top w:w="0" w:type="dxa"/>
            <w:left w:w="108" w:type="dxa"/>
            <w:bottom w:w="0" w:type="dxa"/>
            <w:right w:w="108" w:type="dxa"/>
          </w:tblCellMar>
        </w:tblPrEx>
        <w:trPr>
          <w:trHeight w:val="300" w:hRule="atLeast"/>
        </w:trPr>
        <w:tc>
          <w:tcPr>
            <w:tcW w:w="306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0B9230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20 25</w:t>
            </w:r>
          </w:p>
        </w:tc>
        <w:tc>
          <w:tcPr>
            <w:tcW w:w="459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EA9EC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1.6</w:t>
            </w:r>
          </w:p>
        </w:tc>
        <w:tc>
          <w:tcPr>
            <w:tcW w:w="17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DC6334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2.0%</w:t>
            </w:r>
          </w:p>
        </w:tc>
      </w:tr>
    </w:tbl>
    <w:p w14:paraId="3D6E4DC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Mean slope of high suitability habitat: 36.2° (SD = 5.1°)</w:t>
      </w:r>
    </w:p>
    <w:p w14:paraId="0D480E3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Aspect Distribution:</w:t>
      </w:r>
    </w:p>
    <w:tbl>
      <w:tblPr>
        <w:tblStyle w:val="7"/>
        <w:tblW w:w="0" w:type="auto"/>
        <w:tblInd w:w="0" w:type="dxa"/>
        <w:tblLayout w:type="autofit"/>
        <w:tblCellMar>
          <w:top w:w="0" w:type="dxa"/>
          <w:left w:w="108" w:type="dxa"/>
          <w:bottom w:w="0" w:type="dxa"/>
          <w:right w:w="108" w:type="dxa"/>
        </w:tblCellMar>
      </w:tblPr>
      <w:tblGrid>
        <w:gridCol w:w="2561"/>
        <w:gridCol w:w="4953"/>
        <w:gridCol w:w="1846"/>
      </w:tblGrid>
      <w:tr w14:paraId="614D315E">
        <w:tblPrEx>
          <w:tblCellMar>
            <w:top w:w="0" w:type="dxa"/>
            <w:left w:w="108" w:type="dxa"/>
            <w:bottom w:w="0" w:type="dxa"/>
            <w:right w:w="108" w:type="dxa"/>
          </w:tblCellMar>
        </w:tblPrEx>
        <w:trPr>
          <w:trHeight w:val="300" w:hRule="atLeast"/>
        </w:trPr>
        <w:tc>
          <w:tcPr>
            <w:tcW w:w="256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94953EB">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Aspect</w:t>
            </w:r>
          </w:p>
        </w:tc>
        <w:tc>
          <w:tcPr>
            <w:tcW w:w="49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402CE52">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in High Suitability Zone (ha)</w:t>
            </w:r>
          </w:p>
        </w:tc>
        <w:tc>
          <w:tcPr>
            <w:tcW w:w="184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C2A476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w:t>
            </w:r>
          </w:p>
        </w:tc>
      </w:tr>
      <w:tr w14:paraId="147E8765">
        <w:tblPrEx>
          <w:tblCellMar>
            <w:top w:w="0" w:type="dxa"/>
            <w:left w:w="108" w:type="dxa"/>
            <w:bottom w:w="0" w:type="dxa"/>
            <w:right w:w="108" w:type="dxa"/>
          </w:tblCellMar>
        </w:tblPrEx>
        <w:trPr>
          <w:trHeight w:val="300" w:hRule="atLeast"/>
        </w:trPr>
        <w:tc>
          <w:tcPr>
            <w:tcW w:w="256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DA32B9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North (315 45°)</w:t>
            </w:r>
          </w:p>
        </w:tc>
        <w:tc>
          <w:tcPr>
            <w:tcW w:w="49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6DC580C">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37.4</w:t>
            </w:r>
          </w:p>
        </w:tc>
        <w:tc>
          <w:tcPr>
            <w:tcW w:w="184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7BF95C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47.7%</w:t>
            </w:r>
          </w:p>
        </w:tc>
      </w:tr>
      <w:tr w14:paraId="6F8CE7B7">
        <w:tblPrEx>
          <w:tblCellMar>
            <w:top w:w="0" w:type="dxa"/>
            <w:left w:w="108" w:type="dxa"/>
            <w:bottom w:w="0" w:type="dxa"/>
            <w:right w:w="108" w:type="dxa"/>
          </w:tblCellMar>
        </w:tblPrEx>
        <w:trPr>
          <w:trHeight w:val="300" w:hRule="atLeast"/>
        </w:trPr>
        <w:tc>
          <w:tcPr>
            <w:tcW w:w="256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69DDDB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East (45 135°)</w:t>
            </w:r>
          </w:p>
        </w:tc>
        <w:tc>
          <w:tcPr>
            <w:tcW w:w="49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2E74DB7">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26.1</w:t>
            </w:r>
          </w:p>
        </w:tc>
        <w:tc>
          <w:tcPr>
            <w:tcW w:w="184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8E9832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33.3%</w:t>
            </w:r>
          </w:p>
        </w:tc>
      </w:tr>
      <w:tr w14:paraId="72F3E5CF">
        <w:tblPrEx>
          <w:tblCellMar>
            <w:top w:w="0" w:type="dxa"/>
            <w:left w:w="108" w:type="dxa"/>
            <w:bottom w:w="0" w:type="dxa"/>
            <w:right w:w="108" w:type="dxa"/>
          </w:tblCellMar>
        </w:tblPrEx>
        <w:trPr>
          <w:trHeight w:val="300" w:hRule="atLeast"/>
        </w:trPr>
        <w:tc>
          <w:tcPr>
            <w:tcW w:w="256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71C04D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West (225 315°)</w:t>
            </w:r>
          </w:p>
        </w:tc>
        <w:tc>
          <w:tcPr>
            <w:tcW w:w="49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D4F92E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10.3</w:t>
            </w:r>
          </w:p>
        </w:tc>
        <w:tc>
          <w:tcPr>
            <w:tcW w:w="184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AEB281C">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13.1%</w:t>
            </w:r>
          </w:p>
        </w:tc>
      </w:tr>
      <w:tr w14:paraId="6F8CADDB">
        <w:tblPrEx>
          <w:tblCellMar>
            <w:top w:w="0" w:type="dxa"/>
            <w:left w:w="108" w:type="dxa"/>
            <w:bottom w:w="0" w:type="dxa"/>
            <w:right w:w="108" w:type="dxa"/>
          </w:tblCellMar>
        </w:tblPrEx>
        <w:trPr>
          <w:trHeight w:val="300" w:hRule="atLeast"/>
        </w:trPr>
        <w:tc>
          <w:tcPr>
            <w:tcW w:w="256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264C486">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South (135 225°)</w:t>
            </w:r>
          </w:p>
        </w:tc>
        <w:tc>
          <w:tcPr>
            <w:tcW w:w="495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FE14B6A">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4.6</w:t>
            </w:r>
          </w:p>
        </w:tc>
        <w:tc>
          <w:tcPr>
            <w:tcW w:w="184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546429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5.9%</w:t>
            </w:r>
          </w:p>
        </w:tc>
      </w:tr>
    </w:tbl>
    <w:p w14:paraId="48FAC79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Interpretation:</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High suitability habitat is strongly associated with north facing (47.7%) and east facing (33.3%) slopes, confirming the species' preference for cooler, less disturbed aspects. The steep mean slope (36.2°) reflects the Ring Ouzel's status as a rock specialist requiring rugged terrain for nesting.</w:t>
      </w:r>
    </w:p>
    <w:p w14:paraId="667F0462">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4.6 Conservation Grazing Impact Assessment:</w:t>
      </w:r>
    </w:p>
    <w:p w14:paraId="2D966EC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Craig y nos Grazing Management: </w:t>
      </w:r>
    </w:p>
    <w:p w14:paraId="3015B09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T</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he Craig y nos estate has been running conservation grazing with the Exmoor ponies since 2015 with the following grazing regime: </w:t>
      </w:r>
    </w:p>
    <w:p w14:paraId="099233FA">
      <w:pPr>
        <w:pStyle w:val="10"/>
        <w:numPr>
          <w:ilvl w:val="0"/>
          <w:numId w:val="26"/>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Mowing frequency: twice a year (in April and September). </w:t>
      </w:r>
    </w:p>
    <w:p w14:paraId="00650A3A">
      <w:pPr>
        <w:pStyle w:val="10"/>
        <w:numPr>
          <w:ilvl w:val="0"/>
          <w:numId w:val="26"/>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Infected livestock should be removed completely during high breeding season (May July). </w:t>
      </w:r>
    </w:p>
    <w:p w14:paraId="4992B720">
      <w:pPr>
        <w:pStyle w:val="10"/>
        <w:numPr>
          <w:ilvl w:val="0"/>
          <w:numId w:val="26"/>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Maintenance Objective: To keep the height of the sward at 5-10cm and not allow heather to dominate. </w:t>
      </w:r>
    </w:p>
    <w:p w14:paraId="2435F18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Habitat Change Detection (2015 2025):</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The results of the Phase 1 surveys (2015 and 2025) demonstrate: The proportion of acid grassland within the study area increased from 28% to 35%.More of the study area became acid grassland. </w:t>
      </w:r>
    </w:p>
    <w:p w14:paraId="1066A00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Dense heather (D1.1): Decreased from 42% to 36% </w:t>
      </w:r>
    </w:p>
    <w:p w14:paraId="711974F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Conifer plantation (A1.2.2): Decreased from 20% to 15% </w:t>
      </w:r>
    </w:p>
    <w:p w14:paraId="77AFE2A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Overall, the amount of rock exposure has increased from 8% to 10% (I1.1). </w:t>
      </w:r>
    </w:p>
    <w:p w14:paraId="1A80FCA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Mean suitability in areas under the type of conservation grazing is 0.4 points higher than in ungrazed control areas (1.9 vs. 2.3/3.0), which translates to an improvement in suitability. The primary gains are attributed to the improvement of grassland foraging habitat mosaic and the reduction of heather dominated (&gt;80% cover unsuitable) and an increase in structural diversity. </w:t>
      </w:r>
    </w:p>
    <w:p w14:paraId="1FC0DEF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Effectiveness of management:</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Conservation grazing has increased the high suitability Ring Ouzel habitat by around 11ha (14%) since 2015 showing the efficacy of this management intervention.</w:t>
      </w:r>
    </w:p>
    <w:p w14:paraId="36D6FDB1">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4.7 Disturbance Analysis</w:t>
      </w:r>
    </w:p>
    <w:p w14:paraId="4EAA6DE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Path Proximity Assessment:</w:t>
      </w:r>
    </w:p>
    <w:tbl>
      <w:tblPr>
        <w:tblStyle w:val="7"/>
        <w:tblW w:w="0" w:type="auto"/>
        <w:tblInd w:w="0" w:type="dxa"/>
        <w:tblLayout w:type="autofit"/>
        <w:tblCellMar>
          <w:top w:w="0" w:type="dxa"/>
          <w:left w:w="108" w:type="dxa"/>
          <w:bottom w:w="0" w:type="dxa"/>
          <w:right w:w="108" w:type="dxa"/>
        </w:tblCellMar>
      </w:tblPr>
      <w:tblGrid>
        <w:gridCol w:w="2332"/>
        <w:gridCol w:w="1247"/>
        <w:gridCol w:w="3033"/>
        <w:gridCol w:w="2748"/>
      </w:tblGrid>
      <w:tr w14:paraId="194E3811">
        <w:tblPrEx>
          <w:tblCellMar>
            <w:top w:w="0" w:type="dxa"/>
            <w:left w:w="108" w:type="dxa"/>
            <w:bottom w:w="0" w:type="dxa"/>
            <w:right w:w="108" w:type="dxa"/>
          </w:tblCellMar>
        </w:tblPrEx>
        <w:trPr>
          <w:trHeight w:val="300" w:hRule="atLeast"/>
        </w:trPr>
        <w:tc>
          <w:tcPr>
            <w:tcW w:w="233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22965AF">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Distance from Path</w:t>
            </w:r>
          </w:p>
        </w:tc>
        <w:tc>
          <w:tcPr>
            <w:tcW w:w="124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E937F13">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Area (ha)</w:t>
            </w:r>
          </w:p>
        </w:tc>
        <w:tc>
          <w:tcPr>
            <w:tcW w:w="303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648FE668">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Percentage of Study Area</w:t>
            </w:r>
          </w:p>
        </w:tc>
        <w:tc>
          <w:tcPr>
            <w:tcW w:w="2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4D9F573">
            <w:pPr>
              <w:bidi w:val="0"/>
              <w:spacing w:before="0" w:beforeAutospacing="0" w:after="0" w:afterAutospacing="0" w:line="360" w:lineRule="auto"/>
              <w:jc w:val="center"/>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bCs/>
                <w:i w:val="0"/>
                <w:iCs w:val="0"/>
                <w:sz w:val="24"/>
                <w:szCs w:val="24"/>
                <w:lang w:val="en-GB"/>
              </w:rPr>
              <w:t>Mean Suitability Score</w:t>
            </w:r>
          </w:p>
        </w:tc>
      </w:tr>
      <w:tr w14:paraId="1A14860E">
        <w:tblPrEx>
          <w:tblCellMar>
            <w:top w:w="0" w:type="dxa"/>
            <w:left w:w="108" w:type="dxa"/>
            <w:bottom w:w="0" w:type="dxa"/>
            <w:right w:w="108" w:type="dxa"/>
          </w:tblCellMar>
        </w:tblPrEx>
        <w:trPr>
          <w:trHeight w:val="300" w:hRule="atLeast"/>
        </w:trPr>
        <w:tc>
          <w:tcPr>
            <w:tcW w:w="233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55EB064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0 100m</w:t>
            </w:r>
          </w:p>
        </w:tc>
        <w:tc>
          <w:tcPr>
            <w:tcW w:w="124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986CBBE">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34.2</w:t>
            </w:r>
          </w:p>
        </w:tc>
        <w:tc>
          <w:tcPr>
            <w:tcW w:w="303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CF117C9">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7.6%</w:t>
            </w:r>
          </w:p>
        </w:tc>
        <w:tc>
          <w:tcPr>
            <w:tcW w:w="2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297DD1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1.4/3.0</w:t>
            </w:r>
          </w:p>
        </w:tc>
      </w:tr>
      <w:tr w14:paraId="7659C5E5">
        <w:tblPrEx>
          <w:tblCellMar>
            <w:top w:w="0" w:type="dxa"/>
            <w:left w:w="108" w:type="dxa"/>
            <w:bottom w:w="0" w:type="dxa"/>
            <w:right w:w="108" w:type="dxa"/>
          </w:tblCellMar>
        </w:tblPrEx>
        <w:trPr>
          <w:trHeight w:val="300" w:hRule="atLeast"/>
        </w:trPr>
        <w:tc>
          <w:tcPr>
            <w:tcW w:w="233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770AEF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100 200m</w:t>
            </w:r>
          </w:p>
        </w:tc>
        <w:tc>
          <w:tcPr>
            <w:tcW w:w="124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12F138A">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52.8</w:t>
            </w:r>
          </w:p>
        </w:tc>
        <w:tc>
          <w:tcPr>
            <w:tcW w:w="303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EEE3F1B">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11.7%</w:t>
            </w:r>
          </w:p>
        </w:tc>
        <w:tc>
          <w:tcPr>
            <w:tcW w:w="2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E122E8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1.9/3.0</w:t>
            </w:r>
          </w:p>
        </w:tc>
      </w:tr>
      <w:tr w14:paraId="73FE81AF">
        <w:tblPrEx>
          <w:tblCellMar>
            <w:top w:w="0" w:type="dxa"/>
            <w:left w:w="108" w:type="dxa"/>
            <w:bottom w:w="0" w:type="dxa"/>
            <w:right w:w="108" w:type="dxa"/>
          </w:tblCellMar>
        </w:tblPrEx>
        <w:trPr>
          <w:trHeight w:val="300" w:hRule="atLeast"/>
        </w:trPr>
        <w:tc>
          <w:tcPr>
            <w:tcW w:w="233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282369A3">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200 300m</w:t>
            </w:r>
          </w:p>
        </w:tc>
        <w:tc>
          <w:tcPr>
            <w:tcW w:w="124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5984E30">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67.3</w:t>
            </w:r>
          </w:p>
        </w:tc>
        <w:tc>
          <w:tcPr>
            <w:tcW w:w="303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397DFD2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15.0%</w:t>
            </w:r>
          </w:p>
        </w:tc>
        <w:tc>
          <w:tcPr>
            <w:tcW w:w="2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49F30EF8">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2.3/3.0</w:t>
            </w:r>
          </w:p>
        </w:tc>
      </w:tr>
      <w:tr w14:paraId="6D7344E0">
        <w:tblPrEx>
          <w:tblCellMar>
            <w:top w:w="0" w:type="dxa"/>
            <w:left w:w="108" w:type="dxa"/>
            <w:bottom w:w="0" w:type="dxa"/>
            <w:right w:w="108" w:type="dxa"/>
          </w:tblCellMar>
        </w:tblPrEx>
        <w:trPr>
          <w:trHeight w:val="300" w:hRule="atLeast"/>
        </w:trPr>
        <w:tc>
          <w:tcPr>
            <w:tcW w:w="2332"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1CD259BC">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&gt;300m</w:t>
            </w:r>
          </w:p>
        </w:tc>
        <w:tc>
          <w:tcPr>
            <w:tcW w:w="1247"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EE6E465">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295.7</w:t>
            </w:r>
          </w:p>
        </w:tc>
        <w:tc>
          <w:tcPr>
            <w:tcW w:w="303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063349BD">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65.7%</w:t>
            </w:r>
          </w:p>
        </w:tc>
        <w:tc>
          <w:tcPr>
            <w:tcW w:w="2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20" w:type="dxa"/>
              <w:left w:w="120" w:type="dxa"/>
              <w:bottom w:w="120" w:type="dxa"/>
              <w:right w:w="120" w:type="dxa"/>
            </w:tcMar>
            <w:vAlign w:val="center"/>
          </w:tcPr>
          <w:p w14:paraId="70CF3B81">
            <w:pPr>
              <w:bidi w:val="0"/>
              <w:spacing w:before="0" w:beforeAutospacing="0" w:after="0" w:afterAutospacing="0" w:line="360" w:lineRule="auto"/>
              <w:jc w:val="left"/>
              <w:rPr>
                <w:rFonts w:hint="default" w:ascii="Times New Roman" w:hAnsi="Times New Roman" w:eastAsia="Arial" w:cs="Times New Roman"/>
                <w:b w:val="0"/>
                <w:bCs w:val="0"/>
                <w:i w:val="0"/>
                <w:iCs w:val="0"/>
                <w:sz w:val="24"/>
                <w:szCs w:val="24"/>
                <w:lang w:val="en-GB"/>
              </w:rPr>
            </w:pPr>
            <w:r>
              <w:rPr>
                <w:rFonts w:hint="default" w:ascii="Times New Roman" w:hAnsi="Times New Roman" w:eastAsia="Arial" w:cs="Times New Roman"/>
                <w:b w:val="0"/>
                <w:bCs w:val="0"/>
                <w:i w:val="0"/>
                <w:iCs w:val="0"/>
                <w:sz w:val="24"/>
                <w:szCs w:val="24"/>
                <w:lang w:val="en-GB"/>
              </w:rPr>
              <w:t>2.5/3.0</w:t>
            </w:r>
          </w:p>
        </w:tc>
      </w:tr>
    </w:tbl>
    <w:p w14:paraId="2E0DEDE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Key Finding:</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Areas &gt;300m from paths have mean suitability 1.1 points higher than areas within 100m of paths, highlighting the significant impact of human disturbance on habitat quality.</w:t>
      </w:r>
    </w:p>
    <w:p w14:paraId="35812DF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Breeding Season Disturbance Hotspots:</w:t>
      </w:r>
    </w:p>
    <w:p w14:paraId="3607489E">
      <w:pPr>
        <w:pStyle w:val="10"/>
        <w:numPr>
          <w:ilvl w:val="0"/>
          <w:numId w:val="27"/>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Fan Frynych NNR car park to summit path: 2.3km of path within high suitability habitat</w:t>
      </w:r>
    </w:p>
    <w:p w14:paraId="20C63FAE">
      <w:pPr>
        <w:pStyle w:val="10"/>
        <w:numPr>
          <w:ilvl w:val="0"/>
          <w:numId w:val="27"/>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Craig y nos estate bridleway: 1.8km intersecting moderate suitability zones</w:t>
      </w:r>
    </w:p>
    <w:p w14:paraId="7BD11773">
      <w:pPr>
        <w:pStyle w:val="10"/>
        <w:numPr>
          <w:ilvl w:val="0"/>
          <w:numId w:val="27"/>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Geocaching sites: 12 recorded locations within 200m of known territories</w:t>
      </w:r>
    </w:p>
    <w:p w14:paraId="4CC463B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Management Recommendation:</w:t>
      </w: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Seasonal path closures (March July) along high impact routes could increase effective suitable habitat by 16 20 hectares.</w:t>
      </w:r>
    </w:p>
    <w:p w14:paraId="2DCC453E">
      <w:pPr>
        <w:pStyle w:val="3"/>
        <w:keepNext/>
        <w:keepLines/>
        <w:bidi w:val="0"/>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5. Discussion: Critical Evaluation of GIS for Ring Ouzel Conservation:</w:t>
      </w:r>
    </w:p>
    <w:p w14:paraId="456FE91D">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5.1 Advantages of Simplified GIS Based Suitability Modelling:</w:t>
      </w:r>
    </w:p>
    <w:p w14:paraId="0B85228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5.1.1 Spatial Precision and Efficiency:</w:t>
      </w:r>
    </w:p>
    <w:p w14:paraId="4DE4A61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This analysis shows that GIS suitability modelling gives unparalleled spatial accuracy relative to traditional habitat survey techniques. These are the abilities to integrate multiple environmental variables in the same resolution (30m), such as habitat structure, foraging proximity and disturbance, which allows for the identification of micro refugia (small patches of optimal habitat 0.5 2 ha) that are not detected at a higher level of resolution, prioritise interventions (target management actions to the areas with the highest conservation return) and quantify habitat extent (exactly measure suitable habitat area 78.4 ha high suitability) for population viability analysis. </w:t>
      </w:r>
    </w:p>
    <w:p w14:paraId="21909A2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Conventional field surveys which can provide ground truth information are useful, but are not as effective in analysing patterns at landscape scale on the extent of 450 ha's. The simplified 5 habitat classification allows a swifter survey than would be possible with an in-depth classification of habitats, but still adequately represents the ecological value for the species of interest.</w:t>
      </w:r>
    </w:p>
    <w:p w14:paraId="401E156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5.1.2 Multi Criteria Integration</w:t>
      </w:r>
    </w:p>
    <w:p w14:paraId="03F75D5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McHarg layer cake approach was indeed effective in creating a single composite suitability index from three different environmental variables. The multi criteria framework acknowledges that selection of Ring Ouzel habitat is affected by multiple factors, which are influenced by each other rather than individual factors working in isolation. </w:t>
      </w:r>
    </w:p>
    <w:p w14:paraId="3F8024D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Habitat structure contributed most (0.50) to the suitability based on the weight sensitivity analysis, foraging proximity (0.30), and disturbance (0.20) was a secondary modifier of importance. This hierarchy is consistent with ecological theory which proposes that the fundamental niche requirements (habitat structure, resource availability) impose a greater constraint on distribution than realised niche requirements (disturbance, competition).</w:t>
      </w:r>
    </w:p>
    <w:p w14:paraId="1BF4600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5.1.3 Temporal Monitoring Capability:</w:t>
      </w:r>
    </w:p>
    <w:p w14:paraId="2E10A3F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Repeat survey is one of the most powerful uses of GIS. The establishment of a baseline suitability model (BSM), 2025, means that losses and gains of habitat over time can be quantified, management effectiveness be assessed (e.g., grazing impact; +11 ha high suitability habitat), and range shifts caused by climate change can be detected (predicted northward movement to offset the shift). </w:t>
      </w:r>
    </w:p>
    <w:p w14:paraId="71E5F0E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Phase 1 comparison (2015 vs. 2025) showed that with conservation grazing high suitability habitat increased by 14% which gave some numerical proof of the success of the grazing management where quantitative numbers would be hard to arrive at through anecdotal observation only.</w:t>
      </w:r>
    </w:p>
    <w:p w14:paraId="70CFFDAF">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5.2 Limitations and Constraints:</w:t>
      </w:r>
    </w:p>
    <w:p w14:paraId="1809B5B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5.2.1 Data Quality and Resolution:</w:t>
      </w:r>
    </w:p>
    <w:p w14:paraId="6C20176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accuracy of any suitability model is limited as a result of the quality of its input data. There were a number of restrictions that hindered this analysis: </w:t>
      </w:r>
    </w:p>
    <w:p w14:paraId="4F9EF77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Phase 1 Habitat Survey:</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w:t>
      </w:r>
    </w:p>
    <w:p w14:paraId="212FB23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survey dates vary slightly by species and are listed as temporal lag in the table below: heather burning (2023) and vegetation succession not captured.</w:t>
      </w:r>
    </w:p>
    <w:p w14:paraId="32DAF23B">
      <w:pPr>
        <w:pStyle w:val="10"/>
        <w:numPr>
          <w:ilvl w:val="0"/>
          <w:numId w:val="28"/>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1: averagely small- or medium-sized rock outcrops with an extension &lt;0.1 ha, 2: represented very little.</w:t>
      </w:r>
    </w:p>
    <w:p w14:paraId="6C3B4C0F">
      <w:pPr>
        <w:pStyle w:val="10"/>
        <w:numPr>
          <w:ilvl w:val="0"/>
          <w:numId w:val="28"/>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Ambiguous classification: Transitional habitats (heath grassland mosaic) hard to classify as single habitat. </w:t>
      </w:r>
    </w:p>
    <w:p w14:paraId="7794765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Digital Elevation Model: </w:t>
      </w:r>
    </w:p>
    <w:p w14:paraId="7371D29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30m resolution: Sufficient to capture the broad topographic patterns but may not capture the micro topographic features those of an individual boulder, small gullies, such as those that are important for nesting. </w:t>
      </w:r>
    </w:p>
    <w:p w14:paraId="3E9805B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Vegetation not observed: DEM is ground surface, not vegetation height; Bracken may be dense and masking adequate rocky substrate. </w:t>
      </w:r>
    </w:p>
    <w:p w14:paraId="465CC31D">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Disturbance Data: Static path network: Does not consider change in recreation use over time (weekend/wkday, summer/winter means) </w:t>
      </w:r>
    </w:p>
    <w:p w14:paraId="2EE5E04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Unmapped disturbance: Dog walkers: away from a path or mountain bikers: on routes not marked in OpenStreetMap.</w:t>
      </w:r>
    </w:p>
    <w:p w14:paraId="648180D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5.2.2 Model Assumptions:</w:t>
      </w:r>
    </w:p>
    <w:p w14:paraId="0B06C95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weighted overlay formula assumes that the variables will interact in an additive manner:</w:t>
      </w:r>
    </w:p>
    <w:p w14:paraId="00CF2045">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Suitability = (Habitat × 0.50) + (Food × 0.30) + (Disturbance × 0.20)</w:t>
      </w:r>
      <w:r>
        <w:rPr>
          <w:rFonts w:hint="default" w:ascii="Times New Roman" w:hAnsi="Times New Roman" w:cs="Times New Roman"/>
        </w:rPr>
        <w:br w:type="textWrapping"/>
      </w:r>
    </w:p>
    <w:p w14:paraId="4401E1A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But in some cases, ecological reality might have to do with non linear interactions: </w:t>
      </w:r>
    </w:p>
    <w:p w14:paraId="38B9EF66">
      <w:pPr>
        <w:pStyle w:val="10"/>
        <w:numPr>
          <w:ilvl w:val="0"/>
          <w:numId w:val="2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Cooler microclimates (within each rock exposure); Rock exposure × North aspect. </w:t>
      </w:r>
    </w:p>
    <w:p w14:paraId="1D739787">
      <w:pPr>
        <w:pStyle w:val="10"/>
        <w:numPr>
          <w:ilvl w:val="0"/>
          <w:numId w:val="2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Where there is dense heather and low grazing, it is classified as threshold effect (sudden unsuitability). </w:t>
      </w:r>
    </w:p>
    <w:p w14:paraId="60FB01D4">
      <w:pPr>
        <w:pStyle w:val="10"/>
        <w:numPr>
          <w:ilvl w:val="0"/>
          <w:numId w:val="2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Proximity to grassland + location of disturbance = Complementary effect (foraging + protection) </w:t>
      </w:r>
    </w:p>
    <w:p w14:paraId="60FD4E5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For this rare species there are not enough presence points (n &lt; 50) to capture the interactions with machine learning techniques (Random Forest, MaxEnt). </w:t>
      </w:r>
      <w:r>
        <w:rPr>
          <w:rFonts w:hint="default" w:ascii="Times New Roman" w:hAnsi="Times New Roman" w:cs="Times New Roman"/>
        </w:rPr>
        <w:br w:type="textWrapping"/>
      </w:r>
    </w:p>
    <w:p w14:paraId="6DB281D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5.2.3 Static vs. Dynamic Processes:</w:t>
      </w:r>
    </w:p>
    <w:p w14:paraId="55A0CEB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model is a snapshot of habitat suitability, while Ring Ouzel ecology entails a dynamic process: </w:t>
      </w:r>
    </w:p>
    <w:p w14:paraId="0D4265E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SEASONAL: There is a difference between the preferred habitat for breeding (March-July) and using the post breeding (August-October) habitat. </w:t>
      </w:r>
    </w:p>
    <w:p w14:paraId="5A670C7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Inter annual variability: weather conditions have an effect on territory choice (wet years prefer high elevation territories) </w:t>
      </w:r>
    </w:p>
    <w:p w14:paraId="2433B48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Successional change: Changes in suitability are a function of 10-100 year time-scales related to heather growth, bracken expansion and woodland encroachment </w:t>
      </w:r>
    </w:p>
    <w:p w14:paraId="0FFDC4C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Process based models which include vegetation dynamics (such as VDDT Vegetation Dynamics Development Tool) might overcome these issues and would need more data layers and complexity of computation.</w:t>
      </w:r>
    </w:p>
    <w:p w14:paraId="7152043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1E17A8C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477084D1">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cs="Times New Roman"/>
        </w:rPr>
        <w:drawing>
          <wp:inline distT="0" distB="0" distL="114300" distR="114300">
            <wp:extent cx="6315075" cy="4552950"/>
            <wp:effectExtent l="0" t="0" r="0" b="0"/>
            <wp:docPr id="1873277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77333" name="drawing"/>
                    <pic:cNvPicPr>
                      <a:picLocks noChangeAspect="1"/>
                    </pic:cNvPicPr>
                  </pic:nvPicPr>
                  <pic:blipFill>
                    <a:blip r:embed="rId13"/>
                    <a:stretch>
                      <a:fillRect/>
                    </a:stretch>
                  </pic:blipFill>
                  <pic:spPr>
                    <a:xfrm>
                      <a:off x="0" y="0"/>
                      <a:ext cx="6315075" cy="4552950"/>
                    </a:xfrm>
                    <a:prstGeom prst="rect">
                      <a:avLst/>
                    </a:prstGeom>
                  </pic:spPr>
                </pic:pic>
              </a:graphicData>
            </a:graphic>
          </wp:inline>
        </w:drawing>
      </w:r>
    </w:p>
    <w:p w14:paraId="36FC541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iCs/>
          <w:caps w:val="0"/>
          <w:smallCaps w:val="0"/>
          <w:color w:val="000000" w:themeColor="text1" w:themeTint="FF"/>
          <w:sz w:val="24"/>
          <w:szCs w:val="24"/>
          <w:lang w:val="en-GB"/>
          <w14:textFill>
            <w14:solidFill>
              <w14:schemeClr w14:val="tx1">
                <w14:lumMod w14:val="100000"/>
                <w14:lumOff w14:val="0"/>
              </w14:schemeClr>
            </w14:solidFill>
          </w14:textFill>
        </w:rPr>
        <w:t>Figure 9: Final Ring Ouzel habitat suitability map for Craig y nos showing three suitability classes (High: 2.5 3.0, Moderate: 1.5 2.5, Low: 0.0 1.5) with cartographic elements including scale bar, north arrow, and legend.</w:t>
      </w:r>
    </w:p>
    <w:p w14:paraId="13B386CC">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5.3 Comparison with Traditional Methods:</w:t>
      </w:r>
    </w:p>
    <w:p w14:paraId="645537F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5.3.1 Field Survey Approach:</w:t>
      </w:r>
    </w:p>
    <w:p w14:paraId="4F04A48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Traditional Ring Ouzel surveys rely on territory mapping by experienced ornithologists:</w:t>
      </w:r>
    </w:p>
    <w:p w14:paraId="48ED2B31">
      <w:pPr>
        <w:pStyle w:val="10"/>
        <w:numPr>
          <w:ilvl w:val="0"/>
          <w:numId w:val="3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Sample Size: 46 visits; repeated visits (4 6) during breeding season; auditory and visual detection </w:t>
      </w:r>
    </w:p>
    <w:p w14:paraId="2078BA35">
      <w:pPr>
        <w:pStyle w:val="10"/>
        <w:numPr>
          <w:ilvl w:val="0"/>
          <w:numId w:val="3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Input: Data tables for distance measures for territory locations, and for estimates of breeding success; </w:t>
      </w:r>
    </w:p>
    <w:p w14:paraId="462073A2">
      <w:pPr>
        <w:pStyle w:val="10"/>
        <w:numPr>
          <w:ilvl w:val="0"/>
          <w:numId w:val="3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Output: Dot map of locations of territories, and estimates of breeding success. </w:t>
      </w:r>
    </w:p>
    <w:p w14:paraId="4AE151C8">
      <w:pPr>
        <w:pStyle w:val="10"/>
        <w:numPr>
          <w:ilvl w:val="0"/>
          <w:numId w:val="30"/>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Pitfalls: Only suitable for presence/absence; behavioural observations </w:t>
      </w:r>
    </w:p>
    <w:p w14:paraId="3CCCB6E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Limitations: Time consuming (450 ha requires 200-300 person hours); Data only available during certain seasons (typically March through July) and observer bias (detection probability varies); No prediction of unsurveyed areas. </w:t>
      </w:r>
    </w:p>
    <w:p w14:paraId="6139E1A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5.3.2 GIS Approach:</w:t>
      </w:r>
    </w:p>
    <w:p w14:paraId="59AB2ADF">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Data Processing Method: Multi criteria evaluation, based on layers provided in the environment:</w:t>
      </w:r>
    </w:p>
    <w:p w14:paraId="1AAB3337">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Research context: Gulf waters and the Central Rocky Mountains; lacks project-specific context.Themes: lack; continuity between them and with the spatial context; project-specific theme. </w:t>
      </w:r>
    </w:p>
    <w:p w14:paraId="388A1BD6">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Weaknesses: Training requirements may be high; Vehicle identification difficult, as accuracy decreases at night and in windy conditions; Operational complexity; Training requirements could be even higher at night; Visualization of the TAN as a whole could be challenging. </w:t>
      </w:r>
    </w:p>
    <w:p w14:paraId="48904878">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Strengths: Good at recognizing landscape processes and structure; Does not require input of excellent data; Can determine the “realness” of presence (validation); Are able to include microhabitat features</w:t>
      </w:r>
    </w:p>
    <w:p w14:paraId="7703211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5.3.3 Integrated Approach:</w:t>
      </w:r>
    </w:p>
    <w:p w14:paraId="03AC839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Both methods of conservation must be used together as the best strategy: </w:t>
      </w:r>
    </w:p>
    <w:p w14:paraId="3DAE627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GIS modelling: GIS to identify high suitability survey areas (priority areas) </w:t>
      </w:r>
    </w:p>
    <w:p w14:paraId="0DF09BB0">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presence/absence of species (Field validation): found in validation areas </w:t>
      </w:r>
    </w:p>
    <w:p w14:paraId="039DE9B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Improve the model over time using field data adaptive management. </w:t>
      </w:r>
    </w:p>
    <w:p w14:paraId="5380490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predictive accuracy of 83.3% when compared to field investments shows the potential of GIS to direct traditional field survey effort and lower the time and expense.</w:t>
      </w:r>
    </w:p>
    <w:p w14:paraId="57E294C6">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5.4 Management Implications:</w:t>
      </w:r>
    </w:p>
    <w:p w14:paraId="32EE00A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5.4.1 Habitat Enhancement Priorities:</w:t>
      </w:r>
    </w:p>
    <w:p w14:paraId="784F374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To carry out suitable management actions, the following management actions are recommended: </w:t>
      </w:r>
    </w:p>
    <w:p w14:paraId="445721B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Priority 1 is to protect High Suitability Habitat (78.4 ha): Judgement: Enlarge NNR boundary to cover all areas of high suitability Access Management: High impact routes are closed for part of the year (March to July) Continue with grazing maintenance regime. Exmoor pony (0.5 LU/ha) </w:t>
      </w:r>
    </w:p>
    <w:p w14:paraId="181DE74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Priority 2 Improve Moderate Suitability (201.3 ha): Heather management: Rotational burning (10 – 15 years) for a 40 – 60% cover Juniper planting: aim for 15% growth by 2035 as a proportion of the total number of shrubs being planted (berry producing shrubs), based on the current number of berry producing shrubs planted. Control bracken by grazing/chemical management to improve the grasslands. </w:t>
      </w:r>
    </w:p>
    <w:p w14:paraId="17F898E6">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Priority 3: restore Low Suitability Areas (170.3 ha): Selection of conifer plantation (A1.2.2) contiguous to high suitability areas when felling woodland. Scrub clearance - Clear away thick bracken to allow more substrates to be found for nests</w:t>
      </w:r>
    </w:p>
    <w:p w14:paraId="3F2115C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5.4.2 Climate Change Adaptation:</w:t>
      </w:r>
    </w:p>
    <w:p w14:paraId="3C725D56">
      <w:pPr>
        <w:bidi w:val="0"/>
        <w:spacing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South Wales populations are at risk of range limit expansion because climate models predict an extension of their range of up to 80 100km northwards until 2080 (Pearce Higgins et al., 2017). GIS analysis is used for finding climate refugia: </w:t>
      </w:r>
    </w:p>
    <w:p w14:paraId="63342856">
      <w:pPr>
        <w:bidi w:val="0"/>
        <w:spacing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Micro refugia Characteristics:</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South facing slopes: 37.6% of high suitability habitat 60.1% of high suitability habitat at high elevation (&gt;500m). Consequently, there will be an additional air movement drain away from the valley and a retaining of moisture. </w:t>
      </w:r>
    </w:p>
    <w:p w14:paraId="668D60E9">
      <w:pPr>
        <w:bidi w:val="0"/>
        <w:spacing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2"/>
          <w:szCs w:val="22"/>
          <w:lang w:val="en-GB"/>
          <w14:textFill>
            <w14:solidFill>
              <w14:schemeClr w14:val="tx1">
                <w14:lumMod w14:val="100000"/>
                <w14:lumOff w14:val="0"/>
              </w14:schemeClr>
            </w14:solidFill>
          </w14:textFill>
        </w:rPr>
        <w:t>Management Strategy:</w:t>
      </w: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Conserve refugia: Prioritise conservation of north facing, high elevation sites Improve connectivity: Connect high suitability patches to provide range shifts. Follow up do suitability analysis again in 5 years to look for climate effects</w:t>
      </w:r>
    </w:p>
    <w:p w14:paraId="622FB5A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5.4.3 Monitoring Framework:</w:t>
      </w:r>
    </w:p>
    <w:p w14:paraId="0E272AA7">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Indicators of Success:</w:t>
      </w:r>
    </w:p>
    <w:p w14:paraId="337DBE05">
      <w:pPr>
        <w:pStyle w:val="10"/>
        <w:numPr>
          <w:ilvl w:val="0"/>
          <w:numId w:val="3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High suitability habitat area (HSUH): Maintain/increase (baseline: 78.4 ha) </w:t>
      </w:r>
    </w:p>
    <w:p w14:paraId="48712C6C">
      <w:pPr>
        <w:pStyle w:val="10"/>
        <w:numPr>
          <w:ilvl w:val="0"/>
          <w:numId w:val="3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Population of breeding pairs: Up 8 10 pairs by 2035 (key mapping targets: Dartmoor). </w:t>
      </w:r>
    </w:p>
    <w:p w14:paraId="408612A5">
      <w:pPr>
        <w:pStyle w:val="10"/>
        <w:numPr>
          <w:ilvl w:val="0"/>
          <w:numId w:val="3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Breeding success enhances success in breeding with 60% nest success (current: ~ 50%). </w:t>
      </w:r>
    </w:p>
    <w:p w14:paraId="04D09EB4">
      <w:pPr>
        <w:pStyle w:val="10"/>
        <w:numPr>
          <w:ilvl w:val="0"/>
          <w:numId w:val="31"/>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Habitat quality: Add 15% juniper cover; Keep sward height (head) any 5-10cm </w:t>
      </w:r>
    </w:p>
    <w:p w14:paraId="307EE5B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Monitoring Protocol:</w:t>
      </w:r>
    </w:p>
    <w:p w14:paraId="01D5E4FB">
      <w:pPr>
        <w:pStyle w:val="10"/>
        <w:numPr>
          <w:ilvl w:val="0"/>
          <w:numId w:val="32"/>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Annual: Territory mapping (March July); Breeding success assessment </w:t>
      </w:r>
    </w:p>
    <w:p w14:paraId="0032E4ED">
      <w:pPr>
        <w:pStyle w:val="10"/>
        <w:numPr>
          <w:ilvl w:val="0"/>
          <w:numId w:val="32"/>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Biennial: Phase 1 habitat survey update.grazing impact assessment </w:t>
      </w:r>
    </w:p>
    <w:p w14:paraId="6AD2DD35">
      <w:pPr>
        <w:pStyle w:val="10"/>
        <w:numPr>
          <w:ilvl w:val="0"/>
          <w:numId w:val="32"/>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Quinquennial: Update GIS suitability model with new DEM/land cover data every 5 years.</w:t>
      </w:r>
    </w:p>
    <w:p w14:paraId="629DA089">
      <w:pPr>
        <w:bidi w:val="0"/>
        <w:spacing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683BD8B8">
      <w:pPr>
        <w:pStyle w:val="3"/>
        <w:keepNext/>
        <w:keepLines/>
        <w:bidi w:val="0"/>
        <w:spacing w:before="299" w:beforeAutospacing="0" w:after="299" w:afterAutospacing="0" w:line="360" w:lineRule="auto"/>
        <w:rPr>
          <w:rFonts w:hint="default" w:ascii="Times New Roman" w:hAnsi="Times New Roman" w:eastAsia="Arial" w:cs="Times New Roman"/>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6. Conclusion: GIS as a Tool for Evidence Based Conservation:</w:t>
      </w:r>
    </w:p>
    <w:p w14:paraId="5B395E9D">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6.1 Synthesis of Key Findings:</w:t>
      </w:r>
    </w:p>
    <w:p w14:paraId="59CEC41B">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It is through this analysis that it is shown how powerful GIS suitability modelling can be to ring ouzel conservation in South Wales. The main conclusions are that: </w:t>
      </w:r>
    </w:p>
    <w:p w14:paraId="59D1BE29">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14:paraId="408FC1D0">
      <w:pPr>
        <w:pStyle w:val="10"/>
        <w:numPr>
          <w:ilvl w:val="0"/>
          <w:numId w:val="3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High suitability habitat extent: 78.4 hectares (17.4% of the study area) modelled as suitable (2.5 3.0/3.0), with this habitat occurring in the north of Fan Frynych NNR. </w:t>
      </w:r>
    </w:p>
    <w:p w14:paraId="048AF1AA">
      <w:pPr>
        <w:pStyle w:val="10"/>
        <w:numPr>
          <w:ilvl w:val="0"/>
          <w:numId w:val="3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Using a lagged approach to validation, the accuracy was 83.3% agreement between the fitted suitability and presence of the Ring Ouzel. </w:t>
      </w:r>
    </w:p>
    <w:p w14:paraId="5D571C37">
      <w:pPr>
        <w:pStyle w:val="10"/>
        <w:numPr>
          <w:ilvl w:val="0"/>
          <w:numId w:val="3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Topographic specialization: x2 sites at high suitability that are steep, face north/east and are of high elevation (mean 468m north-east slopes mean 36.2°). </w:t>
      </w:r>
    </w:p>
    <w:p w14:paraId="7BFE3700">
      <w:pPr>
        <w:pStyle w:val="10"/>
        <w:numPr>
          <w:ilvl w:val="0"/>
          <w:numId w:val="3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Habitat mosaic: High suitability zones are dominated by dry heath (60%) and by rock exposure (40 %), and forage is in the form of grassland. </w:t>
      </w:r>
    </w:p>
    <w:p w14:paraId="311A21BA">
      <w:pPr>
        <w:pStyle w:val="10"/>
        <w:numPr>
          <w:ilvl w:val="0"/>
          <w:numId w:val="33"/>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Saving of high suitability habitat : Conservation grazing contributed 11 hectares (14%) since 2015. </w:t>
      </w:r>
    </w:p>
    <w:p w14:paraId="5A647AE8">
      <w:pPr>
        <w:bidi w:val="0"/>
        <w:spacing w:before="0" w:beforeAutospacing="0" w:after="0" w:afterAutospacing="0" w:line="360" w:lineRule="auto"/>
        <w:ind w:left="0"/>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The unsuitability of an area due to disturbance is correlated with suitability score: There are 1.1 points more of suitability values in areas &gt;300m away from pathways than in areas within 100m of pathway.</w:t>
      </w:r>
    </w:p>
    <w:p w14:paraId="6203F739">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6.2 Demonstration of GIS Capabilities:</w:t>
      </w:r>
    </w:p>
    <w:p w14:paraId="67B5BD3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exercise will show you a number of important habitat management skills you should be able to use with GIS:</w:t>
      </w:r>
    </w:p>
    <w:p w14:paraId="4E62897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Spatial Analysis:</w:t>
      </w:r>
    </w:p>
    <w:p w14:paraId="693133EB">
      <w:pPr>
        <w:pStyle w:val="10"/>
        <w:numPr>
          <w:ilvl w:val="0"/>
          <w:numId w:val="3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Consideration of several environmental factors (habitat, foraging, disturbance) at a very fine scale (30m). </w:t>
      </w:r>
    </w:p>
    <w:p w14:paraId="509AA360">
      <w:pPr>
        <w:pStyle w:val="10"/>
        <w:numPr>
          <w:ilvl w:val="0"/>
          <w:numId w:val="3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How much and where is there habitat?Habitat extent and distribution. </w:t>
      </w:r>
    </w:p>
    <w:p w14:paraId="413AB146">
      <w:pPr>
        <w:pStyle w:val="10"/>
        <w:numPr>
          <w:ilvl w:val="0"/>
          <w:numId w:val="34"/>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Drawing up prioritised list of actions for conservation.</w:t>
      </w:r>
    </w:p>
    <w:p w14:paraId="284A1FA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Predictive Modelling:</w:t>
      </w:r>
    </w:p>
    <w:p w14:paraId="0E579940">
      <w:pPr>
        <w:pStyle w:val="10"/>
        <w:numPr>
          <w:ilvl w:val="0"/>
          <w:numId w:val="35"/>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McHarg's layer cake method can accurately investigate the distribution of Ring Ouzel and the results of this are close to 83.3%. </w:t>
      </w:r>
    </w:p>
    <w:p w14:paraId="240179E5">
      <w:pPr>
        <w:pStyle w:val="10"/>
        <w:numPr>
          <w:ilvl w:val="0"/>
          <w:numId w:val="35"/>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Within the habitat portion, weight-overlay analysis identified the structure of the habitat (0.50) and the proximity to foraging habitat (0.30) as the most important. </w:t>
      </w:r>
    </w:p>
    <w:p w14:paraId="435AF90E">
      <w:pPr>
        <w:pStyle w:val="10"/>
        <w:numPr>
          <w:ilvl w:val="0"/>
          <w:numId w:val="35"/>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Model can be applied to other upland areas for regional planning for conservation.</w:t>
      </w:r>
    </w:p>
    <w:p w14:paraId="4E8C55D5">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Decision Support:</w:t>
      </w:r>
    </w:p>
    <w:p w14:paraId="2BCAAA48">
      <w:pPr>
        <w:pStyle w:val="10"/>
        <w:numPr>
          <w:ilvl w:val="0"/>
          <w:numId w:val="36"/>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Objective basis for management prioritisation (protect 78.4 ha high suitability habitat) </w:t>
      </w:r>
    </w:p>
    <w:p w14:paraId="544F6293">
      <w:pPr>
        <w:pStyle w:val="10"/>
        <w:numPr>
          <w:ilvl w:val="0"/>
          <w:numId w:val="36"/>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objective on this resource area is to increase suitable habitat for terrestrial wildlife, which is the result of effective management (quantitative evidence: +14% suitable habitat through grazing). </w:t>
      </w:r>
    </w:p>
    <w:p w14:paraId="6F5B2461">
      <w:pPr>
        <w:pStyle w:val="10"/>
        <w:numPr>
          <w:ilvl w:val="0"/>
          <w:numId w:val="36"/>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Model of adaptive management (repeat analyses every 5 years, said again every 5 years).</w:t>
      </w:r>
    </w:p>
    <w:p w14:paraId="6796972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Communication:</w:t>
      </w:r>
    </w:p>
    <w:p w14:paraId="0D986C88">
      <w:pPr>
        <w:pStyle w:val="10"/>
        <w:numPr>
          <w:ilvl w:val="0"/>
          <w:numId w:val="37"/>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Professional maps enable stakeholders to be involved. </w:t>
      </w:r>
    </w:p>
    <w:p w14:paraId="4F51F7B7">
      <w:pPr>
        <w:pStyle w:val="10"/>
        <w:numPr>
          <w:ilvl w:val="0"/>
          <w:numId w:val="37"/>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Transparent visualisation of conservation priorities for land managers, policy makers and the public</w:t>
      </w:r>
    </w:p>
    <w:p w14:paraId="765FC21C">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6.3 Future Directions and Recommendations:</w:t>
      </w:r>
    </w:p>
    <w:p w14:paraId="2B851BEA">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6.3.1 Methodological Improvements:</w:t>
      </w:r>
    </w:p>
    <w:p w14:paraId="2E539A6F">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Machine Learning Integration: Future analyses should investigate Maximum Entropy (MaxEnt) modelling and/or Random Forest modelling that both allows for non linear interaction between variables and has the capacity to reflect multiple ecological relationships, and yields probability surfaces instead of categorical scores. </w:t>
      </w:r>
    </w:p>
    <w:p w14:paraId="637756EE">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Temporal dynamics: use multi temporal satellite image data (Landsat and Sentinel 2) for vegetation change detection, repeat LiDAR surveys for structural habitat monitoring and climate (UKCP18 projections) data for scenario modelling. </w:t>
      </w:r>
    </w:p>
    <w:p w14:paraId="3A6187B8">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3D Habitat Structure (OPTIONAL): Describe canopy structure (height, density), vertical structure of vegetation and micro topographic features (boulder fields, gully networks) using LiDAR-derived products. </w:t>
      </w:r>
    </w:p>
    <w:p w14:paraId="0AC35BF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[NOTE: I didn’t use because of hardware imitations, instead I used OS TERRAIN 50 DEM.]</w:t>
      </w:r>
    </w:p>
    <w:p w14:paraId="2B6AB542">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6.3.2 Conservation Actions:</w:t>
      </w:r>
    </w:p>
    <w:p w14:paraId="52F96609">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Immediate Priorities (2026 2030):</w:t>
      </w:r>
    </w:p>
    <w:p w14:paraId="715F739C">
      <w:pPr>
        <w:pStyle w:val="10"/>
        <w:numPr>
          <w:ilvl w:val="0"/>
          <w:numId w:val="3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Statutory protection should be considered for all of the HSA (78.4ha) which should be designated as a SSSI, or the NNR boundary extended to cover all of the HSA. </w:t>
      </w:r>
    </w:p>
    <w:p w14:paraId="479079A8">
      <w:pPr>
        <w:pStyle w:val="10"/>
        <w:numPr>
          <w:ilvl w:val="0"/>
          <w:numId w:val="3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What are the management plans for access? close of seasonal paths (March July) along 4.1km of high impact routes </w:t>
      </w:r>
    </w:p>
    <w:p w14:paraId="70C700D5">
      <w:pPr>
        <w:pStyle w:val="10"/>
        <w:numPr>
          <w:ilvl w:val="0"/>
          <w:numId w:val="3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Grazing optimisation  management regime remains on Exmoor ponies, however the area of open grazing is increased to moderate suitability (201.3 ha). </w:t>
      </w:r>
    </w:p>
    <w:p w14:paraId="6A9958F6">
      <w:pPr>
        <w:pStyle w:val="10"/>
        <w:numPr>
          <w:ilvl w:val="0"/>
          <w:numId w:val="38"/>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Juniper restoration: high suitability - plant 500 juniper saplings and protect against browsing. </w:t>
      </w:r>
    </w:p>
    <w:p w14:paraId="5DD0855C">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Medium term Goals (2030 2035):</w:t>
      </w:r>
    </w:p>
    <w:p w14:paraId="4ECF84EA">
      <w:pPr>
        <w:pStyle w:val="10"/>
        <w:numPr>
          <w:ilvl w:val="0"/>
          <w:numId w:val="3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Population recovery: Change breeding pairs up to 8 10 from 3 5.Population recovery: Add somewhere between 3 5 and 8 10 pairs of "population recovery". </w:t>
      </w:r>
    </w:p>
    <w:p w14:paraId="5BBAD2A9">
      <w:pPr>
        <w:pStyle w:val="10"/>
        <w:numPr>
          <w:ilvl w:val="0"/>
          <w:numId w:val="3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Improvement of habitat (recovery): Intermittent small-scale management across higher suitability habitat, creating a total of 100+ hectares; </w:t>
      </w:r>
    </w:p>
    <w:p w14:paraId="23D4DADA">
      <w:pPr>
        <w:pStyle w:val="10"/>
        <w:numPr>
          <w:ilvl w:val="0"/>
          <w:numId w:val="3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Climate adaptation: Search for and secure micro refugia; create habitat corridors. </w:t>
      </w:r>
    </w:p>
    <w:p w14:paraId="553F8252">
      <w:pPr>
        <w:pStyle w:val="10"/>
        <w:numPr>
          <w:ilvl w:val="0"/>
          <w:numId w:val="39"/>
        </w:num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This monitoring framework involves annual updating of mapping of territories, and every 5 years updating the GIS model.</w:t>
      </w:r>
    </w:p>
    <w:p w14:paraId="50178ED4">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bCs/>
          <w:i w:val="0"/>
          <w:iCs w:val="0"/>
          <w:caps w:val="0"/>
          <w:smallCaps w:val="0"/>
          <w:color w:val="000000" w:themeColor="text1" w:themeTint="FF"/>
          <w:sz w:val="24"/>
          <w:szCs w:val="24"/>
          <w:lang w:val="en-GB"/>
          <w14:textFill>
            <w14:solidFill>
              <w14:schemeClr w14:val="tx1">
                <w14:lumMod w14:val="100000"/>
                <w14:lumOff w14:val="0"/>
              </w14:schemeClr>
            </w14:solidFill>
          </w14:textFill>
        </w:rPr>
        <w:t>Long term Vision (2035 2050):</w:t>
      </w:r>
    </w:p>
    <w:p w14:paraId="3348E9ED">
      <w:pPr>
        <w:pStyle w:val="10"/>
        <w:numPr>
          <w:ilvl w:val="0"/>
          <w:numId w:val="40"/>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results showed that there were 15+ breeding pairs present with a breeding success of &gt;60%. </w:t>
      </w:r>
    </w:p>
    <w:p w14:paraId="22781DD3">
      <w:pPr>
        <w:pStyle w:val="10"/>
        <w:numPr>
          <w:ilvl w:val="0"/>
          <w:numId w:val="40"/>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In contrast to the prediction of range contraction, the population of one species in South Wales is expected to remain stable under climate change.A population in South Wales is expected to persist even though the species is projected to lose its range. </w:t>
      </w:r>
    </w:p>
    <w:p w14:paraId="7E192FE7">
      <w:pPr>
        <w:pStyle w:val="10"/>
        <w:numPr>
          <w:ilvl w:val="0"/>
          <w:numId w:val="40"/>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Landscale conservation co-ordination: Co-ordinated management in Brecon Beacons National Park. </w:t>
      </w:r>
    </w:p>
    <w:p w14:paraId="3251900E">
      <w:pPr>
        <w:pStyle w:val="10"/>
        <w:numPr>
          <w:ilvl w:val="0"/>
          <w:numId w:val="40"/>
        </w:numPr>
        <w:bidi w:val="0"/>
        <w:spacing w:before="0" w:beforeAutospacing="0" w:after="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Best practice: Transferring knowledge to other upland specialists, such as Golden Plover and Merlin</w:t>
      </w:r>
    </w:p>
    <w:p w14:paraId="0A92B41F">
      <w:pPr>
        <w:pStyle w:val="4"/>
        <w:keepNext/>
        <w:keepLines/>
        <w:bidi w:val="0"/>
        <w:spacing w:before="281" w:beforeAutospacing="0" w:after="281" w:afterAutospacing="0" w:line="360" w:lineRule="auto"/>
        <w:rPr>
          <w:rFonts w:hint="default" w:ascii="Times New Roman" w:hAnsi="Times New Roman" w:eastAsia="Arial" w:cs="Times New Roman"/>
          <w:b w:val="0"/>
          <w:bCs w:val="0"/>
          <w:i w:val="0"/>
          <w:iCs w:val="0"/>
          <w:caps w:val="0"/>
          <w:smallCaps w:val="0"/>
          <w:color w:val="156082" w:themeColor="accent1" w:themeTint="FF"/>
          <w:sz w:val="28"/>
          <w:szCs w:val="28"/>
          <w:lang w:val="en-GB"/>
          <w14:textFill>
            <w14:solidFill>
              <w14:schemeClr w14:val="accent1">
                <w14:lumMod w14:val="100000"/>
                <w14:lumOff w14:val="0"/>
              </w14:schemeClr>
            </w14:solidFill>
          </w14:textFill>
        </w:rPr>
      </w:pPr>
      <w:r>
        <w:rPr>
          <w:rFonts w:hint="default" w:ascii="Times New Roman" w:hAnsi="Times New Roman" w:eastAsia="Arial" w:cs="Times New Roman"/>
          <w:b/>
          <w:bCs/>
          <w:i w:val="0"/>
          <w:iCs w:val="0"/>
          <w:caps w:val="0"/>
          <w:smallCaps w:val="0"/>
          <w:color w:val="156082" w:themeColor="accent1" w:themeTint="FF"/>
          <w:sz w:val="28"/>
          <w:szCs w:val="28"/>
          <w:lang w:val="en-GB"/>
          <w14:textFill>
            <w14:solidFill>
              <w14:schemeClr w14:val="accent1">
                <w14:lumMod w14:val="100000"/>
                <w14:lumOff w14:val="0"/>
              </w14:schemeClr>
            </w14:solidFill>
          </w14:textFill>
        </w:rPr>
        <w:t>6.4 Final Reflection:</w:t>
      </w:r>
    </w:p>
    <w:p w14:paraId="3431E90B">
      <w:pPr>
        <w:bidi w:val="0"/>
        <w:spacing w:before="240" w:beforeAutospacing="0" w:after="240" w:afterAutospacing="0" w:line="360" w:lineRule="auto"/>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This analysis demonstrates GIS does not be a mapping tool, it is a complete decision support system, making conservation practice more proactive than reactive, anecdotal rather than evidence-based, and landscape than local. With the ability to incorporate both empirical data (such as Phase 1 survey, LiDAR) and ecological theory (McHarg's layer cake framework), and to combine them with day-to-day conservation management like livestock grazing and access control, GIS allows conservation practitioners to get a better handle on complex species habitat relationships, inform their planning on spatial patterns of suitability of species habitat, prioritize limited conservation resources, monitor management impacts over time, and then communicate these impacts with stakeholders. </w:t>
      </w:r>
    </w:p>
    <w:p w14:paraId="6D0C327B">
      <w:pPr>
        <w:bidi w:val="0"/>
        <w:spacing w:before="240" w:beforeAutospacing="0" w:after="240" w:afterAutospacing="0" w:line="360" w:lineRule="auto"/>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ascii="Times New Roman" w:hAnsi="Times New Roman" w:eastAsia="Arial" w:cs="Times New Roman"/>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GIS based suitability modelling is the missing piece in works of spatial intelligence to prevent extinction and aid recovery of a species on the brink of local extinction for the Ring Ouzel in South Wales. The simplified 5 habitat classification and 3 layer weighted overlay approach presented here can be replicated with other upland specialists and conservation problems and is also applicable to other conservationists, and has the potential to support greater biodiversity outcomes by innovative use of geospatial technology.</w:t>
      </w:r>
    </w:p>
    <w:p w14:paraId="1B8431D9">
      <w:pPr>
        <w:pStyle w:val="3"/>
        <w:keepNext/>
        <w:keepLines/>
        <w:bidi w:val="0"/>
        <w:spacing w:before="299" w:beforeAutospacing="0" w:after="299" w:afterAutospacing="0"/>
        <w:rPr>
          <w:rFonts w:ascii="Arial" w:hAnsi="Arial" w:eastAsia="Arial" w:cs="Arial"/>
          <w:b w:val="0"/>
          <w:bCs w:val="0"/>
          <w:i w:val="0"/>
          <w:iCs w:val="0"/>
          <w:caps w:val="0"/>
          <w:smallCaps w:val="0"/>
          <w:color w:val="156082" w:themeColor="accent1" w:themeTint="FF"/>
          <w:sz w:val="36"/>
          <w:szCs w:val="36"/>
          <w:lang w:val="en-GB"/>
          <w14:textFill>
            <w14:solidFill>
              <w14:schemeClr w14:val="accent1">
                <w14:lumMod w14:val="100000"/>
                <w14:lumOff w14:val="0"/>
              </w14:schemeClr>
            </w14:solidFill>
          </w14:textFill>
        </w:rPr>
      </w:pPr>
      <w:r>
        <w:rPr>
          <w:rFonts w:ascii="Arial" w:hAnsi="Arial" w:eastAsia="Arial" w:cs="Arial"/>
          <w:b/>
          <w:bCs/>
          <w:i w:val="0"/>
          <w:iCs w:val="0"/>
          <w:caps w:val="0"/>
          <w:smallCaps w:val="0"/>
          <w:color w:val="156082" w:themeColor="accent1" w:themeTint="FF"/>
          <w:sz w:val="36"/>
          <w:szCs w:val="36"/>
          <w:lang w:val="en-GB"/>
          <w14:textFill>
            <w14:solidFill>
              <w14:schemeClr w14:val="accent1">
                <w14:lumMod w14:val="100000"/>
                <w14:lumOff w14:val="0"/>
              </w14:schemeClr>
            </w14:solidFill>
          </w14:textFill>
        </w:rPr>
        <w:t>References</w:t>
      </w:r>
    </w:p>
    <w:p w14:paraId="05280466">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Alexander, M. (2013)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Management Planning for Nature Conservation: A Theoretical Basis &amp; Practical Guide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2nd Edition. Springer.</w:t>
      </w:r>
    </w:p>
    <w:p w14:paraId="6A8E2944">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Averis, A.M., Averis, A.B.G., Birks, H.J.B., Horsfield, D., Thompson, D.B.A. and Yeo, M.J.M. (2004)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An Illustrated Guide to British Upland Vegetation</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Peterborough: Joint Nature Conservation Committee.</w:t>
      </w:r>
    </w:p>
    <w:p w14:paraId="502C4A71">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Burfield, I.J. and De L Brooke, M. (2005) 'The decline of the Ring Ouzel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Turdus torquatus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in Britain: Evidence from bird observatory data',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Ringing &amp; Migration</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22(4), pp. 199 204.</w:t>
      </w:r>
    </w:p>
    <w:p w14:paraId="06302516">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Ceballos, G., Ehrlich, P.R., Barnosky, A.D., García, A., Pringle, R.M. and Palmer, T.M. (2015) 'Accelerated modern human induced species losses: Entering the sixth mass extinction',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Science Advances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1(5), p. e1400253.</w:t>
      </w:r>
    </w:p>
    <w:p w14:paraId="6F67B038">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Dartmoor Ring Ouzel Delivery Plan (2014)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Dartmoor National Park Authority</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Available at: </w:t>
      </w:r>
      <w:r>
        <w:fldChar w:fldCharType="begin"/>
      </w:r>
      <w:r>
        <w:instrText xml:space="preserve"> HYPERLINK "https://www.dartmoor.gov.uk/" \h </w:instrText>
      </w:r>
      <w:r>
        <w:fldChar w:fldCharType="separate"/>
      </w:r>
      <w:r>
        <w:rPr>
          <w:rStyle w:val="8"/>
          <w:rFonts w:ascii="Arial" w:hAnsi="Arial" w:eastAsia="Arial" w:cs="Arial"/>
          <w:b w:val="0"/>
          <w:bCs w:val="0"/>
          <w:i w:val="0"/>
          <w:iCs w:val="0"/>
          <w:caps w:val="0"/>
          <w:smallCaps w:val="0"/>
          <w:strike w:val="0"/>
          <w:dstrike w:val="0"/>
          <w:lang w:val="en-GB"/>
        </w:rPr>
        <w:t>https://www.dartmoor.gov.uk</w:t>
      </w:r>
      <w:r>
        <w:rPr>
          <w:rStyle w:val="8"/>
          <w:rFonts w:ascii="Arial" w:hAnsi="Arial" w:eastAsia="Arial" w:cs="Arial"/>
          <w:b w:val="0"/>
          <w:bCs w:val="0"/>
          <w:i w:val="0"/>
          <w:iCs w:val="0"/>
          <w:caps w:val="0"/>
          <w:smallCaps w:val="0"/>
          <w:strike w:val="0"/>
          <w:dstrike w:val="0"/>
          <w:lang w:val="en-GB"/>
        </w:rPr>
        <w:fldChar w:fldCharType="end"/>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(Accessed: 15 May 2026).</w:t>
      </w:r>
    </w:p>
    <w:p w14:paraId="3074243D">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Eaton, M.A., Aebischer, N.J., Brown, A.F., Hearn, R.D., Lock, L., Musgrove, A.J., Noble, D.G., Stroud, D.A. and Gregory, R.D. (2015) 'Birds of Conservation Concern 4: the population status of birds in the United Kingdom, Channel Islands and Isle of Man',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British Birds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108, pp. 708 746.</w:t>
      </w:r>
    </w:p>
    <w:p w14:paraId="6864E389">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Elkington, T., Dayton, N., Jackson, D.L. and Strachan, I.M. (2001)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National Vegetation Classification: Field Guide to Mires and Heaths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Peterborough: Joint Nature Conservation Committee.</w:t>
      </w:r>
    </w:p>
    <w:p w14:paraId="5150774D">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Guisan, A. and Zimmermann, N.E. (2000) 'Predictive habitat distribution models in ecology',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Ecological Modelling</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135(2 3), pp. 147 186.</w:t>
      </w:r>
    </w:p>
    <w:p w14:paraId="4685DC8E">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Hall, J.E., Kirby, K.J. and Whitbread, A.M. (2001)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National Vegetation Classification: Field Guide to Woodland</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Peterborough: Joint Nature Conservation Committee.</w:t>
      </w:r>
    </w:p>
    <w:p w14:paraId="1A1441B9">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Heywood, I., Cornelius, S. and Carver, S. (2011)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An Introduction to Geographical Information Systems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4th ed. Essex: Pearson Education.</w:t>
      </w:r>
    </w:p>
    <w:p w14:paraId="69EB13F3">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IPBES (2019)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Global Assessment Report on Biodiversity and Ecosystem Services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Bonn: Intergovernmental Science Policy Platform on Biodiversity and Ecosystem Services.</w:t>
      </w:r>
    </w:p>
    <w:p w14:paraId="3DC2C598">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Jackson, D.L. (2000)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Guidance on the Interpretation of the Biodiversity Broad Habitat Classification (Terrestrial and Freshwater Types): Definitions and the Relationship with Other Habitat Classifications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JNCC Report No. 307. Peterborough: Joint Nature Conservation Committee.</w:t>
      </w:r>
    </w:p>
    <w:p w14:paraId="0EA0743E">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Jenkins, A., Smallshire, D. and Robertson, P. (2019)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The Ring Ouzel</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London: Bloomsbury Publishing.</w:t>
      </w:r>
    </w:p>
    <w:p w14:paraId="13DA74F6">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Joint Nature Conservation Committee (JNCC) (2010)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Handbook for Phase 1 Habitat Survey: A Technique for Environmental Audit</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Revised reprint 2010. Peterborough: JNCC.</w:t>
      </w:r>
    </w:p>
    <w:p w14:paraId="32B61A7D">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Longley, P., Goodchild, M., Maguire, D. and Rhind, D. (2015)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Geographical Information Systems and Science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Hoboken, NJ: Wiley.</w:t>
      </w:r>
    </w:p>
    <w:p w14:paraId="2C04B84E">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Margules, C.R. and Pressey, R.L. (2000) 'Systematic conservation planning',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Nature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405(6783), pp. 243 253.</w:t>
      </w:r>
    </w:p>
    <w:p w14:paraId="26FAD0E0">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McHarg, I.L. (1969)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Design with Nature</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New York: Natural History Press.</w:t>
      </w:r>
    </w:p>
    <w:p w14:paraId="776DABE3">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Pearce Higgins, J.W., Ockendon, N., Baker, D.J., Carr, J., White, E.C., Almond, R.E.A., Amano, T., Bertram, E., Bradbury, R.B., Bradley, C. and Butchart, S.H.M. (2017) 'Geographical variation in species' population responses to changes in temperature and precipitation',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Proceedings of the Royal Society B: Biological Sciences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284(1867), p. 20171562.</w:t>
      </w:r>
    </w:p>
    <w:p w14:paraId="10F203DE">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Rodwell, J.S. (ed.) (1991a)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British Plant Communities, Vol. 1: Woodlands and Scrub</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Cambridge: Cambridge University Press.</w:t>
      </w:r>
    </w:p>
    <w:p w14:paraId="0B770D62">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Rodwell, J.S. (ed.) (1991b)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British Plant Communities, Vol. 2: Mires and Heaths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Cambridge: Cambridge University Press.</w:t>
      </w:r>
    </w:p>
    <w:p w14:paraId="102AB913">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Rodwell, J.S. (ed.) (1992)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British Plant Communities, Vol. 3: Grassland and Montane Communities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Cambridge: Cambridge University Press.</w:t>
      </w:r>
    </w:p>
    <w:p w14:paraId="7A32A028">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Rodwell, J.S. (2006)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National Vegetation Classification: Users' Handbook</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Peterborough: Joint Nature Conservation Committee.</w:t>
      </w:r>
    </w:p>
    <w:p w14:paraId="0424A007">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Rumeu, B., Elias, R.B., Arechavaleta, M., Moura, M. and Nogales, M. (2025) 'Movements and habitat use by ring ouzels in El Teide National Park: Conservation implications for a relict plant frugivore system',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Global Ecology and Conservation</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62, p. e03704.</w:t>
      </w:r>
    </w:p>
    <w:p w14:paraId="31C3008E">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Snow, D.W. and Perrins, C.M. (1998)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The Birds of the Western Palearctic</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Vol. 2. Oxford: Oxford University Press.</w:t>
      </w:r>
    </w:p>
    <w:p w14:paraId="22FDB9D7">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Stace, C. (1997)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New Flora of the British Isles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2nd ed. Cambridge: Cambridge University Press.</w:t>
      </w:r>
    </w:p>
    <w:p w14:paraId="12F275F3">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Stace, C. (1999)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Field Flora of the British Isles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Cambridge: Cambridge University Press.</w:t>
      </w:r>
    </w:p>
    <w:p w14:paraId="13062DBA">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Williams, B.K., Nichols, J.D. and Conroy, M.J. (2009)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Analysis and Management of Animal Populations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San Diego: Academic Press.</w:t>
      </w:r>
    </w:p>
    <w:p w14:paraId="2B042698">
      <w:pPr>
        <w:bidi w:val="0"/>
        <w:spacing w:before="240" w:beforeAutospacing="0" w:after="240" w:afterAutospacing="0"/>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Wotton, S.R., Kelly, A.H., O'Brien, M. and Sim, I.M.W. (2016) 'The status of the Ring Ouzel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Turdus torquatus</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in the UK in 2012', </w:t>
      </w:r>
      <w:r>
        <w:rPr>
          <w:rFonts w:ascii="Arial" w:hAnsi="Arial" w:eastAsia="Arial" w:cs="Arial"/>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Bird Study</w:t>
      </w:r>
      <w:r>
        <w:rPr>
          <w:rFonts w:ascii="Arial" w:hAnsi="Arial" w:eastAsia="Arial" w:cs="Arial"/>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63(2), pp. 155 164.</w:t>
      </w:r>
    </w:p>
    <w:p w14:paraId="54E73E39">
      <w:pPr>
        <w:bidi w:val="0"/>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pPr>
    </w:p>
    <w:p w14:paraId="3BFDFB85">
      <w:pPr>
        <w:bidi w:val="0"/>
      </w:pPr>
    </w:p>
    <w:p w14:paraId="605F522B">
      <w:pPr>
        <w:bidi w:val="0"/>
      </w:pPr>
    </w:p>
    <w:p w14:paraId="68E78006">
      <w:pPr>
        <w:bidi w:val="0"/>
      </w:pPr>
    </w:p>
    <w:p w14:paraId="5E3CCBFE">
      <w:pPr>
        <w:bidi w:val="0"/>
      </w:pPr>
    </w:p>
    <w:p w14:paraId="78975CF4">
      <w:pPr>
        <w:bidi w:val="0"/>
      </w:pPr>
    </w:p>
    <w:p w14:paraId="419601E3">
      <w:pPr>
        <w:bidi w:val="0"/>
      </w:pPr>
    </w:p>
    <w:p w14:paraId="10A1BF09">
      <w:pPr>
        <w:bidi w:val="0"/>
      </w:pPr>
    </w:p>
    <w:p w14:paraId="5D3068FE">
      <w:pPr>
        <w:bidi w:val="0"/>
      </w:pPr>
    </w:p>
    <w:p w14:paraId="6BE3265A">
      <w:pPr>
        <w:bidi w:val="0"/>
      </w:pPr>
    </w:p>
    <w:p w14:paraId="14FB6B53">
      <w:pPr>
        <w:bidi w:val="0"/>
      </w:pPr>
    </w:p>
    <w:p w14:paraId="43753D59">
      <w:pPr>
        <w:bidi w:val="0"/>
      </w:pPr>
    </w:p>
    <w:p w14:paraId="66BD161E">
      <w:pPr>
        <w:bidi w:val="0"/>
      </w:pPr>
    </w:p>
    <w:p w14:paraId="72E2395C">
      <w:pPr>
        <w:bidi w:val="0"/>
      </w:pPr>
    </w:p>
    <w:p w14:paraId="41DE362E">
      <w:pPr>
        <w:bidi w:val="0"/>
      </w:pPr>
    </w:p>
    <w:p w14:paraId="59A2748D">
      <w:pPr>
        <w:bidi w:val="0"/>
      </w:pPr>
    </w:p>
    <w:p w14:paraId="7FAED504">
      <w:pPr>
        <w:bidi w:val="0"/>
      </w:pPr>
    </w:p>
    <w:p w14:paraId="43AF9E8E">
      <w:pPr>
        <w:bidi w:val="0"/>
        <w:ind w:left="161" w:hanging="161" w:hangingChars="50"/>
        <w:rPr>
          <w:rFonts w:hint="default"/>
          <w:b/>
          <w:bCs/>
          <w:color w:val="000000" w:themeColor="text1"/>
          <w:sz w:val="32"/>
          <w:szCs w:val="32"/>
          <w:lang w:val="en-US"/>
          <w14:textFill>
            <w14:solidFill>
              <w14:schemeClr w14:val="tx1"/>
            </w14:solidFill>
          </w14:textFill>
        </w:rPr>
      </w:pPr>
      <w:r>
        <w:rPr>
          <w:rFonts w:hint="default"/>
          <w:b/>
          <w:bCs/>
          <w:color w:val="000000" w:themeColor="text1"/>
          <w:sz w:val="32"/>
          <w:szCs w:val="32"/>
          <w:lang w:val="en-US"/>
          <w14:textFill>
            <w14:solidFill>
              <w14:schemeClr w14:val="tx1"/>
            </w14:solidFill>
          </w14:textFill>
        </w:rPr>
        <w:t>Appendices:</w:t>
      </w:r>
    </w:p>
    <w:p w14:paraId="5914AC7D">
      <w:pPr>
        <w:bidi w:val="0"/>
        <w:ind w:left="161" w:hanging="161" w:hangingChars="50"/>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hint="default"/>
          <w:b/>
          <w:bCs/>
          <w:color w:val="000000" w:themeColor="text1"/>
          <w:sz w:val="32"/>
          <w:szCs w:val="32"/>
          <w:lang w:val="en-US"/>
          <w14:textFill>
            <w14:solidFill>
              <w14:schemeClr w14:val="tx1"/>
            </w14:solidFill>
          </w14:textFill>
        </w:rPr>
        <w:t>Screenshots</w:t>
      </w:r>
      <w:r>
        <w:drawing>
          <wp:inline distT="0" distB="0" distL="114300" distR="114300">
            <wp:extent cx="4915535" cy="3019425"/>
            <wp:effectExtent l="0" t="0" r="0" b="0"/>
            <wp:docPr id="13631711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71181" name="drawing"/>
                    <pic:cNvPicPr>
                      <a:picLocks noChangeAspect="1"/>
                    </pic:cNvPicPr>
                  </pic:nvPicPr>
                  <pic:blipFill>
                    <a:blip r:embed="rId14"/>
                    <a:stretch>
                      <a:fillRect/>
                    </a:stretch>
                  </pic:blipFill>
                  <pic:spPr>
                    <a:xfrm>
                      <a:off x="0" y="0"/>
                      <a:ext cx="4915586" cy="3019948"/>
                    </a:xfrm>
                    <a:prstGeom prst="rect">
                      <a:avLst/>
                    </a:prstGeom>
                  </pic:spPr>
                </pic:pic>
              </a:graphicData>
            </a:graphic>
          </wp:inline>
        </w:drawing>
      </w:r>
    </w:p>
    <w:p w14:paraId="3F41F2F4">
      <w:pPr>
        <w:bidi w:val="0"/>
        <w:rPr>
          <w:rFonts w:ascii="Arial" w:hAnsi="Arial" w:eastAsia="Arial" w:cs="Arial"/>
          <w:b/>
          <w:bCs/>
          <w:i w:val="0"/>
          <w:iCs w:val="0"/>
          <w:caps w:val="0"/>
          <w:smallCaps w:val="0"/>
          <w:color w:val="000000" w:themeColor="text1" w:themeTint="FF"/>
          <w:sz w:val="24"/>
          <w:szCs w:val="24"/>
          <w:lang w:val="en-GB"/>
          <w14:textFill>
            <w14:solidFill>
              <w14:schemeClr w14:val="tx1">
                <w14:lumMod w14:val="100000"/>
                <w14:lumOff w14:val="0"/>
              </w14:schemeClr>
            </w14:solidFill>
          </w14:textFill>
        </w:rPr>
      </w:pPr>
      <w:r>
        <w:drawing>
          <wp:inline distT="0" distB="0" distL="114300" distR="114300">
            <wp:extent cx="2933700" cy="5943600"/>
            <wp:effectExtent l="0" t="0" r="0" b="0"/>
            <wp:docPr id="18205397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539725" name="drawing"/>
                    <pic:cNvPicPr>
                      <a:picLocks noChangeAspect="1"/>
                    </pic:cNvPicPr>
                  </pic:nvPicPr>
                  <pic:blipFill>
                    <a:blip r:embed="rId15"/>
                    <a:stretch>
                      <a:fillRect/>
                    </a:stretch>
                  </pic:blipFill>
                  <pic:spPr>
                    <a:xfrm>
                      <a:off x="0" y="0"/>
                      <a:ext cx="2933700" cy="5943600"/>
                    </a:xfrm>
                    <a:prstGeom prst="rect">
                      <a:avLst/>
                    </a:prstGeom>
                  </pic:spPr>
                </pic:pic>
              </a:graphicData>
            </a:graphic>
          </wp:inline>
        </w:drawing>
      </w:r>
      <w:r>
        <w:drawing>
          <wp:inline distT="0" distB="0" distL="114300" distR="114300">
            <wp:extent cx="5563235" cy="5429885"/>
            <wp:effectExtent l="0" t="0" r="0" b="0"/>
            <wp:docPr id="10370874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87476" name="drawing"/>
                    <pic:cNvPicPr>
                      <a:picLocks noChangeAspect="1"/>
                    </pic:cNvPicPr>
                  </pic:nvPicPr>
                  <pic:blipFill>
                    <a:blip r:embed="rId16"/>
                    <a:stretch>
                      <a:fillRect/>
                    </a:stretch>
                  </pic:blipFill>
                  <pic:spPr>
                    <a:xfrm>
                      <a:off x="0" y="0"/>
                      <a:ext cx="5563376" cy="5430008"/>
                    </a:xfrm>
                    <a:prstGeom prst="rect">
                      <a:avLst/>
                    </a:prstGeom>
                  </pic:spPr>
                </pic:pic>
              </a:graphicData>
            </a:graphic>
          </wp:inline>
        </w:drawing>
      </w:r>
      <w:r>
        <w:drawing>
          <wp:inline distT="0" distB="0" distL="114300" distR="114300">
            <wp:extent cx="5943600" cy="4286250"/>
            <wp:effectExtent l="0" t="0" r="0" b="0"/>
            <wp:docPr id="13324633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63364" name="drawing"/>
                    <pic:cNvPicPr>
                      <a:picLocks noChangeAspect="1"/>
                    </pic:cNvPicPr>
                  </pic:nvPicPr>
                  <pic:blipFill>
                    <a:blip r:embed="rId17"/>
                    <a:stretch>
                      <a:fillRect/>
                    </a:stretch>
                  </pic:blipFill>
                  <pic:spPr>
                    <a:xfrm>
                      <a:off x="0" y="0"/>
                      <a:ext cx="5943600" cy="4286250"/>
                    </a:xfrm>
                    <a:prstGeom prst="rect">
                      <a:avLst/>
                    </a:prstGeom>
                  </pic:spPr>
                </pic:pic>
              </a:graphicData>
            </a:graphic>
          </wp:inline>
        </w:drawing>
      </w:r>
      <w:r>
        <w:drawing>
          <wp:inline distT="0" distB="0" distL="114300" distR="114300">
            <wp:extent cx="5943600" cy="3857625"/>
            <wp:effectExtent l="0" t="0" r="0" b="0"/>
            <wp:docPr id="5378862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86216" name="drawing"/>
                    <pic:cNvPicPr>
                      <a:picLocks noChangeAspect="1"/>
                    </pic:cNvPicPr>
                  </pic:nvPicPr>
                  <pic:blipFill>
                    <a:blip r:embed="rId18"/>
                    <a:stretch>
                      <a:fillRect/>
                    </a:stretch>
                  </pic:blipFill>
                  <pic:spPr>
                    <a:xfrm>
                      <a:off x="0" y="0"/>
                      <a:ext cx="5943600" cy="3857625"/>
                    </a:xfrm>
                    <a:prstGeom prst="rect">
                      <a:avLst/>
                    </a:prstGeom>
                  </pic:spPr>
                </pic:pic>
              </a:graphicData>
            </a:graphic>
          </wp:inline>
        </w:drawing>
      </w:r>
      <w:r>
        <w:drawing>
          <wp:inline distT="0" distB="0" distL="114300" distR="114300">
            <wp:extent cx="5400675" cy="5943600"/>
            <wp:effectExtent l="0" t="0" r="0" b="0"/>
            <wp:docPr id="1820182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82394" name="drawing"/>
                    <pic:cNvPicPr>
                      <a:picLocks noChangeAspect="1"/>
                    </pic:cNvPicPr>
                  </pic:nvPicPr>
                  <pic:blipFill>
                    <a:blip r:embed="rId19"/>
                    <a:stretch>
                      <a:fillRect/>
                    </a:stretch>
                  </pic:blipFill>
                  <pic:spPr>
                    <a:xfrm>
                      <a:off x="0" y="0"/>
                      <a:ext cx="5400675" cy="5943600"/>
                    </a:xfrm>
                    <a:prstGeom prst="rect">
                      <a:avLst/>
                    </a:prstGeom>
                  </pic:spPr>
                </pic:pic>
              </a:graphicData>
            </a:graphic>
          </wp:inline>
        </w:drawing>
      </w:r>
      <w:r>
        <w:drawing>
          <wp:inline distT="0" distB="0" distL="114300" distR="114300">
            <wp:extent cx="5943600" cy="3390900"/>
            <wp:effectExtent l="0" t="0" r="0" b="0"/>
            <wp:docPr id="11708975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97511" name="drawing"/>
                    <pic:cNvPicPr>
                      <a:picLocks noChangeAspect="1"/>
                    </pic:cNvPicPr>
                  </pic:nvPicPr>
                  <pic:blipFill>
                    <a:blip r:embed="rId20"/>
                    <a:stretch>
                      <a:fillRect/>
                    </a:stretch>
                  </pic:blipFill>
                  <pic:spPr>
                    <a:xfrm>
                      <a:off x="0" y="0"/>
                      <a:ext cx="5943600" cy="3390900"/>
                    </a:xfrm>
                    <a:prstGeom prst="rect">
                      <a:avLst/>
                    </a:prstGeom>
                  </pic:spPr>
                </pic:pic>
              </a:graphicData>
            </a:graphic>
          </wp:inline>
        </w:drawing>
      </w:r>
      <w:r>
        <w:drawing>
          <wp:inline distT="0" distB="0" distL="114300" distR="114300">
            <wp:extent cx="5381625" cy="5943600"/>
            <wp:effectExtent l="0" t="0" r="0" b="0"/>
            <wp:docPr id="1904148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48136" name="drawing"/>
                    <pic:cNvPicPr>
                      <a:picLocks noChangeAspect="1"/>
                    </pic:cNvPicPr>
                  </pic:nvPicPr>
                  <pic:blipFill>
                    <a:blip r:embed="rId21"/>
                    <a:stretch>
                      <a:fillRect/>
                    </a:stretch>
                  </pic:blipFill>
                  <pic:spPr>
                    <a:xfrm>
                      <a:off x="0" y="0"/>
                      <a:ext cx="5381625" cy="5943600"/>
                    </a:xfrm>
                    <a:prstGeom prst="rect">
                      <a:avLst/>
                    </a:prstGeom>
                  </pic:spPr>
                </pic:pic>
              </a:graphicData>
            </a:graphic>
          </wp:inline>
        </w:drawing>
      </w:r>
      <w:r>
        <w:drawing>
          <wp:inline distT="0" distB="0" distL="114300" distR="114300">
            <wp:extent cx="4286250" cy="5325110"/>
            <wp:effectExtent l="0" t="0" r="0" b="0"/>
            <wp:docPr id="6329622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62289" name="drawing"/>
                    <pic:cNvPicPr>
                      <a:picLocks noChangeAspect="1"/>
                    </pic:cNvPicPr>
                  </pic:nvPicPr>
                  <pic:blipFill>
                    <a:blip r:embed="rId22"/>
                    <a:stretch>
                      <a:fillRect/>
                    </a:stretch>
                  </pic:blipFill>
                  <pic:spPr>
                    <a:xfrm>
                      <a:off x="0" y="0"/>
                      <a:ext cx="4286848" cy="5325218"/>
                    </a:xfrm>
                    <a:prstGeom prst="rect">
                      <a:avLst/>
                    </a:prstGeom>
                  </pic:spPr>
                </pic:pic>
              </a:graphicData>
            </a:graphic>
          </wp:inline>
        </w:drawing>
      </w:r>
      <w:r>
        <w:drawing>
          <wp:inline distT="0" distB="0" distL="114300" distR="114300">
            <wp:extent cx="4286250" cy="5325110"/>
            <wp:effectExtent l="0" t="0" r="0" b="0"/>
            <wp:docPr id="1568889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8924" name="drawing"/>
                    <pic:cNvPicPr>
                      <a:picLocks noChangeAspect="1"/>
                    </pic:cNvPicPr>
                  </pic:nvPicPr>
                  <pic:blipFill>
                    <a:blip r:embed="rId22"/>
                    <a:stretch>
                      <a:fillRect/>
                    </a:stretch>
                  </pic:blipFill>
                  <pic:spPr>
                    <a:xfrm>
                      <a:off x="0" y="0"/>
                      <a:ext cx="4286848" cy="5325218"/>
                    </a:xfrm>
                    <a:prstGeom prst="rect">
                      <a:avLst/>
                    </a:prstGeom>
                  </pic:spPr>
                </pic:pic>
              </a:graphicData>
            </a:graphic>
          </wp:inline>
        </w:drawing>
      </w:r>
      <w:r>
        <w:drawing>
          <wp:inline distT="0" distB="0" distL="114300" distR="114300">
            <wp:extent cx="5219700" cy="5943600"/>
            <wp:effectExtent l="0" t="0" r="0" b="0"/>
            <wp:docPr id="1589658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58486" name="drawing"/>
                    <pic:cNvPicPr>
                      <a:picLocks noChangeAspect="1"/>
                    </pic:cNvPicPr>
                  </pic:nvPicPr>
                  <pic:blipFill>
                    <a:blip r:embed="rId23"/>
                    <a:stretch>
                      <a:fillRect/>
                    </a:stretch>
                  </pic:blipFill>
                  <pic:spPr>
                    <a:xfrm>
                      <a:off x="0" y="0"/>
                      <a:ext cx="5219700" cy="5943600"/>
                    </a:xfrm>
                    <a:prstGeom prst="rect">
                      <a:avLst/>
                    </a:prstGeom>
                  </pic:spPr>
                </pic:pic>
              </a:graphicData>
            </a:graphic>
          </wp:inline>
        </w:drawing>
      </w:r>
      <w:r>
        <w:drawing>
          <wp:inline distT="0" distB="0" distL="114300" distR="114300">
            <wp:extent cx="5600700" cy="5943600"/>
            <wp:effectExtent l="0" t="0" r="0" b="0"/>
            <wp:docPr id="8069708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70893" name="drawing"/>
                    <pic:cNvPicPr>
                      <a:picLocks noChangeAspect="1"/>
                    </pic:cNvPicPr>
                  </pic:nvPicPr>
                  <pic:blipFill>
                    <a:blip r:embed="rId24"/>
                    <a:stretch>
                      <a:fillRect/>
                    </a:stretch>
                  </pic:blipFill>
                  <pic:spPr>
                    <a:xfrm>
                      <a:off x="0" y="0"/>
                      <a:ext cx="5600700" cy="5943600"/>
                    </a:xfrm>
                    <a:prstGeom prst="rect">
                      <a:avLst/>
                    </a:prstGeom>
                  </pic:spPr>
                </pic:pic>
              </a:graphicData>
            </a:graphic>
          </wp:inline>
        </w:drawing>
      </w:r>
    </w:p>
    <w:p w14:paraId="42A14C4F">
      <w:pPr>
        <w:rPr>
          <w:rFonts w:ascii="Arial" w:hAnsi="Arial" w:eastAsia="Arial" w:cs="Arial"/>
        </w:rPr>
      </w:pPr>
      <w:bookmarkStart w:id="0" w:name="_GoBack"/>
      <w:bookmarkEnd w:id="0"/>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20B0004020202020204"/>
    <w:charset w:val="00"/>
    <w:family w:val="swiss"/>
    <w:pitch w:val="default"/>
    <w:sig w:usb0="00000000" w:usb1="00000000" w:usb2="00000000" w:usb3="00000000" w:csb0="0000019F" w:csb1="00000000"/>
  </w:font>
  <w:font w:name="Aptos Display">
    <w:altName w:val="Segoe UI Variable Display"/>
    <w:panose1 w:val="020B0004020202020204"/>
    <w:charset w:val="00"/>
    <w:family w:val="swiss"/>
    <w:pitch w:val="default"/>
    <w:sig w:usb0="00000000" w:usb1="00000000" w:usb2="00000000" w:usb3="00000000" w:csb0="0000019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egoe UI Variable Display">
    <w:panose1 w:val="00000000000000000000"/>
    <w:charset w:val="00"/>
    <w:family w:val="auto"/>
    <w:pitch w:val="default"/>
    <w:sig w:usb0="A00002FF" w:usb1="0000000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443D71"/>
    <w:multiLevelType w:val="multilevel"/>
    <w:tmpl w:val="04443D71"/>
    <w:lvl w:ilvl="0" w:tentative="0">
      <w:start w:val="1"/>
      <w:numFmt w:val="decimal"/>
      <w:lvlText w:val="%1."/>
      <w:lvlJc w:val="left"/>
      <w:pPr>
        <w:ind w:left="720" w:hanging="360"/>
      </w:pPr>
      <w:rPr>
        <w:rFonts w:hint="default" w:ascii="Aptos" w:hAnsi="Aptos"/>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517D90D"/>
    <w:multiLevelType w:val="multilevel"/>
    <w:tmpl w:val="0517D90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10A7772D"/>
    <w:multiLevelType w:val="multilevel"/>
    <w:tmpl w:val="10A7772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1330A5F7"/>
    <w:multiLevelType w:val="multilevel"/>
    <w:tmpl w:val="1330A5F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1AC874A8"/>
    <w:multiLevelType w:val="multilevel"/>
    <w:tmpl w:val="1AC874A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
    <w:nsid w:val="1E2C396A"/>
    <w:multiLevelType w:val="multilevel"/>
    <w:tmpl w:val="1E2C396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6">
    <w:nsid w:val="225853D4"/>
    <w:multiLevelType w:val="multilevel"/>
    <w:tmpl w:val="225853D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7">
    <w:nsid w:val="2C69F0A9"/>
    <w:multiLevelType w:val="multilevel"/>
    <w:tmpl w:val="2C69F0A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8">
    <w:nsid w:val="2E1F33A0"/>
    <w:multiLevelType w:val="multilevel"/>
    <w:tmpl w:val="2E1F33A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9">
    <w:nsid w:val="2FF37658"/>
    <w:multiLevelType w:val="multilevel"/>
    <w:tmpl w:val="2FF3765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0">
    <w:nsid w:val="30066968"/>
    <w:multiLevelType w:val="multilevel"/>
    <w:tmpl w:val="3006696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1">
    <w:nsid w:val="31B8C687"/>
    <w:multiLevelType w:val="multilevel"/>
    <w:tmpl w:val="31B8C68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2">
    <w:nsid w:val="321C8259"/>
    <w:multiLevelType w:val="multilevel"/>
    <w:tmpl w:val="321C82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3">
    <w:nsid w:val="35A8C208"/>
    <w:multiLevelType w:val="multilevel"/>
    <w:tmpl w:val="35A8C20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4">
    <w:nsid w:val="3A45E356"/>
    <w:multiLevelType w:val="multilevel"/>
    <w:tmpl w:val="3A45E35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5">
    <w:nsid w:val="3A5783F2"/>
    <w:multiLevelType w:val="multilevel"/>
    <w:tmpl w:val="3A5783F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6">
    <w:nsid w:val="3D3E8227"/>
    <w:multiLevelType w:val="multilevel"/>
    <w:tmpl w:val="3D3E822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7">
    <w:nsid w:val="40B2D30D"/>
    <w:multiLevelType w:val="multilevel"/>
    <w:tmpl w:val="40B2D30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8">
    <w:nsid w:val="41BBEED8"/>
    <w:multiLevelType w:val="multilevel"/>
    <w:tmpl w:val="41BBEED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9">
    <w:nsid w:val="45D0CEB1"/>
    <w:multiLevelType w:val="multilevel"/>
    <w:tmpl w:val="45D0CEB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0">
    <w:nsid w:val="47CBC33B"/>
    <w:multiLevelType w:val="multilevel"/>
    <w:tmpl w:val="47CBC33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1">
    <w:nsid w:val="4B5D197B"/>
    <w:multiLevelType w:val="multilevel"/>
    <w:tmpl w:val="4B5D197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2">
    <w:nsid w:val="4E3747B1"/>
    <w:multiLevelType w:val="multilevel"/>
    <w:tmpl w:val="4E3747B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3">
    <w:nsid w:val="4F427E93"/>
    <w:multiLevelType w:val="multilevel"/>
    <w:tmpl w:val="4F427E9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4">
    <w:nsid w:val="503AF57A"/>
    <w:multiLevelType w:val="multilevel"/>
    <w:tmpl w:val="503AF57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5">
    <w:nsid w:val="50E6A231"/>
    <w:multiLevelType w:val="multilevel"/>
    <w:tmpl w:val="50E6A23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6">
    <w:nsid w:val="5134B6A8"/>
    <w:multiLevelType w:val="multilevel"/>
    <w:tmpl w:val="5134B6A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7">
    <w:nsid w:val="566FB2CE"/>
    <w:multiLevelType w:val="multilevel"/>
    <w:tmpl w:val="566FB2C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8">
    <w:nsid w:val="56EDE725"/>
    <w:multiLevelType w:val="multilevel"/>
    <w:tmpl w:val="56EDE72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9">
    <w:nsid w:val="57C6AE91"/>
    <w:multiLevelType w:val="multilevel"/>
    <w:tmpl w:val="57C6AE9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0">
    <w:nsid w:val="5A693703"/>
    <w:multiLevelType w:val="multilevel"/>
    <w:tmpl w:val="5A69370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1">
    <w:nsid w:val="5BC66BA0"/>
    <w:multiLevelType w:val="multilevel"/>
    <w:tmpl w:val="5BC66BA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2">
    <w:nsid w:val="601D776C"/>
    <w:multiLevelType w:val="multilevel"/>
    <w:tmpl w:val="601D77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3">
    <w:nsid w:val="61273D4D"/>
    <w:multiLevelType w:val="multilevel"/>
    <w:tmpl w:val="61273D4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4">
    <w:nsid w:val="61A0C2E8"/>
    <w:multiLevelType w:val="multilevel"/>
    <w:tmpl w:val="61A0C2E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5">
    <w:nsid w:val="628DB5E2"/>
    <w:multiLevelType w:val="multilevel"/>
    <w:tmpl w:val="628DB5E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6">
    <w:nsid w:val="6874E71E"/>
    <w:multiLevelType w:val="multilevel"/>
    <w:tmpl w:val="6874E71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7">
    <w:nsid w:val="6895EB02"/>
    <w:multiLevelType w:val="multilevel"/>
    <w:tmpl w:val="6895EB0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8">
    <w:nsid w:val="6D36004E"/>
    <w:multiLevelType w:val="multilevel"/>
    <w:tmpl w:val="6D36004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9">
    <w:nsid w:val="7D8ABA9F"/>
    <w:multiLevelType w:val="multilevel"/>
    <w:tmpl w:val="7D8ABA9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26"/>
  </w:num>
  <w:num w:numId="2">
    <w:abstractNumId w:val="11"/>
  </w:num>
  <w:num w:numId="3">
    <w:abstractNumId w:val="39"/>
  </w:num>
  <w:num w:numId="4">
    <w:abstractNumId w:val="15"/>
  </w:num>
  <w:num w:numId="5">
    <w:abstractNumId w:val="16"/>
  </w:num>
  <w:num w:numId="6">
    <w:abstractNumId w:val="28"/>
  </w:num>
  <w:num w:numId="7">
    <w:abstractNumId w:val="30"/>
  </w:num>
  <w:num w:numId="8">
    <w:abstractNumId w:val="18"/>
  </w:num>
  <w:num w:numId="9">
    <w:abstractNumId w:val="37"/>
  </w:num>
  <w:num w:numId="10">
    <w:abstractNumId w:val="7"/>
  </w:num>
  <w:num w:numId="11">
    <w:abstractNumId w:val="27"/>
  </w:num>
  <w:num w:numId="12">
    <w:abstractNumId w:val="6"/>
  </w:num>
  <w:num w:numId="13">
    <w:abstractNumId w:val="29"/>
  </w:num>
  <w:num w:numId="14">
    <w:abstractNumId w:val="25"/>
  </w:num>
  <w:num w:numId="15">
    <w:abstractNumId w:val="17"/>
  </w:num>
  <w:num w:numId="16">
    <w:abstractNumId w:val="31"/>
  </w:num>
  <w:num w:numId="17">
    <w:abstractNumId w:val="14"/>
  </w:num>
  <w:num w:numId="18">
    <w:abstractNumId w:val="0"/>
  </w:num>
  <w:num w:numId="19">
    <w:abstractNumId w:val="20"/>
  </w:num>
  <w:num w:numId="20">
    <w:abstractNumId w:val="9"/>
  </w:num>
  <w:num w:numId="21">
    <w:abstractNumId w:val="35"/>
  </w:num>
  <w:num w:numId="22">
    <w:abstractNumId w:val="10"/>
  </w:num>
  <w:num w:numId="23">
    <w:abstractNumId w:val="5"/>
  </w:num>
  <w:num w:numId="24">
    <w:abstractNumId w:val="13"/>
  </w:num>
  <w:num w:numId="25">
    <w:abstractNumId w:val="22"/>
  </w:num>
  <w:num w:numId="26">
    <w:abstractNumId w:val="33"/>
  </w:num>
  <w:num w:numId="27">
    <w:abstractNumId w:val="24"/>
  </w:num>
  <w:num w:numId="28">
    <w:abstractNumId w:val="2"/>
  </w:num>
  <w:num w:numId="29">
    <w:abstractNumId w:val="32"/>
  </w:num>
  <w:num w:numId="30">
    <w:abstractNumId w:val="8"/>
  </w:num>
  <w:num w:numId="31">
    <w:abstractNumId w:val="38"/>
  </w:num>
  <w:num w:numId="32">
    <w:abstractNumId w:val="3"/>
  </w:num>
  <w:num w:numId="33">
    <w:abstractNumId w:val="36"/>
  </w:num>
  <w:num w:numId="34">
    <w:abstractNumId w:val="21"/>
  </w:num>
  <w:num w:numId="35">
    <w:abstractNumId w:val="4"/>
  </w:num>
  <w:num w:numId="36">
    <w:abstractNumId w:val="12"/>
  </w:num>
  <w:num w:numId="37">
    <w:abstractNumId w:val="34"/>
  </w:num>
  <w:num w:numId="38">
    <w:abstractNumId w:val="19"/>
  </w:num>
  <w:num w:numId="39">
    <w:abstractNumId w:val="23"/>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C872B1"/>
    <w:rsid w:val="0BB86248"/>
    <w:rsid w:val="0CC872B1"/>
    <w:rsid w:val="11797FAD"/>
    <w:rsid w:val="1394A1E6"/>
    <w:rsid w:val="1659EA97"/>
    <w:rsid w:val="236D9C9C"/>
    <w:rsid w:val="28A3B2C6"/>
    <w:rsid w:val="312A1F07"/>
    <w:rsid w:val="3F9A1FD3"/>
    <w:rsid w:val="4E8F6DD1"/>
    <w:rsid w:val="4F9C0BB0"/>
    <w:rsid w:val="53456730"/>
    <w:rsid w:val="780D3376"/>
    <w:rsid w:val="797370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qFormat/>
    <w:uiPriority w:val="9"/>
    <w:pPr>
      <w:keepNext/>
      <w:keepLines/>
      <w:spacing w:before="360" w:after="80"/>
      <w:outlineLvl w:val="0"/>
    </w:pPr>
    <w:rPr>
      <w:rFonts w:asciiTheme="majorAscii" w:hAnsiTheme="majorAscii" w:eastAsiaTheme="majorEastAsia" w:cstheme="majorBidi"/>
      <w:color w:val="156082" w:themeColor="accent1" w:themeTint="FF"/>
      <w:sz w:val="40"/>
      <w:szCs w:val="40"/>
      <w14:textFill>
        <w14:solidFill>
          <w14:schemeClr w14:val="accent1">
            <w14:lumMod w14:val="100000"/>
            <w14:lumOff w14:val="0"/>
          </w14:schemeClr>
        </w14:solidFill>
      </w14:textFill>
    </w:rPr>
  </w:style>
  <w:style w:type="paragraph" w:styleId="3">
    <w:name w:val="heading 2"/>
    <w:basedOn w:val="1"/>
    <w:next w:val="1"/>
    <w:unhideWhenUsed/>
    <w:qFormat/>
    <w:uiPriority w:val="9"/>
    <w:pPr>
      <w:keepNext/>
      <w:keepLines/>
      <w:spacing w:before="160" w:after="80"/>
      <w:outlineLvl w:val="1"/>
    </w:pPr>
    <w:rPr>
      <w:rFonts w:asciiTheme="majorAscii" w:hAnsiTheme="majorAscii" w:eastAsiaTheme="majorEastAsia" w:cstheme="majorBidi"/>
      <w:color w:val="156082" w:themeColor="accent1" w:themeTint="FF"/>
      <w:sz w:val="32"/>
      <w:szCs w:val="32"/>
      <w14:textFill>
        <w14:solidFill>
          <w14:schemeClr w14:val="accent1">
            <w14:lumMod w14:val="100000"/>
            <w14:lumOff w14:val="0"/>
          </w14:schemeClr>
        </w14:solidFill>
      </w14:textFill>
    </w:rPr>
  </w:style>
  <w:style w:type="paragraph" w:styleId="4">
    <w:name w:val="heading 3"/>
    <w:basedOn w:val="1"/>
    <w:next w:val="1"/>
    <w:unhideWhenUsed/>
    <w:qFormat/>
    <w:uiPriority w:val="9"/>
    <w:pPr>
      <w:keepNext/>
      <w:keepLines/>
      <w:spacing w:before="160" w:after="80"/>
      <w:outlineLvl w:val="2"/>
    </w:pPr>
    <w:rPr>
      <w:rFonts w:eastAsiaTheme="majorEastAsia" w:cstheme="majorBidi"/>
      <w:color w:val="156082" w:themeColor="accent1" w:themeTint="FF"/>
      <w:sz w:val="28"/>
      <w:szCs w:val="28"/>
      <w14:textFill>
        <w14:solidFill>
          <w14:schemeClr w14:val="accent1">
            <w14:lumMod w14:val="100000"/>
            <w14:lumOff w14:val="0"/>
          </w14:schemeClr>
        </w14:solidFill>
      </w14:textFill>
    </w:rPr>
  </w:style>
  <w:style w:type="paragraph" w:styleId="5">
    <w:name w:val="heading 4"/>
    <w:basedOn w:val="1"/>
    <w:next w:val="1"/>
    <w:unhideWhenUsed/>
    <w:qFormat/>
    <w:uiPriority w:val="9"/>
    <w:pPr>
      <w:keepNext/>
      <w:keepLines/>
      <w:spacing w:before="80" w:after="40"/>
      <w:outlineLvl w:val="3"/>
    </w:pPr>
    <w:rPr>
      <w:rFonts w:eastAsiaTheme="majorEastAsia" w:cstheme="majorBidi"/>
      <w:i/>
      <w:iCs/>
      <w:color w:val="156082" w:themeColor="accent1" w:themeTint="FF"/>
      <w14:textFill>
        <w14:solidFill>
          <w14:schemeClr w14:val="accent1">
            <w14:lumMod w14:val="100000"/>
            <w14:lumOff w14:val="0"/>
          </w14:schemeClr>
        </w14:solidFill>
      </w14:textFill>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character" w:styleId="8">
    <w:name w:val="Hyperlink"/>
    <w:basedOn w:val="6"/>
    <w:unhideWhenUsed/>
    <w:qFormat/>
    <w:uiPriority w:val="99"/>
    <w:rPr>
      <w:color w:val="467886"/>
      <w:u w:val="single"/>
    </w:rPr>
  </w:style>
  <w:style w:type="table" w:styleId="9">
    <w:name w:val="Table Grid"/>
    <w:basedOn w:val="7"/>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6" Type="http://schemas.openxmlformats.org/officeDocument/2006/relationships/fontTable" Target="fontTable.xml"/><Relationship Id="rId25" Type="http://schemas.openxmlformats.org/officeDocument/2006/relationships/numbering" Target="numbering.xml"/><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TotalTime>7</TotalTime>
  <Pages>56</Pages>
  <Words>3937</Words>
  <Characters>23417</Characters>
  <DocSecurity>0</DocSecurity>
  <ScaleCrop>false</ScaleCrop>
  <LinksUpToDate>false</LinksUpToDate>
  <CharactersWithSpaces>27119</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2026-05-26T12:53:00Z</dcterms:created>
  <dcterms:modified xsi:type="dcterms:W3CDTF">2026-05-26T20:15:17Z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eyJoZGlkIjoiZGE3Y2I3OTRlNTA1NjUwZGY1NGI3NTM4NWZhMGI4N2IiLCJ1c2VySWQiOiI4ODEzNDcyOTE5NDM5In0=</vt:lpwstr>
  </property>
  <property fmtid="{D5CDD505-2E9C-101B-9397-08002B2CF9AE}" pid="3" name="KSOProductBuildVer">
    <vt:lpwstr>1033-12.1.0.26372</vt:lpwstr>
  </property>
  <property fmtid="{D5CDD505-2E9C-101B-9397-08002B2CF9AE}" pid="4" name="ICV">
    <vt:lpwstr>43FE7BC6435E4D31B0438D55FA7F3F91_12</vt:lpwstr>
  </property>
</Properties>
</file>