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42"/>
          <w:szCs w:val="42"/>
          <w:shd w:val="clear" w:color="auto" w:fill="feffff"/>
          <w:rtl w:val="0"/>
          <w:lang w:val="en-US"/>
        </w:rPr>
        <w:t>University of Wales Trinity Saint David</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fffff"/>
          <w:rtl w:val="0"/>
        </w:rPr>
      </w:pPr>
      <w:r>
        <w:rPr>
          <w:rFonts w:ascii="Times New Roman" w:cs="Times New Roman" w:hAnsi="Times New Roman" w:eastAsia="Times New Roman"/>
          <w:sz w:val="36"/>
          <w:szCs w:val="36"/>
          <w:shd w:val="clear" w:color="auto" w:fill="ffffff"/>
          <w:rtl w:val="0"/>
        </w:rPr>
        <w:drawing xmlns:a="http://schemas.openxmlformats.org/drawingml/2006/main">
          <wp:inline distT="0" distB="0" distL="0" distR="0">
            <wp:extent cx="2628900" cy="1320800"/>
            <wp:effectExtent l="0" t="0" r="0" b="0"/>
            <wp:docPr id="1073741825" name="officeArt object" descr="1EEB7013-34C3-497B-8D32-EAD8DA632D13.jpg"/>
            <wp:cNvGraphicFramePr/>
            <a:graphic xmlns:a="http://schemas.openxmlformats.org/drawingml/2006/main">
              <a:graphicData uri="http://schemas.openxmlformats.org/drawingml/2006/picture">
                <pic:pic xmlns:pic="http://schemas.openxmlformats.org/drawingml/2006/picture">
                  <pic:nvPicPr>
                    <pic:cNvPr id="1073741825" name="1EEB7013-34C3-497B-8D32-EAD8DA632D13.jpg" descr="1EEB7013-34C3-497B-8D32-EAD8DA632D13.jpg"/>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42"/>
          <w:szCs w:val="42"/>
          <w:shd w:val="clear" w:color="auto" w:fill="feffff"/>
          <w:rtl w:val="0"/>
          <w:lang w:val="de-DE"/>
        </w:rPr>
        <w:t>Module name: Dissertation</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42"/>
          <w:szCs w:val="42"/>
          <w:shd w:val="clear" w:color="auto" w:fill="feffff"/>
          <w:rtl w:val="0"/>
          <w:lang w:val="fr-FR"/>
        </w:rPr>
        <w:t>Module code: LCBB 6000</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36"/>
          <w:szCs w:val="36"/>
          <w:shd w:val="clear" w:color="auto" w:fill="feffff"/>
          <w:rtl w:val="0"/>
          <w:lang w:val="en-US"/>
        </w:rPr>
        <w:t>Proposed research title: AN ANALYSIS OF THE IMPORTANCE OF THE RECYCLING ECOSYSTEM IN THE UK</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42"/>
          <w:szCs w:val="42"/>
          <w:shd w:val="clear" w:color="auto" w:fill="feffff"/>
          <w:rtl w:val="0"/>
        </w:rPr>
        <w:t>Student name: Yordan Yordanov</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f"/>
          <w:rtl w:val="0"/>
        </w:rPr>
      </w:pPr>
      <w:r>
        <w:rPr>
          <w:rFonts w:ascii="Times New Roman" w:hAnsi="Times New Roman" w:hint="default"/>
          <w:b w:val="0"/>
          <w:bCs w:val="0"/>
          <w:sz w:val="36"/>
          <w:szCs w:val="36"/>
          <w:shd w:val="clear" w:color="auto" w:fill="feffff"/>
          <w:rtl w:val="0"/>
        </w:rPr>
        <w:t> </w:t>
      </w:r>
      <w:r>
        <w:rPr>
          <w:rFonts w:ascii="Times New Roman" w:hAnsi="Times New Roman"/>
          <w:b w:val="1"/>
          <w:bCs w:val="1"/>
          <w:sz w:val="42"/>
          <w:szCs w:val="42"/>
          <w:shd w:val="clear" w:color="auto" w:fill="feffff"/>
          <w:rtl w:val="0"/>
          <w:lang w:val="en-US"/>
        </w:rPr>
        <w:t>Student ID: 2028612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42"/>
          <w:szCs w:val="42"/>
          <w:shd w:val="clear" w:color="auto" w:fill="feffff"/>
          <w:rtl w:val="0"/>
          <w:lang w:val="fr-FR"/>
        </w:rPr>
        <w:t>Submission date:</w:t>
      </w:r>
      <w:r>
        <w:rPr>
          <w:rFonts w:ascii="Times New Roman" w:hAnsi="Times New Roman"/>
          <w:b w:val="1"/>
          <w:bCs w:val="1"/>
          <w:sz w:val="42"/>
          <w:szCs w:val="42"/>
          <w:shd w:val="clear" w:color="auto" w:fill="feffff"/>
          <w:rtl w:val="0"/>
          <w:lang w:val="en-US"/>
        </w:rPr>
        <w:t>17/12/2023</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hint="default"/>
          <w:sz w:val="36"/>
          <w:szCs w:val="36"/>
          <w:shd w:val="clear" w:color="auto" w:fill="fe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hint="default"/>
          <w:sz w:val="36"/>
          <w:szCs w:val="36"/>
          <w:shd w:val="clear" w:color="auto" w:fill="fe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36"/>
          <w:szCs w:val="36"/>
          <w:shd w:val="clear" w:color="auto" w:fill="feffff"/>
          <w:rtl w:val="0"/>
          <w:lang w:val="en-US"/>
        </w:rPr>
        <w:t>Table of Contents</w:t>
      </w:r>
    </w:p>
    <w:p>
      <w:pPr>
        <w:pStyle w:val="Default"/>
        <w:bidi w:val="0"/>
        <w:spacing w:before="0" w:after="100" w:line="240" w:lineRule="auto"/>
        <w:ind w:left="0" w:right="0" w:firstLine="0"/>
        <w:jc w:val="both"/>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Chapter 1: Introduction</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3</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1.1 Background</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3</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1.2 Significance of the topic</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3</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1.3 Purpose of the research</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4</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1.4 Proposed aim, objectives and research questions</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4</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Chapter 2: Literature Review</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6</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2.1 Definition and Characteristics of Recycling Ecosystem</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6</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2.2 Importance of Recycling in the UK</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6</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2.3 Models and Theories in Recycling</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7</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2.4 Advantages, Disadvantages, and Challenges</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8</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2.5 Policy Framework and Future Trends</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9</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Chapter 3: Research Methods and Methodology</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10</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3.1 Research Philosophy</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10</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3.2 Research Approach</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10</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3.3 Research Design</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10</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3.4 Research Strategy</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10</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3.5 Data Collection Methods/Tools</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11</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3.6 Ways of Interpreting Data</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11</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3.7 Time Prospects of the Research (Gantt chart)</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12</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en-US"/>
          <w14:textFill>
            <w14:solidFill>
              <w14:srgbClr w14:val="0000FF"/>
            </w14:solidFill>
          </w14:textFill>
        </w:rPr>
        <w:t>3.8 Ethical Considerations</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12</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nl-NL"/>
          <w14:textFill>
            <w14:solidFill>
              <w14:srgbClr w14:val="0000FF"/>
            </w14:solidFill>
          </w14:textFill>
        </w:rPr>
        <w:t>Chapter 4: Conclusion</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12</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fe"/>
          <w:shd w:val="clear" w:color="auto" w:fill="feffff"/>
          <w:rtl w:val="0"/>
          <w14:textFill>
            <w14:solidFill>
              <w14:srgbClr w14:val="000000"/>
            </w14:solidFill>
          </w14:textFill>
        </w:rPr>
      </w:pPr>
      <w:r>
        <w:rPr>
          <w:rFonts w:ascii="Times New Roman" w:hAnsi="Times New Roman"/>
          <w:outline w:val="0"/>
          <w:color w:val="0000fe"/>
          <w:sz w:val="36"/>
          <w:szCs w:val="36"/>
          <w:u w:val="single" w:color="0000fe"/>
          <w:shd w:val="clear" w:color="auto" w:fill="feffff"/>
          <w:rtl w:val="0"/>
          <w:lang w:val="fr-FR"/>
          <w14:textFill>
            <w14:solidFill>
              <w14:srgbClr w14:val="0000FF"/>
            </w14:solidFill>
          </w14:textFill>
        </w:rPr>
        <w:t>References</w:t>
      </w:r>
      <w:r>
        <w:rPr>
          <w:rFonts w:ascii="Times New Roman" w:hAnsi="Times New Roman"/>
          <w:outline w:val="0"/>
          <w:color w:val="000000"/>
          <w:sz w:val="36"/>
          <w:szCs w:val="36"/>
          <w:u w:val="none" w:color="0000fe"/>
          <w:shd w:val="clear" w:color="auto" w:fill="feffff"/>
          <w:rtl w:val="0"/>
          <w14:textFill>
            <w14:solidFill>
              <w14:srgbClr w14:val="000000"/>
            </w14:solidFill>
          </w14:textFill>
        </w:rPr>
        <w:t xml:space="preserve"> 14</w:t>
      </w:r>
    </w:p>
    <w:p>
      <w:pPr>
        <w:pStyle w:val="Default"/>
        <w:bidi w:val="0"/>
        <w:spacing w:before="0" w:line="240" w:lineRule="auto"/>
        <w:ind w:left="0" w:right="0" w:firstLine="0"/>
        <w:jc w:val="both"/>
        <w:rPr>
          <w:rFonts w:ascii="Times New Roman" w:cs="Times New Roman" w:hAnsi="Times New Roman" w:eastAsia="Times New Roman"/>
          <w:sz w:val="36"/>
          <w:szCs w:val="36"/>
          <w:u w:color="0000fe"/>
          <w:shd w:val="clear" w:color="auto" w:fill="feffff"/>
          <w:rtl w:val="0"/>
        </w:rPr>
      </w:pPr>
      <w:r>
        <w:rPr>
          <w:rFonts w:ascii="Times New Roman" w:hAnsi="Times New Roman" w:hint="default"/>
          <w:sz w:val="36"/>
          <w:szCs w:val="36"/>
          <w:u w:color="0000fe"/>
          <w:shd w:val="clear" w:color="auto" w:fill="fe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hint="default"/>
          <w:sz w:val="36"/>
          <w:szCs w:val="36"/>
          <w:u w:color="0000fe"/>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fe"/>
          <w:shd w:val="clear" w:color="auto" w:fill="feffff"/>
          <w:rtl w:val="0"/>
        </w:rPr>
      </w:pPr>
      <w:r>
        <w:rPr>
          <w:rFonts w:ascii="Times New Roman" w:hAnsi="Times New Roman"/>
          <w:b w:val="1"/>
          <w:bCs w:val="1"/>
          <w:sz w:val="36"/>
          <w:szCs w:val="36"/>
          <w:u w:color="0000fe"/>
          <w:shd w:val="clear" w:color="auto" w:fill="feffff"/>
          <w:rtl w:val="0"/>
          <w:lang w:val="en-US"/>
        </w:rPr>
        <w:t>Chapter 1: Introduction</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fe"/>
          <w:shd w:val="clear" w:color="auto" w:fill="feffff"/>
          <w:rtl w:val="0"/>
        </w:rPr>
      </w:pPr>
      <w:r>
        <w:rPr>
          <w:rFonts w:ascii="Times New Roman" w:hAnsi="Times New Roman"/>
          <w:b w:val="1"/>
          <w:bCs w:val="1"/>
          <w:sz w:val="36"/>
          <w:szCs w:val="36"/>
          <w:u w:color="0000fe"/>
          <w:shd w:val="clear" w:color="auto" w:fill="feffff"/>
          <w:rtl w:val="0"/>
          <w:lang w:val="en-US"/>
        </w:rPr>
        <w:t>1.1 Background</w:t>
      </w:r>
    </w:p>
    <w:p>
      <w:pPr>
        <w:pStyle w:val="Default"/>
        <w:bidi w:val="0"/>
        <w:spacing w:before="0" w:line="240" w:lineRule="auto"/>
        <w:ind w:left="0" w:right="0" w:firstLine="0"/>
        <w:jc w:val="both"/>
        <w:rPr>
          <w:rFonts w:ascii="Times New Roman" w:cs="Times New Roman" w:hAnsi="Times New Roman" w:eastAsia="Times New Roman"/>
          <w:sz w:val="36"/>
          <w:szCs w:val="36"/>
          <w:u w:color="0000fe"/>
          <w:shd w:val="clear" w:color="auto" w:fill="feffff"/>
          <w:rtl w:val="0"/>
        </w:rPr>
      </w:pPr>
      <w:r>
        <w:rPr>
          <w:rFonts w:ascii="Times New Roman" w:hAnsi="Times New Roman"/>
          <w:sz w:val="36"/>
          <w:szCs w:val="36"/>
          <w:u w:color="0000fe"/>
          <w:shd w:val="clear" w:color="auto" w:fill="feffff"/>
          <w:rtl w:val="0"/>
          <w:lang w:val="en-US"/>
        </w:rPr>
        <w:t xml:space="preserve">Recycling is essential nowadays to reduce landfill waste and reduce carbon emissions each year. Therefore, in the UK, recycling is essential for addressing environmental challenges, promoting sustainable resource management, and maintaining ecosystem health and resilience. An established recycling system reduces human activities' ecological footprint and contributes to ecosystem sustainability. Recycling in the UK contributes to ecosystem management by ensuring resource conservation, focusing on biodiversity protection, creating public awareness, and bringing long-term sustainability. The recycling process ensures that waste is minimised, environmental regulations are maintained, and the carbon footprint is reduced. The research analyses the recycling process creates benefits for the UK ecosystem. </w:t>
      </w:r>
      <w:r>
        <w:rPr>
          <w:rFonts w:ascii="Times New Roman" w:hAnsi="Times New Roman" w:hint="default"/>
          <w:sz w:val="36"/>
          <w:szCs w:val="36"/>
          <w:u w:color="0000fe"/>
          <w:shd w:val="clear" w:color="auto" w:fill="fe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fe"/>
          <w:shd w:val="clear" w:color="auto" w:fill="feffff"/>
          <w:rtl w:val="0"/>
        </w:rPr>
      </w:pPr>
      <w:r>
        <w:rPr>
          <w:rFonts w:ascii="Times New Roman" w:hAnsi="Times New Roman"/>
          <w:b w:val="1"/>
          <w:bCs w:val="1"/>
          <w:sz w:val="36"/>
          <w:szCs w:val="36"/>
          <w:u w:color="0000fe"/>
          <w:shd w:val="clear" w:color="auto" w:fill="feffff"/>
          <w:rtl w:val="0"/>
          <w:lang w:val="en-US"/>
        </w:rPr>
        <w:t>1.2 Significance of the topic</w:t>
      </w:r>
    </w:p>
    <w:p>
      <w:pPr>
        <w:pStyle w:val="Default"/>
        <w:bidi w:val="0"/>
        <w:spacing w:before="0" w:line="240" w:lineRule="auto"/>
        <w:ind w:left="0" w:right="0" w:firstLine="0"/>
        <w:jc w:val="both"/>
        <w:rPr>
          <w:rFonts w:ascii="Times New Roman" w:cs="Times New Roman" w:hAnsi="Times New Roman" w:eastAsia="Times New Roman"/>
          <w:sz w:val="36"/>
          <w:szCs w:val="36"/>
          <w:u w:color="0000fe"/>
          <w:shd w:val="clear" w:color="auto" w:fill="feffff"/>
          <w:rtl w:val="0"/>
        </w:rPr>
      </w:pPr>
      <w:r>
        <w:rPr>
          <w:rFonts w:ascii="Times New Roman" w:hAnsi="Times New Roman"/>
          <w:sz w:val="36"/>
          <w:szCs w:val="36"/>
          <w:u w:color="0000fe"/>
          <w:shd w:val="clear" w:color="auto" w:fill="feffff"/>
          <w:rtl w:val="0"/>
          <w:lang w:val="en-US"/>
        </w:rPr>
        <w:t xml:space="preserve">The topic is significant as a recycling process helps to remain committed to responsible resource management and eliminate the negative impact of human activities on the entire ecosystem. The recycling process reduces landfill waste and minimises the risk of harmful substances that create harm to water and soil which enhances the significance of the selected topic (Vaverkova, 2019). An efficient use of resources and the reduction of waste are the cornerstones of a circular economy which is maintained through proper recycling initiatives. The recycling process promotes sustainability and environmental as well as economic growth. As opined by Becerra </w:t>
      </w:r>
      <w:r>
        <w:rPr>
          <w:rFonts w:ascii="Times New Roman" w:hAnsi="Times New Roman"/>
          <w:i w:val="1"/>
          <w:iCs w:val="1"/>
          <w:sz w:val="36"/>
          <w:szCs w:val="36"/>
          <w:u w:color="0000fe"/>
          <w:shd w:val="clear" w:color="auto" w:fill="feffff"/>
          <w:rtl w:val="0"/>
          <w:lang w:val="nl-NL"/>
        </w:rPr>
        <w:t xml:space="preserve">et al. </w:t>
      </w:r>
      <w:r>
        <w:rPr>
          <w:rFonts w:ascii="Times New Roman" w:hAnsi="Times New Roman"/>
          <w:sz w:val="36"/>
          <w:szCs w:val="36"/>
          <w:u w:color="0000fe"/>
          <w:shd w:val="clear" w:color="auto" w:fill="feffff"/>
          <w:rtl w:val="0"/>
          <w:lang w:val="en-US"/>
        </w:rPr>
        <w:t xml:space="preserve">(2020), the recycling initiative fosters community involvement and education. As a result, individuals are able to learn more about the interconnection between their actions and environmental conservation. However, the research is significant to focus on as in the UK 44.6% of household waste was recycled in 2021 which helps to reduce carbon emissions in the country (Alves, 2023) Hence, the selected topic is significant enough to evaluate the ways through which recycling process helps to protect the ecosystem of the UK. </w:t>
      </w:r>
      <w:r>
        <w:rPr>
          <w:rFonts w:ascii="Times New Roman" w:hAnsi="Times New Roman" w:hint="default"/>
          <w:sz w:val="36"/>
          <w:szCs w:val="36"/>
          <w:u w:color="0000fe"/>
          <w:shd w:val="clear" w:color="auto" w:fill="feffff"/>
          <w:rtl w:val="0"/>
        </w:rPr>
        <w:t> </w:t>
      </w:r>
    </w:p>
    <w:p>
      <w:pPr>
        <w:pStyle w:val="Default"/>
        <w:bidi w:val="0"/>
        <w:spacing w:before="0" w:line="240" w:lineRule="auto"/>
        <w:ind w:left="0" w:right="0" w:firstLine="0"/>
        <w:jc w:val="center"/>
        <w:rPr>
          <w:rFonts w:ascii="Times New Roman" w:cs="Times New Roman" w:hAnsi="Times New Roman" w:eastAsia="Times New Roman"/>
          <w:sz w:val="36"/>
          <w:szCs w:val="36"/>
          <w:u w:color="0000fe"/>
          <w:shd w:val="clear" w:color="auto" w:fill="ffffff"/>
          <w:rtl w:val="0"/>
        </w:rPr>
      </w:pPr>
      <w:r>
        <w:rPr>
          <w:rFonts w:ascii="Times New Roman" w:cs="Times New Roman" w:hAnsi="Times New Roman" w:eastAsia="Times New Roman"/>
          <w:sz w:val="36"/>
          <w:szCs w:val="36"/>
          <w:u w:color="0000fe"/>
          <w:shd w:val="clear" w:color="auto" w:fill="ffffff"/>
          <w:rtl w:val="0"/>
        </w:rPr>
        <w:drawing xmlns:a="http://schemas.openxmlformats.org/drawingml/2006/main">
          <wp:inline distT="0" distB="0" distL="0" distR="0">
            <wp:extent cx="6119930" cy="3828537"/>
            <wp:effectExtent l="0" t="0" r="0" b="0"/>
            <wp:docPr id="1073741826" name="officeArt object" descr="E82BB7E2-15AD-4A4B-994D-9C79C00075C9.png"/>
            <wp:cNvGraphicFramePr/>
            <a:graphic xmlns:a="http://schemas.openxmlformats.org/drawingml/2006/main">
              <a:graphicData uri="http://schemas.openxmlformats.org/drawingml/2006/picture">
                <pic:pic xmlns:pic="http://schemas.openxmlformats.org/drawingml/2006/picture">
                  <pic:nvPicPr>
                    <pic:cNvPr id="1073741826" name="E82BB7E2-15AD-4A4B-994D-9C79C00075C9.png" descr="E82BB7E2-15AD-4A4B-994D-9C79C00075C9.png"/>
                    <pic:cNvPicPr>
                      <a:picLocks noChangeAspect="1"/>
                    </pic:cNvPicPr>
                  </pic:nvPicPr>
                  <pic:blipFill>
                    <a:blip r:embed="rId5">
                      <a:extLst/>
                    </a:blip>
                    <a:stretch>
                      <a:fillRect/>
                    </a:stretch>
                  </pic:blipFill>
                  <pic:spPr>
                    <a:xfrm>
                      <a:off x="0" y="0"/>
                      <a:ext cx="6119930" cy="3828537"/>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u w:color="0000fe"/>
          <w:shd w:val="clear" w:color="auto" w:fill="feffff"/>
          <w:rtl w:val="0"/>
        </w:rPr>
      </w:pPr>
      <w:r>
        <w:rPr>
          <w:rFonts w:ascii="Times New Roman" w:hAnsi="Times New Roman"/>
          <w:b w:val="1"/>
          <w:bCs w:val="1"/>
          <w:sz w:val="36"/>
          <w:szCs w:val="36"/>
          <w:u w:color="0000fe"/>
          <w:shd w:val="clear" w:color="auto" w:fill="feffff"/>
          <w:rtl w:val="0"/>
          <w:lang w:val="en-US"/>
        </w:rPr>
        <w:t>Figure 1: Household recycling in the UK</w:t>
      </w:r>
    </w:p>
    <w:p>
      <w:pPr>
        <w:pStyle w:val="Default"/>
        <w:bidi w:val="0"/>
        <w:spacing w:before="0" w:line="240" w:lineRule="auto"/>
        <w:ind w:left="0" w:right="0" w:firstLine="0"/>
        <w:jc w:val="center"/>
        <w:rPr>
          <w:rFonts w:ascii="Times New Roman" w:cs="Times New Roman" w:hAnsi="Times New Roman" w:eastAsia="Times New Roman"/>
          <w:sz w:val="36"/>
          <w:szCs w:val="36"/>
          <w:u w:color="0000fe"/>
          <w:shd w:val="clear" w:color="auto" w:fill="feffff"/>
          <w:rtl w:val="0"/>
        </w:rPr>
      </w:pPr>
      <w:r>
        <w:rPr>
          <w:rFonts w:ascii="Times New Roman" w:hAnsi="Times New Roman"/>
          <w:sz w:val="36"/>
          <w:szCs w:val="36"/>
          <w:u w:color="0000fe"/>
          <w:shd w:val="clear" w:color="auto" w:fill="feffff"/>
          <w:rtl w:val="0"/>
        </w:rPr>
        <w:t>(Source: Alves, 2023)</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fe"/>
          <w:shd w:val="clear" w:color="auto" w:fill="feffff"/>
          <w:rtl w:val="0"/>
        </w:rPr>
      </w:pPr>
      <w:r>
        <w:rPr>
          <w:rFonts w:ascii="Times New Roman" w:hAnsi="Times New Roman"/>
          <w:b w:val="1"/>
          <w:bCs w:val="1"/>
          <w:sz w:val="36"/>
          <w:szCs w:val="36"/>
          <w:u w:color="0000fe"/>
          <w:shd w:val="clear" w:color="auto" w:fill="feffff"/>
          <w:rtl w:val="0"/>
          <w:lang w:val="en-US"/>
        </w:rPr>
        <w:t>1.3 Purpose of the research</w:t>
      </w:r>
    </w:p>
    <w:p>
      <w:pPr>
        <w:pStyle w:val="Default"/>
        <w:bidi w:val="0"/>
        <w:spacing w:before="0" w:line="240" w:lineRule="auto"/>
        <w:ind w:left="0" w:right="0" w:firstLine="0"/>
        <w:jc w:val="both"/>
        <w:rPr>
          <w:rFonts w:ascii="Times New Roman" w:cs="Times New Roman" w:hAnsi="Times New Roman" w:eastAsia="Times New Roman"/>
          <w:sz w:val="36"/>
          <w:szCs w:val="36"/>
          <w:u w:color="0000fe"/>
          <w:shd w:val="clear" w:color="auto" w:fill="feffff"/>
          <w:rtl w:val="0"/>
        </w:rPr>
      </w:pPr>
      <w:r>
        <w:rPr>
          <w:rFonts w:ascii="Times New Roman" w:hAnsi="Times New Roman"/>
          <w:sz w:val="36"/>
          <w:szCs w:val="36"/>
          <w:u w:color="0000fe"/>
          <w:shd w:val="clear" w:color="auto" w:fill="feffff"/>
          <w:rtl w:val="0"/>
          <w:lang w:val="en-US"/>
        </w:rPr>
        <w:t xml:space="preserve">The research serves the purpose of analysing the effectiveness of the recycling process in the UK ecosystem. It analyses the negative impact on the ecosystem if the lack of a recycling process or initiative is noticed. Hence, the overall focus on the recycling process development, initiative, and implementation helps to fulfil the research purpose. Hence, the research focuses on a clear presentation of the impacts of the recycling process on waste management and the ecosystem. </w:t>
      </w:r>
      <w:r>
        <w:rPr>
          <w:rFonts w:ascii="Times New Roman" w:hAnsi="Times New Roman" w:hint="default"/>
          <w:sz w:val="36"/>
          <w:szCs w:val="36"/>
          <w:u w:color="0000fe"/>
          <w:shd w:val="clear" w:color="auto" w:fill="fe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fe"/>
          <w:shd w:val="clear" w:color="auto" w:fill="feffff"/>
          <w:rtl w:val="0"/>
        </w:rPr>
      </w:pPr>
      <w:r>
        <w:rPr>
          <w:rFonts w:ascii="Times New Roman" w:hAnsi="Times New Roman"/>
          <w:b w:val="1"/>
          <w:bCs w:val="1"/>
          <w:sz w:val="36"/>
          <w:szCs w:val="36"/>
          <w:u w:color="0000fe"/>
          <w:shd w:val="clear" w:color="auto" w:fill="feffff"/>
          <w:rtl w:val="0"/>
          <w:lang w:val="en-US"/>
        </w:rPr>
        <w:t>1.4 Proposed aim, objectives and research questions</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val="none" w:color="000000"/>
          <w:shd w:val="clear" w:color="auto" w:fill="feffff"/>
          <w:rtl w:val="0"/>
        </w:rPr>
      </w:pPr>
      <w:r>
        <w:rPr>
          <w:rFonts w:ascii="Times New Roman" w:hAnsi="Times New Roman"/>
          <w:b w:val="1"/>
          <w:bCs w:val="1"/>
          <w:sz w:val="36"/>
          <w:szCs w:val="36"/>
          <w:u w:val="single" w:color="000000"/>
          <w:shd w:val="clear" w:color="auto" w:fill="feffff"/>
          <w:rtl w:val="0"/>
        </w:rPr>
        <w:t>Aim</w:t>
      </w:r>
      <w:r>
        <w:rPr>
          <w:rFonts w:ascii="Times New Roman" w:hAnsi="Times New Roman"/>
          <w:b w:val="0"/>
          <w:bCs w:val="0"/>
          <w:sz w:val="36"/>
          <w:szCs w:val="36"/>
          <w:u w:val="none" w:color="000000"/>
          <w:shd w:val="clear" w:color="auto" w:fill="feffff"/>
          <w:rtl w:val="0"/>
        </w:rPr>
        <w: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The research aims to analyse the importance of the recycling process to maintain the ecosystem in the UK</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val="none" w:color="000000"/>
          <w:shd w:val="clear" w:color="auto" w:fill="feffff"/>
          <w:rtl w:val="0"/>
        </w:rPr>
      </w:pPr>
      <w:r>
        <w:rPr>
          <w:rFonts w:ascii="Times New Roman" w:hAnsi="Times New Roman"/>
          <w:b w:val="1"/>
          <w:bCs w:val="1"/>
          <w:sz w:val="36"/>
          <w:szCs w:val="36"/>
          <w:u w:val="single" w:color="000000"/>
          <w:shd w:val="clear" w:color="auto" w:fill="feffff"/>
          <w:rtl w:val="0"/>
          <w:lang w:val="fr-FR"/>
        </w:rPr>
        <w:t>Objectives</w:t>
      </w:r>
      <w:r>
        <w:rPr>
          <w:rFonts w:ascii="Times New Roman" w:hAnsi="Times New Roman"/>
          <w:b w:val="0"/>
          <w:bCs w:val="0"/>
          <w:sz w:val="36"/>
          <w:szCs w:val="36"/>
          <w:u w:val="none" w:color="000000"/>
          <w:shd w:val="clear" w:color="auto" w:fill="feffff"/>
          <w:rtl w:val="0"/>
        </w:rPr>
        <w: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hint="default"/>
          <w:sz w:val="36"/>
          <w:szCs w:val="36"/>
          <w:u w:color="000000"/>
          <w:shd w:val="clear" w:color="auto" w:fill="feffff"/>
          <w:rtl w:val="0"/>
        </w:rPr>
        <w:t xml:space="preserve">● </w:t>
      </w:r>
      <w:r>
        <w:rPr>
          <w:rFonts w:ascii="Times New Roman" w:hAnsi="Times New Roman"/>
          <w:sz w:val="36"/>
          <w:szCs w:val="36"/>
          <w:u w:color="000000"/>
          <w:shd w:val="clear" w:color="auto" w:fill="feffff"/>
          <w:rtl w:val="0"/>
          <w:lang w:val="en-US"/>
        </w:rPr>
        <w:t>To analyse the concept and process of recycling a material</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hint="default"/>
          <w:sz w:val="36"/>
          <w:szCs w:val="36"/>
          <w:u w:color="000000"/>
          <w:shd w:val="clear" w:color="auto" w:fill="feffff"/>
          <w:rtl w:val="0"/>
        </w:rPr>
        <w:t xml:space="preserve">● </w:t>
      </w:r>
      <w:r>
        <w:rPr>
          <w:rFonts w:ascii="Times New Roman" w:hAnsi="Times New Roman"/>
          <w:sz w:val="36"/>
          <w:szCs w:val="36"/>
          <w:u w:color="000000"/>
          <w:shd w:val="clear" w:color="auto" w:fill="feffff"/>
          <w:rtl w:val="0"/>
          <w:lang w:val="en-US"/>
        </w:rPr>
        <w:t>To evaluate the importance of recycling in the ecosystem of the UK</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hint="default"/>
          <w:sz w:val="36"/>
          <w:szCs w:val="36"/>
          <w:u w:color="000000"/>
          <w:shd w:val="clear" w:color="auto" w:fill="feffff"/>
          <w:rtl w:val="0"/>
        </w:rPr>
        <w:t xml:space="preserve">● </w:t>
      </w:r>
      <w:r>
        <w:rPr>
          <w:rFonts w:ascii="Times New Roman" w:hAnsi="Times New Roman"/>
          <w:sz w:val="36"/>
          <w:szCs w:val="36"/>
          <w:u w:color="000000"/>
          <w:shd w:val="clear" w:color="auto" w:fill="feffff"/>
          <w:rtl w:val="0"/>
          <w:lang w:val="en-US"/>
        </w:rPr>
        <w:t>To determine the negative impact of improper recycling in the UK ecosystem</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hint="default"/>
          <w:sz w:val="36"/>
          <w:szCs w:val="36"/>
          <w:u w:color="000000"/>
          <w:shd w:val="clear" w:color="auto" w:fill="feffff"/>
          <w:rtl w:val="0"/>
        </w:rPr>
        <w:t xml:space="preserve">● </w:t>
      </w:r>
      <w:r>
        <w:rPr>
          <w:rFonts w:ascii="Times New Roman" w:hAnsi="Times New Roman"/>
          <w:sz w:val="36"/>
          <w:szCs w:val="36"/>
          <w:u w:color="000000"/>
          <w:shd w:val="clear" w:color="auto" w:fill="feffff"/>
          <w:rtl w:val="0"/>
          <w:lang w:val="en-US"/>
        </w:rPr>
        <w:t>To analyse the key ways through which the recycling process can be improved in the UK</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val="none" w:color="000000"/>
          <w:shd w:val="clear" w:color="auto" w:fill="feffff"/>
          <w:rtl w:val="0"/>
        </w:rPr>
      </w:pPr>
      <w:r>
        <w:rPr>
          <w:rFonts w:ascii="Times New Roman" w:hAnsi="Times New Roman"/>
          <w:b w:val="1"/>
          <w:bCs w:val="1"/>
          <w:sz w:val="36"/>
          <w:szCs w:val="36"/>
          <w:u w:val="single" w:color="000000"/>
          <w:shd w:val="clear" w:color="auto" w:fill="feffff"/>
          <w:rtl w:val="0"/>
          <w:lang w:val="en-US"/>
        </w:rPr>
        <w:t>Research questions</w:t>
      </w:r>
      <w:r>
        <w:rPr>
          <w:rFonts w:ascii="Times New Roman" w:hAnsi="Times New Roman"/>
          <w:b w:val="0"/>
          <w:bCs w:val="0"/>
          <w:sz w:val="36"/>
          <w:szCs w:val="36"/>
          <w:u w:val="none" w:color="000000"/>
          <w:shd w:val="clear" w:color="auto" w:fill="feffff"/>
          <w:rtl w:val="0"/>
        </w:rPr>
        <w: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1. How are recycling processes done for a product or its material?</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2. What is the importance of recycling in the ecosystem of the UK?</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3. What negative impact can be found due to improper recycling systems in the UK ecosystem?</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4. How can the recycling process be improved in the UK to maintain its ecosystem?</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en-US"/>
        </w:rPr>
        <w:t>Chapter 2: Literature Review</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en-US"/>
        </w:rPr>
        <w:t>2.1 Definition and Characteristics of Recycling Ecosystem</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Recycling embodies a key solution to conservation and plays a critical role in the ecosystem, particularly in the United Kingdom. Essentially, recycling involves turning waste materials into new, usable products, significantly fuelling the circular economy. To comprehend the dynamics of the recycling system, one must scrutinise its key elements, which constitute an array of collection networks, processing centres, and the inception of firm end markets for recycled materials. Recycling is not a stand-alone action but a comprehensive and interlinked system (Niero</w:t>
      </w:r>
      <w:r>
        <w:rPr>
          <w:rFonts w:ascii="Times New Roman" w:hAnsi="Times New Roman"/>
          <w:i w:val="1"/>
          <w:iCs w:val="1"/>
          <w:sz w:val="36"/>
          <w:szCs w:val="36"/>
          <w:u w:color="000000"/>
          <w:shd w:val="clear" w:color="auto" w:fill="feffff"/>
          <w:rtl w:val="0"/>
          <w:lang w:val="fr-FR"/>
        </w:rPr>
        <w:t xml:space="preserve"> et al., </w:t>
      </w:r>
      <w:r>
        <w:rPr>
          <w:rFonts w:ascii="Times New Roman" w:hAnsi="Times New Roman"/>
          <w:sz w:val="36"/>
          <w:szCs w:val="36"/>
          <w:u w:color="000000"/>
          <w:shd w:val="clear" w:color="auto" w:fill="feffff"/>
          <w:rtl w:val="0"/>
          <w:lang w:val="en-US"/>
        </w:rPr>
        <w:t>2017). Examining its features involves acknowledging its adaptability within the ecosystem. Veering away from the one-way street of waste management models, recycling embodies a circular movement, allowing materials to be continuously reused. The circular essence promotes dedication to lowering environmental harm and preserving resources, establishing recycling as a truly sustainable system.</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en-US"/>
        </w:rPr>
        <w:t>2.2 Importance of Recycling in the UK</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The importance of the recycling ecosystem in the UK spans environmental, economic, and social realms. From an environmental standpoint, recycling is essential in decreasing greenhouse gas emissions. By reducing the dependence on raw material harvesting and manufacturing, recycling directly aids in combating climate change (Yang </w:t>
      </w:r>
      <w:r>
        <w:rPr>
          <w:rFonts w:ascii="Times New Roman" w:hAnsi="Times New Roman"/>
          <w:i w:val="1"/>
          <w:iCs w:val="1"/>
          <w:sz w:val="36"/>
          <w:szCs w:val="36"/>
          <w:u w:color="000000"/>
          <w:shd w:val="clear" w:color="auto" w:fill="feffff"/>
          <w:rtl w:val="0"/>
          <w:lang w:val="nl-NL"/>
        </w:rPr>
        <w:t>et al.,</w:t>
      </w:r>
      <w:r>
        <w:rPr>
          <w:rFonts w:ascii="Times New Roman" w:hAnsi="Times New Roman"/>
          <w:sz w:val="36"/>
          <w:szCs w:val="36"/>
          <w:u w:color="000000"/>
          <w:shd w:val="clear" w:color="auto" w:fill="feffff"/>
          <w:rtl w:val="0"/>
          <w:lang w:val="en-US"/>
        </w:rPr>
        <w:t xml:space="preserve"> 2022). Furthermore, recycling is vital in preserving natural resources, curtailing pollution, and relieving the pressure on landfill sites, in sync with the UK's pledge towards a more eco-friendly future.</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cs="Times New Roman" w:hAnsi="Times New Roman" w:eastAsia="Times New Roman"/>
          <w:sz w:val="36"/>
          <w:szCs w:val="36"/>
          <w:u w:color="000000"/>
          <w:shd w:val="clear" w:color="auto" w:fill="ffffff"/>
          <w:rtl w:val="0"/>
        </w:rPr>
        <w:drawing xmlns:a="http://schemas.openxmlformats.org/drawingml/2006/main">
          <wp:inline distT="0" distB="0" distL="0" distR="0">
            <wp:extent cx="6119930" cy="3883468"/>
            <wp:effectExtent l="0" t="0" r="0" b="0"/>
            <wp:docPr id="1073741827" name="officeArt object" descr="53246589-2EE2-41B0-BE45-9B6496B30018.png"/>
            <wp:cNvGraphicFramePr/>
            <a:graphic xmlns:a="http://schemas.openxmlformats.org/drawingml/2006/main">
              <a:graphicData uri="http://schemas.openxmlformats.org/drawingml/2006/picture">
                <pic:pic xmlns:pic="http://schemas.openxmlformats.org/drawingml/2006/picture">
                  <pic:nvPicPr>
                    <pic:cNvPr id="1073741827" name="53246589-2EE2-41B0-BE45-9B6496B30018.png" descr="53246589-2EE2-41B0-BE45-9B6496B30018.png"/>
                    <pic:cNvPicPr>
                      <a:picLocks noChangeAspect="1"/>
                    </pic:cNvPicPr>
                  </pic:nvPicPr>
                  <pic:blipFill>
                    <a:blip r:embed="rId6">
                      <a:extLst/>
                    </a:blip>
                    <a:stretch>
                      <a:fillRect/>
                    </a:stretch>
                  </pic:blipFill>
                  <pic:spPr>
                    <a:xfrm>
                      <a:off x="0" y="0"/>
                      <a:ext cx="6119930" cy="3883468"/>
                    </a:xfrm>
                    <a:prstGeom prst="rect">
                      <a:avLst/>
                    </a:prstGeom>
                    <a:ln w="12700" cap="flat">
                      <a:noFill/>
                      <a:miter lim="400000"/>
                    </a:ln>
                    <a:effectLst/>
                  </pic:spPr>
                </pic:pic>
              </a:graphicData>
            </a:graphic>
          </wp:inline>
        </w:drawing>
      </w:r>
    </w:p>
    <w:p>
      <w:pPr>
        <w:pStyle w:val="Default"/>
        <w:bidi w:val="0"/>
        <w:spacing w:before="0" w:after="240" w:line="240" w:lineRule="auto"/>
        <w:ind w:left="0" w:right="0" w:firstLine="0"/>
        <w:jc w:val="center"/>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en-US"/>
        </w:rPr>
        <w:t>Figure 2.1: Recycling Rate of Plastic Packages in the UK</w:t>
      </w:r>
    </w:p>
    <w:p>
      <w:pPr>
        <w:pStyle w:val="Default"/>
        <w:bidi w:val="0"/>
        <w:spacing w:before="0" w:after="240" w:line="240" w:lineRule="auto"/>
        <w:ind w:left="0" w:right="0" w:firstLine="0"/>
        <w:jc w:val="center"/>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rPr>
        <w:t>(Source: Alves, 2023)</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Economically, the practice of recycling is not just a solution for managing waste; it acts as a locomotive of job creation and a mechanism for reducing expenses. The sector of recycling serves as a source of job opportunities ranging from the stages of gathering to manipulation. Moreover, business entities find the advantage of trimmed production expenditures when they utilise recycled constituents in their operational flows (Gong </w:t>
      </w:r>
      <w:r>
        <w:rPr>
          <w:rFonts w:ascii="Times New Roman" w:hAnsi="Times New Roman"/>
          <w:i w:val="1"/>
          <w:iCs w:val="1"/>
          <w:sz w:val="36"/>
          <w:szCs w:val="36"/>
          <w:u w:color="000000"/>
          <w:shd w:val="clear" w:color="auto" w:fill="feffff"/>
          <w:rtl w:val="0"/>
          <w:lang w:val="nl-NL"/>
        </w:rPr>
        <w:t xml:space="preserve">et al., </w:t>
      </w:r>
      <w:r>
        <w:rPr>
          <w:rFonts w:ascii="Times New Roman" w:hAnsi="Times New Roman"/>
          <w:sz w:val="36"/>
          <w:szCs w:val="36"/>
          <w:u w:color="000000"/>
          <w:shd w:val="clear" w:color="auto" w:fill="feffff"/>
          <w:rtl w:val="0"/>
          <w:lang w:val="en-US"/>
        </w:rPr>
        <w:t>2022). Socially, activities related to recycling bring about community involvement, heighten general consciousness, and promote inculcating practices of managing waste responsibly. The clear influence of recycling projects goes past contributing to ecological conservation, crafting a vibe of common responsibility and active participation.</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en-US"/>
        </w:rPr>
        <w:t>2.3 Models and Theories in Recycling</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The recycling ecosystem is guided by essential models and theories that shape its trajectory and impact. One prominent model is the </w:t>
      </w:r>
      <w:r>
        <w:rPr>
          <w:rFonts w:ascii="Times New Roman" w:hAnsi="Times New Roman"/>
          <w:b w:val="1"/>
          <w:bCs w:val="1"/>
          <w:i w:val="1"/>
          <w:iCs w:val="1"/>
          <w:sz w:val="36"/>
          <w:szCs w:val="36"/>
          <w:u w:color="000000"/>
          <w:shd w:val="clear" w:color="auto" w:fill="feffff"/>
          <w:rtl w:val="0"/>
          <w:lang w:val="en-US"/>
        </w:rPr>
        <w:t>Extended Producer Responsibility (EPR)</w:t>
      </w:r>
      <w:r>
        <w:rPr>
          <w:rFonts w:ascii="Times New Roman" w:hAnsi="Times New Roman"/>
          <w:sz w:val="36"/>
          <w:szCs w:val="36"/>
          <w:u w:color="000000"/>
          <w:shd w:val="clear" w:color="auto" w:fill="feffff"/>
          <w:rtl w:val="0"/>
          <w:lang w:val="en-US"/>
        </w:rPr>
        <w:t>, placing the onus on producers for the entire life cycle of their products (Maitre-Ekern, 2020). EPR incentivises producers to design products with recyclability in mind, ensuring a smoother integration into the recycling process.</w:t>
      </w:r>
    </w:p>
    <w:p>
      <w:pPr>
        <w:pStyle w:val="Default"/>
        <w:bidi w:val="0"/>
        <w:spacing w:before="0" w:after="240" w:line="240" w:lineRule="auto"/>
        <w:ind w:left="0" w:right="0" w:firstLine="0"/>
        <w:jc w:val="center"/>
        <w:rPr>
          <w:rFonts w:ascii="Times New Roman" w:cs="Times New Roman" w:hAnsi="Times New Roman" w:eastAsia="Times New Roman"/>
          <w:sz w:val="36"/>
          <w:szCs w:val="36"/>
          <w:u w:color="000000"/>
          <w:shd w:val="clear" w:color="auto" w:fill="ffffff"/>
          <w:rtl w:val="0"/>
        </w:rPr>
      </w:pPr>
      <w:r>
        <w:rPr>
          <w:rFonts w:ascii="Times New Roman" w:cs="Times New Roman" w:hAnsi="Times New Roman" w:eastAsia="Times New Roman"/>
          <w:sz w:val="36"/>
          <w:szCs w:val="36"/>
          <w:u w:color="000000"/>
          <w:shd w:val="clear" w:color="auto" w:fill="ffffff"/>
          <w:rtl w:val="0"/>
        </w:rPr>
        <w:drawing xmlns:a="http://schemas.openxmlformats.org/drawingml/2006/main">
          <wp:inline distT="0" distB="0" distL="0" distR="0">
            <wp:extent cx="6119930" cy="6119930"/>
            <wp:effectExtent l="0" t="0" r="0" b="0"/>
            <wp:docPr id="1073741828" name="officeArt object" descr="56D82B2D-2A9A-4D03-B1BF-5DB0B19344E5.png"/>
            <wp:cNvGraphicFramePr/>
            <a:graphic xmlns:a="http://schemas.openxmlformats.org/drawingml/2006/main">
              <a:graphicData uri="http://schemas.openxmlformats.org/drawingml/2006/picture">
                <pic:pic xmlns:pic="http://schemas.openxmlformats.org/drawingml/2006/picture">
                  <pic:nvPicPr>
                    <pic:cNvPr id="1073741828" name="56D82B2D-2A9A-4D03-B1BF-5DB0B19344E5.png" descr="56D82B2D-2A9A-4D03-B1BF-5DB0B19344E5.png"/>
                    <pic:cNvPicPr>
                      <a:picLocks noChangeAspect="1"/>
                    </pic:cNvPicPr>
                  </pic:nvPicPr>
                  <pic:blipFill>
                    <a:blip r:embed="rId7">
                      <a:extLst/>
                    </a:blip>
                    <a:stretch>
                      <a:fillRect/>
                    </a:stretch>
                  </pic:blipFill>
                  <pic:spPr>
                    <a:xfrm>
                      <a:off x="0" y="0"/>
                      <a:ext cx="6119930" cy="6119930"/>
                    </a:xfrm>
                    <a:prstGeom prst="rect">
                      <a:avLst/>
                    </a:prstGeom>
                    <a:ln w="12700" cap="flat">
                      <a:noFill/>
                      <a:miter lim="400000"/>
                    </a:ln>
                    <a:effectLst/>
                  </pic:spPr>
                </pic:pic>
              </a:graphicData>
            </a:graphic>
          </wp:inline>
        </w:drawing>
      </w:r>
    </w:p>
    <w:p>
      <w:pPr>
        <w:pStyle w:val="Default"/>
        <w:bidi w:val="0"/>
        <w:spacing w:before="0" w:after="240" w:line="240" w:lineRule="auto"/>
        <w:ind w:left="0" w:right="0" w:firstLine="0"/>
        <w:jc w:val="center"/>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en-US"/>
        </w:rPr>
        <w:t>Figure 2.2: Extended Producer Responsibility Model</w:t>
      </w:r>
    </w:p>
    <w:p>
      <w:pPr>
        <w:pStyle w:val="Default"/>
        <w:bidi w:val="0"/>
        <w:spacing w:before="0" w:after="240" w:line="240" w:lineRule="auto"/>
        <w:ind w:left="0" w:right="0" w:firstLine="0"/>
        <w:jc w:val="center"/>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nl-NL"/>
        </w:rPr>
        <w:t>(Source: Zero Waste Scotland, 2023)</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b w:val="1"/>
          <w:bCs w:val="1"/>
          <w:i w:val="1"/>
          <w:iCs w:val="1"/>
          <w:sz w:val="36"/>
          <w:szCs w:val="36"/>
          <w:u w:color="000000"/>
          <w:shd w:val="clear" w:color="auto" w:fill="feffff"/>
          <w:rtl w:val="0"/>
          <w:lang w:val="en-US"/>
        </w:rPr>
        <w:t>The</w:t>
      </w:r>
      <w:r>
        <w:rPr>
          <w:rFonts w:ascii="Times New Roman" w:hAnsi="Times New Roman"/>
          <w:sz w:val="36"/>
          <w:szCs w:val="36"/>
          <w:u w:color="000000"/>
          <w:shd w:val="clear" w:color="auto" w:fill="feffff"/>
          <w:rtl w:val="0"/>
        </w:rPr>
        <w:t xml:space="preserve"> </w:t>
      </w:r>
      <w:r>
        <w:rPr>
          <w:rFonts w:ascii="Times New Roman" w:hAnsi="Times New Roman"/>
          <w:b w:val="1"/>
          <w:bCs w:val="1"/>
          <w:i w:val="1"/>
          <w:iCs w:val="1"/>
          <w:sz w:val="36"/>
          <w:szCs w:val="36"/>
          <w:u w:color="000000"/>
          <w:shd w:val="clear" w:color="auto" w:fill="feffff"/>
          <w:rtl w:val="0"/>
        </w:rPr>
        <w:t>Waste Hierarchy Model</w:t>
      </w:r>
      <w:r>
        <w:rPr>
          <w:rFonts w:ascii="Times New Roman" w:hAnsi="Times New Roman"/>
          <w:sz w:val="36"/>
          <w:szCs w:val="36"/>
          <w:u w:color="000000"/>
          <w:shd w:val="clear" w:color="auto" w:fill="feffff"/>
          <w:rtl w:val="0"/>
          <w:lang w:val="en-US"/>
        </w:rPr>
        <w:t xml:space="preserve"> establishes a prioritised approach to waste management, emphasising prevention, reuse, and recycling over disposal (Van Ewijk and Stegemann, 2016). </w:t>
      </w:r>
      <w:r>
        <w:rPr>
          <w:rFonts w:ascii="Times New Roman" w:hAnsi="Times New Roman"/>
          <w:b w:val="1"/>
          <w:bCs w:val="1"/>
          <w:i w:val="1"/>
          <w:iCs w:val="1"/>
          <w:sz w:val="36"/>
          <w:szCs w:val="36"/>
          <w:u w:color="000000"/>
          <w:shd w:val="clear" w:color="auto" w:fill="feffff"/>
          <w:rtl w:val="0"/>
          <w:lang w:val="en-US"/>
        </w:rPr>
        <w:t xml:space="preserve">Life Cycle Assessment (LCA) </w:t>
      </w:r>
      <w:r>
        <w:rPr>
          <w:rFonts w:ascii="Times New Roman" w:hAnsi="Times New Roman"/>
          <w:sz w:val="36"/>
          <w:szCs w:val="36"/>
          <w:u w:color="000000"/>
          <w:shd w:val="clear" w:color="auto" w:fill="feffff"/>
          <w:rtl w:val="0"/>
          <w:lang w:val="en-US"/>
        </w:rPr>
        <w:t xml:space="preserve">evaluates the environmental impact of a product throughout its life cycle, providing a comprehensive understanding of its sustainability (Shaked </w:t>
      </w:r>
      <w:r>
        <w:rPr>
          <w:rFonts w:ascii="Times New Roman" w:hAnsi="Times New Roman"/>
          <w:i w:val="1"/>
          <w:iCs w:val="1"/>
          <w:sz w:val="36"/>
          <w:szCs w:val="36"/>
          <w:u w:color="000000"/>
          <w:shd w:val="clear" w:color="auto" w:fill="feffff"/>
          <w:rtl w:val="0"/>
          <w:lang w:val="nl-NL"/>
        </w:rPr>
        <w:t>et al.,</w:t>
      </w:r>
      <w:r>
        <w:rPr>
          <w:rFonts w:ascii="Times New Roman" w:hAnsi="Times New Roman"/>
          <w:sz w:val="36"/>
          <w:szCs w:val="36"/>
          <w:u w:color="000000"/>
          <w:shd w:val="clear" w:color="auto" w:fill="feffff"/>
          <w:rtl w:val="0"/>
          <w:lang w:val="en-US"/>
        </w:rPr>
        <w:t xml:space="preserve"> 2015). These models and theories serve as frameworks for policymakers and stakeholders, aiding in the formulation of effective and targeted recycling strategies to promote a sustainable future.</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en-US"/>
        </w:rPr>
        <w:t>2.4 Advantages, Disadvantages, and Challenges</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Recycling promotes a plethora of advantages, with resource preservation being chief among them. The act of repurposing items through recycling minimises the need for ardent extraction of raw materials, thus protecting finite resources. Concurrently, it alleviates landfill waste, mitigating the ecological impact associated with typical waste disposal practices (Ozbay </w:t>
      </w:r>
      <w:r>
        <w:rPr>
          <w:rFonts w:ascii="Times New Roman" w:hAnsi="Times New Roman"/>
          <w:i w:val="1"/>
          <w:iCs w:val="1"/>
          <w:sz w:val="36"/>
          <w:szCs w:val="36"/>
          <w:u w:color="000000"/>
          <w:shd w:val="clear" w:color="auto" w:fill="feffff"/>
          <w:rtl w:val="0"/>
          <w:lang w:val="nl-NL"/>
        </w:rPr>
        <w:t>et al.,</w:t>
      </w:r>
      <w:r>
        <w:rPr>
          <w:rFonts w:ascii="Times New Roman" w:hAnsi="Times New Roman"/>
          <w:sz w:val="36"/>
          <w:szCs w:val="36"/>
          <w:u w:color="000000"/>
          <w:shd w:val="clear" w:color="auto" w:fill="feffff"/>
          <w:rtl w:val="0"/>
          <w:lang w:val="en-US"/>
        </w:rPr>
        <w:t xml:space="preserve"> 2021). A significant additional advantage is energy conservation as recycling commonly utilises less energy compared to manufacturing products from raw materials.</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Nevertheless, recycling does pose certain difficulties. Pollution problems in recycling currents can impact the quality of the reused materials, limiting their reapplication. Technical obstacles might also restrict the efficiency of recycling methods, thus necessitating continuous advancement. Behaviour-related issues, such as insubstantial public knowledge and comprehension of recycling practices, can obstruct attempts to augment recycling percentages (Ikhlayel, 2018). Financial challenges, like varying market needs for recycled materials, present further hurdles to the survival of recycling ecosystems. Overcoming these difficulties mandates a comprehensive strategy that assesses technological progress, educational undertakings, and financial encouragement.</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en-US"/>
        </w:rPr>
        <w:t>2.5 Policy Framework and Future Trends</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The success of the UK's recycling ecosystem hinges on a robust policy framework. Notably, the Extended Producer Responsibility (EPR) and Waste Hierarchy model drive a circular approach, holding producers accountable and prioritising sustainable waste management. The </w:t>
      </w:r>
      <w:r>
        <w:rPr>
          <w:rFonts w:ascii="Times New Roman" w:hAnsi="Times New Roman"/>
          <w:b w:val="1"/>
          <w:bCs w:val="1"/>
          <w:i w:val="1"/>
          <w:iCs w:val="1"/>
          <w:sz w:val="36"/>
          <w:szCs w:val="36"/>
          <w:u w:color="000000"/>
          <w:shd w:val="clear" w:color="auto" w:fill="feffff"/>
          <w:rtl w:val="0"/>
          <w:lang w:val="en-US"/>
        </w:rPr>
        <w:t>Packaging Waste Regulations</w:t>
      </w:r>
      <w:r>
        <w:rPr>
          <w:rFonts w:ascii="Times New Roman" w:hAnsi="Times New Roman"/>
          <w:sz w:val="36"/>
          <w:szCs w:val="36"/>
          <w:u w:color="000000"/>
          <w:shd w:val="clear" w:color="auto" w:fill="feffff"/>
          <w:rtl w:val="0"/>
          <w:lang w:val="en-US"/>
        </w:rPr>
        <w:t xml:space="preserve"> further enforce recycling targets, encouraging responsible packaging practices. Case studies, such as the </w:t>
      </w:r>
      <w:r>
        <w:rPr>
          <w:rFonts w:ascii="Times New Roman" w:hAnsi="Times New Roman"/>
          <w:b w:val="1"/>
          <w:bCs w:val="1"/>
          <w:i w:val="1"/>
          <w:iCs w:val="1"/>
          <w:sz w:val="36"/>
          <w:szCs w:val="36"/>
          <w:u w:color="000000"/>
          <w:shd w:val="clear" w:color="auto" w:fill="feffff"/>
          <w:rtl w:val="0"/>
          <w:lang w:val="en-US"/>
        </w:rPr>
        <w:t>"Plastic Pact,"</w:t>
      </w:r>
      <w:r>
        <w:rPr>
          <w:rFonts w:ascii="Times New Roman" w:hAnsi="Times New Roman"/>
          <w:sz w:val="36"/>
          <w:szCs w:val="36"/>
          <w:u w:color="000000"/>
          <w:shd w:val="clear" w:color="auto" w:fill="feffff"/>
          <w:rtl w:val="0"/>
          <w:lang w:val="en-US"/>
        </w:rPr>
        <w:t xml:space="preserve"> underscore the effectiveness of collaborative initiatives (Barrowclough and Deere Birkbeck, 2020).</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Looking forward, emerging technologies like AI and robotics promise to revolutionise recycling processes, while consumer shifts toward sustainable choices will reshape recycling patterns. Global collaborations, exemplified by initiatives like the Global Recycling Foundation, are crucial for addressing the global nature of waste management. Continuous policy evaluation and international cooperation are paramount to navigating evolving recycling landscapes and ensuring a sustainable and resilient future.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en-US"/>
        </w:rPr>
        <w:t>Chapter 3: Research Methods and Methodology</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en-US"/>
        </w:rPr>
        <w:t>3.1 Research Philosophy</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In this research, the analytical standpoint of </w:t>
      </w:r>
      <w:r>
        <w:rPr>
          <w:rFonts w:ascii="Times New Roman" w:hAnsi="Times New Roman"/>
          <w:b w:val="1"/>
          <w:bCs w:val="1"/>
          <w:i w:val="1"/>
          <w:iCs w:val="1"/>
          <w:sz w:val="36"/>
          <w:szCs w:val="36"/>
          <w:u w:color="000000"/>
          <w:shd w:val="clear" w:color="auto" w:fill="feffff"/>
          <w:rtl w:val="0"/>
        </w:rPr>
        <w:t xml:space="preserve">positivism </w:t>
      </w:r>
      <w:r>
        <w:rPr>
          <w:rFonts w:ascii="Times New Roman" w:hAnsi="Times New Roman"/>
          <w:sz w:val="36"/>
          <w:szCs w:val="36"/>
          <w:u w:color="000000"/>
          <w:shd w:val="clear" w:color="auto" w:fill="feffff"/>
          <w:rtl w:val="0"/>
          <w:lang w:val="en-US"/>
        </w:rPr>
        <w:t>will be utilised to deliver an impartial comprehension of the recycling system in the UK. Positivism is anchored in empirical insights and countable proof, correlating with the requirement for tangible information to scrutinise diverse facets of recycling (Park, Konge and Artino, 2020). By implementing a positivist perspective, the study intends to elucidate quantifiable trends and connections, enabling a sturdy inspection of the recycling terrain.</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en-US"/>
        </w:rPr>
        <w:t>3.2 Research Approach</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A forward-thinking strategy, the </w:t>
      </w:r>
      <w:r>
        <w:rPr>
          <w:rFonts w:ascii="Times New Roman" w:hAnsi="Times New Roman"/>
          <w:b w:val="1"/>
          <w:bCs w:val="1"/>
          <w:i w:val="1"/>
          <w:iCs w:val="1"/>
          <w:sz w:val="36"/>
          <w:szCs w:val="36"/>
          <w:u w:color="000000"/>
          <w:shd w:val="clear" w:color="auto" w:fill="feffff"/>
          <w:rtl w:val="0"/>
          <w:lang w:val="fr-FR"/>
        </w:rPr>
        <w:t>deductive</w:t>
      </w:r>
      <w:r>
        <w:rPr>
          <w:rFonts w:ascii="Times New Roman" w:hAnsi="Times New Roman"/>
          <w:sz w:val="36"/>
          <w:szCs w:val="36"/>
          <w:u w:color="000000"/>
          <w:shd w:val="clear" w:color="auto" w:fill="feffff"/>
          <w:rtl w:val="0"/>
          <w:lang w:val="en-US"/>
        </w:rPr>
        <w:t xml:space="preserve"> research approach, will be chosen for its aptness in scrutinising established recycling paradigms and concepts. In the initial phase, a comprehensive recycling ecosystem theory will be proposed, which will then be evaluated against specific observations (Stacey, 2019). Set against the imminent UK recycling practices, this deductive method will allow for an in-depth review of these concepts' credibility. It will enable the shaping of hypotheses and the subsequent inspection against tangible proof in a systematic way.</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en-US"/>
        </w:rPr>
        <w:t>3.3 Research Design</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A comprehensive examination of the recycling ecosystem in the UK will be facilitated by the utilisation of a </w:t>
      </w:r>
      <w:r>
        <w:rPr>
          <w:rFonts w:ascii="Times New Roman" w:hAnsi="Times New Roman"/>
          <w:b w:val="1"/>
          <w:bCs w:val="1"/>
          <w:i w:val="1"/>
          <w:iCs w:val="1"/>
          <w:sz w:val="36"/>
          <w:szCs w:val="36"/>
          <w:u w:color="000000"/>
          <w:shd w:val="clear" w:color="auto" w:fill="feffff"/>
          <w:rtl w:val="0"/>
          <w:lang w:val="en-US"/>
        </w:rPr>
        <w:t>descriptive</w:t>
      </w:r>
      <w:r>
        <w:rPr>
          <w:rFonts w:ascii="Times New Roman" w:hAnsi="Times New Roman"/>
          <w:sz w:val="36"/>
          <w:szCs w:val="36"/>
          <w:u w:color="000000"/>
          <w:shd w:val="clear" w:color="auto" w:fill="feffff"/>
          <w:rtl w:val="0"/>
          <w:lang w:val="en-US"/>
        </w:rPr>
        <w:t xml:space="preserve"> research design. This approach will be fitting for delivering an all-encompassing view of the recycling milieu. The research, employing a descriptive methodology, will strive to deliver an exhaustive analytical representation of the recycling processes, involved parties, and inherent obstacles. The chosen methodology promises a detailed investigation and recording of the prevailing recycling practices, contributing to a well-rounded comprehension.</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en-US"/>
        </w:rPr>
        <w:t>3.4 Research Strategy</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Anticipating the implementation of a </w:t>
      </w:r>
      <w:r>
        <w:rPr>
          <w:rFonts w:ascii="Times New Roman" w:hAnsi="Times New Roman"/>
          <w:b w:val="1"/>
          <w:bCs w:val="1"/>
          <w:i w:val="1"/>
          <w:iCs w:val="1"/>
          <w:sz w:val="36"/>
          <w:szCs w:val="36"/>
          <w:u w:color="000000"/>
          <w:shd w:val="clear" w:color="auto" w:fill="feffff"/>
          <w:rtl w:val="0"/>
          <w:lang w:val="it-IT"/>
        </w:rPr>
        <w:t xml:space="preserve">qualitative </w:t>
      </w:r>
      <w:r>
        <w:rPr>
          <w:rFonts w:ascii="Times New Roman" w:hAnsi="Times New Roman"/>
          <w:sz w:val="36"/>
          <w:szCs w:val="36"/>
          <w:u w:color="000000"/>
          <w:shd w:val="clear" w:color="auto" w:fill="feffff"/>
          <w:rtl w:val="0"/>
          <w:lang w:val="en-US"/>
        </w:rPr>
        <w:t xml:space="preserve">research approach, the aim is to comprehensively understand the intricate facets of the recycling network (Nobles </w:t>
      </w:r>
      <w:r>
        <w:rPr>
          <w:rFonts w:ascii="Times New Roman" w:hAnsi="Times New Roman"/>
          <w:i w:val="1"/>
          <w:iCs w:val="1"/>
          <w:sz w:val="36"/>
          <w:szCs w:val="36"/>
          <w:u w:color="000000"/>
          <w:shd w:val="clear" w:color="auto" w:fill="feffff"/>
          <w:rtl w:val="0"/>
          <w:lang w:val="nl-NL"/>
        </w:rPr>
        <w:t xml:space="preserve">et al., </w:t>
      </w:r>
      <w:r>
        <w:rPr>
          <w:rFonts w:ascii="Times New Roman" w:hAnsi="Times New Roman"/>
          <w:sz w:val="36"/>
          <w:szCs w:val="36"/>
          <w:u w:color="000000"/>
          <w:shd w:val="clear" w:color="auto" w:fill="feffff"/>
          <w:rtl w:val="0"/>
          <w:lang w:val="en-US"/>
        </w:rPr>
        <w:t>2022). The approach will incorporate qualitative measures including comprehensive dialogues, illustrative scenarios, and evaluative content investigations to accumulate profound and comprehensive discernments. With this qualitative investigation, the intention is to delve into the impressions, understandings, and incentives of participating entities in the recycling sector. This approach respects the multifaceted nature of human experiences and engagements, offering a more profound comprehension of societal and cultural factors that impact recycling habits.</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en-US"/>
        </w:rPr>
        <w:t>3.5 Data Collection Methods/Tools</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The main approach for gathering information will encompass the application of </w:t>
      </w:r>
      <w:r>
        <w:rPr>
          <w:rFonts w:ascii="Times New Roman" w:hAnsi="Times New Roman"/>
          <w:b w:val="1"/>
          <w:bCs w:val="1"/>
          <w:i w:val="1"/>
          <w:iCs w:val="1"/>
          <w:sz w:val="36"/>
          <w:szCs w:val="36"/>
          <w:u w:color="000000"/>
          <w:shd w:val="clear" w:color="auto" w:fill="feffff"/>
          <w:rtl w:val="0"/>
          <w:lang w:val="en-US"/>
        </w:rPr>
        <w:t xml:space="preserve">secondary sources </w:t>
      </w:r>
      <w:r>
        <w:rPr>
          <w:rFonts w:ascii="Times New Roman" w:hAnsi="Times New Roman"/>
          <w:sz w:val="36"/>
          <w:szCs w:val="36"/>
          <w:u w:color="000000"/>
          <w:shd w:val="clear" w:color="auto" w:fill="feffff"/>
          <w:rtl w:val="0"/>
        </w:rPr>
        <w:t>(Mohajan, 2018). Utilising extant literature, reports, and data compilations will facilitate a comprehensive exploration of the past perspective, present status, and progressing patterns within the recycling infrastructure in the UK. Secondary sources furnish the groundwork of awareness, permitting the study to enhance pre-existing perceptions and interpretations of recycling methodologies. This tactic ensures effectiveness and paves the way for the amalgamation of a wide spectrum of details.</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en-US"/>
        </w:rPr>
        <w:t>3.6 Ways of Interpreting Data</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The use of </w:t>
      </w:r>
      <w:r>
        <w:rPr>
          <w:rFonts w:ascii="Times New Roman" w:hAnsi="Times New Roman"/>
          <w:b w:val="1"/>
          <w:bCs w:val="1"/>
          <w:i w:val="1"/>
          <w:iCs w:val="1"/>
          <w:sz w:val="36"/>
          <w:szCs w:val="36"/>
          <w:u w:color="000000"/>
          <w:shd w:val="clear" w:color="auto" w:fill="feffff"/>
          <w:rtl w:val="0"/>
          <w:lang w:val="en-US"/>
        </w:rPr>
        <w:t>thematic analysis</w:t>
      </w:r>
      <w:r>
        <w:rPr>
          <w:rFonts w:ascii="Times New Roman" w:hAnsi="Times New Roman"/>
          <w:sz w:val="36"/>
          <w:szCs w:val="36"/>
          <w:u w:color="000000"/>
          <w:shd w:val="clear" w:color="auto" w:fill="feffff"/>
          <w:rtl w:val="0"/>
          <w:lang w:val="en-US"/>
        </w:rPr>
        <w:t xml:space="preserve"> will be adopted as a tool for interpreting the gathered data. This technique is about recognizing and studying repeated themes within the data, offering a structured and systematic procedure to recognize patterns and tendencies in the recycling ecosystem (Xu and Zammit, 2020). Additionally, through the classification and investigation of themes, the objective of the research is to extract significant knowledge and build links between various facets of recycling habits in the UK.</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en-US"/>
        </w:rPr>
        <w:t>3.7 Time Prospects of the Research (Gantt chart)</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cs="Times New Roman" w:hAnsi="Times New Roman" w:eastAsia="Times New Roman"/>
          <w:sz w:val="36"/>
          <w:szCs w:val="36"/>
          <w:u w:color="000000"/>
          <w:shd w:val="clear" w:color="auto" w:fill="ffffff"/>
          <w:rtl w:val="0"/>
        </w:rPr>
        <w:drawing xmlns:a="http://schemas.openxmlformats.org/drawingml/2006/main">
          <wp:inline distT="0" distB="0" distL="0" distR="0">
            <wp:extent cx="6119930" cy="1600815"/>
            <wp:effectExtent l="0" t="0" r="0" b="0"/>
            <wp:docPr id="1073741829" name="officeArt object" descr="EAE31A38-7E30-42FC-A889-823BD201E910.png"/>
            <wp:cNvGraphicFramePr/>
            <a:graphic xmlns:a="http://schemas.openxmlformats.org/drawingml/2006/main">
              <a:graphicData uri="http://schemas.openxmlformats.org/drawingml/2006/picture">
                <pic:pic xmlns:pic="http://schemas.openxmlformats.org/drawingml/2006/picture">
                  <pic:nvPicPr>
                    <pic:cNvPr id="1073741829" name="EAE31A38-7E30-42FC-A889-823BD201E910.png" descr="EAE31A38-7E30-42FC-A889-823BD201E910.png"/>
                    <pic:cNvPicPr>
                      <a:picLocks noChangeAspect="1"/>
                    </pic:cNvPicPr>
                  </pic:nvPicPr>
                  <pic:blipFill>
                    <a:blip r:embed="rId8">
                      <a:extLst/>
                    </a:blip>
                    <a:stretch>
                      <a:fillRect/>
                    </a:stretch>
                  </pic:blipFill>
                  <pic:spPr>
                    <a:xfrm>
                      <a:off x="0" y="0"/>
                      <a:ext cx="6119930" cy="1600815"/>
                    </a:xfrm>
                    <a:prstGeom prst="rect">
                      <a:avLst/>
                    </a:prstGeom>
                    <a:ln w="12700" cap="flat">
                      <a:noFill/>
                      <a:miter lim="400000"/>
                    </a:ln>
                    <a:effectLst/>
                  </pic:spPr>
                </pic:pic>
              </a:graphicData>
            </a:graphic>
          </wp:inline>
        </w:drawing>
      </w:r>
    </w:p>
    <w:p>
      <w:pPr>
        <w:pStyle w:val="Default"/>
        <w:bidi w:val="0"/>
        <w:spacing w:before="0" w:after="240" w:line="240" w:lineRule="auto"/>
        <w:ind w:left="0" w:right="0" w:firstLine="0"/>
        <w:jc w:val="center"/>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de-DE"/>
        </w:rPr>
        <w:t>Figure 3.1: Gantt chart</w:t>
      </w:r>
    </w:p>
    <w:p>
      <w:pPr>
        <w:pStyle w:val="Default"/>
        <w:bidi w:val="0"/>
        <w:spacing w:before="0" w:after="240" w:line="240" w:lineRule="auto"/>
        <w:ind w:left="0" w:right="0" w:firstLine="0"/>
        <w:jc w:val="center"/>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(Created by the Student)</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en-US"/>
        </w:rPr>
        <w:t>3.8 Ethical Considerations</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Future commitments will hold extreme importance in the whole research process with an emphasis on ethical aspects. Strict adherence to the protection of individual privacy and obtaining informed consent from participants involved in case studies or interviews will be ensured. Acknowledging sources correctly and citing them to maintain academic honesty and prevent any plagiarism will be pursued (Lipson, 2019). Utmost transparency in presenting findings, curbing biases, and illustrating a balanced view of the data will be vital to preserving the ethical framework of the study. The research will align with ethical principles and protocols to ensure a dutiful and considerate research approach.</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nl-NL"/>
        </w:rPr>
        <w:t>Chapter 4: Conclusion</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This study provides a comprehensive exploration of the recycling ecosystem in the United Kingdom. Recycling, as a circular and sustainable process, plays a pivotal role in mitigating climate change, conserving resources, and engaging communities. Models like Extended Producer Responsibility (EPR) and the Waste Hierarchy Model underpin effective recycling strategies, offering both advantages, such as resource conservation, and challenges, including contamination issues.</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Looking ahead, emerging technologies and global collaborations present opportunities for the evolution of recycling practices. Policy frameworks, exemplified by the Extended Producer Responsibility (EPR) model and the Packaging Waste Regulations, play pivotal roles in shaping sustainable waste management.</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The research methodology employs a positivist perspective and deductive approach for an impartial understanding, with a descriptive methodology and qualitative strategies ensuring a comprehensive examination. Ethical considerations prioritise participant privacy and transparent reporting of findings. The Gantt chart outlines the research timeline.</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In essence, this study contributes to informed decision-making, policy refinement, and a deeper understanding of the recycling ecosystem in the UK, laying the foundation for a sustainable and resilient future.</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hint="default"/>
          <w:sz w:val="36"/>
          <w:szCs w:val="36"/>
          <w:u w:color="000000"/>
          <w:shd w:val="clear" w:color="auto" w:fill="fe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36"/>
          <w:szCs w:val="36"/>
          <w:u w:color="000000"/>
          <w:shd w:val="clear" w:color="auto" w:fill="feffff"/>
          <w:rtl w:val="0"/>
          <w:lang w:val="fr-FR"/>
        </w:rPr>
        <w:t>References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rPr>
        <w:t xml:space="preserve">Alves, B. (2023). </w:t>
      </w:r>
      <w:r>
        <w:rPr>
          <w:rFonts w:ascii="Times New Roman" w:hAnsi="Times New Roman"/>
          <w:i w:val="1"/>
          <w:iCs w:val="1"/>
          <w:sz w:val="36"/>
          <w:szCs w:val="36"/>
          <w:u w:color="000000"/>
          <w:shd w:val="clear" w:color="auto" w:fill="feffff"/>
          <w:rtl w:val="0"/>
          <w:lang w:val="en-US"/>
        </w:rPr>
        <w:t>UK plastic packaging recycling rate 2021</w:t>
      </w:r>
      <w:r>
        <w:rPr>
          <w:rFonts w:ascii="Times New Roman" w:hAnsi="Times New Roman"/>
          <w:sz w:val="36"/>
          <w:szCs w:val="36"/>
          <w:u w:color="000000"/>
          <w:shd w:val="clear" w:color="auto" w:fill="feffff"/>
          <w:rtl w:val="0"/>
          <w:lang w:val="en-US"/>
        </w:rPr>
        <w:t>. [online] Statista. Available at: https://www.statista.com/statistics/812502/plastic-packaging-waste-recycling-united-kingdom/#:~:text=The%20recycling%20rate%20of%20plastic [Accessed 24 Nov. 2023].</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rPr>
        <w:t>Alves, B. (2023).</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en-US"/>
        </w:rPr>
        <w:t>UK household waste recycling rates by country</w:t>
      </w:r>
      <w:r>
        <w:rPr>
          <w:rFonts w:ascii="Times New Roman" w:hAnsi="Times New Roman"/>
          <w:sz w:val="36"/>
          <w:szCs w:val="36"/>
          <w:u w:color="000000"/>
          <w:shd w:val="clear" w:color="auto" w:fill="feffff"/>
          <w:rtl w:val="0"/>
          <w:lang w:val="en-US"/>
        </w:rPr>
        <w:t>. [online] Statista. Available at: https://www.statista.com/statistics/1317453/household-waste-recycling-rates-by-country-uk/#:~:text=In%202021%2C%2044.6%20percent%20of [Accessed 24 Nov. 2023].</w:t>
      </w:r>
    </w:p>
    <w:p>
      <w:pPr>
        <w:pStyle w:val="Default"/>
        <w:bidi w:val="0"/>
        <w:spacing w:before="0" w:after="240" w:line="240" w:lineRule="auto"/>
        <w:ind w:left="0" w:right="0" w:firstLine="0"/>
        <w:jc w:val="both"/>
        <w:rPr>
          <w:rFonts w:ascii="Times New Roman" w:cs="Times New Roman" w:hAnsi="Times New Roman" w:eastAsia="Times New Roman"/>
          <w:i w:val="0"/>
          <w:iCs w:val="0"/>
          <w:sz w:val="36"/>
          <w:szCs w:val="36"/>
          <w:u w:color="000000"/>
          <w:shd w:val="clear" w:color="auto" w:fill="feffff"/>
          <w:rtl w:val="0"/>
        </w:rPr>
      </w:pPr>
      <w:r>
        <w:rPr>
          <w:rFonts w:ascii="Times New Roman" w:hAnsi="Times New Roman"/>
          <w:i w:val="0"/>
          <w:iCs w:val="0"/>
          <w:sz w:val="36"/>
          <w:szCs w:val="36"/>
          <w:u w:color="000000"/>
          <w:shd w:val="clear" w:color="auto" w:fill="feffff"/>
          <w:rtl w:val="0"/>
        </w:rPr>
        <w:t xml:space="preserve">Barrowclough, D. and Deere Birkbeck, C. (2020). </w:t>
      </w:r>
      <w:r>
        <w:rPr>
          <w:rFonts w:ascii="Times New Roman" w:hAnsi="Times New Roman"/>
          <w:i w:val="1"/>
          <w:iCs w:val="1"/>
          <w:sz w:val="36"/>
          <w:szCs w:val="36"/>
          <w:u w:color="000000"/>
          <w:shd w:val="clear" w:color="auto" w:fill="feffff"/>
          <w:rtl w:val="0"/>
          <w:lang w:val="en-US"/>
        </w:rPr>
        <w:t>Transforming the global plastics economy: The political economy and governance of plastics production and pollution</w:t>
      </w:r>
      <w:r>
        <w:rPr>
          <w:rFonts w:ascii="Times New Roman" w:hAnsi="Times New Roman"/>
          <w:i w:val="0"/>
          <w:iCs w:val="0"/>
          <w:sz w:val="36"/>
          <w:szCs w:val="36"/>
          <w:u w:color="000000"/>
          <w:shd w:val="clear" w:color="auto" w:fill="feffff"/>
          <w:rtl w:val="0"/>
          <w:lang w:val="en-US"/>
        </w:rPr>
        <w:t>. [online] www.econstor.eu. Available at: https://www.econstor.eu/handle/10419/224117.</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Becerra, L., Carenzo, S. and Juarez, P. (2020). When Circular Economy Meets Inclusive Development. Insights from Urban Recycling and Rural Water Access in Argentina.</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rPr>
        <w:t>Sustainability</w:t>
      </w:r>
      <w:r>
        <w:rPr>
          <w:rFonts w:ascii="Times New Roman" w:hAnsi="Times New Roman"/>
          <w:sz w:val="36"/>
          <w:szCs w:val="36"/>
          <w:u w:color="000000"/>
          <w:shd w:val="clear" w:color="auto" w:fill="feffff"/>
          <w:rtl w:val="0"/>
          <w:lang w:val="pt-PT"/>
        </w:rPr>
        <w:t>, [online] 12(23), p.9809. doi:https://doi.org/10.3390/su12239809.</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Gong, Y., Xie, S., Arunachalam, D., Duan, J. and Luo, J. (2022). Blockchain</w:t>
      </w:r>
      <w:r>
        <w:rPr>
          <w:rFonts w:ascii="Times New Roman" w:hAnsi="Times New Roman" w:hint="default"/>
          <w:sz w:val="36"/>
          <w:szCs w:val="36"/>
          <w:u w:color="000000"/>
          <w:shd w:val="clear" w:color="auto" w:fill="feffff"/>
          <w:rtl w:val="0"/>
        </w:rPr>
        <w:t>‐</w:t>
      </w:r>
      <w:r>
        <w:rPr>
          <w:rFonts w:ascii="Times New Roman" w:hAnsi="Times New Roman"/>
          <w:sz w:val="36"/>
          <w:szCs w:val="36"/>
          <w:u w:color="000000"/>
          <w:shd w:val="clear" w:color="auto" w:fill="feffff"/>
          <w:rtl w:val="0"/>
          <w:lang w:val="en-US"/>
        </w:rPr>
        <w:t xml:space="preserve">based recycling and its impact on recycling performance: A network theory perspective. </w:t>
      </w:r>
      <w:r>
        <w:rPr>
          <w:rFonts w:ascii="Times New Roman" w:hAnsi="Times New Roman"/>
          <w:i w:val="1"/>
          <w:iCs w:val="1"/>
          <w:sz w:val="36"/>
          <w:szCs w:val="36"/>
          <w:u w:color="000000"/>
          <w:shd w:val="clear" w:color="auto" w:fill="feffff"/>
          <w:rtl w:val="0"/>
          <w:lang w:val="en-US"/>
        </w:rPr>
        <w:t>Business Strategy and the Environment</w:t>
      </w:r>
      <w:r>
        <w:rPr>
          <w:rFonts w:ascii="Times New Roman" w:hAnsi="Times New Roman"/>
          <w:sz w:val="36"/>
          <w:szCs w:val="36"/>
          <w:u w:color="000000"/>
          <w:shd w:val="clear" w:color="auto" w:fill="feffff"/>
          <w:rtl w:val="0"/>
          <w:lang w:val="en-US"/>
        </w:rPr>
        <w:t>. doi:https://doi.org/10.1002/bse.3028.</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Ikhlayel, M. (2018). An integrated approach to establish e-waste management systems for developing countries. </w:t>
      </w:r>
      <w:r>
        <w:rPr>
          <w:rFonts w:ascii="Times New Roman" w:hAnsi="Times New Roman"/>
          <w:i w:val="1"/>
          <w:iCs w:val="1"/>
          <w:sz w:val="36"/>
          <w:szCs w:val="36"/>
          <w:u w:color="000000"/>
          <w:shd w:val="clear" w:color="auto" w:fill="feffff"/>
          <w:rtl w:val="0"/>
          <w:lang w:val="en-US"/>
        </w:rPr>
        <w:t>Journal of Cleaner Production</w:t>
      </w:r>
      <w:r>
        <w:rPr>
          <w:rFonts w:ascii="Times New Roman" w:hAnsi="Times New Roman"/>
          <w:sz w:val="36"/>
          <w:szCs w:val="36"/>
          <w:u w:color="000000"/>
          <w:shd w:val="clear" w:color="auto" w:fill="feffff"/>
          <w:rtl w:val="0"/>
        </w:rPr>
        <w:t>, 170, pp.119</w:t>
      </w:r>
      <w:r>
        <w:rPr>
          <w:rFonts w:ascii="Times New Roman" w:hAnsi="Times New Roman" w:hint="default"/>
          <w:sz w:val="36"/>
          <w:szCs w:val="36"/>
          <w:u w:color="000000"/>
          <w:shd w:val="clear" w:color="auto" w:fill="feffff"/>
          <w:rtl w:val="0"/>
        </w:rPr>
        <w:t>–</w:t>
      </w:r>
      <w:r>
        <w:rPr>
          <w:rFonts w:ascii="Times New Roman" w:hAnsi="Times New Roman"/>
          <w:sz w:val="36"/>
          <w:szCs w:val="36"/>
          <w:u w:color="000000"/>
          <w:shd w:val="clear" w:color="auto" w:fill="feffff"/>
          <w:rtl w:val="0"/>
          <w:lang w:val="en-US"/>
        </w:rPr>
        <w:t>130. doi:https://doi.org/10.1016/j.jclepro.2017.09.137.</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rPr>
        <w:t xml:space="preserve">Lipson, C. (2019). </w:t>
      </w:r>
      <w:r>
        <w:rPr>
          <w:rFonts w:ascii="Times New Roman" w:hAnsi="Times New Roman"/>
          <w:i w:val="1"/>
          <w:iCs w:val="1"/>
          <w:sz w:val="36"/>
          <w:szCs w:val="36"/>
          <w:u w:color="000000"/>
          <w:shd w:val="clear" w:color="auto" w:fill="feffff"/>
          <w:rtl w:val="0"/>
          <w:lang w:val="en-US"/>
        </w:rPr>
        <w:t>Doing Honest Work in College, Third Edition: How to Prepare Citations, Avoid Plagiarism, and Achieve Real Academic Success</w:t>
      </w:r>
      <w:r>
        <w:rPr>
          <w:rFonts w:ascii="Times New Roman" w:hAnsi="Times New Roman"/>
          <w:sz w:val="36"/>
          <w:szCs w:val="36"/>
          <w:u w:color="000000"/>
          <w:shd w:val="clear" w:color="auto" w:fill="feffff"/>
          <w:rtl w:val="0"/>
          <w:lang w:val="pt-PT"/>
        </w:rPr>
        <w:t xml:space="preserve">. [online] </w:t>
      </w:r>
      <w:r>
        <w:rPr>
          <w:rFonts w:ascii="Times New Roman" w:hAnsi="Times New Roman"/>
          <w:i w:val="1"/>
          <w:iCs w:val="1"/>
          <w:sz w:val="36"/>
          <w:szCs w:val="36"/>
          <w:u w:color="000000"/>
          <w:shd w:val="clear" w:color="auto" w:fill="feffff"/>
          <w:rtl w:val="0"/>
          <w:lang w:val="en-US"/>
        </w:rPr>
        <w:t>Google Books</w:t>
      </w:r>
      <w:r>
        <w:rPr>
          <w:rFonts w:ascii="Times New Roman" w:hAnsi="Times New Roman"/>
          <w:sz w:val="36"/>
          <w:szCs w:val="36"/>
          <w:u w:color="000000"/>
          <w:shd w:val="clear" w:color="auto" w:fill="feffff"/>
          <w:rtl w:val="0"/>
          <w:lang w:val="en-US"/>
        </w:rPr>
        <w:t>. University of Chicago Press. Available at: https://books.google.co.in/books?hl=en&amp;lr=&amp;id=VY98DwAAQBAJ&amp;oi=fnd&amp;pg=PP10&amp;dq=Acknowledging+sources+correctly+and+citing+them+to+maintain+academic+honesty+and+prevent+any+plagiarism+will+be+pursued&amp;ots=5tCwttQIhy&amp;sig=23-bKl6nY7bvaf5LRaerXUhtds0#v=onepage&amp;q&amp;f=false [Accessed 24 Nov. 2023].</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Maitre-Ekern, E. (2020). Re-Thinking Producer Responsibility for a Sustainable Circular Economy From extended producer responsibility to pre-market producer responsibility. </w:t>
      </w:r>
      <w:r>
        <w:rPr>
          <w:rFonts w:ascii="Times New Roman" w:hAnsi="Times New Roman"/>
          <w:i w:val="1"/>
          <w:iCs w:val="1"/>
          <w:sz w:val="36"/>
          <w:szCs w:val="36"/>
          <w:u w:color="000000"/>
          <w:shd w:val="clear" w:color="auto" w:fill="feffff"/>
          <w:rtl w:val="0"/>
          <w:lang w:val="en-US"/>
        </w:rPr>
        <w:t>Journal of Cleaner Production</w:t>
      </w:r>
      <w:r>
        <w:rPr>
          <w:rFonts w:ascii="Times New Roman" w:hAnsi="Times New Roman"/>
          <w:sz w:val="36"/>
          <w:szCs w:val="36"/>
          <w:u w:color="000000"/>
          <w:shd w:val="clear" w:color="auto" w:fill="feffff"/>
          <w:rtl w:val="0"/>
          <w:lang w:val="en-US"/>
        </w:rPr>
        <w:t>, 286, p.125454. doi:https://doi.org/10.1016/j.jclepro.2020.125454.</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Mohajan, H.K. (2018). Qualitative research methodology in social sciences and related subjects. </w:t>
      </w:r>
      <w:r>
        <w:rPr>
          <w:rFonts w:ascii="Times New Roman" w:hAnsi="Times New Roman"/>
          <w:i w:val="1"/>
          <w:iCs w:val="1"/>
          <w:sz w:val="36"/>
          <w:szCs w:val="36"/>
          <w:u w:color="000000"/>
          <w:shd w:val="clear" w:color="auto" w:fill="feffff"/>
          <w:rtl w:val="0"/>
          <w:lang w:val="en-US"/>
        </w:rPr>
        <w:t>Journal of Economic Development, Environment and People</w:t>
      </w:r>
      <w:r>
        <w:rPr>
          <w:rFonts w:ascii="Times New Roman" w:hAnsi="Times New Roman"/>
          <w:sz w:val="36"/>
          <w:szCs w:val="36"/>
          <w:u w:color="000000"/>
          <w:shd w:val="clear" w:color="auto" w:fill="feffff"/>
          <w:rtl w:val="0"/>
        </w:rPr>
        <w:t>, 7(1), pp.23</w:t>
      </w:r>
      <w:r>
        <w:rPr>
          <w:rFonts w:ascii="Times New Roman" w:hAnsi="Times New Roman" w:hint="default"/>
          <w:sz w:val="36"/>
          <w:szCs w:val="36"/>
          <w:u w:color="000000"/>
          <w:shd w:val="clear" w:color="auto" w:fill="feffff"/>
          <w:rtl w:val="0"/>
        </w:rPr>
        <w:t>–</w:t>
      </w:r>
      <w:r>
        <w:rPr>
          <w:rFonts w:ascii="Times New Roman" w:hAnsi="Times New Roman"/>
          <w:sz w:val="36"/>
          <w:szCs w:val="36"/>
          <w:u w:color="000000"/>
          <w:shd w:val="clear" w:color="auto" w:fill="feffff"/>
          <w:rtl w:val="0"/>
        </w:rPr>
        <w:t>48.</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Niero, M., Hauschild, M.Z., Hoffmeyer, S.B. and Olsen, S.I. (2017). Combining Eco-Efficiency and Eco-Effectiveness for Continuous Loop Beverage Packaging Systems: Lessons from the Carlsberg Circular Community. </w:t>
      </w:r>
      <w:r>
        <w:rPr>
          <w:rFonts w:ascii="Times New Roman" w:hAnsi="Times New Roman"/>
          <w:i w:val="1"/>
          <w:iCs w:val="1"/>
          <w:sz w:val="36"/>
          <w:szCs w:val="36"/>
          <w:u w:color="000000"/>
          <w:shd w:val="clear" w:color="auto" w:fill="feffff"/>
          <w:rtl w:val="0"/>
          <w:lang w:val="en-US"/>
        </w:rPr>
        <w:t>Journal of Industrial Ecology</w:t>
      </w:r>
      <w:r>
        <w:rPr>
          <w:rFonts w:ascii="Times New Roman" w:hAnsi="Times New Roman"/>
          <w:sz w:val="36"/>
          <w:szCs w:val="36"/>
          <w:u w:color="000000"/>
          <w:shd w:val="clear" w:color="auto" w:fill="feffff"/>
          <w:rtl w:val="0"/>
        </w:rPr>
        <w:t>, 21(3), pp.742</w:t>
      </w:r>
      <w:r>
        <w:rPr>
          <w:rFonts w:ascii="Times New Roman" w:hAnsi="Times New Roman" w:hint="default"/>
          <w:sz w:val="36"/>
          <w:szCs w:val="36"/>
          <w:u w:color="000000"/>
          <w:shd w:val="clear" w:color="auto" w:fill="feffff"/>
          <w:rtl w:val="0"/>
        </w:rPr>
        <w:t>–</w:t>
      </w:r>
      <w:r>
        <w:rPr>
          <w:rFonts w:ascii="Times New Roman" w:hAnsi="Times New Roman"/>
          <w:sz w:val="36"/>
          <w:szCs w:val="36"/>
          <w:u w:color="000000"/>
          <w:shd w:val="clear" w:color="auto" w:fill="feffff"/>
          <w:rtl w:val="0"/>
          <w:lang w:val="en-US"/>
        </w:rPr>
        <w:t>753. doi:https://doi.org/10.1111/jiec.12554.</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Nobles, J.D., Fox, C., Inman-Ward, A., Beasley, T., Redwood, S., Jago, R. and Foster, C. (2022). Navigating the river(s) of systems change: a multi-methods, qualitative evaluation exploring the implementation of a systems approach to physical activity in Gloucestershire, England. </w:t>
      </w:r>
      <w:r>
        <w:rPr>
          <w:rFonts w:ascii="Times New Roman" w:hAnsi="Times New Roman"/>
          <w:i w:val="1"/>
          <w:iCs w:val="1"/>
          <w:sz w:val="36"/>
          <w:szCs w:val="36"/>
          <w:u w:color="000000"/>
          <w:shd w:val="clear" w:color="auto" w:fill="feffff"/>
          <w:rtl w:val="0"/>
        </w:rPr>
        <w:t>BMJ Open</w:t>
      </w:r>
      <w:r>
        <w:rPr>
          <w:rFonts w:ascii="Times New Roman" w:hAnsi="Times New Roman"/>
          <w:sz w:val="36"/>
          <w:szCs w:val="36"/>
          <w:u w:color="000000"/>
          <w:shd w:val="clear" w:color="auto" w:fill="feffff"/>
          <w:rtl w:val="0"/>
        </w:rPr>
        <w:t>, 12(8), pp.e063638</w:t>
      </w:r>
      <w:r>
        <w:rPr>
          <w:rFonts w:ascii="Times New Roman" w:hAnsi="Times New Roman" w:hint="default"/>
          <w:sz w:val="36"/>
          <w:szCs w:val="36"/>
          <w:u w:color="000000"/>
          <w:shd w:val="clear" w:color="auto" w:fill="feffff"/>
          <w:rtl w:val="0"/>
        </w:rPr>
        <w:t>–</w:t>
      </w:r>
      <w:r>
        <w:rPr>
          <w:rFonts w:ascii="Times New Roman" w:hAnsi="Times New Roman"/>
          <w:sz w:val="36"/>
          <w:szCs w:val="36"/>
          <w:u w:color="000000"/>
          <w:shd w:val="clear" w:color="auto" w:fill="feffff"/>
          <w:rtl w:val="0"/>
          <w:lang w:val="en-US"/>
        </w:rPr>
        <w:t>e063638. doi:https://doi.org/10.1136/bmjopen-2022-063638.</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Ozbay, G., Jones, M., Gadde, M., Isah, S. and Attarwala, T. (2021). Design and Operation of Effective Landfills with Minimal Effects on the Environment and Human Health. </w:t>
      </w:r>
      <w:r>
        <w:rPr>
          <w:rFonts w:ascii="Times New Roman" w:hAnsi="Times New Roman"/>
          <w:i w:val="1"/>
          <w:iCs w:val="1"/>
          <w:sz w:val="36"/>
          <w:szCs w:val="36"/>
          <w:u w:color="000000"/>
          <w:shd w:val="clear" w:color="auto" w:fill="feffff"/>
          <w:rtl w:val="0"/>
          <w:lang w:val="en-US"/>
        </w:rPr>
        <w:t>Journal of Environmental and Public Health</w:t>
      </w:r>
      <w:r>
        <w:rPr>
          <w:rFonts w:ascii="Times New Roman" w:hAnsi="Times New Roman"/>
          <w:sz w:val="36"/>
          <w:szCs w:val="36"/>
          <w:u w:color="000000"/>
          <w:shd w:val="clear" w:color="auto" w:fill="feffff"/>
          <w:rtl w:val="0"/>
        </w:rPr>
        <w:t>, 2021, pp.1</w:t>
      </w:r>
      <w:r>
        <w:rPr>
          <w:rFonts w:ascii="Times New Roman" w:hAnsi="Times New Roman" w:hint="default"/>
          <w:sz w:val="36"/>
          <w:szCs w:val="36"/>
          <w:u w:color="000000"/>
          <w:shd w:val="clear" w:color="auto" w:fill="feffff"/>
          <w:rtl w:val="0"/>
        </w:rPr>
        <w:t>–</w:t>
      </w:r>
      <w:r>
        <w:rPr>
          <w:rFonts w:ascii="Times New Roman" w:hAnsi="Times New Roman"/>
          <w:sz w:val="36"/>
          <w:szCs w:val="36"/>
          <w:u w:color="000000"/>
          <w:shd w:val="clear" w:color="auto" w:fill="feffff"/>
          <w:rtl w:val="0"/>
          <w:lang w:val="en-US"/>
        </w:rPr>
        <w:t>13. doi:https://doi.org/10.1155/2021/6921607.</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Park, Y.S., Konge, L. and Artino, A.R. (2020). The Positivism Paradigm of Research. </w:t>
      </w:r>
      <w:r>
        <w:rPr>
          <w:rFonts w:ascii="Times New Roman" w:hAnsi="Times New Roman"/>
          <w:i w:val="1"/>
          <w:iCs w:val="1"/>
          <w:sz w:val="36"/>
          <w:szCs w:val="36"/>
          <w:u w:color="000000"/>
          <w:shd w:val="clear" w:color="auto" w:fill="feffff"/>
          <w:rtl w:val="0"/>
        </w:rPr>
        <w:t>Academic Medicine</w:t>
      </w:r>
      <w:r>
        <w:rPr>
          <w:rFonts w:ascii="Times New Roman" w:hAnsi="Times New Roman"/>
          <w:sz w:val="36"/>
          <w:szCs w:val="36"/>
          <w:u w:color="000000"/>
          <w:shd w:val="clear" w:color="auto" w:fill="feffff"/>
          <w:rtl w:val="0"/>
        </w:rPr>
        <w:t>, 95(5), pp.690</w:t>
      </w:r>
      <w:r>
        <w:rPr>
          <w:rFonts w:ascii="Times New Roman" w:hAnsi="Times New Roman" w:hint="default"/>
          <w:sz w:val="36"/>
          <w:szCs w:val="36"/>
          <w:u w:color="000000"/>
          <w:shd w:val="clear" w:color="auto" w:fill="feffff"/>
          <w:rtl w:val="0"/>
        </w:rPr>
        <w:t>–</w:t>
      </w:r>
      <w:r>
        <w:rPr>
          <w:rFonts w:ascii="Times New Roman" w:hAnsi="Times New Roman"/>
          <w:sz w:val="36"/>
          <w:szCs w:val="36"/>
          <w:u w:color="000000"/>
          <w:shd w:val="clear" w:color="auto" w:fill="feffff"/>
          <w:rtl w:val="0"/>
          <w:lang w:val="en-US"/>
        </w:rPr>
        <w:t>694. doi:https://doi.org/10.1097/ACM.0000000000003093.</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it-IT"/>
        </w:rPr>
        <w:t xml:space="preserve">Shaked, S., Crettaz, P., Saade-Sbeih, M., Jolliet, O. and Jolliet, A. (2015). </w:t>
      </w:r>
      <w:r>
        <w:rPr>
          <w:rFonts w:ascii="Times New Roman" w:hAnsi="Times New Roman"/>
          <w:i w:val="1"/>
          <w:iCs w:val="1"/>
          <w:sz w:val="36"/>
          <w:szCs w:val="36"/>
          <w:u w:color="000000"/>
          <w:shd w:val="clear" w:color="auto" w:fill="feffff"/>
          <w:rtl w:val="0"/>
          <w:lang w:val="en-US"/>
        </w:rPr>
        <w:t>Environmental Life Cycle Assessment</w:t>
      </w:r>
      <w:r>
        <w:rPr>
          <w:rFonts w:ascii="Times New Roman" w:hAnsi="Times New Roman"/>
          <w:sz w:val="36"/>
          <w:szCs w:val="36"/>
          <w:u w:color="000000"/>
          <w:shd w:val="clear" w:color="auto" w:fill="feffff"/>
          <w:rtl w:val="0"/>
          <w:lang w:val="pt-PT"/>
        </w:rPr>
        <w:t xml:space="preserve">. [online] </w:t>
      </w:r>
      <w:r>
        <w:rPr>
          <w:rFonts w:ascii="Times New Roman" w:hAnsi="Times New Roman"/>
          <w:i w:val="1"/>
          <w:iCs w:val="1"/>
          <w:sz w:val="36"/>
          <w:szCs w:val="36"/>
          <w:u w:color="000000"/>
          <w:shd w:val="clear" w:color="auto" w:fill="feffff"/>
          <w:rtl w:val="0"/>
        </w:rPr>
        <w:t>library.oapen.org</w:t>
      </w:r>
      <w:r>
        <w:rPr>
          <w:rFonts w:ascii="Times New Roman" w:hAnsi="Times New Roman"/>
          <w:sz w:val="36"/>
          <w:szCs w:val="36"/>
          <w:u w:color="000000"/>
          <w:shd w:val="clear" w:color="auto" w:fill="feffff"/>
          <w:rtl w:val="0"/>
          <w:lang w:val="en-US"/>
        </w:rPr>
        <w:t>. CRC Press. Available at: https://library.oapen.org/handle/20.500.12657/43927.</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rPr>
        <w:t xml:space="preserve">Stacey, P.A. (2019). </w:t>
      </w:r>
      <w:r>
        <w:rPr>
          <w:rFonts w:ascii="Times New Roman" w:hAnsi="Times New Roman"/>
          <w:i w:val="1"/>
          <w:iCs w:val="1"/>
          <w:sz w:val="36"/>
          <w:szCs w:val="36"/>
          <w:u w:color="000000"/>
          <w:shd w:val="clear" w:color="auto" w:fill="feffff"/>
          <w:rtl w:val="0"/>
          <w:lang w:val="en-US"/>
        </w:rPr>
        <w:t>ECRM 2019 18th European Conference on Research Methods in Business and Management</w:t>
      </w:r>
      <w:r>
        <w:rPr>
          <w:rFonts w:ascii="Times New Roman" w:hAnsi="Times New Roman"/>
          <w:sz w:val="36"/>
          <w:szCs w:val="36"/>
          <w:u w:color="000000"/>
          <w:shd w:val="clear" w:color="auto" w:fill="feffff"/>
          <w:rtl w:val="0"/>
          <w:lang w:val="pt-PT"/>
        </w:rPr>
        <w:t xml:space="preserve">. [online] </w:t>
      </w:r>
      <w:r>
        <w:rPr>
          <w:rFonts w:ascii="Times New Roman" w:hAnsi="Times New Roman"/>
          <w:i w:val="1"/>
          <w:iCs w:val="1"/>
          <w:sz w:val="36"/>
          <w:szCs w:val="36"/>
          <w:u w:color="000000"/>
          <w:shd w:val="clear" w:color="auto" w:fill="feffff"/>
          <w:rtl w:val="0"/>
          <w:lang w:val="en-US"/>
        </w:rPr>
        <w:t>Google Books</w:t>
      </w:r>
      <w:r>
        <w:rPr>
          <w:rFonts w:ascii="Times New Roman" w:hAnsi="Times New Roman"/>
          <w:sz w:val="36"/>
          <w:szCs w:val="36"/>
          <w:u w:color="000000"/>
          <w:shd w:val="clear" w:color="auto" w:fill="feffff"/>
          <w:rtl w:val="0"/>
          <w:lang w:val="en-US"/>
        </w:rPr>
        <w:t>. Academic Conferences and publishing limited. Available at: https://books.google.co.in/books?hl=en&amp;lr=&amp;id=Uc-hDwAAQBAJ&amp;oi=fnd&amp;pg=PA264&amp;dq=+the+deductive+research+approach [Accessed 24 Nov. 2023].</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Van Ewijk, S. and Stegemann, J.A. (2016). Limitations of the Waste Hierarchy for Achieving Absolute Reductions in Material Throughput. </w:t>
      </w:r>
      <w:r>
        <w:rPr>
          <w:rFonts w:ascii="Times New Roman" w:hAnsi="Times New Roman"/>
          <w:i w:val="1"/>
          <w:iCs w:val="1"/>
          <w:sz w:val="36"/>
          <w:szCs w:val="36"/>
          <w:u w:color="000000"/>
          <w:shd w:val="clear" w:color="auto" w:fill="feffff"/>
          <w:rtl w:val="0"/>
          <w:lang w:val="en-US"/>
        </w:rPr>
        <w:t>Journal of Cleaner Production</w:t>
      </w:r>
      <w:r>
        <w:rPr>
          <w:rFonts w:ascii="Times New Roman" w:hAnsi="Times New Roman"/>
          <w:sz w:val="36"/>
          <w:szCs w:val="36"/>
          <w:u w:color="000000"/>
          <w:shd w:val="clear" w:color="auto" w:fill="feffff"/>
          <w:rtl w:val="0"/>
          <w:lang w:val="pt-PT"/>
        </w:rPr>
        <w:t>, [online] 132, pp.122</w:t>
      </w:r>
      <w:r>
        <w:rPr>
          <w:rFonts w:ascii="Times New Roman" w:hAnsi="Times New Roman" w:hint="default"/>
          <w:sz w:val="36"/>
          <w:szCs w:val="36"/>
          <w:u w:color="000000"/>
          <w:shd w:val="clear" w:color="auto" w:fill="feffff"/>
          <w:rtl w:val="0"/>
        </w:rPr>
        <w:t>–</w:t>
      </w:r>
      <w:r>
        <w:rPr>
          <w:rFonts w:ascii="Times New Roman" w:hAnsi="Times New Roman"/>
          <w:sz w:val="36"/>
          <w:szCs w:val="36"/>
          <w:u w:color="000000"/>
          <w:shd w:val="clear" w:color="auto" w:fill="feffff"/>
          <w:rtl w:val="0"/>
          <w:lang w:val="en-US"/>
        </w:rPr>
        <w:t>128. doi:https://doi.org/10.1016/j.jclepro.2014.11.051.</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Vaverkova, M.D. (2019). Landfill Impacts on the Environment</w:t>
      </w:r>
      <w:r>
        <w:rPr>
          <w:rFonts w:ascii="Times New Roman" w:hAnsi="Times New Roman" w:hint="default"/>
          <w:sz w:val="36"/>
          <w:szCs w:val="36"/>
          <w:u w:color="000000"/>
          <w:shd w:val="clear" w:color="auto" w:fill="feffff"/>
          <w:rtl w:val="0"/>
          <w:lang w:val="en-US"/>
        </w:rPr>
        <w:t xml:space="preserve">— </w:t>
      </w:r>
      <w:r>
        <w:rPr>
          <w:rFonts w:ascii="Times New Roman" w:hAnsi="Times New Roman"/>
          <w:sz w:val="36"/>
          <w:szCs w:val="36"/>
          <w:u w:color="000000"/>
          <w:shd w:val="clear" w:color="auto" w:fill="feffff"/>
          <w:rtl w:val="0"/>
        </w:rPr>
        <w:t>Review.</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fr-FR"/>
        </w:rPr>
        <w:t>Geosciences</w:t>
      </w:r>
      <w:r>
        <w:rPr>
          <w:rFonts w:ascii="Times New Roman" w:hAnsi="Times New Roman"/>
          <w:sz w:val="36"/>
          <w:szCs w:val="36"/>
          <w:u w:color="000000"/>
          <w:shd w:val="clear" w:color="auto" w:fill="feffff"/>
          <w:rtl w:val="0"/>
          <w:lang w:val="en-US"/>
        </w:rPr>
        <w:t>, 9(10), p.431. doi:https://doi.org/10.3390/geosciences9100431.</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Xu, W. and Zammit, K. (2020). Applying Thematic Analysis to Education: A Hybrid Approach to Interpreting Data in Practitioner Research. </w:t>
      </w:r>
      <w:r>
        <w:rPr>
          <w:rFonts w:ascii="Times New Roman" w:hAnsi="Times New Roman"/>
          <w:i w:val="1"/>
          <w:iCs w:val="1"/>
          <w:sz w:val="36"/>
          <w:szCs w:val="36"/>
          <w:u w:color="000000"/>
          <w:shd w:val="clear" w:color="auto" w:fill="feffff"/>
          <w:rtl w:val="0"/>
          <w:lang w:val="en-US"/>
        </w:rPr>
        <w:t>International Journal of Qualitative Methods</w:t>
      </w:r>
      <w:r>
        <w:rPr>
          <w:rFonts w:ascii="Times New Roman" w:hAnsi="Times New Roman"/>
          <w:sz w:val="36"/>
          <w:szCs w:val="36"/>
          <w:u w:color="000000"/>
          <w:shd w:val="clear" w:color="auto" w:fill="feffff"/>
          <w:rtl w:val="0"/>
        </w:rPr>
        <w:t>, 19(2), pp.1</w:t>
      </w:r>
      <w:r>
        <w:rPr>
          <w:rFonts w:ascii="Times New Roman" w:hAnsi="Times New Roman" w:hint="default"/>
          <w:sz w:val="36"/>
          <w:szCs w:val="36"/>
          <w:u w:color="000000"/>
          <w:shd w:val="clear" w:color="auto" w:fill="feffff"/>
          <w:rtl w:val="0"/>
        </w:rPr>
        <w:t>–</w:t>
      </w:r>
      <w:r>
        <w:rPr>
          <w:rFonts w:ascii="Times New Roman" w:hAnsi="Times New Roman"/>
          <w:sz w:val="36"/>
          <w:szCs w:val="36"/>
          <w:u w:color="000000"/>
          <w:shd w:val="clear" w:color="auto" w:fill="feffff"/>
          <w:rtl w:val="0"/>
          <w:lang w:val="en-US"/>
        </w:rPr>
        <w:t>9. doi:https://doi.org/10.1177/1609406920918810.</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Yang, M., Chen, L., Wang, J., Msigwa, G., Osman, A.I., Fawzy, S., Rooney, D.W. and Yap, P.-S. (2022). Circular economy strategies for combating climate change and other environmental issues. </w:t>
      </w:r>
      <w:r>
        <w:rPr>
          <w:rFonts w:ascii="Times New Roman" w:hAnsi="Times New Roman"/>
          <w:i w:val="1"/>
          <w:iCs w:val="1"/>
          <w:sz w:val="36"/>
          <w:szCs w:val="36"/>
          <w:u w:color="000000"/>
          <w:shd w:val="clear" w:color="auto" w:fill="feffff"/>
          <w:rtl w:val="0"/>
          <w:lang w:val="en-US"/>
        </w:rPr>
        <w:t>Environmental Chemistry Letters</w:t>
      </w:r>
      <w:r>
        <w:rPr>
          <w:rFonts w:ascii="Times New Roman" w:hAnsi="Times New Roman"/>
          <w:sz w:val="36"/>
          <w:szCs w:val="36"/>
          <w:u w:color="000000"/>
          <w:shd w:val="clear" w:color="auto" w:fill="feffff"/>
          <w:rtl w:val="0"/>
          <w:lang w:val="pt-PT"/>
        </w:rPr>
        <w:t>, [online] 21. doi:https://doi.org/10.1007/s10311-022-01499-6.</w:t>
      </w:r>
    </w:p>
    <w:p>
      <w:pPr>
        <w:pStyle w:val="Default"/>
        <w:bidi w:val="0"/>
        <w:spacing w:before="0" w:after="240" w:line="240" w:lineRule="auto"/>
        <w:ind w:left="0" w:right="0" w:firstLine="0"/>
        <w:jc w:val="both"/>
        <w:rPr>
          <w:rtl w:val="0"/>
        </w:rPr>
      </w:pPr>
      <w:r>
        <w:rPr>
          <w:rFonts w:ascii="Times New Roman" w:hAnsi="Times New Roman"/>
          <w:sz w:val="36"/>
          <w:szCs w:val="36"/>
          <w:u w:color="000000"/>
          <w:shd w:val="clear" w:color="auto" w:fill="feffff"/>
          <w:rtl w:val="0"/>
        </w:rPr>
        <w:t xml:space="preserve">Zero Waste Scotland (2023). </w:t>
      </w:r>
      <w:r>
        <w:rPr>
          <w:rFonts w:ascii="Times New Roman" w:hAnsi="Times New Roman"/>
          <w:i w:val="1"/>
          <w:iCs w:val="1"/>
          <w:sz w:val="36"/>
          <w:szCs w:val="36"/>
          <w:u w:color="000000"/>
          <w:shd w:val="clear" w:color="auto" w:fill="feffff"/>
          <w:rtl w:val="0"/>
          <w:lang w:val="en-US"/>
        </w:rPr>
        <w:t>Extended Producer Responsibility | Zero Waste Scotland</w:t>
      </w:r>
      <w:r>
        <w:rPr>
          <w:rFonts w:ascii="Times New Roman" w:hAnsi="Times New Roman"/>
          <w:sz w:val="36"/>
          <w:szCs w:val="36"/>
          <w:u w:color="000000"/>
          <w:shd w:val="clear" w:color="auto" w:fill="feffff"/>
          <w:rtl w:val="0"/>
        </w:rPr>
        <w:t>. [online] www.zerowastescotland.org.uk. Available at: https://www.zerowastescotland.org.uk/resources/extended-producer-responsibility [Accessed 24 Nov. 2023].</w:t>
      </w:r>
    </w:p>
    <w:sectPr>
      <w:headerReference w:type="default" r:id="rId9"/>
      <w:footerReference w:type="default" r:id="rId10"/>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