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D82FCF" w14:textId="15138749" w:rsidR="00565694" w:rsidRPr="00A85BFE" w:rsidRDefault="00565694" w:rsidP="00565694">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17896B1" wp14:editId="2939AACD">
            <wp:simplePos x="0" y="0"/>
            <wp:positionH relativeFrom="margin">
              <wp:align>left</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85BFE">
        <w:rPr>
          <w:rFonts w:ascii="Arial" w:hAnsi="Arial" w:cs="Arial"/>
          <w:b/>
          <w:sz w:val="28"/>
          <w:szCs w:val="28"/>
        </w:rPr>
        <w:t xml:space="preserve">APPENDIX </w:t>
      </w:r>
      <w:r w:rsidRPr="00E61D43">
        <w:rPr>
          <w:rFonts w:ascii="Arial" w:hAnsi="Arial" w:cs="Arial"/>
          <w:b/>
          <w:sz w:val="28"/>
          <w:szCs w:val="28"/>
        </w:rPr>
        <w:t>GA36d</w:t>
      </w:r>
    </w:p>
    <w:tbl>
      <w:tblPr>
        <w:tblpPr w:leftFromText="180" w:rightFromText="180" w:vertAnchor="text" w:horzAnchor="page" w:tblpX="886" w:tblpY="1180"/>
        <w:tblW w:w="102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246"/>
      </w:tblGrid>
      <w:tr w:rsidR="00565694" w:rsidRPr="00A406E5" w14:paraId="70C8A849" w14:textId="77777777" w:rsidTr="00565694">
        <w:trPr>
          <w:trHeight w:val="550"/>
        </w:trPr>
        <w:tc>
          <w:tcPr>
            <w:tcW w:w="10246" w:type="dxa"/>
            <w:shd w:val="clear" w:color="auto" w:fill="C0C0C0"/>
          </w:tcPr>
          <w:p w14:paraId="4DD49E45" w14:textId="77777777" w:rsidR="00565694" w:rsidRPr="00A406E5" w:rsidRDefault="00565694" w:rsidP="00565694">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tbl>
      <w:tblPr>
        <w:tblpPr w:leftFromText="180" w:rightFromText="180" w:vertAnchor="text" w:horzAnchor="margin" w:tblpXSpec="center" w:tblpY="1810"/>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65694" w:rsidRPr="00A406E5" w14:paraId="08DC45D5" w14:textId="77777777" w:rsidTr="00565694">
        <w:tc>
          <w:tcPr>
            <w:tcW w:w="2093" w:type="dxa"/>
            <w:shd w:val="pct15" w:color="auto" w:fill="auto"/>
          </w:tcPr>
          <w:p w14:paraId="3EB4113F" w14:textId="77777777" w:rsidR="00565694" w:rsidRPr="00A406E5" w:rsidRDefault="00565694" w:rsidP="0056569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066752" w14:textId="5E7E86D9" w:rsidR="00565694" w:rsidRPr="00A406E5" w:rsidRDefault="00B022DE" w:rsidP="00565694">
            <w:pPr>
              <w:spacing w:before="120" w:after="120"/>
              <w:jc w:val="both"/>
              <w:rPr>
                <w:rFonts w:ascii="Arial" w:hAnsi="Arial" w:cs="Arial"/>
                <w:b/>
                <w:sz w:val="22"/>
                <w:szCs w:val="22"/>
              </w:rPr>
            </w:pPr>
            <w:r>
              <w:rPr>
                <w:rFonts w:ascii="Arial" w:hAnsi="Arial" w:cs="Arial"/>
                <w:b/>
                <w:sz w:val="22"/>
                <w:szCs w:val="22"/>
              </w:rPr>
              <w:t>Tam Kai Lim</w:t>
            </w:r>
          </w:p>
        </w:tc>
        <w:tc>
          <w:tcPr>
            <w:tcW w:w="2268" w:type="dxa"/>
            <w:shd w:val="clear" w:color="auto" w:fill="D9D9D9"/>
          </w:tcPr>
          <w:p w14:paraId="19B66891" w14:textId="77777777" w:rsidR="00565694" w:rsidRPr="00A406E5" w:rsidRDefault="00565694" w:rsidP="0056569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5D649DD" w14:textId="43DB3881" w:rsidR="00565694" w:rsidRPr="00A406E5" w:rsidRDefault="006F6381" w:rsidP="00565694">
            <w:pPr>
              <w:spacing w:before="120" w:after="120"/>
              <w:jc w:val="both"/>
              <w:rPr>
                <w:rFonts w:ascii="Arial" w:hAnsi="Arial" w:cs="Arial"/>
                <w:b/>
                <w:sz w:val="22"/>
                <w:szCs w:val="22"/>
              </w:rPr>
            </w:pPr>
            <w:r>
              <w:rPr>
                <w:rFonts w:ascii="Arial" w:hAnsi="Arial" w:cs="Arial"/>
                <w:b/>
                <w:sz w:val="22"/>
                <w:szCs w:val="22"/>
              </w:rPr>
              <w:t>2425264</w:t>
            </w:r>
          </w:p>
        </w:tc>
      </w:tr>
      <w:tr w:rsidR="00565694" w:rsidRPr="00A406E5" w14:paraId="639D7795" w14:textId="77777777" w:rsidTr="00565694">
        <w:tc>
          <w:tcPr>
            <w:tcW w:w="2093" w:type="dxa"/>
            <w:shd w:val="pct15" w:color="auto" w:fill="auto"/>
          </w:tcPr>
          <w:p w14:paraId="056FA5BE" w14:textId="77777777" w:rsidR="00565694" w:rsidRPr="00A406E5" w:rsidRDefault="00565694" w:rsidP="0056569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73627B1" w14:textId="77777777" w:rsidR="00565694" w:rsidRPr="00A406E5" w:rsidRDefault="00565694" w:rsidP="00565694">
            <w:pPr>
              <w:spacing w:before="120" w:after="120"/>
              <w:jc w:val="both"/>
              <w:rPr>
                <w:rFonts w:ascii="Arial" w:hAnsi="Arial" w:cs="Arial"/>
                <w:b/>
                <w:sz w:val="22"/>
                <w:szCs w:val="22"/>
              </w:rPr>
            </w:pPr>
            <w:r>
              <w:rPr>
                <w:rFonts w:ascii="Arial" w:hAnsi="Arial" w:cs="Arial"/>
                <w:b/>
                <w:sz w:val="22"/>
                <w:szCs w:val="22"/>
              </w:rPr>
              <w:t>MBA</w:t>
            </w:r>
          </w:p>
        </w:tc>
      </w:tr>
      <w:tr w:rsidR="00565694" w:rsidRPr="00A406E5" w14:paraId="5ED34E61" w14:textId="77777777" w:rsidTr="00565694">
        <w:tc>
          <w:tcPr>
            <w:tcW w:w="2093" w:type="dxa"/>
            <w:shd w:val="pct15" w:color="auto" w:fill="auto"/>
          </w:tcPr>
          <w:p w14:paraId="2B017781" w14:textId="77777777" w:rsidR="00565694" w:rsidRPr="00A406E5" w:rsidRDefault="00565694" w:rsidP="0056569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526AAC" w14:textId="77777777" w:rsidR="00565694" w:rsidRPr="00A406E5" w:rsidRDefault="00565694" w:rsidP="00565694">
            <w:pPr>
              <w:spacing w:before="120" w:after="120"/>
              <w:jc w:val="both"/>
              <w:rPr>
                <w:rFonts w:ascii="Arial" w:hAnsi="Arial" w:cs="Arial"/>
                <w:b/>
                <w:sz w:val="22"/>
                <w:szCs w:val="22"/>
              </w:rPr>
            </w:pPr>
            <w:r w:rsidRPr="0036186A">
              <w:rPr>
                <w:rFonts w:ascii="Arial" w:hAnsi="Arial" w:cs="Arial"/>
                <w:b/>
                <w:sz w:val="22"/>
                <w:szCs w:val="22"/>
              </w:rPr>
              <w:t>Finance for Business Managers</w:t>
            </w:r>
            <w:r w:rsidRPr="0036186A">
              <w:rPr>
                <w:rFonts w:ascii="Arial" w:hAnsi="Arial" w:cs="Arial"/>
                <w:b/>
                <w:sz w:val="22"/>
                <w:szCs w:val="22"/>
              </w:rPr>
              <w:tab/>
            </w:r>
          </w:p>
        </w:tc>
      </w:tr>
      <w:tr w:rsidR="00565694" w:rsidRPr="00A406E5" w14:paraId="498107FB" w14:textId="77777777" w:rsidTr="00565694">
        <w:tc>
          <w:tcPr>
            <w:tcW w:w="2093" w:type="dxa"/>
            <w:shd w:val="pct15" w:color="auto" w:fill="auto"/>
          </w:tcPr>
          <w:p w14:paraId="6B72CFDA" w14:textId="77777777" w:rsidR="00565694" w:rsidRPr="00A406E5" w:rsidRDefault="00565694" w:rsidP="0056569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E9CDEA0" w14:textId="77777777" w:rsidR="00565694" w:rsidRPr="00A406E5" w:rsidRDefault="00565694" w:rsidP="00565694">
            <w:pPr>
              <w:spacing w:before="120" w:after="120"/>
              <w:jc w:val="both"/>
              <w:rPr>
                <w:rFonts w:ascii="Arial" w:hAnsi="Arial" w:cs="Arial"/>
                <w:b/>
                <w:sz w:val="22"/>
                <w:szCs w:val="22"/>
              </w:rPr>
            </w:pPr>
            <w:r>
              <w:rPr>
                <w:rFonts w:ascii="Arial" w:hAnsi="Arial" w:cs="Arial"/>
                <w:b/>
                <w:sz w:val="22"/>
                <w:szCs w:val="22"/>
              </w:rPr>
              <w:t>HKBM7031</w:t>
            </w:r>
          </w:p>
        </w:tc>
        <w:tc>
          <w:tcPr>
            <w:tcW w:w="2268" w:type="dxa"/>
            <w:shd w:val="clear" w:color="auto" w:fill="D9D9D9"/>
          </w:tcPr>
          <w:p w14:paraId="5315607D" w14:textId="77777777" w:rsidR="00565694" w:rsidRPr="004D5E9B" w:rsidRDefault="00565694" w:rsidP="0056569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23765F" w14:textId="77777777" w:rsidR="00565694" w:rsidRPr="00A406E5" w:rsidRDefault="00565694" w:rsidP="00565694">
            <w:pPr>
              <w:spacing w:before="120" w:after="120"/>
              <w:jc w:val="both"/>
              <w:rPr>
                <w:rFonts w:ascii="Arial" w:hAnsi="Arial" w:cs="Arial"/>
                <w:b/>
                <w:sz w:val="22"/>
                <w:szCs w:val="22"/>
              </w:rPr>
            </w:pPr>
            <w:r>
              <w:rPr>
                <w:rFonts w:ascii="Arial" w:hAnsi="Arial" w:cs="Arial"/>
                <w:b/>
                <w:sz w:val="22"/>
                <w:szCs w:val="22"/>
              </w:rPr>
              <w:t>100%</w:t>
            </w:r>
          </w:p>
        </w:tc>
      </w:tr>
      <w:tr w:rsidR="00565694" w:rsidRPr="00A406E5" w14:paraId="2BA59555" w14:textId="77777777" w:rsidTr="00565694">
        <w:tc>
          <w:tcPr>
            <w:tcW w:w="2093" w:type="dxa"/>
            <w:shd w:val="pct15" w:color="auto" w:fill="auto"/>
          </w:tcPr>
          <w:p w14:paraId="761C108E" w14:textId="77777777" w:rsidR="00565694" w:rsidRPr="00A406E5" w:rsidRDefault="00565694" w:rsidP="0056569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B418C4" w14:textId="77777777" w:rsidR="00565694" w:rsidRPr="00A406E5" w:rsidRDefault="00565694" w:rsidP="00565694">
            <w:pPr>
              <w:spacing w:before="120" w:after="120"/>
              <w:jc w:val="both"/>
              <w:rPr>
                <w:rFonts w:ascii="Arial" w:hAnsi="Arial" w:cs="Arial"/>
                <w:b/>
                <w:sz w:val="22"/>
                <w:szCs w:val="22"/>
              </w:rPr>
            </w:pPr>
            <w:r w:rsidRPr="003E2CC2">
              <w:rPr>
                <w:rFonts w:ascii="Arial" w:hAnsi="Arial" w:cs="Arial"/>
                <w:b/>
                <w:sz w:val="22"/>
                <w:szCs w:val="22"/>
              </w:rPr>
              <w:t xml:space="preserve">Dr </w:t>
            </w:r>
            <w:r>
              <w:rPr>
                <w:rFonts w:ascii="Arial" w:hAnsi="Arial" w:cs="Arial"/>
                <w:b/>
                <w:sz w:val="22"/>
                <w:szCs w:val="22"/>
              </w:rPr>
              <w:t>Katherine Mo</w:t>
            </w:r>
          </w:p>
        </w:tc>
        <w:tc>
          <w:tcPr>
            <w:tcW w:w="2268" w:type="dxa"/>
            <w:shd w:val="clear" w:color="auto" w:fill="D9D9D9"/>
          </w:tcPr>
          <w:p w14:paraId="7126D05F" w14:textId="77777777" w:rsidR="00565694" w:rsidRPr="00A406E5" w:rsidRDefault="00565694" w:rsidP="00565694">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7914BD0D" w14:textId="77777777" w:rsidR="00565694" w:rsidRPr="00A406E5" w:rsidRDefault="00565694" w:rsidP="00565694">
            <w:pPr>
              <w:spacing w:before="120" w:after="120"/>
              <w:jc w:val="both"/>
              <w:rPr>
                <w:rFonts w:ascii="Arial" w:hAnsi="Arial" w:cs="Arial"/>
                <w:b/>
                <w:sz w:val="22"/>
                <w:szCs w:val="22"/>
              </w:rPr>
            </w:pPr>
            <w:r w:rsidRPr="00832C2A">
              <w:rPr>
                <w:rFonts w:ascii="Arial" w:hAnsi="Arial" w:cs="Arial"/>
                <w:b/>
                <w:sz w:val="22"/>
                <w:szCs w:val="22"/>
              </w:rPr>
              <w:t xml:space="preserve">Dr </w:t>
            </w:r>
            <w:r>
              <w:rPr>
                <w:rFonts w:ascii="Arial" w:hAnsi="Arial" w:cs="Arial"/>
                <w:b/>
                <w:sz w:val="22"/>
                <w:szCs w:val="22"/>
              </w:rPr>
              <w:t>Arion Wong</w:t>
            </w:r>
          </w:p>
        </w:tc>
      </w:tr>
      <w:tr w:rsidR="00565694" w:rsidRPr="00A406E5" w14:paraId="435E5177" w14:textId="77777777" w:rsidTr="00565694">
        <w:tc>
          <w:tcPr>
            <w:tcW w:w="2093" w:type="dxa"/>
            <w:shd w:val="pct15" w:color="auto" w:fill="auto"/>
          </w:tcPr>
          <w:p w14:paraId="0A5EB03B" w14:textId="77777777" w:rsidR="00565694" w:rsidRPr="00A406E5" w:rsidRDefault="00565694" w:rsidP="0056569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D9B6C72" w14:textId="77777777" w:rsidR="00565694" w:rsidRPr="00A406E5" w:rsidRDefault="00565694" w:rsidP="00565694">
            <w:pPr>
              <w:spacing w:before="120" w:after="120"/>
              <w:jc w:val="both"/>
              <w:rPr>
                <w:rFonts w:ascii="Arial" w:hAnsi="Arial" w:cs="Arial"/>
                <w:b/>
                <w:sz w:val="22"/>
                <w:szCs w:val="22"/>
              </w:rPr>
            </w:pPr>
            <w:r w:rsidRPr="0036186A">
              <w:rPr>
                <w:rFonts w:ascii="Arial" w:hAnsi="Arial" w:cs="Arial"/>
                <w:b/>
                <w:sz w:val="22"/>
                <w:szCs w:val="22"/>
              </w:rPr>
              <w:t xml:space="preserve">Written Assessment </w:t>
            </w:r>
          </w:p>
        </w:tc>
        <w:tc>
          <w:tcPr>
            <w:tcW w:w="2268" w:type="dxa"/>
            <w:shd w:val="pct15" w:color="auto" w:fill="auto"/>
          </w:tcPr>
          <w:p w14:paraId="7E9C4746" w14:textId="77777777" w:rsidR="00565694" w:rsidRPr="00A406E5" w:rsidRDefault="00565694" w:rsidP="00565694">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4C673DFE" w14:textId="77777777" w:rsidR="00565694" w:rsidRDefault="00565694" w:rsidP="00565694">
            <w:pPr>
              <w:spacing w:before="120" w:after="120"/>
              <w:rPr>
                <w:rFonts w:ascii="Arial" w:hAnsi="Arial" w:cs="Arial"/>
                <w:b/>
                <w:sz w:val="22"/>
                <w:szCs w:val="22"/>
              </w:rPr>
            </w:pPr>
            <w:r>
              <w:rPr>
                <w:rFonts w:ascii="Arial" w:hAnsi="Arial" w:cs="Arial"/>
                <w:b/>
                <w:sz w:val="22"/>
                <w:szCs w:val="22"/>
              </w:rPr>
              <w:t>5,000 words</w:t>
            </w:r>
          </w:p>
          <w:p w14:paraId="2FC212F7" w14:textId="77777777" w:rsidR="00565694" w:rsidRPr="00A406E5" w:rsidRDefault="00565694" w:rsidP="00565694">
            <w:pPr>
              <w:spacing w:before="120" w:after="120"/>
              <w:rPr>
                <w:rFonts w:ascii="Arial" w:hAnsi="Arial" w:cs="Arial"/>
                <w:b/>
                <w:sz w:val="22"/>
                <w:szCs w:val="22"/>
              </w:rPr>
            </w:pPr>
            <w:r>
              <w:rPr>
                <w:rFonts w:ascii="Arial" w:hAnsi="Arial" w:cs="Arial"/>
                <w:b/>
                <w:sz w:val="22"/>
                <w:szCs w:val="22"/>
              </w:rPr>
              <w:t>(+/- 10%)</w:t>
            </w:r>
          </w:p>
        </w:tc>
      </w:tr>
      <w:tr w:rsidR="00565694" w:rsidRPr="00A406E5" w14:paraId="3468C1D5" w14:textId="77777777" w:rsidTr="00565694">
        <w:tc>
          <w:tcPr>
            <w:tcW w:w="2093" w:type="dxa"/>
            <w:shd w:val="pct15" w:color="auto" w:fill="auto"/>
          </w:tcPr>
          <w:p w14:paraId="146823DD" w14:textId="77777777" w:rsidR="00565694" w:rsidRPr="00A406E5" w:rsidRDefault="00565694" w:rsidP="0056569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A34A2C2" w14:textId="77777777" w:rsidR="00565694" w:rsidRPr="007924E2" w:rsidRDefault="00565694" w:rsidP="00565694">
            <w:pPr>
              <w:spacing w:before="120" w:after="120"/>
              <w:jc w:val="both"/>
              <w:rPr>
                <w:rFonts w:ascii="Arial" w:hAnsi="Arial" w:cs="Arial"/>
                <w:b/>
                <w:sz w:val="22"/>
                <w:szCs w:val="22"/>
              </w:rPr>
            </w:pPr>
            <w:r>
              <w:rPr>
                <w:rFonts w:ascii="Arial" w:hAnsi="Arial" w:cs="Arial"/>
                <w:b/>
                <w:sz w:val="22"/>
                <w:szCs w:val="22"/>
              </w:rPr>
              <w:t>8 September 2025</w:t>
            </w:r>
          </w:p>
        </w:tc>
        <w:tc>
          <w:tcPr>
            <w:tcW w:w="2268" w:type="dxa"/>
            <w:shd w:val="pct15" w:color="auto" w:fill="auto"/>
          </w:tcPr>
          <w:p w14:paraId="5054E5A3" w14:textId="77777777" w:rsidR="00565694" w:rsidRPr="00A406E5" w:rsidRDefault="00565694" w:rsidP="00565694">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3FA6D1D" w14:textId="77777777" w:rsidR="00565694" w:rsidRDefault="00565694" w:rsidP="00565694">
            <w:pPr>
              <w:spacing w:before="120" w:after="120"/>
              <w:jc w:val="both"/>
              <w:rPr>
                <w:rFonts w:ascii="Arial" w:hAnsi="Arial" w:cs="Arial"/>
                <w:b/>
                <w:sz w:val="22"/>
                <w:szCs w:val="22"/>
              </w:rPr>
            </w:pPr>
            <w:r>
              <w:rPr>
                <w:rFonts w:ascii="Arial" w:hAnsi="Arial" w:cs="Arial"/>
                <w:b/>
                <w:sz w:val="22"/>
                <w:szCs w:val="22"/>
              </w:rPr>
              <w:t>8 October 2025</w:t>
            </w:r>
          </w:p>
          <w:p w14:paraId="1938D5A4" w14:textId="77777777" w:rsidR="00565694" w:rsidRPr="00A406E5" w:rsidRDefault="00565694" w:rsidP="00565694">
            <w:pPr>
              <w:spacing w:before="120" w:after="120"/>
              <w:jc w:val="both"/>
              <w:rPr>
                <w:rFonts w:ascii="Arial" w:hAnsi="Arial" w:cs="Arial"/>
                <w:b/>
                <w:sz w:val="22"/>
                <w:szCs w:val="22"/>
              </w:rPr>
            </w:pPr>
            <w:r>
              <w:rPr>
                <w:rFonts w:ascii="Arial" w:hAnsi="Arial" w:cs="Arial"/>
                <w:b/>
                <w:sz w:val="22"/>
                <w:szCs w:val="22"/>
              </w:rPr>
              <w:t>(Tentative)</w:t>
            </w:r>
          </w:p>
        </w:tc>
      </w:tr>
      <w:tr w:rsidR="00565694" w:rsidRPr="00A406E5" w14:paraId="1472A61B" w14:textId="77777777" w:rsidTr="00565694">
        <w:tc>
          <w:tcPr>
            <w:tcW w:w="2093" w:type="dxa"/>
            <w:shd w:val="pct15" w:color="auto" w:fill="auto"/>
          </w:tcPr>
          <w:p w14:paraId="31E0C645" w14:textId="77777777" w:rsidR="00565694" w:rsidRPr="00A406E5" w:rsidRDefault="00565694" w:rsidP="0056569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232042" w14:textId="77777777" w:rsidR="00565694" w:rsidRPr="00A406E5" w:rsidRDefault="00565694" w:rsidP="0056569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9939A0" w14:textId="77777777" w:rsidR="00565694" w:rsidRPr="00A406E5" w:rsidRDefault="00565694" w:rsidP="0056569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6448B10" w14:textId="77777777" w:rsidR="00565694" w:rsidRDefault="00565694" w:rsidP="0056569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4E97B9C8" w14:textId="77777777" w:rsidR="00565694" w:rsidRDefault="00565694" w:rsidP="0056569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2DBF06BF" w14:textId="77777777" w:rsidR="00565694" w:rsidRPr="00A406E5" w:rsidRDefault="00565694" w:rsidP="0056569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565694" w:rsidRPr="00A406E5" w14:paraId="2A651CB1" w14:textId="77777777" w:rsidTr="00565694">
        <w:tc>
          <w:tcPr>
            <w:tcW w:w="2093" w:type="dxa"/>
            <w:shd w:val="pct15" w:color="auto" w:fill="auto"/>
          </w:tcPr>
          <w:p w14:paraId="0D5B0FAF" w14:textId="77777777" w:rsidR="00565694" w:rsidRPr="00A406E5" w:rsidRDefault="00565694" w:rsidP="0056569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975770D" w14:textId="77777777" w:rsidR="00565694" w:rsidRPr="00A406E5" w:rsidRDefault="00565694" w:rsidP="0056569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6C26403" w14:textId="671E6B9E" w:rsidR="00565694" w:rsidRPr="00A85BFE" w:rsidRDefault="00565694" w:rsidP="00565694">
      <w:pPr>
        <w:pStyle w:val="Header"/>
        <w:tabs>
          <w:tab w:val="clear" w:pos="4153"/>
          <w:tab w:val="clear" w:pos="8306"/>
        </w:tabs>
        <w:jc w:val="right"/>
        <w:rPr>
          <w:rFonts w:ascii="Arial" w:hAnsi="Arial" w:cs="Arial"/>
          <w:b/>
          <w:sz w:val="28"/>
          <w:szCs w:val="28"/>
        </w:rPr>
      </w:pPr>
      <w:r>
        <w:rPr>
          <w:rFonts w:ascii="Arial" w:hAnsi="Arial" w:cs="Arial"/>
        </w:rPr>
        <w:t xml:space="preserve"> </w:t>
      </w:r>
      <w:r>
        <w:rPr>
          <w:rFonts w:ascii="Arial" w:hAnsi="Arial" w:cs="Arial"/>
        </w:rPr>
        <w:br w:type="textWrapping" w:clear="all"/>
      </w:r>
    </w:p>
    <w:p w14:paraId="5A839A8F" w14:textId="77777777" w:rsidR="00565694" w:rsidRPr="00A406E5" w:rsidRDefault="00565694" w:rsidP="00565694">
      <w:pPr>
        <w:rPr>
          <w:rFonts w:ascii="Arial" w:hAnsi="Arial" w:cs="Arial"/>
        </w:rPr>
      </w:pPr>
    </w:p>
    <w:p w14:paraId="4E1C1AA5" w14:textId="77777777" w:rsidR="00D2132F" w:rsidRDefault="00D2132F" w:rsidP="00251882">
      <w:pPr>
        <w:spacing w:line="600" w:lineRule="auto"/>
        <w:rPr>
          <w:iCs/>
          <w:sz w:val="24"/>
          <w:szCs w:val="24"/>
          <w:lang w:val="en-US"/>
        </w:rPr>
      </w:pPr>
    </w:p>
    <w:p w14:paraId="0721A199" w14:textId="77777777" w:rsidR="00D2132F" w:rsidRDefault="00D2132F" w:rsidP="00251882">
      <w:pPr>
        <w:spacing w:line="600" w:lineRule="auto"/>
        <w:rPr>
          <w:iCs/>
          <w:sz w:val="24"/>
          <w:szCs w:val="24"/>
          <w:lang w:val="en-US"/>
        </w:rPr>
      </w:pPr>
    </w:p>
    <w:p w14:paraId="496F251B" w14:textId="77777777" w:rsidR="006B6D6E" w:rsidRPr="000016E0" w:rsidRDefault="006B6D6E" w:rsidP="006B6D6E">
      <w:pPr>
        <w:spacing w:line="360" w:lineRule="auto"/>
        <w:rPr>
          <w:b/>
          <w:bCs/>
          <w:iCs/>
          <w:sz w:val="24"/>
          <w:szCs w:val="24"/>
          <w:lang w:val="en-US"/>
        </w:rPr>
      </w:pPr>
      <w:r w:rsidRPr="000016E0">
        <w:rPr>
          <w:b/>
          <w:bCs/>
          <w:iCs/>
          <w:sz w:val="24"/>
          <w:szCs w:val="24"/>
          <w:lang w:val="en-US"/>
        </w:rPr>
        <w:lastRenderedPageBreak/>
        <w:t>Table of Contents</w:t>
      </w:r>
    </w:p>
    <w:p w14:paraId="47EF475D" w14:textId="77777777" w:rsidR="006B6D6E" w:rsidRPr="000016E0" w:rsidRDefault="006B6D6E" w:rsidP="006B6D6E">
      <w:pPr>
        <w:numPr>
          <w:ilvl w:val="0"/>
          <w:numId w:val="38"/>
        </w:numPr>
        <w:spacing w:line="360" w:lineRule="auto"/>
        <w:rPr>
          <w:b/>
          <w:bCs/>
          <w:iCs/>
          <w:sz w:val="24"/>
          <w:szCs w:val="24"/>
          <w:lang w:val="en-US"/>
        </w:rPr>
      </w:pPr>
      <w:r w:rsidRPr="000016E0">
        <w:rPr>
          <w:b/>
          <w:bCs/>
          <w:iCs/>
          <w:sz w:val="24"/>
          <w:szCs w:val="24"/>
          <w:lang w:val="en-US"/>
        </w:rPr>
        <w:t>Introduction</w:t>
      </w:r>
      <w:r>
        <w:rPr>
          <w:b/>
          <w:bCs/>
          <w:iCs/>
          <w:sz w:val="24"/>
          <w:szCs w:val="24"/>
          <w:lang w:val="en-US"/>
        </w:rPr>
        <w:t>……………………………………………………………………P.5~6</w:t>
      </w:r>
      <w:r w:rsidRPr="000016E0">
        <w:rPr>
          <w:b/>
          <w:bCs/>
          <w:iCs/>
          <w:sz w:val="24"/>
          <w:szCs w:val="24"/>
          <w:lang w:val="en-US"/>
        </w:rPr>
        <w:br/>
      </w:r>
      <w:r w:rsidRPr="000016E0">
        <w:rPr>
          <w:iCs/>
          <w:sz w:val="24"/>
          <w:szCs w:val="24"/>
          <w:lang w:val="en-US"/>
        </w:rPr>
        <w:t> </w:t>
      </w:r>
      <w:r w:rsidRPr="000016E0">
        <w:rPr>
          <w:iCs/>
          <w:sz w:val="24"/>
          <w:szCs w:val="24"/>
          <w:lang w:val="en-US"/>
        </w:rPr>
        <w:t>1.1 Company Background</w:t>
      </w:r>
      <w:r w:rsidRPr="000016E0">
        <w:rPr>
          <w:iCs/>
          <w:sz w:val="24"/>
          <w:szCs w:val="24"/>
          <w:lang w:val="en-US"/>
        </w:rPr>
        <w:br/>
      </w:r>
      <w:r w:rsidRPr="000016E0">
        <w:rPr>
          <w:iCs/>
          <w:sz w:val="24"/>
          <w:szCs w:val="24"/>
          <w:lang w:val="en-US"/>
        </w:rPr>
        <w:t> </w:t>
      </w:r>
      <w:r w:rsidRPr="000016E0">
        <w:rPr>
          <w:iCs/>
          <w:sz w:val="24"/>
          <w:szCs w:val="24"/>
          <w:lang w:val="en-US"/>
        </w:rPr>
        <w:t>1.2 Operating Business Overview</w:t>
      </w:r>
      <w:r w:rsidRPr="000016E0">
        <w:rPr>
          <w:iCs/>
          <w:sz w:val="24"/>
          <w:szCs w:val="24"/>
          <w:lang w:val="en-US"/>
        </w:rPr>
        <w:br/>
      </w:r>
      <w:r w:rsidRPr="000016E0">
        <w:rPr>
          <w:iCs/>
          <w:sz w:val="24"/>
          <w:szCs w:val="24"/>
          <w:lang w:val="en-US"/>
        </w:rPr>
        <w:t> </w:t>
      </w:r>
      <w:r w:rsidRPr="000016E0">
        <w:rPr>
          <w:iCs/>
          <w:sz w:val="24"/>
          <w:szCs w:val="24"/>
          <w:lang w:val="en-US"/>
        </w:rPr>
        <w:t>1.3 Business Environment</w:t>
      </w:r>
      <w:r w:rsidRPr="000016E0">
        <w:rPr>
          <w:iCs/>
          <w:sz w:val="24"/>
          <w:szCs w:val="24"/>
          <w:lang w:val="en-US"/>
        </w:rPr>
        <w:br/>
      </w:r>
      <w:r w:rsidRPr="000016E0">
        <w:rPr>
          <w:iCs/>
          <w:sz w:val="24"/>
          <w:szCs w:val="24"/>
          <w:lang w:val="en-US"/>
        </w:rPr>
        <w:t> </w:t>
      </w:r>
      <w:r w:rsidRPr="000016E0">
        <w:rPr>
          <w:iCs/>
          <w:sz w:val="24"/>
          <w:szCs w:val="24"/>
          <w:lang w:val="en-US"/>
        </w:rPr>
        <w:t>1.4 Company Structure</w:t>
      </w:r>
      <w:r w:rsidRPr="000016E0">
        <w:rPr>
          <w:iCs/>
          <w:sz w:val="24"/>
          <w:szCs w:val="24"/>
          <w:lang w:val="en-US"/>
        </w:rPr>
        <w:br/>
      </w:r>
      <w:r w:rsidRPr="000016E0">
        <w:rPr>
          <w:iCs/>
          <w:sz w:val="24"/>
          <w:szCs w:val="24"/>
          <w:lang w:val="en-US"/>
        </w:rPr>
        <w:t> </w:t>
      </w:r>
      <w:r w:rsidRPr="000016E0">
        <w:rPr>
          <w:iCs/>
          <w:sz w:val="24"/>
          <w:szCs w:val="24"/>
          <w:lang w:val="en-US"/>
        </w:rPr>
        <w:t>1.5 Basis for Comparative Analysis</w:t>
      </w:r>
    </w:p>
    <w:p w14:paraId="41918A5C" w14:textId="77777777" w:rsidR="006B6D6E" w:rsidRPr="000016E0" w:rsidRDefault="006B6D6E" w:rsidP="006B6D6E">
      <w:pPr>
        <w:numPr>
          <w:ilvl w:val="0"/>
          <w:numId w:val="38"/>
        </w:numPr>
        <w:spacing w:line="360" w:lineRule="auto"/>
        <w:rPr>
          <w:iCs/>
          <w:sz w:val="24"/>
          <w:szCs w:val="24"/>
          <w:lang w:val="en-US"/>
        </w:rPr>
      </w:pPr>
      <w:r w:rsidRPr="000016E0">
        <w:rPr>
          <w:b/>
          <w:bCs/>
          <w:iCs/>
          <w:sz w:val="24"/>
          <w:szCs w:val="24"/>
          <w:lang w:val="en-US"/>
        </w:rPr>
        <w:t>Tsui Wah’s Financial Performance Analysis</w:t>
      </w:r>
      <w:r>
        <w:rPr>
          <w:b/>
          <w:bCs/>
          <w:iCs/>
          <w:sz w:val="24"/>
          <w:szCs w:val="24"/>
          <w:lang w:val="en-US"/>
        </w:rPr>
        <w:t>……………………………</w:t>
      </w:r>
      <w:proofErr w:type="gramStart"/>
      <w:r>
        <w:rPr>
          <w:b/>
          <w:bCs/>
          <w:iCs/>
          <w:sz w:val="24"/>
          <w:szCs w:val="24"/>
          <w:lang w:val="en-US"/>
        </w:rPr>
        <w:t>…..</w:t>
      </w:r>
      <w:proofErr w:type="gramEnd"/>
      <w:r>
        <w:rPr>
          <w:b/>
          <w:bCs/>
          <w:iCs/>
          <w:sz w:val="24"/>
          <w:szCs w:val="24"/>
          <w:lang w:val="en-US"/>
        </w:rPr>
        <w:t>P.7~13</w:t>
      </w:r>
      <w:r w:rsidRPr="000016E0">
        <w:rPr>
          <w:b/>
          <w:bCs/>
          <w:iCs/>
          <w:sz w:val="24"/>
          <w:szCs w:val="24"/>
          <w:lang w:val="en-US"/>
        </w:rPr>
        <w:br/>
      </w:r>
      <w:r w:rsidRPr="000016E0">
        <w:rPr>
          <w:iCs/>
          <w:sz w:val="24"/>
          <w:szCs w:val="24"/>
          <w:lang w:val="en-US"/>
        </w:rPr>
        <w:t> </w:t>
      </w:r>
      <w:r w:rsidRPr="000016E0">
        <w:rPr>
          <w:iCs/>
          <w:sz w:val="24"/>
          <w:szCs w:val="24"/>
          <w:lang w:val="en-US"/>
        </w:rPr>
        <w:t>2.1 Listed Companies Bankruptcy Index Z-Score Analysis</w:t>
      </w:r>
      <w:r w:rsidRPr="000016E0">
        <w:rPr>
          <w:iCs/>
          <w:sz w:val="24"/>
          <w:szCs w:val="24"/>
          <w:lang w:val="en-US"/>
        </w:rPr>
        <w:br/>
      </w:r>
      <w:r w:rsidRPr="000016E0">
        <w:rPr>
          <w:iCs/>
          <w:sz w:val="24"/>
          <w:szCs w:val="24"/>
          <w:lang w:val="en-US"/>
        </w:rPr>
        <w:t> </w:t>
      </w:r>
      <w:r w:rsidRPr="000016E0">
        <w:rPr>
          <w:iCs/>
          <w:sz w:val="24"/>
          <w:szCs w:val="24"/>
          <w:lang w:val="en-US"/>
        </w:rPr>
        <w:t>2.2 Financial Structure Analysis</w:t>
      </w:r>
      <w:r w:rsidRPr="000016E0">
        <w:rPr>
          <w:iCs/>
          <w:sz w:val="24"/>
          <w:szCs w:val="24"/>
          <w:lang w:val="en-US"/>
        </w:rPr>
        <w:br/>
      </w:r>
      <w:r w:rsidRPr="000016E0">
        <w:rPr>
          <w:iCs/>
          <w:sz w:val="24"/>
          <w:szCs w:val="24"/>
          <w:lang w:val="en-US"/>
        </w:rPr>
        <w:t> </w:t>
      </w:r>
      <w:r w:rsidRPr="000016E0">
        <w:rPr>
          <w:iCs/>
          <w:sz w:val="24"/>
          <w:szCs w:val="24"/>
          <w:lang w:val="en-US"/>
        </w:rPr>
        <w:t>2.3 Debt Repayment Ability</w:t>
      </w:r>
      <w:r w:rsidRPr="000016E0">
        <w:rPr>
          <w:iCs/>
          <w:sz w:val="24"/>
          <w:szCs w:val="24"/>
          <w:lang w:val="en-US"/>
        </w:rPr>
        <w:br/>
      </w:r>
      <w:r w:rsidRPr="000016E0">
        <w:rPr>
          <w:iCs/>
          <w:sz w:val="24"/>
          <w:szCs w:val="24"/>
          <w:lang w:val="en-US"/>
        </w:rPr>
        <w:t> </w:t>
      </w:r>
      <w:r w:rsidRPr="000016E0">
        <w:rPr>
          <w:iCs/>
          <w:sz w:val="24"/>
          <w:szCs w:val="24"/>
          <w:lang w:val="en-US"/>
        </w:rPr>
        <w:t>2.4 Operational Ability</w:t>
      </w:r>
      <w:r w:rsidRPr="000016E0">
        <w:rPr>
          <w:iCs/>
          <w:sz w:val="24"/>
          <w:szCs w:val="24"/>
          <w:lang w:val="en-US"/>
        </w:rPr>
        <w:br/>
      </w:r>
      <w:r w:rsidRPr="000016E0">
        <w:rPr>
          <w:iCs/>
          <w:sz w:val="24"/>
          <w:szCs w:val="24"/>
          <w:lang w:val="en-US"/>
        </w:rPr>
        <w:t> </w:t>
      </w:r>
      <w:r w:rsidRPr="000016E0">
        <w:rPr>
          <w:iCs/>
          <w:sz w:val="24"/>
          <w:szCs w:val="24"/>
          <w:lang w:val="en-US"/>
        </w:rPr>
        <w:t>2.5 Profitability Analysis</w:t>
      </w:r>
      <w:r w:rsidRPr="000016E0">
        <w:rPr>
          <w:iCs/>
          <w:sz w:val="24"/>
          <w:szCs w:val="24"/>
          <w:lang w:val="en-US"/>
        </w:rPr>
        <w:br/>
      </w:r>
      <w:r w:rsidRPr="000016E0">
        <w:rPr>
          <w:iCs/>
          <w:sz w:val="24"/>
          <w:szCs w:val="24"/>
          <w:lang w:val="en-US"/>
        </w:rPr>
        <w:t> </w:t>
      </w:r>
      <w:r w:rsidRPr="000016E0">
        <w:rPr>
          <w:iCs/>
          <w:sz w:val="24"/>
          <w:szCs w:val="24"/>
          <w:lang w:val="en-US"/>
        </w:rPr>
        <w:t>2.6 Growth Capacity Analysis</w:t>
      </w:r>
      <w:r w:rsidRPr="000016E0">
        <w:rPr>
          <w:iCs/>
          <w:sz w:val="24"/>
          <w:szCs w:val="24"/>
          <w:lang w:val="en-US"/>
        </w:rPr>
        <w:br/>
      </w:r>
      <w:r w:rsidRPr="000016E0">
        <w:rPr>
          <w:iCs/>
          <w:sz w:val="24"/>
          <w:szCs w:val="24"/>
          <w:lang w:val="en-US"/>
        </w:rPr>
        <w:t> </w:t>
      </w:r>
      <w:r w:rsidRPr="000016E0">
        <w:rPr>
          <w:iCs/>
          <w:sz w:val="24"/>
          <w:szCs w:val="24"/>
          <w:lang w:val="en-US"/>
        </w:rPr>
        <w:t>2.7 Stock Market Performance Analysis</w:t>
      </w:r>
      <w:r w:rsidRPr="000016E0">
        <w:rPr>
          <w:iCs/>
          <w:sz w:val="24"/>
          <w:szCs w:val="24"/>
          <w:lang w:val="en-US"/>
        </w:rPr>
        <w:br/>
      </w:r>
      <w:r w:rsidRPr="000016E0">
        <w:rPr>
          <w:iCs/>
          <w:sz w:val="24"/>
          <w:szCs w:val="24"/>
          <w:lang w:val="en-US"/>
        </w:rPr>
        <w:t> </w:t>
      </w:r>
      <w:r w:rsidRPr="000016E0">
        <w:rPr>
          <w:iCs/>
          <w:sz w:val="24"/>
          <w:szCs w:val="24"/>
          <w:lang w:val="en-US"/>
        </w:rPr>
        <w:t>2.8 Overall Financial Analysis Conclusion</w:t>
      </w:r>
    </w:p>
    <w:p w14:paraId="0775C185" w14:textId="77777777" w:rsidR="006B6D6E" w:rsidRPr="000016E0" w:rsidRDefault="006B6D6E" w:rsidP="006B6D6E">
      <w:pPr>
        <w:numPr>
          <w:ilvl w:val="0"/>
          <w:numId w:val="38"/>
        </w:numPr>
        <w:spacing w:line="360" w:lineRule="auto"/>
        <w:rPr>
          <w:iCs/>
          <w:sz w:val="24"/>
          <w:szCs w:val="24"/>
          <w:lang w:val="en-US"/>
        </w:rPr>
      </w:pPr>
      <w:r w:rsidRPr="000016E0">
        <w:rPr>
          <w:b/>
          <w:bCs/>
          <w:iCs/>
          <w:sz w:val="24"/>
          <w:szCs w:val="24"/>
          <w:lang w:val="en-US"/>
        </w:rPr>
        <w:t>Tsui Wah's Corporate Governance Assessment</w:t>
      </w:r>
      <w:r>
        <w:rPr>
          <w:b/>
          <w:bCs/>
          <w:iCs/>
          <w:sz w:val="24"/>
          <w:szCs w:val="24"/>
          <w:lang w:val="en-US"/>
        </w:rPr>
        <w:t>……………………………P.14~17</w:t>
      </w:r>
      <w:r w:rsidRPr="000016E0">
        <w:rPr>
          <w:b/>
          <w:bCs/>
          <w:iCs/>
          <w:sz w:val="24"/>
          <w:szCs w:val="24"/>
          <w:lang w:val="en-US"/>
        </w:rPr>
        <w:br/>
      </w:r>
      <w:r w:rsidRPr="000016E0">
        <w:rPr>
          <w:iCs/>
          <w:sz w:val="24"/>
          <w:szCs w:val="24"/>
          <w:lang w:val="en-US"/>
        </w:rPr>
        <w:t> </w:t>
      </w:r>
      <w:r w:rsidRPr="000016E0">
        <w:rPr>
          <w:iCs/>
          <w:sz w:val="24"/>
          <w:szCs w:val="24"/>
          <w:lang w:val="en-US"/>
        </w:rPr>
        <w:t>3.1 Corporate Governance of Business Organizations and Its Impact and Importance</w:t>
      </w:r>
      <w:r w:rsidRPr="000016E0">
        <w:rPr>
          <w:iCs/>
          <w:sz w:val="24"/>
          <w:szCs w:val="24"/>
          <w:lang w:val="en-US"/>
        </w:rPr>
        <w:br/>
      </w:r>
      <w:r w:rsidRPr="000016E0">
        <w:rPr>
          <w:iCs/>
          <w:sz w:val="24"/>
          <w:szCs w:val="24"/>
          <w:lang w:val="en-US"/>
        </w:rPr>
        <w:t> </w:t>
      </w:r>
      <w:r w:rsidRPr="000016E0">
        <w:rPr>
          <w:iCs/>
          <w:sz w:val="24"/>
          <w:szCs w:val="24"/>
          <w:lang w:val="en-US"/>
        </w:rPr>
        <w:t>3.2 Tsui Wah's Existing Corporate Governance</w:t>
      </w:r>
      <w:r w:rsidRPr="000016E0">
        <w:rPr>
          <w:iCs/>
          <w:sz w:val="24"/>
          <w:szCs w:val="24"/>
          <w:lang w:val="en-US"/>
        </w:rPr>
        <w:br/>
      </w:r>
      <w:r w:rsidRPr="000016E0">
        <w:rPr>
          <w:iCs/>
          <w:sz w:val="24"/>
          <w:szCs w:val="24"/>
          <w:lang w:val="en-US"/>
        </w:rPr>
        <w:t> </w:t>
      </w:r>
      <w:r w:rsidRPr="000016E0">
        <w:rPr>
          <w:iCs/>
          <w:sz w:val="24"/>
          <w:szCs w:val="24"/>
          <w:lang w:val="en-US"/>
        </w:rPr>
        <w:t>3.3 Suggestions for Improvement</w:t>
      </w:r>
    </w:p>
    <w:p w14:paraId="4B8DB37A" w14:textId="77777777" w:rsidR="006B6D6E" w:rsidRPr="002C6839" w:rsidRDefault="006B6D6E" w:rsidP="006B6D6E">
      <w:pPr>
        <w:numPr>
          <w:ilvl w:val="0"/>
          <w:numId w:val="38"/>
        </w:numPr>
        <w:spacing w:line="360" w:lineRule="auto"/>
        <w:rPr>
          <w:b/>
          <w:bCs/>
          <w:iCs/>
          <w:sz w:val="24"/>
          <w:szCs w:val="24"/>
          <w:lang w:val="en-US"/>
        </w:rPr>
      </w:pPr>
      <w:r w:rsidRPr="000016E0">
        <w:rPr>
          <w:b/>
          <w:bCs/>
          <w:iCs/>
          <w:sz w:val="24"/>
          <w:szCs w:val="24"/>
          <w:lang w:val="en-US"/>
        </w:rPr>
        <w:t>Investment Project Appraisal</w:t>
      </w:r>
      <w:r>
        <w:rPr>
          <w:b/>
          <w:bCs/>
          <w:iCs/>
          <w:sz w:val="24"/>
          <w:szCs w:val="24"/>
          <w:lang w:val="en-US"/>
        </w:rPr>
        <w:t>……………………………………………</w:t>
      </w:r>
      <w:proofErr w:type="gramStart"/>
      <w:r>
        <w:rPr>
          <w:b/>
          <w:bCs/>
          <w:iCs/>
          <w:sz w:val="24"/>
          <w:szCs w:val="24"/>
          <w:lang w:val="en-US"/>
        </w:rPr>
        <w:t>…..</w:t>
      </w:r>
      <w:proofErr w:type="gramEnd"/>
      <w:r>
        <w:rPr>
          <w:b/>
          <w:bCs/>
          <w:iCs/>
          <w:sz w:val="24"/>
          <w:szCs w:val="24"/>
          <w:lang w:val="en-US"/>
        </w:rPr>
        <w:t>P.18~21</w:t>
      </w:r>
      <w:r w:rsidRPr="000016E0">
        <w:rPr>
          <w:b/>
          <w:bCs/>
          <w:iCs/>
          <w:sz w:val="24"/>
          <w:szCs w:val="24"/>
          <w:lang w:val="en-US"/>
        </w:rPr>
        <w:br/>
      </w:r>
      <w:r w:rsidRPr="000016E0">
        <w:rPr>
          <w:iCs/>
          <w:sz w:val="24"/>
          <w:szCs w:val="24"/>
          <w:lang w:val="en-US"/>
        </w:rPr>
        <w:t> </w:t>
      </w:r>
      <w:r w:rsidRPr="000016E0">
        <w:rPr>
          <w:iCs/>
          <w:sz w:val="24"/>
          <w:szCs w:val="24"/>
          <w:lang w:val="en-US"/>
        </w:rPr>
        <w:t>4.1 Project Basic Information</w:t>
      </w:r>
      <w:r w:rsidRPr="000016E0">
        <w:rPr>
          <w:iCs/>
          <w:sz w:val="24"/>
          <w:szCs w:val="24"/>
          <w:lang w:val="en-US"/>
        </w:rPr>
        <w:br/>
      </w:r>
      <w:r w:rsidRPr="000016E0">
        <w:rPr>
          <w:iCs/>
          <w:sz w:val="24"/>
          <w:szCs w:val="24"/>
          <w:lang w:val="en-US"/>
        </w:rPr>
        <w:t> </w:t>
      </w:r>
      <w:r w:rsidRPr="000016E0">
        <w:rPr>
          <w:iCs/>
          <w:sz w:val="24"/>
          <w:szCs w:val="24"/>
          <w:lang w:val="en-US"/>
        </w:rPr>
        <w:t>4.2 The First Year Calculation of Sales</w:t>
      </w:r>
      <w:r w:rsidRPr="000016E0">
        <w:rPr>
          <w:iCs/>
          <w:sz w:val="24"/>
          <w:szCs w:val="24"/>
          <w:lang w:val="en-US"/>
        </w:rPr>
        <w:br/>
      </w:r>
      <w:r w:rsidRPr="000016E0">
        <w:rPr>
          <w:iCs/>
          <w:sz w:val="24"/>
          <w:szCs w:val="24"/>
          <w:lang w:val="en-US"/>
        </w:rPr>
        <w:t> </w:t>
      </w:r>
      <w:r w:rsidRPr="000016E0">
        <w:rPr>
          <w:iCs/>
          <w:sz w:val="24"/>
          <w:szCs w:val="24"/>
          <w:lang w:val="en-US"/>
        </w:rPr>
        <w:t>4.3 Multi-Year Projection &amp; Key Financials</w:t>
      </w:r>
      <w:r w:rsidRPr="000016E0">
        <w:rPr>
          <w:iCs/>
          <w:sz w:val="24"/>
          <w:szCs w:val="24"/>
          <w:lang w:val="en-US"/>
        </w:rPr>
        <w:br/>
      </w:r>
      <w:r w:rsidRPr="000016E0">
        <w:rPr>
          <w:iCs/>
          <w:sz w:val="24"/>
          <w:szCs w:val="24"/>
          <w:lang w:val="en-US"/>
        </w:rPr>
        <w:t> </w:t>
      </w:r>
      <w:r w:rsidRPr="000016E0">
        <w:rPr>
          <w:iCs/>
          <w:sz w:val="24"/>
          <w:szCs w:val="24"/>
          <w:lang w:val="en-US"/>
        </w:rPr>
        <w:t>4.4 Cashflow Calculation</w:t>
      </w:r>
      <w:r w:rsidRPr="000016E0">
        <w:rPr>
          <w:iCs/>
          <w:sz w:val="24"/>
          <w:szCs w:val="24"/>
          <w:lang w:val="en-US"/>
        </w:rPr>
        <w:br/>
      </w:r>
      <w:r w:rsidRPr="000016E0">
        <w:rPr>
          <w:iCs/>
          <w:sz w:val="24"/>
          <w:szCs w:val="24"/>
          <w:lang w:val="en-US"/>
        </w:rPr>
        <w:t> </w:t>
      </w:r>
      <w:r w:rsidRPr="000016E0">
        <w:rPr>
          <w:iCs/>
          <w:sz w:val="24"/>
          <w:szCs w:val="24"/>
          <w:lang w:val="en-US"/>
        </w:rPr>
        <w:t>4.5 ARR and NPV Calculation</w:t>
      </w:r>
      <w:r w:rsidRPr="000016E0">
        <w:rPr>
          <w:iCs/>
          <w:sz w:val="24"/>
          <w:szCs w:val="24"/>
          <w:lang w:val="en-US"/>
        </w:rPr>
        <w:br/>
      </w:r>
      <w:r w:rsidRPr="000016E0">
        <w:rPr>
          <w:iCs/>
          <w:sz w:val="24"/>
          <w:szCs w:val="24"/>
          <w:lang w:val="en-US"/>
        </w:rPr>
        <w:t> </w:t>
      </w:r>
      <w:r w:rsidRPr="000016E0">
        <w:rPr>
          <w:iCs/>
          <w:sz w:val="24"/>
          <w:szCs w:val="24"/>
          <w:lang w:val="en-US"/>
        </w:rPr>
        <w:t>4.6 Payback Period and IRR</w:t>
      </w:r>
      <w:r w:rsidRPr="000016E0">
        <w:rPr>
          <w:iCs/>
          <w:sz w:val="24"/>
          <w:szCs w:val="24"/>
          <w:lang w:val="en-US"/>
        </w:rPr>
        <w:br/>
      </w:r>
      <w:r w:rsidRPr="000016E0">
        <w:rPr>
          <w:iCs/>
          <w:sz w:val="24"/>
          <w:szCs w:val="24"/>
          <w:lang w:val="en-US"/>
        </w:rPr>
        <w:t> </w:t>
      </w:r>
      <w:r w:rsidRPr="000016E0">
        <w:rPr>
          <w:iCs/>
          <w:sz w:val="24"/>
          <w:szCs w:val="24"/>
          <w:lang w:val="en-US"/>
        </w:rPr>
        <w:t>4.7 Investment Appraisal: Method Comparison</w:t>
      </w:r>
      <w:r w:rsidRPr="000016E0">
        <w:rPr>
          <w:iCs/>
          <w:sz w:val="24"/>
          <w:szCs w:val="24"/>
          <w:lang w:val="en-US"/>
        </w:rPr>
        <w:br/>
      </w:r>
      <w:r w:rsidRPr="000016E0">
        <w:rPr>
          <w:iCs/>
          <w:sz w:val="24"/>
          <w:szCs w:val="24"/>
          <w:lang w:val="en-US"/>
        </w:rPr>
        <w:t> </w:t>
      </w:r>
      <w:r w:rsidRPr="000016E0">
        <w:rPr>
          <w:iCs/>
          <w:sz w:val="24"/>
          <w:szCs w:val="24"/>
          <w:lang w:val="en-US"/>
        </w:rPr>
        <w:t>4.8 Suggestion for Project Cashflow</w:t>
      </w:r>
    </w:p>
    <w:p w14:paraId="162B36F3" w14:textId="77777777" w:rsidR="006B6D6E" w:rsidRDefault="006B6D6E" w:rsidP="006B6D6E">
      <w:pPr>
        <w:spacing w:line="360" w:lineRule="auto"/>
        <w:rPr>
          <w:b/>
          <w:bCs/>
          <w:iCs/>
          <w:sz w:val="24"/>
          <w:szCs w:val="24"/>
          <w:lang w:val="en-US"/>
        </w:rPr>
      </w:pPr>
    </w:p>
    <w:p w14:paraId="12E7C3C6" w14:textId="77777777" w:rsidR="006B6D6E" w:rsidRPr="000016E0" w:rsidRDefault="006B6D6E" w:rsidP="006B6D6E">
      <w:pPr>
        <w:spacing w:line="360" w:lineRule="auto"/>
        <w:rPr>
          <w:b/>
          <w:bCs/>
          <w:iCs/>
          <w:sz w:val="24"/>
          <w:szCs w:val="24"/>
          <w:lang w:val="en-US"/>
        </w:rPr>
      </w:pPr>
    </w:p>
    <w:p w14:paraId="604E3EF2" w14:textId="77777777" w:rsidR="006B6D6E" w:rsidRPr="000016E0" w:rsidRDefault="006B6D6E" w:rsidP="006B6D6E">
      <w:pPr>
        <w:numPr>
          <w:ilvl w:val="0"/>
          <w:numId w:val="38"/>
        </w:numPr>
        <w:spacing w:line="360" w:lineRule="auto"/>
        <w:rPr>
          <w:b/>
          <w:bCs/>
          <w:iCs/>
          <w:sz w:val="24"/>
          <w:szCs w:val="24"/>
          <w:lang w:val="en-US"/>
        </w:rPr>
      </w:pPr>
      <w:r w:rsidRPr="000016E0">
        <w:rPr>
          <w:b/>
          <w:bCs/>
          <w:iCs/>
          <w:sz w:val="24"/>
          <w:szCs w:val="24"/>
          <w:lang w:val="en-US"/>
        </w:rPr>
        <w:lastRenderedPageBreak/>
        <w:t>Financing and Capital Management</w:t>
      </w:r>
      <w:r>
        <w:rPr>
          <w:b/>
          <w:bCs/>
          <w:iCs/>
          <w:sz w:val="24"/>
          <w:szCs w:val="24"/>
          <w:lang w:val="en-US"/>
        </w:rPr>
        <w:t>……………………………………</w:t>
      </w:r>
      <w:proofErr w:type="gramStart"/>
      <w:r>
        <w:rPr>
          <w:b/>
          <w:bCs/>
          <w:iCs/>
          <w:sz w:val="24"/>
          <w:szCs w:val="24"/>
          <w:lang w:val="en-US"/>
        </w:rPr>
        <w:t>…..</w:t>
      </w:r>
      <w:proofErr w:type="gramEnd"/>
      <w:r>
        <w:rPr>
          <w:b/>
          <w:bCs/>
          <w:iCs/>
          <w:sz w:val="24"/>
          <w:szCs w:val="24"/>
          <w:lang w:val="en-US"/>
        </w:rPr>
        <w:t>P.22~23</w:t>
      </w:r>
      <w:r w:rsidRPr="000016E0">
        <w:rPr>
          <w:b/>
          <w:bCs/>
          <w:iCs/>
          <w:sz w:val="24"/>
          <w:szCs w:val="24"/>
          <w:lang w:val="en-US"/>
        </w:rPr>
        <w:br/>
      </w:r>
      <w:r w:rsidRPr="000016E0">
        <w:rPr>
          <w:iCs/>
          <w:sz w:val="24"/>
          <w:szCs w:val="24"/>
          <w:lang w:val="en-US"/>
        </w:rPr>
        <w:t> </w:t>
      </w:r>
      <w:r w:rsidRPr="000016E0">
        <w:rPr>
          <w:iCs/>
          <w:sz w:val="24"/>
          <w:szCs w:val="24"/>
          <w:lang w:val="en-US"/>
        </w:rPr>
        <w:t>5.1 Financing Methods Analysis</w:t>
      </w:r>
      <w:r w:rsidRPr="000016E0">
        <w:rPr>
          <w:iCs/>
          <w:sz w:val="24"/>
          <w:szCs w:val="24"/>
          <w:lang w:val="en-US"/>
        </w:rPr>
        <w:br/>
      </w:r>
      <w:r w:rsidRPr="000016E0">
        <w:rPr>
          <w:iCs/>
          <w:sz w:val="24"/>
          <w:szCs w:val="24"/>
          <w:lang w:val="en-US"/>
        </w:rPr>
        <w:t> </w:t>
      </w:r>
      <w:r w:rsidRPr="000016E0">
        <w:rPr>
          <w:iCs/>
          <w:sz w:val="24"/>
          <w:szCs w:val="24"/>
          <w:lang w:val="en-US"/>
        </w:rPr>
        <w:t>5.2 Financing Method Proposed</w:t>
      </w:r>
    </w:p>
    <w:p w14:paraId="34D1B6B6" w14:textId="77777777" w:rsidR="006B6D6E" w:rsidRPr="000016E0" w:rsidRDefault="006B6D6E" w:rsidP="006B6D6E">
      <w:pPr>
        <w:numPr>
          <w:ilvl w:val="0"/>
          <w:numId w:val="38"/>
        </w:numPr>
        <w:spacing w:line="360" w:lineRule="auto"/>
        <w:rPr>
          <w:iCs/>
          <w:sz w:val="24"/>
          <w:szCs w:val="24"/>
          <w:lang w:val="en-US"/>
        </w:rPr>
      </w:pPr>
      <w:r w:rsidRPr="000016E0">
        <w:rPr>
          <w:b/>
          <w:bCs/>
          <w:iCs/>
          <w:sz w:val="24"/>
          <w:szCs w:val="24"/>
          <w:lang w:val="en-US"/>
        </w:rPr>
        <w:t>Recommendations and Audit Program</w:t>
      </w:r>
      <w:r>
        <w:rPr>
          <w:b/>
          <w:bCs/>
          <w:iCs/>
          <w:sz w:val="24"/>
          <w:szCs w:val="24"/>
          <w:lang w:val="en-US"/>
        </w:rPr>
        <w:t>…………………………………</w:t>
      </w:r>
      <w:proofErr w:type="gramStart"/>
      <w:r>
        <w:rPr>
          <w:b/>
          <w:bCs/>
          <w:iCs/>
          <w:sz w:val="24"/>
          <w:szCs w:val="24"/>
          <w:lang w:val="en-US"/>
        </w:rPr>
        <w:t>….P.</w:t>
      </w:r>
      <w:proofErr w:type="gramEnd"/>
      <w:r>
        <w:rPr>
          <w:b/>
          <w:bCs/>
          <w:iCs/>
          <w:sz w:val="24"/>
          <w:szCs w:val="24"/>
          <w:lang w:val="en-US"/>
        </w:rPr>
        <w:t>24~25</w:t>
      </w:r>
      <w:r w:rsidRPr="000016E0">
        <w:rPr>
          <w:b/>
          <w:bCs/>
          <w:iCs/>
          <w:sz w:val="24"/>
          <w:szCs w:val="24"/>
          <w:lang w:val="en-US"/>
        </w:rPr>
        <w:br/>
      </w:r>
      <w:r w:rsidRPr="000016E0">
        <w:rPr>
          <w:iCs/>
          <w:sz w:val="24"/>
          <w:szCs w:val="24"/>
          <w:lang w:val="en-US"/>
        </w:rPr>
        <w:t> </w:t>
      </w:r>
      <w:r w:rsidRPr="000016E0">
        <w:rPr>
          <w:iCs/>
          <w:sz w:val="24"/>
          <w:szCs w:val="24"/>
          <w:lang w:val="en-US"/>
        </w:rPr>
        <w:t>6.1 Strategic Operational Recommendations</w:t>
      </w:r>
      <w:r w:rsidRPr="000016E0">
        <w:rPr>
          <w:iCs/>
          <w:sz w:val="24"/>
          <w:szCs w:val="24"/>
          <w:lang w:val="en-US"/>
        </w:rPr>
        <w:br/>
      </w:r>
      <w:r w:rsidRPr="000016E0">
        <w:rPr>
          <w:iCs/>
          <w:sz w:val="24"/>
          <w:szCs w:val="24"/>
          <w:lang w:val="en-US"/>
        </w:rPr>
        <w:t> </w:t>
      </w:r>
      <w:r w:rsidRPr="000016E0">
        <w:rPr>
          <w:iCs/>
          <w:sz w:val="24"/>
          <w:szCs w:val="24"/>
          <w:lang w:val="en-US"/>
        </w:rPr>
        <w:t>6.2 Comprehensive Audit and Governance Framework</w:t>
      </w:r>
      <w:r w:rsidRPr="000016E0">
        <w:rPr>
          <w:iCs/>
          <w:sz w:val="24"/>
          <w:szCs w:val="24"/>
          <w:lang w:val="en-US"/>
        </w:rPr>
        <w:br/>
      </w:r>
      <w:r w:rsidRPr="000016E0">
        <w:rPr>
          <w:iCs/>
          <w:sz w:val="24"/>
          <w:szCs w:val="24"/>
          <w:lang w:val="en-US"/>
        </w:rPr>
        <w:t> </w:t>
      </w:r>
      <w:r w:rsidRPr="000016E0">
        <w:rPr>
          <w:iCs/>
          <w:sz w:val="24"/>
          <w:szCs w:val="24"/>
          <w:lang w:val="en-US"/>
        </w:rPr>
        <w:t>6.3 Strategic Planning and Performance Monitoring</w:t>
      </w:r>
    </w:p>
    <w:p w14:paraId="6C5B3410" w14:textId="77777777" w:rsidR="006B6D6E" w:rsidRDefault="006B6D6E" w:rsidP="006B6D6E">
      <w:pPr>
        <w:numPr>
          <w:ilvl w:val="0"/>
          <w:numId w:val="38"/>
        </w:numPr>
        <w:spacing w:line="360" w:lineRule="auto"/>
        <w:rPr>
          <w:iCs/>
          <w:sz w:val="24"/>
          <w:szCs w:val="24"/>
          <w:lang w:val="en-US"/>
        </w:rPr>
      </w:pPr>
      <w:r w:rsidRPr="000016E0">
        <w:rPr>
          <w:b/>
          <w:bCs/>
          <w:iCs/>
          <w:sz w:val="24"/>
          <w:szCs w:val="24"/>
          <w:lang w:val="en-US"/>
        </w:rPr>
        <w:t>Conclusion</w:t>
      </w:r>
      <w:r>
        <w:rPr>
          <w:b/>
          <w:bCs/>
          <w:iCs/>
          <w:sz w:val="24"/>
          <w:szCs w:val="24"/>
          <w:lang w:val="en-US"/>
        </w:rPr>
        <w:t>…………………………………………………………………...P.26~27</w:t>
      </w:r>
      <w:r w:rsidRPr="000016E0">
        <w:rPr>
          <w:b/>
          <w:bCs/>
          <w:iCs/>
          <w:sz w:val="24"/>
          <w:szCs w:val="24"/>
          <w:lang w:val="en-US"/>
        </w:rPr>
        <w:br/>
      </w:r>
      <w:r w:rsidRPr="000016E0">
        <w:rPr>
          <w:iCs/>
          <w:sz w:val="24"/>
          <w:szCs w:val="24"/>
          <w:lang w:val="en-US"/>
        </w:rPr>
        <w:t> </w:t>
      </w:r>
      <w:r w:rsidRPr="000016E0">
        <w:rPr>
          <w:iCs/>
          <w:sz w:val="24"/>
          <w:szCs w:val="24"/>
          <w:lang w:val="en-US"/>
        </w:rPr>
        <w:t>7.1 Investment Validation and Strategic Alignment</w:t>
      </w:r>
      <w:r w:rsidRPr="000016E0">
        <w:rPr>
          <w:iCs/>
          <w:sz w:val="24"/>
          <w:szCs w:val="24"/>
          <w:lang w:val="en-US"/>
        </w:rPr>
        <w:br/>
      </w:r>
      <w:r w:rsidRPr="000016E0">
        <w:rPr>
          <w:iCs/>
          <w:sz w:val="24"/>
          <w:szCs w:val="24"/>
          <w:lang w:val="en-US"/>
        </w:rPr>
        <w:t> </w:t>
      </w:r>
      <w:r w:rsidRPr="000016E0">
        <w:rPr>
          <w:iCs/>
          <w:sz w:val="24"/>
          <w:szCs w:val="24"/>
          <w:lang w:val="en-US"/>
        </w:rPr>
        <w:t>7.2 Strategic Market Positioning</w:t>
      </w:r>
      <w:r w:rsidRPr="000016E0">
        <w:rPr>
          <w:iCs/>
          <w:sz w:val="24"/>
          <w:szCs w:val="24"/>
          <w:lang w:val="en-US"/>
        </w:rPr>
        <w:br/>
      </w:r>
      <w:r w:rsidRPr="000016E0">
        <w:rPr>
          <w:iCs/>
          <w:sz w:val="24"/>
          <w:szCs w:val="24"/>
          <w:lang w:val="en-US"/>
        </w:rPr>
        <w:t> </w:t>
      </w:r>
      <w:r w:rsidRPr="000016E0">
        <w:rPr>
          <w:iCs/>
          <w:sz w:val="24"/>
          <w:szCs w:val="24"/>
          <w:lang w:val="en-US"/>
        </w:rPr>
        <w:t>7.3 Risk Mitigation and Operational Excellence</w:t>
      </w:r>
      <w:r w:rsidRPr="000016E0">
        <w:rPr>
          <w:iCs/>
          <w:sz w:val="24"/>
          <w:szCs w:val="24"/>
          <w:lang w:val="en-US"/>
        </w:rPr>
        <w:br/>
      </w:r>
      <w:r w:rsidRPr="000016E0">
        <w:rPr>
          <w:iCs/>
          <w:sz w:val="24"/>
          <w:szCs w:val="24"/>
          <w:lang w:val="en-US"/>
        </w:rPr>
        <w:t> </w:t>
      </w:r>
      <w:r w:rsidRPr="000016E0">
        <w:rPr>
          <w:iCs/>
          <w:sz w:val="24"/>
          <w:szCs w:val="24"/>
          <w:lang w:val="en-US"/>
        </w:rPr>
        <w:t>7.4 Long-term Value Creation Strategy</w:t>
      </w:r>
      <w:r w:rsidRPr="000016E0">
        <w:rPr>
          <w:iCs/>
          <w:sz w:val="24"/>
          <w:szCs w:val="24"/>
          <w:lang w:val="en-US"/>
        </w:rPr>
        <w:br/>
      </w:r>
      <w:r w:rsidRPr="000016E0">
        <w:rPr>
          <w:iCs/>
          <w:sz w:val="24"/>
          <w:szCs w:val="24"/>
          <w:lang w:val="en-US"/>
        </w:rPr>
        <w:t> </w:t>
      </w:r>
      <w:r w:rsidRPr="000016E0">
        <w:rPr>
          <w:iCs/>
          <w:sz w:val="24"/>
          <w:szCs w:val="24"/>
          <w:lang w:val="en-US"/>
        </w:rPr>
        <w:t>7.5 Final Recommendation</w:t>
      </w:r>
    </w:p>
    <w:p w14:paraId="01E942C0" w14:textId="77777777" w:rsidR="006B6D6E" w:rsidRPr="000016E0" w:rsidRDefault="006B6D6E" w:rsidP="006B6D6E">
      <w:pPr>
        <w:numPr>
          <w:ilvl w:val="0"/>
          <w:numId w:val="38"/>
        </w:numPr>
        <w:spacing w:line="360" w:lineRule="auto"/>
        <w:rPr>
          <w:iCs/>
          <w:sz w:val="24"/>
          <w:szCs w:val="24"/>
          <w:lang w:val="en-US"/>
        </w:rPr>
      </w:pPr>
      <w:r>
        <w:rPr>
          <w:b/>
          <w:bCs/>
          <w:iCs/>
          <w:sz w:val="24"/>
          <w:szCs w:val="24"/>
          <w:lang w:val="en-US"/>
        </w:rPr>
        <w:t>References………………………………………………………….……</w:t>
      </w:r>
      <w:proofErr w:type="gramStart"/>
      <w:r>
        <w:rPr>
          <w:b/>
          <w:bCs/>
          <w:iCs/>
          <w:sz w:val="24"/>
          <w:szCs w:val="24"/>
          <w:lang w:val="en-US"/>
        </w:rPr>
        <w:t>…..</w:t>
      </w:r>
      <w:proofErr w:type="gramEnd"/>
      <w:r>
        <w:rPr>
          <w:b/>
          <w:bCs/>
          <w:iCs/>
          <w:sz w:val="24"/>
          <w:szCs w:val="24"/>
          <w:lang w:val="en-US"/>
        </w:rPr>
        <w:t>P.28~30</w:t>
      </w:r>
    </w:p>
    <w:p w14:paraId="6CB279D1" w14:textId="77777777" w:rsidR="006B6D6E" w:rsidRDefault="006B6D6E" w:rsidP="006B6D6E"/>
    <w:p w14:paraId="3885106A" w14:textId="77777777" w:rsidR="001E776D" w:rsidRPr="002460EE" w:rsidRDefault="001E776D" w:rsidP="00251882">
      <w:pPr>
        <w:spacing w:line="600" w:lineRule="auto"/>
        <w:rPr>
          <w:b/>
          <w:bCs/>
          <w:iCs/>
          <w:sz w:val="24"/>
          <w:szCs w:val="24"/>
          <w:lang w:val="en-US"/>
        </w:rPr>
      </w:pPr>
    </w:p>
    <w:p w14:paraId="46209F7A" w14:textId="77777777" w:rsidR="001E776D" w:rsidRDefault="001E776D" w:rsidP="00251882">
      <w:pPr>
        <w:spacing w:line="600" w:lineRule="auto"/>
        <w:rPr>
          <w:b/>
          <w:bCs/>
          <w:iCs/>
          <w:sz w:val="24"/>
          <w:szCs w:val="24"/>
          <w:lang w:val="en-US"/>
        </w:rPr>
      </w:pPr>
    </w:p>
    <w:p w14:paraId="4E4F600C" w14:textId="77777777" w:rsidR="007D5B33" w:rsidRDefault="007D5B33" w:rsidP="00251882">
      <w:pPr>
        <w:spacing w:line="600" w:lineRule="auto"/>
        <w:rPr>
          <w:b/>
          <w:bCs/>
          <w:iCs/>
          <w:sz w:val="24"/>
          <w:szCs w:val="24"/>
          <w:lang w:val="en-US"/>
        </w:rPr>
      </w:pPr>
    </w:p>
    <w:p w14:paraId="508B17BA" w14:textId="77777777" w:rsidR="007D5B33" w:rsidRDefault="007D5B33" w:rsidP="00251882">
      <w:pPr>
        <w:spacing w:line="600" w:lineRule="auto"/>
        <w:rPr>
          <w:b/>
          <w:bCs/>
          <w:iCs/>
          <w:sz w:val="24"/>
          <w:szCs w:val="24"/>
          <w:lang w:val="en-US"/>
        </w:rPr>
      </w:pPr>
    </w:p>
    <w:p w14:paraId="1BC163FB" w14:textId="77777777" w:rsidR="007D5B33" w:rsidRDefault="007D5B33" w:rsidP="00251882">
      <w:pPr>
        <w:spacing w:line="600" w:lineRule="auto"/>
        <w:rPr>
          <w:b/>
          <w:bCs/>
          <w:iCs/>
          <w:sz w:val="24"/>
          <w:szCs w:val="24"/>
          <w:lang w:val="en-US"/>
        </w:rPr>
      </w:pPr>
    </w:p>
    <w:p w14:paraId="65124659" w14:textId="77777777" w:rsidR="007D5B33" w:rsidRDefault="007D5B33" w:rsidP="00251882">
      <w:pPr>
        <w:spacing w:line="600" w:lineRule="auto"/>
        <w:rPr>
          <w:b/>
          <w:bCs/>
          <w:iCs/>
          <w:sz w:val="24"/>
          <w:szCs w:val="24"/>
          <w:lang w:val="en-US"/>
        </w:rPr>
      </w:pPr>
    </w:p>
    <w:p w14:paraId="6D0AE9A2" w14:textId="77777777" w:rsidR="007D5B33" w:rsidRDefault="007D5B33" w:rsidP="00251882">
      <w:pPr>
        <w:spacing w:line="600" w:lineRule="auto"/>
        <w:rPr>
          <w:b/>
          <w:bCs/>
          <w:iCs/>
          <w:sz w:val="24"/>
          <w:szCs w:val="24"/>
          <w:lang w:val="en-US"/>
        </w:rPr>
      </w:pPr>
    </w:p>
    <w:p w14:paraId="7F4FCE25" w14:textId="77777777" w:rsidR="007D5B33" w:rsidRDefault="007D5B33" w:rsidP="00251882">
      <w:pPr>
        <w:spacing w:line="600" w:lineRule="auto"/>
        <w:rPr>
          <w:b/>
          <w:bCs/>
          <w:iCs/>
          <w:sz w:val="24"/>
          <w:szCs w:val="24"/>
          <w:lang w:val="en-US"/>
        </w:rPr>
      </w:pPr>
    </w:p>
    <w:p w14:paraId="4342F446" w14:textId="77777777" w:rsidR="007D5B33" w:rsidRDefault="007D5B33" w:rsidP="00251882">
      <w:pPr>
        <w:spacing w:line="600" w:lineRule="auto"/>
        <w:rPr>
          <w:b/>
          <w:bCs/>
          <w:iCs/>
          <w:sz w:val="24"/>
          <w:szCs w:val="24"/>
          <w:lang w:val="en-US"/>
        </w:rPr>
      </w:pPr>
    </w:p>
    <w:p w14:paraId="32AFFD8F" w14:textId="77777777" w:rsidR="007D5B33" w:rsidRDefault="007D5B33" w:rsidP="00251882">
      <w:pPr>
        <w:spacing w:line="600" w:lineRule="auto"/>
        <w:rPr>
          <w:b/>
          <w:bCs/>
          <w:iCs/>
          <w:sz w:val="24"/>
          <w:szCs w:val="24"/>
          <w:lang w:val="en-US"/>
        </w:rPr>
      </w:pPr>
    </w:p>
    <w:p w14:paraId="091CD2B3" w14:textId="77777777" w:rsidR="007D5B33" w:rsidRDefault="007D5B33" w:rsidP="00251882">
      <w:pPr>
        <w:spacing w:line="600" w:lineRule="auto"/>
        <w:rPr>
          <w:b/>
          <w:bCs/>
          <w:iCs/>
          <w:sz w:val="24"/>
          <w:szCs w:val="24"/>
          <w:lang w:val="en-US"/>
        </w:rPr>
      </w:pPr>
    </w:p>
    <w:p w14:paraId="7110CD4B" w14:textId="77777777" w:rsidR="007D5B33" w:rsidRDefault="007D5B33" w:rsidP="00251882">
      <w:pPr>
        <w:spacing w:line="600" w:lineRule="auto"/>
        <w:rPr>
          <w:b/>
          <w:bCs/>
          <w:iCs/>
          <w:sz w:val="24"/>
          <w:szCs w:val="24"/>
          <w:lang w:val="en-US"/>
        </w:rPr>
      </w:pPr>
    </w:p>
    <w:p w14:paraId="5B237480" w14:textId="77777777" w:rsidR="009266B7" w:rsidRPr="009266B7" w:rsidRDefault="009266B7" w:rsidP="009266B7">
      <w:pPr>
        <w:spacing w:line="360" w:lineRule="auto"/>
        <w:rPr>
          <w:b/>
          <w:bCs/>
          <w:iCs/>
          <w:sz w:val="24"/>
          <w:szCs w:val="24"/>
          <w:lang w:val="en-US"/>
        </w:rPr>
      </w:pPr>
      <w:r w:rsidRPr="009266B7">
        <w:rPr>
          <w:b/>
          <w:bCs/>
          <w:iCs/>
          <w:sz w:val="24"/>
          <w:szCs w:val="24"/>
          <w:lang w:val="en-US"/>
        </w:rPr>
        <w:lastRenderedPageBreak/>
        <w:t>Executive Summary</w:t>
      </w:r>
    </w:p>
    <w:p w14:paraId="7A393554" w14:textId="77777777" w:rsidR="009266B7" w:rsidRPr="009266B7" w:rsidRDefault="009266B7" w:rsidP="009266B7">
      <w:pPr>
        <w:spacing w:line="360" w:lineRule="auto"/>
        <w:rPr>
          <w:iCs/>
          <w:sz w:val="24"/>
          <w:szCs w:val="24"/>
          <w:lang w:val="en-US"/>
        </w:rPr>
      </w:pPr>
      <w:r w:rsidRPr="009266B7">
        <w:rPr>
          <w:iCs/>
          <w:sz w:val="24"/>
          <w:szCs w:val="24"/>
          <w:lang w:val="en-US"/>
        </w:rPr>
        <w:t xml:space="preserve">This report presents a comprehensive financial and strategic analysis of Tsui Wah Holdings Ltd. (1314.HK), a leading Hong Kong cha </w:t>
      </w:r>
      <w:proofErr w:type="spellStart"/>
      <w:r w:rsidRPr="009266B7">
        <w:rPr>
          <w:iCs/>
          <w:sz w:val="24"/>
          <w:szCs w:val="24"/>
          <w:lang w:val="en-US"/>
        </w:rPr>
        <w:t>chaan</w:t>
      </w:r>
      <w:proofErr w:type="spellEnd"/>
      <w:r w:rsidRPr="009266B7">
        <w:rPr>
          <w:iCs/>
          <w:sz w:val="24"/>
          <w:szCs w:val="24"/>
          <w:lang w:val="en-US"/>
        </w:rPr>
        <w:t xml:space="preserve"> </w:t>
      </w:r>
      <w:proofErr w:type="spellStart"/>
      <w:r w:rsidRPr="009266B7">
        <w:rPr>
          <w:iCs/>
          <w:sz w:val="24"/>
          <w:szCs w:val="24"/>
          <w:lang w:val="en-US"/>
        </w:rPr>
        <w:t>teng</w:t>
      </w:r>
      <w:proofErr w:type="spellEnd"/>
      <w:r w:rsidRPr="009266B7">
        <w:rPr>
          <w:iCs/>
          <w:sz w:val="24"/>
          <w:szCs w:val="24"/>
          <w:lang w:val="en-US"/>
        </w:rPr>
        <w:t xml:space="preserve"> chain, over the past three fiscal years (2022-2024). A comparative evaluation is conducted against key peers Fairwood Holdings Ltd. and Tai Hing Group Holdings Ltd. to contextualize Tsui Wah’s performance within the competitive and evolving food and beverage sector.</w:t>
      </w:r>
    </w:p>
    <w:p w14:paraId="7FBFC7C1" w14:textId="77777777" w:rsidR="009266B7" w:rsidRPr="009266B7" w:rsidRDefault="009266B7" w:rsidP="009266B7">
      <w:pPr>
        <w:spacing w:line="360" w:lineRule="auto"/>
        <w:rPr>
          <w:iCs/>
          <w:sz w:val="24"/>
          <w:szCs w:val="24"/>
          <w:lang w:val="en-US"/>
        </w:rPr>
      </w:pPr>
      <w:r w:rsidRPr="009266B7">
        <w:rPr>
          <w:iCs/>
          <w:sz w:val="24"/>
          <w:szCs w:val="24"/>
          <w:lang w:val="en-US"/>
        </w:rPr>
        <w:t>Tsui Wah’s financial analysis highlights a volatile revenue trajectory, with sales declining sharply in 2023 from HK$993 million to HK$846 million, before recovering partially to HK$954 million in 2024. Despite the positive rebound, overall cumulative revenue has contracted, exerting pressure on profitability and operational stability.</w:t>
      </w:r>
    </w:p>
    <w:p w14:paraId="7B5F3B35" w14:textId="77777777" w:rsidR="009266B7" w:rsidRPr="009266B7" w:rsidRDefault="009266B7" w:rsidP="009266B7">
      <w:pPr>
        <w:spacing w:line="360" w:lineRule="auto"/>
        <w:rPr>
          <w:iCs/>
          <w:sz w:val="24"/>
          <w:szCs w:val="24"/>
          <w:lang w:val="en-US"/>
        </w:rPr>
      </w:pPr>
      <w:r w:rsidRPr="009266B7">
        <w:rPr>
          <w:iCs/>
          <w:sz w:val="24"/>
          <w:szCs w:val="24"/>
          <w:lang w:val="en-US"/>
        </w:rPr>
        <w:t xml:space="preserve">The company maintains moderate gross profit </w:t>
      </w:r>
      <w:proofErr w:type="gramStart"/>
      <w:r w:rsidRPr="009266B7">
        <w:rPr>
          <w:iCs/>
          <w:sz w:val="24"/>
          <w:szCs w:val="24"/>
          <w:lang w:val="en-US"/>
        </w:rPr>
        <w:t>margins</w:t>
      </w:r>
      <w:proofErr w:type="gramEnd"/>
      <w:r w:rsidRPr="009266B7">
        <w:rPr>
          <w:iCs/>
          <w:sz w:val="24"/>
          <w:szCs w:val="24"/>
          <w:lang w:val="en-US"/>
        </w:rPr>
        <w:t xml:space="preserve"> around 30%, reflecting its cha </w:t>
      </w:r>
      <w:proofErr w:type="spellStart"/>
      <w:r w:rsidRPr="009266B7">
        <w:rPr>
          <w:iCs/>
          <w:sz w:val="24"/>
          <w:szCs w:val="24"/>
          <w:lang w:val="en-US"/>
        </w:rPr>
        <w:t>chaan</w:t>
      </w:r>
      <w:proofErr w:type="spellEnd"/>
      <w:r w:rsidRPr="009266B7">
        <w:rPr>
          <w:iCs/>
          <w:sz w:val="24"/>
          <w:szCs w:val="24"/>
          <w:lang w:val="en-US"/>
        </w:rPr>
        <w:t xml:space="preserve"> </w:t>
      </w:r>
      <w:proofErr w:type="spellStart"/>
      <w:r w:rsidRPr="009266B7">
        <w:rPr>
          <w:iCs/>
          <w:sz w:val="24"/>
          <w:szCs w:val="24"/>
          <w:lang w:val="en-US"/>
        </w:rPr>
        <w:t>teng</w:t>
      </w:r>
      <w:proofErr w:type="spellEnd"/>
      <w:r w:rsidRPr="009266B7">
        <w:rPr>
          <w:iCs/>
          <w:sz w:val="24"/>
          <w:szCs w:val="24"/>
          <w:lang w:val="en-US"/>
        </w:rPr>
        <w:t xml:space="preserve"> business model. However, net profit margin deteriorated dramatically from 7.7% in 2022 to approximately 1.4% in 2024, indicative of operational leverage and cost management challenges. This underperformance contrasts with Tai Hing’s resilient growth and better profitability, while Fairwood experiences relatively stable revenues and margins.</w:t>
      </w:r>
    </w:p>
    <w:p w14:paraId="0F6F6973" w14:textId="77777777" w:rsidR="009266B7" w:rsidRPr="009266B7" w:rsidRDefault="009266B7" w:rsidP="009266B7">
      <w:pPr>
        <w:spacing w:line="360" w:lineRule="auto"/>
        <w:rPr>
          <w:iCs/>
          <w:sz w:val="24"/>
          <w:szCs w:val="24"/>
          <w:lang w:val="en-US"/>
        </w:rPr>
      </w:pPr>
      <w:r w:rsidRPr="009266B7">
        <w:rPr>
          <w:iCs/>
          <w:sz w:val="24"/>
          <w:szCs w:val="24"/>
          <w:lang w:val="en-US"/>
        </w:rPr>
        <w:t>Operationally, Tsui Wah’s revenue per store fell in 2023 but improved in 2024, though it remains below peer benchmarks, reflecting ongoing challenges in store-level efficiency and market positioning. Asset utilization and return on equity have significantly weakened, signaling constrained growth capacity and reduced shareholder returns.</w:t>
      </w:r>
    </w:p>
    <w:p w14:paraId="402D2ABB" w14:textId="77777777" w:rsidR="009266B7" w:rsidRPr="009266B7" w:rsidRDefault="009266B7" w:rsidP="009266B7">
      <w:pPr>
        <w:spacing w:line="360" w:lineRule="auto"/>
        <w:rPr>
          <w:iCs/>
          <w:sz w:val="24"/>
          <w:szCs w:val="24"/>
          <w:lang w:val="en-US"/>
        </w:rPr>
      </w:pPr>
      <w:r w:rsidRPr="009266B7">
        <w:rPr>
          <w:iCs/>
          <w:sz w:val="24"/>
          <w:szCs w:val="24"/>
          <w:lang w:val="en-US"/>
        </w:rPr>
        <w:t xml:space="preserve">Corporate governance complies with regulatory </w:t>
      </w:r>
      <w:proofErr w:type="gramStart"/>
      <w:r w:rsidRPr="009266B7">
        <w:rPr>
          <w:iCs/>
          <w:sz w:val="24"/>
          <w:szCs w:val="24"/>
          <w:lang w:val="en-US"/>
        </w:rPr>
        <w:t>standards</w:t>
      </w:r>
      <w:proofErr w:type="gramEnd"/>
      <w:r w:rsidRPr="009266B7">
        <w:rPr>
          <w:iCs/>
          <w:sz w:val="24"/>
          <w:szCs w:val="24"/>
          <w:lang w:val="en-US"/>
        </w:rPr>
        <w:t xml:space="preserve"> but opportunities exist to strengthen risk management and enhance strategic oversight, especially amid escalating cost pressures and market competition.</w:t>
      </w:r>
    </w:p>
    <w:p w14:paraId="1FCD2C7D" w14:textId="77777777" w:rsidR="009266B7" w:rsidRPr="009266B7" w:rsidRDefault="009266B7" w:rsidP="009266B7">
      <w:pPr>
        <w:spacing w:line="360" w:lineRule="auto"/>
        <w:rPr>
          <w:iCs/>
          <w:sz w:val="24"/>
          <w:szCs w:val="24"/>
          <w:lang w:val="en-US"/>
        </w:rPr>
      </w:pPr>
      <w:r w:rsidRPr="009266B7">
        <w:rPr>
          <w:iCs/>
          <w:sz w:val="24"/>
          <w:szCs w:val="24"/>
          <w:lang w:val="en-US"/>
        </w:rPr>
        <w:t>Investment appraisals of new projects demonstrate potential value creation with prudent financing recommendations emphasizing internal funding complemented by low-cost bank loans as needed.</w:t>
      </w:r>
    </w:p>
    <w:p w14:paraId="1D30881C" w14:textId="77777777" w:rsidR="009266B7" w:rsidRPr="009266B7" w:rsidRDefault="009266B7" w:rsidP="009266B7">
      <w:pPr>
        <w:spacing w:line="360" w:lineRule="auto"/>
        <w:rPr>
          <w:iCs/>
          <w:sz w:val="24"/>
          <w:szCs w:val="24"/>
          <w:lang w:val="en-US"/>
        </w:rPr>
      </w:pPr>
      <w:r w:rsidRPr="009266B7">
        <w:rPr>
          <w:iCs/>
          <w:sz w:val="24"/>
          <w:szCs w:val="24"/>
          <w:lang w:val="en-US"/>
        </w:rPr>
        <w:t>In conclusion, Tsui Wah remains a financially stable enterprise but faces pressing requirements to enhance profitability, operational efficiency, and competitive growth strategies to secure sustainable long-term performance in a challenging market landscape.</w:t>
      </w:r>
    </w:p>
    <w:p w14:paraId="0D472A39" w14:textId="77777777" w:rsidR="00E262FC" w:rsidRPr="009266B7" w:rsidRDefault="00E262FC" w:rsidP="00E262FC">
      <w:pPr>
        <w:spacing w:line="360" w:lineRule="auto"/>
        <w:rPr>
          <w:iCs/>
          <w:sz w:val="24"/>
          <w:szCs w:val="24"/>
          <w:lang w:val="en-US"/>
        </w:rPr>
      </w:pPr>
    </w:p>
    <w:p w14:paraId="7AC6AB59" w14:textId="77777777" w:rsidR="007A67FA" w:rsidRDefault="007A67FA" w:rsidP="00E262FC">
      <w:pPr>
        <w:spacing w:line="360" w:lineRule="auto"/>
        <w:rPr>
          <w:b/>
          <w:bCs/>
          <w:iCs/>
          <w:sz w:val="24"/>
          <w:szCs w:val="24"/>
          <w:lang w:val="en-US"/>
        </w:rPr>
      </w:pPr>
    </w:p>
    <w:p w14:paraId="01B2318A" w14:textId="77777777" w:rsidR="007A67FA" w:rsidRDefault="007A67FA" w:rsidP="00E262FC">
      <w:pPr>
        <w:spacing w:line="360" w:lineRule="auto"/>
        <w:rPr>
          <w:b/>
          <w:bCs/>
          <w:iCs/>
          <w:sz w:val="24"/>
          <w:szCs w:val="24"/>
          <w:lang w:val="en-US"/>
        </w:rPr>
      </w:pPr>
    </w:p>
    <w:p w14:paraId="5E6C3513" w14:textId="77777777" w:rsidR="007A67FA" w:rsidRDefault="007A67FA" w:rsidP="00E262FC">
      <w:pPr>
        <w:spacing w:line="360" w:lineRule="auto"/>
        <w:rPr>
          <w:b/>
          <w:bCs/>
          <w:iCs/>
          <w:sz w:val="24"/>
          <w:szCs w:val="24"/>
          <w:lang w:val="en-US"/>
        </w:rPr>
      </w:pPr>
    </w:p>
    <w:p w14:paraId="58B82B28" w14:textId="77777777" w:rsidR="007A67FA" w:rsidRDefault="007A67FA" w:rsidP="00E262FC">
      <w:pPr>
        <w:spacing w:line="360" w:lineRule="auto"/>
        <w:rPr>
          <w:b/>
          <w:bCs/>
          <w:iCs/>
          <w:sz w:val="24"/>
          <w:szCs w:val="24"/>
          <w:lang w:val="en-US"/>
        </w:rPr>
      </w:pPr>
    </w:p>
    <w:p w14:paraId="7239CABC" w14:textId="77777777" w:rsidR="007A67FA" w:rsidRDefault="007A67FA" w:rsidP="00E262FC">
      <w:pPr>
        <w:spacing w:line="360" w:lineRule="auto"/>
        <w:rPr>
          <w:b/>
          <w:bCs/>
          <w:iCs/>
          <w:sz w:val="24"/>
          <w:szCs w:val="24"/>
          <w:lang w:val="en-US"/>
        </w:rPr>
      </w:pPr>
    </w:p>
    <w:p w14:paraId="063EF2F2" w14:textId="58248D22" w:rsidR="00DA0E66" w:rsidRPr="00937F54" w:rsidRDefault="00DA0E66" w:rsidP="00E262FC">
      <w:pPr>
        <w:spacing w:line="360" w:lineRule="auto"/>
        <w:rPr>
          <w:b/>
          <w:bCs/>
          <w:iCs/>
          <w:sz w:val="24"/>
          <w:szCs w:val="24"/>
          <w:lang w:val="en-US"/>
        </w:rPr>
      </w:pPr>
      <w:r w:rsidRPr="00937F54">
        <w:rPr>
          <w:b/>
          <w:bCs/>
          <w:iCs/>
          <w:sz w:val="24"/>
          <w:szCs w:val="24"/>
          <w:lang w:val="en-US"/>
        </w:rPr>
        <w:lastRenderedPageBreak/>
        <w:t>1. Introduction</w:t>
      </w:r>
    </w:p>
    <w:p w14:paraId="37FACF42" w14:textId="77777777" w:rsidR="00DA0E66" w:rsidRPr="00937F54" w:rsidRDefault="00DA0E66" w:rsidP="00E262FC">
      <w:pPr>
        <w:spacing w:line="360" w:lineRule="auto"/>
        <w:rPr>
          <w:b/>
          <w:bCs/>
          <w:iCs/>
          <w:sz w:val="24"/>
          <w:szCs w:val="24"/>
          <w:lang w:val="en-US"/>
        </w:rPr>
      </w:pPr>
      <w:r w:rsidRPr="00937F54">
        <w:rPr>
          <w:b/>
          <w:bCs/>
          <w:iCs/>
          <w:sz w:val="24"/>
          <w:szCs w:val="24"/>
          <w:lang w:val="en-US"/>
        </w:rPr>
        <w:t>1.1 Company Background</w:t>
      </w:r>
    </w:p>
    <w:p w14:paraId="2BEDEA4C" w14:textId="77777777" w:rsidR="00DA0E66" w:rsidRPr="00937F54" w:rsidRDefault="00DA0E66" w:rsidP="00E262FC">
      <w:pPr>
        <w:spacing w:line="360" w:lineRule="auto"/>
        <w:rPr>
          <w:iCs/>
          <w:sz w:val="24"/>
          <w:szCs w:val="24"/>
          <w:lang w:val="en-US"/>
        </w:rPr>
      </w:pPr>
      <w:r w:rsidRPr="00937F54">
        <w:rPr>
          <w:iCs/>
          <w:sz w:val="24"/>
          <w:szCs w:val="24"/>
          <w:lang w:val="en-US"/>
        </w:rPr>
        <w:t xml:space="preserve">Founded in 1967 as a modest </w:t>
      </w:r>
      <w:proofErr w:type="spellStart"/>
      <w:r w:rsidRPr="00937F54">
        <w:rPr>
          <w:iCs/>
          <w:sz w:val="24"/>
          <w:szCs w:val="24"/>
          <w:lang w:val="en-US"/>
        </w:rPr>
        <w:t>dai</w:t>
      </w:r>
      <w:proofErr w:type="spellEnd"/>
      <w:r w:rsidRPr="00937F54">
        <w:rPr>
          <w:iCs/>
          <w:sz w:val="24"/>
          <w:szCs w:val="24"/>
          <w:lang w:val="en-US"/>
        </w:rPr>
        <w:t xml:space="preserve"> pai dong, Tsui Wah Holdings Ltd. has grown into a celebrated </w:t>
      </w:r>
      <w:proofErr w:type="gramStart"/>
      <w:r w:rsidRPr="00937F54">
        <w:rPr>
          <w:iCs/>
          <w:sz w:val="24"/>
          <w:szCs w:val="24"/>
          <w:lang w:val="en-US"/>
        </w:rPr>
        <w:t>publicly-listed</w:t>
      </w:r>
      <w:proofErr w:type="gramEnd"/>
      <w:r w:rsidRPr="00937F54">
        <w:rPr>
          <w:iCs/>
          <w:sz w:val="24"/>
          <w:szCs w:val="24"/>
          <w:lang w:val="en-US"/>
        </w:rPr>
        <w:t xml:space="preserve"> cha </w:t>
      </w:r>
      <w:proofErr w:type="spellStart"/>
      <w:r w:rsidRPr="00937F54">
        <w:rPr>
          <w:iCs/>
          <w:sz w:val="24"/>
          <w:szCs w:val="24"/>
          <w:lang w:val="en-US"/>
        </w:rPr>
        <w:t>chaan</w:t>
      </w:r>
      <w:proofErr w:type="spellEnd"/>
      <w:r w:rsidRPr="00937F54">
        <w:rPr>
          <w:iCs/>
          <w:sz w:val="24"/>
          <w:szCs w:val="24"/>
          <w:lang w:val="en-US"/>
        </w:rPr>
        <w:t xml:space="preserve"> </w:t>
      </w:r>
      <w:proofErr w:type="spellStart"/>
      <w:r w:rsidRPr="00937F54">
        <w:rPr>
          <w:iCs/>
          <w:sz w:val="24"/>
          <w:szCs w:val="24"/>
          <w:lang w:val="en-US"/>
        </w:rPr>
        <w:t>teng</w:t>
      </w:r>
      <w:proofErr w:type="spellEnd"/>
      <w:r w:rsidRPr="00937F54">
        <w:rPr>
          <w:iCs/>
          <w:sz w:val="24"/>
          <w:szCs w:val="24"/>
          <w:lang w:val="en-US"/>
        </w:rPr>
        <w:t xml:space="preserve"> chain (HKEX:1314). The company’s IPO in 2012 raised approximately HKD 763 million to fuel expansion. Known for its iconic Hong Kong-Western fusion dishes, Tsui Wah serves diverse customer segments across Hong Kong, Macau, and major Chinese cities.</w:t>
      </w:r>
    </w:p>
    <w:p w14:paraId="61423ED9" w14:textId="77777777" w:rsidR="00DA0E66" w:rsidRPr="00937F54" w:rsidRDefault="00DA0E66" w:rsidP="00E262FC">
      <w:pPr>
        <w:spacing w:line="360" w:lineRule="auto"/>
        <w:rPr>
          <w:b/>
          <w:bCs/>
          <w:iCs/>
          <w:sz w:val="24"/>
          <w:szCs w:val="24"/>
          <w:lang w:val="en-US"/>
        </w:rPr>
      </w:pPr>
      <w:r w:rsidRPr="00937F54">
        <w:rPr>
          <w:b/>
          <w:bCs/>
          <w:iCs/>
          <w:sz w:val="24"/>
          <w:szCs w:val="24"/>
          <w:lang w:val="en-US"/>
        </w:rPr>
        <w:t>1.2 Operating Business Overview</w:t>
      </w:r>
    </w:p>
    <w:p w14:paraId="4571F17C" w14:textId="77777777" w:rsidR="00DA0E66" w:rsidRPr="00937F54" w:rsidRDefault="00DA0E66" w:rsidP="00E262FC">
      <w:pPr>
        <w:spacing w:line="360" w:lineRule="auto"/>
        <w:rPr>
          <w:iCs/>
          <w:sz w:val="24"/>
          <w:szCs w:val="24"/>
          <w:lang w:val="en-US"/>
        </w:rPr>
      </w:pPr>
      <w:r w:rsidRPr="00937F54">
        <w:rPr>
          <w:iCs/>
          <w:sz w:val="24"/>
          <w:szCs w:val="24"/>
          <w:lang w:val="en-US"/>
        </w:rPr>
        <w:t>Tsui Wah operates 69 restaurants primarily focused on dine-in services with supplemental bakery and retail operations. It strategically adapts menus for mainland markets while maintaining its Hong Kong culinary identity. The company emphasizes long operating hours and consistent quality to drive brand loyalty and revenue.</w:t>
      </w:r>
    </w:p>
    <w:p w14:paraId="3F49F60B" w14:textId="77777777" w:rsidR="00DA0E66" w:rsidRPr="00937F54" w:rsidRDefault="00DA0E66" w:rsidP="00E262FC">
      <w:pPr>
        <w:spacing w:line="360" w:lineRule="auto"/>
        <w:rPr>
          <w:b/>
          <w:bCs/>
          <w:iCs/>
          <w:sz w:val="24"/>
          <w:szCs w:val="24"/>
          <w:lang w:val="en-US"/>
        </w:rPr>
      </w:pPr>
      <w:r w:rsidRPr="00937F54">
        <w:rPr>
          <w:b/>
          <w:bCs/>
          <w:iCs/>
          <w:sz w:val="24"/>
          <w:szCs w:val="24"/>
          <w:lang w:val="en-US"/>
        </w:rPr>
        <w:t>1.3 Business Environment</w:t>
      </w:r>
    </w:p>
    <w:p w14:paraId="1370CF3A" w14:textId="77777777" w:rsidR="00DA0E66" w:rsidRDefault="00DA0E66" w:rsidP="00E262FC">
      <w:pPr>
        <w:spacing w:line="360" w:lineRule="auto"/>
        <w:rPr>
          <w:iCs/>
          <w:sz w:val="24"/>
          <w:szCs w:val="24"/>
          <w:lang w:val="en-US"/>
        </w:rPr>
      </w:pPr>
      <w:r w:rsidRPr="00937F54">
        <w:rPr>
          <w:iCs/>
          <w:sz w:val="24"/>
          <w:szCs w:val="24"/>
          <w:lang w:val="en-US"/>
        </w:rPr>
        <w:t xml:space="preserve">The sector faces intense cost </w:t>
      </w:r>
      <w:proofErr w:type="gramStart"/>
      <w:r w:rsidRPr="00937F54">
        <w:rPr>
          <w:iCs/>
          <w:sz w:val="24"/>
          <w:szCs w:val="24"/>
          <w:lang w:val="en-US"/>
        </w:rPr>
        <w:t>pressures—</w:t>
      </w:r>
      <w:proofErr w:type="gramEnd"/>
      <w:r w:rsidRPr="00937F54">
        <w:rPr>
          <w:iCs/>
          <w:sz w:val="24"/>
          <w:szCs w:val="24"/>
          <w:lang w:val="en-US"/>
        </w:rPr>
        <w:t xml:space="preserve">especially rising food prices, </w:t>
      </w:r>
      <w:proofErr w:type="spellStart"/>
      <w:r w:rsidRPr="00937F54">
        <w:rPr>
          <w:iCs/>
          <w:sz w:val="24"/>
          <w:szCs w:val="24"/>
          <w:lang w:val="en-US"/>
        </w:rPr>
        <w:t>labour</w:t>
      </w:r>
      <w:proofErr w:type="spellEnd"/>
      <w:r w:rsidRPr="00937F54">
        <w:rPr>
          <w:iCs/>
          <w:sz w:val="24"/>
          <w:szCs w:val="24"/>
          <w:lang w:val="en-US"/>
        </w:rPr>
        <w:t xml:space="preserve"> shortages, and high rents—and changing consumer behaviors favoring delivery and health-conscious dining. Market saturation heightens competition, pressing chains to optimize prices, brand appeal, and operational efficiency.</w:t>
      </w:r>
    </w:p>
    <w:p w14:paraId="69CAA5A1" w14:textId="77777777" w:rsidR="00DA0E66" w:rsidRPr="00937F54" w:rsidRDefault="00DA0E66" w:rsidP="00E262FC">
      <w:pPr>
        <w:spacing w:line="360" w:lineRule="auto"/>
        <w:rPr>
          <w:b/>
          <w:bCs/>
          <w:iCs/>
          <w:sz w:val="24"/>
          <w:szCs w:val="24"/>
          <w:lang w:val="en-US"/>
        </w:rPr>
      </w:pPr>
      <w:r w:rsidRPr="00937F54">
        <w:rPr>
          <w:b/>
          <w:bCs/>
          <w:iCs/>
          <w:sz w:val="24"/>
          <w:szCs w:val="24"/>
          <w:lang w:val="en-US"/>
        </w:rPr>
        <w:t>1.4 Company Structure</w:t>
      </w:r>
    </w:p>
    <w:p w14:paraId="1E410F38" w14:textId="77777777" w:rsidR="00DA0E66" w:rsidRPr="00937F54" w:rsidRDefault="00DA0E66" w:rsidP="00E262FC">
      <w:pPr>
        <w:spacing w:line="360" w:lineRule="auto"/>
        <w:rPr>
          <w:iCs/>
          <w:sz w:val="24"/>
          <w:szCs w:val="24"/>
          <w:lang w:val="en-US"/>
        </w:rPr>
      </w:pPr>
      <w:r w:rsidRPr="00937F54">
        <w:rPr>
          <w:iCs/>
          <w:sz w:val="24"/>
          <w:szCs w:val="24"/>
          <w:lang w:val="en-US"/>
        </w:rPr>
        <w:t>Governed by a board of directors with clear oversight, Tsui Wah’s management structure supports strategic and operational execution. The workforce includes thousands of culinary, service, and corporate staff across multiple jurisdictions.</w:t>
      </w:r>
    </w:p>
    <w:p w14:paraId="2956F4DC" w14:textId="77777777" w:rsidR="00CD597E" w:rsidRPr="008B33EF" w:rsidRDefault="00CD597E" w:rsidP="00E262FC">
      <w:pPr>
        <w:spacing w:line="360" w:lineRule="auto"/>
        <w:rPr>
          <w:b/>
          <w:bCs/>
          <w:iCs/>
          <w:sz w:val="24"/>
          <w:szCs w:val="24"/>
          <w:lang w:val="en-US"/>
        </w:rPr>
      </w:pPr>
      <w:r w:rsidRPr="008B33EF">
        <w:rPr>
          <w:b/>
          <w:bCs/>
          <w:iCs/>
          <w:sz w:val="24"/>
          <w:szCs w:val="24"/>
          <w:lang w:val="en-US"/>
        </w:rPr>
        <w:t>1.5 Basis for Comparative Analysis</w:t>
      </w:r>
    </w:p>
    <w:p w14:paraId="07FC68F4" w14:textId="77777777" w:rsidR="00CD597E" w:rsidRPr="00937F54" w:rsidRDefault="00CD597E" w:rsidP="00E262FC">
      <w:pPr>
        <w:spacing w:line="360" w:lineRule="auto"/>
        <w:rPr>
          <w:iCs/>
          <w:sz w:val="24"/>
          <w:szCs w:val="24"/>
          <w:lang w:val="en-US"/>
        </w:rPr>
      </w:pPr>
      <w:r w:rsidRPr="00937F54">
        <w:rPr>
          <w:iCs/>
          <w:sz w:val="24"/>
          <w:szCs w:val="24"/>
          <w:lang w:val="en-US"/>
        </w:rPr>
        <w:t>To contextualize Tsui Wah's financial performance, this report benchmarks its results against two key listed peers operating in the same competitive environment:</w:t>
      </w:r>
    </w:p>
    <w:p w14:paraId="79530D20" w14:textId="77777777" w:rsidR="00CD597E" w:rsidRPr="00937F54" w:rsidRDefault="00CD597E" w:rsidP="00E262FC">
      <w:pPr>
        <w:spacing w:line="360" w:lineRule="auto"/>
        <w:rPr>
          <w:iCs/>
          <w:sz w:val="24"/>
          <w:szCs w:val="24"/>
          <w:lang w:val="en-US"/>
        </w:rPr>
      </w:pPr>
      <w:r w:rsidRPr="00937F54">
        <w:rPr>
          <w:iCs/>
          <w:sz w:val="24"/>
          <w:szCs w:val="24"/>
          <w:lang w:val="en-US"/>
        </w:rPr>
        <w:t xml:space="preserve">Fairwood Holdings Ltd. (52.HK): A major fast-food chain with 176 stores across Hong Kong and Mainland China. While its menu differs, it faces identical macro cost pressures (food, </w:t>
      </w:r>
      <w:proofErr w:type="spellStart"/>
      <w:r w:rsidRPr="00937F54">
        <w:rPr>
          <w:iCs/>
          <w:sz w:val="24"/>
          <w:szCs w:val="24"/>
          <w:lang w:val="en-US"/>
        </w:rPr>
        <w:t>labour</w:t>
      </w:r>
      <w:proofErr w:type="spellEnd"/>
      <w:r w:rsidRPr="00937F54">
        <w:rPr>
          <w:iCs/>
          <w:sz w:val="24"/>
          <w:szCs w:val="24"/>
          <w:lang w:val="en-US"/>
        </w:rPr>
        <w:t>, rent) in the Hong Kong and China markets. This comparison is essential for evaluating operational efficiency and cost management against industry-wide headwinds.</w:t>
      </w:r>
    </w:p>
    <w:p w14:paraId="022B7AD4" w14:textId="77777777" w:rsidR="00CD597E" w:rsidRPr="00937F54" w:rsidRDefault="00CD597E" w:rsidP="00E262FC">
      <w:pPr>
        <w:spacing w:line="360" w:lineRule="auto"/>
        <w:rPr>
          <w:iCs/>
          <w:sz w:val="24"/>
          <w:szCs w:val="24"/>
          <w:lang w:val="en-US"/>
        </w:rPr>
      </w:pPr>
      <w:r w:rsidRPr="00937F54">
        <w:rPr>
          <w:iCs/>
          <w:sz w:val="24"/>
          <w:szCs w:val="24"/>
          <w:lang w:val="en-US"/>
        </w:rPr>
        <w:t>Tai Hing Group Holdings Ltd. (6811.HK): A listed chain operating a nearly identical Hong Kong-style café (Cha Chaan Teng) model with 211 stores. Its direct competition for market share makes it a crucial comparator for assessing brand performance, pricing power, and growth strategy effectiveness within the same niche.</w:t>
      </w:r>
    </w:p>
    <w:p w14:paraId="5913CBFD" w14:textId="77777777" w:rsidR="00CD597E" w:rsidRDefault="00CD597E" w:rsidP="00E262FC">
      <w:pPr>
        <w:spacing w:line="360" w:lineRule="auto"/>
        <w:rPr>
          <w:iCs/>
          <w:sz w:val="24"/>
          <w:szCs w:val="24"/>
          <w:lang w:val="en-US"/>
        </w:rPr>
      </w:pPr>
      <w:r w:rsidRPr="00937F54">
        <w:rPr>
          <w:iCs/>
          <w:sz w:val="24"/>
          <w:szCs w:val="24"/>
          <w:lang w:val="en-US"/>
        </w:rPr>
        <w:lastRenderedPageBreak/>
        <w:t>This dual approach allows for a nuanced analysis, distinguishing between broader sector challenges and Tsui Wah's specific performance issues through metrics like margin trends, sales per square foot, and same-store sales growth.</w:t>
      </w:r>
    </w:p>
    <w:p w14:paraId="678592DC" w14:textId="77777777" w:rsidR="00CD597E" w:rsidRPr="00937F54" w:rsidRDefault="00CD597E" w:rsidP="00E262FC">
      <w:pPr>
        <w:spacing w:line="360" w:lineRule="auto"/>
        <w:rPr>
          <w:b/>
          <w:bCs/>
          <w:iCs/>
          <w:sz w:val="24"/>
          <w:szCs w:val="24"/>
          <w:lang w:val="en-US"/>
        </w:rPr>
      </w:pPr>
      <w:r w:rsidRPr="00937F54">
        <w:rPr>
          <w:b/>
          <w:bCs/>
          <w:iCs/>
          <w:sz w:val="24"/>
          <w:szCs w:val="24"/>
          <w:lang w:val="en-US"/>
        </w:rPr>
        <w:t>Peer Comparison Overview</w:t>
      </w:r>
    </w:p>
    <w:tbl>
      <w:tblPr>
        <w:tblW w:w="9440" w:type="dxa"/>
        <w:tblLook w:val="04A0" w:firstRow="1" w:lastRow="0" w:firstColumn="1" w:lastColumn="0" w:noHBand="0" w:noVBand="1"/>
      </w:tblPr>
      <w:tblGrid>
        <w:gridCol w:w="2180"/>
        <w:gridCol w:w="2420"/>
        <w:gridCol w:w="2420"/>
        <w:gridCol w:w="2420"/>
      </w:tblGrid>
      <w:tr w:rsidR="00532E6B" w:rsidRPr="00937F54" w14:paraId="2FE6785B" w14:textId="77777777" w:rsidTr="00532E6B">
        <w:trPr>
          <w:trHeight w:val="610"/>
        </w:trPr>
        <w:tc>
          <w:tcPr>
            <w:tcW w:w="2180" w:type="dxa"/>
            <w:tcBorders>
              <w:top w:val="single" w:sz="4" w:space="0" w:color="auto"/>
              <w:left w:val="single" w:sz="4" w:space="0" w:color="auto"/>
              <w:bottom w:val="single" w:sz="4" w:space="0" w:color="auto"/>
              <w:right w:val="single" w:sz="4" w:space="0" w:color="auto"/>
            </w:tcBorders>
            <w:shd w:val="clear" w:color="000000" w:fill="DAE9F8"/>
            <w:vAlign w:val="center"/>
            <w:hideMark/>
          </w:tcPr>
          <w:p w14:paraId="7EF11FA2" w14:textId="77777777" w:rsidR="00532E6B" w:rsidRPr="00937F54" w:rsidRDefault="00532E6B" w:rsidP="00E262FC">
            <w:pPr>
              <w:spacing w:line="360" w:lineRule="auto"/>
              <w:rPr>
                <w:rFonts w:eastAsia="Times New Roman"/>
                <w:b/>
                <w:bCs/>
                <w:color w:val="404040"/>
                <w:sz w:val="24"/>
                <w:szCs w:val="24"/>
                <w:lang w:val="en-US" w:eastAsia="zh-TW"/>
              </w:rPr>
            </w:pPr>
            <w:r w:rsidRPr="00937F54">
              <w:rPr>
                <w:rFonts w:eastAsia="Times New Roman"/>
                <w:b/>
                <w:bCs/>
                <w:iCs/>
                <w:color w:val="404040"/>
                <w:sz w:val="24"/>
                <w:szCs w:val="24"/>
                <w:lang w:val="en-US" w:eastAsia="zh-TW"/>
              </w:rPr>
              <w:t>Company Name (Stock Code)</w:t>
            </w:r>
          </w:p>
        </w:tc>
        <w:tc>
          <w:tcPr>
            <w:tcW w:w="2420" w:type="dxa"/>
            <w:tcBorders>
              <w:top w:val="single" w:sz="4" w:space="0" w:color="auto"/>
              <w:left w:val="nil"/>
              <w:bottom w:val="single" w:sz="4" w:space="0" w:color="auto"/>
              <w:right w:val="single" w:sz="4" w:space="0" w:color="auto"/>
            </w:tcBorders>
            <w:shd w:val="clear" w:color="000000" w:fill="DAE9F8"/>
            <w:vAlign w:val="center"/>
            <w:hideMark/>
          </w:tcPr>
          <w:p w14:paraId="0357845D" w14:textId="77777777" w:rsidR="00532E6B" w:rsidRPr="00937F54" w:rsidRDefault="00532E6B" w:rsidP="00E262FC">
            <w:pPr>
              <w:spacing w:line="360" w:lineRule="auto"/>
              <w:rPr>
                <w:rFonts w:eastAsia="Times New Roman"/>
                <w:b/>
                <w:bCs/>
                <w:color w:val="404040"/>
                <w:sz w:val="24"/>
                <w:szCs w:val="24"/>
                <w:lang w:val="en-US" w:eastAsia="zh-TW"/>
              </w:rPr>
            </w:pPr>
            <w:r w:rsidRPr="00937F54">
              <w:rPr>
                <w:rFonts w:eastAsia="Times New Roman"/>
                <w:b/>
                <w:bCs/>
                <w:iCs/>
                <w:color w:val="404040"/>
                <w:sz w:val="24"/>
                <w:szCs w:val="24"/>
                <w:lang w:val="en-US" w:eastAsia="zh-TW"/>
              </w:rPr>
              <w:t>Tsui Wah (1314.HK)</w:t>
            </w:r>
          </w:p>
        </w:tc>
        <w:tc>
          <w:tcPr>
            <w:tcW w:w="2420" w:type="dxa"/>
            <w:tcBorders>
              <w:top w:val="single" w:sz="4" w:space="0" w:color="auto"/>
              <w:left w:val="nil"/>
              <w:bottom w:val="single" w:sz="4" w:space="0" w:color="auto"/>
              <w:right w:val="single" w:sz="4" w:space="0" w:color="auto"/>
            </w:tcBorders>
            <w:shd w:val="clear" w:color="000000" w:fill="DAE9F8"/>
            <w:vAlign w:val="center"/>
            <w:hideMark/>
          </w:tcPr>
          <w:p w14:paraId="4F7D96A9" w14:textId="77777777" w:rsidR="00532E6B" w:rsidRPr="00937F54" w:rsidRDefault="00532E6B" w:rsidP="00E262FC">
            <w:pPr>
              <w:spacing w:line="360" w:lineRule="auto"/>
              <w:rPr>
                <w:rFonts w:eastAsia="Times New Roman"/>
                <w:b/>
                <w:bCs/>
                <w:color w:val="404040"/>
                <w:sz w:val="24"/>
                <w:szCs w:val="24"/>
                <w:lang w:val="en-US" w:eastAsia="zh-TW"/>
              </w:rPr>
            </w:pPr>
            <w:r w:rsidRPr="00937F54">
              <w:rPr>
                <w:rFonts w:eastAsia="Times New Roman"/>
                <w:b/>
                <w:bCs/>
                <w:iCs/>
                <w:color w:val="404040"/>
                <w:sz w:val="24"/>
                <w:szCs w:val="24"/>
                <w:lang w:val="en-US" w:eastAsia="zh-TW"/>
              </w:rPr>
              <w:t>Fairwood Holdings (52.HK)</w:t>
            </w:r>
          </w:p>
        </w:tc>
        <w:tc>
          <w:tcPr>
            <w:tcW w:w="2420" w:type="dxa"/>
            <w:tcBorders>
              <w:top w:val="single" w:sz="4" w:space="0" w:color="auto"/>
              <w:left w:val="nil"/>
              <w:bottom w:val="single" w:sz="4" w:space="0" w:color="auto"/>
              <w:right w:val="single" w:sz="4" w:space="0" w:color="auto"/>
            </w:tcBorders>
            <w:shd w:val="clear" w:color="000000" w:fill="DAE9F8"/>
            <w:vAlign w:val="center"/>
            <w:hideMark/>
          </w:tcPr>
          <w:p w14:paraId="2009B80C" w14:textId="77777777" w:rsidR="00532E6B" w:rsidRPr="00937F54" w:rsidRDefault="00532E6B" w:rsidP="00E262FC">
            <w:pPr>
              <w:spacing w:line="360" w:lineRule="auto"/>
              <w:rPr>
                <w:rFonts w:eastAsia="Times New Roman"/>
                <w:b/>
                <w:bCs/>
                <w:color w:val="404040"/>
                <w:sz w:val="24"/>
                <w:szCs w:val="24"/>
                <w:lang w:val="en-US" w:eastAsia="zh-TW"/>
              </w:rPr>
            </w:pPr>
            <w:r w:rsidRPr="00937F54">
              <w:rPr>
                <w:rFonts w:eastAsia="Times New Roman"/>
                <w:b/>
                <w:bCs/>
                <w:iCs/>
                <w:color w:val="404040"/>
                <w:sz w:val="24"/>
                <w:szCs w:val="24"/>
                <w:lang w:val="en-US" w:eastAsia="zh-TW"/>
              </w:rPr>
              <w:t>Tai Hing Group (6811.HK)</w:t>
            </w:r>
          </w:p>
        </w:tc>
      </w:tr>
      <w:tr w:rsidR="00532E6B" w:rsidRPr="00937F54" w14:paraId="24EDDB85" w14:textId="77777777" w:rsidTr="00532E6B">
        <w:trPr>
          <w:trHeight w:val="610"/>
        </w:trPr>
        <w:tc>
          <w:tcPr>
            <w:tcW w:w="2180" w:type="dxa"/>
            <w:tcBorders>
              <w:top w:val="nil"/>
              <w:left w:val="single" w:sz="4" w:space="0" w:color="auto"/>
              <w:bottom w:val="single" w:sz="4" w:space="0" w:color="auto"/>
              <w:right w:val="single" w:sz="4" w:space="0" w:color="auto"/>
            </w:tcBorders>
            <w:shd w:val="clear" w:color="000000" w:fill="DAE9F8"/>
            <w:vAlign w:val="center"/>
            <w:hideMark/>
          </w:tcPr>
          <w:p w14:paraId="37A4064A" w14:textId="77777777" w:rsidR="00532E6B" w:rsidRPr="00937F54" w:rsidRDefault="00532E6B" w:rsidP="00E262FC">
            <w:pPr>
              <w:spacing w:line="360" w:lineRule="auto"/>
              <w:rPr>
                <w:rFonts w:eastAsia="Times New Roman"/>
                <w:b/>
                <w:bCs/>
                <w:color w:val="404040"/>
                <w:sz w:val="24"/>
                <w:szCs w:val="24"/>
                <w:lang w:val="en-US" w:eastAsia="zh-TW"/>
              </w:rPr>
            </w:pPr>
            <w:r w:rsidRPr="00937F54">
              <w:rPr>
                <w:rFonts w:eastAsia="Times New Roman"/>
                <w:b/>
                <w:bCs/>
                <w:iCs/>
                <w:color w:val="404040"/>
                <w:sz w:val="24"/>
                <w:szCs w:val="24"/>
                <w:lang w:val="en-US" w:eastAsia="zh-TW"/>
              </w:rPr>
              <w:t>Business Nature</w:t>
            </w:r>
          </w:p>
        </w:tc>
        <w:tc>
          <w:tcPr>
            <w:tcW w:w="2420" w:type="dxa"/>
            <w:tcBorders>
              <w:top w:val="nil"/>
              <w:left w:val="nil"/>
              <w:bottom w:val="single" w:sz="4" w:space="0" w:color="auto"/>
              <w:right w:val="single" w:sz="4" w:space="0" w:color="auto"/>
            </w:tcBorders>
            <w:shd w:val="clear" w:color="000000" w:fill="DAE9F8"/>
            <w:vAlign w:val="center"/>
            <w:hideMark/>
          </w:tcPr>
          <w:p w14:paraId="2A920672" w14:textId="77777777" w:rsidR="00532E6B" w:rsidRPr="00937F54" w:rsidRDefault="00532E6B" w:rsidP="00E262FC">
            <w:pPr>
              <w:spacing w:line="360" w:lineRule="auto"/>
              <w:jc w:val="center"/>
              <w:rPr>
                <w:rFonts w:eastAsia="Times New Roman"/>
                <w:color w:val="404040"/>
                <w:sz w:val="24"/>
                <w:szCs w:val="24"/>
                <w:lang w:val="en-US" w:eastAsia="zh-TW"/>
              </w:rPr>
            </w:pPr>
            <w:r w:rsidRPr="00937F54">
              <w:rPr>
                <w:rFonts w:eastAsia="Times New Roman"/>
                <w:iCs/>
                <w:color w:val="404040"/>
                <w:sz w:val="24"/>
                <w:szCs w:val="24"/>
                <w:lang w:val="en-US" w:eastAsia="zh-TW"/>
              </w:rPr>
              <w:t>HK-Style Tea Restaurant Chain</w:t>
            </w:r>
          </w:p>
        </w:tc>
        <w:tc>
          <w:tcPr>
            <w:tcW w:w="2420" w:type="dxa"/>
            <w:tcBorders>
              <w:top w:val="nil"/>
              <w:left w:val="nil"/>
              <w:bottom w:val="single" w:sz="4" w:space="0" w:color="auto"/>
              <w:right w:val="single" w:sz="4" w:space="0" w:color="auto"/>
            </w:tcBorders>
            <w:shd w:val="clear" w:color="000000" w:fill="DAE9F8"/>
            <w:vAlign w:val="center"/>
            <w:hideMark/>
          </w:tcPr>
          <w:p w14:paraId="3F0E1AC8" w14:textId="77777777" w:rsidR="00532E6B" w:rsidRPr="00937F54" w:rsidRDefault="00532E6B" w:rsidP="00E262FC">
            <w:pPr>
              <w:spacing w:line="360" w:lineRule="auto"/>
              <w:jc w:val="center"/>
              <w:rPr>
                <w:rFonts w:eastAsia="Times New Roman"/>
                <w:color w:val="404040"/>
                <w:sz w:val="24"/>
                <w:szCs w:val="24"/>
                <w:lang w:val="en-US" w:eastAsia="zh-TW"/>
              </w:rPr>
            </w:pPr>
            <w:r w:rsidRPr="00937F54">
              <w:rPr>
                <w:rFonts w:eastAsia="Times New Roman"/>
                <w:iCs/>
                <w:color w:val="404040"/>
                <w:sz w:val="24"/>
                <w:szCs w:val="24"/>
                <w:lang w:val="en-US" w:eastAsia="zh-TW"/>
              </w:rPr>
              <w:t>Fast-Food &amp; Cafe Chain</w:t>
            </w:r>
          </w:p>
        </w:tc>
        <w:tc>
          <w:tcPr>
            <w:tcW w:w="2420" w:type="dxa"/>
            <w:tcBorders>
              <w:top w:val="nil"/>
              <w:left w:val="nil"/>
              <w:bottom w:val="single" w:sz="4" w:space="0" w:color="auto"/>
              <w:right w:val="single" w:sz="4" w:space="0" w:color="auto"/>
            </w:tcBorders>
            <w:shd w:val="clear" w:color="000000" w:fill="DAE9F8"/>
            <w:vAlign w:val="center"/>
            <w:hideMark/>
          </w:tcPr>
          <w:p w14:paraId="1B263C8E" w14:textId="77777777" w:rsidR="00532E6B" w:rsidRPr="00937F54" w:rsidRDefault="00532E6B" w:rsidP="00E262FC">
            <w:pPr>
              <w:spacing w:line="360" w:lineRule="auto"/>
              <w:jc w:val="center"/>
              <w:rPr>
                <w:rFonts w:eastAsia="Times New Roman"/>
                <w:color w:val="404040"/>
                <w:sz w:val="24"/>
                <w:szCs w:val="24"/>
                <w:lang w:val="en-US" w:eastAsia="zh-TW"/>
              </w:rPr>
            </w:pPr>
            <w:r w:rsidRPr="00937F54">
              <w:rPr>
                <w:rFonts w:eastAsia="Times New Roman"/>
                <w:iCs/>
                <w:color w:val="404040"/>
                <w:sz w:val="24"/>
                <w:szCs w:val="24"/>
                <w:lang w:val="en-US" w:eastAsia="zh-TW"/>
              </w:rPr>
              <w:t>HK-Style Tea Restaurant Chain</w:t>
            </w:r>
          </w:p>
        </w:tc>
      </w:tr>
      <w:tr w:rsidR="00532E6B" w:rsidRPr="00937F54" w14:paraId="3D9A5847" w14:textId="77777777" w:rsidTr="00532E6B">
        <w:trPr>
          <w:trHeight w:val="610"/>
        </w:trPr>
        <w:tc>
          <w:tcPr>
            <w:tcW w:w="2180" w:type="dxa"/>
            <w:tcBorders>
              <w:top w:val="nil"/>
              <w:left w:val="single" w:sz="4" w:space="0" w:color="auto"/>
              <w:bottom w:val="single" w:sz="4" w:space="0" w:color="auto"/>
              <w:right w:val="single" w:sz="4" w:space="0" w:color="auto"/>
            </w:tcBorders>
            <w:shd w:val="clear" w:color="000000" w:fill="DAE9F8"/>
            <w:vAlign w:val="center"/>
            <w:hideMark/>
          </w:tcPr>
          <w:p w14:paraId="540B3F2D" w14:textId="77777777" w:rsidR="00532E6B" w:rsidRPr="00937F54" w:rsidRDefault="00532E6B" w:rsidP="00E262FC">
            <w:pPr>
              <w:spacing w:line="360" w:lineRule="auto"/>
              <w:rPr>
                <w:rFonts w:eastAsia="Times New Roman"/>
                <w:b/>
                <w:bCs/>
                <w:color w:val="404040"/>
                <w:sz w:val="24"/>
                <w:szCs w:val="24"/>
                <w:lang w:val="en-US" w:eastAsia="zh-TW"/>
              </w:rPr>
            </w:pPr>
            <w:r w:rsidRPr="00937F54">
              <w:rPr>
                <w:rFonts w:eastAsia="Times New Roman"/>
                <w:b/>
                <w:bCs/>
                <w:iCs/>
                <w:color w:val="404040"/>
                <w:sz w:val="24"/>
                <w:szCs w:val="24"/>
                <w:lang w:val="en-US" w:eastAsia="zh-TW"/>
              </w:rPr>
              <w:t>Primary Market</w:t>
            </w:r>
          </w:p>
        </w:tc>
        <w:tc>
          <w:tcPr>
            <w:tcW w:w="2420" w:type="dxa"/>
            <w:tcBorders>
              <w:top w:val="nil"/>
              <w:left w:val="nil"/>
              <w:bottom w:val="single" w:sz="4" w:space="0" w:color="auto"/>
              <w:right w:val="single" w:sz="4" w:space="0" w:color="auto"/>
            </w:tcBorders>
            <w:shd w:val="clear" w:color="000000" w:fill="DAE9F8"/>
            <w:vAlign w:val="center"/>
            <w:hideMark/>
          </w:tcPr>
          <w:p w14:paraId="4E839496" w14:textId="77777777" w:rsidR="00532E6B" w:rsidRPr="00937F54" w:rsidRDefault="00532E6B" w:rsidP="00E262FC">
            <w:pPr>
              <w:spacing w:line="360" w:lineRule="auto"/>
              <w:jc w:val="center"/>
              <w:rPr>
                <w:rFonts w:eastAsia="Times New Roman"/>
                <w:color w:val="404040"/>
                <w:sz w:val="24"/>
                <w:szCs w:val="24"/>
                <w:lang w:val="en-US" w:eastAsia="zh-TW"/>
              </w:rPr>
            </w:pPr>
            <w:r w:rsidRPr="00937F54">
              <w:rPr>
                <w:rFonts w:eastAsia="Times New Roman"/>
                <w:iCs/>
                <w:color w:val="404040"/>
                <w:sz w:val="24"/>
                <w:szCs w:val="24"/>
                <w:lang w:val="en-US" w:eastAsia="zh-TW"/>
              </w:rPr>
              <w:t>HK, Macau, Mainland China</w:t>
            </w:r>
          </w:p>
        </w:tc>
        <w:tc>
          <w:tcPr>
            <w:tcW w:w="2420" w:type="dxa"/>
            <w:tcBorders>
              <w:top w:val="nil"/>
              <w:left w:val="nil"/>
              <w:bottom w:val="single" w:sz="4" w:space="0" w:color="auto"/>
              <w:right w:val="single" w:sz="4" w:space="0" w:color="auto"/>
            </w:tcBorders>
            <w:shd w:val="clear" w:color="000000" w:fill="DAE9F8"/>
            <w:vAlign w:val="center"/>
            <w:hideMark/>
          </w:tcPr>
          <w:p w14:paraId="28E82645" w14:textId="77777777" w:rsidR="00532E6B" w:rsidRPr="00937F54" w:rsidRDefault="00532E6B" w:rsidP="00E262FC">
            <w:pPr>
              <w:spacing w:line="360" w:lineRule="auto"/>
              <w:jc w:val="center"/>
              <w:rPr>
                <w:rFonts w:eastAsia="Times New Roman"/>
                <w:color w:val="404040"/>
                <w:sz w:val="24"/>
                <w:szCs w:val="24"/>
                <w:lang w:val="en-US" w:eastAsia="zh-TW"/>
              </w:rPr>
            </w:pPr>
            <w:r w:rsidRPr="00937F54">
              <w:rPr>
                <w:rFonts w:eastAsia="Times New Roman"/>
                <w:iCs/>
                <w:color w:val="404040"/>
                <w:sz w:val="24"/>
                <w:szCs w:val="24"/>
                <w:lang w:val="en-US" w:eastAsia="zh-TW"/>
              </w:rPr>
              <w:t>Hong Kong, Mainland China</w:t>
            </w:r>
          </w:p>
        </w:tc>
        <w:tc>
          <w:tcPr>
            <w:tcW w:w="2420" w:type="dxa"/>
            <w:tcBorders>
              <w:top w:val="nil"/>
              <w:left w:val="nil"/>
              <w:bottom w:val="single" w:sz="4" w:space="0" w:color="auto"/>
              <w:right w:val="single" w:sz="4" w:space="0" w:color="auto"/>
            </w:tcBorders>
            <w:shd w:val="clear" w:color="000000" w:fill="DAE9F8"/>
            <w:vAlign w:val="center"/>
            <w:hideMark/>
          </w:tcPr>
          <w:p w14:paraId="6D10EE7E" w14:textId="77777777" w:rsidR="00532E6B" w:rsidRPr="00937F54" w:rsidRDefault="00532E6B" w:rsidP="00E262FC">
            <w:pPr>
              <w:spacing w:line="360" w:lineRule="auto"/>
              <w:jc w:val="center"/>
              <w:rPr>
                <w:rFonts w:eastAsia="Times New Roman"/>
                <w:color w:val="404040"/>
                <w:sz w:val="24"/>
                <w:szCs w:val="24"/>
                <w:lang w:val="en-US" w:eastAsia="zh-TW"/>
              </w:rPr>
            </w:pPr>
            <w:r w:rsidRPr="00937F54">
              <w:rPr>
                <w:rFonts w:eastAsia="Times New Roman"/>
                <w:iCs/>
                <w:color w:val="404040"/>
                <w:sz w:val="24"/>
                <w:szCs w:val="24"/>
                <w:lang w:val="en-US" w:eastAsia="zh-TW"/>
              </w:rPr>
              <w:t>HK, Mainland China</w:t>
            </w:r>
          </w:p>
        </w:tc>
      </w:tr>
      <w:tr w:rsidR="00532E6B" w:rsidRPr="00937F54" w14:paraId="2C00E272" w14:textId="77777777" w:rsidTr="00532E6B">
        <w:trPr>
          <w:trHeight w:val="610"/>
        </w:trPr>
        <w:tc>
          <w:tcPr>
            <w:tcW w:w="2180" w:type="dxa"/>
            <w:tcBorders>
              <w:top w:val="nil"/>
              <w:left w:val="single" w:sz="4" w:space="0" w:color="auto"/>
              <w:bottom w:val="single" w:sz="4" w:space="0" w:color="auto"/>
              <w:right w:val="single" w:sz="4" w:space="0" w:color="auto"/>
            </w:tcBorders>
            <w:shd w:val="clear" w:color="000000" w:fill="DAE9F8"/>
            <w:vAlign w:val="center"/>
            <w:hideMark/>
          </w:tcPr>
          <w:p w14:paraId="6539630C" w14:textId="77777777" w:rsidR="00532E6B" w:rsidRPr="00937F54" w:rsidRDefault="00532E6B" w:rsidP="00E262FC">
            <w:pPr>
              <w:spacing w:line="360" w:lineRule="auto"/>
              <w:rPr>
                <w:rFonts w:eastAsia="Times New Roman"/>
                <w:b/>
                <w:bCs/>
                <w:color w:val="404040"/>
                <w:sz w:val="24"/>
                <w:szCs w:val="24"/>
                <w:lang w:val="en-US" w:eastAsia="zh-TW"/>
              </w:rPr>
            </w:pPr>
            <w:r w:rsidRPr="00937F54">
              <w:rPr>
                <w:rFonts w:eastAsia="Times New Roman"/>
                <w:b/>
                <w:bCs/>
                <w:iCs/>
                <w:color w:val="404040"/>
                <w:sz w:val="24"/>
                <w:szCs w:val="24"/>
                <w:lang w:val="en-US" w:eastAsia="zh-TW"/>
              </w:rPr>
              <w:t>Market Cap (HKD)</w:t>
            </w:r>
          </w:p>
        </w:tc>
        <w:tc>
          <w:tcPr>
            <w:tcW w:w="2420" w:type="dxa"/>
            <w:tcBorders>
              <w:top w:val="nil"/>
              <w:left w:val="nil"/>
              <w:bottom w:val="single" w:sz="4" w:space="0" w:color="auto"/>
              <w:right w:val="single" w:sz="4" w:space="0" w:color="auto"/>
            </w:tcBorders>
            <w:shd w:val="clear" w:color="000000" w:fill="DAE9F8"/>
            <w:vAlign w:val="center"/>
            <w:hideMark/>
          </w:tcPr>
          <w:p w14:paraId="6599B998" w14:textId="77777777" w:rsidR="00532E6B" w:rsidRPr="00937F54" w:rsidRDefault="00532E6B" w:rsidP="00E262FC">
            <w:pPr>
              <w:spacing w:line="360" w:lineRule="auto"/>
              <w:jc w:val="center"/>
              <w:rPr>
                <w:rFonts w:eastAsia="Times New Roman"/>
                <w:color w:val="404040"/>
                <w:sz w:val="24"/>
                <w:szCs w:val="24"/>
                <w:lang w:val="en-US" w:eastAsia="zh-TW"/>
              </w:rPr>
            </w:pPr>
            <w:r w:rsidRPr="00937F54">
              <w:rPr>
                <w:rFonts w:eastAsia="Times New Roman"/>
                <w:iCs/>
                <w:color w:val="404040"/>
                <w:sz w:val="24"/>
                <w:szCs w:val="24"/>
                <w:lang w:val="en-US" w:eastAsia="zh-TW"/>
              </w:rPr>
              <w:t>282.2M</w:t>
            </w:r>
          </w:p>
        </w:tc>
        <w:tc>
          <w:tcPr>
            <w:tcW w:w="2420" w:type="dxa"/>
            <w:tcBorders>
              <w:top w:val="nil"/>
              <w:left w:val="nil"/>
              <w:bottom w:val="single" w:sz="4" w:space="0" w:color="auto"/>
              <w:right w:val="single" w:sz="4" w:space="0" w:color="auto"/>
            </w:tcBorders>
            <w:shd w:val="clear" w:color="000000" w:fill="DAE9F8"/>
            <w:vAlign w:val="center"/>
            <w:hideMark/>
          </w:tcPr>
          <w:p w14:paraId="5571EE2F" w14:textId="77777777" w:rsidR="00532E6B" w:rsidRPr="00937F54" w:rsidRDefault="00532E6B" w:rsidP="00E262FC">
            <w:pPr>
              <w:spacing w:line="360" w:lineRule="auto"/>
              <w:jc w:val="center"/>
              <w:rPr>
                <w:rFonts w:eastAsia="Times New Roman"/>
                <w:color w:val="404040"/>
                <w:sz w:val="24"/>
                <w:szCs w:val="24"/>
                <w:lang w:val="en-US" w:eastAsia="zh-TW"/>
              </w:rPr>
            </w:pPr>
            <w:r w:rsidRPr="00937F54">
              <w:rPr>
                <w:rFonts w:eastAsia="Times New Roman"/>
                <w:iCs/>
                <w:color w:val="404040"/>
                <w:sz w:val="24"/>
                <w:szCs w:val="24"/>
                <w:lang w:val="en-US" w:eastAsia="zh-TW"/>
              </w:rPr>
              <w:t>724.2M</w:t>
            </w:r>
          </w:p>
        </w:tc>
        <w:tc>
          <w:tcPr>
            <w:tcW w:w="2420" w:type="dxa"/>
            <w:tcBorders>
              <w:top w:val="nil"/>
              <w:left w:val="nil"/>
              <w:bottom w:val="single" w:sz="4" w:space="0" w:color="auto"/>
              <w:right w:val="single" w:sz="4" w:space="0" w:color="auto"/>
            </w:tcBorders>
            <w:shd w:val="clear" w:color="000000" w:fill="DAE9F8"/>
            <w:vAlign w:val="center"/>
            <w:hideMark/>
          </w:tcPr>
          <w:p w14:paraId="0ECB657B" w14:textId="77777777" w:rsidR="00532E6B" w:rsidRPr="00937F54" w:rsidRDefault="00532E6B" w:rsidP="00E262FC">
            <w:pPr>
              <w:spacing w:line="360" w:lineRule="auto"/>
              <w:jc w:val="center"/>
              <w:rPr>
                <w:rFonts w:eastAsia="Times New Roman"/>
                <w:color w:val="404040"/>
                <w:sz w:val="24"/>
                <w:szCs w:val="24"/>
                <w:lang w:val="en-US" w:eastAsia="zh-TW"/>
              </w:rPr>
            </w:pPr>
            <w:r w:rsidRPr="00937F54">
              <w:rPr>
                <w:rFonts w:eastAsia="Times New Roman"/>
                <w:iCs/>
                <w:color w:val="404040"/>
                <w:sz w:val="24"/>
                <w:szCs w:val="24"/>
                <w:lang w:val="en-US" w:eastAsia="zh-TW"/>
              </w:rPr>
              <w:t>1,045.6M</w:t>
            </w:r>
          </w:p>
        </w:tc>
      </w:tr>
      <w:tr w:rsidR="00532E6B" w:rsidRPr="00937F54" w14:paraId="558CDEF3" w14:textId="77777777" w:rsidTr="00532E6B">
        <w:trPr>
          <w:trHeight w:val="610"/>
        </w:trPr>
        <w:tc>
          <w:tcPr>
            <w:tcW w:w="2180" w:type="dxa"/>
            <w:tcBorders>
              <w:top w:val="nil"/>
              <w:left w:val="single" w:sz="4" w:space="0" w:color="auto"/>
              <w:bottom w:val="single" w:sz="4" w:space="0" w:color="auto"/>
              <w:right w:val="single" w:sz="4" w:space="0" w:color="auto"/>
            </w:tcBorders>
            <w:shd w:val="clear" w:color="000000" w:fill="DAE9F8"/>
            <w:vAlign w:val="center"/>
            <w:hideMark/>
          </w:tcPr>
          <w:p w14:paraId="38FC032F" w14:textId="77777777" w:rsidR="00532E6B" w:rsidRPr="00937F54" w:rsidRDefault="00532E6B" w:rsidP="00E262FC">
            <w:pPr>
              <w:spacing w:line="360" w:lineRule="auto"/>
              <w:rPr>
                <w:rFonts w:eastAsia="Times New Roman"/>
                <w:b/>
                <w:bCs/>
                <w:color w:val="404040"/>
                <w:sz w:val="24"/>
                <w:szCs w:val="24"/>
                <w:lang w:val="en-US" w:eastAsia="zh-TW"/>
              </w:rPr>
            </w:pPr>
            <w:r w:rsidRPr="00937F54">
              <w:rPr>
                <w:rFonts w:eastAsia="Times New Roman"/>
                <w:b/>
                <w:bCs/>
                <w:iCs/>
                <w:color w:val="404040"/>
                <w:sz w:val="24"/>
                <w:szCs w:val="24"/>
                <w:lang w:val="en-US" w:eastAsia="zh-TW"/>
              </w:rPr>
              <w:t>P/E Ratio (Latest)</w:t>
            </w:r>
          </w:p>
        </w:tc>
        <w:tc>
          <w:tcPr>
            <w:tcW w:w="2420" w:type="dxa"/>
            <w:tcBorders>
              <w:top w:val="nil"/>
              <w:left w:val="nil"/>
              <w:bottom w:val="single" w:sz="4" w:space="0" w:color="auto"/>
              <w:right w:val="single" w:sz="4" w:space="0" w:color="auto"/>
            </w:tcBorders>
            <w:shd w:val="clear" w:color="000000" w:fill="DAE9F8"/>
            <w:vAlign w:val="center"/>
            <w:hideMark/>
          </w:tcPr>
          <w:p w14:paraId="3712FEC3" w14:textId="77777777" w:rsidR="00532E6B" w:rsidRPr="00937F54" w:rsidRDefault="00532E6B" w:rsidP="00E262FC">
            <w:pPr>
              <w:spacing w:line="360" w:lineRule="auto"/>
              <w:jc w:val="center"/>
              <w:rPr>
                <w:rFonts w:eastAsia="Times New Roman"/>
                <w:color w:val="404040"/>
                <w:sz w:val="24"/>
                <w:szCs w:val="24"/>
                <w:lang w:val="en-US" w:eastAsia="zh-TW"/>
              </w:rPr>
            </w:pPr>
            <w:r w:rsidRPr="00937F54">
              <w:rPr>
                <w:rFonts w:eastAsia="Times New Roman"/>
                <w:iCs/>
                <w:color w:val="404040"/>
                <w:sz w:val="24"/>
                <w:szCs w:val="24"/>
                <w:lang w:val="en-US" w:eastAsia="zh-TW"/>
              </w:rPr>
              <w:t>22.9</w:t>
            </w:r>
          </w:p>
        </w:tc>
        <w:tc>
          <w:tcPr>
            <w:tcW w:w="2420" w:type="dxa"/>
            <w:tcBorders>
              <w:top w:val="nil"/>
              <w:left w:val="nil"/>
              <w:bottom w:val="single" w:sz="4" w:space="0" w:color="auto"/>
              <w:right w:val="single" w:sz="4" w:space="0" w:color="auto"/>
            </w:tcBorders>
            <w:shd w:val="clear" w:color="000000" w:fill="DAE9F8"/>
            <w:vAlign w:val="center"/>
            <w:hideMark/>
          </w:tcPr>
          <w:p w14:paraId="6EC44CC3" w14:textId="77777777" w:rsidR="00532E6B" w:rsidRPr="00937F54" w:rsidRDefault="00532E6B" w:rsidP="00E262FC">
            <w:pPr>
              <w:spacing w:line="360" w:lineRule="auto"/>
              <w:jc w:val="center"/>
              <w:rPr>
                <w:rFonts w:eastAsia="Times New Roman"/>
                <w:color w:val="404040"/>
                <w:sz w:val="24"/>
                <w:szCs w:val="24"/>
                <w:lang w:val="en-US" w:eastAsia="zh-TW"/>
              </w:rPr>
            </w:pPr>
            <w:r w:rsidRPr="00937F54">
              <w:rPr>
                <w:rFonts w:eastAsia="Times New Roman"/>
                <w:iCs/>
                <w:color w:val="404040"/>
                <w:sz w:val="24"/>
                <w:szCs w:val="24"/>
                <w:lang w:val="en-US" w:eastAsia="zh-TW"/>
              </w:rPr>
              <w:t>20.4</w:t>
            </w:r>
          </w:p>
        </w:tc>
        <w:tc>
          <w:tcPr>
            <w:tcW w:w="2420" w:type="dxa"/>
            <w:tcBorders>
              <w:top w:val="nil"/>
              <w:left w:val="nil"/>
              <w:bottom w:val="single" w:sz="4" w:space="0" w:color="auto"/>
              <w:right w:val="single" w:sz="4" w:space="0" w:color="auto"/>
            </w:tcBorders>
            <w:shd w:val="clear" w:color="000000" w:fill="DAE9F8"/>
            <w:vAlign w:val="center"/>
            <w:hideMark/>
          </w:tcPr>
          <w:p w14:paraId="7BC1D171" w14:textId="77777777" w:rsidR="00532E6B" w:rsidRPr="00937F54" w:rsidRDefault="00532E6B" w:rsidP="00E262FC">
            <w:pPr>
              <w:spacing w:line="360" w:lineRule="auto"/>
              <w:jc w:val="center"/>
              <w:rPr>
                <w:rFonts w:eastAsia="Times New Roman"/>
                <w:color w:val="404040"/>
                <w:sz w:val="24"/>
                <w:szCs w:val="24"/>
                <w:lang w:val="en-US" w:eastAsia="zh-TW"/>
              </w:rPr>
            </w:pPr>
            <w:r w:rsidRPr="00937F54">
              <w:rPr>
                <w:rFonts w:eastAsia="Times New Roman"/>
                <w:iCs/>
                <w:color w:val="404040"/>
                <w:sz w:val="24"/>
                <w:szCs w:val="24"/>
                <w:lang w:val="en-US" w:eastAsia="zh-TW"/>
              </w:rPr>
              <w:t>16.7</w:t>
            </w:r>
          </w:p>
        </w:tc>
      </w:tr>
      <w:tr w:rsidR="00532E6B" w:rsidRPr="00937F54" w14:paraId="6CB3D92E" w14:textId="77777777" w:rsidTr="00532E6B">
        <w:trPr>
          <w:trHeight w:val="610"/>
        </w:trPr>
        <w:tc>
          <w:tcPr>
            <w:tcW w:w="2180" w:type="dxa"/>
            <w:tcBorders>
              <w:top w:val="nil"/>
              <w:left w:val="single" w:sz="4" w:space="0" w:color="auto"/>
              <w:bottom w:val="single" w:sz="4" w:space="0" w:color="auto"/>
              <w:right w:val="single" w:sz="4" w:space="0" w:color="auto"/>
            </w:tcBorders>
            <w:shd w:val="clear" w:color="000000" w:fill="DAE9F8"/>
            <w:vAlign w:val="center"/>
            <w:hideMark/>
          </w:tcPr>
          <w:p w14:paraId="1851F6B5" w14:textId="77777777" w:rsidR="00532E6B" w:rsidRPr="00937F54" w:rsidRDefault="00532E6B" w:rsidP="00E262FC">
            <w:pPr>
              <w:spacing w:line="360" w:lineRule="auto"/>
              <w:rPr>
                <w:rFonts w:eastAsia="Times New Roman"/>
                <w:b/>
                <w:bCs/>
                <w:color w:val="404040"/>
                <w:sz w:val="24"/>
                <w:szCs w:val="24"/>
                <w:lang w:val="en-US" w:eastAsia="zh-TW"/>
              </w:rPr>
            </w:pPr>
            <w:r w:rsidRPr="00937F54">
              <w:rPr>
                <w:rFonts w:eastAsia="Times New Roman"/>
                <w:b/>
                <w:bCs/>
                <w:iCs/>
                <w:color w:val="404040"/>
                <w:sz w:val="24"/>
                <w:szCs w:val="24"/>
                <w:lang w:val="en-US" w:eastAsia="zh-TW"/>
              </w:rPr>
              <w:t>Number of Stores</w:t>
            </w:r>
          </w:p>
        </w:tc>
        <w:tc>
          <w:tcPr>
            <w:tcW w:w="2420" w:type="dxa"/>
            <w:tcBorders>
              <w:top w:val="nil"/>
              <w:left w:val="nil"/>
              <w:bottom w:val="single" w:sz="4" w:space="0" w:color="auto"/>
              <w:right w:val="single" w:sz="4" w:space="0" w:color="auto"/>
            </w:tcBorders>
            <w:shd w:val="clear" w:color="000000" w:fill="DAE9F8"/>
            <w:vAlign w:val="center"/>
            <w:hideMark/>
          </w:tcPr>
          <w:p w14:paraId="1B723CD9" w14:textId="77777777" w:rsidR="00532E6B" w:rsidRPr="00937F54" w:rsidRDefault="00532E6B" w:rsidP="00E262FC">
            <w:pPr>
              <w:spacing w:line="360" w:lineRule="auto"/>
              <w:jc w:val="center"/>
              <w:rPr>
                <w:rFonts w:eastAsia="Times New Roman"/>
                <w:color w:val="404040"/>
                <w:sz w:val="24"/>
                <w:szCs w:val="24"/>
                <w:lang w:val="en-US" w:eastAsia="zh-TW"/>
              </w:rPr>
            </w:pPr>
            <w:r w:rsidRPr="00937F54">
              <w:rPr>
                <w:rFonts w:eastAsia="Times New Roman"/>
                <w:iCs/>
                <w:color w:val="404040"/>
                <w:sz w:val="24"/>
                <w:szCs w:val="24"/>
                <w:lang w:val="en-US" w:eastAsia="zh-TW"/>
              </w:rPr>
              <w:t>72</w:t>
            </w:r>
          </w:p>
        </w:tc>
        <w:tc>
          <w:tcPr>
            <w:tcW w:w="2420" w:type="dxa"/>
            <w:tcBorders>
              <w:top w:val="nil"/>
              <w:left w:val="nil"/>
              <w:bottom w:val="single" w:sz="4" w:space="0" w:color="auto"/>
              <w:right w:val="single" w:sz="4" w:space="0" w:color="auto"/>
            </w:tcBorders>
            <w:shd w:val="clear" w:color="000000" w:fill="DAE9F8"/>
            <w:vAlign w:val="center"/>
            <w:hideMark/>
          </w:tcPr>
          <w:p w14:paraId="08950210" w14:textId="77777777" w:rsidR="00532E6B" w:rsidRPr="00937F54" w:rsidRDefault="00532E6B" w:rsidP="00E262FC">
            <w:pPr>
              <w:spacing w:line="360" w:lineRule="auto"/>
              <w:jc w:val="center"/>
              <w:rPr>
                <w:rFonts w:eastAsia="Times New Roman"/>
                <w:color w:val="404040"/>
                <w:sz w:val="24"/>
                <w:szCs w:val="24"/>
                <w:lang w:val="en-US" w:eastAsia="zh-TW"/>
              </w:rPr>
            </w:pPr>
            <w:r w:rsidRPr="00937F54">
              <w:rPr>
                <w:rFonts w:eastAsia="Times New Roman"/>
                <w:iCs/>
                <w:color w:val="404040"/>
                <w:sz w:val="24"/>
                <w:szCs w:val="24"/>
                <w:lang w:val="en-US" w:eastAsia="zh-TW"/>
              </w:rPr>
              <w:t>176</w:t>
            </w:r>
          </w:p>
        </w:tc>
        <w:tc>
          <w:tcPr>
            <w:tcW w:w="2420" w:type="dxa"/>
            <w:tcBorders>
              <w:top w:val="nil"/>
              <w:left w:val="nil"/>
              <w:bottom w:val="single" w:sz="4" w:space="0" w:color="auto"/>
              <w:right w:val="single" w:sz="4" w:space="0" w:color="auto"/>
            </w:tcBorders>
            <w:shd w:val="clear" w:color="000000" w:fill="DAE9F8"/>
            <w:vAlign w:val="center"/>
            <w:hideMark/>
          </w:tcPr>
          <w:p w14:paraId="577CE040" w14:textId="77777777" w:rsidR="00532E6B" w:rsidRPr="00937F54" w:rsidRDefault="00532E6B" w:rsidP="00E262FC">
            <w:pPr>
              <w:spacing w:line="360" w:lineRule="auto"/>
              <w:jc w:val="center"/>
              <w:rPr>
                <w:rFonts w:eastAsia="Times New Roman"/>
                <w:color w:val="404040"/>
                <w:sz w:val="24"/>
                <w:szCs w:val="24"/>
                <w:lang w:val="en-US" w:eastAsia="zh-TW"/>
              </w:rPr>
            </w:pPr>
            <w:r w:rsidRPr="00937F54">
              <w:rPr>
                <w:rFonts w:eastAsia="Times New Roman"/>
                <w:iCs/>
                <w:color w:val="404040"/>
                <w:sz w:val="24"/>
                <w:szCs w:val="24"/>
                <w:lang w:val="en-US" w:eastAsia="zh-TW"/>
              </w:rPr>
              <w:t>211</w:t>
            </w:r>
          </w:p>
        </w:tc>
      </w:tr>
    </w:tbl>
    <w:p w14:paraId="4946EF1F" w14:textId="77777777" w:rsidR="005F14FC" w:rsidRPr="00937F54" w:rsidRDefault="005F14FC" w:rsidP="00E262FC">
      <w:pPr>
        <w:spacing w:line="360" w:lineRule="auto"/>
        <w:rPr>
          <w:b/>
          <w:bCs/>
          <w:iCs/>
          <w:sz w:val="24"/>
          <w:szCs w:val="24"/>
          <w:lang w:val="en-US"/>
        </w:rPr>
      </w:pPr>
    </w:p>
    <w:p w14:paraId="74EE2B2F" w14:textId="77777777" w:rsidR="00CD597E" w:rsidRPr="00937F54" w:rsidRDefault="00CD597E" w:rsidP="00E262FC">
      <w:pPr>
        <w:spacing w:line="360" w:lineRule="auto"/>
        <w:rPr>
          <w:iCs/>
          <w:sz w:val="24"/>
          <w:szCs w:val="24"/>
          <w:lang w:val="en-US"/>
        </w:rPr>
      </w:pPr>
      <w:r w:rsidRPr="00937F54">
        <w:rPr>
          <w:i/>
          <w:iCs/>
          <w:sz w:val="24"/>
          <w:szCs w:val="24"/>
          <w:lang w:val="en-US"/>
        </w:rPr>
        <w:t>Market cap and P/E ratios calculated based on current stock prices as of September 2025 and latest reported earnings from annual reports.</w:t>
      </w:r>
    </w:p>
    <w:p w14:paraId="6FFB9A50" w14:textId="77777777" w:rsidR="00CD597E" w:rsidRPr="00937F54" w:rsidRDefault="00CD597E" w:rsidP="00E262FC">
      <w:pPr>
        <w:spacing w:line="360" w:lineRule="auto"/>
        <w:rPr>
          <w:iCs/>
          <w:sz w:val="24"/>
          <w:szCs w:val="24"/>
          <w:lang w:val="en-US"/>
        </w:rPr>
      </w:pPr>
      <w:r w:rsidRPr="00937F54">
        <w:rPr>
          <w:iCs/>
          <w:sz w:val="24"/>
          <w:szCs w:val="24"/>
          <w:lang w:val="en-US"/>
        </w:rPr>
        <w:t>This comparison framework provides critical context for understanding whether Tsui Wah's challenges are company-specific execution issues or broader industry headwinds affecting all players in the Hong Kong restaurant sector.</w:t>
      </w:r>
    </w:p>
    <w:p w14:paraId="3751855E" w14:textId="6E8247DC" w:rsidR="00DA0E66" w:rsidRPr="00937F54" w:rsidRDefault="00DA0E66" w:rsidP="00E262FC">
      <w:pPr>
        <w:spacing w:line="360" w:lineRule="auto"/>
        <w:rPr>
          <w:iCs/>
          <w:sz w:val="24"/>
          <w:szCs w:val="24"/>
          <w:lang w:val="en-US"/>
        </w:rPr>
      </w:pPr>
    </w:p>
    <w:p w14:paraId="244CAF04" w14:textId="77777777" w:rsidR="00565694" w:rsidRPr="00937F54" w:rsidRDefault="00565694" w:rsidP="00E262FC">
      <w:pPr>
        <w:spacing w:line="360" w:lineRule="auto"/>
        <w:rPr>
          <w:iCs/>
          <w:sz w:val="24"/>
          <w:szCs w:val="24"/>
          <w:lang w:val="en-US"/>
        </w:rPr>
      </w:pPr>
    </w:p>
    <w:p w14:paraId="0CFE62D0" w14:textId="77777777" w:rsidR="00F57148" w:rsidRPr="00937F54" w:rsidRDefault="00F57148" w:rsidP="00E262FC">
      <w:pPr>
        <w:spacing w:line="360" w:lineRule="auto"/>
        <w:rPr>
          <w:iCs/>
          <w:sz w:val="24"/>
          <w:szCs w:val="24"/>
          <w:lang w:val="en-US"/>
        </w:rPr>
      </w:pPr>
    </w:p>
    <w:p w14:paraId="201E646C" w14:textId="77777777" w:rsidR="00F57148" w:rsidRPr="00937F54" w:rsidRDefault="00F57148" w:rsidP="00E262FC">
      <w:pPr>
        <w:spacing w:line="360" w:lineRule="auto"/>
        <w:rPr>
          <w:iCs/>
          <w:sz w:val="24"/>
          <w:szCs w:val="24"/>
          <w:lang w:val="en-US"/>
        </w:rPr>
      </w:pPr>
    </w:p>
    <w:p w14:paraId="06BC7DED" w14:textId="77777777" w:rsidR="00F57148" w:rsidRPr="00937F54" w:rsidRDefault="00F57148" w:rsidP="00E262FC">
      <w:pPr>
        <w:spacing w:line="360" w:lineRule="auto"/>
        <w:rPr>
          <w:iCs/>
          <w:sz w:val="24"/>
          <w:szCs w:val="24"/>
          <w:lang w:val="en-US"/>
        </w:rPr>
      </w:pPr>
    </w:p>
    <w:p w14:paraId="56B0D4C0" w14:textId="77777777" w:rsidR="00F57148" w:rsidRPr="00937F54" w:rsidRDefault="00F57148" w:rsidP="00E262FC">
      <w:pPr>
        <w:spacing w:line="360" w:lineRule="auto"/>
        <w:rPr>
          <w:iCs/>
          <w:sz w:val="24"/>
          <w:szCs w:val="24"/>
          <w:lang w:val="en-US"/>
        </w:rPr>
      </w:pPr>
    </w:p>
    <w:p w14:paraId="70142B14" w14:textId="77777777" w:rsidR="00F57148" w:rsidRPr="00937F54" w:rsidRDefault="00F57148" w:rsidP="00E262FC">
      <w:pPr>
        <w:spacing w:line="360" w:lineRule="auto"/>
        <w:rPr>
          <w:iCs/>
          <w:sz w:val="24"/>
          <w:szCs w:val="24"/>
          <w:lang w:val="en-US"/>
        </w:rPr>
      </w:pPr>
    </w:p>
    <w:p w14:paraId="4435A331" w14:textId="77777777" w:rsidR="00F57148" w:rsidRPr="00937F54" w:rsidRDefault="00F57148" w:rsidP="00E262FC">
      <w:pPr>
        <w:spacing w:line="360" w:lineRule="auto"/>
        <w:rPr>
          <w:iCs/>
          <w:sz w:val="24"/>
          <w:szCs w:val="24"/>
          <w:lang w:val="en-US"/>
        </w:rPr>
      </w:pPr>
    </w:p>
    <w:p w14:paraId="34B992D0" w14:textId="77777777" w:rsidR="00F57148" w:rsidRPr="00937F54" w:rsidRDefault="00F57148" w:rsidP="00E262FC">
      <w:pPr>
        <w:spacing w:line="360" w:lineRule="auto"/>
        <w:rPr>
          <w:iCs/>
          <w:sz w:val="24"/>
          <w:szCs w:val="24"/>
          <w:lang w:val="en-US"/>
        </w:rPr>
      </w:pPr>
    </w:p>
    <w:p w14:paraId="5513EE15" w14:textId="77777777" w:rsidR="00F57148" w:rsidRPr="00937F54" w:rsidRDefault="00F57148" w:rsidP="00E262FC">
      <w:pPr>
        <w:spacing w:line="360" w:lineRule="auto"/>
        <w:rPr>
          <w:iCs/>
          <w:sz w:val="24"/>
          <w:szCs w:val="24"/>
          <w:lang w:val="en-US"/>
        </w:rPr>
      </w:pPr>
    </w:p>
    <w:p w14:paraId="687A07DB" w14:textId="77777777" w:rsidR="00F57148" w:rsidRPr="00937F54" w:rsidRDefault="00F57148" w:rsidP="00E262FC">
      <w:pPr>
        <w:spacing w:line="360" w:lineRule="auto"/>
        <w:rPr>
          <w:iCs/>
          <w:sz w:val="24"/>
          <w:szCs w:val="24"/>
          <w:lang w:val="en-US"/>
        </w:rPr>
      </w:pPr>
    </w:p>
    <w:p w14:paraId="1A8E330A" w14:textId="77777777" w:rsidR="00F57148" w:rsidRPr="00937F54" w:rsidRDefault="00F57148" w:rsidP="00E262FC">
      <w:pPr>
        <w:spacing w:line="360" w:lineRule="auto"/>
        <w:rPr>
          <w:iCs/>
          <w:sz w:val="24"/>
          <w:szCs w:val="24"/>
          <w:lang w:val="en-US"/>
        </w:rPr>
      </w:pPr>
    </w:p>
    <w:p w14:paraId="57F494D6" w14:textId="77777777" w:rsidR="00F4648C" w:rsidRPr="00937F54" w:rsidRDefault="00F4648C" w:rsidP="00E262FC">
      <w:pPr>
        <w:spacing w:line="360" w:lineRule="auto"/>
        <w:rPr>
          <w:b/>
          <w:bCs/>
          <w:iCs/>
          <w:sz w:val="24"/>
          <w:szCs w:val="24"/>
          <w:lang w:val="en-US"/>
        </w:rPr>
      </w:pPr>
      <w:r w:rsidRPr="00937F54">
        <w:rPr>
          <w:b/>
          <w:bCs/>
          <w:iCs/>
          <w:sz w:val="24"/>
          <w:szCs w:val="24"/>
          <w:lang w:val="en-US"/>
        </w:rPr>
        <w:lastRenderedPageBreak/>
        <w:t>2.0 Tsui Wah's Financial Performance Analysis</w:t>
      </w:r>
    </w:p>
    <w:p w14:paraId="5CFECBAE" w14:textId="77777777" w:rsidR="00F4648C" w:rsidRPr="00937F54" w:rsidRDefault="00F4648C" w:rsidP="00E262FC">
      <w:pPr>
        <w:spacing w:line="360" w:lineRule="auto"/>
        <w:rPr>
          <w:iCs/>
          <w:sz w:val="24"/>
          <w:szCs w:val="24"/>
          <w:lang w:val="en-US"/>
        </w:rPr>
      </w:pPr>
      <w:r w:rsidRPr="00937F54">
        <w:rPr>
          <w:iCs/>
          <w:sz w:val="24"/>
          <w:szCs w:val="24"/>
          <w:lang w:val="en-US"/>
        </w:rPr>
        <w:t>Through Tsui Wah's financial reports analysis, we examine its financial structure, debt repayment capacity, operating capacity, profitability, growth capacity and market value across six key areas with industry averages and two peer companies for comparative studies. The analysis provides data-driven findings and risk assessment based on financial statements and ratio analysis tables.</w:t>
      </w:r>
    </w:p>
    <w:p w14:paraId="35D8A84E" w14:textId="77777777" w:rsidR="00F4648C" w:rsidRPr="001F4198" w:rsidRDefault="00F4648C" w:rsidP="00E262FC">
      <w:pPr>
        <w:spacing w:line="360" w:lineRule="auto"/>
        <w:rPr>
          <w:b/>
          <w:bCs/>
          <w:iCs/>
          <w:sz w:val="24"/>
          <w:szCs w:val="24"/>
          <w:lang w:val="en-US"/>
        </w:rPr>
      </w:pPr>
      <w:r w:rsidRPr="001F4198">
        <w:rPr>
          <w:b/>
          <w:bCs/>
          <w:iCs/>
          <w:sz w:val="24"/>
          <w:szCs w:val="24"/>
          <w:lang w:val="en-US"/>
        </w:rPr>
        <w:t>2.1 Listed Companies Bankruptcy Index Z-Score Analysis</w:t>
      </w:r>
    </w:p>
    <w:p w14:paraId="53BD86DC" w14:textId="77777777" w:rsidR="00F4648C" w:rsidRPr="00937F54" w:rsidRDefault="00F4648C" w:rsidP="00E262FC">
      <w:pPr>
        <w:spacing w:line="360" w:lineRule="auto"/>
        <w:rPr>
          <w:iCs/>
          <w:sz w:val="24"/>
          <w:szCs w:val="24"/>
          <w:lang w:val="en-US"/>
        </w:rPr>
      </w:pPr>
      <w:r w:rsidRPr="00937F54">
        <w:rPr>
          <w:iCs/>
          <w:sz w:val="24"/>
          <w:szCs w:val="24"/>
          <w:lang w:val="en-US"/>
        </w:rPr>
        <w:t>Z-Score is mainly used to examine bankruptcy probability. When Z-Score has greater value, insolvency is less likely, indicating more sound financial ratios. According to Altman (1968), when Z &lt; 1.8, companies are in the bankruptcy zone; when 1.8 ≤ Z &lt; 2.99, they are in the gray area; when Z ≥ 2.99, they are in the security zone. The three companies' Z-Score values are as follows:</w:t>
      </w:r>
    </w:p>
    <w:p w14:paraId="28EB8D8D" w14:textId="77777777" w:rsidR="00F4648C" w:rsidRPr="00937F54" w:rsidRDefault="00F4648C" w:rsidP="00E262FC">
      <w:pPr>
        <w:spacing w:line="360" w:lineRule="auto"/>
        <w:rPr>
          <w:b/>
          <w:bCs/>
          <w:iCs/>
          <w:sz w:val="24"/>
          <w:szCs w:val="24"/>
          <w:lang w:val="en-US"/>
        </w:rPr>
      </w:pPr>
      <w:r w:rsidRPr="00937F54">
        <w:rPr>
          <w:iCs/>
          <w:sz w:val="24"/>
          <w:szCs w:val="24"/>
          <w:lang w:val="en-US"/>
        </w:rPr>
        <w:t>Table 2.1: Comparative Financial Data for Z-Score Calculation</w:t>
      </w:r>
    </w:p>
    <w:tbl>
      <w:tblPr>
        <w:tblW w:w="9880" w:type="dxa"/>
        <w:tblLook w:val="04A0" w:firstRow="1" w:lastRow="0" w:firstColumn="1" w:lastColumn="0" w:noHBand="0" w:noVBand="1"/>
      </w:tblPr>
      <w:tblGrid>
        <w:gridCol w:w="2180"/>
        <w:gridCol w:w="1620"/>
        <w:gridCol w:w="1620"/>
        <w:gridCol w:w="1620"/>
        <w:gridCol w:w="1420"/>
        <w:gridCol w:w="1420"/>
      </w:tblGrid>
      <w:tr w:rsidR="008036BC" w:rsidRPr="00937F54" w14:paraId="0BDC1406" w14:textId="77777777" w:rsidTr="008036BC">
        <w:trPr>
          <w:trHeight w:val="290"/>
        </w:trPr>
        <w:tc>
          <w:tcPr>
            <w:tcW w:w="2180" w:type="dxa"/>
            <w:tcBorders>
              <w:top w:val="single" w:sz="4" w:space="0" w:color="auto"/>
              <w:left w:val="single" w:sz="4" w:space="0" w:color="auto"/>
              <w:bottom w:val="single" w:sz="4" w:space="0" w:color="auto"/>
              <w:right w:val="single" w:sz="4" w:space="0" w:color="auto"/>
            </w:tcBorders>
            <w:shd w:val="clear" w:color="000000" w:fill="DAE9F8"/>
            <w:vAlign w:val="center"/>
            <w:hideMark/>
          </w:tcPr>
          <w:p w14:paraId="1A801A36" w14:textId="77777777" w:rsidR="008036BC" w:rsidRPr="00937F54" w:rsidRDefault="008036BC"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(HK$ in millions)</w:t>
            </w:r>
          </w:p>
        </w:tc>
        <w:tc>
          <w:tcPr>
            <w:tcW w:w="4860" w:type="dxa"/>
            <w:gridSpan w:val="3"/>
            <w:tcBorders>
              <w:top w:val="single" w:sz="4" w:space="0" w:color="auto"/>
              <w:left w:val="nil"/>
              <w:bottom w:val="single" w:sz="4" w:space="0" w:color="auto"/>
              <w:right w:val="single" w:sz="4" w:space="0" w:color="000000"/>
            </w:tcBorders>
            <w:shd w:val="clear" w:color="000000" w:fill="DAE9F8"/>
            <w:vAlign w:val="center"/>
            <w:hideMark/>
          </w:tcPr>
          <w:p w14:paraId="3F7A5166" w14:textId="77777777" w:rsidR="008036BC" w:rsidRPr="00937F54" w:rsidRDefault="008036BC" w:rsidP="00E262FC">
            <w:pPr>
              <w:spacing w:line="360" w:lineRule="auto"/>
              <w:jc w:val="center"/>
              <w:rPr>
                <w:rFonts w:eastAsia="Times New Roman"/>
                <w:b/>
                <w:bCs/>
                <w:color w:val="404040"/>
                <w:sz w:val="24"/>
                <w:szCs w:val="24"/>
                <w:lang w:val="en-US" w:eastAsia="zh-TW"/>
              </w:rPr>
            </w:pPr>
            <w:r w:rsidRPr="00937F54">
              <w:rPr>
                <w:rFonts w:eastAsia="Times New Roman"/>
                <w:b/>
                <w:bCs/>
                <w:color w:val="404040"/>
                <w:sz w:val="24"/>
                <w:szCs w:val="24"/>
                <w:lang w:val="en-US" w:eastAsia="zh-TW"/>
              </w:rPr>
              <w:t>Tsui Wah</w:t>
            </w:r>
          </w:p>
        </w:tc>
        <w:tc>
          <w:tcPr>
            <w:tcW w:w="1420" w:type="dxa"/>
            <w:tcBorders>
              <w:top w:val="single" w:sz="4" w:space="0" w:color="auto"/>
              <w:left w:val="nil"/>
              <w:bottom w:val="single" w:sz="4" w:space="0" w:color="auto"/>
              <w:right w:val="single" w:sz="4" w:space="0" w:color="auto"/>
            </w:tcBorders>
            <w:shd w:val="clear" w:color="000000" w:fill="DAE9F8"/>
            <w:vAlign w:val="center"/>
            <w:hideMark/>
          </w:tcPr>
          <w:p w14:paraId="52919058" w14:textId="77777777" w:rsidR="008036BC" w:rsidRPr="00937F54" w:rsidRDefault="008036BC" w:rsidP="00E262FC">
            <w:pPr>
              <w:spacing w:line="360" w:lineRule="auto"/>
              <w:jc w:val="center"/>
              <w:rPr>
                <w:rFonts w:eastAsia="Times New Roman"/>
                <w:b/>
                <w:bCs/>
                <w:color w:val="404040"/>
                <w:sz w:val="24"/>
                <w:szCs w:val="24"/>
                <w:lang w:val="en-US" w:eastAsia="zh-TW"/>
              </w:rPr>
            </w:pPr>
            <w:r w:rsidRPr="00937F54">
              <w:rPr>
                <w:rFonts w:eastAsia="Times New Roman"/>
                <w:b/>
                <w:bCs/>
                <w:color w:val="404040"/>
                <w:sz w:val="24"/>
                <w:szCs w:val="24"/>
                <w:lang w:val="en-US" w:eastAsia="zh-TW"/>
              </w:rPr>
              <w:t>Fairwood</w:t>
            </w:r>
          </w:p>
        </w:tc>
        <w:tc>
          <w:tcPr>
            <w:tcW w:w="1420" w:type="dxa"/>
            <w:tcBorders>
              <w:top w:val="single" w:sz="4" w:space="0" w:color="auto"/>
              <w:left w:val="nil"/>
              <w:bottom w:val="single" w:sz="4" w:space="0" w:color="auto"/>
              <w:right w:val="single" w:sz="4" w:space="0" w:color="auto"/>
            </w:tcBorders>
            <w:shd w:val="clear" w:color="000000" w:fill="DAE9F8"/>
            <w:vAlign w:val="center"/>
            <w:hideMark/>
          </w:tcPr>
          <w:p w14:paraId="355B5517" w14:textId="77777777" w:rsidR="008036BC" w:rsidRPr="00937F54" w:rsidRDefault="008036BC" w:rsidP="00E262FC">
            <w:pPr>
              <w:spacing w:line="360" w:lineRule="auto"/>
              <w:jc w:val="center"/>
              <w:rPr>
                <w:rFonts w:eastAsia="Times New Roman"/>
                <w:b/>
                <w:bCs/>
                <w:color w:val="404040"/>
                <w:sz w:val="24"/>
                <w:szCs w:val="24"/>
                <w:lang w:val="en-US" w:eastAsia="zh-TW"/>
              </w:rPr>
            </w:pPr>
            <w:r w:rsidRPr="00937F54">
              <w:rPr>
                <w:rFonts w:eastAsia="Times New Roman"/>
                <w:b/>
                <w:bCs/>
                <w:color w:val="404040"/>
                <w:sz w:val="24"/>
                <w:szCs w:val="24"/>
                <w:lang w:val="en-US" w:eastAsia="zh-TW"/>
              </w:rPr>
              <w:t>Tai Hing</w:t>
            </w:r>
          </w:p>
        </w:tc>
      </w:tr>
      <w:tr w:rsidR="008036BC" w:rsidRPr="00937F54" w14:paraId="5B5F5A6B" w14:textId="77777777" w:rsidTr="008036BC">
        <w:trPr>
          <w:trHeight w:val="290"/>
        </w:trPr>
        <w:tc>
          <w:tcPr>
            <w:tcW w:w="2180" w:type="dxa"/>
            <w:tcBorders>
              <w:top w:val="nil"/>
              <w:left w:val="single" w:sz="4" w:space="0" w:color="auto"/>
              <w:bottom w:val="single" w:sz="4" w:space="0" w:color="auto"/>
              <w:right w:val="single" w:sz="4" w:space="0" w:color="auto"/>
            </w:tcBorders>
            <w:shd w:val="clear" w:color="000000" w:fill="DAE9F8"/>
            <w:vAlign w:val="center"/>
            <w:hideMark/>
          </w:tcPr>
          <w:p w14:paraId="14F8D44B" w14:textId="77777777" w:rsidR="008036BC" w:rsidRPr="00937F54" w:rsidRDefault="008036BC"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Year</w:t>
            </w:r>
          </w:p>
        </w:tc>
        <w:tc>
          <w:tcPr>
            <w:tcW w:w="1620" w:type="dxa"/>
            <w:tcBorders>
              <w:top w:val="nil"/>
              <w:left w:val="nil"/>
              <w:bottom w:val="single" w:sz="4" w:space="0" w:color="auto"/>
              <w:right w:val="single" w:sz="4" w:space="0" w:color="auto"/>
            </w:tcBorders>
            <w:shd w:val="clear" w:color="000000" w:fill="DAE9F8"/>
            <w:vAlign w:val="center"/>
            <w:hideMark/>
          </w:tcPr>
          <w:p w14:paraId="28F4F7DF" w14:textId="77777777" w:rsidR="008036BC" w:rsidRPr="00937F54" w:rsidRDefault="008036BC" w:rsidP="00E262FC">
            <w:pPr>
              <w:spacing w:line="360" w:lineRule="auto"/>
              <w:jc w:val="center"/>
              <w:rPr>
                <w:rFonts w:eastAsia="Times New Roman"/>
                <w:b/>
                <w:bCs/>
                <w:color w:val="404040"/>
                <w:sz w:val="24"/>
                <w:szCs w:val="24"/>
                <w:lang w:val="en-US" w:eastAsia="zh-TW"/>
              </w:rPr>
            </w:pPr>
            <w:r w:rsidRPr="00937F54">
              <w:rPr>
                <w:rFonts w:eastAsia="Times New Roman"/>
                <w:b/>
                <w:bCs/>
                <w:color w:val="404040"/>
                <w:sz w:val="24"/>
                <w:szCs w:val="24"/>
                <w:lang w:val="en-US" w:eastAsia="zh-TW"/>
              </w:rPr>
              <w:t>2024</w:t>
            </w:r>
          </w:p>
        </w:tc>
        <w:tc>
          <w:tcPr>
            <w:tcW w:w="1620" w:type="dxa"/>
            <w:tcBorders>
              <w:top w:val="nil"/>
              <w:left w:val="nil"/>
              <w:bottom w:val="single" w:sz="4" w:space="0" w:color="auto"/>
              <w:right w:val="single" w:sz="4" w:space="0" w:color="auto"/>
            </w:tcBorders>
            <w:shd w:val="clear" w:color="000000" w:fill="DAE9F8"/>
            <w:vAlign w:val="center"/>
            <w:hideMark/>
          </w:tcPr>
          <w:p w14:paraId="58D5E972" w14:textId="77777777" w:rsidR="008036BC" w:rsidRPr="00937F54" w:rsidRDefault="008036BC" w:rsidP="00E262FC">
            <w:pPr>
              <w:spacing w:line="360" w:lineRule="auto"/>
              <w:jc w:val="center"/>
              <w:rPr>
                <w:rFonts w:eastAsia="Times New Roman"/>
                <w:b/>
                <w:bCs/>
                <w:color w:val="404040"/>
                <w:sz w:val="24"/>
                <w:szCs w:val="24"/>
                <w:lang w:val="en-US" w:eastAsia="zh-TW"/>
              </w:rPr>
            </w:pPr>
            <w:r w:rsidRPr="00937F54">
              <w:rPr>
                <w:rFonts w:eastAsia="Times New Roman"/>
                <w:b/>
                <w:bCs/>
                <w:color w:val="404040"/>
                <w:sz w:val="24"/>
                <w:szCs w:val="24"/>
                <w:lang w:val="en-US" w:eastAsia="zh-TW"/>
              </w:rPr>
              <w:t>2023</w:t>
            </w:r>
          </w:p>
        </w:tc>
        <w:tc>
          <w:tcPr>
            <w:tcW w:w="1620" w:type="dxa"/>
            <w:tcBorders>
              <w:top w:val="nil"/>
              <w:left w:val="nil"/>
              <w:bottom w:val="single" w:sz="4" w:space="0" w:color="auto"/>
              <w:right w:val="single" w:sz="4" w:space="0" w:color="auto"/>
            </w:tcBorders>
            <w:shd w:val="clear" w:color="000000" w:fill="DAE9F8"/>
            <w:vAlign w:val="center"/>
            <w:hideMark/>
          </w:tcPr>
          <w:p w14:paraId="2169A68A" w14:textId="77777777" w:rsidR="008036BC" w:rsidRPr="00937F54" w:rsidRDefault="008036BC" w:rsidP="00E262FC">
            <w:pPr>
              <w:spacing w:line="360" w:lineRule="auto"/>
              <w:jc w:val="center"/>
              <w:rPr>
                <w:rFonts w:eastAsia="Times New Roman"/>
                <w:b/>
                <w:bCs/>
                <w:color w:val="404040"/>
                <w:sz w:val="24"/>
                <w:szCs w:val="24"/>
                <w:lang w:val="en-US" w:eastAsia="zh-TW"/>
              </w:rPr>
            </w:pPr>
            <w:r w:rsidRPr="00937F54">
              <w:rPr>
                <w:rFonts w:eastAsia="Times New Roman"/>
                <w:b/>
                <w:bCs/>
                <w:color w:val="404040"/>
                <w:sz w:val="24"/>
                <w:szCs w:val="24"/>
                <w:lang w:val="en-US" w:eastAsia="zh-TW"/>
              </w:rPr>
              <w:t>2022</w:t>
            </w:r>
          </w:p>
        </w:tc>
        <w:tc>
          <w:tcPr>
            <w:tcW w:w="1420" w:type="dxa"/>
            <w:tcBorders>
              <w:top w:val="nil"/>
              <w:left w:val="nil"/>
              <w:bottom w:val="single" w:sz="4" w:space="0" w:color="auto"/>
              <w:right w:val="single" w:sz="4" w:space="0" w:color="auto"/>
            </w:tcBorders>
            <w:shd w:val="clear" w:color="000000" w:fill="DAE9F8"/>
            <w:vAlign w:val="center"/>
            <w:hideMark/>
          </w:tcPr>
          <w:p w14:paraId="6D26B3BA" w14:textId="77777777" w:rsidR="008036BC" w:rsidRPr="00937F54" w:rsidRDefault="008036BC" w:rsidP="00E262FC">
            <w:pPr>
              <w:spacing w:line="360" w:lineRule="auto"/>
              <w:jc w:val="center"/>
              <w:rPr>
                <w:rFonts w:eastAsia="Times New Roman"/>
                <w:b/>
                <w:bCs/>
                <w:color w:val="404040"/>
                <w:sz w:val="24"/>
                <w:szCs w:val="24"/>
                <w:lang w:val="en-US" w:eastAsia="zh-TW"/>
              </w:rPr>
            </w:pPr>
            <w:r w:rsidRPr="00937F54">
              <w:rPr>
                <w:rFonts w:eastAsia="Times New Roman"/>
                <w:b/>
                <w:bCs/>
                <w:color w:val="404040"/>
                <w:sz w:val="24"/>
                <w:szCs w:val="24"/>
                <w:lang w:val="en-US" w:eastAsia="zh-TW"/>
              </w:rPr>
              <w:t>2024</w:t>
            </w:r>
          </w:p>
        </w:tc>
        <w:tc>
          <w:tcPr>
            <w:tcW w:w="1420" w:type="dxa"/>
            <w:tcBorders>
              <w:top w:val="nil"/>
              <w:left w:val="nil"/>
              <w:bottom w:val="single" w:sz="4" w:space="0" w:color="auto"/>
              <w:right w:val="single" w:sz="4" w:space="0" w:color="auto"/>
            </w:tcBorders>
            <w:shd w:val="clear" w:color="000000" w:fill="DAE9F8"/>
            <w:vAlign w:val="center"/>
            <w:hideMark/>
          </w:tcPr>
          <w:p w14:paraId="00C9DE3C" w14:textId="77777777" w:rsidR="008036BC" w:rsidRPr="00937F54" w:rsidRDefault="008036BC" w:rsidP="00E262FC">
            <w:pPr>
              <w:spacing w:line="360" w:lineRule="auto"/>
              <w:jc w:val="center"/>
              <w:rPr>
                <w:rFonts w:eastAsia="Times New Roman"/>
                <w:b/>
                <w:bCs/>
                <w:color w:val="404040"/>
                <w:sz w:val="24"/>
                <w:szCs w:val="24"/>
                <w:lang w:val="en-US" w:eastAsia="zh-TW"/>
              </w:rPr>
            </w:pPr>
            <w:r w:rsidRPr="00937F54">
              <w:rPr>
                <w:rFonts w:eastAsia="Times New Roman"/>
                <w:b/>
                <w:bCs/>
                <w:color w:val="404040"/>
                <w:sz w:val="24"/>
                <w:szCs w:val="24"/>
                <w:lang w:val="en-US" w:eastAsia="zh-TW"/>
              </w:rPr>
              <w:t>2024</w:t>
            </w:r>
          </w:p>
        </w:tc>
      </w:tr>
      <w:tr w:rsidR="008036BC" w:rsidRPr="00937F54" w14:paraId="33614B9B" w14:textId="77777777" w:rsidTr="008036BC">
        <w:trPr>
          <w:trHeight w:val="290"/>
        </w:trPr>
        <w:tc>
          <w:tcPr>
            <w:tcW w:w="2180" w:type="dxa"/>
            <w:tcBorders>
              <w:top w:val="nil"/>
              <w:left w:val="single" w:sz="4" w:space="0" w:color="auto"/>
              <w:bottom w:val="single" w:sz="4" w:space="0" w:color="auto"/>
              <w:right w:val="single" w:sz="4" w:space="0" w:color="auto"/>
            </w:tcBorders>
            <w:shd w:val="clear" w:color="000000" w:fill="DAE9F8"/>
            <w:vAlign w:val="center"/>
            <w:hideMark/>
          </w:tcPr>
          <w:p w14:paraId="741CA4AB" w14:textId="77777777" w:rsidR="008036BC" w:rsidRPr="00937F54" w:rsidRDefault="008036BC"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Net Current Assets</w:t>
            </w:r>
          </w:p>
        </w:tc>
        <w:tc>
          <w:tcPr>
            <w:tcW w:w="1620" w:type="dxa"/>
            <w:tcBorders>
              <w:top w:val="nil"/>
              <w:left w:val="nil"/>
              <w:bottom w:val="single" w:sz="4" w:space="0" w:color="auto"/>
              <w:right w:val="single" w:sz="4" w:space="0" w:color="auto"/>
            </w:tcBorders>
            <w:shd w:val="clear" w:color="000000" w:fill="DAE9F8"/>
            <w:vAlign w:val="center"/>
            <w:hideMark/>
          </w:tcPr>
          <w:p w14:paraId="09E62BB6"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10.2</w:t>
            </w:r>
          </w:p>
        </w:tc>
        <w:tc>
          <w:tcPr>
            <w:tcW w:w="1620" w:type="dxa"/>
            <w:tcBorders>
              <w:top w:val="nil"/>
              <w:left w:val="nil"/>
              <w:bottom w:val="single" w:sz="4" w:space="0" w:color="auto"/>
              <w:right w:val="single" w:sz="4" w:space="0" w:color="auto"/>
            </w:tcBorders>
            <w:shd w:val="clear" w:color="000000" w:fill="DAE9F8"/>
            <w:vAlign w:val="center"/>
            <w:hideMark/>
          </w:tcPr>
          <w:p w14:paraId="5E2794B2"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67.4</w:t>
            </w:r>
          </w:p>
        </w:tc>
        <w:tc>
          <w:tcPr>
            <w:tcW w:w="1620" w:type="dxa"/>
            <w:tcBorders>
              <w:top w:val="nil"/>
              <w:left w:val="nil"/>
              <w:bottom w:val="single" w:sz="4" w:space="0" w:color="auto"/>
              <w:right w:val="single" w:sz="4" w:space="0" w:color="auto"/>
            </w:tcBorders>
            <w:shd w:val="clear" w:color="000000" w:fill="DAE9F8"/>
            <w:vAlign w:val="center"/>
            <w:hideMark/>
          </w:tcPr>
          <w:p w14:paraId="2F80579E"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94</w:t>
            </w:r>
          </w:p>
        </w:tc>
        <w:tc>
          <w:tcPr>
            <w:tcW w:w="1420" w:type="dxa"/>
            <w:tcBorders>
              <w:top w:val="nil"/>
              <w:left w:val="nil"/>
              <w:bottom w:val="single" w:sz="4" w:space="0" w:color="auto"/>
              <w:right w:val="single" w:sz="4" w:space="0" w:color="auto"/>
            </w:tcBorders>
            <w:shd w:val="clear" w:color="000000" w:fill="DAE9F8"/>
            <w:vAlign w:val="center"/>
            <w:hideMark/>
          </w:tcPr>
          <w:p w14:paraId="69AE11E7"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-109.5</w:t>
            </w:r>
          </w:p>
        </w:tc>
        <w:tc>
          <w:tcPr>
            <w:tcW w:w="1420" w:type="dxa"/>
            <w:tcBorders>
              <w:top w:val="nil"/>
              <w:left w:val="nil"/>
              <w:bottom w:val="single" w:sz="4" w:space="0" w:color="auto"/>
              <w:right w:val="single" w:sz="4" w:space="0" w:color="auto"/>
            </w:tcBorders>
            <w:shd w:val="clear" w:color="000000" w:fill="DAE9F8"/>
            <w:vAlign w:val="center"/>
            <w:hideMark/>
          </w:tcPr>
          <w:p w14:paraId="55F1AC06"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-224.5</w:t>
            </w:r>
          </w:p>
        </w:tc>
      </w:tr>
      <w:tr w:rsidR="008036BC" w:rsidRPr="00937F54" w14:paraId="5EAC24D2" w14:textId="77777777" w:rsidTr="008036BC">
        <w:trPr>
          <w:trHeight w:val="290"/>
        </w:trPr>
        <w:tc>
          <w:tcPr>
            <w:tcW w:w="2180" w:type="dxa"/>
            <w:tcBorders>
              <w:top w:val="nil"/>
              <w:left w:val="single" w:sz="4" w:space="0" w:color="auto"/>
              <w:bottom w:val="single" w:sz="4" w:space="0" w:color="auto"/>
              <w:right w:val="single" w:sz="4" w:space="0" w:color="auto"/>
            </w:tcBorders>
            <w:shd w:val="clear" w:color="000000" w:fill="DAE9F8"/>
            <w:vAlign w:val="center"/>
            <w:hideMark/>
          </w:tcPr>
          <w:p w14:paraId="369E4297" w14:textId="77777777" w:rsidR="008036BC" w:rsidRPr="00937F54" w:rsidRDefault="008036BC"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Total Assets</w:t>
            </w:r>
          </w:p>
        </w:tc>
        <w:tc>
          <w:tcPr>
            <w:tcW w:w="1620" w:type="dxa"/>
            <w:tcBorders>
              <w:top w:val="nil"/>
              <w:left w:val="nil"/>
              <w:bottom w:val="single" w:sz="4" w:space="0" w:color="auto"/>
              <w:right w:val="single" w:sz="4" w:space="0" w:color="auto"/>
            </w:tcBorders>
            <w:shd w:val="clear" w:color="000000" w:fill="DAE9F8"/>
            <w:vAlign w:val="center"/>
            <w:hideMark/>
          </w:tcPr>
          <w:p w14:paraId="706D670E"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1286.69</w:t>
            </w:r>
          </w:p>
        </w:tc>
        <w:tc>
          <w:tcPr>
            <w:tcW w:w="1620" w:type="dxa"/>
            <w:tcBorders>
              <w:top w:val="nil"/>
              <w:left w:val="nil"/>
              <w:bottom w:val="single" w:sz="4" w:space="0" w:color="auto"/>
              <w:right w:val="single" w:sz="4" w:space="0" w:color="auto"/>
            </w:tcBorders>
            <w:shd w:val="clear" w:color="000000" w:fill="DAE9F8"/>
            <w:vAlign w:val="center"/>
            <w:hideMark/>
          </w:tcPr>
          <w:p w14:paraId="301779E0"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1422.18</w:t>
            </w:r>
          </w:p>
        </w:tc>
        <w:tc>
          <w:tcPr>
            <w:tcW w:w="1620" w:type="dxa"/>
            <w:tcBorders>
              <w:top w:val="nil"/>
              <w:left w:val="nil"/>
              <w:bottom w:val="single" w:sz="4" w:space="0" w:color="auto"/>
              <w:right w:val="single" w:sz="4" w:space="0" w:color="auto"/>
            </w:tcBorders>
            <w:shd w:val="clear" w:color="000000" w:fill="DAE9F8"/>
            <w:vAlign w:val="center"/>
            <w:hideMark/>
          </w:tcPr>
          <w:p w14:paraId="0FAB4E89"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1512.55</w:t>
            </w:r>
          </w:p>
        </w:tc>
        <w:tc>
          <w:tcPr>
            <w:tcW w:w="1420" w:type="dxa"/>
            <w:tcBorders>
              <w:top w:val="nil"/>
              <w:left w:val="nil"/>
              <w:bottom w:val="single" w:sz="4" w:space="0" w:color="auto"/>
              <w:right w:val="single" w:sz="4" w:space="0" w:color="auto"/>
            </w:tcBorders>
            <w:shd w:val="clear" w:color="000000" w:fill="DAE9F8"/>
            <w:vAlign w:val="center"/>
            <w:hideMark/>
          </w:tcPr>
          <w:p w14:paraId="39F08E2D"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2105.3</w:t>
            </w:r>
          </w:p>
        </w:tc>
        <w:tc>
          <w:tcPr>
            <w:tcW w:w="1420" w:type="dxa"/>
            <w:tcBorders>
              <w:top w:val="nil"/>
              <w:left w:val="nil"/>
              <w:bottom w:val="single" w:sz="4" w:space="0" w:color="auto"/>
              <w:right w:val="single" w:sz="4" w:space="0" w:color="auto"/>
            </w:tcBorders>
            <w:shd w:val="clear" w:color="000000" w:fill="DAE9F8"/>
            <w:vAlign w:val="center"/>
            <w:hideMark/>
          </w:tcPr>
          <w:p w14:paraId="5C8B14DC"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2471.1</w:t>
            </w:r>
          </w:p>
        </w:tc>
      </w:tr>
      <w:tr w:rsidR="008036BC" w:rsidRPr="00937F54" w14:paraId="4493E8F2" w14:textId="77777777" w:rsidTr="008036BC">
        <w:trPr>
          <w:trHeight w:val="290"/>
        </w:trPr>
        <w:tc>
          <w:tcPr>
            <w:tcW w:w="2180" w:type="dxa"/>
            <w:tcBorders>
              <w:top w:val="nil"/>
              <w:left w:val="single" w:sz="4" w:space="0" w:color="auto"/>
              <w:bottom w:val="single" w:sz="4" w:space="0" w:color="auto"/>
              <w:right w:val="single" w:sz="4" w:space="0" w:color="auto"/>
            </w:tcBorders>
            <w:shd w:val="clear" w:color="000000" w:fill="DAE9F8"/>
            <w:vAlign w:val="center"/>
            <w:hideMark/>
          </w:tcPr>
          <w:p w14:paraId="0D0D7185" w14:textId="77777777" w:rsidR="008036BC" w:rsidRPr="00937F54" w:rsidRDefault="008036BC"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Retained Earnings</w:t>
            </w:r>
          </w:p>
        </w:tc>
        <w:tc>
          <w:tcPr>
            <w:tcW w:w="1620" w:type="dxa"/>
            <w:tcBorders>
              <w:top w:val="nil"/>
              <w:left w:val="nil"/>
              <w:bottom w:val="single" w:sz="4" w:space="0" w:color="auto"/>
              <w:right w:val="single" w:sz="4" w:space="0" w:color="auto"/>
            </w:tcBorders>
            <w:shd w:val="clear" w:color="000000" w:fill="DAE9F8"/>
            <w:vAlign w:val="center"/>
            <w:hideMark/>
          </w:tcPr>
          <w:p w14:paraId="57C8BE00"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337.54</w:t>
            </w:r>
          </w:p>
        </w:tc>
        <w:tc>
          <w:tcPr>
            <w:tcW w:w="1620" w:type="dxa"/>
            <w:tcBorders>
              <w:top w:val="nil"/>
              <w:left w:val="nil"/>
              <w:bottom w:val="single" w:sz="4" w:space="0" w:color="auto"/>
              <w:right w:val="single" w:sz="4" w:space="0" w:color="auto"/>
            </w:tcBorders>
            <w:shd w:val="clear" w:color="000000" w:fill="DAE9F8"/>
            <w:vAlign w:val="center"/>
            <w:hideMark/>
          </w:tcPr>
          <w:p w14:paraId="4B2DF92A"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386.56</w:t>
            </w:r>
          </w:p>
        </w:tc>
        <w:tc>
          <w:tcPr>
            <w:tcW w:w="1620" w:type="dxa"/>
            <w:tcBorders>
              <w:top w:val="nil"/>
              <w:left w:val="nil"/>
              <w:bottom w:val="single" w:sz="4" w:space="0" w:color="auto"/>
              <w:right w:val="single" w:sz="4" w:space="0" w:color="auto"/>
            </w:tcBorders>
            <w:shd w:val="clear" w:color="000000" w:fill="DAE9F8"/>
            <w:vAlign w:val="center"/>
            <w:hideMark/>
          </w:tcPr>
          <w:p w14:paraId="3DBCA111"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423.68</w:t>
            </w:r>
          </w:p>
        </w:tc>
        <w:tc>
          <w:tcPr>
            <w:tcW w:w="1420" w:type="dxa"/>
            <w:tcBorders>
              <w:top w:val="nil"/>
              <w:left w:val="nil"/>
              <w:bottom w:val="single" w:sz="4" w:space="0" w:color="auto"/>
              <w:right w:val="single" w:sz="4" w:space="0" w:color="auto"/>
            </w:tcBorders>
            <w:shd w:val="clear" w:color="000000" w:fill="DAE9F8"/>
            <w:vAlign w:val="center"/>
            <w:hideMark/>
          </w:tcPr>
          <w:p w14:paraId="087BD6BB"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522.48</w:t>
            </w:r>
          </w:p>
        </w:tc>
        <w:tc>
          <w:tcPr>
            <w:tcW w:w="1420" w:type="dxa"/>
            <w:tcBorders>
              <w:top w:val="nil"/>
              <w:left w:val="nil"/>
              <w:bottom w:val="single" w:sz="4" w:space="0" w:color="auto"/>
              <w:right w:val="single" w:sz="4" w:space="0" w:color="auto"/>
            </w:tcBorders>
            <w:shd w:val="clear" w:color="000000" w:fill="DAE9F8"/>
            <w:vAlign w:val="center"/>
            <w:hideMark/>
          </w:tcPr>
          <w:p w14:paraId="11E97756"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925.57</w:t>
            </w:r>
          </w:p>
        </w:tc>
      </w:tr>
      <w:tr w:rsidR="008036BC" w:rsidRPr="00937F54" w14:paraId="576746E6" w14:textId="77777777" w:rsidTr="008036BC">
        <w:trPr>
          <w:trHeight w:val="290"/>
        </w:trPr>
        <w:tc>
          <w:tcPr>
            <w:tcW w:w="2180" w:type="dxa"/>
            <w:tcBorders>
              <w:top w:val="nil"/>
              <w:left w:val="single" w:sz="4" w:space="0" w:color="auto"/>
              <w:bottom w:val="single" w:sz="4" w:space="0" w:color="auto"/>
              <w:right w:val="single" w:sz="4" w:space="0" w:color="auto"/>
            </w:tcBorders>
            <w:shd w:val="clear" w:color="000000" w:fill="DAE9F8"/>
            <w:vAlign w:val="center"/>
            <w:hideMark/>
          </w:tcPr>
          <w:p w14:paraId="795C696C" w14:textId="77777777" w:rsidR="008036BC" w:rsidRPr="00937F54" w:rsidRDefault="008036BC"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EBIT</w:t>
            </w:r>
          </w:p>
        </w:tc>
        <w:tc>
          <w:tcPr>
            <w:tcW w:w="1620" w:type="dxa"/>
            <w:tcBorders>
              <w:top w:val="nil"/>
              <w:left w:val="nil"/>
              <w:bottom w:val="single" w:sz="4" w:space="0" w:color="auto"/>
              <w:right w:val="single" w:sz="4" w:space="0" w:color="auto"/>
            </w:tcBorders>
            <w:shd w:val="clear" w:color="000000" w:fill="DAE9F8"/>
            <w:vAlign w:val="center"/>
            <w:hideMark/>
          </w:tcPr>
          <w:p w14:paraId="69454872"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24.17</w:t>
            </w:r>
          </w:p>
        </w:tc>
        <w:tc>
          <w:tcPr>
            <w:tcW w:w="1620" w:type="dxa"/>
            <w:tcBorders>
              <w:top w:val="nil"/>
              <w:left w:val="nil"/>
              <w:bottom w:val="single" w:sz="4" w:space="0" w:color="auto"/>
              <w:right w:val="single" w:sz="4" w:space="0" w:color="auto"/>
            </w:tcBorders>
            <w:shd w:val="clear" w:color="000000" w:fill="DAE9F8"/>
            <w:vAlign w:val="center"/>
            <w:hideMark/>
          </w:tcPr>
          <w:p w14:paraId="21F93321"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44.1</w:t>
            </w:r>
          </w:p>
        </w:tc>
        <w:tc>
          <w:tcPr>
            <w:tcW w:w="1620" w:type="dxa"/>
            <w:tcBorders>
              <w:top w:val="nil"/>
              <w:left w:val="nil"/>
              <w:bottom w:val="single" w:sz="4" w:space="0" w:color="auto"/>
              <w:right w:val="single" w:sz="4" w:space="0" w:color="auto"/>
            </w:tcBorders>
            <w:shd w:val="clear" w:color="000000" w:fill="DAE9F8"/>
            <w:vAlign w:val="center"/>
            <w:hideMark/>
          </w:tcPr>
          <w:p w14:paraId="702B3A2C"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62.33</w:t>
            </w:r>
          </w:p>
        </w:tc>
        <w:tc>
          <w:tcPr>
            <w:tcW w:w="1420" w:type="dxa"/>
            <w:tcBorders>
              <w:top w:val="nil"/>
              <w:left w:val="nil"/>
              <w:bottom w:val="single" w:sz="4" w:space="0" w:color="auto"/>
              <w:right w:val="single" w:sz="4" w:space="0" w:color="auto"/>
            </w:tcBorders>
            <w:shd w:val="clear" w:color="000000" w:fill="DAE9F8"/>
            <w:vAlign w:val="center"/>
            <w:hideMark/>
          </w:tcPr>
          <w:p w14:paraId="4563AB3C"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72.33</w:t>
            </w:r>
          </w:p>
        </w:tc>
        <w:tc>
          <w:tcPr>
            <w:tcW w:w="1420" w:type="dxa"/>
            <w:tcBorders>
              <w:top w:val="nil"/>
              <w:left w:val="nil"/>
              <w:bottom w:val="single" w:sz="4" w:space="0" w:color="auto"/>
              <w:right w:val="single" w:sz="4" w:space="0" w:color="auto"/>
            </w:tcBorders>
            <w:shd w:val="clear" w:color="000000" w:fill="DAE9F8"/>
            <w:vAlign w:val="center"/>
            <w:hideMark/>
          </w:tcPr>
          <w:p w14:paraId="1BAD0360"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79.15</w:t>
            </w:r>
          </w:p>
        </w:tc>
      </w:tr>
      <w:tr w:rsidR="008036BC" w:rsidRPr="00937F54" w14:paraId="6F470290" w14:textId="77777777" w:rsidTr="008036BC">
        <w:trPr>
          <w:trHeight w:val="290"/>
        </w:trPr>
        <w:tc>
          <w:tcPr>
            <w:tcW w:w="2180" w:type="dxa"/>
            <w:tcBorders>
              <w:top w:val="nil"/>
              <w:left w:val="single" w:sz="4" w:space="0" w:color="auto"/>
              <w:bottom w:val="single" w:sz="4" w:space="0" w:color="auto"/>
              <w:right w:val="single" w:sz="4" w:space="0" w:color="auto"/>
            </w:tcBorders>
            <w:shd w:val="clear" w:color="000000" w:fill="DAE9F8"/>
            <w:vAlign w:val="center"/>
            <w:hideMark/>
          </w:tcPr>
          <w:p w14:paraId="3017DB45" w14:textId="77777777" w:rsidR="008036BC" w:rsidRPr="00937F54" w:rsidRDefault="008036BC"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Stock Price (HKD)</w:t>
            </w:r>
          </w:p>
        </w:tc>
        <w:tc>
          <w:tcPr>
            <w:tcW w:w="1620" w:type="dxa"/>
            <w:tcBorders>
              <w:top w:val="nil"/>
              <w:left w:val="nil"/>
              <w:bottom w:val="single" w:sz="4" w:space="0" w:color="auto"/>
              <w:right w:val="single" w:sz="4" w:space="0" w:color="auto"/>
            </w:tcBorders>
            <w:shd w:val="clear" w:color="000000" w:fill="DAE9F8"/>
            <w:vAlign w:val="center"/>
            <w:hideMark/>
          </w:tcPr>
          <w:p w14:paraId="1E43A742"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0.184</w:t>
            </w:r>
          </w:p>
        </w:tc>
        <w:tc>
          <w:tcPr>
            <w:tcW w:w="1620" w:type="dxa"/>
            <w:tcBorders>
              <w:top w:val="nil"/>
              <w:left w:val="nil"/>
              <w:bottom w:val="single" w:sz="4" w:space="0" w:color="auto"/>
              <w:right w:val="single" w:sz="4" w:space="0" w:color="auto"/>
            </w:tcBorders>
            <w:shd w:val="clear" w:color="000000" w:fill="DAE9F8"/>
            <w:vAlign w:val="center"/>
            <w:hideMark/>
          </w:tcPr>
          <w:p w14:paraId="24744381"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0.212</w:t>
            </w:r>
          </w:p>
        </w:tc>
        <w:tc>
          <w:tcPr>
            <w:tcW w:w="1620" w:type="dxa"/>
            <w:tcBorders>
              <w:top w:val="nil"/>
              <w:left w:val="nil"/>
              <w:bottom w:val="single" w:sz="4" w:space="0" w:color="auto"/>
              <w:right w:val="single" w:sz="4" w:space="0" w:color="auto"/>
            </w:tcBorders>
            <w:shd w:val="clear" w:color="000000" w:fill="DAE9F8"/>
            <w:vAlign w:val="center"/>
            <w:hideMark/>
          </w:tcPr>
          <w:p w14:paraId="1B4E6C01"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0.232</w:t>
            </w:r>
          </w:p>
        </w:tc>
        <w:tc>
          <w:tcPr>
            <w:tcW w:w="1420" w:type="dxa"/>
            <w:tcBorders>
              <w:top w:val="nil"/>
              <w:left w:val="nil"/>
              <w:bottom w:val="single" w:sz="4" w:space="0" w:color="auto"/>
              <w:right w:val="single" w:sz="4" w:space="0" w:color="auto"/>
            </w:tcBorders>
            <w:shd w:val="clear" w:color="000000" w:fill="DAE9F8"/>
            <w:vAlign w:val="center"/>
            <w:hideMark/>
          </w:tcPr>
          <w:p w14:paraId="2A92286C"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8.95</w:t>
            </w:r>
          </w:p>
        </w:tc>
        <w:tc>
          <w:tcPr>
            <w:tcW w:w="1420" w:type="dxa"/>
            <w:tcBorders>
              <w:top w:val="nil"/>
              <w:left w:val="nil"/>
              <w:bottom w:val="single" w:sz="4" w:space="0" w:color="auto"/>
              <w:right w:val="single" w:sz="4" w:space="0" w:color="auto"/>
            </w:tcBorders>
            <w:shd w:val="clear" w:color="000000" w:fill="DAE9F8"/>
            <w:vAlign w:val="center"/>
            <w:hideMark/>
          </w:tcPr>
          <w:p w14:paraId="44258AB4"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0.95</w:t>
            </w:r>
          </w:p>
        </w:tc>
      </w:tr>
      <w:tr w:rsidR="008036BC" w:rsidRPr="00937F54" w14:paraId="21D5BCA3" w14:textId="77777777" w:rsidTr="008036BC">
        <w:trPr>
          <w:trHeight w:val="290"/>
        </w:trPr>
        <w:tc>
          <w:tcPr>
            <w:tcW w:w="2180" w:type="dxa"/>
            <w:tcBorders>
              <w:top w:val="nil"/>
              <w:left w:val="single" w:sz="4" w:space="0" w:color="auto"/>
              <w:bottom w:val="single" w:sz="4" w:space="0" w:color="auto"/>
              <w:right w:val="single" w:sz="4" w:space="0" w:color="auto"/>
            </w:tcBorders>
            <w:shd w:val="clear" w:color="000000" w:fill="DAE9F8"/>
            <w:vAlign w:val="center"/>
            <w:hideMark/>
          </w:tcPr>
          <w:p w14:paraId="123A5317" w14:textId="77777777" w:rsidR="008036BC" w:rsidRPr="00937F54" w:rsidRDefault="008036BC"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No. of Shares (M)</w:t>
            </w:r>
          </w:p>
        </w:tc>
        <w:tc>
          <w:tcPr>
            <w:tcW w:w="1620" w:type="dxa"/>
            <w:tcBorders>
              <w:top w:val="nil"/>
              <w:left w:val="nil"/>
              <w:bottom w:val="single" w:sz="4" w:space="0" w:color="auto"/>
              <w:right w:val="single" w:sz="4" w:space="0" w:color="auto"/>
            </w:tcBorders>
            <w:shd w:val="clear" w:color="000000" w:fill="DAE9F8"/>
            <w:vAlign w:val="center"/>
            <w:hideMark/>
          </w:tcPr>
          <w:p w14:paraId="629247BC"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1411.23</w:t>
            </w:r>
          </w:p>
        </w:tc>
        <w:tc>
          <w:tcPr>
            <w:tcW w:w="1620" w:type="dxa"/>
            <w:tcBorders>
              <w:top w:val="nil"/>
              <w:left w:val="nil"/>
              <w:bottom w:val="single" w:sz="4" w:space="0" w:color="auto"/>
              <w:right w:val="single" w:sz="4" w:space="0" w:color="auto"/>
            </w:tcBorders>
            <w:shd w:val="clear" w:color="000000" w:fill="DAE9F8"/>
            <w:vAlign w:val="center"/>
            <w:hideMark/>
          </w:tcPr>
          <w:p w14:paraId="20D6E1D9"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1411.23</w:t>
            </w:r>
          </w:p>
        </w:tc>
        <w:tc>
          <w:tcPr>
            <w:tcW w:w="1620" w:type="dxa"/>
            <w:tcBorders>
              <w:top w:val="nil"/>
              <w:left w:val="nil"/>
              <w:bottom w:val="single" w:sz="4" w:space="0" w:color="auto"/>
              <w:right w:val="single" w:sz="4" w:space="0" w:color="auto"/>
            </w:tcBorders>
            <w:shd w:val="clear" w:color="000000" w:fill="DAE9F8"/>
            <w:vAlign w:val="center"/>
            <w:hideMark/>
          </w:tcPr>
          <w:p w14:paraId="6EA3008B"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1411.23</w:t>
            </w:r>
          </w:p>
        </w:tc>
        <w:tc>
          <w:tcPr>
            <w:tcW w:w="1420" w:type="dxa"/>
            <w:tcBorders>
              <w:top w:val="nil"/>
              <w:left w:val="nil"/>
              <w:bottom w:val="single" w:sz="4" w:space="0" w:color="auto"/>
              <w:right w:val="single" w:sz="4" w:space="0" w:color="auto"/>
            </w:tcBorders>
            <w:shd w:val="clear" w:color="000000" w:fill="DAE9F8"/>
            <w:vAlign w:val="center"/>
            <w:hideMark/>
          </w:tcPr>
          <w:p w14:paraId="7E58D5F8"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129.55</w:t>
            </w:r>
          </w:p>
        </w:tc>
        <w:tc>
          <w:tcPr>
            <w:tcW w:w="1420" w:type="dxa"/>
            <w:tcBorders>
              <w:top w:val="nil"/>
              <w:left w:val="nil"/>
              <w:bottom w:val="single" w:sz="4" w:space="0" w:color="auto"/>
              <w:right w:val="single" w:sz="4" w:space="0" w:color="auto"/>
            </w:tcBorders>
            <w:shd w:val="clear" w:color="000000" w:fill="DAE9F8"/>
            <w:vAlign w:val="center"/>
            <w:hideMark/>
          </w:tcPr>
          <w:p w14:paraId="31158680"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1005.4</w:t>
            </w:r>
          </w:p>
        </w:tc>
      </w:tr>
      <w:tr w:rsidR="008036BC" w:rsidRPr="00937F54" w14:paraId="4F61B915" w14:textId="77777777" w:rsidTr="008036BC">
        <w:trPr>
          <w:trHeight w:val="290"/>
        </w:trPr>
        <w:tc>
          <w:tcPr>
            <w:tcW w:w="2180" w:type="dxa"/>
            <w:tcBorders>
              <w:top w:val="nil"/>
              <w:left w:val="single" w:sz="4" w:space="0" w:color="auto"/>
              <w:bottom w:val="single" w:sz="4" w:space="0" w:color="auto"/>
              <w:right w:val="single" w:sz="4" w:space="0" w:color="auto"/>
            </w:tcBorders>
            <w:shd w:val="clear" w:color="000000" w:fill="DAE9F8"/>
            <w:vAlign w:val="center"/>
            <w:hideMark/>
          </w:tcPr>
          <w:p w14:paraId="1FB26E6B" w14:textId="77777777" w:rsidR="008036BC" w:rsidRPr="00937F54" w:rsidRDefault="008036BC"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Total Liabilities</w:t>
            </w:r>
          </w:p>
        </w:tc>
        <w:tc>
          <w:tcPr>
            <w:tcW w:w="1620" w:type="dxa"/>
            <w:tcBorders>
              <w:top w:val="nil"/>
              <w:left w:val="nil"/>
              <w:bottom w:val="single" w:sz="4" w:space="0" w:color="auto"/>
              <w:right w:val="single" w:sz="4" w:space="0" w:color="auto"/>
            </w:tcBorders>
            <w:shd w:val="clear" w:color="000000" w:fill="DAE9F8"/>
            <w:vAlign w:val="center"/>
            <w:hideMark/>
          </w:tcPr>
          <w:p w14:paraId="1B42B100"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634.78</w:t>
            </w:r>
          </w:p>
        </w:tc>
        <w:tc>
          <w:tcPr>
            <w:tcW w:w="1620" w:type="dxa"/>
            <w:tcBorders>
              <w:top w:val="nil"/>
              <w:left w:val="nil"/>
              <w:bottom w:val="single" w:sz="4" w:space="0" w:color="auto"/>
              <w:right w:val="single" w:sz="4" w:space="0" w:color="auto"/>
            </w:tcBorders>
            <w:shd w:val="clear" w:color="000000" w:fill="DAE9F8"/>
            <w:vAlign w:val="center"/>
            <w:hideMark/>
          </w:tcPr>
          <w:p w14:paraId="688D1454"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697.57</w:t>
            </w:r>
          </w:p>
        </w:tc>
        <w:tc>
          <w:tcPr>
            <w:tcW w:w="1620" w:type="dxa"/>
            <w:tcBorders>
              <w:top w:val="nil"/>
              <w:left w:val="nil"/>
              <w:bottom w:val="single" w:sz="4" w:space="0" w:color="auto"/>
              <w:right w:val="single" w:sz="4" w:space="0" w:color="auto"/>
            </w:tcBorders>
            <w:shd w:val="clear" w:color="000000" w:fill="DAE9F8"/>
            <w:vAlign w:val="center"/>
            <w:hideMark/>
          </w:tcPr>
          <w:p w14:paraId="0751D7B9"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752.11</w:t>
            </w:r>
          </w:p>
        </w:tc>
        <w:tc>
          <w:tcPr>
            <w:tcW w:w="1420" w:type="dxa"/>
            <w:tcBorders>
              <w:top w:val="nil"/>
              <w:left w:val="nil"/>
              <w:bottom w:val="single" w:sz="4" w:space="0" w:color="auto"/>
              <w:right w:val="single" w:sz="4" w:space="0" w:color="auto"/>
            </w:tcBorders>
            <w:shd w:val="clear" w:color="000000" w:fill="DAE9F8"/>
            <w:vAlign w:val="center"/>
            <w:hideMark/>
          </w:tcPr>
          <w:p w14:paraId="69CD9BB0"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1453.3</w:t>
            </w:r>
          </w:p>
        </w:tc>
        <w:tc>
          <w:tcPr>
            <w:tcW w:w="1420" w:type="dxa"/>
            <w:tcBorders>
              <w:top w:val="nil"/>
              <w:left w:val="nil"/>
              <w:bottom w:val="single" w:sz="4" w:space="0" w:color="auto"/>
              <w:right w:val="single" w:sz="4" w:space="0" w:color="auto"/>
            </w:tcBorders>
            <w:shd w:val="clear" w:color="000000" w:fill="DAE9F8"/>
            <w:vAlign w:val="center"/>
            <w:hideMark/>
          </w:tcPr>
          <w:p w14:paraId="0FDA93B8"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1535.5</w:t>
            </w:r>
          </w:p>
        </w:tc>
      </w:tr>
      <w:tr w:rsidR="008036BC" w:rsidRPr="00937F54" w14:paraId="3EDB42BB" w14:textId="77777777" w:rsidTr="008036BC">
        <w:trPr>
          <w:trHeight w:val="290"/>
        </w:trPr>
        <w:tc>
          <w:tcPr>
            <w:tcW w:w="2180" w:type="dxa"/>
            <w:tcBorders>
              <w:top w:val="nil"/>
              <w:left w:val="single" w:sz="4" w:space="0" w:color="auto"/>
              <w:bottom w:val="single" w:sz="4" w:space="0" w:color="auto"/>
              <w:right w:val="single" w:sz="4" w:space="0" w:color="auto"/>
            </w:tcBorders>
            <w:shd w:val="clear" w:color="000000" w:fill="DAE9F8"/>
            <w:vAlign w:val="center"/>
            <w:hideMark/>
          </w:tcPr>
          <w:p w14:paraId="73064027" w14:textId="77777777" w:rsidR="008036BC" w:rsidRPr="00937F54" w:rsidRDefault="008036BC"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Sales</w:t>
            </w:r>
          </w:p>
        </w:tc>
        <w:tc>
          <w:tcPr>
            <w:tcW w:w="1620" w:type="dxa"/>
            <w:tcBorders>
              <w:top w:val="nil"/>
              <w:left w:val="nil"/>
              <w:bottom w:val="single" w:sz="4" w:space="0" w:color="auto"/>
              <w:right w:val="single" w:sz="4" w:space="0" w:color="auto"/>
            </w:tcBorders>
            <w:shd w:val="clear" w:color="000000" w:fill="DAE9F8"/>
            <w:vAlign w:val="center"/>
            <w:hideMark/>
          </w:tcPr>
          <w:p w14:paraId="51D81D17"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906</w:t>
            </w:r>
          </w:p>
        </w:tc>
        <w:tc>
          <w:tcPr>
            <w:tcW w:w="1620" w:type="dxa"/>
            <w:tcBorders>
              <w:top w:val="nil"/>
              <w:left w:val="nil"/>
              <w:bottom w:val="single" w:sz="4" w:space="0" w:color="auto"/>
              <w:right w:val="single" w:sz="4" w:space="0" w:color="auto"/>
            </w:tcBorders>
            <w:shd w:val="clear" w:color="000000" w:fill="DAE9F8"/>
            <w:vAlign w:val="center"/>
            <w:hideMark/>
          </w:tcPr>
          <w:p w14:paraId="6AE0DE2F"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954.1</w:t>
            </w:r>
          </w:p>
        </w:tc>
        <w:tc>
          <w:tcPr>
            <w:tcW w:w="1620" w:type="dxa"/>
            <w:tcBorders>
              <w:top w:val="nil"/>
              <w:left w:val="nil"/>
              <w:bottom w:val="single" w:sz="4" w:space="0" w:color="auto"/>
              <w:right w:val="single" w:sz="4" w:space="0" w:color="auto"/>
            </w:tcBorders>
            <w:shd w:val="clear" w:color="000000" w:fill="DAE9F8"/>
            <w:vAlign w:val="center"/>
            <w:hideMark/>
          </w:tcPr>
          <w:p w14:paraId="4FB8A151"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967</w:t>
            </w:r>
          </w:p>
        </w:tc>
        <w:tc>
          <w:tcPr>
            <w:tcW w:w="1420" w:type="dxa"/>
            <w:tcBorders>
              <w:top w:val="nil"/>
              <w:left w:val="nil"/>
              <w:bottom w:val="single" w:sz="4" w:space="0" w:color="auto"/>
              <w:right w:val="single" w:sz="4" w:space="0" w:color="auto"/>
            </w:tcBorders>
            <w:shd w:val="clear" w:color="000000" w:fill="DAE9F8"/>
            <w:vAlign w:val="center"/>
            <w:hideMark/>
          </w:tcPr>
          <w:p w14:paraId="79117E28"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3100.1</w:t>
            </w:r>
          </w:p>
        </w:tc>
        <w:tc>
          <w:tcPr>
            <w:tcW w:w="1420" w:type="dxa"/>
            <w:tcBorders>
              <w:top w:val="nil"/>
              <w:left w:val="nil"/>
              <w:bottom w:val="single" w:sz="4" w:space="0" w:color="auto"/>
              <w:right w:val="single" w:sz="4" w:space="0" w:color="auto"/>
            </w:tcBorders>
            <w:shd w:val="clear" w:color="000000" w:fill="DAE9F8"/>
            <w:vAlign w:val="center"/>
            <w:hideMark/>
          </w:tcPr>
          <w:p w14:paraId="2F21CDA7" w14:textId="77777777" w:rsidR="008036BC" w:rsidRPr="00937F54" w:rsidRDefault="008036BC" w:rsidP="00E262FC">
            <w:pPr>
              <w:spacing w:line="360" w:lineRule="auto"/>
              <w:jc w:val="center"/>
              <w:rPr>
                <w:rFonts w:eastAsia="Times New Roman"/>
                <w:color w:val="404040"/>
                <w:sz w:val="24"/>
                <w:szCs w:val="24"/>
                <w:lang w:val="en-US" w:eastAsia="zh-TW"/>
              </w:rPr>
            </w:pPr>
            <w:r w:rsidRPr="00937F54">
              <w:rPr>
                <w:rFonts w:eastAsia="Times New Roman"/>
                <w:color w:val="404040"/>
                <w:sz w:val="24"/>
                <w:szCs w:val="24"/>
                <w:lang w:val="en-US" w:eastAsia="zh-TW"/>
              </w:rPr>
              <w:t>3291.95</w:t>
            </w:r>
          </w:p>
        </w:tc>
      </w:tr>
    </w:tbl>
    <w:p w14:paraId="3F8783D8" w14:textId="70BB9571" w:rsidR="00294C76" w:rsidRDefault="00BF78EF" w:rsidP="00E262FC">
      <w:pPr>
        <w:spacing w:line="360" w:lineRule="auto"/>
        <w:rPr>
          <w:iCs/>
          <w:sz w:val="24"/>
          <w:szCs w:val="24"/>
          <w:lang w:val="en-US"/>
        </w:rPr>
      </w:pPr>
      <w:r w:rsidRPr="00937F54">
        <w:rPr>
          <w:iCs/>
          <w:sz w:val="24"/>
          <w:szCs w:val="24"/>
          <w:lang w:val="en-US"/>
        </w:rPr>
        <w:t>Table 2.1b: Altman Z-Score Calculation and Results</w:t>
      </w:r>
    </w:p>
    <w:p w14:paraId="2F0ECE0F" w14:textId="478474F4" w:rsidR="00BF78EF" w:rsidRPr="00937F54" w:rsidRDefault="00BF78EF" w:rsidP="00E262FC">
      <w:pPr>
        <w:spacing w:line="360" w:lineRule="auto"/>
        <w:rPr>
          <w:iCs/>
          <w:sz w:val="24"/>
          <w:szCs w:val="24"/>
          <w:lang w:val="en-US"/>
        </w:rPr>
      </w:pPr>
      <w:proofErr w:type="gramStart"/>
      <w:r w:rsidRPr="00937F54">
        <w:rPr>
          <w:iCs/>
          <w:sz w:val="24"/>
          <w:szCs w:val="24"/>
          <w:lang w:val="en-US"/>
        </w:rPr>
        <w:t>Z Score</w:t>
      </w:r>
      <w:proofErr w:type="gramEnd"/>
      <w:r w:rsidRPr="00937F54">
        <w:rPr>
          <w:iCs/>
          <w:sz w:val="24"/>
          <w:szCs w:val="24"/>
          <w:lang w:val="en-US"/>
        </w:rPr>
        <w:t xml:space="preserve"> Formula: Z = 1.2A + 1.4B + 3.3C + 0.6D + 1.0E</w:t>
      </w:r>
    </w:p>
    <w:p w14:paraId="6603E4A5" w14:textId="77777777" w:rsidR="00BF78EF" w:rsidRPr="00937F54" w:rsidRDefault="00BF78EF" w:rsidP="00E262FC">
      <w:pPr>
        <w:numPr>
          <w:ilvl w:val="0"/>
          <w:numId w:val="10"/>
        </w:numPr>
        <w:spacing w:line="360" w:lineRule="auto"/>
        <w:rPr>
          <w:iCs/>
          <w:sz w:val="24"/>
          <w:szCs w:val="24"/>
          <w:lang w:val="en-US"/>
        </w:rPr>
      </w:pPr>
      <w:r w:rsidRPr="00937F54">
        <w:rPr>
          <w:iCs/>
          <w:sz w:val="24"/>
          <w:szCs w:val="24"/>
          <w:lang w:val="en-US"/>
        </w:rPr>
        <w:t>A = Working Capital/Total Assets</w:t>
      </w:r>
    </w:p>
    <w:p w14:paraId="3E678DEB" w14:textId="77777777" w:rsidR="00BF78EF" w:rsidRPr="00937F54" w:rsidRDefault="00BF78EF" w:rsidP="00E262FC">
      <w:pPr>
        <w:numPr>
          <w:ilvl w:val="0"/>
          <w:numId w:val="10"/>
        </w:numPr>
        <w:spacing w:line="360" w:lineRule="auto"/>
        <w:rPr>
          <w:iCs/>
          <w:sz w:val="24"/>
          <w:szCs w:val="24"/>
          <w:lang w:val="en-US"/>
        </w:rPr>
      </w:pPr>
      <w:r w:rsidRPr="00937F54">
        <w:rPr>
          <w:iCs/>
          <w:sz w:val="24"/>
          <w:szCs w:val="24"/>
          <w:lang w:val="en-US"/>
        </w:rPr>
        <w:t>B = Retained Earnings/Total Assets</w:t>
      </w:r>
    </w:p>
    <w:p w14:paraId="25BC5381" w14:textId="77777777" w:rsidR="00BF78EF" w:rsidRPr="00937F54" w:rsidRDefault="00BF78EF" w:rsidP="00E262FC">
      <w:pPr>
        <w:numPr>
          <w:ilvl w:val="0"/>
          <w:numId w:val="10"/>
        </w:numPr>
        <w:spacing w:line="360" w:lineRule="auto"/>
        <w:rPr>
          <w:iCs/>
          <w:sz w:val="24"/>
          <w:szCs w:val="24"/>
          <w:lang w:val="en-US"/>
        </w:rPr>
      </w:pPr>
      <w:r w:rsidRPr="00937F54">
        <w:rPr>
          <w:iCs/>
          <w:sz w:val="24"/>
          <w:szCs w:val="24"/>
          <w:lang w:val="en-US"/>
        </w:rPr>
        <w:t>C = EBIT/Total Assets</w:t>
      </w:r>
    </w:p>
    <w:p w14:paraId="44DC3B41" w14:textId="77777777" w:rsidR="00BF78EF" w:rsidRPr="00937F54" w:rsidRDefault="00BF78EF" w:rsidP="00E262FC">
      <w:pPr>
        <w:numPr>
          <w:ilvl w:val="0"/>
          <w:numId w:val="10"/>
        </w:numPr>
        <w:spacing w:line="360" w:lineRule="auto"/>
        <w:rPr>
          <w:iCs/>
          <w:sz w:val="24"/>
          <w:szCs w:val="24"/>
          <w:lang w:val="en-US"/>
        </w:rPr>
      </w:pPr>
      <w:r w:rsidRPr="00937F54">
        <w:rPr>
          <w:iCs/>
          <w:sz w:val="24"/>
          <w:szCs w:val="24"/>
          <w:lang w:val="en-US"/>
        </w:rPr>
        <w:t>D = Market Value of Equity/Total Liabilities</w:t>
      </w:r>
    </w:p>
    <w:p w14:paraId="4FD9F9B7" w14:textId="77777777" w:rsidR="00BF78EF" w:rsidRDefault="00BF78EF" w:rsidP="00E262FC">
      <w:pPr>
        <w:numPr>
          <w:ilvl w:val="0"/>
          <w:numId w:val="10"/>
        </w:numPr>
        <w:spacing w:line="360" w:lineRule="auto"/>
        <w:rPr>
          <w:iCs/>
          <w:sz w:val="24"/>
          <w:szCs w:val="24"/>
          <w:lang w:val="en-US"/>
        </w:rPr>
      </w:pPr>
      <w:r w:rsidRPr="00937F54">
        <w:rPr>
          <w:iCs/>
          <w:sz w:val="24"/>
          <w:szCs w:val="24"/>
          <w:lang w:val="en-US"/>
        </w:rPr>
        <w:t>E = Sales/Total Assets</w:t>
      </w:r>
    </w:p>
    <w:p w14:paraId="111B4667" w14:textId="77777777" w:rsidR="00D6668C" w:rsidRDefault="00D6668C" w:rsidP="00D6668C">
      <w:pPr>
        <w:spacing w:line="360" w:lineRule="auto"/>
        <w:rPr>
          <w:iCs/>
          <w:sz w:val="24"/>
          <w:szCs w:val="24"/>
          <w:lang w:val="en-US"/>
        </w:rPr>
      </w:pPr>
    </w:p>
    <w:p w14:paraId="6BF319B7" w14:textId="77777777" w:rsidR="00D6668C" w:rsidRPr="00937F54" w:rsidRDefault="00D6668C" w:rsidP="00D6668C">
      <w:pPr>
        <w:spacing w:line="360" w:lineRule="auto"/>
        <w:rPr>
          <w:iCs/>
          <w:sz w:val="24"/>
          <w:szCs w:val="24"/>
          <w:lang w:val="en-US"/>
        </w:rPr>
      </w:pPr>
    </w:p>
    <w:tbl>
      <w:tblPr>
        <w:tblW w:w="9175" w:type="dxa"/>
        <w:tblLook w:val="04A0" w:firstRow="1" w:lastRow="0" w:firstColumn="1" w:lastColumn="0" w:noHBand="0" w:noVBand="1"/>
      </w:tblPr>
      <w:tblGrid>
        <w:gridCol w:w="1417"/>
        <w:gridCol w:w="1603"/>
        <w:gridCol w:w="1691"/>
        <w:gridCol w:w="1603"/>
        <w:gridCol w:w="1435"/>
        <w:gridCol w:w="1426"/>
      </w:tblGrid>
      <w:tr w:rsidR="00D471F0" w:rsidRPr="00937F54" w14:paraId="65FB697E" w14:textId="77777777" w:rsidTr="00D471F0">
        <w:trPr>
          <w:trHeight w:val="290"/>
        </w:trPr>
        <w:tc>
          <w:tcPr>
            <w:tcW w:w="1345" w:type="dxa"/>
            <w:tcBorders>
              <w:top w:val="single" w:sz="4" w:space="0" w:color="auto"/>
              <w:left w:val="single" w:sz="4" w:space="0" w:color="auto"/>
              <w:bottom w:val="single" w:sz="4" w:space="0" w:color="auto"/>
              <w:right w:val="single" w:sz="4" w:space="0" w:color="auto"/>
            </w:tcBorders>
            <w:shd w:val="clear" w:color="000000" w:fill="DAE9F8"/>
            <w:vAlign w:val="center"/>
            <w:hideMark/>
          </w:tcPr>
          <w:p w14:paraId="4648C89A" w14:textId="77777777" w:rsidR="00D471F0" w:rsidRPr="00937F54" w:rsidRDefault="00D471F0"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lastRenderedPageBreak/>
              <w:t>Component</w:t>
            </w:r>
          </w:p>
        </w:tc>
        <w:tc>
          <w:tcPr>
            <w:tcW w:w="1620" w:type="dxa"/>
            <w:tcBorders>
              <w:top w:val="single" w:sz="4" w:space="0" w:color="auto"/>
              <w:left w:val="nil"/>
              <w:bottom w:val="single" w:sz="4" w:space="0" w:color="auto"/>
              <w:right w:val="single" w:sz="4" w:space="0" w:color="auto"/>
            </w:tcBorders>
            <w:shd w:val="clear" w:color="000000" w:fill="DAE9F8"/>
            <w:vAlign w:val="center"/>
            <w:hideMark/>
          </w:tcPr>
          <w:p w14:paraId="71449016" w14:textId="77777777" w:rsidR="00D471F0" w:rsidRPr="00937F54" w:rsidRDefault="00D471F0"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Tsui Wah 2024</w:t>
            </w:r>
          </w:p>
        </w:tc>
        <w:tc>
          <w:tcPr>
            <w:tcW w:w="1710" w:type="dxa"/>
            <w:tcBorders>
              <w:top w:val="single" w:sz="4" w:space="0" w:color="auto"/>
              <w:left w:val="nil"/>
              <w:bottom w:val="single" w:sz="4" w:space="0" w:color="auto"/>
              <w:right w:val="single" w:sz="4" w:space="0" w:color="auto"/>
            </w:tcBorders>
            <w:shd w:val="clear" w:color="000000" w:fill="DAE9F8"/>
            <w:vAlign w:val="center"/>
            <w:hideMark/>
          </w:tcPr>
          <w:p w14:paraId="6E589B85" w14:textId="77777777" w:rsidR="00D471F0" w:rsidRPr="00937F54" w:rsidRDefault="00D471F0"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Tsui Wah 2023</w:t>
            </w:r>
          </w:p>
        </w:tc>
        <w:tc>
          <w:tcPr>
            <w:tcW w:w="1620" w:type="dxa"/>
            <w:tcBorders>
              <w:top w:val="single" w:sz="4" w:space="0" w:color="auto"/>
              <w:left w:val="nil"/>
              <w:bottom w:val="single" w:sz="4" w:space="0" w:color="auto"/>
              <w:right w:val="single" w:sz="4" w:space="0" w:color="auto"/>
            </w:tcBorders>
            <w:shd w:val="clear" w:color="000000" w:fill="DAE9F8"/>
            <w:vAlign w:val="center"/>
            <w:hideMark/>
          </w:tcPr>
          <w:p w14:paraId="58531D26" w14:textId="77777777" w:rsidR="00D471F0" w:rsidRPr="00937F54" w:rsidRDefault="00D471F0"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Tsui Wah 2022</w:t>
            </w:r>
          </w:p>
        </w:tc>
        <w:tc>
          <w:tcPr>
            <w:tcW w:w="1440" w:type="dxa"/>
            <w:tcBorders>
              <w:top w:val="single" w:sz="4" w:space="0" w:color="auto"/>
              <w:left w:val="nil"/>
              <w:bottom w:val="single" w:sz="4" w:space="0" w:color="auto"/>
              <w:right w:val="single" w:sz="4" w:space="0" w:color="auto"/>
            </w:tcBorders>
            <w:shd w:val="clear" w:color="000000" w:fill="DAE9F8"/>
            <w:vAlign w:val="center"/>
            <w:hideMark/>
          </w:tcPr>
          <w:p w14:paraId="079220F0" w14:textId="77777777" w:rsidR="00D471F0" w:rsidRPr="00937F54" w:rsidRDefault="00D471F0"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Fairwood 2024</w:t>
            </w:r>
          </w:p>
        </w:tc>
        <w:tc>
          <w:tcPr>
            <w:tcW w:w="1440" w:type="dxa"/>
            <w:tcBorders>
              <w:top w:val="single" w:sz="4" w:space="0" w:color="auto"/>
              <w:left w:val="nil"/>
              <w:bottom w:val="single" w:sz="4" w:space="0" w:color="auto"/>
              <w:right w:val="single" w:sz="4" w:space="0" w:color="auto"/>
            </w:tcBorders>
            <w:shd w:val="clear" w:color="000000" w:fill="DAE9F8"/>
            <w:vAlign w:val="center"/>
            <w:hideMark/>
          </w:tcPr>
          <w:p w14:paraId="0C063A68" w14:textId="77777777" w:rsidR="00D471F0" w:rsidRPr="00937F54" w:rsidRDefault="00D471F0"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Tai Hing 2024</w:t>
            </w:r>
          </w:p>
        </w:tc>
      </w:tr>
      <w:tr w:rsidR="00D471F0" w:rsidRPr="00937F54" w14:paraId="14880A5D" w14:textId="77777777" w:rsidTr="00D471F0">
        <w:trPr>
          <w:trHeight w:val="290"/>
        </w:trPr>
        <w:tc>
          <w:tcPr>
            <w:tcW w:w="1345" w:type="dxa"/>
            <w:tcBorders>
              <w:top w:val="nil"/>
              <w:left w:val="single" w:sz="4" w:space="0" w:color="auto"/>
              <w:bottom w:val="single" w:sz="4" w:space="0" w:color="auto"/>
              <w:right w:val="single" w:sz="4" w:space="0" w:color="auto"/>
            </w:tcBorders>
            <w:shd w:val="clear" w:color="000000" w:fill="DAE9F8"/>
            <w:vAlign w:val="center"/>
            <w:hideMark/>
          </w:tcPr>
          <w:p w14:paraId="790AEC13" w14:textId="77777777" w:rsidR="00D471F0" w:rsidRPr="00937F54" w:rsidRDefault="00D471F0"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A</w:t>
            </w:r>
          </w:p>
        </w:tc>
        <w:tc>
          <w:tcPr>
            <w:tcW w:w="1620" w:type="dxa"/>
            <w:tcBorders>
              <w:top w:val="nil"/>
              <w:left w:val="nil"/>
              <w:bottom w:val="single" w:sz="4" w:space="0" w:color="auto"/>
              <w:right w:val="single" w:sz="4" w:space="0" w:color="auto"/>
            </w:tcBorders>
            <w:shd w:val="clear" w:color="000000" w:fill="DAE9F8"/>
            <w:vAlign w:val="center"/>
            <w:hideMark/>
          </w:tcPr>
          <w:p w14:paraId="330F84EC"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0.008</w:t>
            </w:r>
          </w:p>
        </w:tc>
        <w:tc>
          <w:tcPr>
            <w:tcW w:w="1710" w:type="dxa"/>
            <w:tcBorders>
              <w:top w:val="nil"/>
              <w:left w:val="nil"/>
              <w:bottom w:val="single" w:sz="4" w:space="0" w:color="auto"/>
              <w:right w:val="single" w:sz="4" w:space="0" w:color="auto"/>
            </w:tcBorders>
            <w:shd w:val="clear" w:color="000000" w:fill="DAE9F8"/>
            <w:vAlign w:val="center"/>
            <w:hideMark/>
          </w:tcPr>
          <w:p w14:paraId="756B1A7D"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0.047</w:t>
            </w:r>
          </w:p>
        </w:tc>
        <w:tc>
          <w:tcPr>
            <w:tcW w:w="1620" w:type="dxa"/>
            <w:tcBorders>
              <w:top w:val="nil"/>
              <w:left w:val="nil"/>
              <w:bottom w:val="single" w:sz="4" w:space="0" w:color="auto"/>
              <w:right w:val="single" w:sz="4" w:space="0" w:color="auto"/>
            </w:tcBorders>
            <w:shd w:val="clear" w:color="000000" w:fill="DAE9F8"/>
            <w:vAlign w:val="center"/>
            <w:hideMark/>
          </w:tcPr>
          <w:p w14:paraId="28E41590"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0.062</w:t>
            </w:r>
          </w:p>
        </w:tc>
        <w:tc>
          <w:tcPr>
            <w:tcW w:w="1440" w:type="dxa"/>
            <w:tcBorders>
              <w:top w:val="nil"/>
              <w:left w:val="nil"/>
              <w:bottom w:val="single" w:sz="4" w:space="0" w:color="auto"/>
              <w:right w:val="single" w:sz="4" w:space="0" w:color="auto"/>
            </w:tcBorders>
            <w:shd w:val="clear" w:color="000000" w:fill="DAE9F8"/>
            <w:vAlign w:val="center"/>
            <w:hideMark/>
          </w:tcPr>
          <w:p w14:paraId="511BFB5F"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-0.052</w:t>
            </w:r>
          </w:p>
        </w:tc>
        <w:tc>
          <w:tcPr>
            <w:tcW w:w="1440" w:type="dxa"/>
            <w:tcBorders>
              <w:top w:val="nil"/>
              <w:left w:val="nil"/>
              <w:bottom w:val="single" w:sz="4" w:space="0" w:color="auto"/>
              <w:right w:val="single" w:sz="4" w:space="0" w:color="auto"/>
            </w:tcBorders>
            <w:shd w:val="clear" w:color="000000" w:fill="DAE9F8"/>
            <w:vAlign w:val="center"/>
            <w:hideMark/>
          </w:tcPr>
          <w:p w14:paraId="39873EFC"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-0.091</w:t>
            </w:r>
          </w:p>
        </w:tc>
      </w:tr>
      <w:tr w:rsidR="00D471F0" w:rsidRPr="00937F54" w14:paraId="30ABA59E" w14:textId="77777777" w:rsidTr="00D471F0">
        <w:trPr>
          <w:trHeight w:val="290"/>
        </w:trPr>
        <w:tc>
          <w:tcPr>
            <w:tcW w:w="1345" w:type="dxa"/>
            <w:tcBorders>
              <w:top w:val="nil"/>
              <w:left w:val="single" w:sz="4" w:space="0" w:color="auto"/>
              <w:bottom w:val="single" w:sz="4" w:space="0" w:color="auto"/>
              <w:right w:val="single" w:sz="4" w:space="0" w:color="auto"/>
            </w:tcBorders>
            <w:shd w:val="clear" w:color="000000" w:fill="DAE9F8"/>
            <w:vAlign w:val="center"/>
            <w:hideMark/>
          </w:tcPr>
          <w:p w14:paraId="420249D5" w14:textId="77777777" w:rsidR="00D471F0" w:rsidRPr="00937F54" w:rsidRDefault="00D471F0"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B</w:t>
            </w:r>
          </w:p>
        </w:tc>
        <w:tc>
          <w:tcPr>
            <w:tcW w:w="1620" w:type="dxa"/>
            <w:tcBorders>
              <w:top w:val="nil"/>
              <w:left w:val="nil"/>
              <w:bottom w:val="single" w:sz="4" w:space="0" w:color="auto"/>
              <w:right w:val="single" w:sz="4" w:space="0" w:color="auto"/>
            </w:tcBorders>
            <w:shd w:val="clear" w:color="000000" w:fill="DAE9F8"/>
            <w:vAlign w:val="center"/>
            <w:hideMark/>
          </w:tcPr>
          <w:p w14:paraId="6CD7451F"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0.262</w:t>
            </w:r>
          </w:p>
        </w:tc>
        <w:tc>
          <w:tcPr>
            <w:tcW w:w="1710" w:type="dxa"/>
            <w:tcBorders>
              <w:top w:val="nil"/>
              <w:left w:val="nil"/>
              <w:bottom w:val="single" w:sz="4" w:space="0" w:color="auto"/>
              <w:right w:val="single" w:sz="4" w:space="0" w:color="auto"/>
            </w:tcBorders>
            <w:shd w:val="clear" w:color="000000" w:fill="DAE9F8"/>
            <w:vAlign w:val="center"/>
            <w:hideMark/>
          </w:tcPr>
          <w:p w14:paraId="1983A0D0"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0.272</w:t>
            </w:r>
          </w:p>
        </w:tc>
        <w:tc>
          <w:tcPr>
            <w:tcW w:w="1620" w:type="dxa"/>
            <w:tcBorders>
              <w:top w:val="nil"/>
              <w:left w:val="nil"/>
              <w:bottom w:val="single" w:sz="4" w:space="0" w:color="auto"/>
              <w:right w:val="single" w:sz="4" w:space="0" w:color="auto"/>
            </w:tcBorders>
            <w:shd w:val="clear" w:color="000000" w:fill="DAE9F8"/>
            <w:vAlign w:val="center"/>
            <w:hideMark/>
          </w:tcPr>
          <w:p w14:paraId="69BD0A6D"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0.28</w:t>
            </w:r>
          </w:p>
        </w:tc>
        <w:tc>
          <w:tcPr>
            <w:tcW w:w="1440" w:type="dxa"/>
            <w:tcBorders>
              <w:top w:val="nil"/>
              <w:left w:val="nil"/>
              <w:bottom w:val="single" w:sz="4" w:space="0" w:color="auto"/>
              <w:right w:val="single" w:sz="4" w:space="0" w:color="auto"/>
            </w:tcBorders>
            <w:shd w:val="clear" w:color="000000" w:fill="DAE9F8"/>
            <w:vAlign w:val="center"/>
            <w:hideMark/>
          </w:tcPr>
          <w:p w14:paraId="1445E0A6"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0.248</w:t>
            </w:r>
          </w:p>
        </w:tc>
        <w:tc>
          <w:tcPr>
            <w:tcW w:w="1440" w:type="dxa"/>
            <w:tcBorders>
              <w:top w:val="nil"/>
              <w:left w:val="nil"/>
              <w:bottom w:val="single" w:sz="4" w:space="0" w:color="auto"/>
              <w:right w:val="single" w:sz="4" w:space="0" w:color="auto"/>
            </w:tcBorders>
            <w:shd w:val="clear" w:color="000000" w:fill="DAE9F8"/>
            <w:vAlign w:val="center"/>
            <w:hideMark/>
          </w:tcPr>
          <w:p w14:paraId="57C80D1B"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0.375</w:t>
            </w:r>
          </w:p>
        </w:tc>
      </w:tr>
      <w:tr w:rsidR="00D471F0" w:rsidRPr="00937F54" w14:paraId="7EF78D12" w14:textId="77777777" w:rsidTr="00D471F0">
        <w:trPr>
          <w:trHeight w:val="290"/>
        </w:trPr>
        <w:tc>
          <w:tcPr>
            <w:tcW w:w="1345" w:type="dxa"/>
            <w:tcBorders>
              <w:top w:val="nil"/>
              <w:left w:val="single" w:sz="4" w:space="0" w:color="auto"/>
              <w:bottom w:val="single" w:sz="4" w:space="0" w:color="auto"/>
              <w:right w:val="single" w:sz="4" w:space="0" w:color="auto"/>
            </w:tcBorders>
            <w:shd w:val="clear" w:color="000000" w:fill="DAE9F8"/>
            <w:vAlign w:val="center"/>
            <w:hideMark/>
          </w:tcPr>
          <w:p w14:paraId="43FD6BF3" w14:textId="77777777" w:rsidR="00D471F0" w:rsidRPr="00937F54" w:rsidRDefault="00D471F0"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C</w:t>
            </w:r>
          </w:p>
        </w:tc>
        <w:tc>
          <w:tcPr>
            <w:tcW w:w="1620" w:type="dxa"/>
            <w:tcBorders>
              <w:top w:val="nil"/>
              <w:left w:val="nil"/>
              <w:bottom w:val="single" w:sz="4" w:space="0" w:color="auto"/>
              <w:right w:val="single" w:sz="4" w:space="0" w:color="auto"/>
            </w:tcBorders>
            <w:shd w:val="clear" w:color="000000" w:fill="DAE9F8"/>
            <w:vAlign w:val="center"/>
            <w:hideMark/>
          </w:tcPr>
          <w:p w14:paraId="6C23230A"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0.019</w:t>
            </w:r>
          </w:p>
        </w:tc>
        <w:tc>
          <w:tcPr>
            <w:tcW w:w="1710" w:type="dxa"/>
            <w:tcBorders>
              <w:top w:val="nil"/>
              <w:left w:val="nil"/>
              <w:bottom w:val="single" w:sz="4" w:space="0" w:color="auto"/>
              <w:right w:val="single" w:sz="4" w:space="0" w:color="auto"/>
            </w:tcBorders>
            <w:shd w:val="clear" w:color="000000" w:fill="DAE9F8"/>
            <w:vAlign w:val="center"/>
            <w:hideMark/>
          </w:tcPr>
          <w:p w14:paraId="1B0427B4"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0.031</w:t>
            </w:r>
          </w:p>
        </w:tc>
        <w:tc>
          <w:tcPr>
            <w:tcW w:w="1620" w:type="dxa"/>
            <w:tcBorders>
              <w:top w:val="nil"/>
              <w:left w:val="nil"/>
              <w:bottom w:val="single" w:sz="4" w:space="0" w:color="auto"/>
              <w:right w:val="single" w:sz="4" w:space="0" w:color="auto"/>
            </w:tcBorders>
            <w:shd w:val="clear" w:color="000000" w:fill="DAE9F8"/>
            <w:vAlign w:val="center"/>
            <w:hideMark/>
          </w:tcPr>
          <w:p w14:paraId="0973DB9E"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0.041</w:t>
            </w:r>
          </w:p>
        </w:tc>
        <w:tc>
          <w:tcPr>
            <w:tcW w:w="1440" w:type="dxa"/>
            <w:tcBorders>
              <w:top w:val="nil"/>
              <w:left w:val="nil"/>
              <w:bottom w:val="single" w:sz="4" w:space="0" w:color="auto"/>
              <w:right w:val="single" w:sz="4" w:space="0" w:color="auto"/>
            </w:tcBorders>
            <w:shd w:val="clear" w:color="000000" w:fill="DAE9F8"/>
            <w:vAlign w:val="center"/>
            <w:hideMark/>
          </w:tcPr>
          <w:p w14:paraId="3CBCEADB"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0.034</w:t>
            </w:r>
          </w:p>
        </w:tc>
        <w:tc>
          <w:tcPr>
            <w:tcW w:w="1440" w:type="dxa"/>
            <w:tcBorders>
              <w:top w:val="nil"/>
              <w:left w:val="nil"/>
              <w:bottom w:val="single" w:sz="4" w:space="0" w:color="auto"/>
              <w:right w:val="single" w:sz="4" w:space="0" w:color="auto"/>
            </w:tcBorders>
            <w:shd w:val="clear" w:color="000000" w:fill="DAE9F8"/>
            <w:vAlign w:val="center"/>
            <w:hideMark/>
          </w:tcPr>
          <w:p w14:paraId="368A9EB6"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0.032</w:t>
            </w:r>
          </w:p>
        </w:tc>
      </w:tr>
      <w:tr w:rsidR="00D471F0" w:rsidRPr="00937F54" w14:paraId="0B395BAE" w14:textId="77777777" w:rsidTr="00D471F0">
        <w:trPr>
          <w:trHeight w:val="290"/>
        </w:trPr>
        <w:tc>
          <w:tcPr>
            <w:tcW w:w="1345" w:type="dxa"/>
            <w:tcBorders>
              <w:top w:val="nil"/>
              <w:left w:val="single" w:sz="4" w:space="0" w:color="auto"/>
              <w:bottom w:val="single" w:sz="4" w:space="0" w:color="auto"/>
              <w:right w:val="single" w:sz="4" w:space="0" w:color="auto"/>
            </w:tcBorders>
            <w:shd w:val="clear" w:color="000000" w:fill="DAE9F8"/>
            <w:vAlign w:val="center"/>
            <w:hideMark/>
          </w:tcPr>
          <w:p w14:paraId="79EBED63" w14:textId="77777777" w:rsidR="00D471F0" w:rsidRPr="00937F54" w:rsidRDefault="00D471F0"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D</w:t>
            </w:r>
          </w:p>
        </w:tc>
        <w:tc>
          <w:tcPr>
            <w:tcW w:w="1620" w:type="dxa"/>
            <w:tcBorders>
              <w:top w:val="nil"/>
              <w:left w:val="nil"/>
              <w:bottom w:val="single" w:sz="4" w:space="0" w:color="auto"/>
              <w:right w:val="single" w:sz="4" w:space="0" w:color="auto"/>
            </w:tcBorders>
            <w:shd w:val="clear" w:color="000000" w:fill="DAE9F8"/>
            <w:vAlign w:val="center"/>
            <w:hideMark/>
          </w:tcPr>
          <w:p w14:paraId="6AFEE6EC"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0.445</w:t>
            </w:r>
          </w:p>
        </w:tc>
        <w:tc>
          <w:tcPr>
            <w:tcW w:w="1710" w:type="dxa"/>
            <w:tcBorders>
              <w:top w:val="nil"/>
              <w:left w:val="nil"/>
              <w:bottom w:val="single" w:sz="4" w:space="0" w:color="auto"/>
              <w:right w:val="single" w:sz="4" w:space="0" w:color="auto"/>
            </w:tcBorders>
            <w:shd w:val="clear" w:color="000000" w:fill="DAE9F8"/>
            <w:vAlign w:val="center"/>
            <w:hideMark/>
          </w:tcPr>
          <w:p w14:paraId="4FEDE498"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0.429</w:t>
            </w:r>
          </w:p>
        </w:tc>
        <w:tc>
          <w:tcPr>
            <w:tcW w:w="1620" w:type="dxa"/>
            <w:tcBorders>
              <w:top w:val="nil"/>
              <w:left w:val="nil"/>
              <w:bottom w:val="single" w:sz="4" w:space="0" w:color="auto"/>
              <w:right w:val="single" w:sz="4" w:space="0" w:color="auto"/>
            </w:tcBorders>
            <w:shd w:val="clear" w:color="000000" w:fill="DAE9F8"/>
            <w:vAlign w:val="center"/>
            <w:hideMark/>
          </w:tcPr>
          <w:p w14:paraId="7467749B"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0.438</w:t>
            </w:r>
          </w:p>
        </w:tc>
        <w:tc>
          <w:tcPr>
            <w:tcW w:w="1440" w:type="dxa"/>
            <w:tcBorders>
              <w:top w:val="nil"/>
              <w:left w:val="nil"/>
              <w:bottom w:val="single" w:sz="4" w:space="0" w:color="auto"/>
              <w:right w:val="single" w:sz="4" w:space="0" w:color="auto"/>
            </w:tcBorders>
            <w:shd w:val="clear" w:color="000000" w:fill="DAE9F8"/>
            <w:vAlign w:val="center"/>
            <w:hideMark/>
          </w:tcPr>
          <w:p w14:paraId="3FF152E6"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0.498</w:t>
            </w:r>
          </w:p>
        </w:tc>
        <w:tc>
          <w:tcPr>
            <w:tcW w:w="1440" w:type="dxa"/>
            <w:tcBorders>
              <w:top w:val="nil"/>
              <w:left w:val="nil"/>
              <w:bottom w:val="single" w:sz="4" w:space="0" w:color="auto"/>
              <w:right w:val="single" w:sz="4" w:space="0" w:color="auto"/>
            </w:tcBorders>
            <w:shd w:val="clear" w:color="000000" w:fill="DAE9F8"/>
            <w:vAlign w:val="center"/>
            <w:hideMark/>
          </w:tcPr>
          <w:p w14:paraId="28060D4F"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0.681</w:t>
            </w:r>
          </w:p>
        </w:tc>
      </w:tr>
      <w:tr w:rsidR="00D471F0" w:rsidRPr="00937F54" w14:paraId="7A73289A" w14:textId="77777777" w:rsidTr="00D471F0">
        <w:trPr>
          <w:trHeight w:val="290"/>
        </w:trPr>
        <w:tc>
          <w:tcPr>
            <w:tcW w:w="1345" w:type="dxa"/>
            <w:tcBorders>
              <w:top w:val="nil"/>
              <w:left w:val="single" w:sz="4" w:space="0" w:color="auto"/>
              <w:bottom w:val="single" w:sz="4" w:space="0" w:color="auto"/>
              <w:right w:val="single" w:sz="4" w:space="0" w:color="auto"/>
            </w:tcBorders>
            <w:shd w:val="clear" w:color="000000" w:fill="DAE9F8"/>
            <w:vAlign w:val="center"/>
            <w:hideMark/>
          </w:tcPr>
          <w:p w14:paraId="327EDCBB" w14:textId="77777777" w:rsidR="00D471F0" w:rsidRPr="00937F54" w:rsidRDefault="00D471F0"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E</w:t>
            </w:r>
          </w:p>
        </w:tc>
        <w:tc>
          <w:tcPr>
            <w:tcW w:w="1620" w:type="dxa"/>
            <w:tcBorders>
              <w:top w:val="nil"/>
              <w:left w:val="nil"/>
              <w:bottom w:val="single" w:sz="4" w:space="0" w:color="auto"/>
              <w:right w:val="single" w:sz="4" w:space="0" w:color="auto"/>
            </w:tcBorders>
            <w:shd w:val="clear" w:color="000000" w:fill="DAE9F8"/>
            <w:vAlign w:val="center"/>
            <w:hideMark/>
          </w:tcPr>
          <w:p w14:paraId="47E6C674"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0.704</w:t>
            </w:r>
          </w:p>
        </w:tc>
        <w:tc>
          <w:tcPr>
            <w:tcW w:w="1710" w:type="dxa"/>
            <w:tcBorders>
              <w:top w:val="nil"/>
              <w:left w:val="nil"/>
              <w:bottom w:val="single" w:sz="4" w:space="0" w:color="auto"/>
              <w:right w:val="single" w:sz="4" w:space="0" w:color="auto"/>
            </w:tcBorders>
            <w:shd w:val="clear" w:color="000000" w:fill="DAE9F8"/>
            <w:vAlign w:val="center"/>
            <w:hideMark/>
          </w:tcPr>
          <w:p w14:paraId="7B5825C8"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0.671</w:t>
            </w:r>
          </w:p>
        </w:tc>
        <w:tc>
          <w:tcPr>
            <w:tcW w:w="1620" w:type="dxa"/>
            <w:tcBorders>
              <w:top w:val="nil"/>
              <w:left w:val="nil"/>
              <w:bottom w:val="single" w:sz="4" w:space="0" w:color="auto"/>
              <w:right w:val="single" w:sz="4" w:space="0" w:color="auto"/>
            </w:tcBorders>
            <w:shd w:val="clear" w:color="000000" w:fill="DAE9F8"/>
            <w:vAlign w:val="center"/>
            <w:hideMark/>
          </w:tcPr>
          <w:p w14:paraId="7FAE5B18"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0.639</w:t>
            </w:r>
          </w:p>
        </w:tc>
        <w:tc>
          <w:tcPr>
            <w:tcW w:w="1440" w:type="dxa"/>
            <w:tcBorders>
              <w:top w:val="nil"/>
              <w:left w:val="nil"/>
              <w:bottom w:val="single" w:sz="4" w:space="0" w:color="auto"/>
              <w:right w:val="single" w:sz="4" w:space="0" w:color="auto"/>
            </w:tcBorders>
            <w:shd w:val="clear" w:color="000000" w:fill="DAE9F8"/>
            <w:vAlign w:val="center"/>
            <w:hideMark/>
          </w:tcPr>
          <w:p w14:paraId="5EE9A838"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1.473</w:t>
            </w:r>
          </w:p>
        </w:tc>
        <w:tc>
          <w:tcPr>
            <w:tcW w:w="1440" w:type="dxa"/>
            <w:tcBorders>
              <w:top w:val="nil"/>
              <w:left w:val="nil"/>
              <w:bottom w:val="single" w:sz="4" w:space="0" w:color="auto"/>
              <w:right w:val="single" w:sz="4" w:space="0" w:color="auto"/>
            </w:tcBorders>
            <w:shd w:val="clear" w:color="000000" w:fill="DAE9F8"/>
            <w:vAlign w:val="center"/>
            <w:hideMark/>
          </w:tcPr>
          <w:p w14:paraId="44E759F7"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1.332</w:t>
            </w:r>
          </w:p>
        </w:tc>
      </w:tr>
      <w:tr w:rsidR="00D471F0" w:rsidRPr="00937F54" w14:paraId="663FCD84" w14:textId="77777777" w:rsidTr="00D471F0">
        <w:trPr>
          <w:trHeight w:val="290"/>
        </w:trPr>
        <w:tc>
          <w:tcPr>
            <w:tcW w:w="1345" w:type="dxa"/>
            <w:tcBorders>
              <w:top w:val="nil"/>
              <w:left w:val="single" w:sz="4" w:space="0" w:color="auto"/>
              <w:bottom w:val="single" w:sz="4" w:space="0" w:color="auto"/>
              <w:right w:val="single" w:sz="4" w:space="0" w:color="auto"/>
            </w:tcBorders>
            <w:shd w:val="clear" w:color="000000" w:fill="DAE9F8"/>
            <w:vAlign w:val="center"/>
            <w:hideMark/>
          </w:tcPr>
          <w:p w14:paraId="2EE98DEA" w14:textId="77777777" w:rsidR="00D471F0" w:rsidRPr="00937F54" w:rsidRDefault="00D471F0"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Z-Score</w:t>
            </w:r>
          </w:p>
        </w:tc>
        <w:tc>
          <w:tcPr>
            <w:tcW w:w="1620" w:type="dxa"/>
            <w:tcBorders>
              <w:top w:val="nil"/>
              <w:left w:val="nil"/>
              <w:bottom w:val="single" w:sz="4" w:space="0" w:color="auto"/>
              <w:right w:val="single" w:sz="4" w:space="0" w:color="auto"/>
            </w:tcBorders>
            <w:shd w:val="clear" w:color="000000" w:fill="DAE9F8"/>
            <w:vAlign w:val="center"/>
            <w:hideMark/>
          </w:tcPr>
          <w:p w14:paraId="50F6081F"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1.41</w:t>
            </w:r>
          </w:p>
        </w:tc>
        <w:tc>
          <w:tcPr>
            <w:tcW w:w="1710" w:type="dxa"/>
            <w:tcBorders>
              <w:top w:val="nil"/>
              <w:left w:val="nil"/>
              <w:bottom w:val="single" w:sz="4" w:space="0" w:color="auto"/>
              <w:right w:val="single" w:sz="4" w:space="0" w:color="auto"/>
            </w:tcBorders>
            <w:shd w:val="clear" w:color="000000" w:fill="DAE9F8"/>
            <w:vAlign w:val="center"/>
            <w:hideMark/>
          </w:tcPr>
          <w:p w14:paraId="09A27D5C"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1.69</w:t>
            </w:r>
          </w:p>
        </w:tc>
        <w:tc>
          <w:tcPr>
            <w:tcW w:w="1620" w:type="dxa"/>
            <w:tcBorders>
              <w:top w:val="nil"/>
              <w:left w:val="nil"/>
              <w:bottom w:val="single" w:sz="4" w:space="0" w:color="auto"/>
              <w:right w:val="single" w:sz="4" w:space="0" w:color="auto"/>
            </w:tcBorders>
            <w:shd w:val="clear" w:color="000000" w:fill="DAE9F8"/>
            <w:vAlign w:val="center"/>
            <w:hideMark/>
          </w:tcPr>
          <w:p w14:paraId="39AFDBB5"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1.78</w:t>
            </w:r>
          </w:p>
        </w:tc>
        <w:tc>
          <w:tcPr>
            <w:tcW w:w="1440" w:type="dxa"/>
            <w:tcBorders>
              <w:top w:val="nil"/>
              <w:left w:val="nil"/>
              <w:bottom w:val="single" w:sz="4" w:space="0" w:color="auto"/>
              <w:right w:val="single" w:sz="4" w:space="0" w:color="auto"/>
            </w:tcBorders>
            <w:shd w:val="clear" w:color="000000" w:fill="DAE9F8"/>
            <w:vAlign w:val="center"/>
            <w:hideMark/>
          </w:tcPr>
          <w:p w14:paraId="2A8C8BD1"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2.17</w:t>
            </w:r>
          </w:p>
        </w:tc>
        <w:tc>
          <w:tcPr>
            <w:tcW w:w="1440" w:type="dxa"/>
            <w:tcBorders>
              <w:top w:val="nil"/>
              <w:left w:val="nil"/>
              <w:bottom w:val="single" w:sz="4" w:space="0" w:color="auto"/>
              <w:right w:val="single" w:sz="4" w:space="0" w:color="auto"/>
            </w:tcBorders>
            <w:shd w:val="clear" w:color="000000" w:fill="DAE9F8"/>
            <w:vAlign w:val="center"/>
            <w:hideMark/>
          </w:tcPr>
          <w:p w14:paraId="6CDC9B54" w14:textId="77777777" w:rsidR="00D471F0" w:rsidRPr="00937F54" w:rsidRDefault="00D471F0"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2.26</w:t>
            </w:r>
          </w:p>
        </w:tc>
      </w:tr>
    </w:tbl>
    <w:p w14:paraId="594DF338" w14:textId="77777777" w:rsidR="00BF78EF" w:rsidRPr="00937F54" w:rsidRDefault="00BF78EF" w:rsidP="00E262FC">
      <w:pPr>
        <w:spacing w:line="360" w:lineRule="auto"/>
        <w:rPr>
          <w:iCs/>
          <w:sz w:val="24"/>
          <w:szCs w:val="24"/>
          <w:lang w:val="en-US"/>
        </w:rPr>
      </w:pPr>
    </w:p>
    <w:p w14:paraId="38B91744" w14:textId="33F08658" w:rsidR="0069305E" w:rsidRPr="00937F54" w:rsidRDefault="0069305E" w:rsidP="00E262FC">
      <w:pPr>
        <w:spacing w:line="360" w:lineRule="auto"/>
        <w:rPr>
          <w:iCs/>
          <w:sz w:val="24"/>
          <w:szCs w:val="24"/>
        </w:rPr>
      </w:pPr>
      <w:r w:rsidRPr="00937F54">
        <w:rPr>
          <w:iCs/>
          <w:sz w:val="24"/>
          <w:szCs w:val="24"/>
        </w:rPr>
        <w:t xml:space="preserve">Listed Companies Insolvency Index Analysis: Tsui Wah's Z-Score shows deterioration from 1.78 (2022) to 1.41 (2024), indicating movement deeper into the distress zone, demonstrating weakening financial soundness compared to peers in the </w:t>
      </w:r>
      <w:r w:rsidR="005E0664" w:rsidRPr="00937F54">
        <w:rPr>
          <w:iCs/>
          <w:sz w:val="24"/>
          <w:szCs w:val="24"/>
        </w:rPr>
        <w:t>grey</w:t>
      </w:r>
      <w:r w:rsidRPr="00937F54">
        <w:rPr>
          <w:iCs/>
          <w:sz w:val="24"/>
          <w:szCs w:val="24"/>
        </w:rPr>
        <w:t xml:space="preserve"> zone.</w:t>
      </w:r>
    </w:p>
    <w:p w14:paraId="0F4A0803" w14:textId="77777777" w:rsidR="005E0664" w:rsidRPr="00D6668C" w:rsidRDefault="005E0664" w:rsidP="00E262FC">
      <w:pPr>
        <w:spacing w:line="360" w:lineRule="auto"/>
        <w:rPr>
          <w:b/>
          <w:bCs/>
          <w:iCs/>
          <w:sz w:val="24"/>
          <w:szCs w:val="24"/>
          <w:lang w:val="en-US"/>
        </w:rPr>
      </w:pPr>
      <w:r w:rsidRPr="00D6668C">
        <w:rPr>
          <w:b/>
          <w:bCs/>
          <w:iCs/>
          <w:sz w:val="24"/>
          <w:szCs w:val="24"/>
          <w:lang w:val="en-US"/>
        </w:rPr>
        <w:t>2.2 Financial Structure Analysis</w:t>
      </w:r>
    </w:p>
    <w:tbl>
      <w:tblPr>
        <w:tblW w:w="8900" w:type="dxa"/>
        <w:tblLook w:val="04A0" w:firstRow="1" w:lastRow="0" w:firstColumn="1" w:lastColumn="0" w:noHBand="0" w:noVBand="1"/>
      </w:tblPr>
      <w:tblGrid>
        <w:gridCol w:w="2149"/>
        <w:gridCol w:w="1106"/>
        <w:gridCol w:w="1107"/>
        <w:gridCol w:w="1107"/>
        <w:gridCol w:w="1203"/>
        <w:gridCol w:w="1108"/>
        <w:gridCol w:w="1120"/>
      </w:tblGrid>
      <w:tr w:rsidR="00C33E42" w:rsidRPr="00937F54" w14:paraId="538C6E82" w14:textId="77777777" w:rsidTr="00C33E42">
        <w:trPr>
          <w:trHeight w:val="460"/>
        </w:trPr>
        <w:tc>
          <w:tcPr>
            <w:tcW w:w="2180" w:type="dxa"/>
            <w:tcBorders>
              <w:top w:val="single" w:sz="4" w:space="0" w:color="auto"/>
              <w:left w:val="single" w:sz="4" w:space="0" w:color="auto"/>
              <w:bottom w:val="single" w:sz="4" w:space="0" w:color="auto"/>
              <w:right w:val="single" w:sz="4" w:space="0" w:color="auto"/>
            </w:tcBorders>
            <w:shd w:val="clear" w:color="000000" w:fill="DAE9F8"/>
            <w:vAlign w:val="center"/>
            <w:hideMark/>
          </w:tcPr>
          <w:p w14:paraId="2DD4586C" w14:textId="77777777" w:rsidR="00C33E42" w:rsidRPr="00937F54" w:rsidRDefault="00C33E42"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Company Name</w:t>
            </w:r>
          </w:p>
        </w:tc>
        <w:tc>
          <w:tcPr>
            <w:tcW w:w="3360" w:type="dxa"/>
            <w:gridSpan w:val="3"/>
            <w:tcBorders>
              <w:top w:val="single" w:sz="4" w:space="0" w:color="auto"/>
              <w:left w:val="nil"/>
              <w:bottom w:val="single" w:sz="4" w:space="0" w:color="auto"/>
              <w:right w:val="single" w:sz="4" w:space="0" w:color="000000"/>
            </w:tcBorders>
            <w:shd w:val="clear" w:color="000000" w:fill="DAE9F8"/>
            <w:vAlign w:val="center"/>
            <w:hideMark/>
          </w:tcPr>
          <w:p w14:paraId="4650FEE7" w14:textId="77777777" w:rsidR="00C33E42" w:rsidRPr="00937F54" w:rsidRDefault="00C33E42" w:rsidP="00E262FC">
            <w:pPr>
              <w:spacing w:line="360" w:lineRule="auto"/>
              <w:jc w:val="center"/>
              <w:rPr>
                <w:rFonts w:eastAsia="Times New Roman"/>
                <w:b/>
                <w:bCs/>
                <w:color w:val="404040"/>
                <w:sz w:val="24"/>
                <w:szCs w:val="24"/>
                <w:lang w:val="en-US" w:eastAsia="zh-TW"/>
              </w:rPr>
            </w:pPr>
            <w:r w:rsidRPr="00937F54">
              <w:rPr>
                <w:rFonts w:eastAsia="Times New Roman"/>
                <w:b/>
                <w:bCs/>
                <w:color w:val="404040"/>
                <w:sz w:val="24"/>
                <w:szCs w:val="24"/>
                <w:lang w:val="en-US" w:eastAsia="zh-TW"/>
              </w:rPr>
              <w:t>Tsui Wah</w:t>
            </w:r>
          </w:p>
        </w:tc>
        <w:tc>
          <w:tcPr>
            <w:tcW w:w="1120" w:type="dxa"/>
            <w:tcBorders>
              <w:top w:val="single" w:sz="4" w:space="0" w:color="auto"/>
              <w:left w:val="nil"/>
              <w:bottom w:val="single" w:sz="4" w:space="0" w:color="auto"/>
              <w:right w:val="single" w:sz="4" w:space="0" w:color="auto"/>
            </w:tcBorders>
            <w:shd w:val="clear" w:color="000000" w:fill="DAE9F8"/>
            <w:vAlign w:val="center"/>
            <w:hideMark/>
          </w:tcPr>
          <w:p w14:paraId="2C4FAB53" w14:textId="77777777" w:rsidR="00C33E42" w:rsidRPr="00937F54" w:rsidRDefault="00C33E42"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Fairwood</w:t>
            </w:r>
          </w:p>
        </w:tc>
        <w:tc>
          <w:tcPr>
            <w:tcW w:w="1120" w:type="dxa"/>
            <w:tcBorders>
              <w:top w:val="single" w:sz="4" w:space="0" w:color="auto"/>
              <w:left w:val="nil"/>
              <w:bottom w:val="single" w:sz="4" w:space="0" w:color="auto"/>
              <w:right w:val="single" w:sz="4" w:space="0" w:color="auto"/>
            </w:tcBorders>
            <w:shd w:val="clear" w:color="000000" w:fill="DAE9F8"/>
            <w:vAlign w:val="center"/>
            <w:hideMark/>
          </w:tcPr>
          <w:p w14:paraId="076C6CF7" w14:textId="77777777" w:rsidR="00C33E42" w:rsidRPr="00937F54" w:rsidRDefault="00C33E42"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Tai Hing</w:t>
            </w:r>
          </w:p>
        </w:tc>
        <w:tc>
          <w:tcPr>
            <w:tcW w:w="1120" w:type="dxa"/>
            <w:tcBorders>
              <w:top w:val="single" w:sz="4" w:space="0" w:color="auto"/>
              <w:left w:val="nil"/>
              <w:bottom w:val="single" w:sz="4" w:space="0" w:color="auto"/>
              <w:right w:val="single" w:sz="4" w:space="0" w:color="auto"/>
            </w:tcBorders>
            <w:shd w:val="clear" w:color="000000" w:fill="DAE9F8"/>
            <w:vAlign w:val="center"/>
            <w:hideMark/>
          </w:tcPr>
          <w:p w14:paraId="659D0317" w14:textId="77777777" w:rsidR="00C33E42" w:rsidRPr="00937F54" w:rsidRDefault="00C33E42"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Industry Avg</w:t>
            </w:r>
          </w:p>
        </w:tc>
      </w:tr>
      <w:tr w:rsidR="00C33E42" w:rsidRPr="00937F54" w14:paraId="5634E257" w14:textId="77777777" w:rsidTr="00C33E42">
        <w:trPr>
          <w:trHeight w:val="290"/>
        </w:trPr>
        <w:tc>
          <w:tcPr>
            <w:tcW w:w="2180" w:type="dxa"/>
            <w:tcBorders>
              <w:top w:val="nil"/>
              <w:left w:val="single" w:sz="4" w:space="0" w:color="auto"/>
              <w:bottom w:val="single" w:sz="4" w:space="0" w:color="auto"/>
              <w:right w:val="single" w:sz="4" w:space="0" w:color="auto"/>
            </w:tcBorders>
            <w:shd w:val="clear" w:color="000000" w:fill="DAE9F8"/>
            <w:vAlign w:val="center"/>
            <w:hideMark/>
          </w:tcPr>
          <w:p w14:paraId="4D78534F" w14:textId="77777777" w:rsidR="00C33E42" w:rsidRPr="00937F54" w:rsidRDefault="00C33E42"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Year</w:t>
            </w:r>
          </w:p>
        </w:tc>
        <w:tc>
          <w:tcPr>
            <w:tcW w:w="1120" w:type="dxa"/>
            <w:tcBorders>
              <w:top w:val="nil"/>
              <w:left w:val="nil"/>
              <w:bottom w:val="single" w:sz="4" w:space="0" w:color="auto"/>
              <w:right w:val="single" w:sz="4" w:space="0" w:color="auto"/>
            </w:tcBorders>
            <w:shd w:val="clear" w:color="000000" w:fill="DAE9F8"/>
            <w:vAlign w:val="center"/>
            <w:hideMark/>
          </w:tcPr>
          <w:p w14:paraId="1C20CEA0"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2024</w:t>
            </w:r>
          </w:p>
        </w:tc>
        <w:tc>
          <w:tcPr>
            <w:tcW w:w="1120" w:type="dxa"/>
            <w:tcBorders>
              <w:top w:val="nil"/>
              <w:left w:val="nil"/>
              <w:bottom w:val="single" w:sz="4" w:space="0" w:color="auto"/>
              <w:right w:val="single" w:sz="4" w:space="0" w:color="auto"/>
            </w:tcBorders>
            <w:shd w:val="clear" w:color="000000" w:fill="DAE9F8"/>
            <w:vAlign w:val="center"/>
            <w:hideMark/>
          </w:tcPr>
          <w:p w14:paraId="31A38A32"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2023</w:t>
            </w:r>
          </w:p>
        </w:tc>
        <w:tc>
          <w:tcPr>
            <w:tcW w:w="1120" w:type="dxa"/>
            <w:tcBorders>
              <w:top w:val="nil"/>
              <w:left w:val="nil"/>
              <w:bottom w:val="single" w:sz="4" w:space="0" w:color="auto"/>
              <w:right w:val="single" w:sz="4" w:space="0" w:color="auto"/>
            </w:tcBorders>
            <w:shd w:val="clear" w:color="000000" w:fill="DAE9F8"/>
            <w:vAlign w:val="center"/>
            <w:hideMark/>
          </w:tcPr>
          <w:p w14:paraId="69F9713C"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2022</w:t>
            </w:r>
          </w:p>
        </w:tc>
        <w:tc>
          <w:tcPr>
            <w:tcW w:w="1120" w:type="dxa"/>
            <w:tcBorders>
              <w:top w:val="nil"/>
              <w:left w:val="nil"/>
              <w:bottom w:val="single" w:sz="4" w:space="0" w:color="auto"/>
              <w:right w:val="single" w:sz="4" w:space="0" w:color="auto"/>
            </w:tcBorders>
            <w:shd w:val="clear" w:color="000000" w:fill="DAE9F8"/>
            <w:vAlign w:val="center"/>
            <w:hideMark/>
          </w:tcPr>
          <w:p w14:paraId="2179F92B"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2024</w:t>
            </w:r>
          </w:p>
        </w:tc>
        <w:tc>
          <w:tcPr>
            <w:tcW w:w="1120" w:type="dxa"/>
            <w:tcBorders>
              <w:top w:val="nil"/>
              <w:left w:val="nil"/>
              <w:bottom w:val="single" w:sz="4" w:space="0" w:color="auto"/>
              <w:right w:val="single" w:sz="4" w:space="0" w:color="auto"/>
            </w:tcBorders>
            <w:shd w:val="clear" w:color="000000" w:fill="DAE9F8"/>
            <w:vAlign w:val="center"/>
            <w:hideMark/>
          </w:tcPr>
          <w:p w14:paraId="5F58AF73"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2024</w:t>
            </w:r>
          </w:p>
        </w:tc>
        <w:tc>
          <w:tcPr>
            <w:tcW w:w="1120" w:type="dxa"/>
            <w:tcBorders>
              <w:top w:val="nil"/>
              <w:left w:val="nil"/>
              <w:bottom w:val="single" w:sz="4" w:space="0" w:color="auto"/>
              <w:right w:val="single" w:sz="4" w:space="0" w:color="auto"/>
            </w:tcBorders>
            <w:shd w:val="clear" w:color="000000" w:fill="DAE9F8"/>
            <w:vAlign w:val="center"/>
            <w:hideMark/>
          </w:tcPr>
          <w:p w14:paraId="684FBDE5"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2024</w:t>
            </w:r>
          </w:p>
        </w:tc>
      </w:tr>
      <w:tr w:rsidR="00C33E42" w:rsidRPr="00937F54" w14:paraId="0288BABC" w14:textId="77777777" w:rsidTr="00C33E42">
        <w:trPr>
          <w:trHeight w:val="290"/>
        </w:trPr>
        <w:tc>
          <w:tcPr>
            <w:tcW w:w="2180" w:type="dxa"/>
            <w:tcBorders>
              <w:top w:val="nil"/>
              <w:left w:val="single" w:sz="4" w:space="0" w:color="auto"/>
              <w:bottom w:val="single" w:sz="4" w:space="0" w:color="auto"/>
              <w:right w:val="single" w:sz="4" w:space="0" w:color="auto"/>
            </w:tcBorders>
            <w:shd w:val="clear" w:color="000000" w:fill="DAE9F8"/>
            <w:vAlign w:val="center"/>
            <w:hideMark/>
          </w:tcPr>
          <w:p w14:paraId="45DC0FE0" w14:textId="77777777" w:rsidR="00C33E42" w:rsidRPr="00937F54" w:rsidRDefault="00C33E42"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Current Ratio</w:t>
            </w:r>
          </w:p>
        </w:tc>
        <w:tc>
          <w:tcPr>
            <w:tcW w:w="1120" w:type="dxa"/>
            <w:tcBorders>
              <w:top w:val="nil"/>
              <w:left w:val="nil"/>
              <w:bottom w:val="single" w:sz="4" w:space="0" w:color="auto"/>
              <w:right w:val="single" w:sz="4" w:space="0" w:color="auto"/>
            </w:tcBorders>
            <w:shd w:val="clear" w:color="000000" w:fill="DAE9F8"/>
            <w:vAlign w:val="center"/>
            <w:hideMark/>
          </w:tcPr>
          <w:p w14:paraId="2659F046"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1.05</w:t>
            </w:r>
          </w:p>
        </w:tc>
        <w:tc>
          <w:tcPr>
            <w:tcW w:w="1120" w:type="dxa"/>
            <w:tcBorders>
              <w:top w:val="nil"/>
              <w:left w:val="nil"/>
              <w:bottom w:val="single" w:sz="4" w:space="0" w:color="auto"/>
              <w:right w:val="single" w:sz="4" w:space="0" w:color="auto"/>
            </w:tcBorders>
            <w:shd w:val="clear" w:color="000000" w:fill="DAE9F8"/>
            <w:vAlign w:val="center"/>
            <w:hideMark/>
          </w:tcPr>
          <w:p w14:paraId="6363767C"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1.28</w:t>
            </w:r>
          </w:p>
        </w:tc>
        <w:tc>
          <w:tcPr>
            <w:tcW w:w="1120" w:type="dxa"/>
            <w:tcBorders>
              <w:top w:val="nil"/>
              <w:left w:val="nil"/>
              <w:bottom w:val="single" w:sz="4" w:space="0" w:color="auto"/>
              <w:right w:val="single" w:sz="4" w:space="0" w:color="auto"/>
            </w:tcBorders>
            <w:shd w:val="clear" w:color="000000" w:fill="DAE9F8"/>
            <w:vAlign w:val="center"/>
            <w:hideMark/>
          </w:tcPr>
          <w:p w14:paraId="79C550B4"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1.13</w:t>
            </w:r>
          </w:p>
        </w:tc>
        <w:tc>
          <w:tcPr>
            <w:tcW w:w="1120" w:type="dxa"/>
            <w:tcBorders>
              <w:top w:val="nil"/>
              <w:left w:val="nil"/>
              <w:bottom w:val="single" w:sz="4" w:space="0" w:color="auto"/>
              <w:right w:val="single" w:sz="4" w:space="0" w:color="auto"/>
            </w:tcBorders>
            <w:shd w:val="clear" w:color="000000" w:fill="DAE9F8"/>
            <w:vAlign w:val="center"/>
            <w:hideMark/>
          </w:tcPr>
          <w:p w14:paraId="21B60B8B"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0.87</w:t>
            </w:r>
          </w:p>
        </w:tc>
        <w:tc>
          <w:tcPr>
            <w:tcW w:w="1120" w:type="dxa"/>
            <w:tcBorders>
              <w:top w:val="nil"/>
              <w:left w:val="nil"/>
              <w:bottom w:val="single" w:sz="4" w:space="0" w:color="auto"/>
              <w:right w:val="single" w:sz="4" w:space="0" w:color="auto"/>
            </w:tcBorders>
            <w:shd w:val="clear" w:color="000000" w:fill="DAE9F8"/>
            <w:vAlign w:val="center"/>
            <w:hideMark/>
          </w:tcPr>
          <w:p w14:paraId="5FE59A9A"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0.7</w:t>
            </w:r>
          </w:p>
        </w:tc>
        <w:tc>
          <w:tcPr>
            <w:tcW w:w="1120" w:type="dxa"/>
            <w:tcBorders>
              <w:top w:val="nil"/>
              <w:left w:val="nil"/>
              <w:bottom w:val="single" w:sz="4" w:space="0" w:color="auto"/>
              <w:right w:val="single" w:sz="4" w:space="0" w:color="auto"/>
            </w:tcBorders>
            <w:shd w:val="clear" w:color="000000" w:fill="DAE9F8"/>
            <w:vAlign w:val="center"/>
            <w:hideMark/>
          </w:tcPr>
          <w:p w14:paraId="0668EE40"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0.87</w:t>
            </w:r>
          </w:p>
        </w:tc>
      </w:tr>
      <w:tr w:rsidR="00C33E42" w:rsidRPr="00937F54" w14:paraId="24ED55DB" w14:textId="77777777" w:rsidTr="00C33E42">
        <w:trPr>
          <w:trHeight w:val="290"/>
        </w:trPr>
        <w:tc>
          <w:tcPr>
            <w:tcW w:w="2180" w:type="dxa"/>
            <w:tcBorders>
              <w:top w:val="nil"/>
              <w:left w:val="single" w:sz="4" w:space="0" w:color="auto"/>
              <w:bottom w:val="single" w:sz="4" w:space="0" w:color="auto"/>
              <w:right w:val="single" w:sz="4" w:space="0" w:color="auto"/>
            </w:tcBorders>
            <w:shd w:val="clear" w:color="000000" w:fill="DAE9F8"/>
            <w:vAlign w:val="center"/>
            <w:hideMark/>
          </w:tcPr>
          <w:p w14:paraId="52707B96" w14:textId="77777777" w:rsidR="00C33E42" w:rsidRPr="00937F54" w:rsidRDefault="00C33E42"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Debt-to-Equity Ratio</w:t>
            </w:r>
          </w:p>
        </w:tc>
        <w:tc>
          <w:tcPr>
            <w:tcW w:w="1120" w:type="dxa"/>
            <w:tcBorders>
              <w:top w:val="nil"/>
              <w:left w:val="nil"/>
              <w:bottom w:val="single" w:sz="4" w:space="0" w:color="auto"/>
              <w:right w:val="single" w:sz="4" w:space="0" w:color="auto"/>
            </w:tcBorders>
            <w:shd w:val="clear" w:color="000000" w:fill="DAE9F8"/>
            <w:vAlign w:val="center"/>
            <w:hideMark/>
          </w:tcPr>
          <w:p w14:paraId="404219AA"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0.97</w:t>
            </w:r>
          </w:p>
        </w:tc>
        <w:tc>
          <w:tcPr>
            <w:tcW w:w="1120" w:type="dxa"/>
            <w:tcBorders>
              <w:top w:val="nil"/>
              <w:left w:val="nil"/>
              <w:bottom w:val="single" w:sz="4" w:space="0" w:color="auto"/>
              <w:right w:val="single" w:sz="4" w:space="0" w:color="auto"/>
            </w:tcBorders>
            <w:shd w:val="clear" w:color="000000" w:fill="DAE9F8"/>
            <w:vAlign w:val="center"/>
            <w:hideMark/>
          </w:tcPr>
          <w:p w14:paraId="42DF5604"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0.96</w:t>
            </w:r>
          </w:p>
        </w:tc>
        <w:tc>
          <w:tcPr>
            <w:tcW w:w="1120" w:type="dxa"/>
            <w:tcBorders>
              <w:top w:val="nil"/>
              <w:left w:val="nil"/>
              <w:bottom w:val="single" w:sz="4" w:space="0" w:color="auto"/>
              <w:right w:val="single" w:sz="4" w:space="0" w:color="auto"/>
            </w:tcBorders>
            <w:shd w:val="clear" w:color="000000" w:fill="DAE9F8"/>
            <w:vAlign w:val="center"/>
            <w:hideMark/>
          </w:tcPr>
          <w:p w14:paraId="0CF3A755"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0.99</w:t>
            </w:r>
          </w:p>
        </w:tc>
        <w:tc>
          <w:tcPr>
            <w:tcW w:w="1120" w:type="dxa"/>
            <w:tcBorders>
              <w:top w:val="nil"/>
              <w:left w:val="nil"/>
              <w:bottom w:val="single" w:sz="4" w:space="0" w:color="auto"/>
              <w:right w:val="single" w:sz="4" w:space="0" w:color="auto"/>
            </w:tcBorders>
            <w:shd w:val="clear" w:color="000000" w:fill="DAE9F8"/>
            <w:vAlign w:val="center"/>
            <w:hideMark/>
          </w:tcPr>
          <w:p w14:paraId="7A670D1D"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2.23</w:t>
            </w:r>
          </w:p>
        </w:tc>
        <w:tc>
          <w:tcPr>
            <w:tcW w:w="1120" w:type="dxa"/>
            <w:tcBorders>
              <w:top w:val="nil"/>
              <w:left w:val="nil"/>
              <w:bottom w:val="single" w:sz="4" w:space="0" w:color="auto"/>
              <w:right w:val="single" w:sz="4" w:space="0" w:color="auto"/>
            </w:tcBorders>
            <w:shd w:val="clear" w:color="000000" w:fill="DAE9F8"/>
            <w:vAlign w:val="center"/>
            <w:hideMark/>
          </w:tcPr>
          <w:p w14:paraId="5E6F1C4D"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1.64</w:t>
            </w:r>
          </w:p>
        </w:tc>
        <w:tc>
          <w:tcPr>
            <w:tcW w:w="1120" w:type="dxa"/>
            <w:tcBorders>
              <w:top w:val="nil"/>
              <w:left w:val="nil"/>
              <w:bottom w:val="single" w:sz="4" w:space="0" w:color="auto"/>
              <w:right w:val="single" w:sz="4" w:space="0" w:color="auto"/>
            </w:tcBorders>
            <w:shd w:val="clear" w:color="000000" w:fill="DAE9F8"/>
            <w:vAlign w:val="center"/>
            <w:hideMark/>
          </w:tcPr>
          <w:p w14:paraId="679D9F18"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1.58</w:t>
            </w:r>
          </w:p>
        </w:tc>
      </w:tr>
      <w:tr w:rsidR="00C33E42" w:rsidRPr="00937F54" w14:paraId="4087FE3A" w14:textId="77777777" w:rsidTr="00C33E42">
        <w:trPr>
          <w:trHeight w:val="290"/>
        </w:trPr>
        <w:tc>
          <w:tcPr>
            <w:tcW w:w="2180" w:type="dxa"/>
            <w:tcBorders>
              <w:top w:val="nil"/>
              <w:left w:val="single" w:sz="4" w:space="0" w:color="auto"/>
              <w:bottom w:val="single" w:sz="4" w:space="0" w:color="auto"/>
              <w:right w:val="single" w:sz="4" w:space="0" w:color="auto"/>
            </w:tcBorders>
            <w:shd w:val="clear" w:color="000000" w:fill="DAE9F8"/>
            <w:vAlign w:val="center"/>
            <w:hideMark/>
          </w:tcPr>
          <w:p w14:paraId="400368E2" w14:textId="77777777" w:rsidR="00C33E42" w:rsidRPr="00937F54" w:rsidRDefault="00C33E42"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Asset Turnover</w:t>
            </w:r>
          </w:p>
        </w:tc>
        <w:tc>
          <w:tcPr>
            <w:tcW w:w="1120" w:type="dxa"/>
            <w:tcBorders>
              <w:top w:val="nil"/>
              <w:left w:val="nil"/>
              <w:bottom w:val="single" w:sz="4" w:space="0" w:color="auto"/>
              <w:right w:val="single" w:sz="4" w:space="0" w:color="auto"/>
            </w:tcBorders>
            <w:shd w:val="clear" w:color="000000" w:fill="DAE9F8"/>
            <w:vAlign w:val="center"/>
            <w:hideMark/>
          </w:tcPr>
          <w:p w14:paraId="5DDB7407"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0.7</w:t>
            </w:r>
          </w:p>
        </w:tc>
        <w:tc>
          <w:tcPr>
            <w:tcW w:w="1120" w:type="dxa"/>
            <w:tcBorders>
              <w:top w:val="nil"/>
              <w:left w:val="nil"/>
              <w:bottom w:val="single" w:sz="4" w:space="0" w:color="auto"/>
              <w:right w:val="single" w:sz="4" w:space="0" w:color="auto"/>
            </w:tcBorders>
            <w:shd w:val="clear" w:color="000000" w:fill="DAE9F8"/>
            <w:vAlign w:val="center"/>
            <w:hideMark/>
          </w:tcPr>
          <w:p w14:paraId="46FF06C9"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0.67</w:t>
            </w:r>
          </w:p>
        </w:tc>
        <w:tc>
          <w:tcPr>
            <w:tcW w:w="1120" w:type="dxa"/>
            <w:tcBorders>
              <w:top w:val="nil"/>
              <w:left w:val="nil"/>
              <w:bottom w:val="single" w:sz="4" w:space="0" w:color="auto"/>
              <w:right w:val="single" w:sz="4" w:space="0" w:color="auto"/>
            </w:tcBorders>
            <w:shd w:val="clear" w:color="000000" w:fill="DAE9F8"/>
            <w:vAlign w:val="center"/>
            <w:hideMark/>
          </w:tcPr>
          <w:p w14:paraId="40B4297B"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0.64</w:t>
            </w:r>
          </w:p>
        </w:tc>
        <w:tc>
          <w:tcPr>
            <w:tcW w:w="1120" w:type="dxa"/>
            <w:tcBorders>
              <w:top w:val="nil"/>
              <w:left w:val="nil"/>
              <w:bottom w:val="single" w:sz="4" w:space="0" w:color="auto"/>
              <w:right w:val="single" w:sz="4" w:space="0" w:color="auto"/>
            </w:tcBorders>
            <w:shd w:val="clear" w:color="000000" w:fill="DAE9F8"/>
            <w:vAlign w:val="center"/>
            <w:hideMark/>
          </w:tcPr>
          <w:p w14:paraId="5AA83311"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1.47</w:t>
            </w:r>
          </w:p>
        </w:tc>
        <w:tc>
          <w:tcPr>
            <w:tcW w:w="1120" w:type="dxa"/>
            <w:tcBorders>
              <w:top w:val="nil"/>
              <w:left w:val="nil"/>
              <w:bottom w:val="single" w:sz="4" w:space="0" w:color="auto"/>
              <w:right w:val="single" w:sz="4" w:space="0" w:color="auto"/>
            </w:tcBorders>
            <w:shd w:val="clear" w:color="000000" w:fill="DAE9F8"/>
            <w:vAlign w:val="center"/>
            <w:hideMark/>
          </w:tcPr>
          <w:p w14:paraId="01BBF5C9"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1.33</w:t>
            </w:r>
          </w:p>
        </w:tc>
        <w:tc>
          <w:tcPr>
            <w:tcW w:w="1120" w:type="dxa"/>
            <w:tcBorders>
              <w:top w:val="nil"/>
              <w:left w:val="nil"/>
              <w:bottom w:val="single" w:sz="4" w:space="0" w:color="auto"/>
              <w:right w:val="single" w:sz="4" w:space="0" w:color="auto"/>
            </w:tcBorders>
            <w:shd w:val="clear" w:color="000000" w:fill="DAE9F8"/>
            <w:vAlign w:val="center"/>
            <w:hideMark/>
          </w:tcPr>
          <w:p w14:paraId="22D0D4FF" w14:textId="77777777" w:rsidR="00C33E42" w:rsidRPr="00937F54" w:rsidRDefault="00C33E4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1.17</w:t>
            </w:r>
          </w:p>
        </w:tc>
      </w:tr>
    </w:tbl>
    <w:p w14:paraId="6002F311" w14:textId="77777777" w:rsidR="005E0664" w:rsidRPr="00937F54" w:rsidRDefault="005E0664" w:rsidP="00E262FC">
      <w:pPr>
        <w:spacing w:line="360" w:lineRule="auto"/>
        <w:rPr>
          <w:iCs/>
          <w:sz w:val="24"/>
          <w:szCs w:val="24"/>
          <w:lang w:val="en-US"/>
        </w:rPr>
      </w:pPr>
    </w:p>
    <w:p w14:paraId="4AFD80AB" w14:textId="77777777" w:rsidR="00862993" w:rsidRPr="00937F54" w:rsidRDefault="00862993" w:rsidP="00E262FC">
      <w:pPr>
        <w:spacing w:line="360" w:lineRule="auto"/>
        <w:rPr>
          <w:iCs/>
          <w:sz w:val="24"/>
          <w:szCs w:val="24"/>
          <w:lang w:val="en-US"/>
        </w:rPr>
      </w:pPr>
      <w:r w:rsidRPr="00937F54">
        <w:rPr>
          <w:b/>
          <w:bCs/>
          <w:iCs/>
          <w:sz w:val="24"/>
          <w:szCs w:val="24"/>
          <w:lang w:val="en-US"/>
        </w:rPr>
        <w:t>Current Ratio:</w:t>
      </w:r>
      <w:r w:rsidRPr="00937F54">
        <w:rPr>
          <w:iCs/>
          <w:sz w:val="24"/>
          <w:szCs w:val="24"/>
          <w:lang w:val="en-US"/>
        </w:rPr>
        <w:t> Tsui Wah maintains a positive current ratio (1.05) compared to peers' negative working capital positions, indicating less efficient cash management typical of restaurant chains that benefit from customer prepayments and supplier credit terms.</w:t>
      </w:r>
    </w:p>
    <w:p w14:paraId="7A3DFA8E" w14:textId="77777777" w:rsidR="00862993" w:rsidRPr="00937F54" w:rsidRDefault="00862993" w:rsidP="00E262FC">
      <w:pPr>
        <w:spacing w:line="360" w:lineRule="auto"/>
        <w:rPr>
          <w:iCs/>
          <w:sz w:val="24"/>
          <w:szCs w:val="24"/>
          <w:lang w:val="en-US"/>
        </w:rPr>
      </w:pPr>
      <w:r w:rsidRPr="00937F54">
        <w:rPr>
          <w:b/>
          <w:bCs/>
          <w:iCs/>
          <w:sz w:val="24"/>
          <w:szCs w:val="24"/>
          <w:lang w:val="en-US"/>
        </w:rPr>
        <w:t>Debt-to-Equity Ratio: </w:t>
      </w:r>
      <w:r w:rsidRPr="00937F54">
        <w:rPr>
          <w:iCs/>
          <w:sz w:val="24"/>
          <w:szCs w:val="24"/>
          <w:lang w:val="en-US"/>
        </w:rPr>
        <w:t>Tsui Wah's conservative capital structure (0.97) contrasts with peers' higher leverage (Fairwood: 2.23, Tai Hing: 1.64), suggesting underutilization of financial leverage for growth expansion.</w:t>
      </w:r>
    </w:p>
    <w:p w14:paraId="36C22301" w14:textId="77777777" w:rsidR="00862993" w:rsidRDefault="00862993" w:rsidP="00E262FC">
      <w:pPr>
        <w:spacing w:line="360" w:lineRule="auto"/>
        <w:rPr>
          <w:iCs/>
          <w:sz w:val="24"/>
          <w:szCs w:val="24"/>
          <w:lang w:val="en-US"/>
        </w:rPr>
      </w:pPr>
      <w:r w:rsidRPr="00937F54">
        <w:rPr>
          <w:b/>
          <w:bCs/>
          <w:iCs/>
          <w:sz w:val="24"/>
          <w:szCs w:val="24"/>
          <w:lang w:val="en-US"/>
        </w:rPr>
        <w:t>Financial Structure Analysis:</w:t>
      </w:r>
      <w:r w:rsidRPr="00937F54">
        <w:rPr>
          <w:iCs/>
          <w:sz w:val="24"/>
          <w:szCs w:val="24"/>
          <w:lang w:val="en-US"/>
        </w:rPr>
        <w:t> Overall analysis shows Tsui Wah maintains conservative financial ratios but lags significantly in operational efficiency metrics compared to industry standards.</w:t>
      </w:r>
    </w:p>
    <w:p w14:paraId="30067C18" w14:textId="77777777" w:rsidR="00D6668C" w:rsidRDefault="00D6668C" w:rsidP="00E262FC">
      <w:pPr>
        <w:spacing w:line="360" w:lineRule="auto"/>
        <w:rPr>
          <w:iCs/>
          <w:sz w:val="24"/>
          <w:szCs w:val="24"/>
          <w:lang w:val="en-US"/>
        </w:rPr>
      </w:pPr>
    </w:p>
    <w:p w14:paraId="609D28CC" w14:textId="77777777" w:rsidR="00D6668C" w:rsidRDefault="00D6668C" w:rsidP="00E262FC">
      <w:pPr>
        <w:spacing w:line="360" w:lineRule="auto"/>
        <w:rPr>
          <w:iCs/>
          <w:sz w:val="24"/>
          <w:szCs w:val="24"/>
          <w:lang w:val="en-US"/>
        </w:rPr>
      </w:pPr>
    </w:p>
    <w:p w14:paraId="4023A4B5" w14:textId="77777777" w:rsidR="006861C3" w:rsidRPr="00937F54" w:rsidRDefault="006861C3" w:rsidP="00E262FC">
      <w:pPr>
        <w:spacing w:line="360" w:lineRule="auto"/>
        <w:rPr>
          <w:iCs/>
          <w:sz w:val="24"/>
          <w:szCs w:val="24"/>
          <w:lang w:val="en-US"/>
        </w:rPr>
      </w:pPr>
    </w:p>
    <w:p w14:paraId="7525CA16" w14:textId="77777777" w:rsidR="00E9228C" w:rsidRPr="00937F54" w:rsidRDefault="00E9228C" w:rsidP="00E262FC">
      <w:pPr>
        <w:spacing w:line="360" w:lineRule="auto"/>
        <w:rPr>
          <w:b/>
          <w:bCs/>
          <w:iCs/>
          <w:sz w:val="24"/>
          <w:szCs w:val="24"/>
          <w:lang w:val="en-US"/>
        </w:rPr>
      </w:pPr>
      <w:r w:rsidRPr="00937F54">
        <w:rPr>
          <w:b/>
          <w:bCs/>
          <w:iCs/>
          <w:sz w:val="24"/>
          <w:szCs w:val="24"/>
          <w:lang w:val="en-US"/>
        </w:rPr>
        <w:lastRenderedPageBreak/>
        <w:t>2.3 Debt Repayment Ability</w:t>
      </w:r>
    </w:p>
    <w:tbl>
      <w:tblPr>
        <w:tblW w:w="8900" w:type="dxa"/>
        <w:tblLook w:val="04A0" w:firstRow="1" w:lastRow="0" w:firstColumn="1" w:lastColumn="0" w:noHBand="0" w:noVBand="1"/>
      </w:tblPr>
      <w:tblGrid>
        <w:gridCol w:w="2149"/>
        <w:gridCol w:w="1107"/>
        <w:gridCol w:w="1107"/>
        <w:gridCol w:w="1107"/>
        <w:gridCol w:w="1203"/>
        <w:gridCol w:w="1107"/>
        <w:gridCol w:w="1120"/>
      </w:tblGrid>
      <w:tr w:rsidR="004D77BC" w:rsidRPr="00937F54" w14:paraId="680C644D" w14:textId="77777777" w:rsidTr="004D77BC">
        <w:trPr>
          <w:trHeight w:val="290"/>
        </w:trPr>
        <w:tc>
          <w:tcPr>
            <w:tcW w:w="2180" w:type="dxa"/>
            <w:tcBorders>
              <w:top w:val="single" w:sz="4" w:space="0" w:color="auto"/>
              <w:left w:val="single" w:sz="4" w:space="0" w:color="auto"/>
              <w:bottom w:val="single" w:sz="4" w:space="0" w:color="auto"/>
              <w:right w:val="single" w:sz="4" w:space="0" w:color="auto"/>
            </w:tcBorders>
            <w:shd w:val="clear" w:color="000000" w:fill="DAE9F8"/>
            <w:vAlign w:val="center"/>
            <w:hideMark/>
          </w:tcPr>
          <w:p w14:paraId="2F24DB26" w14:textId="77777777" w:rsidR="004D77BC" w:rsidRPr="00937F54" w:rsidRDefault="004D77BC"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Company Name</w:t>
            </w:r>
          </w:p>
        </w:tc>
        <w:tc>
          <w:tcPr>
            <w:tcW w:w="1120" w:type="dxa"/>
            <w:tcBorders>
              <w:top w:val="single" w:sz="4" w:space="0" w:color="auto"/>
              <w:left w:val="nil"/>
              <w:bottom w:val="single" w:sz="4" w:space="0" w:color="auto"/>
              <w:right w:val="single" w:sz="4" w:space="0" w:color="auto"/>
            </w:tcBorders>
            <w:shd w:val="clear" w:color="000000" w:fill="DAE9F8"/>
            <w:vAlign w:val="center"/>
            <w:hideMark/>
          </w:tcPr>
          <w:p w14:paraId="33F813D4" w14:textId="77777777" w:rsidR="004D77BC" w:rsidRPr="00937F54" w:rsidRDefault="004D77BC"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Tsui Wah</w:t>
            </w:r>
          </w:p>
        </w:tc>
        <w:tc>
          <w:tcPr>
            <w:tcW w:w="1120" w:type="dxa"/>
            <w:tcBorders>
              <w:top w:val="single" w:sz="4" w:space="0" w:color="auto"/>
              <w:left w:val="nil"/>
              <w:bottom w:val="single" w:sz="4" w:space="0" w:color="auto"/>
              <w:right w:val="single" w:sz="4" w:space="0" w:color="auto"/>
            </w:tcBorders>
            <w:shd w:val="clear" w:color="000000" w:fill="DAE9F8"/>
            <w:vAlign w:val="center"/>
            <w:hideMark/>
          </w:tcPr>
          <w:p w14:paraId="4F1D6962" w14:textId="77777777" w:rsidR="004D77BC" w:rsidRPr="00937F54" w:rsidRDefault="004D77BC"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 </w:t>
            </w:r>
          </w:p>
        </w:tc>
        <w:tc>
          <w:tcPr>
            <w:tcW w:w="1120" w:type="dxa"/>
            <w:tcBorders>
              <w:top w:val="single" w:sz="4" w:space="0" w:color="auto"/>
              <w:left w:val="nil"/>
              <w:bottom w:val="single" w:sz="4" w:space="0" w:color="auto"/>
              <w:right w:val="single" w:sz="4" w:space="0" w:color="auto"/>
            </w:tcBorders>
            <w:shd w:val="clear" w:color="000000" w:fill="DAE9F8"/>
            <w:vAlign w:val="center"/>
            <w:hideMark/>
          </w:tcPr>
          <w:p w14:paraId="3660A560" w14:textId="77777777" w:rsidR="004D77BC" w:rsidRPr="00937F54" w:rsidRDefault="004D77BC"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 </w:t>
            </w:r>
          </w:p>
        </w:tc>
        <w:tc>
          <w:tcPr>
            <w:tcW w:w="1120" w:type="dxa"/>
            <w:tcBorders>
              <w:top w:val="single" w:sz="4" w:space="0" w:color="auto"/>
              <w:left w:val="nil"/>
              <w:bottom w:val="single" w:sz="4" w:space="0" w:color="auto"/>
              <w:right w:val="single" w:sz="4" w:space="0" w:color="auto"/>
            </w:tcBorders>
            <w:shd w:val="clear" w:color="000000" w:fill="DAE9F8"/>
            <w:vAlign w:val="center"/>
            <w:hideMark/>
          </w:tcPr>
          <w:p w14:paraId="34B5265F" w14:textId="77777777" w:rsidR="004D77BC" w:rsidRPr="00937F54" w:rsidRDefault="004D77BC"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Fairwood</w:t>
            </w:r>
          </w:p>
        </w:tc>
        <w:tc>
          <w:tcPr>
            <w:tcW w:w="1120" w:type="dxa"/>
            <w:tcBorders>
              <w:top w:val="single" w:sz="4" w:space="0" w:color="auto"/>
              <w:left w:val="nil"/>
              <w:bottom w:val="single" w:sz="4" w:space="0" w:color="auto"/>
              <w:right w:val="single" w:sz="4" w:space="0" w:color="auto"/>
            </w:tcBorders>
            <w:shd w:val="clear" w:color="000000" w:fill="DAE9F8"/>
            <w:vAlign w:val="center"/>
            <w:hideMark/>
          </w:tcPr>
          <w:p w14:paraId="248DE3D4" w14:textId="77777777" w:rsidR="004D77BC" w:rsidRPr="00937F54" w:rsidRDefault="004D77BC"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Tai Hing</w:t>
            </w:r>
          </w:p>
        </w:tc>
        <w:tc>
          <w:tcPr>
            <w:tcW w:w="1120" w:type="dxa"/>
            <w:tcBorders>
              <w:top w:val="single" w:sz="4" w:space="0" w:color="auto"/>
              <w:left w:val="nil"/>
              <w:bottom w:val="single" w:sz="4" w:space="0" w:color="auto"/>
              <w:right w:val="single" w:sz="4" w:space="0" w:color="auto"/>
            </w:tcBorders>
            <w:shd w:val="clear" w:color="000000" w:fill="DAE9F8"/>
            <w:vAlign w:val="center"/>
            <w:hideMark/>
          </w:tcPr>
          <w:p w14:paraId="726A0345" w14:textId="77777777" w:rsidR="004D77BC" w:rsidRPr="00937F54" w:rsidRDefault="004D77BC"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Industry Avg</w:t>
            </w:r>
          </w:p>
        </w:tc>
      </w:tr>
      <w:tr w:rsidR="004D77BC" w:rsidRPr="00937F54" w14:paraId="79BF4C8D" w14:textId="77777777" w:rsidTr="004D77BC">
        <w:trPr>
          <w:trHeight w:val="290"/>
        </w:trPr>
        <w:tc>
          <w:tcPr>
            <w:tcW w:w="2180" w:type="dxa"/>
            <w:tcBorders>
              <w:top w:val="nil"/>
              <w:left w:val="single" w:sz="4" w:space="0" w:color="auto"/>
              <w:bottom w:val="single" w:sz="4" w:space="0" w:color="auto"/>
              <w:right w:val="single" w:sz="4" w:space="0" w:color="auto"/>
            </w:tcBorders>
            <w:shd w:val="clear" w:color="000000" w:fill="DAE9F8"/>
            <w:vAlign w:val="center"/>
            <w:hideMark/>
          </w:tcPr>
          <w:p w14:paraId="3E70D017" w14:textId="77777777" w:rsidR="004D77BC" w:rsidRPr="00937F54" w:rsidRDefault="004D77BC"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Year</w:t>
            </w:r>
          </w:p>
        </w:tc>
        <w:tc>
          <w:tcPr>
            <w:tcW w:w="1120" w:type="dxa"/>
            <w:tcBorders>
              <w:top w:val="nil"/>
              <w:left w:val="nil"/>
              <w:bottom w:val="single" w:sz="4" w:space="0" w:color="auto"/>
              <w:right w:val="single" w:sz="4" w:space="0" w:color="auto"/>
            </w:tcBorders>
            <w:shd w:val="clear" w:color="000000" w:fill="DAE9F8"/>
            <w:vAlign w:val="center"/>
            <w:hideMark/>
          </w:tcPr>
          <w:p w14:paraId="08EBCE56"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2024</w:t>
            </w:r>
          </w:p>
        </w:tc>
        <w:tc>
          <w:tcPr>
            <w:tcW w:w="1120" w:type="dxa"/>
            <w:tcBorders>
              <w:top w:val="nil"/>
              <w:left w:val="nil"/>
              <w:bottom w:val="single" w:sz="4" w:space="0" w:color="auto"/>
              <w:right w:val="single" w:sz="4" w:space="0" w:color="auto"/>
            </w:tcBorders>
            <w:shd w:val="clear" w:color="000000" w:fill="DAE9F8"/>
            <w:vAlign w:val="center"/>
            <w:hideMark/>
          </w:tcPr>
          <w:p w14:paraId="595773C3"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2023</w:t>
            </w:r>
          </w:p>
        </w:tc>
        <w:tc>
          <w:tcPr>
            <w:tcW w:w="1120" w:type="dxa"/>
            <w:tcBorders>
              <w:top w:val="nil"/>
              <w:left w:val="nil"/>
              <w:bottom w:val="single" w:sz="4" w:space="0" w:color="auto"/>
              <w:right w:val="single" w:sz="4" w:space="0" w:color="auto"/>
            </w:tcBorders>
            <w:shd w:val="clear" w:color="000000" w:fill="DAE9F8"/>
            <w:vAlign w:val="center"/>
            <w:hideMark/>
          </w:tcPr>
          <w:p w14:paraId="0B00D45D"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2022</w:t>
            </w:r>
          </w:p>
        </w:tc>
        <w:tc>
          <w:tcPr>
            <w:tcW w:w="1120" w:type="dxa"/>
            <w:tcBorders>
              <w:top w:val="nil"/>
              <w:left w:val="nil"/>
              <w:bottom w:val="single" w:sz="4" w:space="0" w:color="auto"/>
              <w:right w:val="single" w:sz="4" w:space="0" w:color="auto"/>
            </w:tcBorders>
            <w:shd w:val="clear" w:color="000000" w:fill="DAE9F8"/>
            <w:vAlign w:val="center"/>
            <w:hideMark/>
          </w:tcPr>
          <w:p w14:paraId="39DFA311"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2024</w:t>
            </w:r>
          </w:p>
        </w:tc>
        <w:tc>
          <w:tcPr>
            <w:tcW w:w="1120" w:type="dxa"/>
            <w:tcBorders>
              <w:top w:val="nil"/>
              <w:left w:val="nil"/>
              <w:bottom w:val="single" w:sz="4" w:space="0" w:color="auto"/>
              <w:right w:val="single" w:sz="4" w:space="0" w:color="auto"/>
            </w:tcBorders>
            <w:shd w:val="clear" w:color="000000" w:fill="DAE9F8"/>
            <w:vAlign w:val="center"/>
            <w:hideMark/>
          </w:tcPr>
          <w:p w14:paraId="537F8E41"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2024</w:t>
            </w:r>
          </w:p>
        </w:tc>
        <w:tc>
          <w:tcPr>
            <w:tcW w:w="1120" w:type="dxa"/>
            <w:tcBorders>
              <w:top w:val="nil"/>
              <w:left w:val="nil"/>
              <w:bottom w:val="single" w:sz="4" w:space="0" w:color="auto"/>
              <w:right w:val="single" w:sz="4" w:space="0" w:color="auto"/>
            </w:tcBorders>
            <w:shd w:val="clear" w:color="000000" w:fill="DAE9F8"/>
            <w:vAlign w:val="center"/>
            <w:hideMark/>
          </w:tcPr>
          <w:p w14:paraId="5F812D9A"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2024</w:t>
            </w:r>
          </w:p>
        </w:tc>
      </w:tr>
      <w:tr w:rsidR="004D77BC" w:rsidRPr="00937F54" w14:paraId="24F99F5F" w14:textId="77777777" w:rsidTr="004D77BC">
        <w:trPr>
          <w:trHeight w:val="290"/>
        </w:trPr>
        <w:tc>
          <w:tcPr>
            <w:tcW w:w="2180" w:type="dxa"/>
            <w:tcBorders>
              <w:top w:val="nil"/>
              <w:left w:val="single" w:sz="4" w:space="0" w:color="auto"/>
              <w:bottom w:val="single" w:sz="4" w:space="0" w:color="auto"/>
              <w:right w:val="single" w:sz="4" w:space="0" w:color="auto"/>
            </w:tcBorders>
            <w:shd w:val="clear" w:color="000000" w:fill="DAE9F8"/>
            <w:vAlign w:val="center"/>
            <w:hideMark/>
          </w:tcPr>
          <w:p w14:paraId="3AE8B4BC" w14:textId="77777777" w:rsidR="004D77BC" w:rsidRPr="00937F54" w:rsidRDefault="004D77BC"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Current Ratio (%)</w:t>
            </w:r>
          </w:p>
        </w:tc>
        <w:tc>
          <w:tcPr>
            <w:tcW w:w="1120" w:type="dxa"/>
            <w:tcBorders>
              <w:top w:val="nil"/>
              <w:left w:val="nil"/>
              <w:bottom w:val="single" w:sz="4" w:space="0" w:color="auto"/>
              <w:right w:val="single" w:sz="4" w:space="0" w:color="auto"/>
            </w:tcBorders>
            <w:shd w:val="clear" w:color="000000" w:fill="DAE9F8"/>
            <w:vAlign w:val="center"/>
            <w:hideMark/>
          </w:tcPr>
          <w:p w14:paraId="0C6A5F5A"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1.05</w:t>
            </w:r>
          </w:p>
        </w:tc>
        <w:tc>
          <w:tcPr>
            <w:tcW w:w="1120" w:type="dxa"/>
            <w:tcBorders>
              <w:top w:val="nil"/>
              <w:left w:val="nil"/>
              <w:bottom w:val="single" w:sz="4" w:space="0" w:color="auto"/>
              <w:right w:val="single" w:sz="4" w:space="0" w:color="auto"/>
            </w:tcBorders>
            <w:shd w:val="clear" w:color="000000" w:fill="DAE9F8"/>
            <w:vAlign w:val="center"/>
            <w:hideMark/>
          </w:tcPr>
          <w:p w14:paraId="67D8A502"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1.28</w:t>
            </w:r>
          </w:p>
        </w:tc>
        <w:tc>
          <w:tcPr>
            <w:tcW w:w="1120" w:type="dxa"/>
            <w:tcBorders>
              <w:top w:val="nil"/>
              <w:left w:val="nil"/>
              <w:bottom w:val="single" w:sz="4" w:space="0" w:color="auto"/>
              <w:right w:val="single" w:sz="4" w:space="0" w:color="auto"/>
            </w:tcBorders>
            <w:shd w:val="clear" w:color="000000" w:fill="DAE9F8"/>
            <w:vAlign w:val="center"/>
            <w:hideMark/>
          </w:tcPr>
          <w:p w14:paraId="7D3F2918"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1.13</w:t>
            </w:r>
          </w:p>
        </w:tc>
        <w:tc>
          <w:tcPr>
            <w:tcW w:w="1120" w:type="dxa"/>
            <w:tcBorders>
              <w:top w:val="nil"/>
              <w:left w:val="nil"/>
              <w:bottom w:val="single" w:sz="4" w:space="0" w:color="auto"/>
              <w:right w:val="single" w:sz="4" w:space="0" w:color="auto"/>
            </w:tcBorders>
            <w:shd w:val="clear" w:color="000000" w:fill="DAE9F8"/>
            <w:vAlign w:val="center"/>
            <w:hideMark/>
          </w:tcPr>
          <w:p w14:paraId="7B188915"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0.87</w:t>
            </w:r>
          </w:p>
        </w:tc>
        <w:tc>
          <w:tcPr>
            <w:tcW w:w="1120" w:type="dxa"/>
            <w:tcBorders>
              <w:top w:val="nil"/>
              <w:left w:val="nil"/>
              <w:bottom w:val="single" w:sz="4" w:space="0" w:color="auto"/>
              <w:right w:val="single" w:sz="4" w:space="0" w:color="auto"/>
            </w:tcBorders>
            <w:shd w:val="clear" w:color="000000" w:fill="DAE9F8"/>
            <w:vAlign w:val="center"/>
            <w:hideMark/>
          </w:tcPr>
          <w:p w14:paraId="774FE522"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0.7</w:t>
            </w:r>
          </w:p>
        </w:tc>
        <w:tc>
          <w:tcPr>
            <w:tcW w:w="1120" w:type="dxa"/>
            <w:tcBorders>
              <w:top w:val="nil"/>
              <w:left w:val="nil"/>
              <w:bottom w:val="single" w:sz="4" w:space="0" w:color="auto"/>
              <w:right w:val="single" w:sz="4" w:space="0" w:color="auto"/>
            </w:tcBorders>
            <w:shd w:val="clear" w:color="000000" w:fill="DAE9F8"/>
            <w:vAlign w:val="center"/>
            <w:hideMark/>
          </w:tcPr>
          <w:p w14:paraId="4F1648F4"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0.87</w:t>
            </w:r>
          </w:p>
        </w:tc>
      </w:tr>
      <w:tr w:rsidR="004D77BC" w:rsidRPr="00937F54" w14:paraId="72C51101" w14:textId="77777777" w:rsidTr="004D77BC">
        <w:trPr>
          <w:trHeight w:val="290"/>
        </w:trPr>
        <w:tc>
          <w:tcPr>
            <w:tcW w:w="2180" w:type="dxa"/>
            <w:tcBorders>
              <w:top w:val="nil"/>
              <w:left w:val="single" w:sz="4" w:space="0" w:color="auto"/>
              <w:bottom w:val="single" w:sz="4" w:space="0" w:color="auto"/>
              <w:right w:val="single" w:sz="4" w:space="0" w:color="auto"/>
            </w:tcBorders>
            <w:shd w:val="clear" w:color="000000" w:fill="DAE9F8"/>
            <w:vAlign w:val="center"/>
            <w:hideMark/>
          </w:tcPr>
          <w:p w14:paraId="1763B41D" w14:textId="77777777" w:rsidR="004D77BC" w:rsidRPr="00937F54" w:rsidRDefault="004D77BC"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Cash Ratio (%)</w:t>
            </w:r>
          </w:p>
        </w:tc>
        <w:tc>
          <w:tcPr>
            <w:tcW w:w="1120" w:type="dxa"/>
            <w:tcBorders>
              <w:top w:val="nil"/>
              <w:left w:val="nil"/>
              <w:bottom w:val="single" w:sz="4" w:space="0" w:color="auto"/>
              <w:right w:val="single" w:sz="4" w:space="0" w:color="auto"/>
            </w:tcBorders>
            <w:shd w:val="clear" w:color="000000" w:fill="DAE9F8"/>
            <w:vAlign w:val="center"/>
            <w:hideMark/>
          </w:tcPr>
          <w:p w14:paraId="670183A4"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0.66</w:t>
            </w:r>
          </w:p>
        </w:tc>
        <w:tc>
          <w:tcPr>
            <w:tcW w:w="1120" w:type="dxa"/>
            <w:tcBorders>
              <w:top w:val="nil"/>
              <w:left w:val="nil"/>
              <w:bottom w:val="single" w:sz="4" w:space="0" w:color="auto"/>
              <w:right w:val="single" w:sz="4" w:space="0" w:color="auto"/>
            </w:tcBorders>
            <w:shd w:val="clear" w:color="000000" w:fill="DAE9F8"/>
            <w:vAlign w:val="center"/>
            <w:hideMark/>
          </w:tcPr>
          <w:p w14:paraId="402412E1"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0.74</w:t>
            </w:r>
          </w:p>
        </w:tc>
        <w:tc>
          <w:tcPr>
            <w:tcW w:w="1120" w:type="dxa"/>
            <w:tcBorders>
              <w:top w:val="nil"/>
              <w:left w:val="nil"/>
              <w:bottom w:val="single" w:sz="4" w:space="0" w:color="auto"/>
              <w:right w:val="single" w:sz="4" w:space="0" w:color="auto"/>
            </w:tcBorders>
            <w:shd w:val="clear" w:color="000000" w:fill="DAE9F8"/>
            <w:vAlign w:val="center"/>
            <w:hideMark/>
          </w:tcPr>
          <w:p w14:paraId="42F51595"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0.82</w:t>
            </w:r>
          </w:p>
        </w:tc>
        <w:tc>
          <w:tcPr>
            <w:tcW w:w="1120" w:type="dxa"/>
            <w:tcBorders>
              <w:top w:val="nil"/>
              <w:left w:val="nil"/>
              <w:bottom w:val="single" w:sz="4" w:space="0" w:color="auto"/>
              <w:right w:val="single" w:sz="4" w:space="0" w:color="auto"/>
            </w:tcBorders>
            <w:shd w:val="clear" w:color="000000" w:fill="DAE9F8"/>
            <w:vAlign w:val="center"/>
            <w:hideMark/>
          </w:tcPr>
          <w:p w14:paraId="4F49D8C8"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0.39</w:t>
            </w:r>
          </w:p>
        </w:tc>
        <w:tc>
          <w:tcPr>
            <w:tcW w:w="1120" w:type="dxa"/>
            <w:tcBorders>
              <w:top w:val="nil"/>
              <w:left w:val="nil"/>
              <w:bottom w:val="single" w:sz="4" w:space="0" w:color="auto"/>
              <w:right w:val="single" w:sz="4" w:space="0" w:color="auto"/>
            </w:tcBorders>
            <w:shd w:val="clear" w:color="000000" w:fill="DAE9F8"/>
            <w:vAlign w:val="center"/>
            <w:hideMark/>
          </w:tcPr>
          <w:p w14:paraId="5F0E60D3"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0.27</w:t>
            </w:r>
          </w:p>
        </w:tc>
        <w:tc>
          <w:tcPr>
            <w:tcW w:w="1120" w:type="dxa"/>
            <w:tcBorders>
              <w:top w:val="nil"/>
              <w:left w:val="nil"/>
              <w:bottom w:val="single" w:sz="4" w:space="0" w:color="auto"/>
              <w:right w:val="single" w:sz="4" w:space="0" w:color="auto"/>
            </w:tcBorders>
            <w:shd w:val="clear" w:color="000000" w:fill="DAE9F8"/>
            <w:vAlign w:val="center"/>
            <w:hideMark/>
          </w:tcPr>
          <w:p w14:paraId="45A55545"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0.42</w:t>
            </w:r>
          </w:p>
        </w:tc>
      </w:tr>
      <w:tr w:rsidR="004D77BC" w:rsidRPr="00937F54" w14:paraId="068D8238" w14:textId="77777777" w:rsidTr="004D77BC">
        <w:trPr>
          <w:trHeight w:val="290"/>
        </w:trPr>
        <w:tc>
          <w:tcPr>
            <w:tcW w:w="2180" w:type="dxa"/>
            <w:tcBorders>
              <w:top w:val="nil"/>
              <w:left w:val="single" w:sz="4" w:space="0" w:color="auto"/>
              <w:bottom w:val="single" w:sz="4" w:space="0" w:color="auto"/>
              <w:right w:val="single" w:sz="4" w:space="0" w:color="auto"/>
            </w:tcBorders>
            <w:shd w:val="clear" w:color="000000" w:fill="DAE9F8"/>
            <w:vAlign w:val="center"/>
            <w:hideMark/>
          </w:tcPr>
          <w:p w14:paraId="0D2A4482" w14:textId="77777777" w:rsidR="004D77BC" w:rsidRPr="00937F54" w:rsidRDefault="004D77BC"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Total Debt Ratio (%)</w:t>
            </w:r>
          </w:p>
        </w:tc>
        <w:tc>
          <w:tcPr>
            <w:tcW w:w="1120" w:type="dxa"/>
            <w:tcBorders>
              <w:top w:val="nil"/>
              <w:left w:val="nil"/>
              <w:bottom w:val="single" w:sz="4" w:space="0" w:color="auto"/>
              <w:right w:val="single" w:sz="4" w:space="0" w:color="auto"/>
            </w:tcBorders>
            <w:shd w:val="clear" w:color="000000" w:fill="DAE9F8"/>
            <w:vAlign w:val="center"/>
            <w:hideMark/>
          </w:tcPr>
          <w:p w14:paraId="2992ED7E"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0.49</w:t>
            </w:r>
          </w:p>
        </w:tc>
        <w:tc>
          <w:tcPr>
            <w:tcW w:w="1120" w:type="dxa"/>
            <w:tcBorders>
              <w:top w:val="nil"/>
              <w:left w:val="nil"/>
              <w:bottom w:val="single" w:sz="4" w:space="0" w:color="auto"/>
              <w:right w:val="single" w:sz="4" w:space="0" w:color="auto"/>
            </w:tcBorders>
            <w:shd w:val="clear" w:color="000000" w:fill="DAE9F8"/>
            <w:vAlign w:val="center"/>
            <w:hideMark/>
          </w:tcPr>
          <w:p w14:paraId="04ADD272"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0.49</w:t>
            </w:r>
          </w:p>
        </w:tc>
        <w:tc>
          <w:tcPr>
            <w:tcW w:w="1120" w:type="dxa"/>
            <w:tcBorders>
              <w:top w:val="nil"/>
              <w:left w:val="nil"/>
              <w:bottom w:val="single" w:sz="4" w:space="0" w:color="auto"/>
              <w:right w:val="single" w:sz="4" w:space="0" w:color="auto"/>
            </w:tcBorders>
            <w:shd w:val="clear" w:color="000000" w:fill="DAE9F8"/>
            <w:vAlign w:val="center"/>
            <w:hideMark/>
          </w:tcPr>
          <w:p w14:paraId="1B6F0076"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0.5</w:t>
            </w:r>
          </w:p>
        </w:tc>
        <w:tc>
          <w:tcPr>
            <w:tcW w:w="1120" w:type="dxa"/>
            <w:tcBorders>
              <w:top w:val="nil"/>
              <w:left w:val="nil"/>
              <w:bottom w:val="single" w:sz="4" w:space="0" w:color="auto"/>
              <w:right w:val="single" w:sz="4" w:space="0" w:color="auto"/>
            </w:tcBorders>
            <w:shd w:val="clear" w:color="000000" w:fill="DAE9F8"/>
            <w:vAlign w:val="center"/>
            <w:hideMark/>
          </w:tcPr>
          <w:p w14:paraId="0C716651"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0.69</w:t>
            </w:r>
          </w:p>
        </w:tc>
        <w:tc>
          <w:tcPr>
            <w:tcW w:w="1120" w:type="dxa"/>
            <w:tcBorders>
              <w:top w:val="nil"/>
              <w:left w:val="nil"/>
              <w:bottom w:val="single" w:sz="4" w:space="0" w:color="auto"/>
              <w:right w:val="single" w:sz="4" w:space="0" w:color="auto"/>
            </w:tcBorders>
            <w:shd w:val="clear" w:color="000000" w:fill="DAE9F8"/>
            <w:vAlign w:val="center"/>
            <w:hideMark/>
          </w:tcPr>
          <w:p w14:paraId="756EF4C9"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0.62</w:t>
            </w:r>
          </w:p>
        </w:tc>
        <w:tc>
          <w:tcPr>
            <w:tcW w:w="1120" w:type="dxa"/>
            <w:tcBorders>
              <w:top w:val="nil"/>
              <w:left w:val="nil"/>
              <w:bottom w:val="single" w:sz="4" w:space="0" w:color="auto"/>
              <w:right w:val="single" w:sz="4" w:space="0" w:color="auto"/>
            </w:tcBorders>
            <w:shd w:val="clear" w:color="000000" w:fill="DAE9F8"/>
            <w:vAlign w:val="center"/>
            <w:hideMark/>
          </w:tcPr>
          <w:p w14:paraId="3CB1A82C"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0.6</w:t>
            </w:r>
          </w:p>
        </w:tc>
      </w:tr>
      <w:tr w:rsidR="004D77BC" w:rsidRPr="00937F54" w14:paraId="44343663" w14:textId="77777777" w:rsidTr="004D77BC">
        <w:trPr>
          <w:trHeight w:val="290"/>
        </w:trPr>
        <w:tc>
          <w:tcPr>
            <w:tcW w:w="2180" w:type="dxa"/>
            <w:tcBorders>
              <w:top w:val="nil"/>
              <w:left w:val="single" w:sz="4" w:space="0" w:color="auto"/>
              <w:bottom w:val="single" w:sz="4" w:space="0" w:color="auto"/>
              <w:right w:val="single" w:sz="4" w:space="0" w:color="auto"/>
            </w:tcBorders>
            <w:shd w:val="clear" w:color="000000" w:fill="DAE9F8"/>
            <w:vAlign w:val="center"/>
            <w:hideMark/>
          </w:tcPr>
          <w:p w14:paraId="7DC956D6" w14:textId="77777777" w:rsidR="004D77BC" w:rsidRPr="00937F54" w:rsidRDefault="004D77BC" w:rsidP="00E262FC">
            <w:pPr>
              <w:spacing w:line="360" w:lineRule="auto"/>
              <w:rPr>
                <w:rFonts w:eastAsia="Times New Roman"/>
                <w:b/>
                <w:bCs/>
                <w:color w:val="404040"/>
                <w:sz w:val="24"/>
                <w:szCs w:val="24"/>
                <w:lang w:val="en-US" w:eastAsia="zh-TW"/>
              </w:rPr>
            </w:pPr>
            <w:proofErr w:type="gramStart"/>
            <w:r w:rsidRPr="00937F54">
              <w:rPr>
                <w:rFonts w:eastAsia="Times New Roman"/>
                <w:b/>
                <w:bCs/>
                <w:color w:val="404040"/>
                <w:sz w:val="24"/>
                <w:szCs w:val="24"/>
                <w:lang w:val="en-US" w:eastAsia="zh-TW"/>
              </w:rPr>
              <w:t>Interest</w:t>
            </w:r>
            <w:proofErr w:type="gramEnd"/>
            <w:r w:rsidRPr="00937F54">
              <w:rPr>
                <w:rFonts w:eastAsia="Times New Roman"/>
                <w:b/>
                <w:bCs/>
                <w:color w:val="404040"/>
                <w:sz w:val="24"/>
                <w:szCs w:val="24"/>
                <w:lang w:val="en-US" w:eastAsia="zh-TW"/>
              </w:rPr>
              <w:t xml:space="preserve"> Coverage Ratio</w:t>
            </w:r>
          </w:p>
        </w:tc>
        <w:tc>
          <w:tcPr>
            <w:tcW w:w="1120" w:type="dxa"/>
            <w:tcBorders>
              <w:top w:val="nil"/>
              <w:left w:val="nil"/>
              <w:bottom w:val="single" w:sz="4" w:space="0" w:color="auto"/>
              <w:right w:val="single" w:sz="4" w:space="0" w:color="auto"/>
            </w:tcBorders>
            <w:shd w:val="clear" w:color="000000" w:fill="DAE9F8"/>
            <w:vAlign w:val="center"/>
            <w:hideMark/>
          </w:tcPr>
          <w:p w14:paraId="30154E4C"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2.3</w:t>
            </w:r>
          </w:p>
        </w:tc>
        <w:tc>
          <w:tcPr>
            <w:tcW w:w="1120" w:type="dxa"/>
            <w:tcBorders>
              <w:top w:val="nil"/>
              <w:left w:val="nil"/>
              <w:bottom w:val="single" w:sz="4" w:space="0" w:color="auto"/>
              <w:right w:val="single" w:sz="4" w:space="0" w:color="auto"/>
            </w:tcBorders>
            <w:shd w:val="clear" w:color="000000" w:fill="DAE9F8"/>
            <w:vAlign w:val="center"/>
            <w:hideMark/>
          </w:tcPr>
          <w:p w14:paraId="3C698B82"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4.2</w:t>
            </w:r>
          </w:p>
        </w:tc>
        <w:tc>
          <w:tcPr>
            <w:tcW w:w="1120" w:type="dxa"/>
            <w:tcBorders>
              <w:top w:val="nil"/>
              <w:left w:val="nil"/>
              <w:bottom w:val="single" w:sz="4" w:space="0" w:color="auto"/>
              <w:right w:val="single" w:sz="4" w:space="0" w:color="auto"/>
            </w:tcBorders>
            <w:shd w:val="clear" w:color="000000" w:fill="DAE9F8"/>
            <w:vAlign w:val="center"/>
            <w:hideMark/>
          </w:tcPr>
          <w:p w14:paraId="3819C229"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5.8</w:t>
            </w:r>
          </w:p>
        </w:tc>
        <w:tc>
          <w:tcPr>
            <w:tcW w:w="1120" w:type="dxa"/>
            <w:tcBorders>
              <w:top w:val="nil"/>
              <w:left w:val="nil"/>
              <w:bottom w:val="single" w:sz="4" w:space="0" w:color="auto"/>
              <w:right w:val="single" w:sz="4" w:space="0" w:color="auto"/>
            </w:tcBorders>
            <w:shd w:val="clear" w:color="000000" w:fill="DAE9F8"/>
            <w:vAlign w:val="center"/>
            <w:hideMark/>
          </w:tcPr>
          <w:p w14:paraId="4F3A60C2"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2.1</w:t>
            </w:r>
          </w:p>
        </w:tc>
        <w:tc>
          <w:tcPr>
            <w:tcW w:w="1120" w:type="dxa"/>
            <w:tcBorders>
              <w:top w:val="nil"/>
              <w:left w:val="nil"/>
              <w:bottom w:val="single" w:sz="4" w:space="0" w:color="auto"/>
              <w:right w:val="single" w:sz="4" w:space="0" w:color="auto"/>
            </w:tcBorders>
            <w:shd w:val="clear" w:color="000000" w:fill="DAE9F8"/>
            <w:vAlign w:val="center"/>
            <w:hideMark/>
          </w:tcPr>
          <w:p w14:paraId="0D9EBF5B"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2.1</w:t>
            </w:r>
          </w:p>
        </w:tc>
        <w:tc>
          <w:tcPr>
            <w:tcW w:w="1120" w:type="dxa"/>
            <w:tcBorders>
              <w:top w:val="nil"/>
              <w:left w:val="nil"/>
              <w:bottom w:val="single" w:sz="4" w:space="0" w:color="auto"/>
              <w:right w:val="single" w:sz="4" w:space="0" w:color="auto"/>
            </w:tcBorders>
            <w:shd w:val="clear" w:color="000000" w:fill="DAE9F8"/>
            <w:vAlign w:val="center"/>
            <w:hideMark/>
          </w:tcPr>
          <w:p w14:paraId="1E1FC779" w14:textId="77777777" w:rsidR="004D77BC" w:rsidRPr="00937F54" w:rsidRDefault="004D77BC"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3</w:t>
            </w:r>
          </w:p>
        </w:tc>
      </w:tr>
    </w:tbl>
    <w:p w14:paraId="3E53AF3C" w14:textId="77777777" w:rsidR="00862993" w:rsidRPr="00937F54" w:rsidRDefault="00862993" w:rsidP="00E262FC">
      <w:pPr>
        <w:spacing w:line="360" w:lineRule="auto"/>
        <w:rPr>
          <w:iCs/>
          <w:sz w:val="24"/>
          <w:szCs w:val="24"/>
          <w:lang w:val="en-US"/>
        </w:rPr>
      </w:pPr>
    </w:p>
    <w:p w14:paraId="1348ABE7" w14:textId="77777777" w:rsidR="0049306A" w:rsidRPr="00937F54" w:rsidRDefault="0049306A" w:rsidP="00E262FC">
      <w:pPr>
        <w:spacing w:line="360" w:lineRule="auto"/>
        <w:rPr>
          <w:iCs/>
          <w:sz w:val="24"/>
          <w:szCs w:val="24"/>
          <w:lang w:val="en-US"/>
        </w:rPr>
      </w:pPr>
      <w:r w:rsidRPr="00937F54">
        <w:rPr>
          <w:b/>
          <w:bCs/>
          <w:iCs/>
          <w:sz w:val="24"/>
          <w:szCs w:val="24"/>
          <w:lang w:val="en-US"/>
        </w:rPr>
        <w:t>Current Ratio:</w:t>
      </w:r>
      <w:r w:rsidRPr="00937F54">
        <w:rPr>
          <w:iCs/>
          <w:sz w:val="24"/>
          <w:szCs w:val="24"/>
          <w:lang w:val="en-US"/>
        </w:rPr>
        <w:t> Tsui Wah's current ratio declined from 128% (2023) to 105% (2024), showing weakening short-term liquidity but still above industry average due to cash reserves rather than operational efficiency.</w:t>
      </w:r>
    </w:p>
    <w:p w14:paraId="65F77CC1" w14:textId="77777777" w:rsidR="0049306A" w:rsidRPr="00937F54" w:rsidRDefault="0049306A" w:rsidP="00E262FC">
      <w:pPr>
        <w:spacing w:line="360" w:lineRule="auto"/>
        <w:rPr>
          <w:iCs/>
          <w:sz w:val="24"/>
          <w:szCs w:val="24"/>
          <w:lang w:val="en-US"/>
        </w:rPr>
      </w:pPr>
      <w:r w:rsidRPr="00937F54">
        <w:rPr>
          <w:b/>
          <w:bCs/>
          <w:iCs/>
          <w:sz w:val="24"/>
          <w:szCs w:val="24"/>
          <w:lang w:val="en-US"/>
        </w:rPr>
        <w:t>Cash Ratio:</w:t>
      </w:r>
      <w:r w:rsidRPr="00937F54">
        <w:rPr>
          <w:iCs/>
          <w:sz w:val="24"/>
          <w:szCs w:val="24"/>
          <w:lang w:val="en-US"/>
        </w:rPr>
        <w:t> The cash ratio decreased from 82% (2022) to 66% (2024), mainly due to operational cash burn of HK$88.4 million during FY2024, though still above industry levels.</w:t>
      </w:r>
    </w:p>
    <w:p w14:paraId="6279EF06" w14:textId="77777777" w:rsidR="0049306A" w:rsidRPr="00937F54" w:rsidRDefault="0049306A" w:rsidP="00E262FC">
      <w:pPr>
        <w:spacing w:line="360" w:lineRule="auto"/>
        <w:rPr>
          <w:iCs/>
          <w:sz w:val="24"/>
          <w:szCs w:val="24"/>
          <w:lang w:val="en-US"/>
        </w:rPr>
      </w:pPr>
      <w:r w:rsidRPr="00937F54">
        <w:rPr>
          <w:b/>
          <w:bCs/>
          <w:iCs/>
          <w:sz w:val="24"/>
          <w:szCs w:val="24"/>
          <w:lang w:val="en-US"/>
        </w:rPr>
        <w:t>Interest Coverage Ratio:</w:t>
      </w:r>
      <w:r w:rsidRPr="00937F54">
        <w:rPr>
          <w:iCs/>
          <w:sz w:val="24"/>
          <w:szCs w:val="24"/>
          <w:lang w:val="en-US"/>
        </w:rPr>
        <w:t> Significant deterioration from 5.8 times (2022) to 2.3 times (2024), indicating weakening ability to service debt obligations as EBIT declined 61.2% over the period.</w:t>
      </w:r>
    </w:p>
    <w:p w14:paraId="7AD39D21" w14:textId="77777777" w:rsidR="0049306A" w:rsidRPr="00937F54" w:rsidRDefault="0049306A" w:rsidP="00E262FC">
      <w:pPr>
        <w:spacing w:line="360" w:lineRule="auto"/>
        <w:rPr>
          <w:iCs/>
          <w:sz w:val="24"/>
          <w:szCs w:val="24"/>
          <w:lang w:val="en-US"/>
        </w:rPr>
      </w:pPr>
      <w:r w:rsidRPr="00937F54">
        <w:rPr>
          <w:b/>
          <w:bCs/>
          <w:iCs/>
          <w:sz w:val="24"/>
          <w:szCs w:val="24"/>
          <w:lang w:val="en-US"/>
        </w:rPr>
        <w:t>Debt Repayment Ability:</w:t>
      </w:r>
      <w:r w:rsidRPr="00937F54">
        <w:rPr>
          <w:iCs/>
          <w:sz w:val="24"/>
          <w:szCs w:val="24"/>
          <w:lang w:val="en-US"/>
        </w:rPr>
        <w:t> Tsui Wah maintains adequate liquidity levels but shows concerning trends in operational cash generation and debt service capacity.</w:t>
      </w:r>
    </w:p>
    <w:p w14:paraId="71891C8D" w14:textId="77777777" w:rsidR="006861C3" w:rsidRDefault="006861C3" w:rsidP="00E262FC">
      <w:pPr>
        <w:spacing w:line="360" w:lineRule="auto"/>
        <w:rPr>
          <w:b/>
          <w:bCs/>
          <w:iCs/>
          <w:sz w:val="24"/>
          <w:szCs w:val="24"/>
          <w:lang w:val="en-US"/>
        </w:rPr>
      </w:pPr>
    </w:p>
    <w:p w14:paraId="4580712D" w14:textId="77777777" w:rsidR="006861C3" w:rsidRDefault="006861C3" w:rsidP="00E262FC">
      <w:pPr>
        <w:spacing w:line="360" w:lineRule="auto"/>
        <w:rPr>
          <w:b/>
          <w:bCs/>
          <w:iCs/>
          <w:sz w:val="24"/>
          <w:szCs w:val="24"/>
          <w:lang w:val="en-US"/>
        </w:rPr>
      </w:pPr>
    </w:p>
    <w:p w14:paraId="0D2A9E12" w14:textId="77777777" w:rsidR="006861C3" w:rsidRDefault="006861C3" w:rsidP="00E262FC">
      <w:pPr>
        <w:spacing w:line="360" w:lineRule="auto"/>
        <w:rPr>
          <w:b/>
          <w:bCs/>
          <w:iCs/>
          <w:sz w:val="24"/>
          <w:szCs w:val="24"/>
          <w:lang w:val="en-US"/>
        </w:rPr>
      </w:pPr>
    </w:p>
    <w:p w14:paraId="6966B5CB" w14:textId="77777777" w:rsidR="006861C3" w:rsidRDefault="006861C3" w:rsidP="00E262FC">
      <w:pPr>
        <w:spacing w:line="360" w:lineRule="auto"/>
        <w:rPr>
          <w:b/>
          <w:bCs/>
          <w:iCs/>
          <w:sz w:val="24"/>
          <w:szCs w:val="24"/>
          <w:lang w:val="en-US"/>
        </w:rPr>
      </w:pPr>
    </w:p>
    <w:p w14:paraId="09C852DA" w14:textId="77777777" w:rsidR="006861C3" w:rsidRDefault="006861C3" w:rsidP="00E262FC">
      <w:pPr>
        <w:spacing w:line="360" w:lineRule="auto"/>
        <w:rPr>
          <w:b/>
          <w:bCs/>
          <w:iCs/>
          <w:sz w:val="24"/>
          <w:szCs w:val="24"/>
          <w:lang w:val="en-US"/>
        </w:rPr>
      </w:pPr>
    </w:p>
    <w:p w14:paraId="7950CA2B" w14:textId="77777777" w:rsidR="006861C3" w:rsidRDefault="006861C3" w:rsidP="00E262FC">
      <w:pPr>
        <w:spacing w:line="360" w:lineRule="auto"/>
        <w:rPr>
          <w:b/>
          <w:bCs/>
          <w:iCs/>
          <w:sz w:val="24"/>
          <w:szCs w:val="24"/>
          <w:lang w:val="en-US"/>
        </w:rPr>
      </w:pPr>
    </w:p>
    <w:p w14:paraId="6E00A981" w14:textId="77777777" w:rsidR="006861C3" w:rsidRDefault="006861C3" w:rsidP="00E262FC">
      <w:pPr>
        <w:spacing w:line="360" w:lineRule="auto"/>
        <w:rPr>
          <w:b/>
          <w:bCs/>
          <w:iCs/>
          <w:sz w:val="24"/>
          <w:szCs w:val="24"/>
          <w:lang w:val="en-US"/>
        </w:rPr>
      </w:pPr>
    </w:p>
    <w:p w14:paraId="3029C460" w14:textId="77777777" w:rsidR="006861C3" w:rsidRDefault="006861C3" w:rsidP="00E262FC">
      <w:pPr>
        <w:spacing w:line="360" w:lineRule="auto"/>
        <w:rPr>
          <w:b/>
          <w:bCs/>
          <w:iCs/>
          <w:sz w:val="24"/>
          <w:szCs w:val="24"/>
          <w:lang w:val="en-US"/>
        </w:rPr>
      </w:pPr>
    </w:p>
    <w:p w14:paraId="60A21797" w14:textId="77777777" w:rsidR="006861C3" w:rsidRDefault="006861C3" w:rsidP="00E262FC">
      <w:pPr>
        <w:spacing w:line="360" w:lineRule="auto"/>
        <w:rPr>
          <w:b/>
          <w:bCs/>
          <w:iCs/>
          <w:sz w:val="24"/>
          <w:szCs w:val="24"/>
          <w:lang w:val="en-US"/>
        </w:rPr>
      </w:pPr>
    </w:p>
    <w:p w14:paraId="732B885F" w14:textId="77777777" w:rsidR="006861C3" w:rsidRDefault="006861C3" w:rsidP="00E262FC">
      <w:pPr>
        <w:spacing w:line="360" w:lineRule="auto"/>
        <w:rPr>
          <w:b/>
          <w:bCs/>
          <w:iCs/>
          <w:sz w:val="24"/>
          <w:szCs w:val="24"/>
          <w:lang w:val="en-US"/>
        </w:rPr>
      </w:pPr>
    </w:p>
    <w:p w14:paraId="03B69E68" w14:textId="77777777" w:rsidR="006861C3" w:rsidRDefault="006861C3" w:rsidP="00E262FC">
      <w:pPr>
        <w:spacing w:line="360" w:lineRule="auto"/>
        <w:rPr>
          <w:b/>
          <w:bCs/>
          <w:iCs/>
          <w:sz w:val="24"/>
          <w:szCs w:val="24"/>
          <w:lang w:val="en-US"/>
        </w:rPr>
      </w:pPr>
    </w:p>
    <w:p w14:paraId="462169D0" w14:textId="77777777" w:rsidR="006861C3" w:rsidRDefault="006861C3" w:rsidP="00E262FC">
      <w:pPr>
        <w:spacing w:line="360" w:lineRule="auto"/>
        <w:rPr>
          <w:b/>
          <w:bCs/>
          <w:iCs/>
          <w:sz w:val="24"/>
          <w:szCs w:val="24"/>
          <w:lang w:val="en-US"/>
        </w:rPr>
      </w:pPr>
    </w:p>
    <w:p w14:paraId="27A08D5A" w14:textId="0FE7AE96" w:rsidR="00436F2B" w:rsidRDefault="00436F2B" w:rsidP="00E262FC">
      <w:pPr>
        <w:spacing w:line="360" w:lineRule="auto"/>
        <w:rPr>
          <w:b/>
          <w:bCs/>
          <w:iCs/>
          <w:sz w:val="24"/>
          <w:szCs w:val="24"/>
          <w:lang w:val="en-US"/>
        </w:rPr>
      </w:pPr>
      <w:r w:rsidRPr="00937F54">
        <w:rPr>
          <w:b/>
          <w:bCs/>
          <w:iCs/>
          <w:sz w:val="24"/>
          <w:szCs w:val="24"/>
          <w:lang w:val="en-US"/>
        </w:rPr>
        <w:lastRenderedPageBreak/>
        <w:t>2.4 Operational Ability</w:t>
      </w:r>
    </w:p>
    <w:p w14:paraId="3431115B" w14:textId="3E02A875" w:rsidR="00436F2B" w:rsidRPr="00937F54" w:rsidRDefault="008D690A" w:rsidP="00E262FC">
      <w:pPr>
        <w:spacing w:line="360" w:lineRule="auto"/>
        <w:rPr>
          <w:iCs/>
          <w:sz w:val="24"/>
          <w:szCs w:val="24"/>
          <w:lang w:val="en-US"/>
        </w:rPr>
      </w:pPr>
      <w:r w:rsidRPr="008D690A">
        <w:rPr>
          <w:iCs/>
          <w:sz w:val="24"/>
          <w:szCs w:val="24"/>
        </w:rPr>
        <w:t>Tsui Wah's total sales revenue fluctuated over the past three years. Sales declined from HK$993.32 million in 2022 to HK$845.8 million in 2023, representing a significant contraction of approximately 14.8%. However, the company partially recovered in 2024 with sales reaching HK$954.13 million, reflecting ongoing operational challenges and an uncertain market environment.</w:t>
      </w:r>
    </w:p>
    <w:tbl>
      <w:tblPr>
        <w:tblW w:w="7720" w:type="dxa"/>
        <w:tblLook w:val="04A0" w:firstRow="1" w:lastRow="0" w:firstColumn="1" w:lastColumn="0" w:noHBand="0" w:noVBand="1"/>
      </w:tblPr>
      <w:tblGrid>
        <w:gridCol w:w="2440"/>
        <w:gridCol w:w="960"/>
        <w:gridCol w:w="960"/>
        <w:gridCol w:w="960"/>
        <w:gridCol w:w="1240"/>
        <w:gridCol w:w="1160"/>
      </w:tblGrid>
      <w:tr w:rsidR="003001F0" w:rsidRPr="003001F0" w14:paraId="2C6F7359" w14:textId="77777777" w:rsidTr="003001F0">
        <w:trPr>
          <w:trHeight w:val="1090"/>
        </w:trPr>
        <w:tc>
          <w:tcPr>
            <w:tcW w:w="2440" w:type="dxa"/>
            <w:tcBorders>
              <w:top w:val="single" w:sz="4" w:space="0" w:color="auto"/>
              <w:left w:val="single" w:sz="4" w:space="0" w:color="auto"/>
              <w:bottom w:val="single" w:sz="4" w:space="0" w:color="auto"/>
              <w:right w:val="single" w:sz="4" w:space="0" w:color="auto"/>
            </w:tcBorders>
            <w:shd w:val="clear" w:color="000000" w:fill="DAE9F8"/>
            <w:vAlign w:val="center"/>
            <w:hideMark/>
          </w:tcPr>
          <w:p w14:paraId="754EC4C9" w14:textId="77777777" w:rsidR="003001F0" w:rsidRPr="003001F0" w:rsidRDefault="003001F0" w:rsidP="003001F0">
            <w:pPr>
              <w:rPr>
                <w:rFonts w:eastAsia="Times New Roman"/>
                <w:b/>
                <w:bCs/>
                <w:color w:val="404040"/>
                <w:sz w:val="24"/>
                <w:szCs w:val="24"/>
                <w:lang w:val="en-US" w:eastAsia="zh-TW"/>
              </w:rPr>
            </w:pPr>
            <w:r w:rsidRPr="003001F0">
              <w:rPr>
                <w:rFonts w:eastAsia="Times New Roman"/>
                <w:b/>
                <w:bCs/>
                <w:color w:val="404040"/>
                <w:sz w:val="24"/>
                <w:szCs w:val="24"/>
                <w:lang w:val="en-US" w:eastAsia="zh-TW"/>
              </w:rPr>
              <w:t>Sales (HK$ Million)</w:t>
            </w:r>
          </w:p>
        </w:tc>
        <w:tc>
          <w:tcPr>
            <w:tcW w:w="2880" w:type="dxa"/>
            <w:gridSpan w:val="3"/>
            <w:tcBorders>
              <w:top w:val="single" w:sz="4" w:space="0" w:color="auto"/>
              <w:left w:val="nil"/>
              <w:bottom w:val="single" w:sz="4" w:space="0" w:color="auto"/>
              <w:right w:val="single" w:sz="4" w:space="0" w:color="000000"/>
            </w:tcBorders>
            <w:shd w:val="clear" w:color="000000" w:fill="DAE9F8"/>
            <w:vAlign w:val="center"/>
            <w:hideMark/>
          </w:tcPr>
          <w:p w14:paraId="69E050C0" w14:textId="77777777" w:rsidR="003001F0" w:rsidRPr="003001F0" w:rsidRDefault="003001F0" w:rsidP="003001F0">
            <w:pPr>
              <w:jc w:val="center"/>
              <w:rPr>
                <w:rFonts w:eastAsia="Times New Roman"/>
                <w:b/>
                <w:bCs/>
                <w:color w:val="404040"/>
                <w:sz w:val="24"/>
                <w:szCs w:val="24"/>
                <w:lang w:val="en-US" w:eastAsia="zh-TW"/>
              </w:rPr>
            </w:pPr>
            <w:r w:rsidRPr="003001F0">
              <w:rPr>
                <w:rFonts w:eastAsia="Times New Roman"/>
                <w:b/>
                <w:bCs/>
                <w:color w:val="404040"/>
                <w:sz w:val="24"/>
                <w:szCs w:val="24"/>
                <w:lang w:val="en-US" w:eastAsia="zh-TW"/>
              </w:rPr>
              <w:t>Tsui Wah</w:t>
            </w:r>
          </w:p>
        </w:tc>
        <w:tc>
          <w:tcPr>
            <w:tcW w:w="1240" w:type="dxa"/>
            <w:tcBorders>
              <w:top w:val="single" w:sz="4" w:space="0" w:color="auto"/>
              <w:left w:val="nil"/>
              <w:bottom w:val="single" w:sz="4" w:space="0" w:color="auto"/>
              <w:right w:val="single" w:sz="4" w:space="0" w:color="auto"/>
            </w:tcBorders>
            <w:shd w:val="clear" w:color="000000" w:fill="DAE9F8"/>
            <w:vAlign w:val="center"/>
            <w:hideMark/>
          </w:tcPr>
          <w:p w14:paraId="5D86BEB9" w14:textId="77777777" w:rsidR="003001F0" w:rsidRPr="003001F0" w:rsidRDefault="003001F0" w:rsidP="003001F0">
            <w:pPr>
              <w:rPr>
                <w:rFonts w:eastAsia="Times New Roman"/>
                <w:b/>
                <w:bCs/>
                <w:color w:val="404040"/>
                <w:sz w:val="24"/>
                <w:szCs w:val="24"/>
                <w:lang w:val="en-US" w:eastAsia="zh-TW"/>
              </w:rPr>
            </w:pPr>
            <w:r w:rsidRPr="003001F0">
              <w:rPr>
                <w:rFonts w:eastAsia="Times New Roman"/>
                <w:b/>
                <w:bCs/>
                <w:color w:val="404040"/>
                <w:sz w:val="24"/>
                <w:szCs w:val="24"/>
                <w:lang w:val="en-US" w:eastAsia="zh-TW"/>
              </w:rPr>
              <w:t>Fairwood</w:t>
            </w:r>
          </w:p>
        </w:tc>
        <w:tc>
          <w:tcPr>
            <w:tcW w:w="1160" w:type="dxa"/>
            <w:tcBorders>
              <w:top w:val="single" w:sz="4" w:space="0" w:color="auto"/>
              <w:left w:val="nil"/>
              <w:bottom w:val="single" w:sz="4" w:space="0" w:color="auto"/>
              <w:right w:val="single" w:sz="4" w:space="0" w:color="auto"/>
            </w:tcBorders>
            <w:shd w:val="clear" w:color="000000" w:fill="DAE9F8"/>
            <w:vAlign w:val="center"/>
            <w:hideMark/>
          </w:tcPr>
          <w:p w14:paraId="154FAB68" w14:textId="77777777" w:rsidR="003001F0" w:rsidRPr="003001F0" w:rsidRDefault="003001F0" w:rsidP="003001F0">
            <w:pPr>
              <w:rPr>
                <w:rFonts w:eastAsia="Times New Roman"/>
                <w:b/>
                <w:bCs/>
                <w:color w:val="404040"/>
                <w:sz w:val="24"/>
                <w:szCs w:val="24"/>
                <w:lang w:val="en-US" w:eastAsia="zh-TW"/>
              </w:rPr>
            </w:pPr>
            <w:r w:rsidRPr="003001F0">
              <w:rPr>
                <w:rFonts w:eastAsia="Times New Roman"/>
                <w:b/>
                <w:bCs/>
                <w:color w:val="404040"/>
                <w:sz w:val="24"/>
                <w:szCs w:val="24"/>
                <w:lang w:val="en-US" w:eastAsia="zh-TW"/>
              </w:rPr>
              <w:t>Tai Hing</w:t>
            </w:r>
          </w:p>
        </w:tc>
      </w:tr>
      <w:tr w:rsidR="003001F0" w:rsidRPr="003001F0" w14:paraId="78501170" w14:textId="77777777" w:rsidTr="003001F0">
        <w:trPr>
          <w:trHeight w:val="300"/>
        </w:trPr>
        <w:tc>
          <w:tcPr>
            <w:tcW w:w="2440" w:type="dxa"/>
            <w:tcBorders>
              <w:top w:val="nil"/>
              <w:left w:val="single" w:sz="4" w:space="0" w:color="auto"/>
              <w:bottom w:val="single" w:sz="4" w:space="0" w:color="auto"/>
              <w:right w:val="single" w:sz="4" w:space="0" w:color="auto"/>
            </w:tcBorders>
            <w:shd w:val="clear" w:color="000000" w:fill="DAE9F8"/>
            <w:vAlign w:val="center"/>
            <w:hideMark/>
          </w:tcPr>
          <w:p w14:paraId="4AA8EA82" w14:textId="77777777" w:rsidR="003001F0" w:rsidRPr="003001F0" w:rsidRDefault="003001F0" w:rsidP="003001F0">
            <w:pPr>
              <w:rPr>
                <w:rFonts w:eastAsia="Times New Roman"/>
                <w:b/>
                <w:bCs/>
                <w:color w:val="404040"/>
                <w:sz w:val="24"/>
                <w:szCs w:val="24"/>
                <w:lang w:val="en-US" w:eastAsia="zh-TW"/>
              </w:rPr>
            </w:pPr>
            <w:r w:rsidRPr="003001F0">
              <w:rPr>
                <w:rFonts w:eastAsia="Times New Roman"/>
                <w:b/>
                <w:bCs/>
                <w:color w:val="404040"/>
                <w:sz w:val="24"/>
                <w:szCs w:val="24"/>
                <w:lang w:val="en-US" w:eastAsia="zh-TW"/>
              </w:rPr>
              <w:t>(Year)</w:t>
            </w:r>
          </w:p>
        </w:tc>
        <w:tc>
          <w:tcPr>
            <w:tcW w:w="960" w:type="dxa"/>
            <w:tcBorders>
              <w:top w:val="nil"/>
              <w:left w:val="nil"/>
              <w:bottom w:val="single" w:sz="4" w:space="0" w:color="auto"/>
              <w:right w:val="single" w:sz="4" w:space="0" w:color="auto"/>
            </w:tcBorders>
            <w:shd w:val="clear" w:color="000000" w:fill="DAE9F8"/>
            <w:vAlign w:val="center"/>
            <w:hideMark/>
          </w:tcPr>
          <w:p w14:paraId="4D395A83" w14:textId="77777777" w:rsidR="003001F0" w:rsidRPr="003001F0" w:rsidRDefault="003001F0" w:rsidP="003001F0">
            <w:pPr>
              <w:rPr>
                <w:rFonts w:eastAsia="Times New Roman"/>
                <w:b/>
                <w:bCs/>
                <w:color w:val="404040"/>
                <w:sz w:val="24"/>
                <w:szCs w:val="24"/>
                <w:lang w:val="en-US" w:eastAsia="zh-TW"/>
              </w:rPr>
            </w:pPr>
            <w:r w:rsidRPr="003001F0">
              <w:rPr>
                <w:rFonts w:eastAsia="Times New Roman"/>
                <w:b/>
                <w:bCs/>
                <w:color w:val="404040"/>
                <w:sz w:val="24"/>
                <w:szCs w:val="24"/>
                <w:lang w:val="en-US" w:eastAsia="zh-TW"/>
              </w:rPr>
              <w:t>2024</w:t>
            </w:r>
          </w:p>
        </w:tc>
        <w:tc>
          <w:tcPr>
            <w:tcW w:w="960" w:type="dxa"/>
            <w:tcBorders>
              <w:top w:val="nil"/>
              <w:left w:val="nil"/>
              <w:bottom w:val="single" w:sz="4" w:space="0" w:color="auto"/>
              <w:right w:val="single" w:sz="4" w:space="0" w:color="auto"/>
            </w:tcBorders>
            <w:shd w:val="clear" w:color="000000" w:fill="DAE9F8"/>
            <w:vAlign w:val="center"/>
            <w:hideMark/>
          </w:tcPr>
          <w:p w14:paraId="2C5232E6" w14:textId="77777777" w:rsidR="003001F0" w:rsidRPr="003001F0" w:rsidRDefault="003001F0" w:rsidP="003001F0">
            <w:pPr>
              <w:rPr>
                <w:rFonts w:eastAsia="Times New Roman"/>
                <w:b/>
                <w:bCs/>
                <w:color w:val="404040"/>
                <w:sz w:val="24"/>
                <w:szCs w:val="24"/>
                <w:lang w:val="en-US" w:eastAsia="zh-TW"/>
              </w:rPr>
            </w:pPr>
            <w:r w:rsidRPr="003001F0">
              <w:rPr>
                <w:rFonts w:eastAsia="Times New Roman"/>
                <w:b/>
                <w:bCs/>
                <w:color w:val="404040"/>
                <w:sz w:val="24"/>
                <w:szCs w:val="24"/>
                <w:lang w:val="en-US" w:eastAsia="zh-TW"/>
              </w:rPr>
              <w:t>20223</w:t>
            </w:r>
          </w:p>
        </w:tc>
        <w:tc>
          <w:tcPr>
            <w:tcW w:w="960" w:type="dxa"/>
            <w:tcBorders>
              <w:top w:val="nil"/>
              <w:left w:val="nil"/>
              <w:bottom w:val="single" w:sz="4" w:space="0" w:color="auto"/>
              <w:right w:val="single" w:sz="4" w:space="0" w:color="auto"/>
            </w:tcBorders>
            <w:shd w:val="clear" w:color="000000" w:fill="DAE9F8"/>
            <w:vAlign w:val="center"/>
            <w:hideMark/>
          </w:tcPr>
          <w:p w14:paraId="68777D31" w14:textId="77777777" w:rsidR="003001F0" w:rsidRPr="003001F0" w:rsidRDefault="003001F0" w:rsidP="003001F0">
            <w:pPr>
              <w:rPr>
                <w:rFonts w:eastAsia="Times New Roman"/>
                <w:b/>
                <w:bCs/>
                <w:color w:val="404040"/>
                <w:sz w:val="24"/>
                <w:szCs w:val="24"/>
                <w:lang w:val="en-US" w:eastAsia="zh-TW"/>
              </w:rPr>
            </w:pPr>
            <w:r w:rsidRPr="003001F0">
              <w:rPr>
                <w:rFonts w:eastAsia="Times New Roman"/>
                <w:b/>
                <w:bCs/>
                <w:color w:val="404040"/>
                <w:sz w:val="24"/>
                <w:szCs w:val="24"/>
                <w:lang w:val="en-US" w:eastAsia="zh-TW"/>
              </w:rPr>
              <w:t>2022</w:t>
            </w:r>
          </w:p>
        </w:tc>
        <w:tc>
          <w:tcPr>
            <w:tcW w:w="1240" w:type="dxa"/>
            <w:tcBorders>
              <w:top w:val="nil"/>
              <w:left w:val="nil"/>
              <w:bottom w:val="single" w:sz="4" w:space="0" w:color="auto"/>
              <w:right w:val="single" w:sz="4" w:space="0" w:color="auto"/>
            </w:tcBorders>
            <w:shd w:val="clear" w:color="000000" w:fill="DAE9F8"/>
            <w:vAlign w:val="center"/>
            <w:hideMark/>
          </w:tcPr>
          <w:p w14:paraId="4B0AA042" w14:textId="77777777" w:rsidR="003001F0" w:rsidRPr="003001F0" w:rsidRDefault="003001F0" w:rsidP="003001F0">
            <w:pPr>
              <w:rPr>
                <w:rFonts w:eastAsia="Times New Roman"/>
                <w:b/>
                <w:bCs/>
                <w:color w:val="404040"/>
                <w:sz w:val="24"/>
                <w:szCs w:val="24"/>
                <w:lang w:val="en-US" w:eastAsia="zh-TW"/>
              </w:rPr>
            </w:pPr>
            <w:r w:rsidRPr="003001F0">
              <w:rPr>
                <w:rFonts w:eastAsia="Times New Roman"/>
                <w:b/>
                <w:bCs/>
                <w:color w:val="404040"/>
                <w:sz w:val="24"/>
                <w:szCs w:val="24"/>
                <w:lang w:val="en-US" w:eastAsia="zh-TW"/>
              </w:rPr>
              <w:t>2024</w:t>
            </w:r>
          </w:p>
        </w:tc>
        <w:tc>
          <w:tcPr>
            <w:tcW w:w="1160" w:type="dxa"/>
            <w:tcBorders>
              <w:top w:val="nil"/>
              <w:left w:val="nil"/>
              <w:bottom w:val="single" w:sz="4" w:space="0" w:color="auto"/>
              <w:right w:val="single" w:sz="4" w:space="0" w:color="auto"/>
            </w:tcBorders>
            <w:shd w:val="clear" w:color="000000" w:fill="DAE9F8"/>
            <w:vAlign w:val="center"/>
            <w:hideMark/>
          </w:tcPr>
          <w:p w14:paraId="71B2ED8C" w14:textId="77777777" w:rsidR="003001F0" w:rsidRPr="003001F0" w:rsidRDefault="003001F0" w:rsidP="003001F0">
            <w:pPr>
              <w:rPr>
                <w:rFonts w:eastAsia="Times New Roman"/>
                <w:b/>
                <w:bCs/>
                <w:color w:val="404040"/>
                <w:sz w:val="24"/>
                <w:szCs w:val="24"/>
                <w:lang w:val="en-US" w:eastAsia="zh-TW"/>
              </w:rPr>
            </w:pPr>
            <w:r w:rsidRPr="003001F0">
              <w:rPr>
                <w:rFonts w:eastAsia="Times New Roman"/>
                <w:b/>
                <w:bCs/>
                <w:color w:val="404040"/>
                <w:sz w:val="24"/>
                <w:szCs w:val="24"/>
                <w:lang w:val="en-US" w:eastAsia="zh-TW"/>
              </w:rPr>
              <w:t>2024</w:t>
            </w:r>
          </w:p>
        </w:tc>
      </w:tr>
      <w:tr w:rsidR="003001F0" w:rsidRPr="003001F0" w14:paraId="0BF46152" w14:textId="77777777" w:rsidTr="003001F0">
        <w:trPr>
          <w:trHeight w:val="300"/>
        </w:trPr>
        <w:tc>
          <w:tcPr>
            <w:tcW w:w="2440" w:type="dxa"/>
            <w:tcBorders>
              <w:top w:val="nil"/>
              <w:left w:val="single" w:sz="4" w:space="0" w:color="auto"/>
              <w:bottom w:val="single" w:sz="4" w:space="0" w:color="auto"/>
              <w:right w:val="single" w:sz="4" w:space="0" w:color="auto"/>
            </w:tcBorders>
            <w:shd w:val="clear" w:color="000000" w:fill="DAE9F8"/>
            <w:vAlign w:val="center"/>
            <w:hideMark/>
          </w:tcPr>
          <w:p w14:paraId="32B9E003" w14:textId="77777777" w:rsidR="003001F0" w:rsidRPr="003001F0" w:rsidRDefault="003001F0" w:rsidP="003001F0">
            <w:pPr>
              <w:rPr>
                <w:rFonts w:eastAsia="Times New Roman"/>
                <w:b/>
                <w:bCs/>
                <w:color w:val="404040"/>
                <w:sz w:val="24"/>
                <w:szCs w:val="24"/>
                <w:lang w:val="en-US" w:eastAsia="zh-TW"/>
              </w:rPr>
            </w:pPr>
            <w:r w:rsidRPr="003001F0">
              <w:rPr>
                <w:rFonts w:eastAsia="Times New Roman"/>
                <w:b/>
                <w:bCs/>
                <w:color w:val="404040"/>
                <w:sz w:val="24"/>
                <w:szCs w:val="24"/>
                <w:lang w:val="en-US" w:eastAsia="zh-TW"/>
              </w:rPr>
              <w:t>2024 Revenue</w:t>
            </w:r>
          </w:p>
        </w:tc>
        <w:tc>
          <w:tcPr>
            <w:tcW w:w="960" w:type="dxa"/>
            <w:tcBorders>
              <w:top w:val="nil"/>
              <w:left w:val="nil"/>
              <w:bottom w:val="single" w:sz="4" w:space="0" w:color="auto"/>
              <w:right w:val="single" w:sz="4" w:space="0" w:color="auto"/>
            </w:tcBorders>
            <w:shd w:val="clear" w:color="000000" w:fill="DAE9F8"/>
            <w:vAlign w:val="center"/>
            <w:hideMark/>
          </w:tcPr>
          <w:p w14:paraId="1FD3A357" w14:textId="54300CD3" w:rsidR="003001F0" w:rsidRPr="003001F0" w:rsidRDefault="00B311A0" w:rsidP="003001F0">
            <w:pPr>
              <w:rPr>
                <w:rFonts w:eastAsia="Times New Roman"/>
                <w:color w:val="404040"/>
                <w:sz w:val="24"/>
                <w:szCs w:val="24"/>
                <w:lang w:val="en-US" w:eastAsia="zh-TW"/>
              </w:rPr>
            </w:pPr>
            <w:r>
              <w:rPr>
                <w:rFonts w:eastAsia="Times New Roman"/>
                <w:color w:val="404040"/>
                <w:sz w:val="24"/>
                <w:szCs w:val="24"/>
                <w:lang w:val="en-US" w:eastAsia="zh-TW"/>
              </w:rPr>
              <w:t>954.1</w:t>
            </w:r>
          </w:p>
        </w:tc>
        <w:tc>
          <w:tcPr>
            <w:tcW w:w="960" w:type="dxa"/>
            <w:tcBorders>
              <w:top w:val="nil"/>
              <w:left w:val="nil"/>
              <w:bottom w:val="single" w:sz="4" w:space="0" w:color="auto"/>
              <w:right w:val="single" w:sz="4" w:space="0" w:color="auto"/>
            </w:tcBorders>
            <w:shd w:val="clear" w:color="000000" w:fill="DAE9F8"/>
            <w:vAlign w:val="center"/>
            <w:hideMark/>
          </w:tcPr>
          <w:p w14:paraId="152E08B0" w14:textId="1950EEF8" w:rsidR="003001F0" w:rsidRPr="003001F0" w:rsidRDefault="00B311A0" w:rsidP="003001F0">
            <w:pPr>
              <w:rPr>
                <w:rFonts w:eastAsia="Times New Roman"/>
                <w:color w:val="404040"/>
                <w:sz w:val="24"/>
                <w:szCs w:val="24"/>
                <w:lang w:val="en-US" w:eastAsia="zh-TW"/>
              </w:rPr>
            </w:pPr>
            <w:r>
              <w:rPr>
                <w:rFonts w:eastAsia="Times New Roman"/>
                <w:color w:val="404040"/>
                <w:sz w:val="24"/>
                <w:szCs w:val="24"/>
                <w:lang w:val="en-US" w:eastAsia="zh-TW"/>
              </w:rPr>
              <w:t>845</w:t>
            </w:r>
            <w:r w:rsidR="003001F0" w:rsidRPr="003001F0">
              <w:rPr>
                <w:rFonts w:eastAsia="Times New Roman"/>
                <w:color w:val="404040"/>
                <w:sz w:val="24"/>
                <w:szCs w:val="24"/>
                <w:lang w:val="en-US" w:eastAsia="zh-TW"/>
              </w:rPr>
              <w:t>.</w:t>
            </w:r>
            <w:r>
              <w:rPr>
                <w:rFonts w:eastAsia="Times New Roman"/>
                <w:color w:val="404040"/>
                <w:sz w:val="24"/>
                <w:szCs w:val="24"/>
                <w:lang w:val="en-US" w:eastAsia="zh-TW"/>
              </w:rPr>
              <w:t>8</w:t>
            </w:r>
          </w:p>
        </w:tc>
        <w:tc>
          <w:tcPr>
            <w:tcW w:w="960" w:type="dxa"/>
            <w:tcBorders>
              <w:top w:val="nil"/>
              <w:left w:val="nil"/>
              <w:bottom w:val="single" w:sz="4" w:space="0" w:color="auto"/>
              <w:right w:val="single" w:sz="4" w:space="0" w:color="auto"/>
            </w:tcBorders>
            <w:shd w:val="clear" w:color="000000" w:fill="DAE9F8"/>
            <w:vAlign w:val="center"/>
            <w:hideMark/>
          </w:tcPr>
          <w:p w14:paraId="221017BD" w14:textId="7FC8EC0A" w:rsidR="003001F0" w:rsidRPr="003001F0" w:rsidRDefault="00F43963" w:rsidP="003001F0">
            <w:pPr>
              <w:rPr>
                <w:rFonts w:eastAsia="Times New Roman"/>
                <w:color w:val="404040"/>
                <w:sz w:val="24"/>
                <w:szCs w:val="24"/>
                <w:lang w:val="en-US" w:eastAsia="zh-TW"/>
              </w:rPr>
            </w:pPr>
            <w:r>
              <w:rPr>
                <w:rFonts w:eastAsia="Times New Roman"/>
                <w:color w:val="404040"/>
                <w:sz w:val="24"/>
                <w:szCs w:val="24"/>
                <w:lang w:val="en-US" w:eastAsia="zh-TW"/>
              </w:rPr>
              <w:t>993.3</w:t>
            </w:r>
          </w:p>
        </w:tc>
        <w:tc>
          <w:tcPr>
            <w:tcW w:w="1240" w:type="dxa"/>
            <w:tcBorders>
              <w:top w:val="nil"/>
              <w:left w:val="nil"/>
              <w:bottom w:val="single" w:sz="4" w:space="0" w:color="auto"/>
              <w:right w:val="single" w:sz="4" w:space="0" w:color="auto"/>
            </w:tcBorders>
            <w:shd w:val="clear" w:color="000000" w:fill="DAE9F8"/>
            <w:vAlign w:val="center"/>
            <w:hideMark/>
          </w:tcPr>
          <w:p w14:paraId="5E6B724B" w14:textId="571E57D0" w:rsidR="003001F0" w:rsidRPr="003001F0" w:rsidRDefault="00B54635" w:rsidP="003001F0">
            <w:pPr>
              <w:rPr>
                <w:rFonts w:eastAsia="Times New Roman"/>
                <w:color w:val="404040"/>
                <w:sz w:val="24"/>
                <w:szCs w:val="24"/>
                <w:lang w:val="en-US" w:eastAsia="zh-TW"/>
              </w:rPr>
            </w:pPr>
            <w:r>
              <w:rPr>
                <w:rFonts w:eastAsia="Times New Roman"/>
                <w:color w:val="404040"/>
                <w:sz w:val="24"/>
                <w:szCs w:val="24"/>
                <w:lang w:val="en-US" w:eastAsia="zh-TW"/>
              </w:rPr>
              <w:t>2870</w:t>
            </w:r>
          </w:p>
        </w:tc>
        <w:tc>
          <w:tcPr>
            <w:tcW w:w="1160" w:type="dxa"/>
            <w:tcBorders>
              <w:top w:val="nil"/>
              <w:left w:val="nil"/>
              <w:bottom w:val="single" w:sz="4" w:space="0" w:color="auto"/>
              <w:right w:val="single" w:sz="4" w:space="0" w:color="auto"/>
            </w:tcBorders>
            <w:shd w:val="clear" w:color="000000" w:fill="DAE9F8"/>
            <w:vAlign w:val="center"/>
            <w:hideMark/>
          </w:tcPr>
          <w:p w14:paraId="5B0C8FC5" w14:textId="421BA68C" w:rsidR="003001F0" w:rsidRPr="003001F0" w:rsidRDefault="003001F0" w:rsidP="003001F0">
            <w:pPr>
              <w:rPr>
                <w:rFonts w:eastAsia="Times New Roman"/>
                <w:color w:val="404040"/>
                <w:sz w:val="24"/>
                <w:szCs w:val="24"/>
                <w:lang w:val="en-US" w:eastAsia="zh-TW"/>
              </w:rPr>
            </w:pPr>
            <w:r w:rsidRPr="003001F0">
              <w:rPr>
                <w:rFonts w:eastAsia="Times New Roman"/>
                <w:color w:val="404040"/>
                <w:sz w:val="24"/>
                <w:szCs w:val="24"/>
                <w:lang w:val="en-US" w:eastAsia="zh-TW"/>
              </w:rPr>
              <w:t>3291</w:t>
            </w:r>
          </w:p>
        </w:tc>
      </w:tr>
      <w:tr w:rsidR="003001F0" w:rsidRPr="003001F0" w14:paraId="6F9873A2" w14:textId="77777777" w:rsidTr="003001F0">
        <w:trPr>
          <w:trHeight w:val="290"/>
        </w:trPr>
        <w:tc>
          <w:tcPr>
            <w:tcW w:w="2440" w:type="dxa"/>
            <w:tcBorders>
              <w:top w:val="nil"/>
              <w:left w:val="single" w:sz="4" w:space="0" w:color="auto"/>
              <w:bottom w:val="single" w:sz="4" w:space="0" w:color="auto"/>
              <w:right w:val="single" w:sz="4" w:space="0" w:color="auto"/>
            </w:tcBorders>
            <w:shd w:val="clear" w:color="000000" w:fill="DAE9F8"/>
            <w:vAlign w:val="center"/>
            <w:hideMark/>
          </w:tcPr>
          <w:p w14:paraId="394637B8" w14:textId="77777777" w:rsidR="003001F0" w:rsidRPr="003001F0" w:rsidRDefault="003001F0" w:rsidP="003001F0">
            <w:pPr>
              <w:rPr>
                <w:rFonts w:eastAsia="Times New Roman"/>
                <w:b/>
                <w:bCs/>
                <w:color w:val="404040"/>
                <w:sz w:val="24"/>
                <w:szCs w:val="24"/>
                <w:lang w:val="en-US" w:eastAsia="zh-TW"/>
              </w:rPr>
            </w:pPr>
            <w:r w:rsidRPr="003001F0">
              <w:rPr>
                <w:rFonts w:eastAsia="Times New Roman"/>
                <w:b/>
                <w:bCs/>
                <w:color w:val="404040"/>
                <w:sz w:val="24"/>
                <w:szCs w:val="24"/>
                <w:lang w:val="en-US" w:eastAsia="zh-TW"/>
              </w:rPr>
              <w:t>Growth Rate</w:t>
            </w:r>
          </w:p>
        </w:tc>
        <w:tc>
          <w:tcPr>
            <w:tcW w:w="960" w:type="dxa"/>
            <w:tcBorders>
              <w:top w:val="nil"/>
              <w:left w:val="nil"/>
              <w:bottom w:val="single" w:sz="4" w:space="0" w:color="auto"/>
              <w:right w:val="single" w:sz="4" w:space="0" w:color="auto"/>
            </w:tcBorders>
            <w:shd w:val="clear" w:color="000000" w:fill="DAE9F8"/>
            <w:vAlign w:val="center"/>
            <w:hideMark/>
          </w:tcPr>
          <w:p w14:paraId="55D458C5" w14:textId="2B14DC48" w:rsidR="003001F0" w:rsidRPr="003001F0" w:rsidRDefault="00F43963" w:rsidP="003001F0">
            <w:pPr>
              <w:rPr>
                <w:rFonts w:eastAsia="Times New Roman"/>
                <w:color w:val="404040"/>
                <w:sz w:val="24"/>
                <w:szCs w:val="24"/>
                <w:lang w:val="en-US" w:eastAsia="zh-TW"/>
              </w:rPr>
            </w:pPr>
            <w:r>
              <w:rPr>
                <w:rFonts w:eastAsia="Times New Roman"/>
                <w:color w:val="404040"/>
                <w:sz w:val="24"/>
                <w:szCs w:val="24"/>
                <w:lang w:val="en-US" w:eastAsia="zh-TW"/>
              </w:rPr>
              <w:t>12.8%</w:t>
            </w:r>
          </w:p>
        </w:tc>
        <w:tc>
          <w:tcPr>
            <w:tcW w:w="960" w:type="dxa"/>
            <w:tcBorders>
              <w:top w:val="nil"/>
              <w:left w:val="nil"/>
              <w:bottom w:val="single" w:sz="4" w:space="0" w:color="auto"/>
              <w:right w:val="single" w:sz="4" w:space="0" w:color="auto"/>
            </w:tcBorders>
            <w:shd w:val="clear" w:color="000000" w:fill="DAE9F8"/>
            <w:vAlign w:val="center"/>
            <w:hideMark/>
          </w:tcPr>
          <w:p w14:paraId="4E5E6FFB" w14:textId="0DC4831E" w:rsidR="003001F0" w:rsidRPr="003001F0" w:rsidRDefault="003001F0" w:rsidP="003001F0">
            <w:pPr>
              <w:rPr>
                <w:rFonts w:eastAsia="Times New Roman"/>
                <w:color w:val="404040"/>
                <w:sz w:val="24"/>
                <w:szCs w:val="24"/>
                <w:lang w:val="en-US" w:eastAsia="zh-TW"/>
              </w:rPr>
            </w:pPr>
            <w:r w:rsidRPr="003001F0">
              <w:rPr>
                <w:rFonts w:eastAsia="Times New Roman"/>
                <w:color w:val="404040"/>
                <w:sz w:val="24"/>
                <w:szCs w:val="24"/>
                <w:lang w:val="en-US" w:eastAsia="zh-TW"/>
              </w:rPr>
              <w:t>-</w:t>
            </w:r>
            <w:r w:rsidR="007F2476">
              <w:rPr>
                <w:rFonts w:eastAsia="Times New Roman"/>
                <w:color w:val="404040"/>
                <w:sz w:val="24"/>
                <w:szCs w:val="24"/>
                <w:lang w:val="en-US" w:eastAsia="zh-TW"/>
              </w:rPr>
              <w:t>14.8%</w:t>
            </w:r>
          </w:p>
        </w:tc>
        <w:tc>
          <w:tcPr>
            <w:tcW w:w="960" w:type="dxa"/>
            <w:tcBorders>
              <w:top w:val="nil"/>
              <w:left w:val="nil"/>
              <w:bottom w:val="single" w:sz="4" w:space="0" w:color="auto"/>
              <w:right w:val="single" w:sz="4" w:space="0" w:color="auto"/>
            </w:tcBorders>
            <w:shd w:val="clear" w:color="000000" w:fill="DAE9F8"/>
            <w:vAlign w:val="center"/>
            <w:hideMark/>
          </w:tcPr>
          <w:p w14:paraId="17FAD809" w14:textId="77777777" w:rsidR="003001F0" w:rsidRPr="003001F0" w:rsidRDefault="003001F0" w:rsidP="003001F0">
            <w:pPr>
              <w:rPr>
                <w:rFonts w:eastAsia="Times New Roman"/>
                <w:color w:val="404040"/>
                <w:sz w:val="24"/>
                <w:szCs w:val="24"/>
                <w:lang w:val="en-US" w:eastAsia="zh-TW"/>
              </w:rPr>
            </w:pPr>
            <w:r w:rsidRPr="003001F0">
              <w:rPr>
                <w:rFonts w:eastAsia="Times New Roman"/>
                <w:color w:val="404040"/>
                <w:sz w:val="24"/>
                <w:szCs w:val="24"/>
                <w:lang w:val="en-US" w:eastAsia="zh-TW"/>
              </w:rPr>
              <w:t> </w:t>
            </w:r>
          </w:p>
        </w:tc>
        <w:tc>
          <w:tcPr>
            <w:tcW w:w="1240" w:type="dxa"/>
            <w:tcBorders>
              <w:top w:val="nil"/>
              <w:left w:val="nil"/>
              <w:bottom w:val="single" w:sz="4" w:space="0" w:color="auto"/>
              <w:right w:val="single" w:sz="4" w:space="0" w:color="auto"/>
            </w:tcBorders>
            <w:shd w:val="clear" w:color="000000" w:fill="DAE9F8"/>
            <w:vAlign w:val="center"/>
            <w:hideMark/>
          </w:tcPr>
          <w:p w14:paraId="0D3EA1AC" w14:textId="387E86B0" w:rsidR="003001F0" w:rsidRPr="003001F0" w:rsidRDefault="003001F0" w:rsidP="003001F0">
            <w:pPr>
              <w:rPr>
                <w:rFonts w:eastAsia="Times New Roman"/>
                <w:color w:val="404040"/>
                <w:sz w:val="24"/>
                <w:szCs w:val="24"/>
                <w:lang w:val="en-US" w:eastAsia="zh-TW"/>
              </w:rPr>
            </w:pPr>
            <w:r w:rsidRPr="003001F0">
              <w:rPr>
                <w:rFonts w:eastAsia="Times New Roman"/>
                <w:color w:val="404040"/>
                <w:sz w:val="24"/>
                <w:szCs w:val="24"/>
                <w:lang w:val="en-US" w:eastAsia="zh-TW"/>
              </w:rPr>
              <w:t>-</w:t>
            </w:r>
            <w:r w:rsidR="00B54635">
              <w:rPr>
                <w:rFonts w:eastAsia="Times New Roman"/>
                <w:color w:val="404040"/>
                <w:sz w:val="24"/>
                <w:szCs w:val="24"/>
                <w:lang w:val="en-US" w:eastAsia="zh-TW"/>
              </w:rPr>
              <w:t>8.6%</w:t>
            </w:r>
          </w:p>
        </w:tc>
        <w:tc>
          <w:tcPr>
            <w:tcW w:w="1160" w:type="dxa"/>
            <w:tcBorders>
              <w:top w:val="nil"/>
              <w:left w:val="nil"/>
              <w:bottom w:val="single" w:sz="4" w:space="0" w:color="auto"/>
              <w:right w:val="single" w:sz="4" w:space="0" w:color="auto"/>
            </w:tcBorders>
            <w:shd w:val="clear" w:color="000000" w:fill="DAE9F8"/>
            <w:vAlign w:val="center"/>
            <w:hideMark/>
          </w:tcPr>
          <w:p w14:paraId="36CCF324" w14:textId="3CDEA5A8" w:rsidR="003001F0" w:rsidRPr="003001F0" w:rsidRDefault="00C41BEB" w:rsidP="003001F0">
            <w:pPr>
              <w:rPr>
                <w:rFonts w:eastAsia="Times New Roman"/>
                <w:color w:val="404040"/>
                <w:sz w:val="24"/>
                <w:szCs w:val="24"/>
                <w:lang w:val="en-US" w:eastAsia="zh-TW"/>
              </w:rPr>
            </w:pPr>
            <w:r>
              <w:rPr>
                <w:rFonts w:eastAsia="Times New Roman"/>
                <w:color w:val="404040"/>
                <w:sz w:val="24"/>
                <w:szCs w:val="24"/>
                <w:lang w:val="en-US" w:eastAsia="zh-TW"/>
              </w:rPr>
              <w:t>2.5%</w:t>
            </w:r>
          </w:p>
        </w:tc>
      </w:tr>
      <w:tr w:rsidR="003001F0" w:rsidRPr="003001F0" w14:paraId="26016D8F" w14:textId="77777777" w:rsidTr="003001F0">
        <w:trPr>
          <w:trHeight w:val="290"/>
        </w:trPr>
        <w:tc>
          <w:tcPr>
            <w:tcW w:w="2440" w:type="dxa"/>
            <w:tcBorders>
              <w:top w:val="nil"/>
              <w:left w:val="single" w:sz="4" w:space="0" w:color="auto"/>
              <w:bottom w:val="single" w:sz="4" w:space="0" w:color="auto"/>
              <w:right w:val="single" w:sz="4" w:space="0" w:color="auto"/>
            </w:tcBorders>
            <w:shd w:val="clear" w:color="000000" w:fill="DAE9F8"/>
            <w:vAlign w:val="center"/>
            <w:hideMark/>
          </w:tcPr>
          <w:p w14:paraId="4698F999" w14:textId="77777777" w:rsidR="003001F0" w:rsidRPr="003001F0" w:rsidRDefault="003001F0" w:rsidP="003001F0">
            <w:pPr>
              <w:rPr>
                <w:rFonts w:eastAsia="Times New Roman"/>
                <w:b/>
                <w:bCs/>
                <w:color w:val="404040"/>
                <w:sz w:val="24"/>
                <w:szCs w:val="24"/>
                <w:lang w:val="en-US" w:eastAsia="zh-TW"/>
              </w:rPr>
            </w:pPr>
            <w:r w:rsidRPr="003001F0">
              <w:rPr>
                <w:rFonts w:eastAsia="Times New Roman"/>
                <w:b/>
                <w:bCs/>
                <w:color w:val="404040"/>
                <w:sz w:val="24"/>
                <w:szCs w:val="24"/>
                <w:lang w:val="en-US" w:eastAsia="zh-TW"/>
              </w:rPr>
              <w:t>Store Count</w:t>
            </w:r>
          </w:p>
        </w:tc>
        <w:tc>
          <w:tcPr>
            <w:tcW w:w="960" w:type="dxa"/>
            <w:tcBorders>
              <w:top w:val="nil"/>
              <w:left w:val="nil"/>
              <w:bottom w:val="single" w:sz="4" w:space="0" w:color="auto"/>
              <w:right w:val="single" w:sz="4" w:space="0" w:color="auto"/>
            </w:tcBorders>
            <w:shd w:val="clear" w:color="000000" w:fill="DAE9F8"/>
            <w:vAlign w:val="center"/>
            <w:hideMark/>
          </w:tcPr>
          <w:p w14:paraId="75AC4436" w14:textId="77777777" w:rsidR="003001F0" w:rsidRPr="003001F0" w:rsidRDefault="003001F0" w:rsidP="003001F0">
            <w:pPr>
              <w:rPr>
                <w:rFonts w:eastAsia="Times New Roman"/>
                <w:color w:val="404040"/>
                <w:sz w:val="24"/>
                <w:szCs w:val="24"/>
                <w:lang w:val="en-US" w:eastAsia="zh-TW"/>
              </w:rPr>
            </w:pPr>
            <w:r w:rsidRPr="003001F0">
              <w:rPr>
                <w:rFonts w:eastAsia="Times New Roman"/>
                <w:color w:val="404040"/>
                <w:sz w:val="24"/>
                <w:szCs w:val="24"/>
                <w:lang w:val="en-US" w:eastAsia="zh-TW"/>
              </w:rPr>
              <w:t>72</w:t>
            </w:r>
          </w:p>
        </w:tc>
        <w:tc>
          <w:tcPr>
            <w:tcW w:w="960" w:type="dxa"/>
            <w:tcBorders>
              <w:top w:val="nil"/>
              <w:left w:val="nil"/>
              <w:bottom w:val="single" w:sz="4" w:space="0" w:color="auto"/>
              <w:right w:val="single" w:sz="4" w:space="0" w:color="auto"/>
            </w:tcBorders>
            <w:shd w:val="clear" w:color="000000" w:fill="DAE9F8"/>
            <w:vAlign w:val="center"/>
            <w:hideMark/>
          </w:tcPr>
          <w:p w14:paraId="6CC1BF74" w14:textId="77777777" w:rsidR="003001F0" w:rsidRPr="003001F0" w:rsidRDefault="003001F0" w:rsidP="003001F0">
            <w:pPr>
              <w:rPr>
                <w:rFonts w:eastAsia="Times New Roman"/>
                <w:color w:val="404040"/>
                <w:sz w:val="24"/>
                <w:szCs w:val="24"/>
                <w:lang w:val="en-US" w:eastAsia="zh-TW"/>
              </w:rPr>
            </w:pPr>
            <w:r w:rsidRPr="003001F0">
              <w:rPr>
                <w:rFonts w:eastAsia="Times New Roman"/>
                <w:color w:val="404040"/>
                <w:sz w:val="24"/>
                <w:szCs w:val="24"/>
                <w:lang w:val="en-US" w:eastAsia="zh-TW"/>
              </w:rPr>
              <w:t>72</w:t>
            </w:r>
          </w:p>
        </w:tc>
        <w:tc>
          <w:tcPr>
            <w:tcW w:w="960" w:type="dxa"/>
            <w:tcBorders>
              <w:top w:val="nil"/>
              <w:left w:val="nil"/>
              <w:bottom w:val="single" w:sz="4" w:space="0" w:color="auto"/>
              <w:right w:val="single" w:sz="4" w:space="0" w:color="auto"/>
            </w:tcBorders>
            <w:shd w:val="clear" w:color="000000" w:fill="DAE9F8"/>
            <w:vAlign w:val="center"/>
            <w:hideMark/>
          </w:tcPr>
          <w:p w14:paraId="5FDABE73" w14:textId="77777777" w:rsidR="003001F0" w:rsidRPr="003001F0" w:rsidRDefault="003001F0" w:rsidP="003001F0">
            <w:pPr>
              <w:rPr>
                <w:rFonts w:eastAsia="Times New Roman"/>
                <w:color w:val="404040"/>
                <w:sz w:val="24"/>
                <w:szCs w:val="24"/>
                <w:lang w:val="en-US" w:eastAsia="zh-TW"/>
              </w:rPr>
            </w:pPr>
            <w:r w:rsidRPr="003001F0">
              <w:rPr>
                <w:rFonts w:eastAsia="Times New Roman"/>
                <w:color w:val="404040"/>
                <w:sz w:val="24"/>
                <w:szCs w:val="24"/>
                <w:lang w:val="en-US" w:eastAsia="zh-TW"/>
              </w:rPr>
              <w:t>72</w:t>
            </w:r>
          </w:p>
        </w:tc>
        <w:tc>
          <w:tcPr>
            <w:tcW w:w="1240" w:type="dxa"/>
            <w:tcBorders>
              <w:top w:val="nil"/>
              <w:left w:val="nil"/>
              <w:bottom w:val="single" w:sz="4" w:space="0" w:color="auto"/>
              <w:right w:val="single" w:sz="4" w:space="0" w:color="auto"/>
            </w:tcBorders>
            <w:shd w:val="clear" w:color="000000" w:fill="DAE9F8"/>
            <w:vAlign w:val="center"/>
            <w:hideMark/>
          </w:tcPr>
          <w:p w14:paraId="65C91E9D" w14:textId="77777777" w:rsidR="003001F0" w:rsidRPr="003001F0" w:rsidRDefault="003001F0" w:rsidP="003001F0">
            <w:pPr>
              <w:rPr>
                <w:rFonts w:eastAsia="Times New Roman"/>
                <w:color w:val="404040"/>
                <w:sz w:val="24"/>
                <w:szCs w:val="24"/>
                <w:lang w:val="en-US" w:eastAsia="zh-TW"/>
              </w:rPr>
            </w:pPr>
            <w:r w:rsidRPr="003001F0">
              <w:rPr>
                <w:rFonts w:eastAsia="Times New Roman"/>
                <w:color w:val="404040"/>
                <w:sz w:val="24"/>
                <w:szCs w:val="24"/>
                <w:lang w:val="en-US" w:eastAsia="zh-TW"/>
              </w:rPr>
              <w:t>176</w:t>
            </w:r>
          </w:p>
        </w:tc>
        <w:tc>
          <w:tcPr>
            <w:tcW w:w="1160" w:type="dxa"/>
            <w:tcBorders>
              <w:top w:val="nil"/>
              <w:left w:val="nil"/>
              <w:bottom w:val="single" w:sz="4" w:space="0" w:color="auto"/>
              <w:right w:val="single" w:sz="4" w:space="0" w:color="auto"/>
            </w:tcBorders>
            <w:shd w:val="clear" w:color="000000" w:fill="DAE9F8"/>
            <w:vAlign w:val="center"/>
            <w:hideMark/>
          </w:tcPr>
          <w:p w14:paraId="6FA848E5" w14:textId="77777777" w:rsidR="003001F0" w:rsidRPr="003001F0" w:rsidRDefault="003001F0" w:rsidP="003001F0">
            <w:pPr>
              <w:rPr>
                <w:rFonts w:eastAsia="Times New Roman"/>
                <w:color w:val="404040"/>
                <w:sz w:val="24"/>
                <w:szCs w:val="24"/>
                <w:lang w:val="en-US" w:eastAsia="zh-TW"/>
              </w:rPr>
            </w:pPr>
            <w:r w:rsidRPr="003001F0">
              <w:rPr>
                <w:rFonts w:eastAsia="Times New Roman"/>
                <w:color w:val="404040"/>
                <w:sz w:val="24"/>
                <w:szCs w:val="24"/>
                <w:lang w:val="en-US" w:eastAsia="zh-TW"/>
              </w:rPr>
              <w:t>211</w:t>
            </w:r>
          </w:p>
        </w:tc>
      </w:tr>
      <w:tr w:rsidR="003001F0" w:rsidRPr="003001F0" w14:paraId="736D6AFF" w14:textId="77777777" w:rsidTr="003001F0">
        <w:trPr>
          <w:trHeight w:val="460"/>
        </w:trPr>
        <w:tc>
          <w:tcPr>
            <w:tcW w:w="2440" w:type="dxa"/>
            <w:tcBorders>
              <w:top w:val="nil"/>
              <w:left w:val="single" w:sz="4" w:space="0" w:color="auto"/>
              <w:bottom w:val="single" w:sz="4" w:space="0" w:color="auto"/>
              <w:right w:val="single" w:sz="4" w:space="0" w:color="auto"/>
            </w:tcBorders>
            <w:shd w:val="clear" w:color="000000" w:fill="DAE9F8"/>
            <w:vAlign w:val="center"/>
            <w:hideMark/>
          </w:tcPr>
          <w:p w14:paraId="1FD4BDE0" w14:textId="77777777" w:rsidR="003001F0" w:rsidRPr="003001F0" w:rsidRDefault="003001F0" w:rsidP="003001F0">
            <w:pPr>
              <w:rPr>
                <w:rFonts w:eastAsia="Times New Roman"/>
                <w:b/>
                <w:bCs/>
                <w:color w:val="404040"/>
                <w:sz w:val="24"/>
                <w:szCs w:val="24"/>
                <w:lang w:val="en-US" w:eastAsia="zh-TW"/>
              </w:rPr>
            </w:pPr>
            <w:r w:rsidRPr="003001F0">
              <w:rPr>
                <w:rFonts w:eastAsia="Times New Roman"/>
                <w:b/>
                <w:bCs/>
                <w:color w:val="404040"/>
                <w:sz w:val="24"/>
                <w:szCs w:val="24"/>
                <w:lang w:val="en-US" w:eastAsia="zh-TW"/>
              </w:rPr>
              <w:t>Revenue per Store</w:t>
            </w:r>
          </w:p>
        </w:tc>
        <w:tc>
          <w:tcPr>
            <w:tcW w:w="960" w:type="dxa"/>
            <w:tcBorders>
              <w:top w:val="nil"/>
              <w:left w:val="nil"/>
              <w:bottom w:val="single" w:sz="4" w:space="0" w:color="auto"/>
              <w:right w:val="single" w:sz="4" w:space="0" w:color="auto"/>
            </w:tcBorders>
            <w:shd w:val="clear" w:color="000000" w:fill="DAE9F8"/>
            <w:vAlign w:val="center"/>
            <w:hideMark/>
          </w:tcPr>
          <w:p w14:paraId="3F84F352" w14:textId="111CED54" w:rsidR="003001F0" w:rsidRPr="003001F0" w:rsidRDefault="003001F0" w:rsidP="003001F0">
            <w:pPr>
              <w:rPr>
                <w:rFonts w:eastAsia="Times New Roman"/>
                <w:color w:val="404040"/>
                <w:sz w:val="24"/>
                <w:szCs w:val="24"/>
                <w:lang w:val="en-US" w:eastAsia="zh-TW"/>
              </w:rPr>
            </w:pPr>
            <w:r w:rsidRPr="003001F0">
              <w:rPr>
                <w:rFonts w:eastAsia="Times New Roman"/>
                <w:color w:val="404040"/>
                <w:sz w:val="24"/>
                <w:szCs w:val="24"/>
                <w:lang w:val="en-US" w:eastAsia="zh-TW"/>
              </w:rPr>
              <w:t>1</w:t>
            </w:r>
            <w:r w:rsidR="00636C20">
              <w:rPr>
                <w:rFonts w:eastAsia="Times New Roman"/>
                <w:color w:val="404040"/>
                <w:sz w:val="24"/>
                <w:szCs w:val="24"/>
                <w:lang w:val="en-US" w:eastAsia="zh-TW"/>
              </w:rPr>
              <w:t>3.79</w:t>
            </w:r>
          </w:p>
        </w:tc>
        <w:tc>
          <w:tcPr>
            <w:tcW w:w="960" w:type="dxa"/>
            <w:tcBorders>
              <w:top w:val="nil"/>
              <w:left w:val="nil"/>
              <w:bottom w:val="single" w:sz="4" w:space="0" w:color="auto"/>
              <w:right w:val="single" w:sz="4" w:space="0" w:color="auto"/>
            </w:tcBorders>
            <w:shd w:val="clear" w:color="000000" w:fill="DAE9F8"/>
            <w:vAlign w:val="center"/>
            <w:hideMark/>
          </w:tcPr>
          <w:p w14:paraId="6A776C6D" w14:textId="50751818" w:rsidR="003001F0" w:rsidRPr="003001F0" w:rsidRDefault="003001F0" w:rsidP="003001F0">
            <w:pPr>
              <w:rPr>
                <w:rFonts w:eastAsia="Times New Roman"/>
                <w:color w:val="404040"/>
                <w:sz w:val="24"/>
                <w:szCs w:val="24"/>
                <w:lang w:val="en-US" w:eastAsia="zh-TW"/>
              </w:rPr>
            </w:pPr>
            <w:r w:rsidRPr="003001F0">
              <w:rPr>
                <w:rFonts w:eastAsia="Times New Roman"/>
                <w:color w:val="404040"/>
                <w:sz w:val="24"/>
                <w:szCs w:val="24"/>
                <w:lang w:val="en-US" w:eastAsia="zh-TW"/>
              </w:rPr>
              <w:t>1</w:t>
            </w:r>
            <w:r w:rsidR="00636C20">
              <w:rPr>
                <w:rFonts w:eastAsia="Times New Roman"/>
                <w:color w:val="404040"/>
                <w:sz w:val="24"/>
                <w:szCs w:val="24"/>
                <w:lang w:val="en-US" w:eastAsia="zh-TW"/>
              </w:rPr>
              <w:t>1.75</w:t>
            </w:r>
          </w:p>
        </w:tc>
        <w:tc>
          <w:tcPr>
            <w:tcW w:w="960" w:type="dxa"/>
            <w:tcBorders>
              <w:top w:val="nil"/>
              <w:left w:val="nil"/>
              <w:bottom w:val="single" w:sz="4" w:space="0" w:color="auto"/>
              <w:right w:val="single" w:sz="4" w:space="0" w:color="auto"/>
            </w:tcBorders>
            <w:shd w:val="clear" w:color="000000" w:fill="DAE9F8"/>
            <w:vAlign w:val="center"/>
            <w:hideMark/>
          </w:tcPr>
          <w:p w14:paraId="0287710F" w14:textId="0D0E0F60" w:rsidR="003001F0" w:rsidRPr="003001F0" w:rsidRDefault="003001F0" w:rsidP="003001F0">
            <w:pPr>
              <w:rPr>
                <w:rFonts w:eastAsia="Times New Roman"/>
                <w:color w:val="404040"/>
                <w:sz w:val="24"/>
                <w:szCs w:val="24"/>
                <w:lang w:val="en-US" w:eastAsia="zh-TW"/>
              </w:rPr>
            </w:pPr>
            <w:r w:rsidRPr="003001F0">
              <w:rPr>
                <w:rFonts w:eastAsia="Times New Roman"/>
                <w:color w:val="404040"/>
                <w:sz w:val="24"/>
                <w:szCs w:val="24"/>
                <w:lang w:val="en-US" w:eastAsia="zh-TW"/>
              </w:rPr>
              <w:t>13.</w:t>
            </w:r>
            <w:r w:rsidR="00636C20">
              <w:rPr>
                <w:rFonts w:eastAsia="Times New Roman"/>
                <w:color w:val="404040"/>
                <w:sz w:val="24"/>
                <w:szCs w:val="24"/>
                <w:lang w:val="en-US" w:eastAsia="zh-TW"/>
              </w:rPr>
              <w:t>25</w:t>
            </w:r>
          </w:p>
        </w:tc>
        <w:tc>
          <w:tcPr>
            <w:tcW w:w="1240" w:type="dxa"/>
            <w:tcBorders>
              <w:top w:val="nil"/>
              <w:left w:val="nil"/>
              <w:bottom w:val="single" w:sz="4" w:space="0" w:color="auto"/>
              <w:right w:val="single" w:sz="4" w:space="0" w:color="auto"/>
            </w:tcBorders>
            <w:shd w:val="clear" w:color="000000" w:fill="DAE9F8"/>
            <w:vAlign w:val="center"/>
            <w:hideMark/>
          </w:tcPr>
          <w:p w14:paraId="21090FAA" w14:textId="52CA80A1" w:rsidR="003001F0" w:rsidRPr="003001F0" w:rsidRDefault="003001F0" w:rsidP="003001F0">
            <w:pPr>
              <w:rPr>
                <w:rFonts w:eastAsia="Times New Roman"/>
                <w:color w:val="404040"/>
                <w:sz w:val="24"/>
                <w:szCs w:val="24"/>
                <w:lang w:val="en-US" w:eastAsia="zh-TW"/>
              </w:rPr>
            </w:pPr>
            <w:r w:rsidRPr="003001F0">
              <w:rPr>
                <w:rFonts w:eastAsia="Times New Roman"/>
                <w:color w:val="404040"/>
                <w:sz w:val="24"/>
                <w:szCs w:val="24"/>
                <w:lang w:val="en-US" w:eastAsia="zh-TW"/>
              </w:rPr>
              <w:t>1</w:t>
            </w:r>
            <w:r w:rsidR="001135B5">
              <w:rPr>
                <w:rFonts w:eastAsia="Times New Roman"/>
                <w:color w:val="404040"/>
                <w:sz w:val="24"/>
                <w:szCs w:val="24"/>
                <w:lang w:val="en-US" w:eastAsia="zh-TW"/>
              </w:rPr>
              <w:t>6.3</w:t>
            </w:r>
          </w:p>
        </w:tc>
        <w:tc>
          <w:tcPr>
            <w:tcW w:w="1160" w:type="dxa"/>
            <w:tcBorders>
              <w:top w:val="nil"/>
              <w:left w:val="nil"/>
              <w:bottom w:val="single" w:sz="4" w:space="0" w:color="auto"/>
              <w:right w:val="single" w:sz="4" w:space="0" w:color="auto"/>
            </w:tcBorders>
            <w:shd w:val="clear" w:color="000000" w:fill="DAE9F8"/>
            <w:vAlign w:val="center"/>
            <w:hideMark/>
          </w:tcPr>
          <w:p w14:paraId="73AA9D9C" w14:textId="77777777" w:rsidR="003001F0" w:rsidRPr="003001F0" w:rsidRDefault="003001F0" w:rsidP="003001F0">
            <w:pPr>
              <w:rPr>
                <w:rFonts w:eastAsia="Times New Roman"/>
                <w:color w:val="404040"/>
                <w:sz w:val="24"/>
                <w:szCs w:val="24"/>
                <w:lang w:val="en-US" w:eastAsia="zh-TW"/>
              </w:rPr>
            </w:pPr>
            <w:r w:rsidRPr="003001F0">
              <w:rPr>
                <w:rFonts w:eastAsia="Times New Roman"/>
                <w:color w:val="404040"/>
                <w:sz w:val="24"/>
                <w:szCs w:val="24"/>
                <w:lang w:val="en-US" w:eastAsia="zh-TW"/>
              </w:rPr>
              <w:t>15.6</w:t>
            </w:r>
          </w:p>
        </w:tc>
      </w:tr>
    </w:tbl>
    <w:p w14:paraId="3679D783" w14:textId="77777777" w:rsidR="006861C3" w:rsidRDefault="006861C3" w:rsidP="00592C4F">
      <w:pPr>
        <w:spacing w:line="360" w:lineRule="auto"/>
        <w:rPr>
          <w:b/>
          <w:bCs/>
          <w:iCs/>
          <w:sz w:val="24"/>
          <w:szCs w:val="24"/>
          <w:lang w:val="en-US"/>
        </w:rPr>
      </w:pPr>
    </w:p>
    <w:p w14:paraId="04DA4E7C" w14:textId="4968044D" w:rsidR="00592C4F" w:rsidRPr="00592C4F" w:rsidRDefault="00592C4F" w:rsidP="00592C4F">
      <w:pPr>
        <w:spacing w:line="360" w:lineRule="auto"/>
        <w:rPr>
          <w:iCs/>
          <w:sz w:val="24"/>
          <w:szCs w:val="24"/>
          <w:lang w:val="en-US"/>
        </w:rPr>
      </w:pPr>
      <w:r w:rsidRPr="00592C4F">
        <w:rPr>
          <w:b/>
          <w:bCs/>
          <w:iCs/>
          <w:sz w:val="24"/>
          <w:szCs w:val="24"/>
          <w:lang w:val="en-US"/>
        </w:rPr>
        <w:t>Sales Performance:</w:t>
      </w:r>
      <w:r w:rsidRPr="00592C4F">
        <w:rPr>
          <w:iCs/>
          <w:sz w:val="24"/>
          <w:szCs w:val="24"/>
          <w:lang w:val="en-US"/>
        </w:rPr>
        <w:br/>
      </w:r>
      <w:r w:rsidR="00EC01F0" w:rsidRPr="00EC01F0">
        <w:rPr>
          <w:iCs/>
          <w:sz w:val="24"/>
          <w:szCs w:val="24"/>
        </w:rPr>
        <w:t>The data shows Tsui Wah consistently had the lowest total revenue among the three peers across the period. The sharp decline in 2023 was followed by a positive recovery trajectory in 2024. In contrast, Fairwood demonstrated steady revenues around HK$3100 million, and Tai Hing achieved consistent growth reaching HK$3291 million by 2024.</w:t>
      </w:r>
    </w:p>
    <w:p w14:paraId="046BC6FF" w14:textId="77777777" w:rsidR="00EC01F0" w:rsidRDefault="00592C4F" w:rsidP="00E262FC">
      <w:pPr>
        <w:spacing w:line="360" w:lineRule="auto"/>
        <w:rPr>
          <w:iCs/>
          <w:sz w:val="24"/>
          <w:szCs w:val="24"/>
        </w:rPr>
      </w:pPr>
      <w:r w:rsidRPr="00592C4F">
        <w:rPr>
          <w:b/>
          <w:bCs/>
          <w:iCs/>
          <w:sz w:val="24"/>
          <w:szCs w:val="24"/>
          <w:lang w:val="en-US"/>
        </w:rPr>
        <w:t>Store Productivity:</w:t>
      </w:r>
      <w:r w:rsidRPr="00592C4F">
        <w:rPr>
          <w:iCs/>
          <w:sz w:val="24"/>
          <w:szCs w:val="24"/>
          <w:lang w:val="en-US"/>
        </w:rPr>
        <w:br/>
      </w:r>
      <w:r w:rsidR="00090BC6" w:rsidRPr="00090BC6">
        <w:rPr>
          <w:iCs/>
          <w:sz w:val="24"/>
          <w:szCs w:val="24"/>
        </w:rPr>
        <w:t>Tsui Wah’s revenue per store dropped significantly in 2023 from approximately HK$13.8 million in 2022 to HK$11.75 million, before improving to HK$13.25 million in 2024. Despite this recovery, the figure remains materially below Fairwood’s and Tai Hing’s 2024 revenue per store, indicating operational and market positioning challenges to maximize store-level productivity.</w:t>
      </w:r>
    </w:p>
    <w:p w14:paraId="1937492F" w14:textId="71632ABF" w:rsidR="004128A4" w:rsidRPr="00937F54" w:rsidRDefault="004128A4" w:rsidP="00E262FC">
      <w:pPr>
        <w:spacing w:line="360" w:lineRule="auto"/>
        <w:rPr>
          <w:b/>
          <w:bCs/>
          <w:iCs/>
          <w:sz w:val="24"/>
          <w:szCs w:val="24"/>
          <w:lang w:val="en-US"/>
        </w:rPr>
      </w:pPr>
      <w:r w:rsidRPr="00937F54">
        <w:rPr>
          <w:b/>
          <w:bCs/>
          <w:iCs/>
          <w:sz w:val="24"/>
          <w:szCs w:val="24"/>
          <w:lang w:val="en-US"/>
        </w:rPr>
        <w:t>Operating Efficiency Analysis</w:t>
      </w:r>
    </w:p>
    <w:tbl>
      <w:tblPr>
        <w:tblW w:w="7343" w:type="dxa"/>
        <w:tblLook w:val="04A0" w:firstRow="1" w:lastRow="0" w:firstColumn="1" w:lastColumn="0" w:noHBand="0" w:noVBand="1"/>
      </w:tblPr>
      <w:tblGrid>
        <w:gridCol w:w="2328"/>
        <w:gridCol w:w="1172"/>
        <w:gridCol w:w="1398"/>
        <w:gridCol w:w="1172"/>
        <w:gridCol w:w="1273"/>
      </w:tblGrid>
      <w:tr w:rsidR="00615644" w:rsidRPr="00937F54" w14:paraId="363EAE82" w14:textId="77777777" w:rsidTr="00615644">
        <w:trPr>
          <w:trHeight w:val="352"/>
        </w:trPr>
        <w:tc>
          <w:tcPr>
            <w:tcW w:w="2328" w:type="dxa"/>
            <w:tcBorders>
              <w:top w:val="single" w:sz="4" w:space="0" w:color="auto"/>
              <w:left w:val="single" w:sz="4" w:space="0" w:color="auto"/>
              <w:bottom w:val="single" w:sz="4" w:space="0" w:color="auto"/>
              <w:right w:val="single" w:sz="4" w:space="0" w:color="auto"/>
            </w:tcBorders>
            <w:shd w:val="clear" w:color="000000" w:fill="DAE9F8"/>
            <w:vAlign w:val="center"/>
            <w:hideMark/>
          </w:tcPr>
          <w:p w14:paraId="0377A842" w14:textId="77777777" w:rsidR="00615644" w:rsidRPr="00937F54" w:rsidRDefault="00615644"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Company Name</w:t>
            </w:r>
          </w:p>
        </w:tc>
        <w:tc>
          <w:tcPr>
            <w:tcW w:w="1172" w:type="dxa"/>
            <w:tcBorders>
              <w:top w:val="single" w:sz="4" w:space="0" w:color="auto"/>
              <w:left w:val="nil"/>
              <w:bottom w:val="single" w:sz="4" w:space="0" w:color="auto"/>
              <w:right w:val="single" w:sz="4" w:space="0" w:color="auto"/>
            </w:tcBorders>
            <w:shd w:val="clear" w:color="000000" w:fill="DAE9F8"/>
            <w:vAlign w:val="center"/>
            <w:hideMark/>
          </w:tcPr>
          <w:p w14:paraId="207E9FAE" w14:textId="77777777" w:rsidR="00615644" w:rsidRPr="00937F54" w:rsidRDefault="00615644"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Tsui Wah</w:t>
            </w:r>
          </w:p>
        </w:tc>
        <w:tc>
          <w:tcPr>
            <w:tcW w:w="1398" w:type="dxa"/>
            <w:tcBorders>
              <w:top w:val="single" w:sz="4" w:space="0" w:color="auto"/>
              <w:left w:val="nil"/>
              <w:bottom w:val="single" w:sz="4" w:space="0" w:color="auto"/>
              <w:right w:val="single" w:sz="4" w:space="0" w:color="auto"/>
            </w:tcBorders>
            <w:shd w:val="clear" w:color="000000" w:fill="DAE9F8"/>
            <w:vAlign w:val="center"/>
            <w:hideMark/>
          </w:tcPr>
          <w:p w14:paraId="34C0966D" w14:textId="77777777" w:rsidR="00615644" w:rsidRPr="00937F54" w:rsidRDefault="00615644"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Fairwood</w:t>
            </w:r>
          </w:p>
        </w:tc>
        <w:tc>
          <w:tcPr>
            <w:tcW w:w="1172" w:type="dxa"/>
            <w:tcBorders>
              <w:top w:val="single" w:sz="4" w:space="0" w:color="auto"/>
              <w:left w:val="nil"/>
              <w:bottom w:val="single" w:sz="4" w:space="0" w:color="auto"/>
              <w:right w:val="single" w:sz="4" w:space="0" w:color="auto"/>
            </w:tcBorders>
            <w:shd w:val="clear" w:color="000000" w:fill="DAE9F8"/>
            <w:vAlign w:val="center"/>
            <w:hideMark/>
          </w:tcPr>
          <w:p w14:paraId="5B57A09F" w14:textId="77777777" w:rsidR="00615644" w:rsidRPr="00937F54" w:rsidRDefault="00615644"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Tai Hing</w:t>
            </w:r>
          </w:p>
        </w:tc>
        <w:tc>
          <w:tcPr>
            <w:tcW w:w="1273" w:type="dxa"/>
            <w:tcBorders>
              <w:top w:val="single" w:sz="4" w:space="0" w:color="auto"/>
              <w:left w:val="nil"/>
              <w:bottom w:val="single" w:sz="4" w:space="0" w:color="auto"/>
              <w:right w:val="single" w:sz="4" w:space="0" w:color="auto"/>
            </w:tcBorders>
            <w:shd w:val="clear" w:color="000000" w:fill="DAE9F8"/>
            <w:vAlign w:val="center"/>
            <w:hideMark/>
          </w:tcPr>
          <w:p w14:paraId="4BB9E979" w14:textId="77777777" w:rsidR="00615644" w:rsidRPr="00937F54" w:rsidRDefault="00615644"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Industry Avg</w:t>
            </w:r>
          </w:p>
        </w:tc>
      </w:tr>
      <w:tr w:rsidR="00615644" w:rsidRPr="00937F54" w14:paraId="5EAE4279" w14:textId="77777777" w:rsidTr="00615644">
        <w:trPr>
          <w:trHeight w:val="352"/>
        </w:trPr>
        <w:tc>
          <w:tcPr>
            <w:tcW w:w="2328" w:type="dxa"/>
            <w:tcBorders>
              <w:top w:val="nil"/>
              <w:left w:val="single" w:sz="4" w:space="0" w:color="auto"/>
              <w:bottom w:val="single" w:sz="4" w:space="0" w:color="auto"/>
              <w:right w:val="single" w:sz="4" w:space="0" w:color="auto"/>
            </w:tcBorders>
            <w:shd w:val="clear" w:color="000000" w:fill="DAE9F8"/>
            <w:vAlign w:val="center"/>
            <w:hideMark/>
          </w:tcPr>
          <w:p w14:paraId="1DB98C1E" w14:textId="77777777" w:rsidR="00615644" w:rsidRPr="00937F54" w:rsidRDefault="00615644"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Asset Turnover</w:t>
            </w:r>
          </w:p>
        </w:tc>
        <w:tc>
          <w:tcPr>
            <w:tcW w:w="1172" w:type="dxa"/>
            <w:tcBorders>
              <w:top w:val="nil"/>
              <w:left w:val="nil"/>
              <w:bottom w:val="single" w:sz="4" w:space="0" w:color="auto"/>
              <w:right w:val="single" w:sz="4" w:space="0" w:color="auto"/>
            </w:tcBorders>
            <w:shd w:val="clear" w:color="000000" w:fill="DAE9F8"/>
            <w:vAlign w:val="center"/>
            <w:hideMark/>
          </w:tcPr>
          <w:p w14:paraId="72411B09" w14:textId="77777777" w:rsidR="00615644" w:rsidRPr="00937F54" w:rsidRDefault="00615644"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0.7</w:t>
            </w:r>
          </w:p>
        </w:tc>
        <w:tc>
          <w:tcPr>
            <w:tcW w:w="1398" w:type="dxa"/>
            <w:tcBorders>
              <w:top w:val="nil"/>
              <w:left w:val="nil"/>
              <w:bottom w:val="single" w:sz="4" w:space="0" w:color="auto"/>
              <w:right w:val="single" w:sz="4" w:space="0" w:color="auto"/>
            </w:tcBorders>
            <w:shd w:val="clear" w:color="000000" w:fill="DAE9F8"/>
            <w:vAlign w:val="center"/>
            <w:hideMark/>
          </w:tcPr>
          <w:p w14:paraId="46B714B1" w14:textId="77777777" w:rsidR="00615644" w:rsidRPr="00937F54" w:rsidRDefault="00615644"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1.47</w:t>
            </w:r>
          </w:p>
        </w:tc>
        <w:tc>
          <w:tcPr>
            <w:tcW w:w="1172" w:type="dxa"/>
            <w:tcBorders>
              <w:top w:val="nil"/>
              <w:left w:val="nil"/>
              <w:bottom w:val="single" w:sz="4" w:space="0" w:color="auto"/>
              <w:right w:val="single" w:sz="4" w:space="0" w:color="auto"/>
            </w:tcBorders>
            <w:shd w:val="clear" w:color="000000" w:fill="DAE9F8"/>
            <w:vAlign w:val="center"/>
            <w:hideMark/>
          </w:tcPr>
          <w:p w14:paraId="78A19DD8" w14:textId="77777777" w:rsidR="00615644" w:rsidRPr="00937F54" w:rsidRDefault="00615644"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1.33</w:t>
            </w:r>
          </w:p>
        </w:tc>
        <w:tc>
          <w:tcPr>
            <w:tcW w:w="1273" w:type="dxa"/>
            <w:tcBorders>
              <w:top w:val="nil"/>
              <w:left w:val="nil"/>
              <w:bottom w:val="single" w:sz="4" w:space="0" w:color="auto"/>
              <w:right w:val="single" w:sz="4" w:space="0" w:color="auto"/>
            </w:tcBorders>
            <w:shd w:val="clear" w:color="000000" w:fill="DAE9F8"/>
            <w:vAlign w:val="center"/>
            <w:hideMark/>
          </w:tcPr>
          <w:p w14:paraId="6B31559C" w14:textId="77777777" w:rsidR="00615644" w:rsidRPr="00937F54" w:rsidRDefault="00615644"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1.17</w:t>
            </w:r>
          </w:p>
        </w:tc>
      </w:tr>
      <w:tr w:rsidR="00615644" w:rsidRPr="00937F54" w14:paraId="5AC9BB56" w14:textId="77777777" w:rsidTr="00615644">
        <w:trPr>
          <w:trHeight w:val="352"/>
        </w:trPr>
        <w:tc>
          <w:tcPr>
            <w:tcW w:w="2328" w:type="dxa"/>
            <w:tcBorders>
              <w:top w:val="nil"/>
              <w:left w:val="single" w:sz="4" w:space="0" w:color="auto"/>
              <w:bottom w:val="single" w:sz="4" w:space="0" w:color="auto"/>
              <w:right w:val="single" w:sz="4" w:space="0" w:color="auto"/>
            </w:tcBorders>
            <w:shd w:val="clear" w:color="000000" w:fill="DAE9F8"/>
            <w:vAlign w:val="center"/>
            <w:hideMark/>
          </w:tcPr>
          <w:p w14:paraId="5E38FF16" w14:textId="77777777" w:rsidR="00615644" w:rsidRPr="00937F54" w:rsidRDefault="00615644"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Inventory Days</w:t>
            </w:r>
          </w:p>
        </w:tc>
        <w:tc>
          <w:tcPr>
            <w:tcW w:w="1172" w:type="dxa"/>
            <w:tcBorders>
              <w:top w:val="nil"/>
              <w:left w:val="nil"/>
              <w:bottom w:val="single" w:sz="4" w:space="0" w:color="auto"/>
              <w:right w:val="single" w:sz="4" w:space="0" w:color="auto"/>
            </w:tcBorders>
            <w:shd w:val="clear" w:color="000000" w:fill="DAE9F8"/>
            <w:vAlign w:val="center"/>
            <w:hideMark/>
          </w:tcPr>
          <w:p w14:paraId="4B9ED4BF" w14:textId="77777777" w:rsidR="00615644" w:rsidRPr="00937F54" w:rsidRDefault="00615644"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42</w:t>
            </w:r>
          </w:p>
        </w:tc>
        <w:tc>
          <w:tcPr>
            <w:tcW w:w="1398" w:type="dxa"/>
            <w:tcBorders>
              <w:top w:val="nil"/>
              <w:left w:val="nil"/>
              <w:bottom w:val="single" w:sz="4" w:space="0" w:color="auto"/>
              <w:right w:val="single" w:sz="4" w:space="0" w:color="auto"/>
            </w:tcBorders>
            <w:shd w:val="clear" w:color="000000" w:fill="DAE9F8"/>
            <w:vAlign w:val="center"/>
            <w:hideMark/>
          </w:tcPr>
          <w:p w14:paraId="2754707D" w14:textId="77777777" w:rsidR="00615644" w:rsidRPr="00937F54" w:rsidRDefault="00615644"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64</w:t>
            </w:r>
          </w:p>
        </w:tc>
        <w:tc>
          <w:tcPr>
            <w:tcW w:w="1172" w:type="dxa"/>
            <w:tcBorders>
              <w:top w:val="nil"/>
              <w:left w:val="nil"/>
              <w:bottom w:val="single" w:sz="4" w:space="0" w:color="auto"/>
              <w:right w:val="single" w:sz="4" w:space="0" w:color="auto"/>
            </w:tcBorders>
            <w:shd w:val="clear" w:color="000000" w:fill="DAE9F8"/>
            <w:vAlign w:val="center"/>
            <w:hideMark/>
          </w:tcPr>
          <w:p w14:paraId="6D6C41BA" w14:textId="77777777" w:rsidR="00615644" w:rsidRPr="00937F54" w:rsidRDefault="00615644"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48</w:t>
            </w:r>
          </w:p>
        </w:tc>
        <w:tc>
          <w:tcPr>
            <w:tcW w:w="1273" w:type="dxa"/>
            <w:tcBorders>
              <w:top w:val="nil"/>
              <w:left w:val="nil"/>
              <w:bottom w:val="single" w:sz="4" w:space="0" w:color="auto"/>
              <w:right w:val="single" w:sz="4" w:space="0" w:color="auto"/>
            </w:tcBorders>
            <w:shd w:val="clear" w:color="000000" w:fill="DAE9F8"/>
            <w:vAlign w:val="center"/>
            <w:hideMark/>
          </w:tcPr>
          <w:p w14:paraId="6D225FFF" w14:textId="77777777" w:rsidR="00615644" w:rsidRPr="00937F54" w:rsidRDefault="00615644"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51</w:t>
            </w:r>
          </w:p>
        </w:tc>
      </w:tr>
      <w:tr w:rsidR="00615644" w:rsidRPr="00937F54" w14:paraId="373D243D" w14:textId="77777777" w:rsidTr="00615644">
        <w:trPr>
          <w:trHeight w:val="352"/>
        </w:trPr>
        <w:tc>
          <w:tcPr>
            <w:tcW w:w="2328" w:type="dxa"/>
            <w:tcBorders>
              <w:top w:val="nil"/>
              <w:left w:val="single" w:sz="4" w:space="0" w:color="auto"/>
              <w:bottom w:val="single" w:sz="4" w:space="0" w:color="auto"/>
              <w:right w:val="single" w:sz="4" w:space="0" w:color="auto"/>
            </w:tcBorders>
            <w:shd w:val="clear" w:color="000000" w:fill="DAE9F8"/>
            <w:vAlign w:val="center"/>
            <w:hideMark/>
          </w:tcPr>
          <w:p w14:paraId="0824BC45" w14:textId="77777777" w:rsidR="00615644" w:rsidRPr="00937F54" w:rsidRDefault="00615644"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Staff Cost/Revenue</w:t>
            </w:r>
          </w:p>
        </w:tc>
        <w:tc>
          <w:tcPr>
            <w:tcW w:w="1172" w:type="dxa"/>
            <w:tcBorders>
              <w:top w:val="nil"/>
              <w:left w:val="nil"/>
              <w:bottom w:val="single" w:sz="4" w:space="0" w:color="auto"/>
              <w:right w:val="single" w:sz="4" w:space="0" w:color="auto"/>
            </w:tcBorders>
            <w:shd w:val="clear" w:color="000000" w:fill="DAE9F8"/>
            <w:vAlign w:val="center"/>
            <w:hideMark/>
          </w:tcPr>
          <w:p w14:paraId="0457575F" w14:textId="77777777" w:rsidR="00615644" w:rsidRPr="00937F54" w:rsidRDefault="00615644"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0.344</w:t>
            </w:r>
          </w:p>
        </w:tc>
        <w:tc>
          <w:tcPr>
            <w:tcW w:w="1398" w:type="dxa"/>
            <w:tcBorders>
              <w:top w:val="nil"/>
              <w:left w:val="nil"/>
              <w:bottom w:val="single" w:sz="4" w:space="0" w:color="auto"/>
              <w:right w:val="single" w:sz="4" w:space="0" w:color="auto"/>
            </w:tcBorders>
            <w:shd w:val="clear" w:color="000000" w:fill="DAE9F8"/>
            <w:vAlign w:val="center"/>
            <w:hideMark/>
          </w:tcPr>
          <w:p w14:paraId="25BF82BF" w14:textId="77777777" w:rsidR="00615644" w:rsidRPr="00937F54" w:rsidRDefault="00615644"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0.354</w:t>
            </w:r>
          </w:p>
        </w:tc>
        <w:tc>
          <w:tcPr>
            <w:tcW w:w="1172" w:type="dxa"/>
            <w:tcBorders>
              <w:top w:val="nil"/>
              <w:left w:val="nil"/>
              <w:bottom w:val="single" w:sz="4" w:space="0" w:color="auto"/>
              <w:right w:val="single" w:sz="4" w:space="0" w:color="auto"/>
            </w:tcBorders>
            <w:shd w:val="clear" w:color="000000" w:fill="DAE9F8"/>
            <w:vAlign w:val="center"/>
            <w:hideMark/>
          </w:tcPr>
          <w:p w14:paraId="3F07ABCF" w14:textId="77777777" w:rsidR="00615644" w:rsidRPr="00937F54" w:rsidRDefault="00615644"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0.361</w:t>
            </w:r>
          </w:p>
        </w:tc>
        <w:tc>
          <w:tcPr>
            <w:tcW w:w="1273" w:type="dxa"/>
            <w:tcBorders>
              <w:top w:val="nil"/>
              <w:left w:val="nil"/>
              <w:bottom w:val="single" w:sz="4" w:space="0" w:color="auto"/>
              <w:right w:val="single" w:sz="4" w:space="0" w:color="auto"/>
            </w:tcBorders>
            <w:shd w:val="clear" w:color="000000" w:fill="DAE9F8"/>
            <w:vAlign w:val="center"/>
            <w:hideMark/>
          </w:tcPr>
          <w:p w14:paraId="2456F68C" w14:textId="77777777" w:rsidR="00615644" w:rsidRPr="00937F54" w:rsidRDefault="00615644"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0.353</w:t>
            </w:r>
          </w:p>
        </w:tc>
      </w:tr>
    </w:tbl>
    <w:p w14:paraId="4C5CB5D2" w14:textId="77777777" w:rsidR="006861C3" w:rsidRPr="006861C3" w:rsidRDefault="006861C3" w:rsidP="006861C3">
      <w:pPr>
        <w:spacing w:line="360" w:lineRule="auto"/>
        <w:rPr>
          <w:iCs/>
          <w:sz w:val="24"/>
          <w:szCs w:val="24"/>
          <w:lang w:val="en-US"/>
        </w:rPr>
      </w:pPr>
      <w:r w:rsidRPr="006861C3">
        <w:rPr>
          <w:iCs/>
          <w:sz w:val="24"/>
          <w:szCs w:val="24"/>
          <w:lang w:val="en-US"/>
        </w:rPr>
        <w:t xml:space="preserve">Tsui Wah's asset turnover ratio of 0.7x is significantly below the industry average of 1.17x and notably lower than peer companies, reflecting inefficient use of assets. Inventory days at 42 indicates average inventory holding relative to peers, while staff cost to revenue ratio is </w:t>
      </w:r>
      <w:r w:rsidRPr="006861C3">
        <w:rPr>
          <w:iCs/>
          <w:sz w:val="24"/>
          <w:szCs w:val="24"/>
          <w:lang w:val="en-US"/>
        </w:rPr>
        <w:lastRenderedPageBreak/>
        <w:t>broadly in line with industry averages but still indicates room for labor productivity improvement.</w:t>
      </w:r>
    </w:p>
    <w:p w14:paraId="1BB816A7" w14:textId="77777777" w:rsidR="006861C3" w:rsidRPr="006861C3" w:rsidRDefault="006861C3" w:rsidP="006861C3">
      <w:pPr>
        <w:spacing w:line="360" w:lineRule="auto"/>
        <w:rPr>
          <w:iCs/>
          <w:sz w:val="24"/>
          <w:szCs w:val="24"/>
          <w:lang w:val="en-US"/>
        </w:rPr>
      </w:pPr>
      <w:r w:rsidRPr="006861C3">
        <w:rPr>
          <w:iCs/>
          <w:sz w:val="24"/>
          <w:szCs w:val="24"/>
          <w:lang w:val="en-US"/>
        </w:rPr>
        <w:t>Overall, Tsui Wah's operational capacity reveals systematic underperformance characterized by declining revenue, lower productivity per store, and suboptimal asset utilization compared with industry benchmarks, underlining areas needing strategic management focus.</w:t>
      </w:r>
    </w:p>
    <w:p w14:paraId="246D7379" w14:textId="77777777" w:rsidR="006861C3" w:rsidRDefault="006861C3" w:rsidP="00E262FC">
      <w:pPr>
        <w:spacing w:line="360" w:lineRule="auto"/>
        <w:rPr>
          <w:b/>
          <w:bCs/>
          <w:iCs/>
          <w:sz w:val="24"/>
          <w:szCs w:val="24"/>
          <w:lang w:val="en-US"/>
        </w:rPr>
      </w:pPr>
    </w:p>
    <w:p w14:paraId="762AF84B" w14:textId="0C012ECF" w:rsidR="00072855" w:rsidRPr="00937F54" w:rsidRDefault="00072855" w:rsidP="00E262FC">
      <w:pPr>
        <w:spacing w:line="360" w:lineRule="auto"/>
        <w:rPr>
          <w:b/>
          <w:bCs/>
          <w:iCs/>
          <w:sz w:val="24"/>
          <w:szCs w:val="24"/>
          <w:lang w:val="en-US"/>
        </w:rPr>
      </w:pPr>
      <w:r w:rsidRPr="00937F54">
        <w:rPr>
          <w:b/>
          <w:bCs/>
          <w:iCs/>
          <w:sz w:val="24"/>
          <w:szCs w:val="24"/>
          <w:lang w:val="en-US"/>
        </w:rPr>
        <w:t>2.5 Profitability Analysis</w:t>
      </w:r>
    </w:p>
    <w:tbl>
      <w:tblPr>
        <w:tblW w:w="8680" w:type="dxa"/>
        <w:tblLook w:val="04A0" w:firstRow="1" w:lastRow="0" w:firstColumn="1" w:lastColumn="0" w:noHBand="0" w:noVBand="1"/>
      </w:tblPr>
      <w:tblGrid>
        <w:gridCol w:w="2358"/>
        <w:gridCol w:w="947"/>
        <w:gridCol w:w="947"/>
        <w:gridCol w:w="947"/>
        <w:gridCol w:w="1238"/>
        <w:gridCol w:w="1133"/>
        <w:gridCol w:w="1110"/>
      </w:tblGrid>
      <w:tr w:rsidR="001259F8" w:rsidRPr="001259F8" w14:paraId="2EFA99A1" w14:textId="77777777" w:rsidTr="001259F8">
        <w:trPr>
          <w:trHeight w:val="460"/>
        </w:trPr>
        <w:tc>
          <w:tcPr>
            <w:tcW w:w="2440" w:type="dxa"/>
            <w:tcBorders>
              <w:top w:val="single" w:sz="4" w:space="0" w:color="auto"/>
              <w:left w:val="single" w:sz="4" w:space="0" w:color="auto"/>
              <w:bottom w:val="single" w:sz="4" w:space="0" w:color="auto"/>
              <w:right w:val="single" w:sz="4" w:space="0" w:color="auto"/>
            </w:tcBorders>
            <w:shd w:val="clear" w:color="000000" w:fill="DAE9F8"/>
            <w:vAlign w:val="center"/>
            <w:hideMark/>
          </w:tcPr>
          <w:p w14:paraId="70D803A6" w14:textId="77777777" w:rsidR="001259F8" w:rsidRPr="001259F8" w:rsidRDefault="001259F8" w:rsidP="001259F8">
            <w:pPr>
              <w:rPr>
                <w:rFonts w:eastAsia="Times New Roman"/>
                <w:b/>
                <w:bCs/>
                <w:color w:val="404040"/>
                <w:sz w:val="24"/>
                <w:szCs w:val="24"/>
                <w:lang w:val="en-US" w:eastAsia="zh-TW"/>
              </w:rPr>
            </w:pPr>
            <w:r w:rsidRPr="001259F8">
              <w:rPr>
                <w:rFonts w:eastAsia="Times New Roman"/>
                <w:b/>
                <w:bCs/>
                <w:color w:val="404040"/>
                <w:sz w:val="24"/>
                <w:szCs w:val="24"/>
                <w:lang w:val="en-US" w:eastAsia="zh-TW"/>
              </w:rPr>
              <w:t>Company Name</w:t>
            </w:r>
          </w:p>
        </w:tc>
        <w:tc>
          <w:tcPr>
            <w:tcW w:w="960" w:type="dxa"/>
            <w:tcBorders>
              <w:top w:val="single" w:sz="4" w:space="0" w:color="auto"/>
              <w:left w:val="nil"/>
              <w:bottom w:val="single" w:sz="4" w:space="0" w:color="auto"/>
              <w:right w:val="single" w:sz="4" w:space="0" w:color="auto"/>
            </w:tcBorders>
            <w:shd w:val="clear" w:color="000000" w:fill="DAE9F8"/>
            <w:vAlign w:val="center"/>
            <w:hideMark/>
          </w:tcPr>
          <w:p w14:paraId="2A10F8DB" w14:textId="77777777" w:rsidR="001259F8" w:rsidRPr="001259F8" w:rsidRDefault="001259F8" w:rsidP="001259F8">
            <w:pPr>
              <w:rPr>
                <w:rFonts w:eastAsia="Times New Roman"/>
                <w:b/>
                <w:bCs/>
                <w:color w:val="404040"/>
                <w:sz w:val="24"/>
                <w:szCs w:val="24"/>
                <w:lang w:val="en-US" w:eastAsia="zh-TW"/>
              </w:rPr>
            </w:pPr>
            <w:r w:rsidRPr="001259F8">
              <w:rPr>
                <w:rFonts w:eastAsia="Times New Roman"/>
                <w:b/>
                <w:bCs/>
                <w:color w:val="404040"/>
                <w:sz w:val="24"/>
                <w:szCs w:val="24"/>
                <w:lang w:val="en-US" w:eastAsia="zh-TW"/>
              </w:rPr>
              <w:t>Tsui Wah 2022</w:t>
            </w:r>
          </w:p>
        </w:tc>
        <w:tc>
          <w:tcPr>
            <w:tcW w:w="960" w:type="dxa"/>
            <w:tcBorders>
              <w:top w:val="single" w:sz="4" w:space="0" w:color="auto"/>
              <w:left w:val="nil"/>
              <w:bottom w:val="single" w:sz="4" w:space="0" w:color="auto"/>
              <w:right w:val="single" w:sz="4" w:space="0" w:color="auto"/>
            </w:tcBorders>
            <w:shd w:val="clear" w:color="000000" w:fill="DAE9F8"/>
            <w:vAlign w:val="center"/>
            <w:hideMark/>
          </w:tcPr>
          <w:p w14:paraId="6827C5A5" w14:textId="77777777" w:rsidR="001259F8" w:rsidRPr="001259F8" w:rsidRDefault="001259F8" w:rsidP="001259F8">
            <w:pPr>
              <w:rPr>
                <w:rFonts w:eastAsia="Times New Roman"/>
                <w:b/>
                <w:bCs/>
                <w:color w:val="404040"/>
                <w:sz w:val="24"/>
                <w:szCs w:val="24"/>
                <w:lang w:val="en-US" w:eastAsia="zh-TW"/>
              </w:rPr>
            </w:pPr>
            <w:r w:rsidRPr="001259F8">
              <w:rPr>
                <w:rFonts w:eastAsia="Times New Roman"/>
                <w:b/>
                <w:bCs/>
                <w:color w:val="404040"/>
                <w:sz w:val="24"/>
                <w:szCs w:val="24"/>
                <w:lang w:val="en-US" w:eastAsia="zh-TW"/>
              </w:rPr>
              <w:t>Tsui Wah 2023</w:t>
            </w:r>
          </w:p>
        </w:tc>
        <w:tc>
          <w:tcPr>
            <w:tcW w:w="960" w:type="dxa"/>
            <w:tcBorders>
              <w:top w:val="single" w:sz="4" w:space="0" w:color="auto"/>
              <w:left w:val="nil"/>
              <w:bottom w:val="single" w:sz="4" w:space="0" w:color="auto"/>
              <w:right w:val="single" w:sz="4" w:space="0" w:color="auto"/>
            </w:tcBorders>
            <w:shd w:val="clear" w:color="000000" w:fill="DAE9F8"/>
            <w:vAlign w:val="center"/>
            <w:hideMark/>
          </w:tcPr>
          <w:p w14:paraId="58D62DD8" w14:textId="77777777" w:rsidR="001259F8" w:rsidRPr="001259F8" w:rsidRDefault="001259F8" w:rsidP="001259F8">
            <w:pPr>
              <w:rPr>
                <w:rFonts w:eastAsia="Times New Roman"/>
                <w:b/>
                <w:bCs/>
                <w:color w:val="404040"/>
                <w:sz w:val="24"/>
                <w:szCs w:val="24"/>
                <w:lang w:val="en-US" w:eastAsia="zh-TW"/>
              </w:rPr>
            </w:pPr>
            <w:r w:rsidRPr="001259F8">
              <w:rPr>
                <w:rFonts w:eastAsia="Times New Roman"/>
                <w:b/>
                <w:bCs/>
                <w:color w:val="404040"/>
                <w:sz w:val="24"/>
                <w:szCs w:val="24"/>
                <w:lang w:val="en-US" w:eastAsia="zh-TW"/>
              </w:rPr>
              <w:t>Tsui Wah 2024</w:t>
            </w:r>
          </w:p>
        </w:tc>
        <w:tc>
          <w:tcPr>
            <w:tcW w:w="1240" w:type="dxa"/>
            <w:tcBorders>
              <w:top w:val="single" w:sz="4" w:space="0" w:color="auto"/>
              <w:left w:val="nil"/>
              <w:bottom w:val="single" w:sz="4" w:space="0" w:color="auto"/>
              <w:right w:val="single" w:sz="4" w:space="0" w:color="auto"/>
            </w:tcBorders>
            <w:shd w:val="clear" w:color="000000" w:fill="DAE9F8"/>
            <w:vAlign w:val="center"/>
            <w:hideMark/>
          </w:tcPr>
          <w:p w14:paraId="2BA9AEAE" w14:textId="77777777" w:rsidR="001259F8" w:rsidRPr="001259F8" w:rsidRDefault="001259F8" w:rsidP="001259F8">
            <w:pPr>
              <w:rPr>
                <w:rFonts w:eastAsia="Times New Roman"/>
                <w:b/>
                <w:bCs/>
                <w:color w:val="404040"/>
                <w:sz w:val="24"/>
                <w:szCs w:val="24"/>
                <w:lang w:val="en-US" w:eastAsia="zh-TW"/>
              </w:rPr>
            </w:pPr>
            <w:r w:rsidRPr="001259F8">
              <w:rPr>
                <w:rFonts w:eastAsia="Times New Roman"/>
                <w:b/>
                <w:bCs/>
                <w:color w:val="404040"/>
                <w:sz w:val="24"/>
                <w:szCs w:val="24"/>
                <w:lang w:val="en-US" w:eastAsia="zh-TW"/>
              </w:rPr>
              <w:t>Fairwood 2024</w:t>
            </w:r>
          </w:p>
        </w:tc>
        <w:tc>
          <w:tcPr>
            <w:tcW w:w="1160" w:type="dxa"/>
            <w:tcBorders>
              <w:top w:val="single" w:sz="4" w:space="0" w:color="auto"/>
              <w:left w:val="nil"/>
              <w:bottom w:val="single" w:sz="4" w:space="0" w:color="auto"/>
              <w:right w:val="single" w:sz="4" w:space="0" w:color="auto"/>
            </w:tcBorders>
            <w:shd w:val="clear" w:color="000000" w:fill="DAE9F8"/>
            <w:vAlign w:val="center"/>
            <w:hideMark/>
          </w:tcPr>
          <w:p w14:paraId="279F22AD" w14:textId="77777777" w:rsidR="001259F8" w:rsidRPr="001259F8" w:rsidRDefault="001259F8" w:rsidP="001259F8">
            <w:pPr>
              <w:rPr>
                <w:rFonts w:eastAsia="Times New Roman"/>
                <w:b/>
                <w:bCs/>
                <w:color w:val="404040"/>
                <w:sz w:val="24"/>
                <w:szCs w:val="24"/>
                <w:lang w:val="en-US" w:eastAsia="zh-TW"/>
              </w:rPr>
            </w:pPr>
            <w:r w:rsidRPr="001259F8">
              <w:rPr>
                <w:rFonts w:eastAsia="Times New Roman"/>
                <w:b/>
                <w:bCs/>
                <w:color w:val="404040"/>
                <w:sz w:val="24"/>
                <w:szCs w:val="24"/>
                <w:lang w:val="en-US" w:eastAsia="zh-TW"/>
              </w:rPr>
              <w:t>Tai Hing 2024</w:t>
            </w:r>
          </w:p>
        </w:tc>
        <w:tc>
          <w:tcPr>
            <w:tcW w:w="960" w:type="dxa"/>
            <w:tcBorders>
              <w:top w:val="single" w:sz="4" w:space="0" w:color="auto"/>
              <w:left w:val="nil"/>
              <w:bottom w:val="single" w:sz="4" w:space="0" w:color="auto"/>
              <w:right w:val="single" w:sz="4" w:space="0" w:color="auto"/>
            </w:tcBorders>
            <w:shd w:val="clear" w:color="000000" w:fill="DAE9F8"/>
            <w:vAlign w:val="center"/>
            <w:hideMark/>
          </w:tcPr>
          <w:p w14:paraId="1F021C0B" w14:textId="77777777" w:rsidR="001259F8" w:rsidRPr="001259F8" w:rsidRDefault="001259F8" w:rsidP="001259F8">
            <w:pPr>
              <w:rPr>
                <w:rFonts w:eastAsia="Times New Roman"/>
                <w:b/>
                <w:bCs/>
                <w:color w:val="404040"/>
                <w:sz w:val="24"/>
                <w:szCs w:val="24"/>
                <w:lang w:val="en-US" w:eastAsia="zh-TW"/>
              </w:rPr>
            </w:pPr>
            <w:r w:rsidRPr="001259F8">
              <w:rPr>
                <w:rFonts w:eastAsia="Times New Roman"/>
                <w:b/>
                <w:bCs/>
                <w:color w:val="404040"/>
                <w:sz w:val="24"/>
                <w:szCs w:val="24"/>
                <w:lang w:val="en-US" w:eastAsia="zh-TW"/>
              </w:rPr>
              <w:t>Industry Avg 2024</w:t>
            </w:r>
          </w:p>
        </w:tc>
      </w:tr>
      <w:tr w:rsidR="001259F8" w:rsidRPr="001259F8" w14:paraId="0A3DE8B9" w14:textId="77777777" w:rsidTr="001259F8">
        <w:trPr>
          <w:trHeight w:val="290"/>
        </w:trPr>
        <w:tc>
          <w:tcPr>
            <w:tcW w:w="2440" w:type="dxa"/>
            <w:tcBorders>
              <w:top w:val="nil"/>
              <w:left w:val="single" w:sz="4" w:space="0" w:color="auto"/>
              <w:bottom w:val="single" w:sz="4" w:space="0" w:color="auto"/>
              <w:right w:val="single" w:sz="4" w:space="0" w:color="auto"/>
            </w:tcBorders>
            <w:shd w:val="clear" w:color="000000" w:fill="DAE9F8"/>
            <w:vAlign w:val="center"/>
            <w:hideMark/>
          </w:tcPr>
          <w:p w14:paraId="5EE481D7" w14:textId="77777777" w:rsidR="001259F8" w:rsidRPr="001259F8" w:rsidRDefault="001259F8" w:rsidP="001259F8">
            <w:pPr>
              <w:rPr>
                <w:rFonts w:eastAsia="Times New Roman"/>
                <w:b/>
                <w:bCs/>
                <w:color w:val="404040"/>
                <w:sz w:val="24"/>
                <w:szCs w:val="24"/>
                <w:lang w:val="en-US" w:eastAsia="zh-TW"/>
              </w:rPr>
            </w:pPr>
            <w:r w:rsidRPr="001259F8">
              <w:rPr>
                <w:rFonts w:eastAsia="Times New Roman"/>
                <w:b/>
                <w:bCs/>
                <w:color w:val="404040"/>
                <w:sz w:val="24"/>
                <w:szCs w:val="24"/>
                <w:lang w:val="en-US" w:eastAsia="zh-TW"/>
              </w:rPr>
              <w:t>Net Profit (HK$ million)</w:t>
            </w:r>
          </w:p>
        </w:tc>
        <w:tc>
          <w:tcPr>
            <w:tcW w:w="960" w:type="dxa"/>
            <w:tcBorders>
              <w:top w:val="nil"/>
              <w:left w:val="nil"/>
              <w:bottom w:val="single" w:sz="4" w:space="0" w:color="auto"/>
              <w:right w:val="single" w:sz="4" w:space="0" w:color="auto"/>
            </w:tcBorders>
            <w:shd w:val="clear" w:color="000000" w:fill="DAE9F8"/>
            <w:vAlign w:val="center"/>
            <w:hideMark/>
          </w:tcPr>
          <w:p w14:paraId="7F55F276"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60.58</w:t>
            </w:r>
          </w:p>
        </w:tc>
        <w:tc>
          <w:tcPr>
            <w:tcW w:w="960" w:type="dxa"/>
            <w:tcBorders>
              <w:top w:val="nil"/>
              <w:left w:val="nil"/>
              <w:bottom w:val="single" w:sz="4" w:space="0" w:color="auto"/>
              <w:right w:val="single" w:sz="4" w:space="0" w:color="auto"/>
            </w:tcBorders>
            <w:shd w:val="clear" w:color="000000" w:fill="DAE9F8"/>
            <w:vAlign w:val="center"/>
            <w:hideMark/>
          </w:tcPr>
          <w:p w14:paraId="1F43A583"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39.09</w:t>
            </w:r>
          </w:p>
        </w:tc>
        <w:tc>
          <w:tcPr>
            <w:tcW w:w="960" w:type="dxa"/>
            <w:tcBorders>
              <w:top w:val="nil"/>
              <w:left w:val="nil"/>
              <w:bottom w:val="single" w:sz="4" w:space="0" w:color="auto"/>
              <w:right w:val="single" w:sz="4" w:space="0" w:color="auto"/>
            </w:tcBorders>
            <w:shd w:val="clear" w:color="000000" w:fill="DAE9F8"/>
            <w:vAlign w:val="center"/>
            <w:hideMark/>
          </w:tcPr>
          <w:p w14:paraId="013143D2"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12.34</w:t>
            </w:r>
          </w:p>
        </w:tc>
        <w:tc>
          <w:tcPr>
            <w:tcW w:w="1240" w:type="dxa"/>
            <w:tcBorders>
              <w:top w:val="nil"/>
              <w:left w:val="nil"/>
              <w:bottom w:val="single" w:sz="4" w:space="0" w:color="auto"/>
              <w:right w:val="single" w:sz="4" w:space="0" w:color="auto"/>
            </w:tcBorders>
            <w:shd w:val="clear" w:color="000000" w:fill="DAE9F8"/>
            <w:vAlign w:val="center"/>
            <w:hideMark/>
          </w:tcPr>
          <w:p w14:paraId="5A038FBA"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35.5</w:t>
            </w:r>
          </w:p>
        </w:tc>
        <w:tc>
          <w:tcPr>
            <w:tcW w:w="1160" w:type="dxa"/>
            <w:tcBorders>
              <w:top w:val="nil"/>
              <w:left w:val="nil"/>
              <w:bottom w:val="single" w:sz="4" w:space="0" w:color="auto"/>
              <w:right w:val="single" w:sz="4" w:space="0" w:color="auto"/>
            </w:tcBorders>
            <w:shd w:val="clear" w:color="000000" w:fill="DAE9F8"/>
            <w:vAlign w:val="center"/>
            <w:hideMark/>
          </w:tcPr>
          <w:p w14:paraId="55ADB480"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62.7</w:t>
            </w:r>
          </w:p>
        </w:tc>
        <w:tc>
          <w:tcPr>
            <w:tcW w:w="960" w:type="dxa"/>
            <w:tcBorders>
              <w:top w:val="nil"/>
              <w:left w:val="nil"/>
              <w:bottom w:val="single" w:sz="4" w:space="0" w:color="auto"/>
              <w:right w:val="single" w:sz="4" w:space="0" w:color="auto"/>
            </w:tcBorders>
            <w:shd w:val="clear" w:color="000000" w:fill="DAE9F8"/>
            <w:vAlign w:val="center"/>
            <w:hideMark/>
          </w:tcPr>
          <w:p w14:paraId="03F28751"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43.5</w:t>
            </w:r>
          </w:p>
        </w:tc>
      </w:tr>
      <w:tr w:rsidR="001259F8" w:rsidRPr="001259F8" w14:paraId="40E56E4E" w14:textId="77777777" w:rsidTr="001259F8">
        <w:trPr>
          <w:trHeight w:val="290"/>
        </w:trPr>
        <w:tc>
          <w:tcPr>
            <w:tcW w:w="2440" w:type="dxa"/>
            <w:tcBorders>
              <w:top w:val="nil"/>
              <w:left w:val="single" w:sz="4" w:space="0" w:color="auto"/>
              <w:bottom w:val="single" w:sz="4" w:space="0" w:color="auto"/>
              <w:right w:val="single" w:sz="4" w:space="0" w:color="auto"/>
            </w:tcBorders>
            <w:shd w:val="clear" w:color="000000" w:fill="DAE9F8"/>
            <w:vAlign w:val="center"/>
            <w:hideMark/>
          </w:tcPr>
          <w:p w14:paraId="0415C0D3" w14:textId="77777777" w:rsidR="001259F8" w:rsidRPr="001259F8" w:rsidRDefault="001259F8" w:rsidP="001259F8">
            <w:pPr>
              <w:rPr>
                <w:rFonts w:eastAsia="Times New Roman"/>
                <w:b/>
                <w:bCs/>
                <w:color w:val="404040"/>
                <w:sz w:val="24"/>
                <w:szCs w:val="24"/>
                <w:lang w:val="en-US" w:eastAsia="zh-TW"/>
              </w:rPr>
            </w:pPr>
            <w:r w:rsidRPr="001259F8">
              <w:rPr>
                <w:rFonts w:eastAsia="Times New Roman"/>
                <w:b/>
                <w:bCs/>
                <w:color w:val="404040"/>
                <w:sz w:val="24"/>
                <w:szCs w:val="24"/>
                <w:lang w:val="en-US" w:eastAsia="zh-TW"/>
              </w:rPr>
              <w:t>Net Profit Growth</w:t>
            </w:r>
          </w:p>
        </w:tc>
        <w:tc>
          <w:tcPr>
            <w:tcW w:w="960" w:type="dxa"/>
            <w:tcBorders>
              <w:top w:val="nil"/>
              <w:left w:val="nil"/>
              <w:bottom w:val="single" w:sz="4" w:space="0" w:color="auto"/>
              <w:right w:val="single" w:sz="4" w:space="0" w:color="auto"/>
            </w:tcBorders>
            <w:shd w:val="clear" w:color="000000" w:fill="DAE9F8"/>
            <w:vAlign w:val="center"/>
            <w:hideMark/>
          </w:tcPr>
          <w:p w14:paraId="51931A4B"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w:t>
            </w:r>
          </w:p>
        </w:tc>
        <w:tc>
          <w:tcPr>
            <w:tcW w:w="960" w:type="dxa"/>
            <w:tcBorders>
              <w:top w:val="nil"/>
              <w:left w:val="nil"/>
              <w:bottom w:val="single" w:sz="4" w:space="0" w:color="auto"/>
              <w:right w:val="single" w:sz="4" w:space="0" w:color="auto"/>
            </w:tcBorders>
            <w:shd w:val="clear" w:color="000000" w:fill="DAE9F8"/>
            <w:vAlign w:val="center"/>
            <w:hideMark/>
          </w:tcPr>
          <w:p w14:paraId="13649F91"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-0.354</w:t>
            </w:r>
          </w:p>
        </w:tc>
        <w:tc>
          <w:tcPr>
            <w:tcW w:w="960" w:type="dxa"/>
            <w:tcBorders>
              <w:top w:val="nil"/>
              <w:left w:val="nil"/>
              <w:bottom w:val="single" w:sz="4" w:space="0" w:color="auto"/>
              <w:right w:val="single" w:sz="4" w:space="0" w:color="auto"/>
            </w:tcBorders>
            <w:shd w:val="clear" w:color="000000" w:fill="DAE9F8"/>
            <w:vAlign w:val="center"/>
            <w:hideMark/>
          </w:tcPr>
          <w:p w14:paraId="164A3BDE"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-0.685</w:t>
            </w:r>
          </w:p>
        </w:tc>
        <w:tc>
          <w:tcPr>
            <w:tcW w:w="1240" w:type="dxa"/>
            <w:tcBorders>
              <w:top w:val="nil"/>
              <w:left w:val="nil"/>
              <w:bottom w:val="single" w:sz="4" w:space="0" w:color="auto"/>
              <w:right w:val="single" w:sz="4" w:space="0" w:color="auto"/>
            </w:tcBorders>
            <w:shd w:val="clear" w:color="000000" w:fill="DAE9F8"/>
            <w:vAlign w:val="center"/>
            <w:hideMark/>
          </w:tcPr>
          <w:p w14:paraId="38E78459"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-0.288</w:t>
            </w:r>
          </w:p>
        </w:tc>
        <w:tc>
          <w:tcPr>
            <w:tcW w:w="1160" w:type="dxa"/>
            <w:tcBorders>
              <w:top w:val="nil"/>
              <w:left w:val="nil"/>
              <w:bottom w:val="single" w:sz="4" w:space="0" w:color="auto"/>
              <w:right w:val="single" w:sz="4" w:space="0" w:color="auto"/>
            </w:tcBorders>
            <w:shd w:val="clear" w:color="000000" w:fill="DAE9F8"/>
            <w:vAlign w:val="center"/>
            <w:hideMark/>
          </w:tcPr>
          <w:p w14:paraId="24CD15DD"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-0.332</w:t>
            </w:r>
          </w:p>
        </w:tc>
        <w:tc>
          <w:tcPr>
            <w:tcW w:w="960" w:type="dxa"/>
            <w:tcBorders>
              <w:top w:val="nil"/>
              <w:left w:val="nil"/>
              <w:bottom w:val="single" w:sz="4" w:space="0" w:color="auto"/>
              <w:right w:val="single" w:sz="4" w:space="0" w:color="auto"/>
            </w:tcBorders>
            <w:shd w:val="clear" w:color="000000" w:fill="DAE9F8"/>
            <w:vAlign w:val="center"/>
            <w:hideMark/>
          </w:tcPr>
          <w:p w14:paraId="6ACC765B"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-0.419</w:t>
            </w:r>
          </w:p>
        </w:tc>
      </w:tr>
      <w:tr w:rsidR="001259F8" w:rsidRPr="001259F8" w14:paraId="79ADADEC" w14:textId="77777777" w:rsidTr="001259F8">
        <w:trPr>
          <w:trHeight w:val="290"/>
        </w:trPr>
        <w:tc>
          <w:tcPr>
            <w:tcW w:w="2440" w:type="dxa"/>
            <w:tcBorders>
              <w:top w:val="nil"/>
              <w:left w:val="single" w:sz="4" w:space="0" w:color="auto"/>
              <w:bottom w:val="single" w:sz="4" w:space="0" w:color="auto"/>
              <w:right w:val="single" w:sz="4" w:space="0" w:color="auto"/>
            </w:tcBorders>
            <w:shd w:val="clear" w:color="000000" w:fill="DAE9F8"/>
            <w:vAlign w:val="center"/>
            <w:hideMark/>
          </w:tcPr>
          <w:p w14:paraId="3CC579E2" w14:textId="77777777" w:rsidR="001259F8" w:rsidRPr="001259F8" w:rsidRDefault="001259F8" w:rsidP="001259F8">
            <w:pPr>
              <w:rPr>
                <w:rFonts w:eastAsia="Times New Roman"/>
                <w:b/>
                <w:bCs/>
                <w:color w:val="404040"/>
                <w:sz w:val="24"/>
                <w:szCs w:val="24"/>
                <w:lang w:val="en-US" w:eastAsia="zh-TW"/>
              </w:rPr>
            </w:pPr>
            <w:r w:rsidRPr="001259F8">
              <w:rPr>
                <w:rFonts w:eastAsia="Times New Roman"/>
                <w:b/>
                <w:bCs/>
                <w:color w:val="404040"/>
                <w:sz w:val="24"/>
                <w:szCs w:val="24"/>
                <w:lang w:val="en-US" w:eastAsia="zh-TW"/>
              </w:rPr>
              <w:t>Gross Profit Margin (%)</w:t>
            </w:r>
          </w:p>
        </w:tc>
        <w:tc>
          <w:tcPr>
            <w:tcW w:w="960" w:type="dxa"/>
            <w:tcBorders>
              <w:top w:val="nil"/>
              <w:left w:val="nil"/>
              <w:bottom w:val="single" w:sz="4" w:space="0" w:color="auto"/>
              <w:right w:val="single" w:sz="4" w:space="0" w:color="auto"/>
            </w:tcBorders>
            <w:shd w:val="clear" w:color="000000" w:fill="DAE9F8"/>
            <w:vAlign w:val="center"/>
            <w:hideMark/>
          </w:tcPr>
          <w:p w14:paraId="7EE19AE1"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28</w:t>
            </w:r>
          </w:p>
        </w:tc>
        <w:tc>
          <w:tcPr>
            <w:tcW w:w="960" w:type="dxa"/>
            <w:tcBorders>
              <w:top w:val="nil"/>
              <w:left w:val="nil"/>
              <w:bottom w:val="single" w:sz="4" w:space="0" w:color="auto"/>
              <w:right w:val="single" w:sz="4" w:space="0" w:color="auto"/>
            </w:tcBorders>
            <w:shd w:val="clear" w:color="000000" w:fill="DAE9F8"/>
            <w:vAlign w:val="center"/>
            <w:hideMark/>
          </w:tcPr>
          <w:p w14:paraId="2FFFAA64"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27.6</w:t>
            </w:r>
          </w:p>
        </w:tc>
        <w:tc>
          <w:tcPr>
            <w:tcW w:w="960" w:type="dxa"/>
            <w:tcBorders>
              <w:top w:val="nil"/>
              <w:left w:val="nil"/>
              <w:bottom w:val="single" w:sz="4" w:space="0" w:color="auto"/>
              <w:right w:val="single" w:sz="4" w:space="0" w:color="auto"/>
            </w:tcBorders>
            <w:shd w:val="clear" w:color="000000" w:fill="DAE9F8"/>
            <w:vAlign w:val="center"/>
            <w:hideMark/>
          </w:tcPr>
          <w:p w14:paraId="7E389385"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31.35</w:t>
            </w:r>
          </w:p>
        </w:tc>
        <w:tc>
          <w:tcPr>
            <w:tcW w:w="1240" w:type="dxa"/>
            <w:tcBorders>
              <w:top w:val="nil"/>
              <w:left w:val="nil"/>
              <w:bottom w:val="single" w:sz="4" w:space="0" w:color="auto"/>
              <w:right w:val="single" w:sz="4" w:space="0" w:color="auto"/>
            </w:tcBorders>
            <w:shd w:val="clear" w:color="000000" w:fill="DAE9F8"/>
            <w:vAlign w:val="center"/>
            <w:hideMark/>
          </w:tcPr>
          <w:p w14:paraId="5B80434F"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7.7</w:t>
            </w:r>
          </w:p>
        </w:tc>
        <w:tc>
          <w:tcPr>
            <w:tcW w:w="1160" w:type="dxa"/>
            <w:tcBorders>
              <w:top w:val="nil"/>
              <w:left w:val="nil"/>
              <w:bottom w:val="single" w:sz="4" w:space="0" w:color="auto"/>
              <w:right w:val="single" w:sz="4" w:space="0" w:color="auto"/>
            </w:tcBorders>
            <w:shd w:val="clear" w:color="000000" w:fill="DAE9F8"/>
            <w:vAlign w:val="center"/>
            <w:hideMark/>
          </w:tcPr>
          <w:p w14:paraId="62A3206A"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73.9</w:t>
            </w:r>
          </w:p>
        </w:tc>
        <w:tc>
          <w:tcPr>
            <w:tcW w:w="960" w:type="dxa"/>
            <w:tcBorders>
              <w:top w:val="nil"/>
              <w:left w:val="nil"/>
              <w:bottom w:val="single" w:sz="4" w:space="0" w:color="auto"/>
              <w:right w:val="single" w:sz="4" w:space="0" w:color="auto"/>
            </w:tcBorders>
            <w:shd w:val="clear" w:color="000000" w:fill="DAE9F8"/>
            <w:vAlign w:val="center"/>
            <w:hideMark/>
          </w:tcPr>
          <w:p w14:paraId="271F5FDF"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51.9</w:t>
            </w:r>
          </w:p>
        </w:tc>
      </w:tr>
      <w:tr w:rsidR="001259F8" w:rsidRPr="001259F8" w14:paraId="18C48D29" w14:textId="77777777" w:rsidTr="001259F8">
        <w:trPr>
          <w:trHeight w:val="290"/>
        </w:trPr>
        <w:tc>
          <w:tcPr>
            <w:tcW w:w="2440" w:type="dxa"/>
            <w:tcBorders>
              <w:top w:val="nil"/>
              <w:left w:val="single" w:sz="4" w:space="0" w:color="auto"/>
              <w:bottom w:val="single" w:sz="4" w:space="0" w:color="auto"/>
              <w:right w:val="single" w:sz="4" w:space="0" w:color="auto"/>
            </w:tcBorders>
            <w:shd w:val="clear" w:color="000000" w:fill="DAE9F8"/>
            <w:vAlign w:val="center"/>
            <w:hideMark/>
          </w:tcPr>
          <w:p w14:paraId="16F6349E" w14:textId="77777777" w:rsidR="001259F8" w:rsidRPr="001259F8" w:rsidRDefault="001259F8" w:rsidP="001259F8">
            <w:pPr>
              <w:rPr>
                <w:rFonts w:eastAsia="Times New Roman"/>
                <w:b/>
                <w:bCs/>
                <w:color w:val="404040"/>
                <w:sz w:val="24"/>
                <w:szCs w:val="24"/>
                <w:lang w:val="en-US" w:eastAsia="zh-TW"/>
              </w:rPr>
            </w:pPr>
            <w:r w:rsidRPr="001259F8">
              <w:rPr>
                <w:rFonts w:eastAsia="Times New Roman"/>
                <w:b/>
                <w:bCs/>
                <w:color w:val="404040"/>
                <w:sz w:val="24"/>
                <w:szCs w:val="24"/>
                <w:lang w:val="en-US" w:eastAsia="zh-TW"/>
              </w:rPr>
              <w:t>Net Profit Margin (%)</w:t>
            </w:r>
          </w:p>
        </w:tc>
        <w:tc>
          <w:tcPr>
            <w:tcW w:w="960" w:type="dxa"/>
            <w:tcBorders>
              <w:top w:val="nil"/>
              <w:left w:val="nil"/>
              <w:bottom w:val="single" w:sz="4" w:space="0" w:color="auto"/>
              <w:right w:val="single" w:sz="4" w:space="0" w:color="auto"/>
            </w:tcBorders>
            <w:shd w:val="clear" w:color="000000" w:fill="DAE9F8"/>
            <w:vAlign w:val="center"/>
            <w:hideMark/>
          </w:tcPr>
          <w:p w14:paraId="7E4D4ADD"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7.7</w:t>
            </w:r>
          </w:p>
        </w:tc>
        <w:tc>
          <w:tcPr>
            <w:tcW w:w="960" w:type="dxa"/>
            <w:tcBorders>
              <w:top w:val="nil"/>
              <w:left w:val="nil"/>
              <w:bottom w:val="single" w:sz="4" w:space="0" w:color="auto"/>
              <w:right w:val="single" w:sz="4" w:space="0" w:color="auto"/>
            </w:tcBorders>
            <w:shd w:val="clear" w:color="000000" w:fill="DAE9F8"/>
            <w:vAlign w:val="center"/>
            <w:hideMark/>
          </w:tcPr>
          <w:p w14:paraId="763E0CB3"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4.1</w:t>
            </w:r>
          </w:p>
        </w:tc>
        <w:tc>
          <w:tcPr>
            <w:tcW w:w="960" w:type="dxa"/>
            <w:tcBorders>
              <w:top w:val="nil"/>
              <w:left w:val="nil"/>
              <w:bottom w:val="single" w:sz="4" w:space="0" w:color="auto"/>
              <w:right w:val="single" w:sz="4" w:space="0" w:color="auto"/>
            </w:tcBorders>
            <w:shd w:val="clear" w:color="000000" w:fill="DAE9F8"/>
            <w:vAlign w:val="center"/>
            <w:hideMark/>
          </w:tcPr>
          <w:p w14:paraId="457A1827"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1.4</w:t>
            </w:r>
          </w:p>
        </w:tc>
        <w:tc>
          <w:tcPr>
            <w:tcW w:w="1240" w:type="dxa"/>
            <w:tcBorders>
              <w:top w:val="nil"/>
              <w:left w:val="nil"/>
              <w:bottom w:val="single" w:sz="4" w:space="0" w:color="auto"/>
              <w:right w:val="single" w:sz="4" w:space="0" w:color="auto"/>
            </w:tcBorders>
            <w:shd w:val="clear" w:color="000000" w:fill="DAE9F8"/>
            <w:vAlign w:val="center"/>
            <w:hideMark/>
          </w:tcPr>
          <w:p w14:paraId="77FD6402"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1.1</w:t>
            </w:r>
          </w:p>
        </w:tc>
        <w:tc>
          <w:tcPr>
            <w:tcW w:w="1160" w:type="dxa"/>
            <w:tcBorders>
              <w:top w:val="nil"/>
              <w:left w:val="nil"/>
              <w:bottom w:val="single" w:sz="4" w:space="0" w:color="auto"/>
              <w:right w:val="single" w:sz="4" w:space="0" w:color="auto"/>
            </w:tcBorders>
            <w:shd w:val="clear" w:color="000000" w:fill="DAE9F8"/>
            <w:vAlign w:val="center"/>
            <w:hideMark/>
          </w:tcPr>
          <w:p w14:paraId="4EF2AABE"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1.9</w:t>
            </w:r>
          </w:p>
        </w:tc>
        <w:tc>
          <w:tcPr>
            <w:tcW w:w="960" w:type="dxa"/>
            <w:tcBorders>
              <w:top w:val="nil"/>
              <w:left w:val="nil"/>
              <w:bottom w:val="single" w:sz="4" w:space="0" w:color="auto"/>
              <w:right w:val="single" w:sz="4" w:space="0" w:color="auto"/>
            </w:tcBorders>
            <w:shd w:val="clear" w:color="000000" w:fill="DAE9F8"/>
            <w:vAlign w:val="center"/>
            <w:hideMark/>
          </w:tcPr>
          <w:p w14:paraId="4E8D2B57"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2.1</w:t>
            </w:r>
          </w:p>
        </w:tc>
      </w:tr>
      <w:tr w:rsidR="001259F8" w:rsidRPr="001259F8" w14:paraId="0DF797BA" w14:textId="77777777" w:rsidTr="001259F8">
        <w:trPr>
          <w:trHeight w:val="290"/>
        </w:trPr>
        <w:tc>
          <w:tcPr>
            <w:tcW w:w="2440" w:type="dxa"/>
            <w:tcBorders>
              <w:top w:val="nil"/>
              <w:left w:val="single" w:sz="4" w:space="0" w:color="auto"/>
              <w:bottom w:val="single" w:sz="4" w:space="0" w:color="auto"/>
              <w:right w:val="single" w:sz="4" w:space="0" w:color="auto"/>
            </w:tcBorders>
            <w:shd w:val="clear" w:color="000000" w:fill="DAE9F8"/>
            <w:vAlign w:val="center"/>
            <w:hideMark/>
          </w:tcPr>
          <w:p w14:paraId="47682E98" w14:textId="77777777" w:rsidR="001259F8" w:rsidRPr="001259F8" w:rsidRDefault="001259F8" w:rsidP="001259F8">
            <w:pPr>
              <w:rPr>
                <w:rFonts w:eastAsia="Times New Roman"/>
                <w:b/>
                <w:bCs/>
                <w:color w:val="404040"/>
                <w:sz w:val="24"/>
                <w:szCs w:val="24"/>
                <w:lang w:val="en-US" w:eastAsia="zh-TW"/>
              </w:rPr>
            </w:pPr>
            <w:r w:rsidRPr="001259F8">
              <w:rPr>
                <w:rFonts w:eastAsia="Times New Roman"/>
                <w:b/>
                <w:bCs/>
                <w:color w:val="404040"/>
                <w:sz w:val="24"/>
                <w:szCs w:val="24"/>
                <w:lang w:val="en-US" w:eastAsia="zh-TW"/>
              </w:rPr>
              <w:t>EBIT Margin (%)</w:t>
            </w:r>
          </w:p>
        </w:tc>
        <w:tc>
          <w:tcPr>
            <w:tcW w:w="960" w:type="dxa"/>
            <w:tcBorders>
              <w:top w:val="nil"/>
              <w:left w:val="nil"/>
              <w:bottom w:val="single" w:sz="4" w:space="0" w:color="auto"/>
              <w:right w:val="single" w:sz="4" w:space="0" w:color="auto"/>
            </w:tcBorders>
            <w:shd w:val="clear" w:color="000000" w:fill="DAE9F8"/>
            <w:vAlign w:val="center"/>
            <w:hideMark/>
          </w:tcPr>
          <w:p w14:paraId="02D048C0"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14.3</w:t>
            </w:r>
          </w:p>
        </w:tc>
        <w:tc>
          <w:tcPr>
            <w:tcW w:w="960" w:type="dxa"/>
            <w:tcBorders>
              <w:top w:val="nil"/>
              <w:left w:val="nil"/>
              <w:bottom w:val="single" w:sz="4" w:space="0" w:color="auto"/>
              <w:right w:val="single" w:sz="4" w:space="0" w:color="auto"/>
            </w:tcBorders>
            <w:shd w:val="clear" w:color="000000" w:fill="DAE9F8"/>
            <w:vAlign w:val="center"/>
            <w:hideMark/>
          </w:tcPr>
          <w:p w14:paraId="0B83A4D3"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-6.6</w:t>
            </w:r>
          </w:p>
        </w:tc>
        <w:tc>
          <w:tcPr>
            <w:tcW w:w="960" w:type="dxa"/>
            <w:tcBorders>
              <w:top w:val="nil"/>
              <w:left w:val="nil"/>
              <w:bottom w:val="single" w:sz="4" w:space="0" w:color="auto"/>
              <w:right w:val="single" w:sz="4" w:space="0" w:color="auto"/>
            </w:tcBorders>
            <w:shd w:val="clear" w:color="000000" w:fill="DAE9F8"/>
            <w:vAlign w:val="center"/>
            <w:hideMark/>
          </w:tcPr>
          <w:p w14:paraId="5456F989"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2.3</w:t>
            </w:r>
          </w:p>
        </w:tc>
        <w:tc>
          <w:tcPr>
            <w:tcW w:w="1240" w:type="dxa"/>
            <w:tcBorders>
              <w:top w:val="nil"/>
              <w:left w:val="nil"/>
              <w:bottom w:val="single" w:sz="4" w:space="0" w:color="auto"/>
              <w:right w:val="single" w:sz="4" w:space="0" w:color="auto"/>
            </w:tcBorders>
            <w:shd w:val="clear" w:color="000000" w:fill="DAE9F8"/>
            <w:vAlign w:val="center"/>
            <w:hideMark/>
          </w:tcPr>
          <w:p w14:paraId="27AFE729"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2.3</w:t>
            </w:r>
          </w:p>
        </w:tc>
        <w:tc>
          <w:tcPr>
            <w:tcW w:w="1160" w:type="dxa"/>
            <w:tcBorders>
              <w:top w:val="nil"/>
              <w:left w:val="nil"/>
              <w:bottom w:val="single" w:sz="4" w:space="0" w:color="auto"/>
              <w:right w:val="single" w:sz="4" w:space="0" w:color="auto"/>
            </w:tcBorders>
            <w:shd w:val="clear" w:color="000000" w:fill="DAE9F8"/>
            <w:vAlign w:val="center"/>
            <w:hideMark/>
          </w:tcPr>
          <w:p w14:paraId="2243D7C1"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2.4</w:t>
            </w:r>
          </w:p>
        </w:tc>
        <w:tc>
          <w:tcPr>
            <w:tcW w:w="960" w:type="dxa"/>
            <w:tcBorders>
              <w:top w:val="nil"/>
              <w:left w:val="nil"/>
              <w:bottom w:val="single" w:sz="4" w:space="0" w:color="auto"/>
              <w:right w:val="single" w:sz="4" w:space="0" w:color="auto"/>
            </w:tcBorders>
            <w:shd w:val="clear" w:color="000000" w:fill="DAE9F8"/>
            <w:vAlign w:val="center"/>
            <w:hideMark/>
          </w:tcPr>
          <w:p w14:paraId="1FB8C202" w14:textId="77777777" w:rsidR="001259F8" w:rsidRPr="001259F8" w:rsidRDefault="001259F8" w:rsidP="001259F8">
            <w:pPr>
              <w:rPr>
                <w:rFonts w:eastAsia="Times New Roman"/>
                <w:color w:val="404040"/>
                <w:sz w:val="24"/>
                <w:szCs w:val="24"/>
                <w:lang w:val="en-US" w:eastAsia="zh-TW"/>
              </w:rPr>
            </w:pPr>
            <w:r w:rsidRPr="001259F8">
              <w:rPr>
                <w:rFonts w:eastAsia="Times New Roman"/>
                <w:color w:val="404040"/>
                <w:sz w:val="24"/>
                <w:szCs w:val="24"/>
                <w:lang w:val="en-US" w:eastAsia="zh-TW"/>
              </w:rPr>
              <w:t>3.1</w:t>
            </w:r>
          </w:p>
        </w:tc>
      </w:tr>
    </w:tbl>
    <w:p w14:paraId="034F6470" w14:textId="77777777" w:rsidR="00B27D94" w:rsidRPr="00937F54" w:rsidRDefault="00B27D94" w:rsidP="00E262FC">
      <w:pPr>
        <w:spacing w:line="360" w:lineRule="auto"/>
        <w:rPr>
          <w:b/>
          <w:bCs/>
          <w:iCs/>
          <w:sz w:val="24"/>
          <w:szCs w:val="24"/>
          <w:lang w:val="en-US"/>
        </w:rPr>
      </w:pPr>
    </w:p>
    <w:p w14:paraId="1860108A" w14:textId="77777777" w:rsidR="00845539" w:rsidRPr="00845539" w:rsidRDefault="00845539" w:rsidP="00845539">
      <w:pPr>
        <w:spacing w:line="360" w:lineRule="auto"/>
        <w:rPr>
          <w:iCs/>
          <w:sz w:val="24"/>
          <w:szCs w:val="24"/>
          <w:lang w:val="en-US"/>
        </w:rPr>
      </w:pPr>
      <w:r w:rsidRPr="00845539">
        <w:rPr>
          <w:b/>
          <w:bCs/>
          <w:iCs/>
          <w:sz w:val="24"/>
          <w:szCs w:val="24"/>
          <w:lang w:val="en-US"/>
        </w:rPr>
        <w:t>Gross Profit Margin:</w:t>
      </w:r>
      <w:r w:rsidRPr="00845539">
        <w:rPr>
          <w:b/>
          <w:bCs/>
          <w:iCs/>
          <w:sz w:val="24"/>
          <w:szCs w:val="24"/>
          <w:lang w:val="en-US"/>
        </w:rPr>
        <w:br/>
      </w:r>
      <w:r w:rsidRPr="00845539">
        <w:rPr>
          <w:iCs/>
          <w:sz w:val="24"/>
          <w:szCs w:val="24"/>
          <w:lang w:val="en-US"/>
        </w:rPr>
        <w:t xml:space="preserve">Tsui Wah maintains a gross profit margin of approximately 37% to 38% in recent years (not 74.1% as previously misstated), which reflects the typical margin structure of a cha </w:t>
      </w:r>
      <w:proofErr w:type="spellStart"/>
      <w:r w:rsidRPr="00845539">
        <w:rPr>
          <w:iCs/>
          <w:sz w:val="24"/>
          <w:szCs w:val="24"/>
          <w:lang w:val="en-US"/>
        </w:rPr>
        <w:t>chaan</w:t>
      </w:r>
      <w:proofErr w:type="spellEnd"/>
      <w:r w:rsidRPr="00845539">
        <w:rPr>
          <w:iCs/>
          <w:sz w:val="24"/>
          <w:szCs w:val="24"/>
          <w:lang w:val="en-US"/>
        </w:rPr>
        <w:t xml:space="preserve"> </w:t>
      </w:r>
      <w:proofErr w:type="spellStart"/>
      <w:r w:rsidRPr="00845539">
        <w:rPr>
          <w:iCs/>
          <w:sz w:val="24"/>
          <w:szCs w:val="24"/>
          <w:lang w:val="en-US"/>
        </w:rPr>
        <w:t>teng</w:t>
      </w:r>
      <w:proofErr w:type="spellEnd"/>
      <w:r w:rsidRPr="00845539">
        <w:rPr>
          <w:iCs/>
          <w:sz w:val="24"/>
          <w:szCs w:val="24"/>
          <w:lang w:val="en-US"/>
        </w:rPr>
        <w:t xml:space="preserve"> business model. This margin is somewhat lower than Tai Hing’s strong gross </w:t>
      </w:r>
      <w:proofErr w:type="gramStart"/>
      <w:r w:rsidRPr="00845539">
        <w:rPr>
          <w:iCs/>
          <w:sz w:val="24"/>
          <w:szCs w:val="24"/>
          <w:lang w:val="en-US"/>
        </w:rPr>
        <w:t>margins</w:t>
      </w:r>
      <w:proofErr w:type="gramEnd"/>
      <w:r w:rsidRPr="00845539">
        <w:rPr>
          <w:iCs/>
          <w:sz w:val="24"/>
          <w:szCs w:val="24"/>
          <w:lang w:val="en-US"/>
        </w:rPr>
        <w:t xml:space="preserve"> around 39%</w:t>
      </w:r>
      <w:proofErr w:type="gramStart"/>
      <w:r w:rsidRPr="00845539">
        <w:rPr>
          <w:iCs/>
          <w:sz w:val="24"/>
          <w:szCs w:val="24"/>
          <w:lang w:val="en-US"/>
        </w:rPr>
        <w:t> but</w:t>
      </w:r>
      <w:proofErr w:type="gramEnd"/>
      <w:r w:rsidRPr="00845539">
        <w:rPr>
          <w:iCs/>
          <w:sz w:val="24"/>
          <w:szCs w:val="24"/>
          <w:lang w:val="en-US"/>
        </w:rPr>
        <w:t> much higher than Fairwood’s fast-food model, which reports gross margins closer to 7.7% in 2024.</w:t>
      </w:r>
    </w:p>
    <w:p w14:paraId="38674DC8" w14:textId="77777777" w:rsidR="00845539" w:rsidRPr="00845539" w:rsidRDefault="00845539" w:rsidP="00845539">
      <w:pPr>
        <w:spacing w:line="360" w:lineRule="auto"/>
        <w:rPr>
          <w:iCs/>
          <w:sz w:val="24"/>
          <w:szCs w:val="24"/>
          <w:lang w:val="en-US"/>
        </w:rPr>
      </w:pPr>
      <w:r w:rsidRPr="00845539">
        <w:rPr>
          <w:b/>
          <w:bCs/>
          <w:iCs/>
          <w:sz w:val="24"/>
          <w:szCs w:val="24"/>
          <w:lang w:val="en-US"/>
        </w:rPr>
        <w:t>Net Profit Margin:</w:t>
      </w:r>
      <w:r w:rsidRPr="00845539">
        <w:rPr>
          <w:b/>
          <w:bCs/>
          <w:iCs/>
          <w:sz w:val="24"/>
          <w:szCs w:val="24"/>
          <w:lang w:val="en-US"/>
        </w:rPr>
        <w:br/>
      </w:r>
      <w:r w:rsidRPr="00845539">
        <w:rPr>
          <w:iCs/>
          <w:sz w:val="24"/>
          <w:szCs w:val="24"/>
          <w:lang w:val="en-US"/>
        </w:rPr>
        <w:t>The net profit margin has seen a dramatic deterioration from 7.7% in 2022 to around 1.4% in 2024. This significant decline indicates operational deleverage as fixed costs and expenses spread over declining or fluctuating sales. This net profit margin is also below the industry average of approximately 2.1%, which points to competitive disadvantages and cost management challenges.</w:t>
      </w:r>
    </w:p>
    <w:p w14:paraId="0C085E69" w14:textId="77777777" w:rsidR="00080234" w:rsidRDefault="00845539" w:rsidP="00080234">
      <w:pPr>
        <w:spacing w:line="360" w:lineRule="auto"/>
        <w:rPr>
          <w:iCs/>
          <w:sz w:val="24"/>
          <w:szCs w:val="24"/>
          <w:lang w:val="en-US"/>
        </w:rPr>
      </w:pPr>
      <w:r w:rsidRPr="00845539">
        <w:rPr>
          <w:b/>
          <w:bCs/>
          <w:iCs/>
          <w:sz w:val="24"/>
          <w:szCs w:val="24"/>
          <w:lang w:val="en-US"/>
        </w:rPr>
        <w:t>Profitability Analysis:</w:t>
      </w:r>
      <w:r w:rsidRPr="00845539">
        <w:rPr>
          <w:b/>
          <w:bCs/>
          <w:iCs/>
          <w:sz w:val="24"/>
          <w:szCs w:val="24"/>
          <w:lang w:val="en-US"/>
        </w:rPr>
        <w:br/>
      </w:r>
      <w:r w:rsidRPr="00845539">
        <w:rPr>
          <w:iCs/>
          <w:sz w:val="24"/>
          <w:szCs w:val="24"/>
          <w:lang w:val="en-US"/>
        </w:rPr>
        <w:t xml:space="preserve">Despite maintaining moderate gross profit margins, Tsui Wah’s profitability has deteriorated substantially over the review period with net margins falling below industry averages. This suggests inefficiencies in operational cost control, pricing pressures, and challenges managing overheads effectively. </w:t>
      </w:r>
    </w:p>
    <w:p w14:paraId="6E49CDAC" w14:textId="77777777" w:rsidR="00080234" w:rsidRDefault="00080234" w:rsidP="00080234">
      <w:pPr>
        <w:spacing w:line="360" w:lineRule="auto"/>
        <w:rPr>
          <w:iCs/>
          <w:sz w:val="24"/>
          <w:szCs w:val="24"/>
          <w:lang w:val="en-US"/>
        </w:rPr>
      </w:pPr>
    </w:p>
    <w:p w14:paraId="75DD275F" w14:textId="381A916D" w:rsidR="00080234" w:rsidRPr="00080234" w:rsidRDefault="00080234" w:rsidP="00080234">
      <w:pPr>
        <w:spacing w:line="360" w:lineRule="auto"/>
        <w:rPr>
          <w:b/>
          <w:bCs/>
          <w:iCs/>
          <w:sz w:val="24"/>
          <w:szCs w:val="24"/>
          <w:lang w:val="en-US"/>
        </w:rPr>
      </w:pPr>
      <w:r w:rsidRPr="00080234">
        <w:rPr>
          <w:b/>
          <w:bCs/>
          <w:iCs/>
          <w:sz w:val="24"/>
          <w:szCs w:val="24"/>
          <w:lang w:val="en-US"/>
        </w:rPr>
        <w:lastRenderedPageBreak/>
        <w:t>2.6 Growth Capacity Analysis</w:t>
      </w:r>
    </w:p>
    <w:tbl>
      <w:tblPr>
        <w:tblW w:w="8800" w:type="dxa"/>
        <w:tblLook w:val="04A0" w:firstRow="1" w:lastRow="0" w:firstColumn="1" w:lastColumn="0" w:noHBand="0" w:noVBand="1"/>
      </w:tblPr>
      <w:tblGrid>
        <w:gridCol w:w="2111"/>
        <w:gridCol w:w="1124"/>
        <w:gridCol w:w="1086"/>
        <w:gridCol w:w="1086"/>
        <w:gridCol w:w="1203"/>
        <w:gridCol w:w="1080"/>
        <w:gridCol w:w="1110"/>
      </w:tblGrid>
      <w:tr w:rsidR="00094AA1" w:rsidRPr="00094AA1" w14:paraId="3AC69D15" w14:textId="77777777" w:rsidTr="00094AA1">
        <w:trPr>
          <w:trHeight w:val="460"/>
        </w:trPr>
        <w:tc>
          <w:tcPr>
            <w:tcW w:w="2160" w:type="dxa"/>
            <w:tcBorders>
              <w:top w:val="single" w:sz="4" w:space="0" w:color="auto"/>
              <w:left w:val="single" w:sz="4" w:space="0" w:color="auto"/>
              <w:bottom w:val="single" w:sz="4" w:space="0" w:color="auto"/>
              <w:right w:val="single" w:sz="4" w:space="0" w:color="auto"/>
            </w:tcBorders>
            <w:shd w:val="clear" w:color="000000" w:fill="DAE9F8"/>
            <w:vAlign w:val="center"/>
            <w:hideMark/>
          </w:tcPr>
          <w:p w14:paraId="4DE45431" w14:textId="77777777" w:rsidR="00094AA1" w:rsidRPr="00094AA1" w:rsidRDefault="00094AA1" w:rsidP="00094AA1">
            <w:pPr>
              <w:rPr>
                <w:rFonts w:eastAsia="Times New Roman"/>
                <w:b/>
                <w:bCs/>
                <w:color w:val="404040"/>
                <w:sz w:val="24"/>
                <w:szCs w:val="24"/>
                <w:lang w:val="en-US" w:eastAsia="zh-TW"/>
              </w:rPr>
            </w:pPr>
            <w:r w:rsidRPr="00094AA1">
              <w:rPr>
                <w:rFonts w:eastAsia="Times New Roman"/>
                <w:b/>
                <w:bCs/>
                <w:color w:val="404040"/>
                <w:sz w:val="24"/>
                <w:szCs w:val="24"/>
                <w:lang w:val="en-US" w:eastAsia="zh-TW"/>
              </w:rPr>
              <w:t>Company Name</w:t>
            </w:r>
          </w:p>
        </w:tc>
        <w:tc>
          <w:tcPr>
            <w:tcW w:w="1140" w:type="dxa"/>
            <w:tcBorders>
              <w:top w:val="single" w:sz="4" w:space="0" w:color="auto"/>
              <w:left w:val="nil"/>
              <w:bottom w:val="single" w:sz="4" w:space="0" w:color="auto"/>
              <w:right w:val="single" w:sz="4" w:space="0" w:color="auto"/>
            </w:tcBorders>
            <w:shd w:val="clear" w:color="000000" w:fill="DAE9F8"/>
            <w:vAlign w:val="center"/>
            <w:hideMark/>
          </w:tcPr>
          <w:p w14:paraId="4B7EACDF" w14:textId="77777777" w:rsidR="00094AA1" w:rsidRPr="00094AA1" w:rsidRDefault="00094AA1" w:rsidP="00094AA1">
            <w:pPr>
              <w:rPr>
                <w:rFonts w:eastAsia="Times New Roman"/>
                <w:b/>
                <w:bCs/>
                <w:color w:val="404040"/>
                <w:sz w:val="24"/>
                <w:szCs w:val="24"/>
                <w:lang w:val="en-US" w:eastAsia="zh-TW"/>
              </w:rPr>
            </w:pPr>
            <w:r w:rsidRPr="00094AA1">
              <w:rPr>
                <w:rFonts w:eastAsia="Times New Roman"/>
                <w:b/>
                <w:bCs/>
                <w:color w:val="404040"/>
                <w:sz w:val="24"/>
                <w:szCs w:val="24"/>
                <w:lang w:val="en-US" w:eastAsia="zh-TW"/>
              </w:rPr>
              <w:t>Tsui Wah 2024</w:t>
            </w:r>
          </w:p>
        </w:tc>
        <w:tc>
          <w:tcPr>
            <w:tcW w:w="1100" w:type="dxa"/>
            <w:tcBorders>
              <w:top w:val="single" w:sz="4" w:space="0" w:color="auto"/>
              <w:left w:val="nil"/>
              <w:bottom w:val="single" w:sz="4" w:space="0" w:color="auto"/>
              <w:right w:val="single" w:sz="4" w:space="0" w:color="auto"/>
            </w:tcBorders>
            <w:shd w:val="clear" w:color="000000" w:fill="DAE9F8"/>
            <w:vAlign w:val="center"/>
            <w:hideMark/>
          </w:tcPr>
          <w:p w14:paraId="55BAD561" w14:textId="77777777" w:rsidR="00094AA1" w:rsidRPr="00094AA1" w:rsidRDefault="00094AA1" w:rsidP="00094AA1">
            <w:pPr>
              <w:rPr>
                <w:rFonts w:eastAsia="Times New Roman"/>
                <w:b/>
                <w:bCs/>
                <w:color w:val="404040"/>
                <w:sz w:val="24"/>
                <w:szCs w:val="24"/>
                <w:lang w:val="en-US" w:eastAsia="zh-TW"/>
              </w:rPr>
            </w:pPr>
            <w:r w:rsidRPr="00094AA1">
              <w:rPr>
                <w:rFonts w:eastAsia="Times New Roman"/>
                <w:b/>
                <w:bCs/>
                <w:color w:val="404040"/>
                <w:sz w:val="24"/>
                <w:szCs w:val="24"/>
                <w:lang w:val="en-US" w:eastAsia="zh-TW"/>
              </w:rPr>
              <w:t>Tsui Wah 2023</w:t>
            </w:r>
          </w:p>
        </w:tc>
        <w:tc>
          <w:tcPr>
            <w:tcW w:w="1100" w:type="dxa"/>
            <w:tcBorders>
              <w:top w:val="single" w:sz="4" w:space="0" w:color="auto"/>
              <w:left w:val="nil"/>
              <w:bottom w:val="single" w:sz="4" w:space="0" w:color="auto"/>
              <w:right w:val="single" w:sz="4" w:space="0" w:color="auto"/>
            </w:tcBorders>
            <w:shd w:val="clear" w:color="000000" w:fill="DAE9F8"/>
            <w:vAlign w:val="center"/>
            <w:hideMark/>
          </w:tcPr>
          <w:p w14:paraId="7B98D96E" w14:textId="77777777" w:rsidR="00094AA1" w:rsidRPr="00094AA1" w:rsidRDefault="00094AA1" w:rsidP="00094AA1">
            <w:pPr>
              <w:rPr>
                <w:rFonts w:eastAsia="Times New Roman"/>
                <w:b/>
                <w:bCs/>
                <w:color w:val="404040"/>
                <w:sz w:val="24"/>
                <w:szCs w:val="24"/>
                <w:lang w:val="en-US" w:eastAsia="zh-TW"/>
              </w:rPr>
            </w:pPr>
            <w:r w:rsidRPr="00094AA1">
              <w:rPr>
                <w:rFonts w:eastAsia="Times New Roman"/>
                <w:b/>
                <w:bCs/>
                <w:color w:val="404040"/>
                <w:sz w:val="24"/>
                <w:szCs w:val="24"/>
                <w:lang w:val="en-US" w:eastAsia="zh-TW"/>
              </w:rPr>
              <w:t>Tsui Wah 2022</w:t>
            </w:r>
          </w:p>
        </w:tc>
        <w:tc>
          <w:tcPr>
            <w:tcW w:w="1100" w:type="dxa"/>
            <w:tcBorders>
              <w:top w:val="single" w:sz="4" w:space="0" w:color="auto"/>
              <w:left w:val="nil"/>
              <w:bottom w:val="single" w:sz="4" w:space="0" w:color="auto"/>
              <w:right w:val="single" w:sz="4" w:space="0" w:color="auto"/>
            </w:tcBorders>
            <w:shd w:val="clear" w:color="000000" w:fill="DAE9F8"/>
            <w:vAlign w:val="center"/>
            <w:hideMark/>
          </w:tcPr>
          <w:p w14:paraId="31DA4015" w14:textId="77777777" w:rsidR="00094AA1" w:rsidRPr="00094AA1" w:rsidRDefault="00094AA1" w:rsidP="00094AA1">
            <w:pPr>
              <w:rPr>
                <w:rFonts w:eastAsia="Times New Roman"/>
                <w:b/>
                <w:bCs/>
                <w:color w:val="404040"/>
                <w:sz w:val="24"/>
                <w:szCs w:val="24"/>
                <w:lang w:val="en-US" w:eastAsia="zh-TW"/>
              </w:rPr>
            </w:pPr>
            <w:r w:rsidRPr="00094AA1">
              <w:rPr>
                <w:rFonts w:eastAsia="Times New Roman"/>
                <w:b/>
                <w:bCs/>
                <w:color w:val="404040"/>
                <w:sz w:val="24"/>
                <w:szCs w:val="24"/>
                <w:lang w:val="en-US" w:eastAsia="zh-TW"/>
              </w:rPr>
              <w:t>Fairwood 2024</w:t>
            </w:r>
          </w:p>
        </w:tc>
        <w:tc>
          <w:tcPr>
            <w:tcW w:w="1100" w:type="dxa"/>
            <w:tcBorders>
              <w:top w:val="single" w:sz="4" w:space="0" w:color="auto"/>
              <w:left w:val="nil"/>
              <w:bottom w:val="single" w:sz="4" w:space="0" w:color="auto"/>
              <w:right w:val="single" w:sz="4" w:space="0" w:color="auto"/>
            </w:tcBorders>
            <w:shd w:val="clear" w:color="000000" w:fill="DAE9F8"/>
            <w:vAlign w:val="center"/>
            <w:hideMark/>
          </w:tcPr>
          <w:p w14:paraId="1CD9277E" w14:textId="77777777" w:rsidR="00094AA1" w:rsidRPr="00094AA1" w:rsidRDefault="00094AA1" w:rsidP="00094AA1">
            <w:pPr>
              <w:rPr>
                <w:rFonts w:eastAsia="Times New Roman"/>
                <w:b/>
                <w:bCs/>
                <w:color w:val="404040"/>
                <w:sz w:val="24"/>
                <w:szCs w:val="24"/>
                <w:lang w:val="en-US" w:eastAsia="zh-TW"/>
              </w:rPr>
            </w:pPr>
            <w:r w:rsidRPr="00094AA1">
              <w:rPr>
                <w:rFonts w:eastAsia="Times New Roman"/>
                <w:b/>
                <w:bCs/>
                <w:color w:val="404040"/>
                <w:sz w:val="24"/>
                <w:szCs w:val="24"/>
                <w:lang w:val="en-US" w:eastAsia="zh-TW"/>
              </w:rPr>
              <w:t>Tai Hing 2024</w:t>
            </w:r>
          </w:p>
        </w:tc>
        <w:tc>
          <w:tcPr>
            <w:tcW w:w="1100" w:type="dxa"/>
            <w:tcBorders>
              <w:top w:val="single" w:sz="4" w:space="0" w:color="auto"/>
              <w:left w:val="nil"/>
              <w:bottom w:val="single" w:sz="4" w:space="0" w:color="auto"/>
              <w:right w:val="single" w:sz="4" w:space="0" w:color="auto"/>
            </w:tcBorders>
            <w:shd w:val="clear" w:color="000000" w:fill="DAE9F8"/>
            <w:vAlign w:val="center"/>
            <w:hideMark/>
          </w:tcPr>
          <w:p w14:paraId="51CCD9A6" w14:textId="77777777" w:rsidR="00094AA1" w:rsidRPr="00094AA1" w:rsidRDefault="00094AA1" w:rsidP="00094AA1">
            <w:pPr>
              <w:rPr>
                <w:rFonts w:eastAsia="Times New Roman"/>
                <w:b/>
                <w:bCs/>
                <w:color w:val="404040"/>
                <w:sz w:val="24"/>
                <w:szCs w:val="24"/>
                <w:lang w:val="en-US" w:eastAsia="zh-TW"/>
              </w:rPr>
            </w:pPr>
            <w:r w:rsidRPr="00094AA1">
              <w:rPr>
                <w:rFonts w:eastAsia="Times New Roman"/>
                <w:b/>
                <w:bCs/>
                <w:color w:val="404040"/>
                <w:sz w:val="24"/>
                <w:szCs w:val="24"/>
                <w:lang w:val="en-US" w:eastAsia="zh-TW"/>
              </w:rPr>
              <w:t>Industry Avg 2024</w:t>
            </w:r>
          </w:p>
        </w:tc>
      </w:tr>
      <w:tr w:rsidR="00094AA1" w:rsidRPr="00094AA1" w14:paraId="28743C00" w14:textId="77777777" w:rsidTr="00094AA1">
        <w:trPr>
          <w:trHeight w:val="290"/>
        </w:trPr>
        <w:tc>
          <w:tcPr>
            <w:tcW w:w="2160" w:type="dxa"/>
            <w:tcBorders>
              <w:top w:val="nil"/>
              <w:left w:val="single" w:sz="4" w:space="0" w:color="auto"/>
              <w:bottom w:val="single" w:sz="4" w:space="0" w:color="auto"/>
              <w:right w:val="single" w:sz="4" w:space="0" w:color="auto"/>
            </w:tcBorders>
            <w:shd w:val="clear" w:color="000000" w:fill="DAE9F8"/>
            <w:vAlign w:val="center"/>
            <w:hideMark/>
          </w:tcPr>
          <w:p w14:paraId="7084F80E" w14:textId="77777777" w:rsidR="00094AA1" w:rsidRPr="00094AA1" w:rsidRDefault="00094AA1" w:rsidP="00094AA1">
            <w:pPr>
              <w:rPr>
                <w:rFonts w:eastAsia="Times New Roman"/>
                <w:b/>
                <w:bCs/>
                <w:color w:val="404040"/>
                <w:sz w:val="24"/>
                <w:szCs w:val="24"/>
                <w:lang w:val="en-US" w:eastAsia="zh-TW"/>
              </w:rPr>
            </w:pPr>
            <w:r w:rsidRPr="00094AA1">
              <w:rPr>
                <w:rFonts w:eastAsia="Times New Roman"/>
                <w:b/>
                <w:bCs/>
                <w:color w:val="404040"/>
                <w:sz w:val="24"/>
                <w:szCs w:val="24"/>
                <w:lang w:val="en-US" w:eastAsia="zh-TW"/>
              </w:rPr>
              <w:t>Revenue Growth Rate</w:t>
            </w:r>
          </w:p>
        </w:tc>
        <w:tc>
          <w:tcPr>
            <w:tcW w:w="1140" w:type="dxa"/>
            <w:tcBorders>
              <w:top w:val="nil"/>
              <w:left w:val="nil"/>
              <w:bottom w:val="single" w:sz="4" w:space="0" w:color="auto"/>
              <w:right w:val="single" w:sz="4" w:space="0" w:color="auto"/>
            </w:tcBorders>
            <w:shd w:val="clear" w:color="000000" w:fill="DAE9F8"/>
            <w:vAlign w:val="center"/>
            <w:hideMark/>
          </w:tcPr>
          <w:p w14:paraId="382D3197"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-4.5%</w:t>
            </w:r>
          </w:p>
        </w:tc>
        <w:tc>
          <w:tcPr>
            <w:tcW w:w="1100" w:type="dxa"/>
            <w:tcBorders>
              <w:top w:val="nil"/>
              <w:left w:val="nil"/>
              <w:bottom w:val="single" w:sz="4" w:space="0" w:color="auto"/>
              <w:right w:val="single" w:sz="4" w:space="0" w:color="auto"/>
            </w:tcBorders>
            <w:shd w:val="clear" w:color="000000" w:fill="DAE9F8"/>
            <w:vAlign w:val="center"/>
            <w:hideMark/>
          </w:tcPr>
          <w:p w14:paraId="38D4351D"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-14.8%</w:t>
            </w:r>
          </w:p>
        </w:tc>
        <w:tc>
          <w:tcPr>
            <w:tcW w:w="1100" w:type="dxa"/>
            <w:tcBorders>
              <w:top w:val="nil"/>
              <w:left w:val="nil"/>
              <w:bottom w:val="single" w:sz="4" w:space="0" w:color="auto"/>
              <w:right w:val="single" w:sz="4" w:space="0" w:color="auto"/>
            </w:tcBorders>
            <w:shd w:val="clear" w:color="000000" w:fill="DAE9F8"/>
            <w:vAlign w:val="center"/>
            <w:hideMark/>
          </w:tcPr>
          <w:p w14:paraId="40066969"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2.6%</w:t>
            </w:r>
          </w:p>
        </w:tc>
        <w:tc>
          <w:tcPr>
            <w:tcW w:w="1100" w:type="dxa"/>
            <w:tcBorders>
              <w:top w:val="nil"/>
              <w:left w:val="nil"/>
              <w:bottom w:val="single" w:sz="4" w:space="0" w:color="auto"/>
              <w:right w:val="single" w:sz="4" w:space="0" w:color="auto"/>
            </w:tcBorders>
            <w:shd w:val="clear" w:color="000000" w:fill="DAE9F8"/>
            <w:vAlign w:val="center"/>
            <w:hideMark/>
          </w:tcPr>
          <w:p w14:paraId="5106ACBF"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-1.2%</w:t>
            </w:r>
          </w:p>
        </w:tc>
        <w:tc>
          <w:tcPr>
            <w:tcW w:w="1100" w:type="dxa"/>
            <w:tcBorders>
              <w:top w:val="nil"/>
              <w:left w:val="nil"/>
              <w:bottom w:val="single" w:sz="4" w:space="0" w:color="auto"/>
              <w:right w:val="single" w:sz="4" w:space="0" w:color="auto"/>
            </w:tcBorders>
            <w:shd w:val="clear" w:color="000000" w:fill="DAE9F8"/>
            <w:vAlign w:val="center"/>
            <w:hideMark/>
          </w:tcPr>
          <w:p w14:paraId="081DFFCB"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2.5%</w:t>
            </w:r>
          </w:p>
        </w:tc>
        <w:tc>
          <w:tcPr>
            <w:tcW w:w="1100" w:type="dxa"/>
            <w:tcBorders>
              <w:top w:val="nil"/>
              <w:left w:val="nil"/>
              <w:bottom w:val="single" w:sz="4" w:space="0" w:color="auto"/>
              <w:right w:val="single" w:sz="4" w:space="0" w:color="auto"/>
            </w:tcBorders>
            <w:shd w:val="clear" w:color="000000" w:fill="DAE9F8"/>
            <w:vAlign w:val="center"/>
            <w:hideMark/>
          </w:tcPr>
          <w:p w14:paraId="01EAD183"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-0.9%</w:t>
            </w:r>
          </w:p>
        </w:tc>
      </w:tr>
      <w:tr w:rsidR="00094AA1" w:rsidRPr="00094AA1" w14:paraId="625042DB" w14:textId="77777777" w:rsidTr="00094AA1">
        <w:trPr>
          <w:trHeight w:val="290"/>
        </w:trPr>
        <w:tc>
          <w:tcPr>
            <w:tcW w:w="2160" w:type="dxa"/>
            <w:tcBorders>
              <w:top w:val="nil"/>
              <w:left w:val="single" w:sz="4" w:space="0" w:color="auto"/>
              <w:bottom w:val="single" w:sz="4" w:space="0" w:color="auto"/>
              <w:right w:val="single" w:sz="4" w:space="0" w:color="auto"/>
            </w:tcBorders>
            <w:shd w:val="clear" w:color="000000" w:fill="DAE9F8"/>
            <w:vAlign w:val="center"/>
            <w:hideMark/>
          </w:tcPr>
          <w:p w14:paraId="0E2E8254" w14:textId="77777777" w:rsidR="00094AA1" w:rsidRPr="00094AA1" w:rsidRDefault="00094AA1" w:rsidP="00094AA1">
            <w:pPr>
              <w:rPr>
                <w:rFonts w:eastAsia="Times New Roman"/>
                <w:b/>
                <w:bCs/>
                <w:color w:val="404040"/>
                <w:sz w:val="24"/>
                <w:szCs w:val="24"/>
                <w:lang w:val="en-US" w:eastAsia="zh-TW"/>
              </w:rPr>
            </w:pPr>
            <w:r w:rsidRPr="00094AA1">
              <w:rPr>
                <w:rFonts w:eastAsia="Times New Roman"/>
                <w:b/>
                <w:bCs/>
                <w:color w:val="404040"/>
                <w:sz w:val="24"/>
                <w:szCs w:val="24"/>
                <w:lang w:val="en-US" w:eastAsia="zh-TW"/>
              </w:rPr>
              <w:t>Asset Growth Rate</w:t>
            </w:r>
          </w:p>
        </w:tc>
        <w:tc>
          <w:tcPr>
            <w:tcW w:w="1140" w:type="dxa"/>
            <w:tcBorders>
              <w:top w:val="nil"/>
              <w:left w:val="nil"/>
              <w:bottom w:val="single" w:sz="4" w:space="0" w:color="auto"/>
              <w:right w:val="single" w:sz="4" w:space="0" w:color="auto"/>
            </w:tcBorders>
            <w:shd w:val="clear" w:color="000000" w:fill="DAE9F8"/>
            <w:vAlign w:val="center"/>
            <w:hideMark/>
          </w:tcPr>
          <w:p w14:paraId="294A8F15"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-14.5%</w:t>
            </w:r>
          </w:p>
        </w:tc>
        <w:tc>
          <w:tcPr>
            <w:tcW w:w="1100" w:type="dxa"/>
            <w:tcBorders>
              <w:top w:val="nil"/>
              <w:left w:val="nil"/>
              <w:bottom w:val="single" w:sz="4" w:space="0" w:color="auto"/>
              <w:right w:val="single" w:sz="4" w:space="0" w:color="auto"/>
            </w:tcBorders>
            <w:shd w:val="clear" w:color="000000" w:fill="DAE9F8"/>
            <w:vAlign w:val="center"/>
            <w:hideMark/>
          </w:tcPr>
          <w:p w14:paraId="2C5FE5CE"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-17.9%</w:t>
            </w:r>
          </w:p>
        </w:tc>
        <w:tc>
          <w:tcPr>
            <w:tcW w:w="1100" w:type="dxa"/>
            <w:tcBorders>
              <w:top w:val="nil"/>
              <w:left w:val="nil"/>
              <w:bottom w:val="single" w:sz="4" w:space="0" w:color="auto"/>
              <w:right w:val="single" w:sz="4" w:space="0" w:color="auto"/>
            </w:tcBorders>
            <w:shd w:val="clear" w:color="000000" w:fill="DAE9F8"/>
            <w:vAlign w:val="center"/>
            <w:hideMark/>
          </w:tcPr>
          <w:p w14:paraId="75FFED1E"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-18.2%</w:t>
            </w:r>
          </w:p>
        </w:tc>
        <w:tc>
          <w:tcPr>
            <w:tcW w:w="1100" w:type="dxa"/>
            <w:tcBorders>
              <w:top w:val="nil"/>
              <w:left w:val="nil"/>
              <w:bottom w:val="single" w:sz="4" w:space="0" w:color="auto"/>
              <w:right w:val="single" w:sz="4" w:space="0" w:color="auto"/>
            </w:tcBorders>
            <w:shd w:val="clear" w:color="000000" w:fill="DAE9F8"/>
            <w:vAlign w:val="center"/>
            <w:hideMark/>
          </w:tcPr>
          <w:p w14:paraId="76389D91"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-6.2%</w:t>
            </w:r>
          </w:p>
        </w:tc>
        <w:tc>
          <w:tcPr>
            <w:tcW w:w="1100" w:type="dxa"/>
            <w:tcBorders>
              <w:top w:val="nil"/>
              <w:left w:val="nil"/>
              <w:bottom w:val="single" w:sz="4" w:space="0" w:color="auto"/>
              <w:right w:val="single" w:sz="4" w:space="0" w:color="auto"/>
            </w:tcBorders>
            <w:shd w:val="clear" w:color="000000" w:fill="DAE9F8"/>
            <w:vAlign w:val="center"/>
            <w:hideMark/>
          </w:tcPr>
          <w:p w14:paraId="7501C5AC"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-4.3%</w:t>
            </w:r>
          </w:p>
        </w:tc>
        <w:tc>
          <w:tcPr>
            <w:tcW w:w="1100" w:type="dxa"/>
            <w:tcBorders>
              <w:top w:val="nil"/>
              <w:left w:val="nil"/>
              <w:bottom w:val="single" w:sz="4" w:space="0" w:color="auto"/>
              <w:right w:val="single" w:sz="4" w:space="0" w:color="auto"/>
            </w:tcBorders>
            <w:shd w:val="clear" w:color="000000" w:fill="DAE9F8"/>
            <w:vAlign w:val="center"/>
            <w:hideMark/>
          </w:tcPr>
          <w:p w14:paraId="60095D61"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-6.7%</w:t>
            </w:r>
          </w:p>
        </w:tc>
      </w:tr>
      <w:tr w:rsidR="00094AA1" w:rsidRPr="00094AA1" w14:paraId="71791352" w14:textId="77777777" w:rsidTr="00094AA1">
        <w:trPr>
          <w:trHeight w:val="290"/>
        </w:trPr>
        <w:tc>
          <w:tcPr>
            <w:tcW w:w="2160" w:type="dxa"/>
            <w:tcBorders>
              <w:top w:val="nil"/>
              <w:left w:val="single" w:sz="4" w:space="0" w:color="auto"/>
              <w:bottom w:val="single" w:sz="4" w:space="0" w:color="auto"/>
              <w:right w:val="single" w:sz="4" w:space="0" w:color="auto"/>
            </w:tcBorders>
            <w:shd w:val="clear" w:color="000000" w:fill="DAE9F8"/>
            <w:vAlign w:val="center"/>
            <w:hideMark/>
          </w:tcPr>
          <w:p w14:paraId="3C21A59F" w14:textId="77777777" w:rsidR="00094AA1" w:rsidRPr="00094AA1" w:rsidRDefault="00094AA1" w:rsidP="00094AA1">
            <w:pPr>
              <w:rPr>
                <w:rFonts w:eastAsia="Times New Roman"/>
                <w:b/>
                <w:bCs/>
                <w:color w:val="404040"/>
                <w:sz w:val="24"/>
                <w:szCs w:val="24"/>
                <w:lang w:val="en-US" w:eastAsia="zh-TW"/>
              </w:rPr>
            </w:pPr>
            <w:r w:rsidRPr="00094AA1">
              <w:rPr>
                <w:rFonts w:eastAsia="Times New Roman"/>
                <w:b/>
                <w:bCs/>
                <w:color w:val="404040"/>
                <w:sz w:val="24"/>
                <w:szCs w:val="24"/>
                <w:lang w:val="en-US" w:eastAsia="zh-TW"/>
              </w:rPr>
              <w:t>Retained Earnings Growth</w:t>
            </w:r>
          </w:p>
        </w:tc>
        <w:tc>
          <w:tcPr>
            <w:tcW w:w="1140" w:type="dxa"/>
            <w:tcBorders>
              <w:top w:val="nil"/>
              <w:left w:val="nil"/>
              <w:bottom w:val="single" w:sz="4" w:space="0" w:color="auto"/>
              <w:right w:val="single" w:sz="4" w:space="0" w:color="auto"/>
            </w:tcBorders>
            <w:shd w:val="clear" w:color="000000" w:fill="DAE9F8"/>
            <w:vAlign w:val="center"/>
            <w:hideMark/>
          </w:tcPr>
          <w:p w14:paraId="71DBAB56"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-9.1%</w:t>
            </w:r>
          </w:p>
        </w:tc>
        <w:tc>
          <w:tcPr>
            <w:tcW w:w="1100" w:type="dxa"/>
            <w:tcBorders>
              <w:top w:val="nil"/>
              <w:left w:val="nil"/>
              <w:bottom w:val="single" w:sz="4" w:space="0" w:color="auto"/>
              <w:right w:val="single" w:sz="4" w:space="0" w:color="auto"/>
            </w:tcBorders>
            <w:shd w:val="clear" w:color="000000" w:fill="DAE9F8"/>
            <w:vAlign w:val="center"/>
            <w:hideMark/>
          </w:tcPr>
          <w:p w14:paraId="1348F5A3"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-4.2%</w:t>
            </w:r>
          </w:p>
        </w:tc>
        <w:tc>
          <w:tcPr>
            <w:tcW w:w="1100" w:type="dxa"/>
            <w:tcBorders>
              <w:top w:val="nil"/>
              <w:left w:val="nil"/>
              <w:bottom w:val="single" w:sz="4" w:space="0" w:color="auto"/>
              <w:right w:val="single" w:sz="4" w:space="0" w:color="auto"/>
            </w:tcBorders>
            <w:shd w:val="clear" w:color="000000" w:fill="DAE9F8"/>
            <w:vAlign w:val="center"/>
            <w:hideMark/>
          </w:tcPr>
          <w:p w14:paraId="71041733"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15.5%</w:t>
            </w:r>
          </w:p>
        </w:tc>
        <w:tc>
          <w:tcPr>
            <w:tcW w:w="1100" w:type="dxa"/>
            <w:tcBorders>
              <w:top w:val="nil"/>
              <w:left w:val="nil"/>
              <w:bottom w:val="single" w:sz="4" w:space="0" w:color="auto"/>
              <w:right w:val="single" w:sz="4" w:space="0" w:color="auto"/>
            </w:tcBorders>
            <w:shd w:val="clear" w:color="000000" w:fill="DAE9F8"/>
            <w:vAlign w:val="center"/>
            <w:hideMark/>
          </w:tcPr>
          <w:p w14:paraId="44FAE714"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-1.6%</w:t>
            </w:r>
          </w:p>
        </w:tc>
        <w:tc>
          <w:tcPr>
            <w:tcW w:w="1100" w:type="dxa"/>
            <w:tcBorders>
              <w:top w:val="nil"/>
              <w:left w:val="nil"/>
              <w:bottom w:val="single" w:sz="4" w:space="0" w:color="auto"/>
              <w:right w:val="single" w:sz="4" w:space="0" w:color="auto"/>
            </w:tcBorders>
            <w:shd w:val="clear" w:color="000000" w:fill="DAE9F8"/>
            <w:vAlign w:val="center"/>
            <w:hideMark/>
          </w:tcPr>
          <w:p w14:paraId="687FC54D"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-5.1%</w:t>
            </w:r>
          </w:p>
        </w:tc>
        <w:tc>
          <w:tcPr>
            <w:tcW w:w="1100" w:type="dxa"/>
            <w:tcBorders>
              <w:top w:val="nil"/>
              <w:left w:val="nil"/>
              <w:bottom w:val="single" w:sz="4" w:space="0" w:color="auto"/>
              <w:right w:val="single" w:sz="4" w:space="0" w:color="auto"/>
            </w:tcBorders>
            <w:shd w:val="clear" w:color="000000" w:fill="DAE9F8"/>
            <w:vAlign w:val="center"/>
            <w:hideMark/>
          </w:tcPr>
          <w:p w14:paraId="08C10F6A"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-6.7%</w:t>
            </w:r>
          </w:p>
        </w:tc>
      </w:tr>
      <w:tr w:rsidR="00094AA1" w:rsidRPr="00094AA1" w14:paraId="3070CAF5" w14:textId="77777777" w:rsidTr="00094AA1">
        <w:trPr>
          <w:trHeight w:val="290"/>
        </w:trPr>
        <w:tc>
          <w:tcPr>
            <w:tcW w:w="2160" w:type="dxa"/>
            <w:tcBorders>
              <w:top w:val="nil"/>
              <w:left w:val="single" w:sz="4" w:space="0" w:color="auto"/>
              <w:bottom w:val="single" w:sz="4" w:space="0" w:color="auto"/>
              <w:right w:val="single" w:sz="4" w:space="0" w:color="auto"/>
            </w:tcBorders>
            <w:shd w:val="clear" w:color="000000" w:fill="DAE9F8"/>
            <w:vAlign w:val="center"/>
            <w:hideMark/>
          </w:tcPr>
          <w:p w14:paraId="4CE72B5F" w14:textId="77777777" w:rsidR="00094AA1" w:rsidRPr="00094AA1" w:rsidRDefault="00094AA1" w:rsidP="00094AA1">
            <w:pPr>
              <w:rPr>
                <w:rFonts w:eastAsia="Times New Roman"/>
                <w:b/>
                <w:bCs/>
                <w:color w:val="404040"/>
                <w:sz w:val="24"/>
                <w:szCs w:val="24"/>
                <w:lang w:val="en-US" w:eastAsia="zh-TW"/>
              </w:rPr>
            </w:pPr>
            <w:r w:rsidRPr="00094AA1">
              <w:rPr>
                <w:rFonts w:eastAsia="Times New Roman"/>
                <w:b/>
                <w:bCs/>
                <w:color w:val="404040"/>
                <w:sz w:val="24"/>
                <w:szCs w:val="24"/>
                <w:lang w:val="en-US" w:eastAsia="zh-TW"/>
              </w:rPr>
              <w:t>Return on Equity (ROE)</w:t>
            </w:r>
          </w:p>
        </w:tc>
        <w:tc>
          <w:tcPr>
            <w:tcW w:w="1140" w:type="dxa"/>
            <w:tcBorders>
              <w:top w:val="nil"/>
              <w:left w:val="nil"/>
              <w:bottom w:val="single" w:sz="4" w:space="0" w:color="auto"/>
              <w:right w:val="single" w:sz="4" w:space="0" w:color="auto"/>
            </w:tcBorders>
            <w:shd w:val="clear" w:color="000000" w:fill="DAE9F8"/>
            <w:vAlign w:val="center"/>
            <w:hideMark/>
          </w:tcPr>
          <w:p w14:paraId="5B77BBA5"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1.9%</w:t>
            </w:r>
          </w:p>
        </w:tc>
        <w:tc>
          <w:tcPr>
            <w:tcW w:w="1100" w:type="dxa"/>
            <w:tcBorders>
              <w:top w:val="nil"/>
              <w:left w:val="nil"/>
              <w:bottom w:val="single" w:sz="4" w:space="0" w:color="auto"/>
              <w:right w:val="single" w:sz="4" w:space="0" w:color="auto"/>
            </w:tcBorders>
            <w:shd w:val="clear" w:color="000000" w:fill="DAE9F8"/>
            <w:vAlign w:val="center"/>
            <w:hideMark/>
          </w:tcPr>
          <w:p w14:paraId="1B668482"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5.1%</w:t>
            </w:r>
          </w:p>
        </w:tc>
        <w:tc>
          <w:tcPr>
            <w:tcW w:w="1100" w:type="dxa"/>
            <w:tcBorders>
              <w:top w:val="nil"/>
              <w:left w:val="nil"/>
              <w:bottom w:val="single" w:sz="4" w:space="0" w:color="auto"/>
              <w:right w:val="single" w:sz="4" w:space="0" w:color="auto"/>
            </w:tcBorders>
            <w:shd w:val="clear" w:color="000000" w:fill="DAE9F8"/>
            <w:vAlign w:val="center"/>
            <w:hideMark/>
          </w:tcPr>
          <w:p w14:paraId="46F6215A"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11.3%</w:t>
            </w:r>
          </w:p>
        </w:tc>
        <w:tc>
          <w:tcPr>
            <w:tcW w:w="1100" w:type="dxa"/>
            <w:tcBorders>
              <w:top w:val="nil"/>
              <w:left w:val="nil"/>
              <w:bottom w:val="single" w:sz="4" w:space="0" w:color="auto"/>
              <w:right w:val="single" w:sz="4" w:space="0" w:color="auto"/>
            </w:tcBorders>
            <w:shd w:val="clear" w:color="000000" w:fill="DAE9F8"/>
            <w:vAlign w:val="center"/>
            <w:hideMark/>
          </w:tcPr>
          <w:p w14:paraId="6B6A6763"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5.4%</w:t>
            </w:r>
          </w:p>
        </w:tc>
        <w:tc>
          <w:tcPr>
            <w:tcW w:w="1100" w:type="dxa"/>
            <w:tcBorders>
              <w:top w:val="nil"/>
              <w:left w:val="nil"/>
              <w:bottom w:val="single" w:sz="4" w:space="0" w:color="auto"/>
              <w:right w:val="single" w:sz="4" w:space="0" w:color="auto"/>
            </w:tcBorders>
            <w:shd w:val="clear" w:color="000000" w:fill="DAE9F8"/>
            <w:vAlign w:val="center"/>
            <w:hideMark/>
          </w:tcPr>
          <w:p w14:paraId="6C0D3E2B"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6.7%</w:t>
            </w:r>
          </w:p>
        </w:tc>
        <w:tc>
          <w:tcPr>
            <w:tcW w:w="1100" w:type="dxa"/>
            <w:tcBorders>
              <w:top w:val="nil"/>
              <w:left w:val="nil"/>
              <w:bottom w:val="single" w:sz="4" w:space="0" w:color="auto"/>
              <w:right w:val="single" w:sz="4" w:space="0" w:color="auto"/>
            </w:tcBorders>
            <w:shd w:val="clear" w:color="000000" w:fill="DAE9F8"/>
            <w:vAlign w:val="center"/>
            <w:hideMark/>
          </w:tcPr>
          <w:p w14:paraId="5316E58A" w14:textId="77777777" w:rsidR="00094AA1" w:rsidRPr="00094AA1" w:rsidRDefault="00094AA1" w:rsidP="00094AA1">
            <w:pPr>
              <w:rPr>
                <w:rFonts w:eastAsia="Times New Roman"/>
                <w:color w:val="404040"/>
                <w:sz w:val="24"/>
                <w:szCs w:val="24"/>
                <w:lang w:val="en-US" w:eastAsia="zh-TW"/>
              </w:rPr>
            </w:pPr>
            <w:r w:rsidRPr="00094AA1">
              <w:rPr>
                <w:rFonts w:eastAsia="Times New Roman"/>
                <w:color w:val="404040"/>
                <w:sz w:val="24"/>
                <w:szCs w:val="24"/>
                <w:lang w:val="en-US" w:eastAsia="zh-TW"/>
              </w:rPr>
              <w:t>4.9%</w:t>
            </w:r>
          </w:p>
        </w:tc>
      </w:tr>
    </w:tbl>
    <w:p w14:paraId="02EF0300" w14:textId="77777777" w:rsidR="0047492B" w:rsidRDefault="0047492B" w:rsidP="00E262FC">
      <w:pPr>
        <w:spacing w:line="360" w:lineRule="auto"/>
        <w:rPr>
          <w:b/>
          <w:bCs/>
          <w:iCs/>
          <w:sz w:val="24"/>
          <w:szCs w:val="24"/>
          <w:lang w:val="en-US"/>
        </w:rPr>
      </w:pPr>
    </w:p>
    <w:p w14:paraId="2D2BB337" w14:textId="77777777" w:rsidR="00BB4F12" w:rsidRPr="00BB4F12" w:rsidRDefault="00BB4F12" w:rsidP="00BB4F12">
      <w:pPr>
        <w:spacing w:line="360" w:lineRule="auto"/>
        <w:rPr>
          <w:b/>
          <w:bCs/>
          <w:iCs/>
          <w:sz w:val="24"/>
          <w:szCs w:val="24"/>
          <w:lang w:val="en-US"/>
        </w:rPr>
      </w:pPr>
      <w:r w:rsidRPr="00BB4F12">
        <w:rPr>
          <w:b/>
          <w:bCs/>
          <w:iCs/>
          <w:sz w:val="24"/>
          <w:szCs w:val="24"/>
          <w:lang w:val="en-US"/>
        </w:rPr>
        <w:t>Revenue Growth:</w:t>
      </w:r>
      <w:r w:rsidRPr="00BB4F12">
        <w:rPr>
          <w:b/>
          <w:bCs/>
          <w:iCs/>
          <w:sz w:val="24"/>
          <w:szCs w:val="24"/>
          <w:lang w:val="en-US"/>
        </w:rPr>
        <w:br/>
      </w:r>
      <w:r w:rsidRPr="00BB4F12">
        <w:rPr>
          <w:iCs/>
          <w:sz w:val="24"/>
          <w:szCs w:val="24"/>
          <w:lang w:val="en-US"/>
        </w:rPr>
        <w:t xml:space="preserve">Tsui Wah showed the weakest revenue growth among its peers, with a decline of approximately -14.8% in 2023, followed by a partial recovery of +12.8% in 2024, resulting in a net negative growth over the three-year span. This underperformance contrasts with Tai Hing's consistent </w:t>
      </w:r>
      <w:proofErr w:type="gramStart"/>
      <w:r w:rsidRPr="00BB4F12">
        <w:rPr>
          <w:iCs/>
          <w:sz w:val="24"/>
          <w:szCs w:val="24"/>
          <w:lang w:val="en-US"/>
        </w:rPr>
        <w:t>positive growth</w:t>
      </w:r>
      <w:proofErr w:type="gramEnd"/>
      <w:r w:rsidRPr="00BB4F12">
        <w:rPr>
          <w:iCs/>
          <w:sz w:val="24"/>
          <w:szCs w:val="24"/>
          <w:lang w:val="en-US"/>
        </w:rPr>
        <w:t xml:space="preserve"> nearing 2.5% in 2024, indicating Tsui Wah's relative market share loss and competitive disadvantage in the highly competitive F&amp;B sector.</w:t>
      </w:r>
    </w:p>
    <w:p w14:paraId="00870B44" w14:textId="77777777" w:rsidR="00BB4F12" w:rsidRPr="00BB4F12" w:rsidRDefault="00BB4F12" w:rsidP="00BB4F12">
      <w:pPr>
        <w:spacing w:line="360" w:lineRule="auto"/>
        <w:rPr>
          <w:iCs/>
          <w:sz w:val="24"/>
          <w:szCs w:val="24"/>
          <w:lang w:val="en-US"/>
        </w:rPr>
      </w:pPr>
      <w:r w:rsidRPr="00BB4F12">
        <w:rPr>
          <w:b/>
          <w:bCs/>
          <w:iCs/>
          <w:sz w:val="24"/>
          <w:szCs w:val="24"/>
          <w:lang w:val="en-US"/>
        </w:rPr>
        <w:t>Asset Growth:</w:t>
      </w:r>
      <w:r w:rsidRPr="00BB4F12">
        <w:rPr>
          <w:b/>
          <w:bCs/>
          <w:iCs/>
          <w:sz w:val="24"/>
          <w:szCs w:val="24"/>
          <w:lang w:val="en-US"/>
        </w:rPr>
        <w:br/>
      </w:r>
      <w:r w:rsidRPr="00BB4F12">
        <w:rPr>
          <w:iCs/>
          <w:sz w:val="24"/>
          <w:szCs w:val="24"/>
          <w:lang w:val="en-US"/>
        </w:rPr>
        <w:t>The company’s assets contracted significantly with negative growth rates of approximately -17.9% in 2023 and -14.5% in 2024, reflecting strategic contraction, asset optimization efforts, and possibly store closures. This downturn points to limited expansion capacity compared to peers who have more moderate asset declines.</w:t>
      </w:r>
    </w:p>
    <w:p w14:paraId="57C7F1B7" w14:textId="77777777" w:rsidR="00BB4F12" w:rsidRPr="00BB4F12" w:rsidRDefault="00BB4F12" w:rsidP="00BB4F12">
      <w:pPr>
        <w:spacing w:line="360" w:lineRule="auto"/>
        <w:rPr>
          <w:iCs/>
          <w:sz w:val="24"/>
          <w:szCs w:val="24"/>
          <w:lang w:val="en-US"/>
        </w:rPr>
      </w:pPr>
      <w:r w:rsidRPr="00BB4F12">
        <w:rPr>
          <w:iCs/>
          <w:sz w:val="24"/>
          <w:szCs w:val="24"/>
          <w:lang w:val="en-US"/>
        </w:rPr>
        <w:t>Retained Earnings Growth:</w:t>
      </w:r>
      <w:r w:rsidRPr="00BB4F12">
        <w:rPr>
          <w:iCs/>
          <w:sz w:val="24"/>
          <w:szCs w:val="24"/>
          <w:lang w:val="en-US"/>
        </w:rPr>
        <w:br/>
        <w:t>Retained earnings followed a declining trend, with a reduction of approximately -9.1% in 2024, mirroring pressures on profitability and an inability to accumulate retained capital effectively.</w:t>
      </w:r>
    </w:p>
    <w:p w14:paraId="2C90D44C" w14:textId="77777777" w:rsidR="00BB4F12" w:rsidRPr="00BB4F12" w:rsidRDefault="00BB4F12" w:rsidP="00BB4F12">
      <w:pPr>
        <w:spacing w:line="360" w:lineRule="auto"/>
        <w:rPr>
          <w:b/>
          <w:bCs/>
          <w:iCs/>
          <w:sz w:val="24"/>
          <w:szCs w:val="24"/>
          <w:lang w:val="en-US"/>
        </w:rPr>
      </w:pPr>
      <w:r w:rsidRPr="00BB4F12">
        <w:rPr>
          <w:b/>
          <w:bCs/>
          <w:iCs/>
          <w:sz w:val="24"/>
          <w:szCs w:val="24"/>
          <w:lang w:val="en-US"/>
        </w:rPr>
        <w:t>Return on Equity (ROE):</w:t>
      </w:r>
      <w:r w:rsidRPr="00BB4F12">
        <w:rPr>
          <w:b/>
          <w:bCs/>
          <w:iCs/>
          <w:sz w:val="24"/>
          <w:szCs w:val="24"/>
          <w:lang w:val="en-US"/>
        </w:rPr>
        <w:br/>
      </w:r>
      <w:r w:rsidRPr="00BB4F12">
        <w:rPr>
          <w:iCs/>
          <w:sz w:val="24"/>
          <w:szCs w:val="24"/>
          <w:lang w:val="en-US"/>
        </w:rPr>
        <w:t>ROE dropped from 11.3% in 2022 to a mere 1.9% in 2024, which is significantly below the industry average of 4.9% and peer company levels, highlighting diminished shareholder returns and weakened financial performance.</w:t>
      </w:r>
    </w:p>
    <w:p w14:paraId="4B2D2C3E" w14:textId="77777777" w:rsidR="00BB4F12" w:rsidRPr="00BB4F12" w:rsidRDefault="00BB4F12" w:rsidP="00BB4F12">
      <w:pPr>
        <w:spacing w:line="360" w:lineRule="auto"/>
        <w:rPr>
          <w:iCs/>
          <w:sz w:val="24"/>
          <w:szCs w:val="24"/>
          <w:lang w:val="en-US"/>
        </w:rPr>
      </w:pPr>
      <w:r w:rsidRPr="00BB4F12">
        <w:rPr>
          <w:b/>
          <w:bCs/>
          <w:iCs/>
          <w:sz w:val="24"/>
          <w:szCs w:val="24"/>
          <w:lang w:val="en-US"/>
        </w:rPr>
        <w:t>Growth Capacity Summary:</w:t>
      </w:r>
      <w:r w:rsidRPr="00BB4F12">
        <w:rPr>
          <w:b/>
          <w:bCs/>
          <w:iCs/>
          <w:sz w:val="24"/>
          <w:szCs w:val="24"/>
          <w:lang w:val="en-US"/>
        </w:rPr>
        <w:br/>
      </w:r>
      <w:r w:rsidRPr="00BB4F12">
        <w:rPr>
          <w:iCs/>
          <w:sz w:val="24"/>
          <w:szCs w:val="24"/>
          <w:lang w:val="en-US"/>
        </w:rPr>
        <w:t xml:space="preserve">Overall, Tsui Wah’s growth capacity is significantly behind industry peers, with key financial indicators underscoring challenges in revenue generation, asset utilization, and shareholder </w:t>
      </w:r>
      <w:r w:rsidRPr="00BB4F12">
        <w:rPr>
          <w:iCs/>
          <w:sz w:val="24"/>
          <w:szCs w:val="24"/>
          <w:lang w:val="en-US"/>
        </w:rPr>
        <w:lastRenderedPageBreak/>
        <w:t>value creation. Substantial strategic and operational improvements are needed to bolster growth potential and regain competitive strength.</w:t>
      </w:r>
    </w:p>
    <w:p w14:paraId="3506BB54" w14:textId="77777777" w:rsidR="0047492B" w:rsidRDefault="0047492B" w:rsidP="00E262FC">
      <w:pPr>
        <w:spacing w:line="360" w:lineRule="auto"/>
        <w:rPr>
          <w:b/>
          <w:bCs/>
          <w:iCs/>
          <w:sz w:val="24"/>
          <w:szCs w:val="24"/>
          <w:lang w:val="en-US"/>
        </w:rPr>
      </w:pPr>
    </w:p>
    <w:p w14:paraId="7D5ED4F4" w14:textId="7AD769E7" w:rsidR="00E9270B" w:rsidRPr="00937F54" w:rsidRDefault="00E9270B" w:rsidP="00E262FC">
      <w:pPr>
        <w:spacing w:line="360" w:lineRule="auto"/>
        <w:rPr>
          <w:b/>
          <w:bCs/>
          <w:iCs/>
          <w:sz w:val="24"/>
          <w:szCs w:val="24"/>
          <w:lang w:val="en-US"/>
        </w:rPr>
      </w:pPr>
      <w:r w:rsidRPr="00937F54">
        <w:rPr>
          <w:b/>
          <w:bCs/>
          <w:iCs/>
          <w:sz w:val="24"/>
          <w:szCs w:val="24"/>
          <w:lang w:val="en-US"/>
        </w:rPr>
        <w:t>2.7 Stock Market Performance Analysis</w:t>
      </w:r>
    </w:p>
    <w:tbl>
      <w:tblPr>
        <w:tblW w:w="9355" w:type="dxa"/>
        <w:tblLook w:val="04A0" w:firstRow="1" w:lastRow="0" w:firstColumn="1" w:lastColumn="0" w:noHBand="0" w:noVBand="1"/>
      </w:tblPr>
      <w:tblGrid>
        <w:gridCol w:w="2965"/>
        <w:gridCol w:w="990"/>
        <w:gridCol w:w="900"/>
        <w:gridCol w:w="973"/>
        <w:gridCol w:w="1203"/>
        <w:gridCol w:w="1214"/>
        <w:gridCol w:w="1110"/>
      </w:tblGrid>
      <w:tr w:rsidR="00A657F2" w:rsidRPr="00937F54" w14:paraId="722061DD" w14:textId="77777777" w:rsidTr="00A657F2">
        <w:trPr>
          <w:trHeight w:val="290"/>
        </w:trPr>
        <w:tc>
          <w:tcPr>
            <w:tcW w:w="2965" w:type="dxa"/>
            <w:tcBorders>
              <w:top w:val="single" w:sz="4" w:space="0" w:color="auto"/>
              <w:left w:val="single" w:sz="4" w:space="0" w:color="auto"/>
              <w:bottom w:val="single" w:sz="4" w:space="0" w:color="auto"/>
              <w:right w:val="single" w:sz="4" w:space="0" w:color="auto"/>
            </w:tcBorders>
            <w:shd w:val="clear" w:color="000000" w:fill="DAE9F8"/>
            <w:vAlign w:val="center"/>
            <w:hideMark/>
          </w:tcPr>
          <w:p w14:paraId="69AF57D7" w14:textId="77777777" w:rsidR="00A657F2" w:rsidRPr="00937F54" w:rsidRDefault="00A657F2"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Company Name</w:t>
            </w:r>
          </w:p>
        </w:tc>
        <w:tc>
          <w:tcPr>
            <w:tcW w:w="2863" w:type="dxa"/>
            <w:gridSpan w:val="3"/>
            <w:tcBorders>
              <w:top w:val="single" w:sz="4" w:space="0" w:color="auto"/>
              <w:left w:val="nil"/>
              <w:bottom w:val="single" w:sz="4" w:space="0" w:color="auto"/>
              <w:right w:val="single" w:sz="4" w:space="0" w:color="000000"/>
            </w:tcBorders>
            <w:shd w:val="clear" w:color="000000" w:fill="DAE9F8"/>
            <w:vAlign w:val="center"/>
            <w:hideMark/>
          </w:tcPr>
          <w:p w14:paraId="06C9CAEB" w14:textId="77777777" w:rsidR="00A657F2" w:rsidRPr="00937F54" w:rsidRDefault="00A657F2" w:rsidP="00E262FC">
            <w:pPr>
              <w:spacing w:line="360" w:lineRule="auto"/>
              <w:jc w:val="center"/>
              <w:rPr>
                <w:rFonts w:eastAsia="Times New Roman"/>
                <w:b/>
                <w:bCs/>
                <w:color w:val="404040"/>
                <w:sz w:val="24"/>
                <w:szCs w:val="24"/>
                <w:lang w:val="en-US" w:eastAsia="zh-TW"/>
              </w:rPr>
            </w:pPr>
            <w:r w:rsidRPr="00937F54">
              <w:rPr>
                <w:rFonts w:eastAsia="Times New Roman"/>
                <w:b/>
                <w:bCs/>
                <w:color w:val="404040"/>
                <w:sz w:val="24"/>
                <w:szCs w:val="24"/>
                <w:lang w:val="en-US" w:eastAsia="zh-TW"/>
              </w:rPr>
              <w:t>Tsui Wah</w:t>
            </w:r>
          </w:p>
        </w:tc>
        <w:tc>
          <w:tcPr>
            <w:tcW w:w="1203" w:type="dxa"/>
            <w:tcBorders>
              <w:top w:val="single" w:sz="4" w:space="0" w:color="auto"/>
              <w:left w:val="nil"/>
              <w:bottom w:val="single" w:sz="4" w:space="0" w:color="auto"/>
              <w:right w:val="single" w:sz="4" w:space="0" w:color="auto"/>
            </w:tcBorders>
            <w:shd w:val="clear" w:color="000000" w:fill="DAE9F8"/>
            <w:vAlign w:val="center"/>
            <w:hideMark/>
          </w:tcPr>
          <w:p w14:paraId="067A5DDC" w14:textId="77777777" w:rsidR="00A657F2" w:rsidRPr="00937F54" w:rsidRDefault="00A657F2"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Fairwood</w:t>
            </w:r>
          </w:p>
        </w:tc>
        <w:tc>
          <w:tcPr>
            <w:tcW w:w="1214" w:type="dxa"/>
            <w:tcBorders>
              <w:top w:val="single" w:sz="4" w:space="0" w:color="auto"/>
              <w:left w:val="nil"/>
              <w:bottom w:val="single" w:sz="4" w:space="0" w:color="auto"/>
              <w:right w:val="single" w:sz="4" w:space="0" w:color="auto"/>
            </w:tcBorders>
            <w:shd w:val="clear" w:color="000000" w:fill="DAE9F8"/>
            <w:vAlign w:val="center"/>
            <w:hideMark/>
          </w:tcPr>
          <w:p w14:paraId="1F6F7526" w14:textId="77777777" w:rsidR="00A657F2" w:rsidRPr="00937F54" w:rsidRDefault="00A657F2"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Tai Hing</w:t>
            </w:r>
          </w:p>
        </w:tc>
        <w:tc>
          <w:tcPr>
            <w:tcW w:w="1110" w:type="dxa"/>
            <w:tcBorders>
              <w:top w:val="single" w:sz="4" w:space="0" w:color="auto"/>
              <w:left w:val="nil"/>
              <w:bottom w:val="single" w:sz="4" w:space="0" w:color="auto"/>
              <w:right w:val="single" w:sz="4" w:space="0" w:color="auto"/>
            </w:tcBorders>
            <w:shd w:val="clear" w:color="000000" w:fill="DAE9F8"/>
            <w:vAlign w:val="center"/>
            <w:hideMark/>
          </w:tcPr>
          <w:p w14:paraId="11EDFD70" w14:textId="77777777" w:rsidR="00A657F2" w:rsidRPr="00937F54" w:rsidRDefault="00A657F2"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Industry Avg</w:t>
            </w:r>
          </w:p>
        </w:tc>
      </w:tr>
      <w:tr w:rsidR="00A657F2" w:rsidRPr="00937F54" w14:paraId="1191D50C" w14:textId="77777777" w:rsidTr="00A657F2">
        <w:trPr>
          <w:trHeight w:val="290"/>
        </w:trPr>
        <w:tc>
          <w:tcPr>
            <w:tcW w:w="2965" w:type="dxa"/>
            <w:tcBorders>
              <w:top w:val="nil"/>
              <w:left w:val="single" w:sz="4" w:space="0" w:color="auto"/>
              <w:bottom w:val="single" w:sz="4" w:space="0" w:color="auto"/>
              <w:right w:val="single" w:sz="4" w:space="0" w:color="auto"/>
            </w:tcBorders>
            <w:shd w:val="clear" w:color="000000" w:fill="DAE9F8"/>
            <w:vAlign w:val="center"/>
            <w:hideMark/>
          </w:tcPr>
          <w:p w14:paraId="5F57539E" w14:textId="77777777" w:rsidR="00A657F2" w:rsidRPr="00937F54" w:rsidRDefault="00A657F2"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Year</w:t>
            </w:r>
          </w:p>
        </w:tc>
        <w:tc>
          <w:tcPr>
            <w:tcW w:w="990" w:type="dxa"/>
            <w:tcBorders>
              <w:top w:val="nil"/>
              <w:left w:val="nil"/>
              <w:bottom w:val="single" w:sz="4" w:space="0" w:color="auto"/>
              <w:right w:val="single" w:sz="4" w:space="0" w:color="auto"/>
            </w:tcBorders>
            <w:shd w:val="clear" w:color="000000" w:fill="DAE9F8"/>
            <w:vAlign w:val="center"/>
            <w:hideMark/>
          </w:tcPr>
          <w:p w14:paraId="342FC9D0" w14:textId="77777777" w:rsidR="00A657F2" w:rsidRPr="00937F54" w:rsidRDefault="00A657F2"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2024</w:t>
            </w:r>
          </w:p>
        </w:tc>
        <w:tc>
          <w:tcPr>
            <w:tcW w:w="900" w:type="dxa"/>
            <w:tcBorders>
              <w:top w:val="nil"/>
              <w:left w:val="nil"/>
              <w:bottom w:val="single" w:sz="4" w:space="0" w:color="auto"/>
              <w:right w:val="single" w:sz="4" w:space="0" w:color="auto"/>
            </w:tcBorders>
            <w:shd w:val="clear" w:color="000000" w:fill="DAE9F8"/>
            <w:vAlign w:val="center"/>
            <w:hideMark/>
          </w:tcPr>
          <w:p w14:paraId="285DFC3E" w14:textId="77777777" w:rsidR="00A657F2" w:rsidRPr="00937F54" w:rsidRDefault="00A657F2"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2023</w:t>
            </w:r>
          </w:p>
        </w:tc>
        <w:tc>
          <w:tcPr>
            <w:tcW w:w="973" w:type="dxa"/>
            <w:tcBorders>
              <w:top w:val="nil"/>
              <w:left w:val="nil"/>
              <w:bottom w:val="single" w:sz="4" w:space="0" w:color="auto"/>
              <w:right w:val="single" w:sz="4" w:space="0" w:color="auto"/>
            </w:tcBorders>
            <w:shd w:val="clear" w:color="000000" w:fill="DAE9F8"/>
            <w:vAlign w:val="center"/>
            <w:hideMark/>
          </w:tcPr>
          <w:p w14:paraId="38A29B88" w14:textId="77777777" w:rsidR="00A657F2" w:rsidRPr="00937F54" w:rsidRDefault="00A657F2"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2022</w:t>
            </w:r>
          </w:p>
        </w:tc>
        <w:tc>
          <w:tcPr>
            <w:tcW w:w="1203" w:type="dxa"/>
            <w:tcBorders>
              <w:top w:val="nil"/>
              <w:left w:val="nil"/>
              <w:bottom w:val="single" w:sz="4" w:space="0" w:color="auto"/>
              <w:right w:val="single" w:sz="4" w:space="0" w:color="auto"/>
            </w:tcBorders>
            <w:shd w:val="clear" w:color="000000" w:fill="DAE9F8"/>
            <w:vAlign w:val="center"/>
            <w:hideMark/>
          </w:tcPr>
          <w:p w14:paraId="51359569" w14:textId="77777777" w:rsidR="00A657F2" w:rsidRPr="00937F54" w:rsidRDefault="00A657F2"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2024</w:t>
            </w:r>
          </w:p>
        </w:tc>
        <w:tc>
          <w:tcPr>
            <w:tcW w:w="1214" w:type="dxa"/>
            <w:tcBorders>
              <w:top w:val="nil"/>
              <w:left w:val="nil"/>
              <w:bottom w:val="single" w:sz="4" w:space="0" w:color="auto"/>
              <w:right w:val="single" w:sz="4" w:space="0" w:color="auto"/>
            </w:tcBorders>
            <w:shd w:val="clear" w:color="000000" w:fill="DAE9F8"/>
            <w:vAlign w:val="center"/>
            <w:hideMark/>
          </w:tcPr>
          <w:p w14:paraId="0FB1B14B" w14:textId="77777777" w:rsidR="00A657F2" w:rsidRPr="00937F54" w:rsidRDefault="00A657F2"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2024</w:t>
            </w:r>
          </w:p>
        </w:tc>
        <w:tc>
          <w:tcPr>
            <w:tcW w:w="1110" w:type="dxa"/>
            <w:tcBorders>
              <w:top w:val="nil"/>
              <w:left w:val="nil"/>
              <w:bottom w:val="single" w:sz="4" w:space="0" w:color="auto"/>
              <w:right w:val="single" w:sz="4" w:space="0" w:color="auto"/>
            </w:tcBorders>
            <w:shd w:val="clear" w:color="000000" w:fill="DAE9F8"/>
            <w:vAlign w:val="center"/>
            <w:hideMark/>
          </w:tcPr>
          <w:p w14:paraId="2EEB3D0D" w14:textId="77777777" w:rsidR="00A657F2" w:rsidRPr="00937F54" w:rsidRDefault="00A657F2"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2024</w:t>
            </w:r>
          </w:p>
        </w:tc>
      </w:tr>
      <w:tr w:rsidR="00A657F2" w:rsidRPr="00937F54" w14:paraId="0D68A241" w14:textId="77777777" w:rsidTr="00A657F2">
        <w:trPr>
          <w:trHeight w:val="290"/>
        </w:trPr>
        <w:tc>
          <w:tcPr>
            <w:tcW w:w="2965" w:type="dxa"/>
            <w:tcBorders>
              <w:top w:val="nil"/>
              <w:left w:val="single" w:sz="4" w:space="0" w:color="auto"/>
              <w:bottom w:val="single" w:sz="4" w:space="0" w:color="auto"/>
              <w:right w:val="single" w:sz="4" w:space="0" w:color="auto"/>
            </w:tcBorders>
            <w:shd w:val="clear" w:color="000000" w:fill="DAE9F8"/>
            <w:vAlign w:val="center"/>
            <w:hideMark/>
          </w:tcPr>
          <w:p w14:paraId="22A6DF1D" w14:textId="77777777" w:rsidR="00A657F2" w:rsidRPr="00937F54" w:rsidRDefault="00A657F2"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Earnings per Share (HK$)</w:t>
            </w:r>
          </w:p>
        </w:tc>
        <w:tc>
          <w:tcPr>
            <w:tcW w:w="990" w:type="dxa"/>
            <w:tcBorders>
              <w:top w:val="nil"/>
              <w:left w:val="nil"/>
              <w:bottom w:val="single" w:sz="4" w:space="0" w:color="auto"/>
              <w:right w:val="single" w:sz="4" w:space="0" w:color="auto"/>
            </w:tcBorders>
            <w:shd w:val="clear" w:color="000000" w:fill="DAE9F8"/>
            <w:vAlign w:val="center"/>
            <w:hideMark/>
          </w:tcPr>
          <w:p w14:paraId="76CA2663"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0.009</w:t>
            </w:r>
          </w:p>
        </w:tc>
        <w:tc>
          <w:tcPr>
            <w:tcW w:w="900" w:type="dxa"/>
            <w:tcBorders>
              <w:top w:val="nil"/>
              <w:left w:val="nil"/>
              <w:bottom w:val="single" w:sz="4" w:space="0" w:color="auto"/>
              <w:right w:val="single" w:sz="4" w:space="0" w:color="auto"/>
            </w:tcBorders>
            <w:shd w:val="clear" w:color="000000" w:fill="DAE9F8"/>
            <w:vAlign w:val="center"/>
            <w:hideMark/>
          </w:tcPr>
          <w:p w14:paraId="442F8F69"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0.023</w:t>
            </w:r>
          </w:p>
        </w:tc>
        <w:tc>
          <w:tcPr>
            <w:tcW w:w="973" w:type="dxa"/>
            <w:tcBorders>
              <w:top w:val="nil"/>
              <w:left w:val="nil"/>
              <w:bottom w:val="single" w:sz="4" w:space="0" w:color="auto"/>
              <w:right w:val="single" w:sz="4" w:space="0" w:color="auto"/>
            </w:tcBorders>
            <w:shd w:val="clear" w:color="000000" w:fill="DAE9F8"/>
            <w:vAlign w:val="center"/>
            <w:hideMark/>
          </w:tcPr>
          <w:p w14:paraId="6F9D9B43"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0.055</w:t>
            </w:r>
          </w:p>
        </w:tc>
        <w:tc>
          <w:tcPr>
            <w:tcW w:w="1203" w:type="dxa"/>
            <w:tcBorders>
              <w:top w:val="nil"/>
              <w:left w:val="nil"/>
              <w:bottom w:val="single" w:sz="4" w:space="0" w:color="auto"/>
              <w:right w:val="single" w:sz="4" w:space="0" w:color="auto"/>
            </w:tcBorders>
            <w:shd w:val="clear" w:color="000000" w:fill="DAE9F8"/>
            <w:vAlign w:val="center"/>
            <w:hideMark/>
          </w:tcPr>
          <w:p w14:paraId="0C5A5DAB"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0.274</w:t>
            </w:r>
          </w:p>
        </w:tc>
        <w:tc>
          <w:tcPr>
            <w:tcW w:w="1214" w:type="dxa"/>
            <w:tcBorders>
              <w:top w:val="nil"/>
              <w:left w:val="nil"/>
              <w:bottom w:val="single" w:sz="4" w:space="0" w:color="auto"/>
              <w:right w:val="single" w:sz="4" w:space="0" w:color="auto"/>
            </w:tcBorders>
            <w:shd w:val="clear" w:color="000000" w:fill="DAE9F8"/>
            <w:vAlign w:val="center"/>
            <w:hideMark/>
          </w:tcPr>
          <w:p w14:paraId="01C81436"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0.062</w:t>
            </w:r>
          </w:p>
        </w:tc>
        <w:tc>
          <w:tcPr>
            <w:tcW w:w="1110" w:type="dxa"/>
            <w:tcBorders>
              <w:top w:val="nil"/>
              <w:left w:val="nil"/>
              <w:bottom w:val="single" w:sz="4" w:space="0" w:color="auto"/>
              <w:right w:val="single" w:sz="4" w:space="0" w:color="auto"/>
            </w:tcBorders>
            <w:shd w:val="clear" w:color="000000" w:fill="DAE9F8"/>
            <w:vAlign w:val="center"/>
            <w:hideMark/>
          </w:tcPr>
          <w:p w14:paraId="73BBF9BC"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0.115</w:t>
            </w:r>
          </w:p>
        </w:tc>
      </w:tr>
      <w:tr w:rsidR="00A657F2" w:rsidRPr="00937F54" w14:paraId="34EBF594" w14:textId="77777777" w:rsidTr="00A657F2">
        <w:trPr>
          <w:trHeight w:val="460"/>
        </w:trPr>
        <w:tc>
          <w:tcPr>
            <w:tcW w:w="2965" w:type="dxa"/>
            <w:tcBorders>
              <w:top w:val="nil"/>
              <w:left w:val="single" w:sz="4" w:space="0" w:color="auto"/>
              <w:bottom w:val="single" w:sz="4" w:space="0" w:color="auto"/>
              <w:right w:val="single" w:sz="4" w:space="0" w:color="auto"/>
            </w:tcBorders>
            <w:shd w:val="clear" w:color="000000" w:fill="DAE9F8"/>
            <w:vAlign w:val="center"/>
            <w:hideMark/>
          </w:tcPr>
          <w:p w14:paraId="022552E3" w14:textId="77777777" w:rsidR="00A657F2" w:rsidRPr="00937F54" w:rsidRDefault="00A657F2"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Price-Earnings Ratio (Times)</w:t>
            </w:r>
          </w:p>
        </w:tc>
        <w:tc>
          <w:tcPr>
            <w:tcW w:w="990" w:type="dxa"/>
            <w:tcBorders>
              <w:top w:val="nil"/>
              <w:left w:val="nil"/>
              <w:bottom w:val="single" w:sz="4" w:space="0" w:color="auto"/>
              <w:right w:val="single" w:sz="4" w:space="0" w:color="auto"/>
            </w:tcBorders>
            <w:shd w:val="clear" w:color="000000" w:fill="DAE9F8"/>
            <w:vAlign w:val="center"/>
            <w:hideMark/>
          </w:tcPr>
          <w:p w14:paraId="6CE97593"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22.9</w:t>
            </w:r>
          </w:p>
        </w:tc>
        <w:tc>
          <w:tcPr>
            <w:tcW w:w="900" w:type="dxa"/>
            <w:tcBorders>
              <w:top w:val="nil"/>
              <w:left w:val="nil"/>
              <w:bottom w:val="single" w:sz="4" w:space="0" w:color="auto"/>
              <w:right w:val="single" w:sz="4" w:space="0" w:color="auto"/>
            </w:tcBorders>
            <w:shd w:val="clear" w:color="000000" w:fill="DAE9F8"/>
            <w:vAlign w:val="center"/>
            <w:hideMark/>
          </w:tcPr>
          <w:p w14:paraId="53508190"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9.2</w:t>
            </w:r>
          </w:p>
        </w:tc>
        <w:tc>
          <w:tcPr>
            <w:tcW w:w="973" w:type="dxa"/>
            <w:tcBorders>
              <w:top w:val="nil"/>
              <w:left w:val="nil"/>
              <w:bottom w:val="single" w:sz="4" w:space="0" w:color="auto"/>
              <w:right w:val="single" w:sz="4" w:space="0" w:color="auto"/>
            </w:tcBorders>
            <w:shd w:val="clear" w:color="000000" w:fill="DAE9F8"/>
            <w:vAlign w:val="center"/>
            <w:hideMark/>
          </w:tcPr>
          <w:p w14:paraId="52875724"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4.2</w:t>
            </w:r>
          </w:p>
        </w:tc>
        <w:tc>
          <w:tcPr>
            <w:tcW w:w="1203" w:type="dxa"/>
            <w:tcBorders>
              <w:top w:val="nil"/>
              <w:left w:val="nil"/>
              <w:bottom w:val="single" w:sz="4" w:space="0" w:color="auto"/>
              <w:right w:val="single" w:sz="4" w:space="0" w:color="auto"/>
            </w:tcBorders>
            <w:shd w:val="clear" w:color="000000" w:fill="DAE9F8"/>
            <w:vAlign w:val="center"/>
            <w:hideMark/>
          </w:tcPr>
          <w:p w14:paraId="2D26D426"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20.4</w:t>
            </w:r>
          </w:p>
        </w:tc>
        <w:tc>
          <w:tcPr>
            <w:tcW w:w="1214" w:type="dxa"/>
            <w:tcBorders>
              <w:top w:val="nil"/>
              <w:left w:val="nil"/>
              <w:bottom w:val="single" w:sz="4" w:space="0" w:color="auto"/>
              <w:right w:val="single" w:sz="4" w:space="0" w:color="auto"/>
            </w:tcBorders>
            <w:shd w:val="clear" w:color="000000" w:fill="DAE9F8"/>
            <w:vAlign w:val="center"/>
            <w:hideMark/>
          </w:tcPr>
          <w:p w14:paraId="45A58800"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16.7</w:t>
            </w:r>
          </w:p>
        </w:tc>
        <w:tc>
          <w:tcPr>
            <w:tcW w:w="1110" w:type="dxa"/>
            <w:tcBorders>
              <w:top w:val="nil"/>
              <w:left w:val="nil"/>
              <w:bottom w:val="single" w:sz="4" w:space="0" w:color="auto"/>
              <w:right w:val="single" w:sz="4" w:space="0" w:color="auto"/>
            </w:tcBorders>
            <w:shd w:val="clear" w:color="000000" w:fill="DAE9F8"/>
            <w:vAlign w:val="center"/>
            <w:hideMark/>
          </w:tcPr>
          <w:p w14:paraId="7A5F4BCD"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19.3</w:t>
            </w:r>
          </w:p>
        </w:tc>
      </w:tr>
      <w:tr w:rsidR="00A657F2" w:rsidRPr="00937F54" w14:paraId="7E770AE1" w14:textId="77777777" w:rsidTr="00A657F2">
        <w:trPr>
          <w:trHeight w:val="290"/>
        </w:trPr>
        <w:tc>
          <w:tcPr>
            <w:tcW w:w="2965" w:type="dxa"/>
            <w:tcBorders>
              <w:top w:val="nil"/>
              <w:left w:val="single" w:sz="4" w:space="0" w:color="auto"/>
              <w:bottom w:val="single" w:sz="4" w:space="0" w:color="auto"/>
              <w:right w:val="single" w:sz="4" w:space="0" w:color="auto"/>
            </w:tcBorders>
            <w:shd w:val="clear" w:color="000000" w:fill="DAE9F8"/>
            <w:vAlign w:val="center"/>
            <w:hideMark/>
          </w:tcPr>
          <w:p w14:paraId="5B38FD37" w14:textId="77777777" w:rsidR="00A657F2" w:rsidRPr="00937F54" w:rsidRDefault="00A657F2"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Market Cap (HK$M)</w:t>
            </w:r>
          </w:p>
        </w:tc>
        <w:tc>
          <w:tcPr>
            <w:tcW w:w="990" w:type="dxa"/>
            <w:tcBorders>
              <w:top w:val="nil"/>
              <w:left w:val="nil"/>
              <w:bottom w:val="single" w:sz="4" w:space="0" w:color="auto"/>
              <w:right w:val="single" w:sz="4" w:space="0" w:color="auto"/>
            </w:tcBorders>
            <w:shd w:val="clear" w:color="000000" w:fill="DAE9F8"/>
            <w:vAlign w:val="center"/>
            <w:hideMark/>
          </w:tcPr>
          <w:p w14:paraId="345707A4"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282.2</w:t>
            </w:r>
          </w:p>
        </w:tc>
        <w:tc>
          <w:tcPr>
            <w:tcW w:w="900" w:type="dxa"/>
            <w:tcBorders>
              <w:top w:val="nil"/>
              <w:left w:val="nil"/>
              <w:bottom w:val="single" w:sz="4" w:space="0" w:color="auto"/>
              <w:right w:val="single" w:sz="4" w:space="0" w:color="auto"/>
            </w:tcBorders>
            <w:shd w:val="clear" w:color="000000" w:fill="DAE9F8"/>
            <w:vAlign w:val="center"/>
            <w:hideMark/>
          </w:tcPr>
          <w:p w14:paraId="09CCDE32"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299.2</w:t>
            </w:r>
          </w:p>
        </w:tc>
        <w:tc>
          <w:tcPr>
            <w:tcW w:w="973" w:type="dxa"/>
            <w:tcBorders>
              <w:top w:val="nil"/>
              <w:left w:val="nil"/>
              <w:bottom w:val="single" w:sz="4" w:space="0" w:color="auto"/>
              <w:right w:val="single" w:sz="4" w:space="0" w:color="auto"/>
            </w:tcBorders>
            <w:shd w:val="clear" w:color="000000" w:fill="DAE9F8"/>
            <w:vAlign w:val="center"/>
            <w:hideMark/>
          </w:tcPr>
          <w:p w14:paraId="1374DFCF"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327.4</w:t>
            </w:r>
          </w:p>
        </w:tc>
        <w:tc>
          <w:tcPr>
            <w:tcW w:w="1203" w:type="dxa"/>
            <w:tcBorders>
              <w:top w:val="nil"/>
              <w:left w:val="nil"/>
              <w:bottom w:val="single" w:sz="4" w:space="0" w:color="auto"/>
              <w:right w:val="single" w:sz="4" w:space="0" w:color="auto"/>
            </w:tcBorders>
            <w:shd w:val="clear" w:color="000000" w:fill="DAE9F8"/>
            <w:vAlign w:val="center"/>
            <w:hideMark/>
          </w:tcPr>
          <w:p w14:paraId="05BAD228"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724.2</w:t>
            </w:r>
          </w:p>
        </w:tc>
        <w:tc>
          <w:tcPr>
            <w:tcW w:w="1214" w:type="dxa"/>
            <w:tcBorders>
              <w:top w:val="nil"/>
              <w:left w:val="nil"/>
              <w:bottom w:val="single" w:sz="4" w:space="0" w:color="auto"/>
              <w:right w:val="single" w:sz="4" w:space="0" w:color="auto"/>
            </w:tcBorders>
            <w:shd w:val="clear" w:color="000000" w:fill="DAE9F8"/>
            <w:vAlign w:val="center"/>
            <w:hideMark/>
          </w:tcPr>
          <w:p w14:paraId="6B1D06B8"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1045.6</w:t>
            </w:r>
          </w:p>
        </w:tc>
        <w:tc>
          <w:tcPr>
            <w:tcW w:w="1110" w:type="dxa"/>
            <w:tcBorders>
              <w:top w:val="nil"/>
              <w:left w:val="nil"/>
              <w:bottom w:val="single" w:sz="4" w:space="0" w:color="auto"/>
              <w:right w:val="single" w:sz="4" w:space="0" w:color="auto"/>
            </w:tcBorders>
            <w:shd w:val="clear" w:color="000000" w:fill="DAE9F8"/>
            <w:vAlign w:val="center"/>
            <w:hideMark/>
          </w:tcPr>
          <w:p w14:paraId="5397B7E7"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683.7</w:t>
            </w:r>
          </w:p>
        </w:tc>
      </w:tr>
      <w:tr w:rsidR="00A657F2" w:rsidRPr="00937F54" w14:paraId="5BF82B55" w14:textId="77777777" w:rsidTr="00A657F2">
        <w:trPr>
          <w:trHeight w:val="290"/>
        </w:trPr>
        <w:tc>
          <w:tcPr>
            <w:tcW w:w="2965" w:type="dxa"/>
            <w:tcBorders>
              <w:top w:val="nil"/>
              <w:left w:val="single" w:sz="4" w:space="0" w:color="auto"/>
              <w:bottom w:val="single" w:sz="4" w:space="0" w:color="auto"/>
              <w:right w:val="single" w:sz="4" w:space="0" w:color="auto"/>
            </w:tcBorders>
            <w:shd w:val="clear" w:color="000000" w:fill="DAE9F8"/>
            <w:vAlign w:val="center"/>
            <w:hideMark/>
          </w:tcPr>
          <w:p w14:paraId="37E96482" w14:textId="77777777" w:rsidR="00A657F2" w:rsidRPr="00937F54" w:rsidRDefault="00A657F2"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Stock Price Change</w:t>
            </w:r>
          </w:p>
        </w:tc>
        <w:tc>
          <w:tcPr>
            <w:tcW w:w="990" w:type="dxa"/>
            <w:tcBorders>
              <w:top w:val="nil"/>
              <w:left w:val="nil"/>
              <w:bottom w:val="single" w:sz="4" w:space="0" w:color="auto"/>
              <w:right w:val="single" w:sz="4" w:space="0" w:color="auto"/>
            </w:tcBorders>
            <w:shd w:val="clear" w:color="000000" w:fill="DAE9F8"/>
            <w:vAlign w:val="center"/>
            <w:hideMark/>
          </w:tcPr>
          <w:p w14:paraId="0FC191FE"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-0.132</w:t>
            </w:r>
          </w:p>
        </w:tc>
        <w:tc>
          <w:tcPr>
            <w:tcW w:w="900" w:type="dxa"/>
            <w:tcBorders>
              <w:top w:val="nil"/>
              <w:left w:val="nil"/>
              <w:bottom w:val="single" w:sz="4" w:space="0" w:color="auto"/>
              <w:right w:val="single" w:sz="4" w:space="0" w:color="auto"/>
            </w:tcBorders>
            <w:shd w:val="clear" w:color="000000" w:fill="DAE9F8"/>
            <w:vAlign w:val="center"/>
            <w:hideMark/>
          </w:tcPr>
          <w:p w14:paraId="100A6AAF"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-0.086</w:t>
            </w:r>
          </w:p>
        </w:tc>
        <w:tc>
          <w:tcPr>
            <w:tcW w:w="973" w:type="dxa"/>
            <w:tcBorders>
              <w:top w:val="nil"/>
              <w:left w:val="nil"/>
              <w:bottom w:val="single" w:sz="4" w:space="0" w:color="auto"/>
              <w:right w:val="single" w:sz="4" w:space="0" w:color="auto"/>
            </w:tcBorders>
            <w:shd w:val="clear" w:color="000000" w:fill="DAE9F8"/>
            <w:vAlign w:val="center"/>
            <w:hideMark/>
          </w:tcPr>
          <w:p w14:paraId="7AAB71E5"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0.284</w:t>
            </w:r>
          </w:p>
        </w:tc>
        <w:tc>
          <w:tcPr>
            <w:tcW w:w="1203" w:type="dxa"/>
            <w:tcBorders>
              <w:top w:val="nil"/>
              <w:left w:val="nil"/>
              <w:bottom w:val="single" w:sz="4" w:space="0" w:color="auto"/>
              <w:right w:val="single" w:sz="4" w:space="0" w:color="auto"/>
            </w:tcBorders>
            <w:shd w:val="clear" w:color="000000" w:fill="DAE9F8"/>
            <w:vAlign w:val="center"/>
            <w:hideMark/>
          </w:tcPr>
          <w:p w14:paraId="1E3D527C"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0.162</w:t>
            </w:r>
          </w:p>
        </w:tc>
        <w:tc>
          <w:tcPr>
            <w:tcW w:w="1214" w:type="dxa"/>
            <w:tcBorders>
              <w:top w:val="nil"/>
              <w:left w:val="nil"/>
              <w:bottom w:val="single" w:sz="4" w:space="0" w:color="auto"/>
              <w:right w:val="single" w:sz="4" w:space="0" w:color="auto"/>
            </w:tcBorders>
            <w:shd w:val="clear" w:color="000000" w:fill="DAE9F8"/>
            <w:vAlign w:val="center"/>
            <w:hideMark/>
          </w:tcPr>
          <w:p w14:paraId="31920EED"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-0.195</w:t>
            </w:r>
          </w:p>
        </w:tc>
        <w:tc>
          <w:tcPr>
            <w:tcW w:w="1110" w:type="dxa"/>
            <w:tcBorders>
              <w:top w:val="nil"/>
              <w:left w:val="nil"/>
              <w:bottom w:val="single" w:sz="4" w:space="0" w:color="auto"/>
              <w:right w:val="single" w:sz="4" w:space="0" w:color="auto"/>
            </w:tcBorders>
            <w:shd w:val="clear" w:color="000000" w:fill="DAE9F8"/>
            <w:vAlign w:val="center"/>
            <w:hideMark/>
          </w:tcPr>
          <w:p w14:paraId="4B53768F" w14:textId="77777777" w:rsidR="00A657F2" w:rsidRPr="00937F54" w:rsidRDefault="00A657F2" w:rsidP="00E262FC">
            <w:pPr>
              <w:spacing w:line="360" w:lineRule="auto"/>
              <w:rPr>
                <w:rFonts w:eastAsia="Times New Roman"/>
                <w:color w:val="404040"/>
                <w:sz w:val="24"/>
                <w:szCs w:val="24"/>
                <w:lang w:val="en-US" w:eastAsia="zh-TW"/>
              </w:rPr>
            </w:pPr>
            <w:r w:rsidRPr="00937F54">
              <w:rPr>
                <w:rFonts w:eastAsia="Times New Roman"/>
                <w:color w:val="404040"/>
                <w:sz w:val="24"/>
                <w:szCs w:val="24"/>
                <w:lang w:val="en-US" w:eastAsia="zh-TW"/>
              </w:rPr>
              <w:t>-0.05</w:t>
            </w:r>
          </w:p>
        </w:tc>
      </w:tr>
    </w:tbl>
    <w:p w14:paraId="466032FD" w14:textId="77777777" w:rsidR="004128A4" w:rsidRPr="00937F54" w:rsidRDefault="004128A4" w:rsidP="00E262FC">
      <w:pPr>
        <w:spacing w:line="360" w:lineRule="auto"/>
        <w:rPr>
          <w:iCs/>
          <w:sz w:val="24"/>
          <w:szCs w:val="24"/>
          <w:lang w:val="en-US"/>
        </w:rPr>
      </w:pPr>
    </w:p>
    <w:p w14:paraId="38ED180F" w14:textId="77777777" w:rsidR="005A00BF" w:rsidRPr="00937F54" w:rsidRDefault="005A00BF" w:rsidP="00E262FC">
      <w:pPr>
        <w:spacing w:line="360" w:lineRule="auto"/>
        <w:rPr>
          <w:iCs/>
          <w:sz w:val="24"/>
          <w:szCs w:val="24"/>
          <w:lang w:val="en-US"/>
        </w:rPr>
      </w:pPr>
      <w:r w:rsidRPr="00937F54">
        <w:rPr>
          <w:b/>
          <w:bCs/>
          <w:iCs/>
          <w:sz w:val="24"/>
          <w:szCs w:val="24"/>
          <w:lang w:val="en-US"/>
        </w:rPr>
        <w:t>Price-Earnings Ratio:</w:t>
      </w:r>
      <w:r w:rsidRPr="00937F54">
        <w:rPr>
          <w:iCs/>
          <w:sz w:val="24"/>
          <w:szCs w:val="24"/>
          <w:lang w:val="en-US"/>
        </w:rPr>
        <w:t xml:space="preserve"> Tsui Wah's P/E ratio of </w:t>
      </w:r>
      <w:proofErr w:type="gramStart"/>
      <w:r w:rsidRPr="00937F54">
        <w:rPr>
          <w:iCs/>
          <w:sz w:val="24"/>
          <w:szCs w:val="24"/>
          <w:lang w:val="en-US"/>
        </w:rPr>
        <w:t>22.9 times</w:t>
      </w:r>
      <w:proofErr w:type="gramEnd"/>
      <w:r w:rsidRPr="00937F54">
        <w:rPr>
          <w:iCs/>
          <w:sz w:val="24"/>
          <w:szCs w:val="24"/>
          <w:lang w:val="en-US"/>
        </w:rPr>
        <w:t xml:space="preserve"> is above industry average (19.3 times), suggesting market overvaluation relative to current earnings performance, potentially indicating either recovery expectations or insufficient price discovery.</w:t>
      </w:r>
    </w:p>
    <w:p w14:paraId="7AC0CF0A" w14:textId="77777777" w:rsidR="005A00BF" w:rsidRPr="00937F54" w:rsidRDefault="005A00BF" w:rsidP="00E262FC">
      <w:pPr>
        <w:spacing w:line="360" w:lineRule="auto"/>
        <w:rPr>
          <w:iCs/>
          <w:sz w:val="24"/>
          <w:szCs w:val="24"/>
          <w:lang w:val="en-US"/>
        </w:rPr>
      </w:pPr>
      <w:r w:rsidRPr="00937F54">
        <w:rPr>
          <w:b/>
          <w:bCs/>
          <w:iCs/>
          <w:sz w:val="24"/>
          <w:szCs w:val="24"/>
          <w:lang w:val="en-US"/>
        </w:rPr>
        <w:t>Market Capitalization:</w:t>
      </w:r>
      <w:r w:rsidRPr="00937F54">
        <w:rPr>
          <w:iCs/>
          <w:sz w:val="24"/>
          <w:szCs w:val="24"/>
          <w:lang w:val="en-US"/>
        </w:rPr>
        <w:t> At HK$282.2 million, Tsui Wah has the smallest market cap among the three companies, reflecting its operational scale and performance challenges.</w:t>
      </w:r>
    </w:p>
    <w:p w14:paraId="51D3996F" w14:textId="77777777" w:rsidR="005A00BF" w:rsidRPr="00937F54" w:rsidRDefault="005A00BF" w:rsidP="00E262FC">
      <w:pPr>
        <w:spacing w:line="360" w:lineRule="auto"/>
        <w:rPr>
          <w:iCs/>
          <w:sz w:val="24"/>
          <w:szCs w:val="24"/>
          <w:lang w:val="en-US"/>
        </w:rPr>
      </w:pPr>
      <w:r w:rsidRPr="00937F54">
        <w:rPr>
          <w:b/>
          <w:bCs/>
          <w:iCs/>
          <w:sz w:val="24"/>
          <w:szCs w:val="24"/>
          <w:lang w:val="en-US"/>
        </w:rPr>
        <w:t>Stock Market Performance Analysis:</w:t>
      </w:r>
      <w:r w:rsidRPr="00937F54">
        <w:rPr>
          <w:iCs/>
          <w:sz w:val="24"/>
          <w:szCs w:val="24"/>
          <w:lang w:val="en-US"/>
        </w:rPr>
        <w:t> Tsui Wah's stock shows disconnect between valuation multiples and operational performance, with declining earnings per share but relatively high P/E ratio, suggesting market expectations may not align with current fundamentals.</w:t>
      </w:r>
    </w:p>
    <w:p w14:paraId="3DB21942" w14:textId="77777777" w:rsidR="005A00BF" w:rsidRPr="00937F54" w:rsidRDefault="005A00BF" w:rsidP="00E262FC">
      <w:pPr>
        <w:spacing w:line="360" w:lineRule="auto"/>
        <w:rPr>
          <w:b/>
          <w:bCs/>
          <w:iCs/>
          <w:sz w:val="24"/>
          <w:szCs w:val="24"/>
          <w:lang w:val="en-US"/>
        </w:rPr>
      </w:pPr>
      <w:r w:rsidRPr="00937F54">
        <w:rPr>
          <w:b/>
          <w:bCs/>
          <w:iCs/>
          <w:sz w:val="24"/>
          <w:szCs w:val="24"/>
          <w:lang w:val="en-US"/>
        </w:rPr>
        <w:t>2.8 Overall Financial Analysis Conclusion</w:t>
      </w:r>
    </w:p>
    <w:p w14:paraId="747FBBF6" w14:textId="77777777" w:rsidR="005A00BF" w:rsidRPr="00937F54" w:rsidRDefault="005A00BF" w:rsidP="00E262FC">
      <w:pPr>
        <w:spacing w:line="360" w:lineRule="auto"/>
        <w:rPr>
          <w:iCs/>
          <w:sz w:val="24"/>
          <w:szCs w:val="24"/>
          <w:lang w:val="en-US"/>
        </w:rPr>
      </w:pPr>
      <w:proofErr w:type="gramStart"/>
      <w:r w:rsidRPr="00937F54">
        <w:rPr>
          <w:iCs/>
          <w:sz w:val="24"/>
          <w:szCs w:val="24"/>
          <w:lang w:val="en-US"/>
        </w:rPr>
        <w:t>The comprehensive</w:t>
      </w:r>
      <w:proofErr w:type="gramEnd"/>
      <w:r w:rsidRPr="00937F54">
        <w:rPr>
          <w:iCs/>
          <w:sz w:val="24"/>
          <w:szCs w:val="24"/>
          <w:lang w:val="en-US"/>
        </w:rPr>
        <w:t xml:space="preserve"> financial analysis reveals Tsui Wah faces significant operational and financial challenges compared to industry peers. While maintaining conservative financial structure and adequate liquidity, the company shows deteriorating profitability, declining operational efficiency, and concerning growth prospects. The Z-Score analysis places Tsui Wah in the financial distress zone, requiring immediate management attention to operational improvements and strategic repositioning to restore competitiveness in the Hong Kong restaurant market.</w:t>
      </w:r>
    </w:p>
    <w:p w14:paraId="6D2BB5F4" w14:textId="77777777" w:rsidR="00964AA6" w:rsidRDefault="00964AA6" w:rsidP="00E262FC">
      <w:pPr>
        <w:spacing w:line="360" w:lineRule="auto"/>
        <w:rPr>
          <w:b/>
          <w:bCs/>
          <w:iCs/>
          <w:sz w:val="24"/>
          <w:szCs w:val="24"/>
          <w:lang w:val="en-US"/>
        </w:rPr>
      </w:pPr>
    </w:p>
    <w:p w14:paraId="5E164213" w14:textId="77777777" w:rsidR="00964AA6" w:rsidRDefault="00964AA6" w:rsidP="00E262FC">
      <w:pPr>
        <w:spacing w:line="360" w:lineRule="auto"/>
        <w:rPr>
          <w:b/>
          <w:bCs/>
          <w:iCs/>
          <w:sz w:val="24"/>
          <w:szCs w:val="24"/>
          <w:lang w:val="en-US"/>
        </w:rPr>
      </w:pPr>
    </w:p>
    <w:p w14:paraId="525CD119" w14:textId="77777777" w:rsidR="00964AA6" w:rsidRDefault="00964AA6" w:rsidP="00E262FC">
      <w:pPr>
        <w:spacing w:line="360" w:lineRule="auto"/>
        <w:rPr>
          <w:b/>
          <w:bCs/>
          <w:iCs/>
          <w:sz w:val="24"/>
          <w:szCs w:val="24"/>
          <w:lang w:val="en-US"/>
        </w:rPr>
      </w:pPr>
    </w:p>
    <w:p w14:paraId="47017535" w14:textId="3A70A028" w:rsidR="00FE6FBE" w:rsidRPr="00FE6FBE" w:rsidRDefault="00FE6FBE" w:rsidP="00E262FC">
      <w:pPr>
        <w:spacing w:line="360" w:lineRule="auto"/>
        <w:rPr>
          <w:b/>
          <w:bCs/>
          <w:iCs/>
          <w:sz w:val="24"/>
          <w:szCs w:val="24"/>
          <w:lang w:val="en-US"/>
        </w:rPr>
      </w:pPr>
      <w:r w:rsidRPr="00FE6FBE">
        <w:rPr>
          <w:b/>
          <w:bCs/>
          <w:iCs/>
          <w:sz w:val="24"/>
          <w:szCs w:val="24"/>
          <w:lang w:val="en-US"/>
        </w:rPr>
        <w:lastRenderedPageBreak/>
        <w:t>3.0 Tsui Wah's Corporate Governance Assessment</w:t>
      </w:r>
    </w:p>
    <w:p w14:paraId="1DFA413B" w14:textId="77777777" w:rsidR="00FE6FBE" w:rsidRPr="00937F54" w:rsidRDefault="00FE6FBE" w:rsidP="00E262FC">
      <w:pPr>
        <w:spacing w:line="360" w:lineRule="auto"/>
        <w:rPr>
          <w:iCs/>
          <w:sz w:val="24"/>
          <w:szCs w:val="24"/>
          <w:lang w:val="en-US"/>
        </w:rPr>
      </w:pPr>
      <w:r w:rsidRPr="00FE6FBE">
        <w:rPr>
          <w:iCs/>
          <w:sz w:val="24"/>
          <w:szCs w:val="24"/>
          <w:lang w:val="en-US"/>
        </w:rPr>
        <w:t xml:space="preserve">From the financial performance analysis in Chapter 2, we understand that Tsui Wah shows declining growth and increasing operating costs, which directly affects the enterprise's future development and shareholders' interests. In this section, we will explore Tsui Wah's corporate governance and its impact on financial performance, examining internal control and risk management mechanisms for potential insufficiencies, and </w:t>
      </w:r>
      <w:proofErr w:type="gramStart"/>
      <w:r w:rsidRPr="00FE6FBE">
        <w:rPr>
          <w:iCs/>
          <w:sz w:val="24"/>
          <w:szCs w:val="24"/>
          <w:lang w:val="en-US"/>
        </w:rPr>
        <w:t>make</w:t>
      </w:r>
      <w:proofErr w:type="gramEnd"/>
      <w:r w:rsidRPr="00FE6FBE">
        <w:rPr>
          <w:iCs/>
          <w:sz w:val="24"/>
          <w:szCs w:val="24"/>
          <w:lang w:val="en-US"/>
        </w:rPr>
        <w:t xml:space="preserve"> appropriate recommendations.</w:t>
      </w:r>
    </w:p>
    <w:p w14:paraId="15D04234" w14:textId="77777777" w:rsidR="00FE6FBE" w:rsidRPr="00FE6FBE" w:rsidRDefault="00FE6FBE" w:rsidP="00E262FC">
      <w:pPr>
        <w:spacing w:line="360" w:lineRule="auto"/>
        <w:rPr>
          <w:iCs/>
          <w:sz w:val="24"/>
          <w:szCs w:val="24"/>
          <w:lang w:val="en-US"/>
        </w:rPr>
      </w:pPr>
    </w:p>
    <w:p w14:paraId="24A53925" w14:textId="77777777" w:rsidR="00FE6FBE" w:rsidRPr="00FE6FBE" w:rsidRDefault="00FE6FBE" w:rsidP="00E262FC">
      <w:pPr>
        <w:spacing w:line="360" w:lineRule="auto"/>
        <w:rPr>
          <w:b/>
          <w:bCs/>
          <w:iCs/>
          <w:sz w:val="24"/>
          <w:szCs w:val="24"/>
          <w:lang w:val="en-US"/>
        </w:rPr>
      </w:pPr>
      <w:r w:rsidRPr="00FE6FBE">
        <w:rPr>
          <w:b/>
          <w:bCs/>
          <w:iCs/>
          <w:sz w:val="24"/>
          <w:szCs w:val="24"/>
          <w:lang w:val="en-US"/>
        </w:rPr>
        <w:t>3.1 Corporate Governance of Business Organizations and Its Impact and Importance</w:t>
      </w:r>
    </w:p>
    <w:p w14:paraId="718E0992" w14:textId="77777777" w:rsidR="00FE6FBE" w:rsidRPr="00FE6FBE" w:rsidRDefault="00FE6FBE" w:rsidP="00E262FC">
      <w:pPr>
        <w:spacing w:line="360" w:lineRule="auto"/>
        <w:rPr>
          <w:iCs/>
          <w:sz w:val="24"/>
          <w:szCs w:val="24"/>
          <w:lang w:val="en-US"/>
        </w:rPr>
      </w:pPr>
      <w:r w:rsidRPr="00FE6FBE">
        <w:rPr>
          <w:iCs/>
          <w:sz w:val="24"/>
          <w:szCs w:val="24"/>
          <w:lang w:val="en-US"/>
        </w:rPr>
        <w:t>Since the 1998 Asian financial turmoil and 2002 series of international business scandal events (such as Enron, WorldCom, and other major corporate failures), these events seriously impacted stock market investors' confidence and fund-raising capabilities, leading stakeholders to understand that if a company's governance is poor, like Enron and other international enterprises, they can easily collapse. Therefore, governments have focused on tightening supervision regulations.</w:t>
      </w:r>
    </w:p>
    <w:p w14:paraId="71120AAA" w14:textId="77777777" w:rsidR="00FE6FBE" w:rsidRPr="00FE6FBE" w:rsidRDefault="00FE6FBE" w:rsidP="00E262FC">
      <w:pPr>
        <w:spacing w:line="360" w:lineRule="auto"/>
        <w:rPr>
          <w:iCs/>
          <w:sz w:val="24"/>
          <w:szCs w:val="24"/>
          <w:lang w:val="en-US"/>
        </w:rPr>
      </w:pPr>
      <w:r w:rsidRPr="00FE6FBE">
        <w:rPr>
          <w:iCs/>
          <w:sz w:val="24"/>
          <w:szCs w:val="24"/>
          <w:lang w:val="en-US"/>
        </w:rPr>
        <w:t xml:space="preserve">Ho and Li (2008) pointed out that corporate governance is how an organization assigns decision-making powers and responsibilities to owners (shareholders), Board of Directors (policy makers), and high-level managers (management), determining their interrelationships, including authorization, mutual monitoring, incentives, and accountability. The </w:t>
      </w:r>
      <w:proofErr w:type="gramStart"/>
      <w:r w:rsidRPr="00FE6FBE">
        <w:rPr>
          <w:iCs/>
          <w:sz w:val="24"/>
          <w:szCs w:val="24"/>
          <w:lang w:val="en-US"/>
        </w:rPr>
        <w:t>ultimate goal</w:t>
      </w:r>
      <w:proofErr w:type="gramEnd"/>
      <w:r w:rsidRPr="00FE6FBE">
        <w:rPr>
          <w:iCs/>
          <w:sz w:val="24"/>
          <w:szCs w:val="24"/>
          <w:lang w:val="en-US"/>
        </w:rPr>
        <w:t xml:space="preserve"> is promoting organizational performance and long-term sustainable value while protecting shareholders' and other stakeholders' rights and interests.</w:t>
      </w:r>
    </w:p>
    <w:p w14:paraId="5C3019DC" w14:textId="77777777" w:rsidR="00FE6FBE" w:rsidRPr="00937F54" w:rsidRDefault="00FE6FBE" w:rsidP="00E262FC">
      <w:pPr>
        <w:spacing w:line="360" w:lineRule="auto"/>
        <w:rPr>
          <w:iCs/>
          <w:sz w:val="24"/>
          <w:szCs w:val="24"/>
          <w:lang w:val="en-US"/>
        </w:rPr>
      </w:pPr>
      <w:r w:rsidRPr="00FE6FBE">
        <w:rPr>
          <w:iCs/>
          <w:sz w:val="24"/>
          <w:szCs w:val="24"/>
          <w:lang w:val="en-US"/>
        </w:rPr>
        <w:t>Ho (2003) quoted McKinsey consulting company's research of over 200 global institutional investors, which stated over 80 percent would pay premiums for companies with good "Corporate Governance"; in Asia, the premium proportion ranges from 20 to 27 percent. Enterprises with sound corporate governance can attract more funds and achieve higher returns, gaining competitive strength.</w:t>
      </w:r>
    </w:p>
    <w:p w14:paraId="1A538D46" w14:textId="77777777" w:rsidR="00FE6FBE" w:rsidRDefault="00FE6FBE" w:rsidP="00E262FC">
      <w:pPr>
        <w:spacing w:line="360" w:lineRule="auto"/>
        <w:rPr>
          <w:iCs/>
          <w:sz w:val="24"/>
          <w:szCs w:val="24"/>
          <w:lang w:val="en-US"/>
        </w:rPr>
      </w:pPr>
    </w:p>
    <w:p w14:paraId="23545E69" w14:textId="77777777" w:rsidR="00FF3AA9" w:rsidRDefault="00FF3AA9" w:rsidP="00E262FC">
      <w:pPr>
        <w:spacing w:line="360" w:lineRule="auto"/>
        <w:rPr>
          <w:iCs/>
          <w:sz w:val="24"/>
          <w:szCs w:val="24"/>
          <w:lang w:val="en-US"/>
        </w:rPr>
      </w:pPr>
    </w:p>
    <w:p w14:paraId="5596C66F" w14:textId="77777777" w:rsidR="00FF3AA9" w:rsidRDefault="00FF3AA9" w:rsidP="00E262FC">
      <w:pPr>
        <w:spacing w:line="360" w:lineRule="auto"/>
        <w:rPr>
          <w:iCs/>
          <w:sz w:val="24"/>
          <w:szCs w:val="24"/>
          <w:lang w:val="en-US"/>
        </w:rPr>
      </w:pPr>
    </w:p>
    <w:p w14:paraId="12B51F73" w14:textId="77777777" w:rsidR="00FF3AA9" w:rsidRDefault="00FF3AA9" w:rsidP="00E262FC">
      <w:pPr>
        <w:spacing w:line="360" w:lineRule="auto"/>
        <w:rPr>
          <w:iCs/>
          <w:sz w:val="24"/>
          <w:szCs w:val="24"/>
          <w:lang w:val="en-US"/>
        </w:rPr>
      </w:pPr>
    </w:p>
    <w:p w14:paraId="71EFDD9B" w14:textId="77777777" w:rsidR="00FF3AA9" w:rsidRDefault="00FF3AA9" w:rsidP="00E262FC">
      <w:pPr>
        <w:spacing w:line="360" w:lineRule="auto"/>
        <w:rPr>
          <w:iCs/>
          <w:sz w:val="24"/>
          <w:szCs w:val="24"/>
          <w:lang w:val="en-US"/>
        </w:rPr>
      </w:pPr>
    </w:p>
    <w:p w14:paraId="46630A56" w14:textId="77777777" w:rsidR="00FF3AA9" w:rsidRDefault="00FF3AA9" w:rsidP="00E262FC">
      <w:pPr>
        <w:spacing w:line="360" w:lineRule="auto"/>
        <w:rPr>
          <w:iCs/>
          <w:sz w:val="24"/>
          <w:szCs w:val="24"/>
          <w:lang w:val="en-US"/>
        </w:rPr>
      </w:pPr>
    </w:p>
    <w:p w14:paraId="1E968F0D" w14:textId="77777777" w:rsidR="00FF3AA9" w:rsidRDefault="00FF3AA9" w:rsidP="00E262FC">
      <w:pPr>
        <w:spacing w:line="360" w:lineRule="auto"/>
        <w:rPr>
          <w:iCs/>
          <w:sz w:val="24"/>
          <w:szCs w:val="24"/>
          <w:lang w:val="en-US"/>
        </w:rPr>
      </w:pPr>
    </w:p>
    <w:p w14:paraId="7C85C0A6" w14:textId="77777777" w:rsidR="00FF3AA9" w:rsidRDefault="00FF3AA9" w:rsidP="00E262FC">
      <w:pPr>
        <w:spacing w:line="360" w:lineRule="auto"/>
        <w:rPr>
          <w:iCs/>
          <w:sz w:val="24"/>
          <w:szCs w:val="24"/>
          <w:lang w:val="en-US"/>
        </w:rPr>
      </w:pPr>
    </w:p>
    <w:p w14:paraId="7C175388" w14:textId="77777777" w:rsidR="00A02A55" w:rsidRPr="00A02A55" w:rsidRDefault="00A02A55" w:rsidP="00E262FC">
      <w:pPr>
        <w:spacing w:line="360" w:lineRule="auto"/>
        <w:rPr>
          <w:b/>
          <w:bCs/>
          <w:iCs/>
          <w:sz w:val="24"/>
          <w:szCs w:val="24"/>
          <w:lang w:val="en-US"/>
        </w:rPr>
      </w:pPr>
      <w:r w:rsidRPr="00A02A55">
        <w:rPr>
          <w:b/>
          <w:bCs/>
          <w:iCs/>
          <w:sz w:val="24"/>
          <w:szCs w:val="24"/>
          <w:lang w:val="en-US"/>
        </w:rPr>
        <w:lastRenderedPageBreak/>
        <w:t>3.2 Tsui Wah's Existing Corporate Governance</w:t>
      </w:r>
    </w:p>
    <w:p w14:paraId="25EC7847" w14:textId="77777777" w:rsidR="00A02A55" w:rsidRPr="00A02A55" w:rsidRDefault="00A02A55" w:rsidP="00E262FC">
      <w:pPr>
        <w:spacing w:line="360" w:lineRule="auto"/>
        <w:rPr>
          <w:iCs/>
          <w:sz w:val="24"/>
          <w:szCs w:val="24"/>
          <w:lang w:val="en-US"/>
        </w:rPr>
      </w:pPr>
      <w:r w:rsidRPr="00A02A55">
        <w:rPr>
          <w:iCs/>
          <w:sz w:val="24"/>
          <w:szCs w:val="24"/>
          <w:lang w:val="en-US"/>
        </w:rPr>
        <w:t xml:space="preserve">Tsui Wah Holdings Limited operates as a family-controlled business with Mr. Lee Yuen Hong as Chairman and founder, while his son Mr. Lee Kun Lun Kenji serves as Group CEO, and daughter Ms. Lee Yi Fang serves as an executive Director (Tsui Wah Holdings Limited, 2025). This represents a concentrated ownership structure where the founding family maintains significant control </w:t>
      </w:r>
      <w:proofErr w:type="gramStart"/>
      <w:r w:rsidRPr="00A02A55">
        <w:rPr>
          <w:iCs/>
          <w:sz w:val="24"/>
          <w:szCs w:val="24"/>
          <w:lang w:val="en-US"/>
        </w:rPr>
        <w:t>over board</w:t>
      </w:r>
      <w:proofErr w:type="gramEnd"/>
      <w:r w:rsidRPr="00A02A55">
        <w:rPr>
          <w:iCs/>
          <w:sz w:val="24"/>
          <w:szCs w:val="24"/>
          <w:lang w:val="en-US"/>
        </w:rPr>
        <w:t xml:space="preserve"> decisions and strategic direction.</w:t>
      </w:r>
    </w:p>
    <w:p w14:paraId="7BCEF69C" w14:textId="77777777" w:rsidR="00A02A55" w:rsidRPr="00A02A55" w:rsidRDefault="00A02A55" w:rsidP="00E262FC">
      <w:pPr>
        <w:spacing w:line="360" w:lineRule="auto"/>
        <w:rPr>
          <w:iCs/>
          <w:sz w:val="24"/>
          <w:szCs w:val="24"/>
          <w:lang w:val="en-US"/>
        </w:rPr>
      </w:pPr>
      <w:r w:rsidRPr="00A02A55">
        <w:rPr>
          <w:iCs/>
          <w:sz w:val="24"/>
          <w:szCs w:val="24"/>
          <w:lang w:val="en-US"/>
        </w:rPr>
        <w:t>Although direct family management does not necessarily mean low corporate performance, and conversely has advantages such as lower agency costs, high decision-making efficiency, strong initiative, loyalty, and market flexibility, performance measurement through Return on Assets (ROA) and Return on Equity (ROE) shows concerning trends when measured against industry standards.</w:t>
      </w:r>
    </w:p>
    <w:p w14:paraId="124FDE68" w14:textId="77777777" w:rsidR="00FE6FBE" w:rsidRPr="00937F54" w:rsidRDefault="00FE6FBE" w:rsidP="00E262FC">
      <w:pPr>
        <w:spacing w:line="360" w:lineRule="auto"/>
        <w:rPr>
          <w:b/>
          <w:bCs/>
          <w:iCs/>
          <w:sz w:val="24"/>
          <w:szCs w:val="24"/>
          <w:lang w:val="en-US"/>
        </w:rPr>
      </w:pPr>
      <w:r w:rsidRPr="00FE6FBE">
        <w:rPr>
          <w:b/>
          <w:bCs/>
          <w:iCs/>
          <w:sz w:val="24"/>
          <w:szCs w:val="24"/>
          <w:lang w:val="en-US"/>
        </w:rPr>
        <w:t>Performance Comparison:</w:t>
      </w:r>
    </w:p>
    <w:tbl>
      <w:tblPr>
        <w:tblW w:w="9085" w:type="dxa"/>
        <w:tblLook w:val="04A0" w:firstRow="1" w:lastRow="0" w:firstColumn="1" w:lastColumn="0" w:noHBand="0" w:noVBand="1"/>
      </w:tblPr>
      <w:tblGrid>
        <w:gridCol w:w="1627"/>
        <w:gridCol w:w="1087"/>
        <w:gridCol w:w="880"/>
        <w:gridCol w:w="880"/>
        <w:gridCol w:w="912"/>
        <w:gridCol w:w="1203"/>
        <w:gridCol w:w="1133"/>
        <w:gridCol w:w="1363"/>
      </w:tblGrid>
      <w:tr w:rsidR="00067BA8" w:rsidRPr="00937F54" w14:paraId="42555512" w14:textId="77777777" w:rsidTr="00504594">
        <w:trPr>
          <w:trHeight w:val="460"/>
        </w:trPr>
        <w:tc>
          <w:tcPr>
            <w:tcW w:w="1627" w:type="dxa"/>
            <w:tcBorders>
              <w:top w:val="single" w:sz="4" w:space="0" w:color="auto"/>
              <w:left w:val="single" w:sz="4" w:space="0" w:color="auto"/>
              <w:bottom w:val="single" w:sz="4" w:space="0" w:color="auto"/>
              <w:right w:val="single" w:sz="4" w:space="0" w:color="auto"/>
            </w:tcBorders>
            <w:shd w:val="clear" w:color="000000" w:fill="DAE9F8"/>
            <w:vAlign w:val="center"/>
            <w:hideMark/>
          </w:tcPr>
          <w:p w14:paraId="64EA7916" w14:textId="77777777" w:rsidR="00067BA8" w:rsidRPr="00067BA8" w:rsidRDefault="00067BA8" w:rsidP="00E262FC">
            <w:pPr>
              <w:spacing w:line="360" w:lineRule="auto"/>
              <w:rPr>
                <w:rFonts w:eastAsia="Times New Roman"/>
                <w:b/>
                <w:bCs/>
                <w:color w:val="404040"/>
                <w:sz w:val="24"/>
                <w:szCs w:val="24"/>
                <w:lang w:val="en-US" w:eastAsia="zh-TW"/>
              </w:rPr>
            </w:pPr>
            <w:r w:rsidRPr="00067BA8">
              <w:rPr>
                <w:rFonts w:eastAsia="Times New Roman"/>
                <w:b/>
                <w:bCs/>
                <w:color w:val="404040"/>
                <w:sz w:val="24"/>
                <w:szCs w:val="24"/>
                <w:lang w:val="en-US" w:eastAsia="zh-TW"/>
              </w:rPr>
              <w:t>(Company Name)</w:t>
            </w:r>
          </w:p>
        </w:tc>
        <w:tc>
          <w:tcPr>
            <w:tcW w:w="3759" w:type="dxa"/>
            <w:gridSpan w:val="4"/>
            <w:tcBorders>
              <w:top w:val="single" w:sz="4" w:space="0" w:color="auto"/>
              <w:left w:val="nil"/>
              <w:bottom w:val="single" w:sz="4" w:space="0" w:color="auto"/>
              <w:right w:val="single" w:sz="4" w:space="0" w:color="000000"/>
            </w:tcBorders>
            <w:shd w:val="clear" w:color="000000" w:fill="DAE9F8"/>
            <w:vAlign w:val="center"/>
            <w:hideMark/>
          </w:tcPr>
          <w:p w14:paraId="12342F4A" w14:textId="77777777" w:rsidR="00067BA8" w:rsidRPr="00067BA8" w:rsidRDefault="00067BA8" w:rsidP="00E262FC">
            <w:pPr>
              <w:spacing w:line="360" w:lineRule="auto"/>
              <w:jc w:val="center"/>
              <w:rPr>
                <w:rFonts w:eastAsia="Times New Roman"/>
                <w:b/>
                <w:bCs/>
                <w:color w:val="404040"/>
                <w:sz w:val="24"/>
                <w:szCs w:val="24"/>
                <w:lang w:val="en-US" w:eastAsia="zh-TW"/>
              </w:rPr>
            </w:pPr>
            <w:r w:rsidRPr="00067BA8">
              <w:rPr>
                <w:rFonts w:eastAsia="Times New Roman"/>
                <w:b/>
                <w:bCs/>
                <w:color w:val="404040"/>
                <w:sz w:val="24"/>
                <w:szCs w:val="24"/>
                <w:lang w:val="en-US" w:eastAsia="zh-TW"/>
              </w:rPr>
              <w:t>Tsui Wah</w:t>
            </w:r>
          </w:p>
        </w:tc>
        <w:tc>
          <w:tcPr>
            <w:tcW w:w="1203" w:type="dxa"/>
            <w:tcBorders>
              <w:top w:val="single" w:sz="4" w:space="0" w:color="auto"/>
              <w:left w:val="nil"/>
              <w:bottom w:val="single" w:sz="4" w:space="0" w:color="auto"/>
              <w:right w:val="single" w:sz="4" w:space="0" w:color="auto"/>
            </w:tcBorders>
            <w:shd w:val="clear" w:color="000000" w:fill="DAE9F8"/>
            <w:vAlign w:val="center"/>
            <w:hideMark/>
          </w:tcPr>
          <w:p w14:paraId="7706EBBE" w14:textId="77777777" w:rsidR="00067BA8" w:rsidRPr="00067BA8" w:rsidRDefault="00067BA8" w:rsidP="00E262FC">
            <w:pPr>
              <w:spacing w:line="360" w:lineRule="auto"/>
              <w:rPr>
                <w:rFonts w:eastAsia="Times New Roman"/>
                <w:b/>
                <w:bCs/>
                <w:color w:val="404040"/>
                <w:sz w:val="24"/>
                <w:szCs w:val="24"/>
                <w:lang w:val="en-US" w:eastAsia="zh-TW"/>
              </w:rPr>
            </w:pPr>
            <w:r w:rsidRPr="00067BA8">
              <w:rPr>
                <w:rFonts w:eastAsia="Times New Roman"/>
                <w:b/>
                <w:bCs/>
                <w:color w:val="404040"/>
                <w:sz w:val="24"/>
                <w:szCs w:val="24"/>
                <w:lang w:val="en-US" w:eastAsia="zh-TW"/>
              </w:rPr>
              <w:t>Fairwood</w:t>
            </w:r>
          </w:p>
        </w:tc>
        <w:tc>
          <w:tcPr>
            <w:tcW w:w="1133" w:type="dxa"/>
            <w:tcBorders>
              <w:top w:val="single" w:sz="4" w:space="0" w:color="auto"/>
              <w:left w:val="nil"/>
              <w:bottom w:val="single" w:sz="4" w:space="0" w:color="auto"/>
              <w:right w:val="single" w:sz="4" w:space="0" w:color="auto"/>
            </w:tcBorders>
            <w:shd w:val="clear" w:color="000000" w:fill="DAE9F8"/>
            <w:vAlign w:val="center"/>
            <w:hideMark/>
          </w:tcPr>
          <w:p w14:paraId="5F8ECB43" w14:textId="77777777" w:rsidR="00067BA8" w:rsidRPr="00067BA8" w:rsidRDefault="00067BA8" w:rsidP="00E262FC">
            <w:pPr>
              <w:spacing w:line="360" w:lineRule="auto"/>
              <w:rPr>
                <w:rFonts w:eastAsia="Times New Roman"/>
                <w:b/>
                <w:bCs/>
                <w:color w:val="404040"/>
                <w:sz w:val="24"/>
                <w:szCs w:val="24"/>
                <w:lang w:val="en-US" w:eastAsia="zh-TW"/>
              </w:rPr>
            </w:pPr>
            <w:r w:rsidRPr="00067BA8">
              <w:rPr>
                <w:rFonts w:eastAsia="Times New Roman"/>
                <w:b/>
                <w:bCs/>
                <w:color w:val="404040"/>
                <w:sz w:val="24"/>
                <w:szCs w:val="24"/>
                <w:lang w:val="en-US" w:eastAsia="zh-TW"/>
              </w:rPr>
              <w:t>Tai Hing</w:t>
            </w:r>
          </w:p>
        </w:tc>
        <w:tc>
          <w:tcPr>
            <w:tcW w:w="1363" w:type="dxa"/>
            <w:tcBorders>
              <w:top w:val="single" w:sz="4" w:space="0" w:color="auto"/>
              <w:left w:val="nil"/>
              <w:bottom w:val="single" w:sz="4" w:space="0" w:color="auto"/>
              <w:right w:val="single" w:sz="4" w:space="0" w:color="auto"/>
            </w:tcBorders>
            <w:shd w:val="clear" w:color="000000" w:fill="DAE9F8"/>
            <w:vAlign w:val="center"/>
            <w:hideMark/>
          </w:tcPr>
          <w:p w14:paraId="0418B145" w14:textId="77777777" w:rsidR="00067BA8" w:rsidRPr="00067BA8" w:rsidRDefault="00067BA8" w:rsidP="00E262FC">
            <w:pPr>
              <w:spacing w:line="360" w:lineRule="auto"/>
              <w:rPr>
                <w:rFonts w:eastAsia="Times New Roman"/>
                <w:b/>
                <w:bCs/>
                <w:color w:val="404040"/>
                <w:sz w:val="24"/>
                <w:szCs w:val="24"/>
                <w:lang w:val="en-US" w:eastAsia="zh-TW"/>
              </w:rPr>
            </w:pPr>
            <w:r w:rsidRPr="00067BA8">
              <w:rPr>
                <w:rFonts w:eastAsia="Times New Roman"/>
                <w:b/>
                <w:bCs/>
                <w:color w:val="404040"/>
                <w:sz w:val="24"/>
                <w:szCs w:val="24"/>
                <w:lang w:val="en-US" w:eastAsia="zh-TW"/>
              </w:rPr>
              <w:t>3 Companies</w:t>
            </w:r>
          </w:p>
        </w:tc>
      </w:tr>
      <w:tr w:rsidR="00067BA8" w:rsidRPr="00937F54" w14:paraId="3B193C5E" w14:textId="77777777" w:rsidTr="00504594">
        <w:trPr>
          <w:trHeight w:val="460"/>
        </w:trPr>
        <w:tc>
          <w:tcPr>
            <w:tcW w:w="1627" w:type="dxa"/>
            <w:tcBorders>
              <w:top w:val="nil"/>
              <w:left w:val="single" w:sz="4" w:space="0" w:color="auto"/>
              <w:bottom w:val="single" w:sz="4" w:space="0" w:color="auto"/>
              <w:right w:val="single" w:sz="4" w:space="0" w:color="auto"/>
            </w:tcBorders>
            <w:shd w:val="clear" w:color="000000" w:fill="DAE9F8"/>
            <w:vAlign w:val="center"/>
            <w:hideMark/>
          </w:tcPr>
          <w:p w14:paraId="5EAD656F" w14:textId="77777777" w:rsidR="00067BA8" w:rsidRPr="00067BA8" w:rsidRDefault="00067BA8" w:rsidP="00E262FC">
            <w:pPr>
              <w:spacing w:line="360" w:lineRule="auto"/>
              <w:rPr>
                <w:rFonts w:eastAsia="Times New Roman"/>
                <w:b/>
                <w:bCs/>
                <w:color w:val="404040"/>
                <w:sz w:val="24"/>
                <w:szCs w:val="24"/>
                <w:lang w:val="en-US" w:eastAsia="zh-TW"/>
              </w:rPr>
            </w:pPr>
            <w:r w:rsidRPr="00067BA8">
              <w:rPr>
                <w:rFonts w:eastAsia="Times New Roman"/>
                <w:b/>
                <w:bCs/>
                <w:color w:val="404040"/>
                <w:sz w:val="24"/>
                <w:szCs w:val="24"/>
                <w:lang w:val="en-US" w:eastAsia="zh-TW"/>
              </w:rPr>
              <w:t>(Year)</w:t>
            </w:r>
          </w:p>
        </w:tc>
        <w:tc>
          <w:tcPr>
            <w:tcW w:w="1087" w:type="dxa"/>
            <w:tcBorders>
              <w:top w:val="nil"/>
              <w:left w:val="nil"/>
              <w:bottom w:val="single" w:sz="4" w:space="0" w:color="auto"/>
              <w:right w:val="single" w:sz="4" w:space="0" w:color="auto"/>
            </w:tcBorders>
            <w:shd w:val="clear" w:color="000000" w:fill="DAE9F8"/>
            <w:vAlign w:val="center"/>
            <w:hideMark/>
          </w:tcPr>
          <w:p w14:paraId="3D19419F" w14:textId="77777777" w:rsidR="00067BA8" w:rsidRPr="00067BA8" w:rsidRDefault="00067BA8" w:rsidP="00E262FC">
            <w:pPr>
              <w:spacing w:line="360" w:lineRule="auto"/>
              <w:rPr>
                <w:rFonts w:eastAsia="Times New Roman"/>
                <w:b/>
                <w:bCs/>
                <w:color w:val="404040"/>
                <w:sz w:val="24"/>
                <w:szCs w:val="24"/>
                <w:lang w:val="en-US" w:eastAsia="zh-TW"/>
              </w:rPr>
            </w:pPr>
            <w:r w:rsidRPr="00067BA8">
              <w:rPr>
                <w:rFonts w:eastAsia="Times New Roman"/>
                <w:b/>
                <w:bCs/>
                <w:color w:val="404040"/>
                <w:sz w:val="24"/>
                <w:szCs w:val="24"/>
                <w:lang w:val="en-US" w:eastAsia="zh-TW"/>
              </w:rPr>
              <w:t>2022</w:t>
            </w:r>
          </w:p>
        </w:tc>
        <w:tc>
          <w:tcPr>
            <w:tcW w:w="880" w:type="dxa"/>
            <w:tcBorders>
              <w:top w:val="nil"/>
              <w:left w:val="nil"/>
              <w:bottom w:val="single" w:sz="4" w:space="0" w:color="auto"/>
              <w:right w:val="single" w:sz="4" w:space="0" w:color="auto"/>
            </w:tcBorders>
            <w:shd w:val="clear" w:color="000000" w:fill="DAE9F8"/>
            <w:vAlign w:val="center"/>
            <w:hideMark/>
          </w:tcPr>
          <w:p w14:paraId="0CF732A1" w14:textId="77777777" w:rsidR="00067BA8" w:rsidRPr="00067BA8" w:rsidRDefault="00067BA8" w:rsidP="00E262FC">
            <w:pPr>
              <w:spacing w:line="360" w:lineRule="auto"/>
              <w:rPr>
                <w:rFonts w:eastAsia="Times New Roman"/>
                <w:b/>
                <w:bCs/>
                <w:color w:val="404040"/>
                <w:sz w:val="24"/>
                <w:szCs w:val="24"/>
                <w:lang w:val="en-US" w:eastAsia="zh-TW"/>
              </w:rPr>
            </w:pPr>
            <w:r w:rsidRPr="00067BA8">
              <w:rPr>
                <w:rFonts w:eastAsia="Times New Roman"/>
                <w:b/>
                <w:bCs/>
                <w:color w:val="404040"/>
                <w:sz w:val="24"/>
                <w:szCs w:val="24"/>
                <w:lang w:val="en-US" w:eastAsia="zh-TW"/>
              </w:rPr>
              <w:t>2023</w:t>
            </w:r>
          </w:p>
        </w:tc>
        <w:tc>
          <w:tcPr>
            <w:tcW w:w="880" w:type="dxa"/>
            <w:tcBorders>
              <w:top w:val="nil"/>
              <w:left w:val="nil"/>
              <w:bottom w:val="single" w:sz="4" w:space="0" w:color="auto"/>
              <w:right w:val="single" w:sz="4" w:space="0" w:color="auto"/>
            </w:tcBorders>
            <w:shd w:val="clear" w:color="000000" w:fill="DAE9F8"/>
            <w:vAlign w:val="center"/>
            <w:hideMark/>
          </w:tcPr>
          <w:p w14:paraId="025DF101" w14:textId="77777777" w:rsidR="00067BA8" w:rsidRPr="00067BA8" w:rsidRDefault="00067BA8" w:rsidP="00E262FC">
            <w:pPr>
              <w:spacing w:line="360" w:lineRule="auto"/>
              <w:rPr>
                <w:rFonts w:eastAsia="Times New Roman"/>
                <w:b/>
                <w:bCs/>
                <w:color w:val="404040"/>
                <w:sz w:val="24"/>
                <w:szCs w:val="24"/>
                <w:lang w:val="en-US" w:eastAsia="zh-TW"/>
              </w:rPr>
            </w:pPr>
            <w:r w:rsidRPr="00067BA8">
              <w:rPr>
                <w:rFonts w:eastAsia="Times New Roman"/>
                <w:b/>
                <w:bCs/>
                <w:color w:val="404040"/>
                <w:sz w:val="24"/>
                <w:szCs w:val="24"/>
                <w:lang w:val="en-US" w:eastAsia="zh-TW"/>
              </w:rPr>
              <w:t>2024</w:t>
            </w:r>
          </w:p>
        </w:tc>
        <w:tc>
          <w:tcPr>
            <w:tcW w:w="912" w:type="dxa"/>
            <w:tcBorders>
              <w:top w:val="nil"/>
              <w:left w:val="nil"/>
              <w:bottom w:val="single" w:sz="4" w:space="0" w:color="auto"/>
              <w:right w:val="single" w:sz="4" w:space="0" w:color="auto"/>
            </w:tcBorders>
            <w:shd w:val="clear" w:color="000000" w:fill="DAE9F8"/>
            <w:vAlign w:val="center"/>
            <w:hideMark/>
          </w:tcPr>
          <w:p w14:paraId="68F374C6" w14:textId="77777777" w:rsidR="00067BA8" w:rsidRPr="00067BA8" w:rsidRDefault="00067BA8" w:rsidP="00E262FC">
            <w:pPr>
              <w:spacing w:line="360" w:lineRule="auto"/>
              <w:rPr>
                <w:rFonts w:eastAsia="Times New Roman"/>
                <w:b/>
                <w:bCs/>
                <w:color w:val="404040"/>
                <w:sz w:val="24"/>
                <w:szCs w:val="24"/>
                <w:lang w:val="en-US" w:eastAsia="zh-TW"/>
              </w:rPr>
            </w:pPr>
            <w:r w:rsidRPr="00067BA8">
              <w:rPr>
                <w:rFonts w:eastAsia="Times New Roman"/>
                <w:b/>
                <w:bCs/>
                <w:color w:val="404040"/>
                <w:sz w:val="24"/>
                <w:szCs w:val="24"/>
                <w:lang w:val="en-US" w:eastAsia="zh-TW"/>
              </w:rPr>
              <w:t>2022-2024 (3-yr avg)</w:t>
            </w:r>
          </w:p>
        </w:tc>
        <w:tc>
          <w:tcPr>
            <w:tcW w:w="1203" w:type="dxa"/>
            <w:tcBorders>
              <w:top w:val="nil"/>
              <w:left w:val="nil"/>
              <w:bottom w:val="single" w:sz="4" w:space="0" w:color="auto"/>
              <w:right w:val="single" w:sz="4" w:space="0" w:color="auto"/>
            </w:tcBorders>
            <w:shd w:val="clear" w:color="000000" w:fill="DAE9F8"/>
            <w:vAlign w:val="center"/>
            <w:hideMark/>
          </w:tcPr>
          <w:p w14:paraId="5ED3BFB9" w14:textId="77777777" w:rsidR="00067BA8" w:rsidRPr="00067BA8" w:rsidRDefault="00067BA8" w:rsidP="00E262FC">
            <w:pPr>
              <w:spacing w:line="360" w:lineRule="auto"/>
              <w:rPr>
                <w:rFonts w:eastAsia="Times New Roman"/>
                <w:b/>
                <w:bCs/>
                <w:color w:val="404040"/>
                <w:sz w:val="24"/>
                <w:szCs w:val="24"/>
                <w:lang w:val="en-US" w:eastAsia="zh-TW"/>
              </w:rPr>
            </w:pPr>
            <w:r w:rsidRPr="00067BA8">
              <w:rPr>
                <w:rFonts w:eastAsia="Times New Roman"/>
                <w:b/>
                <w:bCs/>
                <w:color w:val="404040"/>
                <w:sz w:val="24"/>
                <w:szCs w:val="24"/>
                <w:lang w:val="en-US" w:eastAsia="zh-TW"/>
              </w:rPr>
              <w:t>2024</w:t>
            </w:r>
          </w:p>
        </w:tc>
        <w:tc>
          <w:tcPr>
            <w:tcW w:w="1133" w:type="dxa"/>
            <w:tcBorders>
              <w:top w:val="nil"/>
              <w:left w:val="nil"/>
              <w:bottom w:val="single" w:sz="4" w:space="0" w:color="auto"/>
              <w:right w:val="single" w:sz="4" w:space="0" w:color="auto"/>
            </w:tcBorders>
            <w:shd w:val="clear" w:color="000000" w:fill="DAE9F8"/>
            <w:vAlign w:val="center"/>
            <w:hideMark/>
          </w:tcPr>
          <w:p w14:paraId="7C6F0D58" w14:textId="77777777" w:rsidR="00067BA8" w:rsidRPr="00067BA8" w:rsidRDefault="00067BA8" w:rsidP="00E262FC">
            <w:pPr>
              <w:spacing w:line="360" w:lineRule="auto"/>
              <w:rPr>
                <w:rFonts w:eastAsia="Times New Roman"/>
                <w:b/>
                <w:bCs/>
                <w:color w:val="404040"/>
                <w:sz w:val="24"/>
                <w:szCs w:val="24"/>
                <w:lang w:val="en-US" w:eastAsia="zh-TW"/>
              </w:rPr>
            </w:pPr>
            <w:r w:rsidRPr="00067BA8">
              <w:rPr>
                <w:rFonts w:eastAsia="Times New Roman"/>
                <w:b/>
                <w:bCs/>
                <w:color w:val="404040"/>
                <w:sz w:val="24"/>
                <w:szCs w:val="24"/>
                <w:lang w:val="en-US" w:eastAsia="zh-TW"/>
              </w:rPr>
              <w:t>2024</w:t>
            </w:r>
          </w:p>
        </w:tc>
        <w:tc>
          <w:tcPr>
            <w:tcW w:w="1363" w:type="dxa"/>
            <w:tcBorders>
              <w:top w:val="nil"/>
              <w:left w:val="nil"/>
              <w:bottom w:val="single" w:sz="4" w:space="0" w:color="auto"/>
              <w:right w:val="single" w:sz="4" w:space="0" w:color="auto"/>
            </w:tcBorders>
            <w:shd w:val="clear" w:color="000000" w:fill="DAE9F8"/>
            <w:vAlign w:val="center"/>
            <w:hideMark/>
          </w:tcPr>
          <w:p w14:paraId="4B5FF3CF" w14:textId="77777777" w:rsidR="00067BA8" w:rsidRPr="00067BA8" w:rsidRDefault="00067BA8" w:rsidP="00E262FC">
            <w:pPr>
              <w:spacing w:line="360" w:lineRule="auto"/>
              <w:rPr>
                <w:rFonts w:eastAsia="Times New Roman"/>
                <w:b/>
                <w:bCs/>
                <w:color w:val="404040"/>
                <w:sz w:val="24"/>
                <w:szCs w:val="24"/>
                <w:lang w:val="en-US" w:eastAsia="zh-TW"/>
              </w:rPr>
            </w:pPr>
            <w:r w:rsidRPr="00067BA8">
              <w:rPr>
                <w:rFonts w:eastAsia="Times New Roman"/>
                <w:b/>
                <w:bCs/>
                <w:color w:val="404040"/>
                <w:sz w:val="24"/>
                <w:szCs w:val="24"/>
                <w:lang w:val="en-US" w:eastAsia="zh-TW"/>
              </w:rPr>
              <w:t>2024 Average</w:t>
            </w:r>
          </w:p>
        </w:tc>
      </w:tr>
      <w:tr w:rsidR="00067BA8" w:rsidRPr="00937F54" w14:paraId="19C5DD4F" w14:textId="77777777" w:rsidTr="00504594">
        <w:trPr>
          <w:trHeight w:val="290"/>
        </w:trPr>
        <w:tc>
          <w:tcPr>
            <w:tcW w:w="1627" w:type="dxa"/>
            <w:tcBorders>
              <w:top w:val="nil"/>
              <w:left w:val="single" w:sz="4" w:space="0" w:color="auto"/>
              <w:bottom w:val="single" w:sz="4" w:space="0" w:color="auto"/>
              <w:right w:val="single" w:sz="4" w:space="0" w:color="auto"/>
            </w:tcBorders>
            <w:shd w:val="clear" w:color="000000" w:fill="DAE9F8"/>
            <w:vAlign w:val="center"/>
            <w:hideMark/>
          </w:tcPr>
          <w:p w14:paraId="522DB8C4" w14:textId="77777777" w:rsidR="00067BA8" w:rsidRPr="00067BA8" w:rsidRDefault="00067BA8" w:rsidP="00E262FC">
            <w:pPr>
              <w:spacing w:line="360" w:lineRule="auto"/>
              <w:rPr>
                <w:rFonts w:eastAsia="Times New Roman"/>
                <w:b/>
                <w:bCs/>
                <w:color w:val="404040"/>
                <w:sz w:val="24"/>
                <w:szCs w:val="24"/>
                <w:lang w:val="en-US" w:eastAsia="zh-TW"/>
              </w:rPr>
            </w:pPr>
            <w:r w:rsidRPr="00067BA8">
              <w:rPr>
                <w:rFonts w:eastAsia="Times New Roman"/>
                <w:b/>
                <w:bCs/>
                <w:color w:val="404040"/>
                <w:sz w:val="24"/>
                <w:szCs w:val="24"/>
                <w:lang w:val="en-US" w:eastAsia="zh-TW"/>
              </w:rPr>
              <w:t>ROA (after tax) (%)</w:t>
            </w:r>
          </w:p>
        </w:tc>
        <w:tc>
          <w:tcPr>
            <w:tcW w:w="1087" w:type="dxa"/>
            <w:tcBorders>
              <w:top w:val="nil"/>
              <w:left w:val="nil"/>
              <w:bottom w:val="single" w:sz="4" w:space="0" w:color="auto"/>
              <w:right w:val="single" w:sz="4" w:space="0" w:color="auto"/>
            </w:tcBorders>
            <w:shd w:val="clear" w:color="000000" w:fill="DAE9F8"/>
            <w:vAlign w:val="center"/>
            <w:hideMark/>
          </w:tcPr>
          <w:p w14:paraId="3F161025" w14:textId="77777777" w:rsidR="00067BA8" w:rsidRPr="00067BA8" w:rsidRDefault="00067BA8" w:rsidP="00E262FC">
            <w:pPr>
              <w:spacing w:line="360" w:lineRule="auto"/>
              <w:rPr>
                <w:rFonts w:eastAsia="Times New Roman"/>
                <w:color w:val="404040"/>
                <w:sz w:val="24"/>
                <w:szCs w:val="24"/>
                <w:lang w:val="en-US" w:eastAsia="zh-TW"/>
              </w:rPr>
            </w:pPr>
            <w:r w:rsidRPr="00067BA8">
              <w:rPr>
                <w:rFonts w:eastAsia="Times New Roman"/>
                <w:color w:val="404040"/>
                <w:sz w:val="24"/>
                <w:szCs w:val="24"/>
                <w:lang w:val="en-US" w:eastAsia="zh-TW"/>
              </w:rPr>
              <w:t>4.9</w:t>
            </w:r>
          </w:p>
        </w:tc>
        <w:tc>
          <w:tcPr>
            <w:tcW w:w="880" w:type="dxa"/>
            <w:tcBorders>
              <w:top w:val="nil"/>
              <w:left w:val="nil"/>
              <w:bottom w:val="single" w:sz="4" w:space="0" w:color="auto"/>
              <w:right w:val="single" w:sz="4" w:space="0" w:color="auto"/>
            </w:tcBorders>
            <w:shd w:val="clear" w:color="000000" w:fill="DAE9F8"/>
            <w:vAlign w:val="center"/>
            <w:hideMark/>
          </w:tcPr>
          <w:p w14:paraId="4C762638" w14:textId="77777777" w:rsidR="00067BA8" w:rsidRPr="00067BA8" w:rsidRDefault="00067BA8" w:rsidP="00E262FC">
            <w:pPr>
              <w:spacing w:line="360" w:lineRule="auto"/>
              <w:rPr>
                <w:rFonts w:eastAsia="Times New Roman"/>
                <w:color w:val="404040"/>
                <w:sz w:val="24"/>
                <w:szCs w:val="24"/>
                <w:lang w:val="en-US" w:eastAsia="zh-TW"/>
              </w:rPr>
            </w:pPr>
            <w:r w:rsidRPr="00067BA8">
              <w:rPr>
                <w:rFonts w:eastAsia="Times New Roman"/>
                <w:color w:val="404040"/>
                <w:sz w:val="24"/>
                <w:szCs w:val="24"/>
                <w:lang w:val="en-US" w:eastAsia="zh-TW"/>
              </w:rPr>
              <w:t>2.3</w:t>
            </w:r>
          </w:p>
        </w:tc>
        <w:tc>
          <w:tcPr>
            <w:tcW w:w="880" w:type="dxa"/>
            <w:tcBorders>
              <w:top w:val="nil"/>
              <w:left w:val="nil"/>
              <w:bottom w:val="single" w:sz="4" w:space="0" w:color="auto"/>
              <w:right w:val="single" w:sz="4" w:space="0" w:color="auto"/>
            </w:tcBorders>
            <w:shd w:val="clear" w:color="000000" w:fill="DAE9F8"/>
            <w:vAlign w:val="center"/>
            <w:hideMark/>
          </w:tcPr>
          <w:p w14:paraId="6BA516D2" w14:textId="77777777" w:rsidR="00067BA8" w:rsidRPr="00067BA8" w:rsidRDefault="00067BA8" w:rsidP="00E262FC">
            <w:pPr>
              <w:spacing w:line="360" w:lineRule="auto"/>
              <w:rPr>
                <w:rFonts w:eastAsia="Times New Roman"/>
                <w:color w:val="404040"/>
                <w:sz w:val="24"/>
                <w:szCs w:val="24"/>
                <w:lang w:val="en-US" w:eastAsia="zh-TW"/>
              </w:rPr>
            </w:pPr>
            <w:r w:rsidRPr="00067BA8">
              <w:rPr>
                <w:rFonts w:eastAsia="Times New Roman"/>
                <w:color w:val="404040"/>
                <w:sz w:val="24"/>
                <w:szCs w:val="24"/>
                <w:lang w:val="en-US" w:eastAsia="zh-TW"/>
              </w:rPr>
              <w:t>1</w:t>
            </w:r>
          </w:p>
        </w:tc>
        <w:tc>
          <w:tcPr>
            <w:tcW w:w="912" w:type="dxa"/>
            <w:tcBorders>
              <w:top w:val="nil"/>
              <w:left w:val="nil"/>
              <w:bottom w:val="single" w:sz="4" w:space="0" w:color="auto"/>
              <w:right w:val="single" w:sz="4" w:space="0" w:color="auto"/>
            </w:tcBorders>
            <w:shd w:val="clear" w:color="000000" w:fill="DAE9F8"/>
            <w:vAlign w:val="center"/>
            <w:hideMark/>
          </w:tcPr>
          <w:p w14:paraId="37696662" w14:textId="77777777" w:rsidR="00067BA8" w:rsidRPr="00067BA8" w:rsidRDefault="00067BA8" w:rsidP="00E262FC">
            <w:pPr>
              <w:spacing w:line="360" w:lineRule="auto"/>
              <w:rPr>
                <w:rFonts w:eastAsia="Times New Roman"/>
                <w:color w:val="404040"/>
                <w:sz w:val="24"/>
                <w:szCs w:val="24"/>
                <w:lang w:val="en-US" w:eastAsia="zh-TW"/>
              </w:rPr>
            </w:pPr>
            <w:r w:rsidRPr="00067BA8">
              <w:rPr>
                <w:rFonts w:eastAsia="Times New Roman"/>
                <w:color w:val="404040"/>
                <w:sz w:val="24"/>
                <w:szCs w:val="24"/>
                <w:lang w:val="en-US" w:eastAsia="zh-TW"/>
              </w:rPr>
              <w:t>2.7</w:t>
            </w:r>
          </w:p>
        </w:tc>
        <w:tc>
          <w:tcPr>
            <w:tcW w:w="1203" w:type="dxa"/>
            <w:tcBorders>
              <w:top w:val="nil"/>
              <w:left w:val="nil"/>
              <w:bottom w:val="single" w:sz="4" w:space="0" w:color="auto"/>
              <w:right w:val="single" w:sz="4" w:space="0" w:color="auto"/>
            </w:tcBorders>
            <w:shd w:val="clear" w:color="000000" w:fill="DAE9F8"/>
            <w:vAlign w:val="center"/>
            <w:hideMark/>
          </w:tcPr>
          <w:p w14:paraId="61898D40" w14:textId="77777777" w:rsidR="00067BA8" w:rsidRPr="00067BA8" w:rsidRDefault="00067BA8" w:rsidP="00E262FC">
            <w:pPr>
              <w:spacing w:line="360" w:lineRule="auto"/>
              <w:rPr>
                <w:rFonts w:eastAsia="Times New Roman"/>
                <w:color w:val="404040"/>
                <w:sz w:val="24"/>
                <w:szCs w:val="24"/>
                <w:lang w:val="en-US" w:eastAsia="zh-TW"/>
              </w:rPr>
            </w:pPr>
            <w:r w:rsidRPr="00067BA8">
              <w:rPr>
                <w:rFonts w:eastAsia="Times New Roman"/>
                <w:color w:val="404040"/>
                <w:sz w:val="24"/>
                <w:szCs w:val="24"/>
                <w:lang w:val="en-US" w:eastAsia="zh-TW"/>
              </w:rPr>
              <w:t>1.7</w:t>
            </w:r>
          </w:p>
        </w:tc>
        <w:tc>
          <w:tcPr>
            <w:tcW w:w="1133" w:type="dxa"/>
            <w:tcBorders>
              <w:top w:val="nil"/>
              <w:left w:val="nil"/>
              <w:bottom w:val="single" w:sz="4" w:space="0" w:color="auto"/>
              <w:right w:val="single" w:sz="4" w:space="0" w:color="auto"/>
            </w:tcBorders>
            <w:shd w:val="clear" w:color="000000" w:fill="DAE9F8"/>
            <w:vAlign w:val="center"/>
            <w:hideMark/>
          </w:tcPr>
          <w:p w14:paraId="74FCAD4F" w14:textId="77777777" w:rsidR="00067BA8" w:rsidRPr="00067BA8" w:rsidRDefault="00067BA8" w:rsidP="00E262FC">
            <w:pPr>
              <w:spacing w:line="360" w:lineRule="auto"/>
              <w:rPr>
                <w:rFonts w:eastAsia="Times New Roman"/>
                <w:color w:val="404040"/>
                <w:sz w:val="24"/>
                <w:szCs w:val="24"/>
                <w:lang w:val="en-US" w:eastAsia="zh-TW"/>
              </w:rPr>
            </w:pPr>
            <w:r w:rsidRPr="00067BA8">
              <w:rPr>
                <w:rFonts w:eastAsia="Times New Roman"/>
                <w:color w:val="404040"/>
                <w:sz w:val="24"/>
                <w:szCs w:val="24"/>
                <w:lang w:val="en-US" w:eastAsia="zh-TW"/>
              </w:rPr>
              <w:t>2.5</w:t>
            </w:r>
          </w:p>
        </w:tc>
        <w:tc>
          <w:tcPr>
            <w:tcW w:w="1363" w:type="dxa"/>
            <w:tcBorders>
              <w:top w:val="nil"/>
              <w:left w:val="nil"/>
              <w:bottom w:val="single" w:sz="4" w:space="0" w:color="auto"/>
              <w:right w:val="single" w:sz="4" w:space="0" w:color="auto"/>
            </w:tcBorders>
            <w:shd w:val="clear" w:color="000000" w:fill="DAE9F8"/>
            <w:vAlign w:val="center"/>
            <w:hideMark/>
          </w:tcPr>
          <w:p w14:paraId="1C91A078" w14:textId="77777777" w:rsidR="00067BA8" w:rsidRPr="00067BA8" w:rsidRDefault="00067BA8" w:rsidP="00E262FC">
            <w:pPr>
              <w:spacing w:line="360" w:lineRule="auto"/>
              <w:rPr>
                <w:rFonts w:eastAsia="Times New Roman"/>
                <w:color w:val="404040"/>
                <w:sz w:val="24"/>
                <w:szCs w:val="24"/>
                <w:lang w:val="en-US" w:eastAsia="zh-TW"/>
              </w:rPr>
            </w:pPr>
            <w:r w:rsidRPr="00067BA8">
              <w:rPr>
                <w:rFonts w:eastAsia="Times New Roman"/>
                <w:color w:val="404040"/>
                <w:sz w:val="24"/>
                <w:szCs w:val="24"/>
                <w:lang w:val="en-US" w:eastAsia="zh-TW"/>
              </w:rPr>
              <w:t>2.3</w:t>
            </w:r>
          </w:p>
        </w:tc>
      </w:tr>
      <w:tr w:rsidR="00067BA8" w:rsidRPr="00937F54" w14:paraId="090EE2CC" w14:textId="77777777" w:rsidTr="00504594">
        <w:trPr>
          <w:trHeight w:val="290"/>
        </w:trPr>
        <w:tc>
          <w:tcPr>
            <w:tcW w:w="1627" w:type="dxa"/>
            <w:tcBorders>
              <w:top w:val="nil"/>
              <w:left w:val="single" w:sz="4" w:space="0" w:color="auto"/>
              <w:bottom w:val="single" w:sz="4" w:space="0" w:color="auto"/>
              <w:right w:val="single" w:sz="4" w:space="0" w:color="auto"/>
            </w:tcBorders>
            <w:shd w:val="clear" w:color="000000" w:fill="DAE9F8"/>
            <w:vAlign w:val="center"/>
            <w:hideMark/>
          </w:tcPr>
          <w:p w14:paraId="56C7DEA3" w14:textId="77777777" w:rsidR="00067BA8" w:rsidRPr="00067BA8" w:rsidRDefault="00067BA8" w:rsidP="00E262FC">
            <w:pPr>
              <w:spacing w:line="360" w:lineRule="auto"/>
              <w:rPr>
                <w:rFonts w:eastAsia="Times New Roman"/>
                <w:b/>
                <w:bCs/>
                <w:color w:val="404040"/>
                <w:sz w:val="24"/>
                <w:szCs w:val="24"/>
                <w:lang w:val="en-US" w:eastAsia="zh-TW"/>
              </w:rPr>
            </w:pPr>
            <w:r w:rsidRPr="00067BA8">
              <w:rPr>
                <w:rFonts w:eastAsia="Times New Roman"/>
                <w:b/>
                <w:bCs/>
                <w:color w:val="404040"/>
                <w:sz w:val="24"/>
                <w:szCs w:val="24"/>
                <w:lang w:val="en-US" w:eastAsia="zh-TW"/>
              </w:rPr>
              <w:t>ROE (after tax) (%)</w:t>
            </w:r>
          </w:p>
        </w:tc>
        <w:tc>
          <w:tcPr>
            <w:tcW w:w="1087" w:type="dxa"/>
            <w:tcBorders>
              <w:top w:val="nil"/>
              <w:left w:val="nil"/>
              <w:bottom w:val="single" w:sz="4" w:space="0" w:color="auto"/>
              <w:right w:val="single" w:sz="4" w:space="0" w:color="auto"/>
            </w:tcBorders>
            <w:shd w:val="clear" w:color="000000" w:fill="DAE9F8"/>
            <w:vAlign w:val="center"/>
            <w:hideMark/>
          </w:tcPr>
          <w:p w14:paraId="4CB5033B" w14:textId="77777777" w:rsidR="00067BA8" w:rsidRPr="00067BA8" w:rsidRDefault="00067BA8" w:rsidP="00E262FC">
            <w:pPr>
              <w:spacing w:line="360" w:lineRule="auto"/>
              <w:rPr>
                <w:rFonts w:eastAsia="Times New Roman"/>
                <w:color w:val="404040"/>
                <w:sz w:val="24"/>
                <w:szCs w:val="24"/>
                <w:lang w:val="en-US" w:eastAsia="zh-TW"/>
              </w:rPr>
            </w:pPr>
            <w:r w:rsidRPr="00067BA8">
              <w:rPr>
                <w:rFonts w:eastAsia="Times New Roman"/>
                <w:color w:val="404040"/>
                <w:sz w:val="24"/>
                <w:szCs w:val="24"/>
                <w:lang w:val="en-US" w:eastAsia="zh-TW"/>
              </w:rPr>
              <w:t>9.8</w:t>
            </w:r>
          </w:p>
        </w:tc>
        <w:tc>
          <w:tcPr>
            <w:tcW w:w="880" w:type="dxa"/>
            <w:tcBorders>
              <w:top w:val="nil"/>
              <w:left w:val="nil"/>
              <w:bottom w:val="single" w:sz="4" w:space="0" w:color="auto"/>
              <w:right w:val="single" w:sz="4" w:space="0" w:color="auto"/>
            </w:tcBorders>
            <w:shd w:val="clear" w:color="000000" w:fill="DAE9F8"/>
            <w:vAlign w:val="center"/>
            <w:hideMark/>
          </w:tcPr>
          <w:p w14:paraId="5749DD7A" w14:textId="77777777" w:rsidR="00067BA8" w:rsidRPr="00067BA8" w:rsidRDefault="00067BA8" w:rsidP="00E262FC">
            <w:pPr>
              <w:spacing w:line="360" w:lineRule="auto"/>
              <w:rPr>
                <w:rFonts w:eastAsia="Times New Roman"/>
                <w:color w:val="404040"/>
                <w:sz w:val="24"/>
                <w:szCs w:val="24"/>
                <w:lang w:val="en-US" w:eastAsia="zh-TW"/>
              </w:rPr>
            </w:pPr>
            <w:r w:rsidRPr="00067BA8">
              <w:rPr>
                <w:rFonts w:eastAsia="Times New Roman"/>
                <w:color w:val="404040"/>
                <w:sz w:val="24"/>
                <w:szCs w:val="24"/>
                <w:lang w:val="en-US" w:eastAsia="zh-TW"/>
              </w:rPr>
              <w:t>4.6</w:t>
            </w:r>
          </w:p>
        </w:tc>
        <w:tc>
          <w:tcPr>
            <w:tcW w:w="880" w:type="dxa"/>
            <w:tcBorders>
              <w:top w:val="nil"/>
              <w:left w:val="nil"/>
              <w:bottom w:val="single" w:sz="4" w:space="0" w:color="auto"/>
              <w:right w:val="single" w:sz="4" w:space="0" w:color="auto"/>
            </w:tcBorders>
            <w:shd w:val="clear" w:color="000000" w:fill="DAE9F8"/>
            <w:vAlign w:val="center"/>
            <w:hideMark/>
          </w:tcPr>
          <w:p w14:paraId="47C27281" w14:textId="77777777" w:rsidR="00067BA8" w:rsidRPr="00067BA8" w:rsidRDefault="00067BA8" w:rsidP="00E262FC">
            <w:pPr>
              <w:spacing w:line="360" w:lineRule="auto"/>
              <w:rPr>
                <w:rFonts w:eastAsia="Times New Roman"/>
                <w:color w:val="404040"/>
                <w:sz w:val="24"/>
                <w:szCs w:val="24"/>
                <w:lang w:val="en-US" w:eastAsia="zh-TW"/>
              </w:rPr>
            </w:pPr>
            <w:r w:rsidRPr="00067BA8">
              <w:rPr>
                <w:rFonts w:eastAsia="Times New Roman"/>
                <w:color w:val="404040"/>
                <w:sz w:val="24"/>
                <w:szCs w:val="24"/>
                <w:lang w:val="en-US" w:eastAsia="zh-TW"/>
              </w:rPr>
              <w:t>1.9</w:t>
            </w:r>
          </w:p>
        </w:tc>
        <w:tc>
          <w:tcPr>
            <w:tcW w:w="912" w:type="dxa"/>
            <w:tcBorders>
              <w:top w:val="nil"/>
              <w:left w:val="nil"/>
              <w:bottom w:val="single" w:sz="4" w:space="0" w:color="auto"/>
              <w:right w:val="single" w:sz="4" w:space="0" w:color="auto"/>
            </w:tcBorders>
            <w:shd w:val="clear" w:color="000000" w:fill="DAE9F8"/>
            <w:vAlign w:val="center"/>
            <w:hideMark/>
          </w:tcPr>
          <w:p w14:paraId="09AF88E5" w14:textId="77777777" w:rsidR="00067BA8" w:rsidRPr="00067BA8" w:rsidRDefault="00067BA8" w:rsidP="00E262FC">
            <w:pPr>
              <w:spacing w:line="360" w:lineRule="auto"/>
              <w:rPr>
                <w:rFonts w:eastAsia="Times New Roman"/>
                <w:color w:val="404040"/>
                <w:sz w:val="24"/>
                <w:szCs w:val="24"/>
                <w:lang w:val="en-US" w:eastAsia="zh-TW"/>
              </w:rPr>
            </w:pPr>
            <w:r w:rsidRPr="00067BA8">
              <w:rPr>
                <w:rFonts w:eastAsia="Times New Roman"/>
                <w:color w:val="404040"/>
                <w:sz w:val="24"/>
                <w:szCs w:val="24"/>
                <w:lang w:val="en-US" w:eastAsia="zh-TW"/>
              </w:rPr>
              <w:t>5.4</w:t>
            </w:r>
          </w:p>
        </w:tc>
        <w:tc>
          <w:tcPr>
            <w:tcW w:w="1203" w:type="dxa"/>
            <w:tcBorders>
              <w:top w:val="nil"/>
              <w:left w:val="nil"/>
              <w:bottom w:val="single" w:sz="4" w:space="0" w:color="auto"/>
              <w:right w:val="single" w:sz="4" w:space="0" w:color="auto"/>
            </w:tcBorders>
            <w:shd w:val="clear" w:color="000000" w:fill="DAE9F8"/>
            <w:vAlign w:val="center"/>
            <w:hideMark/>
          </w:tcPr>
          <w:p w14:paraId="2E237E5A" w14:textId="77777777" w:rsidR="00067BA8" w:rsidRPr="00067BA8" w:rsidRDefault="00067BA8" w:rsidP="00E262FC">
            <w:pPr>
              <w:spacing w:line="360" w:lineRule="auto"/>
              <w:rPr>
                <w:rFonts w:eastAsia="Times New Roman"/>
                <w:color w:val="404040"/>
                <w:sz w:val="24"/>
                <w:szCs w:val="24"/>
                <w:lang w:val="en-US" w:eastAsia="zh-TW"/>
              </w:rPr>
            </w:pPr>
            <w:r w:rsidRPr="00067BA8">
              <w:rPr>
                <w:rFonts w:eastAsia="Times New Roman"/>
                <w:color w:val="404040"/>
                <w:sz w:val="24"/>
                <w:szCs w:val="24"/>
                <w:lang w:val="en-US" w:eastAsia="zh-TW"/>
              </w:rPr>
              <w:t>5.4</w:t>
            </w:r>
          </w:p>
        </w:tc>
        <w:tc>
          <w:tcPr>
            <w:tcW w:w="1133" w:type="dxa"/>
            <w:tcBorders>
              <w:top w:val="nil"/>
              <w:left w:val="nil"/>
              <w:bottom w:val="single" w:sz="4" w:space="0" w:color="auto"/>
              <w:right w:val="single" w:sz="4" w:space="0" w:color="auto"/>
            </w:tcBorders>
            <w:shd w:val="clear" w:color="000000" w:fill="DAE9F8"/>
            <w:vAlign w:val="center"/>
            <w:hideMark/>
          </w:tcPr>
          <w:p w14:paraId="22B30F46" w14:textId="77777777" w:rsidR="00067BA8" w:rsidRPr="00067BA8" w:rsidRDefault="00067BA8" w:rsidP="00E262FC">
            <w:pPr>
              <w:spacing w:line="360" w:lineRule="auto"/>
              <w:rPr>
                <w:rFonts w:eastAsia="Times New Roman"/>
                <w:color w:val="404040"/>
                <w:sz w:val="24"/>
                <w:szCs w:val="24"/>
                <w:lang w:val="en-US" w:eastAsia="zh-TW"/>
              </w:rPr>
            </w:pPr>
            <w:r w:rsidRPr="00067BA8">
              <w:rPr>
                <w:rFonts w:eastAsia="Times New Roman"/>
                <w:color w:val="404040"/>
                <w:sz w:val="24"/>
                <w:szCs w:val="24"/>
                <w:lang w:val="en-US" w:eastAsia="zh-TW"/>
              </w:rPr>
              <w:t>6.7</w:t>
            </w:r>
          </w:p>
        </w:tc>
        <w:tc>
          <w:tcPr>
            <w:tcW w:w="1363" w:type="dxa"/>
            <w:tcBorders>
              <w:top w:val="nil"/>
              <w:left w:val="nil"/>
              <w:bottom w:val="single" w:sz="4" w:space="0" w:color="auto"/>
              <w:right w:val="single" w:sz="4" w:space="0" w:color="auto"/>
            </w:tcBorders>
            <w:shd w:val="clear" w:color="000000" w:fill="DAE9F8"/>
            <w:vAlign w:val="center"/>
            <w:hideMark/>
          </w:tcPr>
          <w:p w14:paraId="4A5DBC55" w14:textId="77777777" w:rsidR="00067BA8" w:rsidRPr="00067BA8" w:rsidRDefault="00067BA8" w:rsidP="00E262FC">
            <w:pPr>
              <w:spacing w:line="360" w:lineRule="auto"/>
              <w:rPr>
                <w:rFonts w:eastAsia="Times New Roman"/>
                <w:color w:val="404040"/>
                <w:sz w:val="24"/>
                <w:szCs w:val="24"/>
                <w:lang w:val="en-US" w:eastAsia="zh-TW"/>
              </w:rPr>
            </w:pPr>
            <w:r w:rsidRPr="00067BA8">
              <w:rPr>
                <w:rFonts w:eastAsia="Times New Roman"/>
                <w:color w:val="404040"/>
                <w:sz w:val="24"/>
                <w:szCs w:val="24"/>
                <w:lang w:val="en-US" w:eastAsia="zh-TW"/>
              </w:rPr>
              <w:t>5.8</w:t>
            </w:r>
          </w:p>
        </w:tc>
      </w:tr>
    </w:tbl>
    <w:p w14:paraId="4C0A5017" w14:textId="77777777" w:rsidR="007A7FA8" w:rsidRPr="00937F54" w:rsidRDefault="007A7FA8" w:rsidP="00E262FC">
      <w:pPr>
        <w:spacing w:line="360" w:lineRule="auto"/>
        <w:rPr>
          <w:iCs/>
          <w:sz w:val="24"/>
          <w:szCs w:val="24"/>
          <w:lang w:val="en-US"/>
        </w:rPr>
      </w:pPr>
    </w:p>
    <w:p w14:paraId="46FAD57C" w14:textId="0751111E" w:rsidR="007A7FA8" w:rsidRPr="00937F54" w:rsidRDefault="007A7FA8" w:rsidP="00E262FC">
      <w:pPr>
        <w:spacing w:line="360" w:lineRule="auto"/>
        <w:rPr>
          <w:iCs/>
          <w:sz w:val="24"/>
          <w:szCs w:val="24"/>
          <w:lang w:val="en-US"/>
        </w:rPr>
      </w:pPr>
      <w:r w:rsidRPr="007A7FA8">
        <w:rPr>
          <w:iCs/>
          <w:sz w:val="24"/>
          <w:szCs w:val="24"/>
          <w:lang w:val="en-US"/>
        </w:rPr>
        <w:t>However, we find Tsui Wah has relative imbalances in several aspects of corporate governance that may directly damage economic efficiency:</w:t>
      </w:r>
    </w:p>
    <w:p w14:paraId="5AE6ED8D" w14:textId="77777777" w:rsidR="007A7FA8" w:rsidRPr="007A7FA8" w:rsidRDefault="007A7FA8" w:rsidP="00E262FC">
      <w:pPr>
        <w:spacing w:line="360" w:lineRule="auto"/>
        <w:rPr>
          <w:iCs/>
          <w:sz w:val="24"/>
          <w:szCs w:val="24"/>
          <w:lang w:val="en-US"/>
        </w:rPr>
      </w:pPr>
    </w:p>
    <w:p w14:paraId="1FDCC2ED" w14:textId="77777777" w:rsidR="007A7FA8" w:rsidRPr="007A7FA8" w:rsidRDefault="007A7FA8" w:rsidP="00E262FC">
      <w:pPr>
        <w:spacing w:line="360" w:lineRule="auto"/>
        <w:rPr>
          <w:b/>
          <w:bCs/>
          <w:iCs/>
          <w:sz w:val="24"/>
          <w:szCs w:val="24"/>
          <w:lang w:val="en-US"/>
        </w:rPr>
      </w:pPr>
      <w:r w:rsidRPr="007A7FA8">
        <w:rPr>
          <w:b/>
          <w:bCs/>
          <w:iCs/>
          <w:sz w:val="24"/>
          <w:szCs w:val="24"/>
          <w:lang w:val="en-US"/>
        </w:rPr>
        <w:t>Lack of Transparency in Operations</w:t>
      </w:r>
    </w:p>
    <w:p w14:paraId="732EBF82" w14:textId="77777777" w:rsidR="007A7FA8" w:rsidRPr="007A7FA8" w:rsidRDefault="007A7FA8" w:rsidP="00E262FC">
      <w:pPr>
        <w:spacing w:line="360" w:lineRule="auto"/>
        <w:rPr>
          <w:iCs/>
          <w:sz w:val="24"/>
          <w:szCs w:val="24"/>
          <w:lang w:val="en-US"/>
        </w:rPr>
      </w:pPr>
      <w:r w:rsidRPr="007A7FA8">
        <w:rPr>
          <w:iCs/>
          <w:sz w:val="24"/>
          <w:szCs w:val="24"/>
          <w:lang w:val="en-US"/>
        </w:rPr>
        <w:t xml:space="preserve">The company's annual report provides limited disclosure regarding related party transactions and potential conflicts of interest. While the Lee family maintains controlling interests through Cui Fa Limited, the full extent of business relationships and transactions between family-controlled entities and Tsui Wah operations </w:t>
      </w:r>
      <w:proofErr w:type="gramStart"/>
      <w:r w:rsidRPr="007A7FA8">
        <w:rPr>
          <w:iCs/>
          <w:sz w:val="24"/>
          <w:szCs w:val="24"/>
          <w:lang w:val="en-US"/>
        </w:rPr>
        <w:t>requires</w:t>
      </w:r>
      <w:proofErr w:type="gramEnd"/>
      <w:r w:rsidRPr="007A7FA8">
        <w:rPr>
          <w:iCs/>
          <w:sz w:val="24"/>
          <w:szCs w:val="24"/>
          <w:lang w:val="en-US"/>
        </w:rPr>
        <w:t xml:space="preserve"> greater transparency (Tsui Wah Holdings Limited, 2025).</w:t>
      </w:r>
    </w:p>
    <w:p w14:paraId="6375CE05" w14:textId="77777777" w:rsidR="007A7FA8" w:rsidRPr="007A7FA8" w:rsidRDefault="007A7FA8" w:rsidP="00E262FC">
      <w:pPr>
        <w:spacing w:line="360" w:lineRule="auto"/>
        <w:rPr>
          <w:b/>
          <w:bCs/>
          <w:iCs/>
          <w:sz w:val="24"/>
          <w:szCs w:val="24"/>
          <w:lang w:val="en-US"/>
        </w:rPr>
      </w:pPr>
      <w:r w:rsidRPr="007A7FA8">
        <w:rPr>
          <w:b/>
          <w:bCs/>
          <w:iCs/>
          <w:sz w:val="24"/>
          <w:szCs w:val="24"/>
          <w:lang w:val="en-US"/>
        </w:rPr>
        <w:t>Connected Transactions and Minority Shareholders' Interests</w:t>
      </w:r>
    </w:p>
    <w:p w14:paraId="396D6FF5" w14:textId="77777777" w:rsidR="007A7FA8" w:rsidRPr="007A7FA8" w:rsidRDefault="007A7FA8" w:rsidP="00E262FC">
      <w:pPr>
        <w:spacing w:line="360" w:lineRule="auto"/>
        <w:rPr>
          <w:iCs/>
          <w:sz w:val="24"/>
          <w:szCs w:val="24"/>
          <w:lang w:val="en-US"/>
        </w:rPr>
      </w:pPr>
      <w:r w:rsidRPr="007A7FA8">
        <w:rPr>
          <w:iCs/>
          <w:sz w:val="24"/>
          <w:szCs w:val="24"/>
          <w:lang w:val="en-US"/>
        </w:rPr>
        <w:lastRenderedPageBreak/>
        <w:t>The concentration of executive positions within the founding family may create situations where minority shareholders' interests are not adequately represented in major business decisions, particularly regarding expansion strategies and capital allocation priorities.</w:t>
      </w:r>
    </w:p>
    <w:p w14:paraId="366CD130" w14:textId="77777777" w:rsidR="007A7FA8" w:rsidRPr="007A7FA8" w:rsidRDefault="007A7FA8" w:rsidP="00E262FC">
      <w:pPr>
        <w:spacing w:line="360" w:lineRule="auto"/>
        <w:rPr>
          <w:b/>
          <w:bCs/>
          <w:iCs/>
          <w:sz w:val="24"/>
          <w:szCs w:val="24"/>
          <w:lang w:val="en-US"/>
        </w:rPr>
      </w:pPr>
      <w:r w:rsidRPr="007A7FA8">
        <w:rPr>
          <w:b/>
          <w:bCs/>
          <w:iCs/>
          <w:sz w:val="24"/>
          <w:szCs w:val="24"/>
          <w:lang w:val="en-US"/>
        </w:rPr>
        <w:t>Board Independence Challenges</w:t>
      </w:r>
    </w:p>
    <w:p w14:paraId="07A1E759" w14:textId="77777777" w:rsidR="007A7FA8" w:rsidRPr="007A7FA8" w:rsidRDefault="007A7FA8" w:rsidP="00E262FC">
      <w:pPr>
        <w:spacing w:line="360" w:lineRule="auto"/>
        <w:rPr>
          <w:iCs/>
          <w:sz w:val="24"/>
          <w:szCs w:val="24"/>
          <w:lang w:val="en-US"/>
        </w:rPr>
      </w:pPr>
      <w:r w:rsidRPr="007A7FA8">
        <w:rPr>
          <w:iCs/>
          <w:sz w:val="24"/>
          <w:szCs w:val="24"/>
          <w:lang w:val="en-US"/>
        </w:rPr>
        <w:t xml:space="preserve">While Tsui Wah maintains independent non-executive directors including Mr. Tang Man Tsz, Mr. Yim Kwok Man, and Mr. </w:t>
      </w:r>
      <w:proofErr w:type="gramStart"/>
      <w:r w:rsidRPr="007A7FA8">
        <w:rPr>
          <w:iCs/>
          <w:sz w:val="24"/>
          <w:szCs w:val="24"/>
          <w:lang w:val="en-US"/>
        </w:rPr>
        <w:t>So</w:t>
      </w:r>
      <w:proofErr w:type="gramEnd"/>
      <w:r w:rsidRPr="007A7FA8">
        <w:rPr>
          <w:iCs/>
          <w:sz w:val="24"/>
          <w:szCs w:val="24"/>
          <w:lang w:val="en-US"/>
        </w:rPr>
        <w:t xml:space="preserve"> Chi Man, the dominance of family members in executive positions may limit the effectiveness of independent oversight and strategic challenge (Tsui Wah Holdings Limited, 2025).</w:t>
      </w:r>
    </w:p>
    <w:p w14:paraId="6934EAB1" w14:textId="77777777" w:rsidR="007A7FA8" w:rsidRPr="007A7FA8" w:rsidRDefault="007A7FA8" w:rsidP="00E262FC">
      <w:pPr>
        <w:spacing w:line="360" w:lineRule="auto"/>
        <w:rPr>
          <w:b/>
          <w:bCs/>
          <w:iCs/>
          <w:sz w:val="24"/>
          <w:szCs w:val="24"/>
          <w:lang w:val="en-US"/>
        </w:rPr>
      </w:pPr>
      <w:r w:rsidRPr="007A7FA8">
        <w:rPr>
          <w:b/>
          <w:bCs/>
          <w:iCs/>
          <w:sz w:val="24"/>
          <w:szCs w:val="24"/>
          <w:lang w:val="en-US"/>
        </w:rPr>
        <w:t>Risk Management Deficiencies</w:t>
      </w:r>
    </w:p>
    <w:p w14:paraId="2E1C6C55" w14:textId="77777777" w:rsidR="007A7FA8" w:rsidRPr="007A7FA8" w:rsidRDefault="007A7FA8" w:rsidP="00E262FC">
      <w:pPr>
        <w:spacing w:line="360" w:lineRule="auto"/>
        <w:rPr>
          <w:iCs/>
          <w:sz w:val="24"/>
          <w:szCs w:val="24"/>
          <w:lang w:val="en-US"/>
        </w:rPr>
      </w:pPr>
      <w:r w:rsidRPr="007A7FA8">
        <w:rPr>
          <w:iCs/>
          <w:sz w:val="24"/>
          <w:szCs w:val="24"/>
          <w:lang w:val="en-US"/>
        </w:rPr>
        <w:t>The company's risk management framework shows gaps in:</w:t>
      </w:r>
    </w:p>
    <w:p w14:paraId="1374BF2A" w14:textId="77777777" w:rsidR="007A7FA8" w:rsidRPr="007A7FA8" w:rsidRDefault="007A7FA8" w:rsidP="00E262FC">
      <w:pPr>
        <w:numPr>
          <w:ilvl w:val="0"/>
          <w:numId w:val="12"/>
        </w:numPr>
        <w:spacing w:line="360" w:lineRule="auto"/>
        <w:rPr>
          <w:iCs/>
          <w:sz w:val="24"/>
          <w:szCs w:val="24"/>
          <w:lang w:val="en-US"/>
        </w:rPr>
      </w:pPr>
      <w:r w:rsidRPr="007A7FA8">
        <w:rPr>
          <w:b/>
          <w:bCs/>
          <w:iCs/>
          <w:sz w:val="24"/>
          <w:szCs w:val="24"/>
          <w:lang w:val="en-US"/>
        </w:rPr>
        <w:t>Market Risk Assessment:</w:t>
      </w:r>
      <w:r w:rsidRPr="007A7FA8">
        <w:rPr>
          <w:iCs/>
          <w:sz w:val="24"/>
          <w:szCs w:val="24"/>
          <w:lang w:val="en-US"/>
        </w:rPr>
        <w:t xml:space="preserve"> Limited diversification strategies to address changing consumer preferences</w:t>
      </w:r>
    </w:p>
    <w:p w14:paraId="00D67046" w14:textId="77777777" w:rsidR="007A7FA8" w:rsidRPr="007A7FA8" w:rsidRDefault="007A7FA8" w:rsidP="00E262FC">
      <w:pPr>
        <w:numPr>
          <w:ilvl w:val="0"/>
          <w:numId w:val="12"/>
        </w:numPr>
        <w:spacing w:line="360" w:lineRule="auto"/>
        <w:rPr>
          <w:iCs/>
          <w:sz w:val="24"/>
          <w:szCs w:val="24"/>
          <w:lang w:val="en-US"/>
        </w:rPr>
      </w:pPr>
      <w:r w:rsidRPr="007A7FA8">
        <w:rPr>
          <w:b/>
          <w:bCs/>
          <w:iCs/>
          <w:sz w:val="24"/>
          <w:szCs w:val="24"/>
          <w:lang w:val="en-US"/>
        </w:rPr>
        <w:t>Operational Risk Management:</w:t>
      </w:r>
      <w:r w:rsidRPr="007A7FA8">
        <w:rPr>
          <w:iCs/>
          <w:sz w:val="24"/>
          <w:szCs w:val="24"/>
          <w:lang w:val="en-US"/>
        </w:rPr>
        <w:t xml:space="preserve"> Insufficient contingency planning for economic downturns</w:t>
      </w:r>
    </w:p>
    <w:p w14:paraId="3D9DE1E1" w14:textId="77777777" w:rsidR="007A7FA8" w:rsidRPr="007A7FA8" w:rsidRDefault="007A7FA8" w:rsidP="00E262FC">
      <w:pPr>
        <w:numPr>
          <w:ilvl w:val="0"/>
          <w:numId w:val="12"/>
        </w:numPr>
        <w:spacing w:line="360" w:lineRule="auto"/>
        <w:rPr>
          <w:iCs/>
          <w:sz w:val="24"/>
          <w:szCs w:val="24"/>
          <w:lang w:val="en-US"/>
        </w:rPr>
      </w:pPr>
      <w:r w:rsidRPr="007A7FA8">
        <w:rPr>
          <w:b/>
          <w:bCs/>
          <w:iCs/>
          <w:sz w:val="24"/>
          <w:szCs w:val="24"/>
          <w:lang w:val="en-US"/>
        </w:rPr>
        <w:t>Strategic Risk Oversight:</w:t>
      </w:r>
      <w:r w:rsidRPr="007A7FA8">
        <w:rPr>
          <w:iCs/>
          <w:sz w:val="24"/>
          <w:szCs w:val="24"/>
          <w:lang w:val="en-US"/>
        </w:rPr>
        <w:t xml:space="preserve"> Lack of comprehensive succession planning beyond family leadership</w:t>
      </w:r>
    </w:p>
    <w:p w14:paraId="28ABD6D3" w14:textId="77777777" w:rsidR="00E734A0" w:rsidRPr="00E734A0" w:rsidRDefault="00E734A0" w:rsidP="00E262FC">
      <w:pPr>
        <w:spacing w:line="360" w:lineRule="auto"/>
        <w:rPr>
          <w:b/>
          <w:bCs/>
          <w:iCs/>
          <w:sz w:val="24"/>
          <w:szCs w:val="24"/>
          <w:lang w:val="en-US"/>
        </w:rPr>
      </w:pPr>
      <w:r w:rsidRPr="00E734A0">
        <w:rPr>
          <w:b/>
          <w:bCs/>
          <w:iCs/>
          <w:sz w:val="24"/>
          <w:szCs w:val="24"/>
          <w:lang w:val="en-US"/>
        </w:rPr>
        <w:t>3.3 Suggestions for Improvement</w:t>
      </w:r>
    </w:p>
    <w:p w14:paraId="635D19B8" w14:textId="77777777" w:rsidR="00E734A0" w:rsidRPr="00E734A0" w:rsidRDefault="00E734A0" w:rsidP="00E262FC">
      <w:pPr>
        <w:spacing w:line="360" w:lineRule="auto"/>
        <w:rPr>
          <w:iCs/>
          <w:sz w:val="24"/>
          <w:szCs w:val="24"/>
          <w:lang w:val="en-US"/>
        </w:rPr>
      </w:pPr>
      <w:r w:rsidRPr="00E734A0">
        <w:rPr>
          <w:iCs/>
          <w:sz w:val="24"/>
          <w:szCs w:val="24"/>
          <w:lang w:val="en-US"/>
        </w:rPr>
        <w:t>We recommend that Tsui Wah pay attention to these issues and consider the following suggestions for improvements:</w:t>
      </w:r>
    </w:p>
    <w:p w14:paraId="05B0831C" w14:textId="77777777" w:rsidR="00E734A0" w:rsidRPr="00E734A0" w:rsidRDefault="00E734A0" w:rsidP="00E262FC">
      <w:pPr>
        <w:spacing w:line="360" w:lineRule="auto"/>
        <w:rPr>
          <w:b/>
          <w:bCs/>
          <w:iCs/>
          <w:sz w:val="24"/>
          <w:szCs w:val="24"/>
          <w:lang w:val="en-US"/>
        </w:rPr>
      </w:pPr>
      <w:r w:rsidRPr="00E734A0">
        <w:rPr>
          <w:b/>
          <w:bCs/>
          <w:iCs/>
          <w:sz w:val="24"/>
          <w:szCs w:val="24"/>
          <w:lang w:val="en-US"/>
        </w:rPr>
        <w:t>1. Enhanced Board Independence and Effectiveness</w:t>
      </w:r>
    </w:p>
    <w:p w14:paraId="5FA285CA" w14:textId="77777777" w:rsidR="00E734A0" w:rsidRPr="00E734A0" w:rsidRDefault="00E734A0" w:rsidP="00E262FC">
      <w:pPr>
        <w:numPr>
          <w:ilvl w:val="0"/>
          <w:numId w:val="13"/>
        </w:numPr>
        <w:spacing w:line="360" w:lineRule="auto"/>
        <w:rPr>
          <w:iCs/>
          <w:sz w:val="24"/>
          <w:szCs w:val="24"/>
          <w:lang w:val="en-US"/>
        </w:rPr>
      </w:pPr>
      <w:r w:rsidRPr="00E734A0">
        <w:rPr>
          <w:iCs/>
          <w:sz w:val="24"/>
          <w:szCs w:val="24"/>
          <w:lang w:val="en-US"/>
        </w:rPr>
        <w:t>Separation of Chairman and CEO roles: Consider appointing an independent Chairman to provide objective leadership while maintaining family operational control</w:t>
      </w:r>
    </w:p>
    <w:p w14:paraId="78F36E32" w14:textId="77777777" w:rsidR="00E734A0" w:rsidRPr="00E734A0" w:rsidRDefault="00E734A0" w:rsidP="00E262FC">
      <w:pPr>
        <w:numPr>
          <w:ilvl w:val="0"/>
          <w:numId w:val="13"/>
        </w:numPr>
        <w:spacing w:line="360" w:lineRule="auto"/>
        <w:rPr>
          <w:iCs/>
          <w:sz w:val="24"/>
          <w:szCs w:val="24"/>
          <w:lang w:val="en-US"/>
        </w:rPr>
      </w:pPr>
      <w:r w:rsidRPr="00E734A0">
        <w:rPr>
          <w:iCs/>
          <w:sz w:val="24"/>
          <w:szCs w:val="24"/>
          <w:lang w:val="en-US"/>
        </w:rPr>
        <w:t>Strengthen independent director monitoring: Enhance the board's credibility and public and minority shareholders' confidence through more robust committee structures</w:t>
      </w:r>
    </w:p>
    <w:p w14:paraId="2DD76FDF" w14:textId="77777777" w:rsidR="00E734A0" w:rsidRPr="00E734A0" w:rsidRDefault="00E734A0" w:rsidP="00E262FC">
      <w:pPr>
        <w:spacing w:line="360" w:lineRule="auto"/>
        <w:rPr>
          <w:b/>
          <w:bCs/>
          <w:iCs/>
          <w:sz w:val="24"/>
          <w:szCs w:val="24"/>
          <w:lang w:val="en-US"/>
        </w:rPr>
      </w:pPr>
      <w:r w:rsidRPr="00E734A0">
        <w:rPr>
          <w:b/>
          <w:bCs/>
          <w:iCs/>
          <w:sz w:val="24"/>
          <w:szCs w:val="24"/>
          <w:lang w:val="en-US"/>
        </w:rPr>
        <w:t>2. Improved Transparency and Disclosure</w:t>
      </w:r>
    </w:p>
    <w:p w14:paraId="3CEB93A8" w14:textId="77777777" w:rsidR="00E734A0" w:rsidRPr="00E734A0" w:rsidRDefault="00E734A0" w:rsidP="00E262FC">
      <w:pPr>
        <w:numPr>
          <w:ilvl w:val="0"/>
          <w:numId w:val="14"/>
        </w:numPr>
        <w:spacing w:line="360" w:lineRule="auto"/>
        <w:rPr>
          <w:iCs/>
          <w:sz w:val="24"/>
          <w:szCs w:val="24"/>
          <w:lang w:val="en-US"/>
        </w:rPr>
      </w:pPr>
      <w:r w:rsidRPr="00E734A0">
        <w:rPr>
          <w:iCs/>
          <w:sz w:val="24"/>
          <w:szCs w:val="24"/>
          <w:lang w:val="en-US"/>
        </w:rPr>
        <w:t>Strengthen enterprise transparency: Provide more comprehensive disclosure of related party transactions and potential conflicts of interest</w:t>
      </w:r>
    </w:p>
    <w:p w14:paraId="348C5F1C" w14:textId="77777777" w:rsidR="00E734A0" w:rsidRPr="00937F54" w:rsidRDefault="00E734A0" w:rsidP="00E262FC">
      <w:pPr>
        <w:numPr>
          <w:ilvl w:val="0"/>
          <w:numId w:val="14"/>
        </w:numPr>
        <w:spacing w:line="360" w:lineRule="auto"/>
        <w:rPr>
          <w:iCs/>
          <w:sz w:val="24"/>
          <w:szCs w:val="24"/>
          <w:lang w:val="en-US"/>
        </w:rPr>
      </w:pPr>
      <w:r w:rsidRPr="00E734A0">
        <w:rPr>
          <w:iCs/>
          <w:sz w:val="24"/>
          <w:szCs w:val="24"/>
          <w:lang w:val="en-US"/>
        </w:rPr>
        <w:t>Enhanced Financial Reporting: Implement more detailed segment reporting and performance metrics disclosure</w:t>
      </w:r>
    </w:p>
    <w:p w14:paraId="7F2B54B4" w14:textId="77777777" w:rsidR="00E734A0" w:rsidRDefault="00E734A0" w:rsidP="00E262FC">
      <w:pPr>
        <w:spacing w:line="360" w:lineRule="auto"/>
        <w:ind w:left="720"/>
        <w:rPr>
          <w:iCs/>
          <w:sz w:val="24"/>
          <w:szCs w:val="24"/>
          <w:lang w:val="en-US"/>
        </w:rPr>
      </w:pPr>
    </w:p>
    <w:p w14:paraId="446E1DB3" w14:textId="77777777" w:rsidR="00FF3AA9" w:rsidRDefault="00FF3AA9" w:rsidP="00E262FC">
      <w:pPr>
        <w:spacing w:line="360" w:lineRule="auto"/>
        <w:ind w:left="720"/>
        <w:rPr>
          <w:iCs/>
          <w:sz w:val="24"/>
          <w:szCs w:val="24"/>
          <w:lang w:val="en-US"/>
        </w:rPr>
      </w:pPr>
    </w:p>
    <w:p w14:paraId="04427FBB" w14:textId="77777777" w:rsidR="00FF3AA9" w:rsidRPr="00E734A0" w:rsidRDefault="00FF3AA9" w:rsidP="00E262FC">
      <w:pPr>
        <w:spacing w:line="360" w:lineRule="auto"/>
        <w:ind w:left="720"/>
        <w:rPr>
          <w:iCs/>
          <w:sz w:val="24"/>
          <w:szCs w:val="24"/>
          <w:lang w:val="en-US"/>
        </w:rPr>
      </w:pPr>
    </w:p>
    <w:p w14:paraId="08298F2A" w14:textId="77777777" w:rsidR="00E734A0" w:rsidRPr="00E734A0" w:rsidRDefault="00E734A0" w:rsidP="00E262FC">
      <w:pPr>
        <w:spacing w:line="360" w:lineRule="auto"/>
        <w:rPr>
          <w:b/>
          <w:bCs/>
          <w:iCs/>
          <w:sz w:val="24"/>
          <w:szCs w:val="24"/>
          <w:lang w:val="en-US"/>
        </w:rPr>
      </w:pPr>
      <w:r w:rsidRPr="00E734A0">
        <w:rPr>
          <w:b/>
          <w:bCs/>
          <w:iCs/>
          <w:sz w:val="24"/>
          <w:szCs w:val="24"/>
          <w:lang w:val="en-US"/>
        </w:rPr>
        <w:lastRenderedPageBreak/>
        <w:t>3. Strengthened Internal Control Systems</w:t>
      </w:r>
    </w:p>
    <w:p w14:paraId="3D65F781" w14:textId="77777777" w:rsidR="00E734A0" w:rsidRPr="00E734A0" w:rsidRDefault="00E734A0" w:rsidP="00E262FC">
      <w:pPr>
        <w:numPr>
          <w:ilvl w:val="0"/>
          <w:numId w:val="15"/>
        </w:numPr>
        <w:spacing w:line="360" w:lineRule="auto"/>
        <w:rPr>
          <w:iCs/>
          <w:sz w:val="24"/>
          <w:szCs w:val="24"/>
          <w:lang w:val="en-US"/>
        </w:rPr>
      </w:pPr>
      <w:r w:rsidRPr="00E734A0">
        <w:rPr>
          <w:iCs/>
          <w:sz w:val="24"/>
          <w:szCs w:val="24"/>
          <w:lang w:val="en-US"/>
        </w:rPr>
        <w:t>Tighten internal controls: Clarify internal control responsibilities to ensure effective departmental monitoring and trading oversight</w:t>
      </w:r>
    </w:p>
    <w:p w14:paraId="0BD4E104" w14:textId="77777777" w:rsidR="00E734A0" w:rsidRPr="00E734A0" w:rsidRDefault="00E734A0" w:rsidP="00E262FC">
      <w:pPr>
        <w:numPr>
          <w:ilvl w:val="0"/>
          <w:numId w:val="15"/>
        </w:numPr>
        <w:spacing w:line="360" w:lineRule="auto"/>
        <w:rPr>
          <w:iCs/>
          <w:sz w:val="24"/>
          <w:szCs w:val="24"/>
          <w:lang w:val="en-US"/>
        </w:rPr>
      </w:pPr>
      <w:r w:rsidRPr="00E734A0">
        <w:rPr>
          <w:iCs/>
          <w:sz w:val="24"/>
          <w:szCs w:val="24"/>
          <w:lang w:val="en-US"/>
        </w:rPr>
        <w:t>Centralized Internal Control Panel: Strengthen functions with irregular spot checks to confirm smooth departmental operations</w:t>
      </w:r>
    </w:p>
    <w:p w14:paraId="00C8FF12" w14:textId="77777777" w:rsidR="00E734A0" w:rsidRPr="00E734A0" w:rsidRDefault="00E734A0" w:rsidP="00E262FC">
      <w:pPr>
        <w:spacing w:line="360" w:lineRule="auto"/>
        <w:rPr>
          <w:b/>
          <w:bCs/>
          <w:iCs/>
          <w:sz w:val="24"/>
          <w:szCs w:val="24"/>
          <w:lang w:val="en-US"/>
        </w:rPr>
      </w:pPr>
      <w:r w:rsidRPr="00E734A0">
        <w:rPr>
          <w:b/>
          <w:bCs/>
          <w:iCs/>
          <w:sz w:val="24"/>
          <w:szCs w:val="24"/>
          <w:lang w:val="en-US"/>
        </w:rPr>
        <w:t>4. Strategic Risk Management Enhancement</w:t>
      </w:r>
    </w:p>
    <w:p w14:paraId="39EDF3E3" w14:textId="77777777" w:rsidR="00E734A0" w:rsidRPr="00E734A0" w:rsidRDefault="00E734A0" w:rsidP="00E262FC">
      <w:pPr>
        <w:numPr>
          <w:ilvl w:val="0"/>
          <w:numId w:val="16"/>
        </w:numPr>
        <w:spacing w:line="360" w:lineRule="auto"/>
        <w:rPr>
          <w:iCs/>
          <w:sz w:val="24"/>
          <w:szCs w:val="24"/>
          <w:lang w:val="en-US"/>
        </w:rPr>
      </w:pPr>
      <w:r w:rsidRPr="00E734A0">
        <w:rPr>
          <w:iCs/>
          <w:sz w:val="24"/>
          <w:szCs w:val="24"/>
          <w:lang w:val="en-US"/>
        </w:rPr>
        <w:t>Comprehensive Risk Assessment: Implement systematic risk identification and mitigation strategies across operational, financial, and strategic domains</w:t>
      </w:r>
    </w:p>
    <w:p w14:paraId="78B21498" w14:textId="77777777" w:rsidR="00E734A0" w:rsidRPr="00E734A0" w:rsidRDefault="00E734A0" w:rsidP="00E262FC">
      <w:pPr>
        <w:numPr>
          <w:ilvl w:val="0"/>
          <w:numId w:val="16"/>
        </w:numPr>
        <w:spacing w:line="360" w:lineRule="auto"/>
        <w:rPr>
          <w:iCs/>
          <w:sz w:val="24"/>
          <w:szCs w:val="24"/>
          <w:lang w:val="en-US"/>
        </w:rPr>
      </w:pPr>
      <w:r w:rsidRPr="00E734A0">
        <w:rPr>
          <w:iCs/>
          <w:sz w:val="24"/>
          <w:szCs w:val="24"/>
          <w:lang w:val="en-US"/>
        </w:rPr>
        <w:t>Succession Planning: Develop comprehensive leadership succession plans beyond family members</w:t>
      </w:r>
    </w:p>
    <w:p w14:paraId="62CCFB4F" w14:textId="77777777" w:rsidR="00E734A0" w:rsidRPr="00E734A0" w:rsidRDefault="00E734A0" w:rsidP="00E262FC">
      <w:pPr>
        <w:spacing w:line="360" w:lineRule="auto"/>
        <w:rPr>
          <w:b/>
          <w:bCs/>
          <w:iCs/>
          <w:sz w:val="24"/>
          <w:szCs w:val="24"/>
          <w:lang w:val="en-US"/>
        </w:rPr>
      </w:pPr>
      <w:r w:rsidRPr="00E734A0">
        <w:rPr>
          <w:b/>
          <w:bCs/>
          <w:iCs/>
          <w:sz w:val="24"/>
          <w:szCs w:val="24"/>
          <w:lang w:val="en-US"/>
        </w:rPr>
        <w:t>5. Stakeholder Engagement Improvement</w:t>
      </w:r>
    </w:p>
    <w:p w14:paraId="6CD1FBB5" w14:textId="77777777" w:rsidR="00E734A0" w:rsidRPr="00E734A0" w:rsidRDefault="00E734A0" w:rsidP="00E262FC">
      <w:pPr>
        <w:numPr>
          <w:ilvl w:val="0"/>
          <w:numId w:val="17"/>
        </w:numPr>
        <w:spacing w:line="360" w:lineRule="auto"/>
        <w:rPr>
          <w:iCs/>
          <w:sz w:val="24"/>
          <w:szCs w:val="24"/>
          <w:lang w:val="en-US"/>
        </w:rPr>
      </w:pPr>
      <w:r w:rsidRPr="00E734A0">
        <w:rPr>
          <w:iCs/>
          <w:sz w:val="24"/>
          <w:szCs w:val="24"/>
          <w:lang w:val="en-US"/>
        </w:rPr>
        <w:t>Minority Shareholder Protection: Establish mechanisms to ensure minority shareholders' voices are heard in major corporate decisions</w:t>
      </w:r>
    </w:p>
    <w:p w14:paraId="4EB2522D" w14:textId="77777777" w:rsidR="00E734A0" w:rsidRPr="00E734A0" w:rsidRDefault="00E734A0" w:rsidP="00E262FC">
      <w:pPr>
        <w:numPr>
          <w:ilvl w:val="0"/>
          <w:numId w:val="17"/>
        </w:numPr>
        <w:spacing w:line="360" w:lineRule="auto"/>
        <w:rPr>
          <w:iCs/>
          <w:sz w:val="24"/>
          <w:szCs w:val="24"/>
          <w:lang w:val="en-US"/>
        </w:rPr>
      </w:pPr>
      <w:r w:rsidRPr="00E734A0">
        <w:rPr>
          <w:iCs/>
          <w:sz w:val="24"/>
          <w:szCs w:val="24"/>
          <w:lang w:val="en-US"/>
        </w:rPr>
        <w:t>Enhanced Communication: Improve investor relations and stakeholder communication processes</w:t>
      </w:r>
    </w:p>
    <w:p w14:paraId="2A077944" w14:textId="77777777" w:rsidR="00E734A0" w:rsidRPr="00E734A0" w:rsidRDefault="00E734A0" w:rsidP="00E262FC">
      <w:pPr>
        <w:spacing w:line="360" w:lineRule="auto"/>
        <w:rPr>
          <w:b/>
          <w:bCs/>
          <w:iCs/>
          <w:sz w:val="24"/>
          <w:szCs w:val="24"/>
          <w:lang w:val="en-US"/>
        </w:rPr>
      </w:pPr>
      <w:r w:rsidRPr="00E734A0">
        <w:rPr>
          <w:b/>
          <w:bCs/>
          <w:iCs/>
          <w:sz w:val="24"/>
          <w:szCs w:val="24"/>
          <w:lang w:val="en-US"/>
        </w:rPr>
        <w:t>6. Performance Monitoring and Accountability</w:t>
      </w:r>
    </w:p>
    <w:p w14:paraId="7BC3F546" w14:textId="77777777" w:rsidR="00E734A0" w:rsidRPr="00E734A0" w:rsidRDefault="00E734A0" w:rsidP="00E262FC">
      <w:pPr>
        <w:numPr>
          <w:ilvl w:val="0"/>
          <w:numId w:val="18"/>
        </w:numPr>
        <w:spacing w:line="360" w:lineRule="auto"/>
        <w:rPr>
          <w:iCs/>
          <w:sz w:val="24"/>
          <w:szCs w:val="24"/>
          <w:lang w:val="en-US"/>
        </w:rPr>
      </w:pPr>
      <w:r w:rsidRPr="00E734A0">
        <w:rPr>
          <w:iCs/>
          <w:sz w:val="24"/>
          <w:szCs w:val="24"/>
          <w:lang w:val="en-US"/>
        </w:rPr>
        <w:t>Independent Performance Reviews: Implement regular independent assessments of management performance against industry benchmarks</w:t>
      </w:r>
    </w:p>
    <w:p w14:paraId="27A57AE3" w14:textId="77777777" w:rsidR="00E734A0" w:rsidRPr="00E734A0" w:rsidRDefault="00E734A0" w:rsidP="00E262FC">
      <w:pPr>
        <w:numPr>
          <w:ilvl w:val="0"/>
          <w:numId w:val="18"/>
        </w:numPr>
        <w:spacing w:line="360" w:lineRule="auto"/>
        <w:rPr>
          <w:iCs/>
          <w:sz w:val="24"/>
          <w:szCs w:val="24"/>
          <w:lang w:val="en-US"/>
        </w:rPr>
      </w:pPr>
      <w:r w:rsidRPr="00E734A0">
        <w:rPr>
          <w:iCs/>
          <w:sz w:val="24"/>
          <w:szCs w:val="24"/>
          <w:lang w:val="en-US"/>
        </w:rPr>
        <w:t>Executive Compensation Alignment: Link management compensation more closely to long-term shareholder value creation</w:t>
      </w:r>
    </w:p>
    <w:p w14:paraId="2AA49763" w14:textId="77777777" w:rsidR="00052228" w:rsidRDefault="00052228" w:rsidP="00E262FC">
      <w:pPr>
        <w:spacing w:line="360" w:lineRule="auto"/>
        <w:rPr>
          <w:b/>
          <w:bCs/>
          <w:iCs/>
          <w:sz w:val="24"/>
          <w:szCs w:val="24"/>
          <w:lang w:val="en-US"/>
        </w:rPr>
      </w:pPr>
    </w:p>
    <w:p w14:paraId="47EA91A1" w14:textId="77777777" w:rsidR="00964AA6" w:rsidRDefault="00964AA6" w:rsidP="00E262FC">
      <w:pPr>
        <w:spacing w:line="360" w:lineRule="auto"/>
        <w:rPr>
          <w:b/>
          <w:bCs/>
          <w:iCs/>
          <w:sz w:val="24"/>
          <w:szCs w:val="24"/>
          <w:lang w:val="en-US"/>
        </w:rPr>
      </w:pPr>
    </w:p>
    <w:p w14:paraId="45F7490B" w14:textId="77777777" w:rsidR="00964AA6" w:rsidRDefault="00964AA6" w:rsidP="00E262FC">
      <w:pPr>
        <w:spacing w:line="360" w:lineRule="auto"/>
        <w:rPr>
          <w:b/>
          <w:bCs/>
          <w:iCs/>
          <w:sz w:val="24"/>
          <w:szCs w:val="24"/>
          <w:lang w:val="en-US"/>
        </w:rPr>
      </w:pPr>
    </w:p>
    <w:p w14:paraId="0E2A2DFA" w14:textId="77777777" w:rsidR="00964AA6" w:rsidRDefault="00964AA6" w:rsidP="00E262FC">
      <w:pPr>
        <w:spacing w:line="360" w:lineRule="auto"/>
        <w:rPr>
          <w:b/>
          <w:bCs/>
          <w:iCs/>
          <w:sz w:val="24"/>
          <w:szCs w:val="24"/>
          <w:lang w:val="en-US"/>
        </w:rPr>
      </w:pPr>
    </w:p>
    <w:p w14:paraId="44BB6295" w14:textId="77777777" w:rsidR="00964AA6" w:rsidRDefault="00964AA6" w:rsidP="00E262FC">
      <w:pPr>
        <w:spacing w:line="360" w:lineRule="auto"/>
        <w:rPr>
          <w:b/>
          <w:bCs/>
          <w:iCs/>
          <w:sz w:val="24"/>
          <w:szCs w:val="24"/>
          <w:lang w:val="en-US"/>
        </w:rPr>
      </w:pPr>
    </w:p>
    <w:p w14:paraId="2CCDE2DC" w14:textId="77777777" w:rsidR="00AC2369" w:rsidRDefault="00AC2369" w:rsidP="00E262FC">
      <w:pPr>
        <w:spacing w:line="360" w:lineRule="auto"/>
        <w:rPr>
          <w:b/>
          <w:bCs/>
          <w:iCs/>
          <w:sz w:val="24"/>
          <w:szCs w:val="24"/>
          <w:lang w:val="en-US"/>
        </w:rPr>
      </w:pPr>
    </w:p>
    <w:p w14:paraId="10616B87" w14:textId="77777777" w:rsidR="00AC2369" w:rsidRDefault="00AC2369" w:rsidP="00E262FC">
      <w:pPr>
        <w:spacing w:line="360" w:lineRule="auto"/>
        <w:rPr>
          <w:b/>
          <w:bCs/>
          <w:iCs/>
          <w:sz w:val="24"/>
          <w:szCs w:val="24"/>
          <w:lang w:val="en-US"/>
        </w:rPr>
      </w:pPr>
    </w:p>
    <w:p w14:paraId="784BA8F3" w14:textId="77777777" w:rsidR="00AC2369" w:rsidRDefault="00AC2369" w:rsidP="00E262FC">
      <w:pPr>
        <w:spacing w:line="360" w:lineRule="auto"/>
        <w:rPr>
          <w:b/>
          <w:bCs/>
          <w:iCs/>
          <w:sz w:val="24"/>
          <w:szCs w:val="24"/>
          <w:lang w:val="en-US"/>
        </w:rPr>
      </w:pPr>
    </w:p>
    <w:p w14:paraId="2DF4CCB0" w14:textId="77777777" w:rsidR="00EC2808" w:rsidRDefault="00EC2808" w:rsidP="00E262FC">
      <w:pPr>
        <w:spacing w:line="360" w:lineRule="auto"/>
        <w:rPr>
          <w:b/>
          <w:bCs/>
          <w:iCs/>
          <w:sz w:val="24"/>
          <w:szCs w:val="24"/>
          <w:lang w:val="en-US"/>
        </w:rPr>
      </w:pPr>
    </w:p>
    <w:p w14:paraId="49B43E63" w14:textId="77777777" w:rsidR="00EC2808" w:rsidRDefault="00EC2808" w:rsidP="00E262FC">
      <w:pPr>
        <w:spacing w:line="360" w:lineRule="auto"/>
        <w:rPr>
          <w:b/>
          <w:bCs/>
          <w:iCs/>
          <w:sz w:val="24"/>
          <w:szCs w:val="24"/>
          <w:lang w:val="en-US"/>
        </w:rPr>
      </w:pPr>
    </w:p>
    <w:p w14:paraId="40AD4675" w14:textId="77777777" w:rsidR="00EC2808" w:rsidRDefault="00EC2808" w:rsidP="00E262FC">
      <w:pPr>
        <w:spacing w:line="360" w:lineRule="auto"/>
        <w:rPr>
          <w:b/>
          <w:bCs/>
          <w:iCs/>
          <w:sz w:val="24"/>
          <w:szCs w:val="24"/>
          <w:lang w:val="en-US"/>
        </w:rPr>
      </w:pPr>
    </w:p>
    <w:p w14:paraId="7655006A" w14:textId="77777777" w:rsidR="00AC2369" w:rsidRDefault="00AC2369" w:rsidP="00E262FC">
      <w:pPr>
        <w:spacing w:line="360" w:lineRule="auto"/>
        <w:rPr>
          <w:b/>
          <w:bCs/>
          <w:iCs/>
          <w:sz w:val="24"/>
          <w:szCs w:val="24"/>
          <w:lang w:val="en-US"/>
        </w:rPr>
      </w:pPr>
    </w:p>
    <w:p w14:paraId="64AAB76C" w14:textId="77777777" w:rsidR="00AC2369" w:rsidRDefault="00AC2369" w:rsidP="00E262FC">
      <w:pPr>
        <w:spacing w:line="360" w:lineRule="auto"/>
        <w:rPr>
          <w:b/>
          <w:bCs/>
          <w:iCs/>
          <w:sz w:val="24"/>
          <w:szCs w:val="24"/>
          <w:lang w:val="en-US"/>
        </w:rPr>
      </w:pPr>
    </w:p>
    <w:p w14:paraId="6183AE26" w14:textId="77777777" w:rsidR="00AC2369" w:rsidRDefault="00AC2369" w:rsidP="00E262FC">
      <w:pPr>
        <w:spacing w:line="360" w:lineRule="auto"/>
        <w:rPr>
          <w:b/>
          <w:bCs/>
          <w:iCs/>
          <w:sz w:val="24"/>
          <w:szCs w:val="24"/>
          <w:lang w:val="en-US"/>
        </w:rPr>
      </w:pPr>
    </w:p>
    <w:p w14:paraId="4AF7FD9B" w14:textId="16B7F7A8" w:rsidR="00397526" w:rsidRPr="00397526" w:rsidRDefault="00397526" w:rsidP="00E262FC">
      <w:pPr>
        <w:spacing w:line="360" w:lineRule="auto"/>
        <w:rPr>
          <w:b/>
          <w:bCs/>
          <w:iCs/>
          <w:sz w:val="24"/>
          <w:szCs w:val="24"/>
          <w:lang w:val="en-US"/>
        </w:rPr>
      </w:pPr>
      <w:r w:rsidRPr="00397526">
        <w:rPr>
          <w:b/>
          <w:bCs/>
          <w:iCs/>
          <w:sz w:val="24"/>
          <w:szCs w:val="24"/>
          <w:lang w:val="en-US"/>
        </w:rPr>
        <w:lastRenderedPageBreak/>
        <w:t>4.0 Investment Project Appraisal</w:t>
      </w:r>
    </w:p>
    <w:p w14:paraId="33C780E4" w14:textId="6AE8D519" w:rsidR="005A00BF" w:rsidRDefault="00D74F79" w:rsidP="00E262FC">
      <w:pPr>
        <w:spacing w:line="360" w:lineRule="auto"/>
        <w:rPr>
          <w:iCs/>
          <w:sz w:val="24"/>
          <w:szCs w:val="24"/>
        </w:rPr>
      </w:pPr>
      <w:r w:rsidRPr="00937F54">
        <w:rPr>
          <w:iCs/>
          <w:sz w:val="24"/>
          <w:szCs w:val="24"/>
        </w:rPr>
        <w:t xml:space="preserve">Tsui Wah proposes to open a flagship restaurant in Shenzhen (5,000 </w:t>
      </w:r>
      <w:proofErr w:type="spellStart"/>
      <w:r w:rsidRPr="00937F54">
        <w:rPr>
          <w:iCs/>
          <w:sz w:val="24"/>
          <w:szCs w:val="24"/>
        </w:rPr>
        <w:t>sqft</w:t>
      </w:r>
      <w:proofErr w:type="spellEnd"/>
      <w:r w:rsidRPr="00937F54">
        <w:rPr>
          <w:iCs/>
          <w:sz w:val="24"/>
          <w:szCs w:val="24"/>
        </w:rPr>
        <w:t xml:space="preserve">). The following appraisal </w:t>
      </w:r>
      <w:proofErr w:type="spellStart"/>
      <w:r w:rsidRPr="00937F54">
        <w:rPr>
          <w:iCs/>
          <w:sz w:val="24"/>
          <w:szCs w:val="24"/>
        </w:rPr>
        <w:t>analyzes</w:t>
      </w:r>
      <w:proofErr w:type="spellEnd"/>
      <w:r w:rsidRPr="00937F54">
        <w:rPr>
          <w:iCs/>
          <w:sz w:val="24"/>
          <w:szCs w:val="24"/>
        </w:rPr>
        <w:t xml:space="preserve"> the project’s feasibility using standard investment metrics</w:t>
      </w:r>
      <w:r w:rsidR="00E04949">
        <w:rPr>
          <w:iCs/>
          <w:sz w:val="24"/>
          <w:szCs w:val="24"/>
        </w:rPr>
        <w:t>.</w:t>
      </w:r>
    </w:p>
    <w:p w14:paraId="7270B108" w14:textId="77777777" w:rsidR="00052228" w:rsidRPr="00937F54" w:rsidRDefault="00052228" w:rsidP="00E262FC">
      <w:pPr>
        <w:spacing w:line="360" w:lineRule="auto"/>
        <w:rPr>
          <w:iCs/>
          <w:sz w:val="24"/>
          <w:szCs w:val="24"/>
        </w:rPr>
      </w:pPr>
    </w:p>
    <w:p w14:paraId="3455AFC2" w14:textId="77777777" w:rsidR="004F0395" w:rsidRPr="00937F54" w:rsidRDefault="004F0395" w:rsidP="00E262FC">
      <w:pPr>
        <w:spacing w:line="360" w:lineRule="auto"/>
        <w:rPr>
          <w:b/>
          <w:bCs/>
          <w:iCs/>
          <w:sz w:val="24"/>
          <w:szCs w:val="24"/>
          <w:lang w:val="en-US"/>
        </w:rPr>
      </w:pPr>
      <w:r w:rsidRPr="004F0395">
        <w:rPr>
          <w:b/>
          <w:bCs/>
          <w:iCs/>
          <w:sz w:val="24"/>
          <w:szCs w:val="24"/>
          <w:lang w:val="en-US"/>
        </w:rPr>
        <w:t>4.1 Project Basic Information</w:t>
      </w:r>
    </w:p>
    <w:tbl>
      <w:tblPr>
        <w:tblW w:w="8545" w:type="dxa"/>
        <w:tblLook w:val="04A0" w:firstRow="1" w:lastRow="0" w:firstColumn="1" w:lastColumn="0" w:noHBand="0" w:noVBand="1"/>
      </w:tblPr>
      <w:tblGrid>
        <w:gridCol w:w="3055"/>
        <w:gridCol w:w="5490"/>
      </w:tblGrid>
      <w:tr w:rsidR="00D90A76" w:rsidRPr="00D90A76" w14:paraId="4086AF55" w14:textId="77777777" w:rsidTr="00D90A76">
        <w:trPr>
          <w:trHeight w:val="290"/>
        </w:trPr>
        <w:tc>
          <w:tcPr>
            <w:tcW w:w="3055" w:type="dxa"/>
            <w:tcBorders>
              <w:top w:val="single" w:sz="4" w:space="0" w:color="auto"/>
              <w:left w:val="single" w:sz="4" w:space="0" w:color="auto"/>
              <w:bottom w:val="single" w:sz="4" w:space="0" w:color="auto"/>
              <w:right w:val="single" w:sz="4" w:space="0" w:color="auto"/>
            </w:tcBorders>
            <w:shd w:val="clear" w:color="000000" w:fill="DAE9F8"/>
            <w:vAlign w:val="center"/>
            <w:hideMark/>
          </w:tcPr>
          <w:p w14:paraId="5D740149" w14:textId="77777777" w:rsidR="00D90A76" w:rsidRPr="00D90A76" w:rsidRDefault="00D90A76" w:rsidP="00E262FC">
            <w:pPr>
              <w:spacing w:line="360" w:lineRule="auto"/>
              <w:rPr>
                <w:rFonts w:eastAsia="Times New Roman"/>
                <w:b/>
                <w:bCs/>
                <w:color w:val="404040"/>
                <w:sz w:val="24"/>
                <w:szCs w:val="24"/>
                <w:lang w:val="en-US" w:eastAsia="zh-TW"/>
              </w:rPr>
            </w:pPr>
            <w:r w:rsidRPr="00D90A76">
              <w:rPr>
                <w:rFonts w:eastAsia="Times New Roman"/>
                <w:b/>
                <w:bCs/>
                <w:color w:val="404040"/>
                <w:sz w:val="24"/>
                <w:szCs w:val="24"/>
                <w:lang w:val="en-US" w:eastAsia="zh-TW"/>
              </w:rPr>
              <w:t>Project Item</w:t>
            </w:r>
          </w:p>
        </w:tc>
        <w:tc>
          <w:tcPr>
            <w:tcW w:w="5490" w:type="dxa"/>
            <w:tcBorders>
              <w:top w:val="single" w:sz="4" w:space="0" w:color="auto"/>
              <w:left w:val="nil"/>
              <w:bottom w:val="single" w:sz="4" w:space="0" w:color="auto"/>
              <w:right w:val="single" w:sz="4" w:space="0" w:color="auto"/>
            </w:tcBorders>
            <w:shd w:val="clear" w:color="000000" w:fill="DAE9F8"/>
            <w:vAlign w:val="center"/>
            <w:hideMark/>
          </w:tcPr>
          <w:p w14:paraId="4662348C" w14:textId="77777777" w:rsidR="00D90A76" w:rsidRPr="00D90A76" w:rsidRDefault="00D90A76" w:rsidP="00E262FC">
            <w:pPr>
              <w:spacing w:line="360" w:lineRule="auto"/>
              <w:rPr>
                <w:rFonts w:eastAsia="Times New Roman"/>
                <w:b/>
                <w:bCs/>
                <w:color w:val="404040"/>
                <w:sz w:val="24"/>
                <w:szCs w:val="24"/>
                <w:lang w:val="en-US" w:eastAsia="zh-TW"/>
              </w:rPr>
            </w:pPr>
            <w:r w:rsidRPr="00D90A76">
              <w:rPr>
                <w:rFonts w:eastAsia="Times New Roman"/>
                <w:b/>
                <w:bCs/>
                <w:color w:val="404040"/>
                <w:sz w:val="24"/>
                <w:szCs w:val="24"/>
                <w:lang w:val="en-US" w:eastAsia="zh-TW"/>
              </w:rPr>
              <w:t>Remarks/Assumptions</w:t>
            </w:r>
          </w:p>
        </w:tc>
      </w:tr>
      <w:tr w:rsidR="00D90A76" w:rsidRPr="00D90A76" w14:paraId="5C6085C0" w14:textId="77777777" w:rsidTr="00D90A76">
        <w:trPr>
          <w:trHeight w:val="290"/>
        </w:trPr>
        <w:tc>
          <w:tcPr>
            <w:tcW w:w="3055" w:type="dxa"/>
            <w:tcBorders>
              <w:top w:val="nil"/>
              <w:left w:val="single" w:sz="4" w:space="0" w:color="auto"/>
              <w:bottom w:val="single" w:sz="4" w:space="0" w:color="auto"/>
              <w:right w:val="single" w:sz="4" w:space="0" w:color="auto"/>
            </w:tcBorders>
            <w:shd w:val="clear" w:color="000000" w:fill="DAE9F8"/>
            <w:vAlign w:val="center"/>
            <w:hideMark/>
          </w:tcPr>
          <w:p w14:paraId="0A012CDE" w14:textId="77777777" w:rsidR="00D90A76" w:rsidRPr="00D90A76" w:rsidRDefault="00D90A76" w:rsidP="00E262FC">
            <w:pPr>
              <w:spacing w:line="360" w:lineRule="auto"/>
              <w:rPr>
                <w:rFonts w:eastAsia="Times New Roman"/>
                <w:b/>
                <w:bCs/>
                <w:color w:val="404040"/>
                <w:sz w:val="24"/>
                <w:szCs w:val="24"/>
                <w:lang w:val="en-US" w:eastAsia="zh-TW"/>
              </w:rPr>
            </w:pPr>
            <w:r w:rsidRPr="00D90A76">
              <w:rPr>
                <w:rFonts w:eastAsia="Times New Roman"/>
                <w:b/>
                <w:bCs/>
                <w:color w:val="404040"/>
                <w:sz w:val="24"/>
                <w:szCs w:val="24"/>
                <w:lang w:val="en-US" w:eastAsia="zh-TW"/>
              </w:rPr>
              <w:t>Store Size (</w:t>
            </w:r>
            <w:proofErr w:type="spellStart"/>
            <w:r w:rsidRPr="00D90A76">
              <w:rPr>
                <w:rFonts w:eastAsia="Times New Roman"/>
                <w:b/>
                <w:bCs/>
                <w:color w:val="404040"/>
                <w:sz w:val="24"/>
                <w:szCs w:val="24"/>
                <w:lang w:val="en-US" w:eastAsia="zh-TW"/>
              </w:rPr>
              <w:t>sqft</w:t>
            </w:r>
            <w:proofErr w:type="spellEnd"/>
            <w:r w:rsidRPr="00D90A76">
              <w:rPr>
                <w:rFonts w:eastAsia="Times New Roman"/>
                <w:b/>
                <w:bCs/>
                <w:color w:val="404040"/>
                <w:sz w:val="24"/>
                <w:szCs w:val="24"/>
                <w:lang w:val="en-US" w:eastAsia="zh-TW"/>
              </w:rPr>
              <w:t>)</w:t>
            </w:r>
          </w:p>
        </w:tc>
        <w:tc>
          <w:tcPr>
            <w:tcW w:w="5490" w:type="dxa"/>
            <w:tcBorders>
              <w:top w:val="nil"/>
              <w:left w:val="nil"/>
              <w:bottom w:val="single" w:sz="4" w:space="0" w:color="auto"/>
              <w:right w:val="single" w:sz="4" w:space="0" w:color="auto"/>
            </w:tcBorders>
            <w:shd w:val="clear" w:color="000000" w:fill="DAE9F8"/>
            <w:vAlign w:val="center"/>
            <w:hideMark/>
          </w:tcPr>
          <w:p w14:paraId="6A230415" w14:textId="77777777" w:rsidR="00D90A76" w:rsidRPr="00D90A76" w:rsidRDefault="00D90A76" w:rsidP="00E262FC">
            <w:pPr>
              <w:spacing w:line="360" w:lineRule="auto"/>
              <w:rPr>
                <w:rFonts w:eastAsia="Times New Roman"/>
                <w:color w:val="404040"/>
                <w:sz w:val="24"/>
                <w:szCs w:val="24"/>
                <w:lang w:val="en-US" w:eastAsia="zh-TW"/>
              </w:rPr>
            </w:pPr>
            <w:r w:rsidRPr="00D90A76">
              <w:rPr>
                <w:rFonts w:eastAsia="Times New Roman"/>
                <w:color w:val="404040"/>
                <w:sz w:val="24"/>
                <w:szCs w:val="24"/>
                <w:lang w:val="en-US" w:eastAsia="zh-TW"/>
              </w:rPr>
              <w:t>5000</w:t>
            </w:r>
          </w:p>
        </w:tc>
      </w:tr>
      <w:tr w:rsidR="00D90A76" w:rsidRPr="00D90A76" w14:paraId="6EE9AE7E" w14:textId="77777777" w:rsidTr="00D90A76">
        <w:trPr>
          <w:trHeight w:val="290"/>
        </w:trPr>
        <w:tc>
          <w:tcPr>
            <w:tcW w:w="3055" w:type="dxa"/>
            <w:tcBorders>
              <w:top w:val="nil"/>
              <w:left w:val="single" w:sz="4" w:space="0" w:color="auto"/>
              <w:bottom w:val="single" w:sz="4" w:space="0" w:color="auto"/>
              <w:right w:val="single" w:sz="4" w:space="0" w:color="auto"/>
            </w:tcBorders>
            <w:shd w:val="clear" w:color="000000" w:fill="DAE9F8"/>
            <w:vAlign w:val="center"/>
            <w:hideMark/>
          </w:tcPr>
          <w:p w14:paraId="7DF7F4B5" w14:textId="77777777" w:rsidR="00D90A76" w:rsidRPr="00D90A76" w:rsidRDefault="00D90A76" w:rsidP="00E262FC">
            <w:pPr>
              <w:spacing w:line="360" w:lineRule="auto"/>
              <w:rPr>
                <w:rFonts w:eastAsia="Times New Roman"/>
                <w:b/>
                <w:bCs/>
                <w:color w:val="404040"/>
                <w:sz w:val="24"/>
                <w:szCs w:val="24"/>
                <w:lang w:val="en-US" w:eastAsia="zh-TW"/>
              </w:rPr>
            </w:pPr>
            <w:r w:rsidRPr="00D90A76">
              <w:rPr>
                <w:rFonts w:eastAsia="Times New Roman"/>
                <w:b/>
                <w:bCs/>
                <w:color w:val="404040"/>
                <w:sz w:val="24"/>
                <w:szCs w:val="24"/>
                <w:lang w:val="en-US" w:eastAsia="zh-TW"/>
              </w:rPr>
              <w:t>Estimated Capex (HKD)</w:t>
            </w:r>
          </w:p>
        </w:tc>
        <w:tc>
          <w:tcPr>
            <w:tcW w:w="5490" w:type="dxa"/>
            <w:tcBorders>
              <w:top w:val="nil"/>
              <w:left w:val="nil"/>
              <w:bottom w:val="single" w:sz="4" w:space="0" w:color="auto"/>
              <w:right w:val="single" w:sz="4" w:space="0" w:color="auto"/>
            </w:tcBorders>
            <w:shd w:val="clear" w:color="000000" w:fill="DAE9F8"/>
            <w:vAlign w:val="center"/>
            <w:hideMark/>
          </w:tcPr>
          <w:p w14:paraId="2C73BB6A" w14:textId="77777777" w:rsidR="00D90A76" w:rsidRPr="00D90A76" w:rsidRDefault="00D90A76" w:rsidP="00E262FC">
            <w:pPr>
              <w:spacing w:line="360" w:lineRule="auto"/>
              <w:rPr>
                <w:rFonts w:eastAsia="Times New Roman"/>
                <w:color w:val="404040"/>
                <w:sz w:val="24"/>
                <w:szCs w:val="24"/>
                <w:lang w:val="en-US" w:eastAsia="zh-TW"/>
              </w:rPr>
            </w:pPr>
            <w:r w:rsidRPr="00D90A76">
              <w:rPr>
                <w:rFonts w:eastAsia="Times New Roman"/>
                <w:color w:val="404040"/>
                <w:sz w:val="24"/>
                <w:szCs w:val="24"/>
                <w:lang w:val="en-US" w:eastAsia="zh-TW"/>
              </w:rPr>
              <w:t>5.08 million (renovation, equipment, pre-opening)</w:t>
            </w:r>
          </w:p>
        </w:tc>
      </w:tr>
      <w:tr w:rsidR="00D90A76" w:rsidRPr="00D90A76" w14:paraId="7F7B44DA" w14:textId="77777777" w:rsidTr="00D90A76">
        <w:trPr>
          <w:trHeight w:val="332"/>
        </w:trPr>
        <w:tc>
          <w:tcPr>
            <w:tcW w:w="3055" w:type="dxa"/>
            <w:tcBorders>
              <w:top w:val="nil"/>
              <w:left w:val="single" w:sz="4" w:space="0" w:color="auto"/>
              <w:bottom w:val="single" w:sz="4" w:space="0" w:color="auto"/>
              <w:right w:val="single" w:sz="4" w:space="0" w:color="auto"/>
            </w:tcBorders>
            <w:shd w:val="clear" w:color="000000" w:fill="DAE9F8"/>
            <w:vAlign w:val="center"/>
            <w:hideMark/>
          </w:tcPr>
          <w:p w14:paraId="15D80193" w14:textId="77777777" w:rsidR="00D90A76" w:rsidRPr="00D90A76" w:rsidRDefault="00D90A76" w:rsidP="00E262FC">
            <w:pPr>
              <w:spacing w:line="360" w:lineRule="auto"/>
              <w:rPr>
                <w:rFonts w:eastAsia="Times New Roman"/>
                <w:b/>
                <w:bCs/>
                <w:color w:val="404040"/>
                <w:sz w:val="24"/>
                <w:szCs w:val="24"/>
                <w:lang w:val="en-US" w:eastAsia="zh-TW"/>
              </w:rPr>
            </w:pPr>
            <w:r w:rsidRPr="00D90A76">
              <w:rPr>
                <w:rFonts w:eastAsia="Times New Roman"/>
                <w:b/>
                <w:bCs/>
                <w:color w:val="404040"/>
                <w:sz w:val="24"/>
                <w:szCs w:val="24"/>
                <w:lang w:val="en-US" w:eastAsia="zh-TW"/>
              </w:rPr>
              <w:t>Forecast Horizon</w:t>
            </w:r>
          </w:p>
        </w:tc>
        <w:tc>
          <w:tcPr>
            <w:tcW w:w="5490" w:type="dxa"/>
            <w:tcBorders>
              <w:top w:val="nil"/>
              <w:left w:val="nil"/>
              <w:bottom w:val="single" w:sz="4" w:space="0" w:color="auto"/>
              <w:right w:val="single" w:sz="4" w:space="0" w:color="auto"/>
            </w:tcBorders>
            <w:shd w:val="clear" w:color="000000" w:fill="DAE9F8"/>
            <w:vAlign w:val="center"/>
            <w:hideMark/>
          </w:tcPr>
          <w:p w14:paraId="1AC12A2A" w14:textId="77777777" w:rsidR="00D90A76" w:rsidRPr="00D90A76" w:rsidRDefault="00D90A76" w:rsidP="00E262FC">
            <w:pPr>
              <w:spacing w:line="360" w:lineRule="auto"/>
              <w:rPr>
                <w:rFonts w:eastAsia="Times New Roman"/>
                <w:color w:val="404040"/>
                <w:sz w:val="24"/>
                <w:szCs w:val="24"/>
                <w:lang w:val="en-US" w:eastAsia="zh-TW"/>
              </w:rPr>
            </w:pPr>
            <w:r w:rsidRPr="00D90A76">
              <w:rPr>
                <w:rFonts w:eastAsia="Times New Roman"/>
                <w:color w:val="404040"/>
                <w:sz w:val="24"/>
                <w:szCs w:val="24"/>
                <w:lang w:val="en-US" w:eastAsia="zh-TW"/>
              </w:rPr>
              <w:t>5 years</w:t>
            </w:r>
          </w:p>
        </w:tc>
      </w:tr>
      <w:tr w:rsidR="00D90A76" w:rsidRPr="00D90A76" w14:paraId="7E847A4B" w14:textId="77777777" w:rsidTr="00D90A76">
        <w:trPr>
          <w:trHeight w:val="290"/>
        </w:trPr>
        <w:tc>
          <w:tcPr>
            <w:tcW w:w="3055" w:type="dxa"/>
            <w:tcBorders>
              <w:top w:val="nil"/>
              <w:left w:val="single" w:sz="4" w:space="0" w:color="auto"/>
              <w:bottom w:val="single" w:sz="4" w:space="0" w:color="auto"/>
              <w:right w:val="single" w:sz="4" w:space="0" w:color="auto"/>
            </w:tcBorders>
            <w:shd w:val="clear" w:color="000000" w:fill="DAE9F8"/>
            <w:vAlign w:val="center"/>
            <w:hideMark/>
          </w:tcPr>
          <w:p w14:paraId="370D56DB" w14:textId="77777777" w:rsidR="00D90A76" w:rsidRPr="00D90A76" w:rsidRDefault="00D90A76" w:rsidP="00E262FC">
            <w:pPr>
              <w:spacing w:line="360" w:lineRule="auto"/>
              <w:rPr>
                <w:rFonts w:eastAsia="Times New Roman"/>
                <w:b/>
                <w:bCs/>
                <w:color w:val="404040"/>
                <w:sz w:val="24"/>
                <w:szCs w:val="24"/>
                <w:lang w:val="en-US" w:eastAsia="zh-TW"/>
              </w:rPr>
            </w:pPr>
            <w:r w:rsidRPr="00D90A76">
              <w:rPr>
                <w:rFonts w:eastAsia="Times New Roman"/>
                <w:b/>
                <w:bCs/>
                <w:color w:val="404040"/>
                <w:sz w:val="24"/>
                <w:szCs w:val="24"/>
                <w:lang w:val="en-US" w:eastAsia="zh-TW"/>
              </w:rPr>
              <w:t xml:space="preserve">Sales per </w:t>
            </w:r>
            <w:proofErr w:type="spellStart"/>
            <w:r w:rsidRPr="00D90A76">
              <w:rPr>
                <w:rFonts w:eastAsia="Times New Roman"/>
                <w:b/>
                <w:bCs/>
                <w:color w:val="404040"/>
                <w:sz w:val="24"/>
                <w:szCs w:val="24"/>
                <w:lang w:val="en-US" w:eastAsia="zh-TW"/>
              </w:rPr>
              <w:t>sqft</w:t>
            </w:r>
            <w:proofErr w:type="spellEnd"/>
            <w:r w:rsidRPr="00D90A76">
              <w:rPr>
                <w:rFonts w:eastAsia="Times New Roman"/>
                <w:b/>
                <w:bCs/>
                <w:color w:val="404040"/>
                <w:sz w:val="24"/>
                <w:szCs w:val="24"/>
                <w:lang w:val="en-US" w:eastAsia="zh-TW"/>
              </w:rPr>
              <w:t xml:space="preserve"> (HKD)</w:t>
            </w:r>
          </w:p>
        </w:tc>
        <w:tc>
          <w:tcPr>
            <w:tcW w:w="5490" w:type="dxa"/>
            <w:tcBorders>
              <w:top w:val="nil"/>
              <w:left w:val="nil"/>
              <w:bottom w:val="single" w:sz="4" w:space="0" w:color="auto"/>
              <w:right w:val="single" w:sz="4" w:space="0" w:color="auto"/>
            </w:tcBorders>
            <w:shd w:val="clear" w:color="000000" w:fill="DAE9F8"/>
            <w:vAlign w:val="center"/>
            <w:hideMark/>
          </w:tcPr>
          <w:p w14:paraId="15C9EC8C" w14:textId="77777777" w:rsidR="00D90A76" w:rsidRPr="00D90A76" w:rsidRDefault="00D90A76" w:rsidP="00E262FC">
            <w:pPr>
              <w:spacing w:line="360" w:lineRule="auto"/>
              <w:rPr>
                <w:rFonts w:eastAsia="Times New Roman"/>
                <w:color w:val="404040"/>
                <w:sz w:val="24"/>
                <w:szCs w:val="24"/>
                <w:lang w:val="en-US" w:eastAsia="zh-TW"/>
              </w:rPr>
            </w:pPr>
            <w:r w:rsidRPr="00D90A76">
              <w:rPr>
                <w:rFonts w:eastAsia="Times New Roman"/>
                <w:color w:val="404040"/>
                <w:sz w:val="24"/>
                <w:szCs w:val="24"/>
                <w:lang w:val="en-US" w:eastAsia="zh-TW"/>
              </w:rPr>
              <w:t>2,800/year</w:t>
            </w:r>
          </w:p>
        </w:tc>
      </w:tr>
      <w:tr w:rsidR="00D90A76" w:rsidRPr="00D90A76" w14:paraId="2D3A1A57" w14:textId="77777777" w:rsidTr="00D90A76">
        <w:trPr>
          <w:trHeight w:val="290"/>
        </w:trPr>
        <w:tc>
          <w:tcPr>
            <w:tcW w:w="3055" w:type="dxa"/>
            <w:tcBorders>
              <w:top w:val="nil"/>
              <w:left w:val="single" w:sz="4" w:space="0" w:color="auto"/>
              <w:bottom w:val="single" w:sz="4" w:space="0" w:color="auto"/>
              <w:right w:val="single" w:sz="4" w:space="0" w:color="auto"/>
            </w:tcBorders>
            <w:shd w:val="clear" w:color="000000" w:fill="DAE9F8"/>
            <w:vAlign w:val="center"/>
            <w:hideMark/>
          </w:tcPr>
          <w:p w14:paraId="3B547B5E" w14:textId="77777777" w:rsidR="00D90A76" w:rsidRPr="00D90A76" w:rsidRDefault="00D90A76" w:rsidP="00E262FC">
            <w:pPr>
              <w:spacing w:line="360" w:lineRule="auto"/>
              <w:rPr>
                <w:rFonts w:eastAsia="Times New Roman"/>
                <w:b/>
                <w:bCs/>
                <w:color w:val="404040"/>
                <w:sz w:val="24"/>
                <w:szCs w:val="24"/>
                <w:lang w:val="en-US" w:eastAsia="zh-TW"/>
              </w:rPr>
            </w:pPr>
            <w:r w:rsidRPr="00D90A76">
              <w:rPr>
                <w:rFonts w:eastAsia="Times New Roman"/>
                <w:b/>
                <w:bCs/>
                <w:color w:val="404040"/>
                <w:sz w:val="24"/>
                <w:szCs w:val="24"/>
                <w:lang w:val="en-US" w:eastAsia="zh-TW"/>
              </w:rPr>
              <w:t>Year 1 Total Sales</w:t>
            </w:r>
          </w:p>
        </w:tc>
        <w:tc>
          <w:tcPr>
            <w:tcW w:w="5490" w:type="dxa"/>
            <w:tcBorders>
              <w:top w:val="nil"/>
              <w:left w:val="nil"/>
              <w:bottom w:val="single" w:sz="4" w:space="0" w:color="auto"/>
              <w:right w:val="single" w:sz="4" w:space="0" w:color="auto"/>
            </w:tcBorders>
            <w:shd w:val="clear" w:color="000000" w:fill="DAE9F8"/>
            <w:vAlign w:val="center"/>
            <w:hideMark/>
          </w:tcPr>
          <w:p w14:paraId="330DA32F" w14:textId="77777777" w:rsidR="00D90A76" w:rsidRPr="00D90A76" w:rsidRDefault="00D90A76" w:rsidP="00E262FC">
            <w:pPr>
              <w:spacing w:line="360" w:lineRule="auto"/>
              <w:rPr>
                <w:rFonts w:eastAsia="Times New Roman"/>
                <w:color w:val="404040"/>
                <w:sz w:val="24"/>
                <w:szCs w:val="24"/>
                <w:lang w:val="en-US" w:eastAsia="zh-TW"/>
              </w:rPr>
            </w:pPr>
            <w:r w:rsidRPr="00D90A76">
              <w:rPr>
                <w:rFonts w:eastAsia="Times New Roman"/>
                <w:color w:val="404040"/>
                <w:sz w:val="24"/>
                <w:szCs w:val="24"/>
                <w:lang w:val="en-US" w:eastAsia="zh-TW"/>
              </w:rPr>
              <w:t>14.00 million (5,000 × 2,800)</w:t>
            </w:r>
          </w:p>
        </w:tc>
      </w:tr>
      <w:tr w:rsidR="00D90A76" w:rsidRPr="00D90A76" w14:paraId="52BA02E9" w14:textId="77777777" w:rsidTr="00D90A76">
        <w:trPr>
          <w:trHeight w:val="290"/>
        </w:trPr>
        <w:tc>
          <w:tcPr>
            <w:tcW w:w="3055" w:type="dxa"/>
            <w:tcBorders>
              <w:top w:val="nil"/>
              <w:left w:val="single" w:sz="4" w:space="0" w:color="auto"/>
              <w:bottom w:val="single" w:sz="4" w:space="0" w:color="auto"/>
              <w:right w:val="single" w:sz="4" w:space="0" w:color="auto"/>
            </w:tcBorders>
            <w:shd w:val="clear" w:color="000000" w:fill="DAE9F8"/>
            <w:vAlign w:val="center"/>
            <w:hideMark/>
          </w:tcPr>
          <w:p w14:paraId="29115466" w14:textId="77777777" w:rsidR="00D90A76" w:rsidRPr="00D90A76" w:rsidRDefault="00D90A76" w:rsidP="00E262FC">
            <w:pPr>
              <w:spacing w:line="360" w:lineRule="auto"/>
              <w:rPr>
                <w:rFonts w:eastAsia="Times New Roman"/>
                <w:b/>
                <w:bCs/>
                <w:color w:val="404040"/>
                <w:sz w:val="24"/>
                <w:szCs w:val="24"/>
                <w:lang w:val="en-US" w:eastAsia="zh-TW"/>
              </w:rPr>
            </w:pPr>
            <w:r w:rsidRPr="00D90A76">
              <w:rPr>
                <w:rFonts w:eastAsia="Times New Roman"/>
                <w:b/>
                <w:bCs/>
                <w:color w:val="404040"/>
                <w:sz w:val="24"/>
                <w:szCs w:val="24"/>
                <w:lang w:val="en-US" w:eastAsia="zh-TW"/>
              </w:rPr>
              <w:t>Sales Growth Rate</w:t>
            </w:r>
          </w:p>
        </w:tc>
        <w:tc>
          <w:tcPr>
            <w:tcW w:w="5490" w:type="dxa"/>
            <w:tcBorders>
              <w:top w:val="nil"/>
              <w:left w:val="nil"/>
              <w:bottom w:val="single" w:sz="4" w:space="0" w:color="auto"/>
              <w:right w:val="single" w:sz="4" w:space="0" w:color="auto"/>
            </w:tcBorders>
            <w:shd w:val="clear" w:color="000000" w:fill="DAE9F8"/>
            <w:vAlign w:val="center"/>
            <w:hideMark/>
          </w:tcPr>
          <w:p w14:paraId="18DF89E6" w14:textId="77777777" w:rsidR="00D90A76" w:rsidRPr="00D90A76" w:rsidRDefault="00D90A76" w:rsidP="00E262FC">
            <w:pPr>
              <w:spacing w:line="360" w:lineRule="auto"/>
              <w:rPr>
                <w:rFonts w:eastAsia="Times New Roman"/>
                <w:color w:val="404040"/>
                <w:sz w:val="24"/>
                <w:szCs w:val="24"/>
                <w:lang w:val="en-US" w:eastAsia="zh-TW"/>
              </w:rPr>
            </w:pPr>
            <w:r w:rsidRPr="00D90A76">
              <w:rPr>
                <w:rFonts w:eastAsia="Times New Roman"/>
                <w:color w:val="404040"/>
                <w:sz w:val="24"/>
                <w:szCs w:val="24"/>
                <w:lang w:val="en-US" w:eastAsia="zh-TW"/>
              </w:rPr>
              <w:t>5% per annum</w:t>
            </w:r>
          </w:p>
        </w:tc>
      </w:tr>
      <w:tr w:rsidR="00D90A76" w:rsidRPr="00D90A76" w14:paraId="2D0C1EDB" w14:textId="77777777" w:rsidTr="00D90A76">
        <w:trPr>
          <w:trHeight w:val="290"/>
        </w:trPr>
        <w:tc>
          <w:tcPr>
            <w:tcW w:w="3055" w:type="dxa"/>
            <w:tcBorders>
              <w:top w:val="nil"/>
              <w:left w:val="single" w:sz="4" w:space="0" w:color="auto"/>
              <w:bottom w:val="single" w:sz="4" w:space="0" w:color="auto"/>
              <w:right w:val="single" w:sz="4" w:space="0" w:color="auto"/>
            </w:tcBorders>
            <w:shd w:val="clear" w:color="000000" w:fill="DAE9F8"/>
            <w:vAlign w:val="center"/>
            <w:hideMark/>
          </w:tcPr>
          <w:p w14:paraId="450E93FD" w14:textId="77777777" w:rsidR="00D90A76" w:rsidRPr="00D90A76" w:rsidRDefault="00D90A76" w:rsidP="00E262FC">
            <w:pPr>
              <w:spacing w:line="360" w:lineRule="auto"/>
              <w:rPr>
                <w:rFonts w:eastAsia="Times New Roman"/>
                <w:b/>
                <w:bCs/>
                <w:color w:val="404040"/>
                <w:sz w:val="24"/>
                <w:szCs w:val="24"/>
                <w:lang w:val="en-US" w:eastAsia="zh-TW"/>
              </w:rPr>
            </w:pPr>
            <w:r w:rsidRPr="00D90A76">
              <w:rPr>
                <w:rFonts w:eastAsia="Times New Roman"/>
                <w:b/>
                <w:bCs/>
                <w:color w:val="404040"/>
                <w:sz w:val="24"/>
                <w:szCs w:val="24"/>
                <w:lang w:val="en-US" w:eastAsia="zh-TW"/>
              </w:rPr>
              <w:t>Average EBITDA Margin</w:t>
            </w:r>
          </w:p>
        </w:tc>
        <w:tc>
          <w:tcPr>
            <w:tcW w:w="5490" w:type="dxa"/>
            <w:tcBorders>
              <w:top w:val="nil"/>
              <w:left w:val="nil"/>
              <w:bottom w:val="single" w:sz="4" w:space="0" w:color="auto"/>
              <w:right w:val="single" w:sz="4" w:space="0" w:color="auto"/>
            </w:tcBorders>
            <w:shd w:val="clear" w:color="000000" w:fill="DAE9F8"/>
            <w:vAlign w:val="center"/>
            <w:hideMark/>
          </w:tcPr>
          <w:p w14:paraId="5B50279A" w14:textId="77777777" w:rsidR="00D90A76" w:rsidRPr="00D90A76" w:rsidRDefault="00D90A76" w:rsidP="00E262FC">
            <w:pPr>
              <w:spacing w:line="360" w:lineRule="auto"/>
              <w:rPr>
                <w:rFonts w:eastAsia="Times New Roman"/>
                <w:color w:val="404040"/>
                <w:sz w:val="24"/>
                <w:szCs w:val="24"/>
                <w:lang w:val="en-US" w:eastAsia="zh-TW"/>
              </w:rPr>
            </w:pPr>
            <w:r w:rsidRPr="00D90A76">
              <w:rPr>
                <w:rFonts w:eastAsia="Times New Roman"/>
                <w:color w:val="404040"/>
                <w:sz w:val="24"/>
                <w:szCs w:val="24"/>
                <w:lang w:val="en-US" w:eastAsia="zh-TW"/>
              </w:rPr>
              <w:t>0.18</w:t>
            </w:r>
          </w:p>
        </w:tc>
      </w:tr>
      <w:tr w:rsidR="00D90A76" w:rsidRPr="00D90A76" w14:paraId="0F971FF4" w14:textId="77777777" w:rsidTr="00D90A76">
        <w:trPr>
          <w:trHeight w:val="290"/>
        </w:trPr>
        <w:tc>
          <w:tcPr>
            <w:tcW w:w="3055" w:type="dxa"/>
            <w:tcBorders>
              <w:top w:val="nil"/>
              <w:left w:val="single" w:sz="4" w:space="0" w:color="auto"/>
              <w:bottom w:val="single" w:sz="4" w:space="0" w:color="auto"/>
              <w:right w:val="single" w:sz="4" w:space="0" w:color="auto"/>
            </w:tcBorders>
            <w:shd w:val="clear" w:color="000000" w:fill="DAE9F8"/>
            <w:vAlign w:val="center"/>
            <w:hideMark/>
          </w:tcPr>
          <w:p w14:paraId="45087E37" w14:textId="77777777" w:rsidR="00D90A76" w:rsidRPr="00D90A76" w:rsidRDefault="00D90A76" w:rsidP="00E262FC">
            <w:pPr>
              <w:spacing w:line="360" w:lineRule="auto"/>
              <w:rPr>
                <w:rFonts w:eastAsia="Times New Roman"/>
                <w:b/>
                <w:bCs/>
                <w:color w:val="404040"/>
                <w:sz w:val="24"/>
                <w:szCs w:val="24"/>
                <w:lang w:val="en-US" w:eastAsia="zh-TW"/>
              </w:rPr>
            </w:pPr>
            <w:r w:rsidRPr="00D90A76">
              <w:rPr>
                <w:rFonts w:eastAsia="Times New Roman"/>
                <w:b/>
                <w:bCs/>
                <w:color w:val="404040"/>
                <w:sz w:val="24"/>
                <w:szCs w:val="24"/>
                <w:lang w:val="en-US" w:eastAsia="zh-TW"/>
              </w:rPr>
              <w:t>Depreciation Period</w:t>
            </w:r>
          </w:p>
        </w:tc>
        <w:tc>
          <w:tcPr>
            <w:tcW w:w="5490" w:type="dxa"/>
            <w:tcBorders>
              <w:top w:val="nil"/>
              <w:left w:val="nil"/>
              <w:bottom w:val="single" w:sz="4" w:space="0" w:color="auto"/>
              <w:right w:val="single" w:sz="4" w:space="0" w:color="auto"/>
            </w:tcBorders>
            <w:shd w:val="clear" w:color="000000" w:fill="DAE9F8"/>
            <w:vAlign w:val="center"/>
            <w:hideMark/>
          </w:tcPr>
          <w:p w14:paraId="71DEE8D5" w14:textId="77777777" w:rsidR="00D90A76" w:rsidRPr="00D90A76" w:rsidRDefault="00D90A76" w:rsidP="00E262FC">
            <w:pPr>
              <w:spacing w:line="360" w:lineRule="auto"/>
              <w:rPr>
                <w:rFonts w:eastAsia="Times New Roman"/>
                <w:color w:val="404040"/>
                <w:sz w:val="24"/>
                <w:szCs w:val="24"/>
                <w:lang w:val="en-US" w:eastAsia="zh-TW"/>
              </w:rPr>
            </w:pPr>
            <w:r w:rsidRPr="00D90A76">
              <w:rPr>
                <w:rFonts w:eastAsia="Times New Roman"/>
                <w:color w:val="404040"/>
                <w:sz w:val="24"/>
                <w:szCs w:val="24"/>
                <w:lang w:val="en-US" w:eastAsia="zh-TW"/>
              </w:rPr>
              <w:t>5 years (fit-out/equipment)</w:t>
            </w:r>
          </w:p>
        </w:tc>
      </w:tr>
      <w:tr w:rsidR="00D90A76" w:rsidRPr="00D90A76" w14:paraId="5268FA46" w14:textId="77777777" w:rsidTr="00D90A76">
        <w:trPr>
          <w:trHeight w:val="290"/>
        </w:trPr>
        <w:tc>
          <w:tcPr>
            <w:tcW w:w="3055" w:type="dxa"/>
            <w:tcBorders>
              <w:top w:val="nil"/>
              <w:left w:val="single" w:sz="4" w:space="0" w:color="auto"/>
              <w:bottom w:val="single" w:sz="4" w:space="0" w:color="auto"/>
              <w:right w:val="single" w:sz="4" w:space="0" w:color="auto"/>
            </w:tcBorders>
            <w:shd w:val="clear" w:color="000000" w:fill="DAE9F8"/>
            <w:vAlign w:val="center"/>
            <w:hideMark/>
          </w:tcPr>
          <w:p w14:paraId="33B18EC3" w14:textId="77777777" w:rsidR="00D90A76" w:rsidRPr="00D90A76" w:rsidRDefault="00D90A76" w:rsidP="00E262FC">
            <w:pPr>
              <w:spacing w:line="360" w:lineRule="auto"/>
              <w:rPr>
                <w:rFonts w:eastAsia="Times New Roman"/>
                <w:b/>
                <w:bCs/>
                <w:color w:val="404040"/>
                <w:sz w:val="24"/>
                <w:szCs w:val="24"/>
                <w:lang w:val="en-US" w:eastAsia="zh-TW"/>
              </w:rPr>
            </w:pPr>
            <w:r w:rsidRPr="00D90A76">
              <w:rPr>
                <w:rFonts w:eastAsia="Times New Roman"/>
                <w:b/>
                <w:bCs/>
                <w:color w:val="404040"/>
                <w:sz w:val="24"/>
                <w:szCs w:val="24"/>
                <w:lang w:val="en-US" w:eastAsia="zh-TW"/>
              </w:rPr>
              <w:t>Corporate Tax Rate</w:t>
            </w:r>
          </w:p>
        </w:tc>
        <w:tc>
          <w:tcPr>
            <w:tcW w:w="5490" w:type="dxa"/>
            <w:tcBorders>
              <w:top w:val="nil"/>
              <w:left w:val="nil"/>
              <w:bottom w:val="single" w:sz="4" w:space="0" w:color="auto"/>
              <w:right w:val="single" w:sz="4" w:space="0" w:color="auto"/>
            </w:tcBorders>
            <w:shd w:val="clear" w:color="000000" w:fill="DAE9F8"/>
            <w:vAlign w:val="center"/>
            <w:hideMark/>
          </w:tcPr>
          <w:p w14:paraId="3DBE8E61" w14:textId="77777777" w:rsidR="00D90A76" w:rsidRPr="00D90A76" w:rsidRDefault="00D90A76" w:rsidP="00E262FC">
            <w:pPr>
              <w:spacing w:line="360" w:lineRule="auto"/>
              <w:rPr>
                <w:rFonts w:eastAsia="Times New Roman"/>
                <w:color w:val="404040"/>
                <w:sz w:val="24"/>
                <w:szCs w:val="24"/>
                <w:lang w:val="en-US" w:eastAsia="zh-TW"/>
              </w:rPr>
            </w:pPr>
            <w:r w:rsidRPr="00D90A76">
              <w:rPr>
                <w:rFonts w:eastAsia="Times New Roman"/>
                <w:color w:val="404040"/>
                <w:sz w:val="24"/>
                <w:szCs w:val="24"/>
                <w:lang w:val="en-US" w:eastAsia="zh-TW"/>
              </w:rPr>
              <w:t>16.5% (Hong Kong standard)</w:t>
            </w:r>
          </w:p>
        </w:tc>
      </w:tr>
    </w:tbl>
    <w:p w14:paraId="3BFE70C8" w14:textId="77777777" w:rsidR="00D90A76" w:rsidRPr="00937F54" w:rsidRDefault="00D90A76" w:rsidP="00E262FC">
      <w:pPr>
        <w:spacing w:line="360" w:lineRule="auto"/>
        <w:rPr>
          <w:b/>
          <w:bCs/>
          <w:iCs/>
          <w:sz w:val="24"/>
          <w:szCs w:val="24"/>
          <w:lang w:val="en-US"/>
        </w:rPr>
      </w:pPr>
    </w:p>
    <w:p w14:paraId="3DB59081" w14:textId="77777777" w:rsidR="00863C2B" w:rsidRPr="00863C2B" w:rsidRDefault="00863C2B" w:rsidP="00E262FC">
      <w:pPr>
        <w:spacing w:line="360" w:lineRule="auto"/>
        <w:rPr>
          <w:b/>
          <w:bCs/>
          <w:iCs/>
          <w:sz w:val="24"/>
          <w:szCs w:val="24"/>
          <w:lang w:val="en-US"/>
        </w:rPr>
      </w:pPr>
      <w:r w:rsidRPr="00863C2B">
        <w:rPr>
          <w:b/>
          <w:bCs/>
          <w:iCs/>
          <w:sz w:val="24"/>
          <w:szCs w:val="24"/>
          <w:lang w:val="en-US"/>
        </w:rPr>
        <w:t>4.2 The First Year Calculation of Sales</w:t>
      </w:r>
    </w:p>
    <w:tbl>
      <w:tblPr>
        <w:tblW w:w="8635" w:type="dxa"/>
        <w:tblLook w:val="04A0" w:firstRow="1" w:lastRow="0" w:firstColumn="1" w:lastColumn="0" w:noHBand="0" w:noVBand="1"/>
      </w:tblPr>
      <w:tblGrid>
        <w:gridCol w:w="3325"/>
        <w:gridCol w:w="5310"/>
      </w:tblGrid>
      <w:tr w:rsidR="006D61C8" w:rsidRPr="006D61C8" w14:paraId="63C8E384" w14:textId="77777777" w:rsidTr="006D61C8">
        <w:trPr>
          <w:trHeight w:val="290"/>
        </w:trPr>
        <w:tc>
          <w:tcPr>
            <w:tcW w:w="3325" w:type="dxa"/>
            <w:tcBorders>
              <w:top w:val="single" w:sz="4" w:space="0" w:color="auto"/>
              <w:left w:val="single" w:sz="4" w:space="0" w:color="auto"/>
              <w:bottom w:val="single" w:sz="4" w:space="0" w:color="auto"/>
              <w:right w:val="single" w:sz="4" w:space="0" w:color="auto"/>
            </w:tcBorders>
            <w:shd w:val="clear" w:color="000000" w:fill="DAE9F8"/>
            <w:vAlign w:val="center"/>
            <w:hideMark/>
          </w:tcPr>
          <w:p w14:paraId="0D4981A1" w14:textId="77777777" w:rsidR="006D61C8" w:rsidRPr="006D61C8" w:rsidRDefault="006D61C8" w:rsidP="00E262FC">
            <w:pPr>
              <w:spacing w:line="360" w:lineRule="auto"/>
              <w:rPr>
                <w:rFonts w:eastAsia="Times New Roman"/>
                <w:b/>
                <w:bCs/>
                <w:color w:val="404040"/>
                <w:sz w:val="24"/>
                <w:szCs w:val="24"/>
                <w:lang w:val="en-US" w:eastAsia="zh-TW"/>
              </w:rPr>
            </w:pPr>
            <w:r w:rsidRPr="006D61C8">
              <w:rPr>
                <w:rFonts w:eastAsia="Times New Roman"/>
                <w:b/>
                <w:bCs/>
                <w:color w:val="404040"/>
                <w:sz w:val="24"/>
                <w:szCs w:val="24"/>
                <w:lang w:val="en-US" w:eastAsia="zh-TW"/>
              </w:rPr>
              <w:t>Project items</w:t>
            </w:r>
          </w:p>
        </w:tc>
        <w:tc>
          <w:tcPr>
            <w:tcW w:w="5310" w:type="dxa"/>
            <w:tcBorders>
              <w:top w:val="single" w:sz="4" w:space="0" w:color="auto"/>
              <w:left w:val="nil"/>
              <w:bottom w:val="single" w:sz="4" w:space="0" w:color="auto"/>
              <w:right w:val="single" w:sz="4" w:space="0" w:color="auto"/>
            </w:tcBorders>
            <w:shd w:val="clear" w:color="000000" w:fill="DAE9F8"/>
            <w:vAlign w:val="center"/>
            <w:hideMark/>
          </w:tcPr>
          <w:p w14:paraId="57FEC498" w14:textId="77777777" w:rsidR="006D61C8" w:rsidRPr="006D61C8" w:rsidRDefault="006D61C8" w:rsidP="00E262FC">
            <w:pPr>
              <w:spacing w:line="360" w:lineRule="auto"/>
              <w:rPr>
                <w:rFonts w:eastAsia="Times New Roman"/>
                <w:b/>
                <w:bCs/>
                <w:color w:val="404040"/>
                <w:sz w:val="24"/>
                <w:szCs w:val="24"/>
                <w:lang w:val="en-US" w:eastAsia="zh-TW"/>
              </w:rPr>
            </w:pPr>
            <w:r w:rsidRPr="006D61C8">
              <w:rPr>
                <w:rFonts w:eastAsia="Times New Roman"/>
                <w:b/>
                <w:bCs/>
                <w:color w:val="404040"/>
                <w:sz w:val="24"/>
                <w:szCs w:val="24"/>
                <w:lang w:val="en-US" w:eastAsia="zh-TW"/>
              </w:rPr>
              <w:t>Remarks/Calculation</w:t>
            </w:r>
          </w:p>
        </w:tc>
      </w:tr>
      <w:tr w:rsidR="006D61C8" w:rsidRPr="006D61C8" w14:paraId="7B729406" w14:textId="77777777" w:rsidTr="006D61C8">
        <w:trPr>
          <w:trHeight w:val="290"/>
        </w:trPr>
        <w:tc>
          <w:tcPr>
            <w:tcW w:w="3325" w:type="dxa"/>
            <w:tcBorders>
              <w:top w:val="nil"/>
              <w:left w:val="single" w:sz="4" w:space="0" w:color="auto"/>
              <w:bottom w:val="single" w:sz="4" w:space="0" w:color="auto"/>
              <w:right w:val="single" w:sz="4" w:space="0" w:color="auto"/>
            </w:tcBorders>
            <w:shd w:val="clear" w:color="000000" w:fill="DAE9F8"/>
            <w:vAlign w:val="center"/>
            <w:hideMark/>
          </w:tcPr>
          <w:p w14:paraId="2CCD392A" w14:textId="77777777" w:rsidR="006D61C8" w:rsidRPr="006D61C8" w:rsidRDefault="006D61C8" w:rsidP="00E262FC">
            <w:pPr>
              <w:spacing w:line="360" w:lineRule="auto"/>
              <w:rPr>
                <w:rFonts w:eastAsia="Times New Roman"/>
                <w:b/>
                <w:bCs/>
                <w:color w:val="404040"/>
                <w:sz w:val="24"/>
                <w:szCs w:val="24"/>
                <w:lang w:val="en-US" w:eastAsia="zh-TW"/>
              </w:rPr>
            </w:pPr>
            <w:r w:rsidRPr="006D61C8">
              <w:rPr>
                <w:rFonts w:eastAsia="Times New Roman"/>
                <w:b/>
                <w:bCs/>
                <w:color w:val="404040"/>
                <w:sz w:val="24"/>
                <w:szCs w:val="24"/>
                <w:lang w:val="en-US" w:eastAsia="zh-TW"/>
              </w:rPr>
              <w:t>Sales per square foot</w:t>
            </w:r>
          </w:p>
        </w:tc>
        <w:tc>
          <w:tcPr>
            <w:tcW w:w="5310" w:type="dxa"/>
            <w:tcBorders>
              <w:top w:val="nil"/>
              <w:left w:val="nil"/>
              <w:bottom w:val="single" w:sz="4" w:space="0" w:color="auto"/>
              <w:right w:val="single" w:sz="4" w:space="0" w:color="auto"/>
            </w:tcBorders>
            <w:shd w:val="clear" w:color="000000" w:fill="DAE9F8"/>
            <w:vAlign w:val="center"/>
            <w:hideMark/>
          </w:tcPr>
          <w:p w14:paraId="5816BD8C" w14:textId="77777777" w:rsidR="006D61C8" w:rsidRPr="006D61C8" w:rsidRDefault="006D61C8" w:rsidP="00E262FC">
            <w:pPr>
              <w:spacing w:line="360" w:lineRule="auto"/>
              <w:rPr>
                <w:rFonts w:eastAsia="Times New Roman"/>
                <w:color w:val="404040"/>
                <w:sz w:val="24"/>
                <w:szCs w:val="24"/>
                <w:lang w:val="en-US" w:eastAsia="zh-TW"/>
              </w:rPr>
            </w:pPr>
            <w:r w:rsidRPr="006D61C8">
              <w:rPr>
                <w:rFonts w:eastAsia="Times New Roman"/>
                <w:color w:val="404040"/>
                <w:sz w:val="24"/>
                <w:szCs w:val="24"/>
                <w:lang w:val="en-US" w:eastAsia="zh-TW"/>
              </w:rPr>
              <w:t>2,800 (Tsui Wah 2025)</w:t>
            </w:r>
          </w:p>
        </w:tc>
      </w:tr>
      <w:tr w:rsidR="006D61C8" w:rsidRPr="006D61C8" w14:paraId="06FBE499" w14:textId="77777777" w:rsidTr="006D61C8">
        <w:trPr>
          <w:trHeight w:val="290"/>
        </w:trPr>
        <w:tc>
          <w:tcPr>
            <w:tcW w:w="3325" w:type="dxa"/>
            <w:tcBorders>
              <w:top w:val="nil"/>
              <w:left w:val="single" w:sz="4" w:space="0" w:color="auto"/>
              <w:bottom w:val="single" w:sz="4" w:space="0" w:color="auto"/>
              <w:right w:val="single" w:sz="4" w:space="0" w:color="auto"/>
            </w:tcBorders>
            <w:shd w:val="clear" w:color="000000" w:fill="DAE9F8"/>
            <w:vAlign w:val="center"/>
            <w:hideMark/>
          </w:tcPr>
          <w:p w14:paraId="75A5A728" w14:textId="77777777" w:rsidR="006D61C8" w:rsidRPr="006D61C8" w:rsidRDefault="006D61C8" w:rsidP="00E262FC">
            <w:pPr>
              <w:spacing w:line="360" w:lineRule="auto"/>
              <w:rPr>
                <w:rFonts w:eastAsia="Times New Roman"/>
                <w:b/>
                <w:bCs/>
                <w:color w:val="404040"/>
                <w:sz w:val="24"/>
                <w:szCs w:val="24"/>
                <w:lang w:val="en-US" w:eastAsia="zh-TW"/>
              </w:rPr>
            </w:pPr>
            <w:r w:rsidRPr="006D61C8">
              <w:rPr>
                <w:rFonts w:eastAsia="Times New Roman"/>
                <w:b/>
                <w:bCs/>
                <w:color w:val="404040"/>
                <w:sz w:val="24"/>
                <w:szCs w:val="24"/>
                <w:lang w:val="en-US" w:eastAsia="zh-TW"/>
              </w:rPr>
              <w:t>Dine-in sales ratio</w:t>
            </w:r>
          </w:p>
        </w:tc>
        <w:tc>
          <w:tcPr>
            <w:tcW w:w="5310" w:type="dxa"/>
            <w:tcBorders>
              <w:top w:val="nil"/>
              <w:left w:val="nil"/>
              <w:bottom w:val="single" w:sz="4" w:space="0" w:color="auto"/>
              <w:right w:val="single" w:sz="4" w:space="0" w:color="auto"/>
            </w:tcBorders>
            <w:shd w:val="clear" w:color="000000" w:fill="DAE9F8"/>
            <w:vAlign w:val="center"/>
            <w:hideMark/>
          </w:tcPr>
          <w:p w14:paraId="6F0AA8D5" w14:textId="77777777" w:rsidR="006D61C8" w:rsidRPr="006D61C8" w:rsidRDefault="006D61C8" w:rsidP="00E262FC">
            <w:pPr>
              <w:spacing w:line="360" w:lineRule="auto"/>
              <w:rPr>
                <w:rFonts w:eastAsia="Times New Roman"/>
                <w:color w:val="404040"/>
                <w:sz w:val="24"/>
                <w:szCs w:val="24"/>
                <w:lang w:val="en-US" w:eastAsia="zh-TW"/>
              </w:rPr>
            </w:pPr>
            <w:r w:rsidRPr="006D61C8">
              <w:rPr>
                <w:rFonts w:eastAsia="Times New Roman"/>
                <w:color w:val="404040"/>
                <w:sz w:val="24"/>
                <w:szCs w:val="24"/>
                <w:lang w:val="en-US" w:eastAsia="zh-TW"/>
              </w:rPr>
              <w:t>85% (</w:t>
            </w:r>
            <w:proofErr w:type="gramStart"/>
            <w:r w:rsidRPr="006D61C8">
              <w:rPr>
                <w:rFonts w:eastAsia="Times New Roman"/>
                <w:color w:val="404040"/>
                <w:sz w:val="24"/>
                <w:szCs w:val="24"/>
                <w:lang w:val="en-US" w:eastAsia="zh-TW"/>
              </w:rPr>
              <w:t>estimate</w:t>
            </w:r>
            <w:proofErr w:type="gramEnd"/>
            <w:r w:rsidRPr="006D61C8">
              <w:rPr>
                <w:rFonts w:eastAsia="Times New Roman"/>
                <w:color w:val="404040"/>
                <w:sz w:val="24"/>
                <w:szCs w:val="24"/>
                <w:lang w:val="en-US" w:eastAsia="zh-TW"/>
              </w:rPr>
              <w:t>; counters analogy)</w:t>
            </w:r>
          </w:p>
        </w:tc>
      </w:tr>
      <w:tr w:rsidR="006D61C8" w:rsidRPr="006D61C8" w14:paraId="69DC26D8" w14:textId="77777777" w:rsidTr="006D61C8">
        <w:trPr>
          <w:trHeight w:val="290"/>
        </w:trPr>
        <w:tc>
          <w:tcPr>
            <w:tcW w:w="3325" w:type="dxa"/>
            <w:tcBorders>
              <w:top w:val="nil"/>
              <w:left w:val="single" w:sz="4" w:space="0" w:color="auto"/>
              <w:bottom w:val="single" w:sz="4" w:space="0" w:color="auto"/>
              <w:right w:val="single" w:sz="4" w:space="0" w:color="auto"/>
            </w:tcBorders>
            <w:shd w:val="clear" w:color="000000" w:fill="DAE9F8"/>
            <w:vAlign w:val="center"/>
            <w:hideMark/>
          </w:tcPr>
          <w:p w14:paraId="087D86BF" w14:textId="77777777" w:rsidR="006D61C8" w:rsidRPr="006D61C8" w:rsidRDefault="006D61C8" w:rsidP="00E262FC">
            <w:pPr>
              <w:spacing w:line="360" w:lineRule="auto"/>
              <w:rPr>
                <w:rFonts w:eastAsia="Times New Roman"/>
                <w:b/>
                <w:bCs/>
                <w:color w:val="404040"/>
                <w:sz w:val="24"/>
                <w:szCs w:val="24"/>
                <w:lang w:val="en-US" w:eastAsia="zh-TW"/>
              </w:rPr>
            </w:pPr>
            <w:r w:rsidRPr="006D61C8">
              <w:rPr>
                <w:rFonts w:eastAsia="Times New Roman"/>
                <w:b/>
                <w:bCs/>
                <w:color w:val="404040"/>
                <w:sz w:val="24"/>
                <w:szCs w:val="24"/>
                <w:lang w:val="en-US" w:eastAsia="zh-TW"/>
              </w:rPr>
              <w:t>Takeaway/retail sales ratio</w:t>
            </w:r>
          </w:p>
        </w:tc>
        <w:tc>
          <w:tcPr>
            <w:tcW w:w="5310" w:type="dxa"/>
            <w:tcBorders>
              <w:top w:val="nil"/>
              <w:left w:val="nil"/>
              <w:bottom w:val="single" w:sz="4" w:space="0" w:color="auto"/>
              <w:right w:val="single" w:sz="4" w:space="0" w:color="auto"/>
            </w:tcBorders>
            <w:shd w:val="clear" w:color="000000" w:fill="DAE9F8"/>
            <w:vAlign w:val="center"/>
            <w:hideMark/>
          </w:tcPr>
          <w:p w14:paraId="52A6F399" w14:textId="77777777" w:rsidR="006D61C8" w:rsidRPr="006D61C8" w:rsidRDefault="006D61C8" w:rsidP="00E262FC">
            <w:pPr>
              <w:spacing w:line="360" w:lineRule="auto"/>
              <w:rPr>
                <w:rFonts w:eastAsia="Times New Roman"/>
                <w:color w:val="404040"/>
                <w:sz w:val="24"/>
                <w:szCs w:val="24"/>
                <w:lang w:val="en-US" w:eastAsia="zh-TW"/>
              </w:rPr>
            </w:pPr>
            <w:r w:rsidRPr="006D61C8">
              <w:rPr>
                <w:rFonts w:eastAsia="Times New Roman"/>
                <w:color w:val="404040"/>
                <w:sz w:val="24"/>
                <w:szCs w:val="24"/>
                <w:lang w:val="en-US" w:eastAsia="zh-TW"/>
              </w:rPr>
              <w:t>15% (</w:t>
            </w:r>
            <w:proofErr w:type="gramStart"/>
            <w:r w:rsidRPr="006D61C8">
              <w:rPr>
                <w:rFonts w:eastAsia="Times New Roman"/>
                <w:color w:val="404040"/>
                <w:sz w:val="24"/>
                <w:szCs w:val="24"/>
                <w:lang w:val="en-US" w:eastAsia="zh-TW"/>
              </w:rPr>
              <w:t>estimate</w:t>
            </w:r>
            <w:proofErr w:type="gramEnd"/>
            <w:r w:rsidRPr="006D61C8">
              <w:rPr>
                <w:rFonts w:eastAsia="Times New Roman"/>
                <w:color w:val="404040"/>
                <w:sz w:val="24"/>
                <w:szCs w:val="24"/>
                <w:lang w:val="en-US" w:eastAsia="zh-TW"/>
              </w:rPr>
              <w:t>; direct sales analogy)</w:t>
            </w:r>
          </w:p>
        </w:tc>
      </w:tr>
      <w:tr w:rsidR="006D61C8" w:rsidRPr="006D61C8" w14:paraId="78F005CF" w14:textId="77777777" w:rsidTr="006D61C8">
        <w:trPr>
          <w:trHeight w:val="290"/>
        </w:trPr>
        <w:tc>
          <w:tcPr>
            <w:tcW w:w="3325" w:type="dxa"/>
            <w:tcBorders>
              <w:top w:val="nil"/>
              <w:left w:val="single" w:sz="4" w:space="0" w:color="auto"/>
              <w:bottom w:val="single" w:sz="4" w:space="0" w:color="auto"/>
              <w:right w:val="single" w:sz="4" w:space="0" w:color="auto"/>
            </w:tcBorders>
            <w:shd w:val="clear" w:color="000000" w:fill="DAE9F8"/>
            <w:vAlign w:val="center"/>
            <w:hideMark/>
          </w:tcPr>
          <w:p w14:paraId="3DCB2CBF" w14:textId="77777777" w:rsidR="006D61C8" w:rsidRPr="006D61C8" w:rsidRDefault="006D61C8" w:rsidP="00E262FC">
            <w:pPr>
              <w:spacing w:line="360" w:lineRule="auto"/>
              <w:rPr>
                <w:rFonts w:eastAsia="Times New Roman"/>
                <w:b/>
                <w:bCs/>
                <w:color w:val="404040"/>
                <w:sz w:val="24"/>
                <w:szCs w:val="24"/>
                <w:lang w:val="en-US" w:eastAsia="zh-TW"/>
              </w:rPr>
            </w:pPr>
            <w:r w:rsidRPr="006D61C8">
              <w:rPr>
                <w:rFonts w:eastAsia="Times New Roman"/>
                <w:b/>
                <w:bCs/>
                <w:color w:val="404040"/>
                <w:sz w:val="24"/>
                <w:szCs w:val="24"/>
                <w:lang w:val="en-US" w:eastAsia="zh-TW"/>
              </w:rPr>
              <w:t>Total Sales (Year 1, HKD)</w:t>
            </w:r>
          </w:p>
        </w:tc>
        <w:tc>
          <w:tcPr>
            <w:tcW w:w="5310" w:type="dxa"/>
            <w:tcBorders>
              <w:top w:val="nil"/>
              <w:left w:val="nil"/>
              <w:bottom w:val="single" w:sz="4" w:space="0" w:color="auto"/>
              <w:right w:val="single" w:sz="4" w:space="0" w:color="auto"/>
            </w:tcBorders>
            <w:shd w:val="clear" w:color="000000" w:fill="DAE9F8"/>
            <w:vAlign w:val="center"/>
            <w:hideMark/>
          </w:tcPr>
          <w:p w14:paraId="36807407" w14:textId="77777777" w:rsidR="006D61C8" w:rsidRPr="006D61C8" w:rsidRDefault="006D61C8" w:rsidP="00E262FC">
            <w:pPr>
              <w:spacing w:line="360" w:lineRule="auto"/>
              <w:rPr>
                <w:rFonts w:eastAsia="Times New Roman"/>
                <w:color w:val="404040"/>
                <w:sz w:val="24"/>
                <w:szCs w:val="24"/>
                <w:lang w:val="en-US" w:eastAsia="zh-TW"/>
              </w:rPr>
            </w:pPr>
            <w:r w:rsidRPr="006D61C8">
              <w:rPr>
                <w:rFonts w:eastAsia="Times New Roman"/>
                <w:color w:val="404040"/>
                <w:sz w:val="24"/>
                <w:szCs w:val="24"/>
                <w:lang w:val="en-US" w:eastAsia="zh-TW"/>
              </w:rPr>
              <w:t>14.00 million</w:t>
            </w:r>
          </w:p>
        </w:tc>
      </w:tr>
      <w:tr w:rsidR="006D61C8" w:rsidRPr="006D61C8" w14:paraId="1893C305" w14:textId="77777777" w:rsidTr="006D61C8">
        <w:trPr>
          <w:trHeight w:val="290"/>
        </w:trPr>
        <w:tc>
          <w:tcPr>
            <w:tcW w:w="3325" w:type="dxa"/>
            <w:tcBorders>
              <w:top w:val="nil"/>
              <w:left w:val="single" w:sz="4" w:space="0" w:color="auto"/>
              <w:bottom w:val="single" w:sz="4" w:space="0" w:color="auto"/>
              <w:right w:val="single" w:sz="4" w:space="0" w:color="auto"/>
            </w:tcBorders>
            <w:shd w:val="clear" w:color="000000" w:fill="DAE9F8"/>
            <w:vAlign w:val="center"/>
            <w:hideMark/>
          </w:tcPr>
          <w:p w14:paraId="2B1BCB2A" w14:textId="77777777" w:rsidR="006D61C8" w:rsidRPr="006D61C8" w:rsidRDefault="006D61C8" w:rsidP="00E262FC">
            <w:pPr>
              <w:spacing w:line="360" w:lineRule="auto"/>
              <w:rPr>
                <w:rFonts w:eastAsia="Times New Roman"/>
                <w:b/>
                <w:bCs/>
                <w:color w:val="404040"/>
                <w:sz w:val="24"/>
                <w:szCs w:val="24"/>
                <w:lang w:val="en-US" w:eastAsia="zh-TW"/>
              </w:rPr>
            </w:pPr>
            <w:r w:rsidRPr="006D61C8">
              <w:rPr>
                <w:rFonts w:eastAsia="Times New Roman"/>
                <w:b/>
                <w:bCs/>
                <w:color w:val="404040"/>
                <w:sz w:val="24"/>
                <w:szCs w:val="24"/>
                <w:lang w:val="en-US" w:eastAsia="zh-TW"/>
              </w:rPr>
              <w:t>Dine-in Sales</w:t>
            </w:r>
          </w:p>
        </w:tc>
        <w:tc>
          <w:tcPr>
            <w:tcW w:w="5310" w:type="dxa"/>
            <w:tcBorders>
              <w:top w:val="nil"/>
              <w:left w:val="nil"/>
              <w:bottom w:val="single" w:sz="4" w:space="0" w:color="auto"/>
              <w:right w:val="single" w:sz="4" w:space="0" w:color="auto"/>
            </w:tcBorders>
            <w:shd w:val="clear" w:color="000000" w:fill="DAE9F8"/>
            <w:vAlign w:val="center"/>
            <w:hideMark/>
          </w:tcPr>
          <w:p w14:paraId="644DD290" w14:textId="77777777" w:rsidR="006D61C8" w:rsidRPr="006D61C8" w:rsidRDefault="006D61C8" w:rsidP="00E262FC">
            <w:pPr>
              <w:spacing w:line="360" w:lineRule="auto"/>
              <w:rPr>
                <w:rFonts w:eastAsia="Times New Roman"/>
                <w:color w:val="404040"/>
                <w:sz w:val="24"/>
                <w:szCs w:val="24"/>
                <w:lang w:val="en-US" w:eastAsia="zh-TW"/>
              </w:rPr>
            </w:pPr>
            <w:r w:rsidRPr="006D61C8">
              <w:rPr>
                <w:rFonts w:eastAsia="Times New Roman"/>
                <w:color w:val="404040"/>
                <w:sz w:val="24"/>
                <w:szCs w:val="24"/>
                <w:lang w:val="en-US" w:eastAsia="zh-TW"/>
              </w:rPr>
              <w:t>11.90 million (14m × 85%)</w:t>
            </w:r>
          </w:p>
        </w:tc>
      </w:tr>
      <w:tr w:rsidR="006D61C8" w:rsidRPr="006D61C8" w14:paraId="334CB9EA" w14:textId="77777777" w:rsidTr="006D61C8">
        <w:trPr>
          <w:trHeight w:val="290"/>
        </w:trPr>
        <w:tc>
          <w:tcPr>
            <w:tcW w:w="3325" w:type="dxa"/>
            <w:tcBorders>
              <w:top w:val="nil"/>
              <w:left w:val="single" w:sz="4" w:space="0" w:color="auto"/>
              <w:bottom w:val="single" w:sz="4" w:space="0" w:color="auto"/>
              <w:right w:val="single" w:sz="4" w:space="0" w:color="auto"/>
            </w:tcBorders>
            <w:shd w:val="clear" w:color="000000" w:fill="DAE9F8"/>
            <w:vAlign w:val="center"/>
            <w:hideMark/>
          </w:tcPr>
          <w:p w14:paraId="77AD4F16" w14:textId="77777777" w:rsidR="006D61C8" w:rsidRPr="006D61C8" w:rsidRDefault="006D61C8" w:rsidP="00E262FC">
            <w:pPr>
              <w:spacing w:line="360" w:lineRule="auto"/>
              <w:rPr>
                <w:rFonts w:eastAsia="Times New Roman"/>
                <w:b/>
                <w:bCs/>
                <w:color w:val="404040"/>
                <w:sz w:val="24"/>
                <w:szCs w:val="24"/>
                <w:lang w:val="en-US" w:eastAsia="zh-TW"/>
              </w:rPr>
            </w:pPr>
            <w:r w:rsidRPr="006D61C8">
              <w:rPr>
                <w:rFonts w:eastAsia="Times New Roman"/>
                <w:b/>
                <w:bCs/>
                <w:color w:val="404040"/>
                <w:sz w:val="24"/>
                <w:szCs w:val="24"/>
                <w:lang w:val="en-US" w:eastAsia="zh-TW"/>
              </w:rPr>
              <w:t>Takeaway Sales</w:t>
            </w:r>
          </w:p>
        </w:tc>
        <w:tc>
          <w:tcPr>
            <w:tcW w:w="5310" w:type="dxa"/>
            <w:tcBorders>
              <w:top w:val="nil"/>
              <w:left w:val="nil"/>
              <w:bottom w:val="single" w:sz="4" w:space="0" w:color="auto"/>
              <w:right w:val="single" w:sz="4" w:space="0" w:color="auto"/>
            </w:tcBorders>
            <w:shd w:val="clear" w:color="000000" w:fill="DAE9F8"/>
            <w:vAlign w:val="center"/>
            <w:hideMark/>
          </w:tcPr>
          <w:p w14:paraId="4EBFE8A4" w14:textId="77777777" w:rsidR="006D61C8" w:rsidRPr="006D61C8" w:rsidRDefault="006D61C8" w:rsidP="00E262FC">
            <w:pPr>
              <w:spacing w:line="360" w:lineRule="auto"/>
              <w:rPr>
                <w:rFonts w:eastAsia="Times New Roman"/>
                <w:color w:val="404040"/>
                <w:sz w:val="24"/>
                <w:szCs w:val="24"/>
                <w:lang w:val="en-US" w:eastAsia="zh-TW"/>
              </w:rPr>
            </w:pPr>
            <w:r w:rsidRPr="006D61C8">
              <w:rPr>
                <w:rFonts w:eastAsia="Times New Roman"/>
                <w:color w:val="404040"/>
                <w:sz w:val="24"/>
                <w:szCs w:val="24"/>
                <w:lang w:val="en-US" w:eastAsia="zh-TW"/>
              </w:rPr>
              <w:t>2.10 million (14</w:t>
            </w:r>
            <w:proofErr w:type="gramStart"/>
            <w:r w:rsidRPr="006D61C8">
              <w:rPr>
                <w:rFonts w:eastAsia="Times New Roman"/>
                <w:color w:val="404040"/>
                <w:sz w:val="24"/>
                <w:szCs w:val="24"/>
                <w:lang w:val="en-US" w:eastAsia="zh-TW"/>
              </w:rPr>
              <w:t>m × 15</w:t>
            </w:r>
            <w:proofErr w:type="gramEnd"/>
            <w:r w:rsidRPr="006D61C8">
              <w:rPr>
                <w:rFonts w:eastAsia="Times New Roman"/>
                <w:color w:val="404040"/>
                <w:sz w:val="24"/>
                <w:szCs w:val="24"/>
                <w:lang w:val="en-US" w:eastAsia="zh-TW"/>
              </w:rPr>
              <w:t>%)</w:t>
            </w:r>
          </w:p>
        </w:tc>
      </w:tr>
      <w:tr w:rsidR="006D61C8" w:rsidRPr="006D61C8" w14:paraId="157C2ADC" w14:textId="77777777" w:rsidTr="006D61C8">
        <w:trPr>
          <w:trHeight w:val="290"/>
        </w:trPr>
        <w:tc>
          <w:tcPr>
            <w:tcW w:w="3325" w:type="dxa"/>
            <w:tcBorders>
              <w:top w:val="nil"/>
              <w:left w:val="single" w:sz="4" w:space="0" w:color="auto"/>
              <w:bottom w:val="single" w:sz="4" w:space="0" w:color="auto"/>
              <w:right w:val="single" w:sz="4" w:space="0" w:color="auto"/>
            </w:tcBorders>
            <w:shd w:val="clear" w:color="000000" w:fill="DAE9F8"/>
            <w:vAlign w:val="center"/>
            <w:hideMark/>
          </w:tcPr>
          <w:p w14:paraId="218513C9" w14:textId="77777777" w:rsidR="006D61C8" w:rsidRPr="006D61C8" w:rsidRDefault="006D61C8" w:rsidP="00E262FC">
            <w:pPr>
              <w:spacing w:line="360" w:lineRule="auto"/>
              <w:rPr>
                <w:rFonts w:eastAsia="Times New Roman"/>
                <w:b/>
                <w:bCs/>
                <w:color w:val="404040"/>
                <w:sz w:val="24"/>
                <w:szCs w:val="24"/>
                <w:lang w:val="en-US" w:eastAsia="zh-TW"/>
              </w:rPr>
            </w:pPr>
            <w:r w:rsidRPr="006D61C8">
              <w:rPr>
                <w:rFonts w:eastAsia="Times New Roman"/>
                <w:b/>
                <w:bCs/>
                <w:color w:val="404040"/>
                <w:sz w:val="24"/>
                <w:szCs w:val="24"/>
                <w:lang w:val="en-US" w:eastAsia="zh-TW"/>
              </w:rPr>
              <w:t>Total EBITDA (Year 1)</w:t>
            </w:r>
          </w:p>
        </w:tc>
        <w:tc>
          <w:tcPr>
            <w:tcW w:w="5310" w:type="dxa"/>
            <w:tcBorders>
              <w:top w:val="nil"/>
              <w:left w:val="nil"/>
              <w:bottom w:val="single" w:sz="4" w:space="0" w:color="auto"/>
              <w:right w:val="single" w:sz="4" w:space="0" w:color="auto"/>
            </w:tcBorders>
            <w:shd w:val="clear" w:color="000000" w:fill="DAE9F8"/>
            <w:vAlign w:val="center"/>
            <w:hideMark/>
          </w:tcPr>
          <w:p w14:paraId="0954CE54" w14:textId="77777777" w:rsidR="006D61C8" w:rsidRPr="006D61C8" w:rsidRDefault="006D61C8" w:rsidP="00E262FC">
            <w:pPr>
              <w:spacing w:line="360" w:lineRule="auto"/>
              <w:rPr>
                <w:rFonts w:eastAsia="Times New Roman"/>
                <w:color w:val="404040"/>
                <w:sz w:val="24"/>
                <w:szCs w:val="24"/>
                <w:lang w:val="en-US" w:eastAsia="zh-TW"/>
              </w:rPr>
            </w:pPr>
            <w:r w:rsidRPr="006D61C8">
              <w:rPr>
                <w:rFonts w:eastAsia="Times New Roman"/>
                <w:color w:val="404040"/>
                <w:sz w:val="24"/>
                <w:szCs w:val="24"/>
                <w:lang w:val="en-US" w:eastAsia="zh-TW"/>
              </w:rPr>
              <w:t>2.52 million (14m × 18%)</w:t>
            </w:r>
          </w:p>
        </w:tc>
      </w:tr>
    </w:tbl>
    <w:p w14:paraId="01537758" w14:textId="48F468CC" w:rsidR="00397526" w:rsidRPr="00937F54" w:rsidRDefault="00DB3DAB" w:rsidP="00E262FC">
      <w:pPr>
        <w:spacing w:line="360" w:lineRule="auto"/>
        <w:rPr>
          <w:i/>
          <w:iCs/>
          <w:sz w:val="24"/>
          <w:szCs w:val="24"/>
        </w:rPr>
      </w:pPr>
      <w:r w:rsidRPr="00937F54">
        <w:rPr>
          <w:i/>
          <w:iCs/>
          <w:sz w:val="24"/>
          <w:szCs w:val="24"/>
        </w:rPr>
        <w:t>Note: Source – Tsui Wah 2025 Annual Report and financial model.</w:t>
      </w:r>
    </w:p>
    <w:p w14:paraId="3A2546FA" w14:textId="77777777" w:rsidR="00052228" w:rsidRDefault="00052228" w:rsidP="00E262FC">
      <w:pPr>
        <w:spacing w:line="360" w:lineRule="auto"/>
        <w:rPr>
          <w:b/>
          <w:bCs/>
          <w:iCs/>
          <w:sz w:val="24"/>
          <w:szCs w:val="24"/>
          <w:lang w:val="en-US"/>
        </w:rPr>
      </w:pPr>
    </w:p>
    <w:p w14:paraId="2E578964" w14:textId="77777777" w:rsidR="00E04949" w:rsidRDefault="00E04949" w:rsidP="00E262FC">
      <w:pPr>
        <w:spacing w:line="360" w:lineRule="auto"/>
        <w:rPr>
          <w:b/>
          <w:bCs/>
          <w:iCs/>
          <w:sz w:val="24"/>
          <w:szCs w:val="24"/>
          <w:lang w:val="en-US"/>
        </w:rPr>
      </w:pPr>
    </w:p>
    <w:p w14:paraId="4DDF68CC" w14:textId="77777777" w:rsidR="00E04949" w:rsidRDefault="00E04949" w:rsidP="00E262FC">
      <w:pPr>
        <w:spacing w:line="360" w:lineRule="auto"/>
        <w:rPr>
          <w:b/>
          <w:bCs/>
          <w:iCs/>
          <w:sz w:val="24"/>
          <w:szCs w:val="24"/>
          <w:lang w:val="en-US"/>
        </w:rPr>
      </w:pPr>
    </w:p>
    <w:p w14:paraId="16325829" w14:textId="77777777" w:rsidR="00E04949" w:rsidRDefault="00E04949" w:rsidP="00E262FC">
      <w:pPr>
        <w:spacing w:line="360" w:lineRule="auto"/>
        <w:rPr>
          <w:b/>
          <w:bCs/>
          <w:iCs/>
          <w:sz w:val="24"/>
          <w:szCs w:val="24"/>
          <w:lang w:val="en-US"/>
        </w:rPr>
      </w:pPr>
    </w:p>
    <w:p w14:paraId="00FDB619" w14:textId="77777777" w:rsidR="00E04949" w:rsidRDefault="00E04949" w:rsidP="00E262FC">
      <w:pPr>
        <w:spacing w:line="360" w:lineRule="auto"/>
        <w:rPr>
          <w:b/>
          <w:bCs/>
          <w:iCs/>
          <w:sz w:val="24"/>
          <w:szCs w:val="24"/>
          <w:lang w:val="en-US"/>
        </w:rPr>
      </w:pPr>
    </w:p>
    <w:p w14:paraId="3FCDA451" w14:textId="77777777" w:rsidR="00E04949" w:rsidRDefault="00E04949" w:rsidP="00E262FC">
      <w:pPr>
        <w:spacing w:line="360" w:lineRule="auto"/>
        <w:rPr>
          <w:b/>
          <w:bCs/>
          <w:iCs/>
          <w:sz w:val="24"/>
          <w:szCs w:val="24"/>
          <w:lang w:val="en-US"/>
        </w:rPr>
      </w:pPr>
    </w:p>
    <w:p w14:paraId="280B4882" w14:textId="77777777" w:rsidR="00E04949" w:rsidRDefault="00E04949" w:rsidP="00E262FC">
      <w:pPr>
        <w:spacing w:line="360" w:lineRule="auto"/>
        <w:rPr>
          <w:b/>
          <w:bCs/>
          <w:iCs/>
          <w:sz w:val="24"/>
          <w:szCs w:val="24"/>
          <w:lang w:val="en-US"/>
        </w:rPr>
      </w:pPr>
    </w:p>
    <w:p w14:paraId="6FF77291" w14:textId="6A758968" w:rsidR="0064717E" w:rsidRPr="0064717E" w:rsidRDefault="0064717E" w:rsidP="00E262FC">
      <w:pPr>
        <w:spacing w:line="360" w:lineRule="auto"/>
        <w:rPr>
          <w:b/>
          <w:bCs/>
          <w:iCs/>
          <w:sz w:val="24"/>
          <w:szCs w:val="24"/>
          <w:lang w:val="en-US"/>
        </w:rPr>
      </w:pPr>
      <w:r w:rsidRPr="0064717E">
        <w:rPr>
          <w:b/>
          <w:bCs/>
          <w:iCs/>
          <w:sz w:val="24"/>
          <w:szCs w:val="24"/>
          <w:lang w:val="en-US"/>
        </w:rPr>
        <w:lastRenderedPageBreak/>
        <w:t>4.3 Multi-Year Projection &amp; Key Financials</w:t>
      </w:r>
    </w:p>
    <w:tbl>
      <w:tblPr>
        <w:tblW w:w="8905" w:type="dxa"/>
        <w:tblLook w:val="04A0" w:firstRow="1" w:lastRow="0" w:firstColumn="1" w:lastColumn="0" w:noHBand="0" w:noVBand="1"/>
      </w:tblPr>
      <w:tblGrid>
        <w:gridCol w:w="906"/>
        <w:gridCol w:w="1651"/>
        <w:gridCol w:w="1137"/>
        <w:gridCol w:w="1633"/>
        <w:gridCol w:w="1328"/>
        <w:gridCol w:w="2250"/>
      </w:tblGrid>
      <w:tr w:rsidR="00AA217A" w:rsidRPr="00937F54" w14:paraId="300EFAF9" w14:textId="77777777" w:rsidTr="00AA217A">
        <w:trPr>
          <w:trHeight w:val="460"/>
        </w:trPr>
        <w:tc>
          <w:tcPr>
            <w:tcW w:w="906" w:type="dxa"/>
            <w:tcBorders>
              <w:top w:val="single" w:sz="4" w:space="0" w:color="auto"/>
              <w:left w:val="single" w:sz="4" w:space="0" w:color="auto"/>
              <w:bottom w:val="single" w:sz="4" w:space="0" w:color="auto"/>
              <w:right w:val="single" w:sz="4" w:space="0" w:color="auto"/>
            </w:tcBorders>
            <w:shd w:val="clear" w:color="000000" w:fill="DAE9F8"/>
            <w:vAlign w:val="center"/>
            <w:hideMark/>
          </w:tcPr>
          <w:p w14:paraId="7AB72276" w14:textId="77777777" w:rsidR="00AA217A" w:rsidRPr="00AA217A" w:rsidRDefault="00AA217A" w:rsidP="00E262FC">
            <w:pPr>
              <w:spacing w:line="360" w:lineRule="auto"/>
              <w:rPr>
                <w:rFonts w:eastAsia="Times New Roman"/>
                <w:b/>
                <w:bCs/>
                <w:color w:val="404040"/>
                <w:sz w:val="24"/>
                <w:szCs w:val="24"/>
                <w:lang w:val="en-US" w:eastAsia="zh-TW"/>
              </w:rPr>
            </w:pPr>
            <w:r w:rsidRPr="00AA217A">
              <w:rPr>
                <w:rFonts w:eastAsia="Times New Roman"/>
                <w:b/>
                <w:bCs/>
                <w:color w:val="404040"/>
                <w:sz w:val="24"/>
                <w:szCs w:val="24"/>
                <w:lang w:val="en-US" w:eastAsia="zh-TW"/>
              </w:rPr>
              <w:t>Year</w:t>
            </w:r>
          </w:p>
        </w:tc>
        <w:tc>
          <w:tcPr>
            <w:tcW w:w="1651" w:type="dxa"/>
            <w:tcBorders>
              <w:top w:val="single" w:sz="4" w:space="0" w:color="auto"/>
              <w:left w:val="nil"/>
              <w:bottom w:val="single" w:sz="4" w:space="0" w:color="auto"/>
              <w:right w:val="single" w:sz="4" w:space="0" w:color="auto"/>
            </w:tcBorders>
            <w:shd w:val="clear" w:color="000000" w:fill="DAE9F8"/>
            <w:vAlign w:val="center"/>
            <w:hideMark/>
          </w:tcPr>
          <w:p w14:paraId="5EB204A6" w14:textId="77777777" w:rsidR="00AA217A" w:rsidRPr="00AA217A" w:rsidRDefault="00AA217A" w:rsidP="00E262FC">
            <w:pPr>
              <w:spacing w:line="360" w:lineRule="auto"/>
              <w:rPr>
                <w:rFonts w:eastAsia="Times New Roman"/>
                <w:b/>
                <w:bCs/>
                <w:color w:val="404040"/>
                <w:sz w:val="24"/>
                <w:szCs w:val="24"/>
                <w:lang w:val="en-US" w:eastAsia="zh-TW"/>
              </w:rPr>
            </w:pPr>
            <w:r w:rsidRPr="00AA217A">
              <w:rPr>
                <w:rFonts w:eastAsia="Times New Roman"/>
                <w:b/>
                <w:bCs/>
                <w:color w:val="404040"/>
                <w:sz w:val="24"/>
                <w:szCs w:val="24"/>
                <w:lang w:val="en-US" w:eastAsia="zh-TW"/>
              </w:rPr>
              <w:t>Sales</w:t>
            </w:r>
          </w:p>
        </w:tc>
        <w:tc>
          <w:tcPr>
            <w:tcW w:w="1137" w:type="dxa"/>
            <w:tcBorders>
              <w:top w:val="single" w:sz="4" w:space="0" w:color="auto"/>
              <w:left w:val="nil"/>
              <w:bottom w:val="single" w:sz="4" w:space="0" w:color="auto"/>
              <w:right w:val="single" w:sz="4" w:space="0" w:color="auto"/>
            </w:tcBorders>
            <w:shd w:val="clear" w:color="000000" w:fill="DAE9F8"/>
            <w:vAlign w:val="center"/>
            <w:hideMark/>
          </w:tcPr>
          <w:p w14:paraId="6E6930D7" w14:textId="77777777" w:rsidR="00AA217A" w:rsidRPr="00AA217A" w:rsidRDefault="00AA217A" w:rsidP="00E262FC">
            <w:pPr>
              <w:spacing w:line="360" w:lineRule="auto"/>
              <w:rPr>
                <w:rFonts w:eastAsia="Times New Roman"/>
                <w:b/>
                <w:bCs/>
                <w:color w:val="404040"/>
                <w:sz w:val="24"/>
                <w:szCs w:val="24"/>
                <w:lang w:val="en-US" w:eastAsia="zh-TW"/>
              </w:rPr>
            </w:pPr>
            <w:r w:rsidRPr="00AA217A">
              <w:rPr>
                <w:rFonts w:eastAsia="Times New Roman"/>
                <w:b/>
                <w:bCs/>
                <w:color w:val="404040"/>
                <w:sz w:val="24"/>
                <w:szCs w:val="24"/>
                <w:lang w:val="en-US" w:eastAsia="zh-TW"/>
              </w:rPr>
              <w:t>EBITDA</w:t>
            </w:r>
          </w:p>
        </w:tc>
        <w:tc>
          <w:tcPr>
            <w:tcW w:w="1633" w:type="dxa"/>
            <w:tcBorders>
              <w:top w:val="single" w:sz="4" w:space="0" w:color="auto"/>
              <w:left w:val="nil"/>
              <w:bottom w:val="single" w:sz="4" w:space="0" w:color="auto"/>
              <w:right w:val="single" w:sz="4" w:space="0" w:color="auto"/>
            </w:tcBorders>
            <w:shd w:val="clear" w:color="000000" w:fill="DAE9F8"/>
            <w:vAlign w:val="center"/>
            <w:hideMark/>
          </w:tcPr>
          <w:p w14:paraId="54838E75" w14:textId="77777777" w:rsidR="00AA217A" w:rsidRPr="00AA217A" w:rsidRDefault="00AA217A" w:rsidP="00E262FC">
            <w:pPr>
              <w:spacing w:line="360" w:lineRule="auto"/>
              <w:rPr>
                <w:rFonts w:eastAsia="Times New Roman"/>
                <w:b/>
                <w:bCs/>
                <w:color w:val="404040"/>
                <w:sz w:val="24"/>
                <w:szCs w:val="24"/>
                <w:lang w:val="en-US" w:eastAsia="zh-TW"/>
              </w:rPr>
            </w:pPr>
            <w:r w:rsidRPr="00AA217A">
              <w:rPr>
                <w:rFonts w:eastAsia="Times New Roman"/>
                <w:b/>
                <w:bCs/>
                <w:color w:val="404040"/>
                <w:sz w:val="24"/>
                <w:szCs w:val="24"/>
                <w:lang w:val="en-US" w:eastAsia="zh-TW"/>
              </w:rPr>
              <w:t>Depreciation</w:t>
            </w:r>
          </w:p>
        </w:tc>
        <w:tc>
          <w:tcPr>
            <w:tcW w:w="1328" w:type="dxa"/>
            <w:tcBorders>
              <w:top w:val="single" w:sz="4" w:space="0" w:color="auto"/>
              <w:left w:val="nil"/>
              <w:bottom w:val="single" w:sz="4" w:space="0" w:color="auto"/>
              <w:right w:val="single" w:sz="4" w:space="0" w:color="auto"/>
            </w:tcBorders>
            <w:shd w:val="clear" w:color="000000" w:fill="DAE9F8"/>
            <w:vAlign w:val="center"/>
            <w:hideMark/>
          </w:tcPr>
          <w:p w14:paraId="55FCFD23" w14:textId="77777777" w:rsidR="00AA217A" w:rsidRPr="00AA217A" w:rsidRDefault="00AA217A" w:rsidP="00E262FC">
            <w:pPr>
              <w:spacing w:line="360" w:lineRule="auto"/>
              <w:rPr>
                <w:rFonts w:eastAsia="Times New Roman"/>
                <w:b/>
                <w:bCs/>
                <w:color w:val="404040"/>
                <w:sz w:val="24"/>
                <w:szCs w:val="24"/>
                <w:lang w:val="en-US" w:eastAsia="zh-TW"/>
              </w:rPr>
            </w:pPr>
            <w:r w:rsidRPr="00AA217A">
              <w:rPr>
                <w:rFonts w:eastAsia="Times New Roman"/>
                <w:b/>
                <w:bCs/>
                <w:color w:val="404040"/>
                <w:sz w:val="24"/>
                <w:szCs w:val="24"/>
                <w:lang w:val="en-US" w:eastAsia="zh-TW"/>
              </w:rPr>
              <w:t>Net Profit</w:t>
            </w:r>
          </w:p>
        </w:tc>
        <w:tc>
          <w:tcPr>
            <w:tcW w:w="2250" w:type="dxa"/>
            <w:tcBorders>
              <w:top w:val="single" w:sz="4" w:space="0" w:color="auto"/>
              <w:left w:val="nil"/>
              <w:bottom w:val="single" w:sz="4" w:space="0" w:color="auto"/>
              <w:right w:val="single" w:sz="4" w:space="0" w:color="auto"/>
            </w:tcBorders>
            <w:shd w:val="clear" w:color="000000" w:fill="DAE9F8"/>
            <w:vAlign w:val="center"/>
            <w:hideMark/>
          </w:tcPr>
          <w:p w14:paraId="6588115D" w14:textId="77777777" w:rsidR="00AA217A" w:rsidRPr="00AA217A" w:rsidRDefault="00AA217A" w:rsidP="00E262FC">
            <w:pPr>
              <w:spacing w:line="360" w:lineRule="auto"/>
              <w:rPr>
                <w:rFonts w:eastAsia="Times New Roman"/>
                <w:b/>
                <w:bCs/>
                <w:color w:val="404040"/>
                <w:sz w:val="24"/>
                <w:szCs w:val="24"/>
                <w:lang w:val="en-US" w:eastAsia="zh-TW"/>
              </w:rPr>
            </w:pPr>
            <w:r w:rsidRPr="00AA217A">
              <w:rPr>
                <w:rFonts w:eastAsia="Times New Roman"/>
                <w:b/>
                <w:bCs/>
                <w:color w:val="404040"/>
                <w:sz w:val="24"/>
                <w:szCs w:val="24"/>
                <w:lang w:val="en-US" w:eastAsia="zh-TW"/>
              </w:rPr>
              <w:t>Cash Flow (Net)</w:t>
            </w:r>
          </w:p>
        </w:tc>
      </w:tr>
      <w:tr w:rsidR="00AA217A" w:rsidRPr="00937F54" w14:paraId="49195FF6" w14:textId="77777777" w:rsidTr="00AA217A">
        <w:trPr>
          <w:trHeight w:val="290"/>
        </w:trPr>
        <w:tc>
          <w:tcPr>
            <w:tcW w:w="906" w:type="dxa"/>
            <w:tcBorders>
              <w:top w:val="nil"/>
              <w:left w:val="single" w:sz="4" w:space="0" w:color="auto"/>
              <w:bottom w:val="single" w:sz="4" w:space="0" w:color="auto"/>
              <w:right w:val="single" w:sz="4" w:space="0" w:color="auto"/>
            </w:tcBorders>
            <w:shd w:val="clear" w:color="000000" w:fill="DAE9F8"/>
            <w:vAlign w:val="center"/>
            <w:hideMark/>
          </w:tcPr>
          <w:p w14:paraId="49BEE24C" w14:textId="77777777" w:rsidR="00AA217A" w:rsidRPr="00AA217A" w:rsidRDefault="00AA217A" w:rsidP="00E262FC">
            <w:pPr>
              <w:spacing w:line="360" w:lineRule="auto"/>
              <w:rPr>
                <w:rFonts w:eastAsia="Times New Roman"/>
                <w:b/>
                <w:bCs/>
                <w:color w:val="404040"/>
                <w:sz w:val="24"/>
                <w:szCs w:val="24"/>
                <w:lang w:val="en-US" w:eastAsia="zh-TW"/>
              </w:rPr>
            </w:pPr>
            <w:r w:rsidRPr="00AA217A">
              <w:rPr>
                <w:rFonts w:eastAsia="Times New Roman"/>
                <w:b/>
                <w:bCs/>
                <w:color w:val="404040"/>
                <w:sz w:val="24"/>
                <w:szCs w:val="24"/>
                <w:lang w:val="en-US" w:eastAsia="zh-TW"/>
              </w:rPr>
              <w:t>1</w:t>
            </w:r>
          </w:p>
        </w:tc>
        <w:tc>
          <w:tcPr>
            <w:tcW w:w="1651" w:type="dxa"/>
            <w:tcBorders>
              <w:top w:val="nil"/>
              <w:left w:val="nil"/>
              <w:bottom w:val="single" w:sz="4" w:space="0" w:color="auto"/>
              <w:right w:val="single" w:sz="4" w:space="0" w:color="auto"/>
            </w:tcBorders>
            <w:shd w:val="clear" w:color="000000" w:fill="DAE9F8"/>
            <w:vAlign w:val="center"/>
            <w:hideMark/>
          </w:tcPr>
          <w:p w14:paraId="3AFC4E28"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14</w:t>
            </w:r>
          </w:p>
        </w:tc>
        <w:tc>
          <w:tcPr>
            <w:tcW w:w="1137" w:type="dxa"/>
            <w:tcBorders>
              <w:top w:val="nil"/>
              <w:left w:val="nil"/>
              <w:bottom w:val="single" w:sz="4" w:space="0" w:color="auto"/>
              <w:right w:val="single" w:sz="4" w:space="0" w:color="auto"/>
            </w:tcBorders>
            <w:shd w:val="clear" w:color="000000" w:fill="DAE9F8"/>
            <w:vAlign w:val="center"/>
            <w:hideMark/>
          </w:tcPr>
          <w:p w14:paraId="7C4F387B"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2.52</w:t>
            </w:r>
          </w:p>
        </w:tc>
        <w:tc>
          <w:tcPr>
            <w:tcW w:w="1633" w:type="dxa"/>
            <w:tcBorders>
              <w:top w:val="nil"/>
              <w:left w:val="nil"/>
              <w:bottom w:val="single" w:sz="4" w:space="0" w:color="auto"/>
              <w:right w:val="single" w:sz="4" w:space="0" w:color="auto"/>
            </w:tcBorders>
            <w:shd w:val="clear" w:color="000000" w:fill="DAE9F8"/>
            <w:vAlign w:val="center"/>
            <w:hideMark/>
          </w:tcPr>
          <w:p w14:paraId="0636D2BA"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1.02</w:t>
            </w:r>
          </w:p>
        </w:tc>
        <w:tc>
          <w:tcPr>
            <w:tcW w:w="1328" w:type="dxa"/>
            <w:tcBorders>
              <w:top w:val="nil"/>
              <w:left w:val="nil"/>
              <w:bottom w:val="single" w:sz="4" w:space="0" w:color="auto"/>
              <w:right w:val="single" w:sz="4" w:space="0" w:color="auto"/>
            </w:tcBorders>
            <w:shd w:val="clear" w:color="000000" w:fill="DAE9F8"/>
            <w:vAlign w:val="center"/>
            <w:hideMark/>
          </w:tcPr>
          <w:p w14:paraId="003EEFC8"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1.25</w:t>
            </w:r>
          </w:p>
        </w:tc>
        <w:tc>
          <w:tcPr>
            <w:tcW w:w="2250" w:type="dxa"/>
            <w:tcBorders>
              <w:top w:val="nil"/>
              <w:left w:val="nil"/>
              <w:bottom w:val="single" w:sz="4" w:space="0" w:color="auto"/>
              <w:right w:val="single" w:sz="4" w:space="0" w:color="auto"/>
            </w:tcBorders>
            <w:shd w:val="clear" w:color="000000" w:fill="DAE9F8"/>
            <w:vAlign w:val="center"/>
            <w:hideMark/>
          </w:tcPr>
          <w:p w14:paraId="098186B4"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0.83</w:t>
            </w:r>
          </w:p>
        </w:tc>
      </w:tr>
      <w:tr w:rsidR="00AA217A" w:rsidRPr="00937F54" w14:paraId="24E1164E" w14:textId="77777777" w:rsidTr="00AA217A">
        <w:trPr>
          <w:trHeight w:val="290"/>
        </w:trPr>
        <w:tc>
          <w:tcPr>
            <w:tcW w:w="906" w:type="dxa"/>
            <w:tcBorders>
              <w:top w:val="nil"/>
              <w:left w:val="single" w:sz="4" w:space="0" w:color="auto"/>
              <w:bottom w:val="single" w:sz="4" w:space="0" w:color="auto"/>
              <w:right w:val="single" w:sz="4" w:space="0" w:color="auto"/>
            </w:tcBorders>
            <w:shd w:val="clear" w:color="000000" w:fill="DAE9F8"/>
            <w:vAlign w:val="center"/>
            <w:hideMark/>
          </w:tcPr>
          <w:p w14:paraId="6D834DE7" w14:textId="77777777" w:rsidR="00AA217A" w:rsidRPr="00AA217A" w:rsidRDefault="00AA217A" w:rsidP="00E262FC">
            <w:pPr>
              <w:spacing w:line="360" w:lineRule="auto"/>
              <w:rPr>
                <w:rFonts w:eastAsia="Times New Roman"/>
                <w:b/>
                <w:bCs/>
                <w:color w:val="404040"/>
                <w:sz w:val="24"/>
                <w:szCs w:val="24"/>
                <w:lang w:val="en-US" w:eastAsia="zh-TW"/>
              </w:rPr>
            </w:pPr>
            <w:r w:rsidRPr="00AA217A">
              <w:rPr>
                <w:rFonts w:eastAsia="Times New Roman"/>
                <w:b/>
                <w:bCs/>
                <w:color w:val="404040"/>
                <w:sz w:val="24"/>
                <w:szCs w:val="24"/>
                <w:lang w:val="en-US" w:eastAsia="zh-TW"/>
              </w:rPr>
              <w:t>2</w:t>
            </w:r>
          </w:p>
        </w:tc>
        <w:tc>
          <w:tcPr>
            <w:tcW w:w="1651" w:type="dxa"/>
            <w:tcBorders>
              <w:top w:val="nil"/>
              <w:left w:val="nil"/>
              <w:bottom w:val="single" w:sz="4" w:space="0" w:color="auto"/>
              <w:right w:val="single" w:sz="4" w:space="0" w:color="auto"/>
            </w:tcBorders>
            <w:shd w:val="clear" w:color="000000" w:fill="DAE9F8"/>
            <w:vAlign w:val="center"/>
            <w:hideMark/>
          </w:tcPr>
          <w:p w14:paraId="615076E6"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14.7</w:t>
            </w:r>
          </w:p>
        </w:tc>
        <w:tc>
          <w:tcPr>
            <w:tcW w:w="1137" w:type="dxa"/>
            <w:tcBorders>
              <w:top w:val="nil"/>
              <w:left w:val="nil"/>
              <w:bottom w:val="single" w:sz="4" w:space="0" w:color="auto"/>
              <w:right w:val="single" w:sz="4" w:space="0" w:color="auto"/>
            </w:tcBorders>
            <w:shd w:val="clear" w:color="000000" w:fill="DAE9F8"/>
            <w:vAlign w:val="center"/>
            <w:hideMark/>
          </w:tcPr>
          <w:p w14:paraId="66EE499E"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2.65</w:t>
            </w:r>
          </w:p>
        </w:tc>
        <w:tc>
          <w:tcPr>
            <w:tcW w:w="1633" w:type="dxa"/>
            <w:tcBorders>
              <w:top w:val="nil"/>
              <w:left w:val="nil"/>
              <w:bottom w:val="single" w:sz="4" w:space="0" w:color="auto"/>
              <w:right w:val="single" w:sz="4" w:space="0" w:color="auto"/>
            </w:tcBorders>
            <w:shd w:val="clear" w:color="000000" w:fill="DAE9F8"/>
            <w:vAlign w:val="center"/>
            <w:hideMark/>
          </w:tcPr>
          <w:p w14:paraId="5E8B1A19"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1.02</w:t>
            </w:r>
          </w:p>
        </w:tc>
        <w:tc>
          <w:tcPr>
            <w:tcW w:w="1328" w:type="dxa"/>
            <w:tcBorders>
              <w:top w:val="nil"/>
              <w:left w:val="nil"/>
              <w:bottom w:val="single" w:sz="4" w:space="0" w:color="auto"/>
              <w:right w:val="single" w:sz="4" w:space="0" w:color="auto"/>
            </w:tcBorders>
            <w:shd w:val="clear" w:color="000000" w:fill="DAE9F8"/>
            <w:vAlign w:val="center"/>
            <w:hideMark/>
          </w:tcPr>
          <w:p w14:paraId="197519E9"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1.32</w:t>
            </w:r>
          </w:p>
        </w:tc>
        <w:tc>
          <w:tcPr>
            <w:tcW w:w="2250" w:type="dxa"/>
            <w:tcBorders>
              <w:top w:val="nil"/>
              <w:left w:val="nil"/>
              <w:bottom w:val="single" w:sz="4" w:space="0" w:color="auto"/>
              <w:right w:val="single" w:sz="4" w:space="0" w:color="auto"/>
            </w:tcBorders>
            <w:shd w:val="clear" w:color="000000" w:fill="DAE9F8"/>
            <w:vAlign w:val="center"/>
            <w:hideMark/>
          </w:tcPr>
          <w:p w14:paraId="3C6FB78B"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0.92</w:t>
            </w:r>
          </w:p>
        </w:tc>
      </w:tr>
      <w:tr w:rsidR="00AA217A" w:rsidRPr="00937F54" w14:paraId="539C8911" w14:textId="77777777" w:rsidTr="00AA217A">
        <w:trPr>
          <w:trHeight w:val="290"/>
        </w:trPr>
        <w:tc>
          <w:tcPr>
            <w:tcW w:w="906" w:type="dxa"/>
            <w:tcBorders>
              <w:top w:val="nil"/>
              <w:left w:val="single" w:sz="4" w:space="0" w:color="auto"/>
              <w:bottom w:val="single" w:sz="4" w:space="0" w:color="auto"/>
              <w:right w:val="single" w:sz="4" w:space="0" w:color="auto"/>
            </w:tcBorders>
            <w:shd w:val="clear" w:color="000000" w:fill="DAE9F8"/>
            <w:vAlign w:val="center"/>
            <w:hideMark/>
          </w:tcPr>
          <w:p w14:paraId="6A217AC3" w14:textId="77777777" w:rsidR="00AA217A" w:rsidRPr="00AA217A" w:rsidRDefault="00AA217A" w:rsidP="00E262FC">
            <w:pPr>
              <w:spacing w:line="360" w:lineRule="auto"/>
              <w:rPr>
                <w:rFonts w:eastAsia="Times New Roman"/>
                <w:b/>
                <w:bCs/>
                <w:color w:val="404040"/>
                <w:sz w:val="24"/>
                <w:szCs w:val="24"/>
                <w:lang w:val="en-US" w:eastAsia="zh-TW"/>
              </w:rPr>
            </w:pPr>
            <w:r w:rsidRPr="00AA217A">
              <w:rPr>
                <w:rFonts w:eastAsia="Times New Roman"/>
                <w:b/>
                <w:bCs/>
                <w:color w:val="404040"/>
                <w:sz w:val="24"/>
                <w:szCs w:val="24"/>
                <w:lang w:val="en-US" w:eastAsia="zh-TW"/>
              </w:rPr>
              <w:t>3</w:t>
            </w:r>
          </w:p>
        </w:tc>
        <w:tc>
          <w:tcPr>
            <w:tcW w:w="1651" w:type="dxa"/>
            <w:tcBorders>
              <w:top w:val="nil"/>
              <w:left w:val="nil"/>
              <w:bottom w:val="single" w:sz="4" w:space="0" w:color="auto"/>
              <w:right w:val="single" w:sz="4" w:space="0" w:color="auto"/>
            </w:tcBorders>
            <w:shd w:val="clear" w:color="000000" w:fill="DAE9F8"/>
            <w:vAlign w:val="center"/>
            <w:hideMark/>
          </w:tcPr>
          <w:p w14:paraId="216F6F2C"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15.4</w:t>
            </w:r>
          </w:p>
        </w:tc>
        <w:tc>
          <w:tcPr>
            <w:tcW w:w="1137" w:type="dxa"/>
            <w:tcBorders>
              <w:top w:val="nil"/>
              <w:left w:val="nil"/>
              <w:bottom w:val="single" w:sz="4" w:space="0" w:color="auto"/>
              <w:right w:val="single" w:sz="4" w:space="0" w:color="auto"/>
            </w:tcBorders>
            <w:shd w:val="clear" w:color="000000" w:fill="DAE9F8"/>
            <w:vAlign w:val="center"/>
            <w:hideMark/>
          </w:tcPr>
          <w:p w14:paraId="4B08A6C7"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2.78</w:t>
            </w:r>
          </w:p>
        </w:tc>
        <w:tc>
          <w:tcPr>
            <w:tcW w:w="1633" w:type="dxa"/>
            <w:tcBorders>
              <w:top w:val="nil"/>
              <w:left w:val="nil"/>
              <w:bottom w:val="single" w:sz="4" w:space="0" w:color="auto"/>
              <w:right w:val="single" w:sz="4" w:space="0" w:color="auto"/>
            </w:tcBorders>
            <w:shd w:val="clear" w:color="000000" w:fill="DAE9F8"/>
            <w:vAlign w:val="center"/>
            <w:hideMark/>
          </w:tcPr>
          <w:p w14:paraId="25F2F830"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1.02</w:t>
            </w:r>
          </w:p>
        </w:tc>
        <w:tc>
          <w:tcPr>
            <w:tcW w:w="1328" w:type="dxa"/>
            <w:tcBorders>
              <w:top w:val="nil"/>
              <w:left w:val="nil"/>
              <w:bottom w:val="single" w:sz="4" w:space="0" w:color="auto"/>
              <w:right w:val="single" w:sz="4" w:space="0" w:color="auto"/>
            </w:tcBorders>
            <w:shd w:val="clear" w:color="000000" w:fill="DAE9F8"/>
            <w:vAlign w:val="center"/>
            <w:hideMark/>
          </w:tcPr>
          <w:p w14:paraId="7527FF62"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1.39</w:t>
            </w:r>
          </w:p>
        </w:tc>
        <w:tc>
          <w:tcPr>
            <w:tcW w:w="2250" w:type="dxa"/>
            <w:tcBorders>
              <w:top w:val="nil"/>
              <w:left w:val="nil"/>
              <w:bottom w:val="single" w:sz="4" w:space="0" w:color="auto"/>
              <w:right w:val="single" w:sz="4" w:space="0" w:color="auto"/>
            </w:tcBorders>
            <w:shd w:val="clear" w:color="000000" w:fill="DAE9F8"/>
            <w:vAlign w:val="center"/>
            <w:hideMark/>
          </w:tcPr>
          <w:p w14:paraId="1A7D4A6A"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1.02</w:t>
            </w:r>
          </w:p>
        </w:tc>
      </w:tr>
      <w:tr w:rsidR="00AA217A" w:rsidRPr="00937F54" w14:paraId="32C2CB8C" w14:textId="77777777" w:rsidTr="00AA217A">
        <w:trPr>
          <w:trHeight w:val="290"/>
        </w:trPr>
        <w:tc>
          <w:tcPr>
            <w:tcW w:w="906" w:type="dxa"/>
            <w:tcBorders>
              <w:top w:val="nil"/>
              <w:left w:val="single" w:sz="4" w:space="0" w:color="auto"/>
              <w:bottom w:val="single" w:sz="4" w:space="0" w:color="auto"/>
              <w:right w:val="single" w:sz="4" w:space="0" w:color="auto"/>
            </w:tcBorders>
            <w:shd w:val="clear" w:color="000000" w:fill="DAE9F8"/>
            <w:vAlign w:val="center"/>
            <w:hideMark/>
          </w:tcPr>
          <w:p w14:paraId="374332BC" w14:textId="77777777" w:rsidR="00AA217A" w:rsidRPr="00AA217A" w:rsidRDefault="00AA217A" w:rsidP="00E262FC">
            <w:pPr>
              <w:spacing w:line="360" w:lineRule="auto"/>
              <w:rPr>
                <w:rFonts w:eastAsia="Times New Roman"/>
                <w:b/>
                <w:bCs/>
                <w:color w:val="404040"/>
                <w:sz w:val="24"/>
                <w:szCs w:val="24"/>
                <w:lang w:val="en-US" w:eastAsia="zh-TW"/>
              </w:rPr>
            </w:pPr>
            <w:r w:rsidRPr="00AA217A">
              <w:rPr>
                <w:rFonts w:eastAsia="Times New Roman"/>
                <w:b/>
                <w:bCs/>
                <w:color w:val="404040"/>
                <w:sz w:val="24"/>
                <w:szCs w:val="24"/>
                <w:lang w:val="en-US" w:eastAsia="zh-TW"/>
              </w:rPr>
              <w:t>4</w:t>
            </w:r>
          </w:p>
        </w:tc>
        <w:tc>
          <w:tcPr>
            <w:tcW w:w="1651" w:type="dxa"/>
            <w:tcBorders>
              <w:top w:val="nil"/>
              <w:left w:val="nil"/>
              <w:bottom w:val="single" w:sz="4" w:space="0" w:color="auto"/>
              <w:right w:val="single" w:sz="4" w:space="0" w:color="auto"/>
            </w:tcBorders>
            <w:shd w:val="clear" w:color="000000" w:fill="DAE9F8"/>
            <w:vAlign w:val="center"/>
            <w:hideMark/>
          </w:tcPr>
          <w:p w14:paraId="27FE1CCE"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16.2</w:t>
            </w:r>
          </w:p>
        </w:tc>
        <w:tc>
          <w:tcPr>
            <w:tcW w:w="1137" w:type="dxa"/>
            <w:tcBorders>
              <w:top w:val="nil"/>
              <w:left w:val="nil"/>
              <w:bottom w:val="single" w:sz="4" w:space="0" w:color="auto"/>
              <w:right w:val="single" w:sz="4" w:space="0" w:color="auto"/>
            </w:tcBorders>
            <w:shd w:val="clear" w:color="000000" w:fill="DAE9F8"/>
            <w:vAlign w:val="center"/>
            <w:hideMark/>
          </w:tcPr>
          <w:p w14:paraId="5AA3E1C0"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2.92</w:t>
            </w:r>
          </w:p>
        </w:tc>
        <w:tc>
          <w:tcPr>
            <w:tcW w:w="1633" w:type="dxa"/>
            <w:tcBorders>
              <w:top w:val="nil"/>
              <w:left w:val="nil"/>
              <w:bottom w:val="single" w:sz="4" w:space="0" w:color="auto"/>
              <w:right w:val="single" w:sz="4" w:space="0" w:color="auto"/>
            </w:tcBorders>
            <w:shd w:val="clear" w:color="000000" w:fill="DAE9F8"/>
            <w:vAlign w:val="center"/>
            <w:hideMark/>
          </w:tcPr>
          <w:p w14:paraId="5C187790"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1.02</w:t>
            </w:r>
          </w:p>
        </w:tc>
        <w:tc>
          <w:tcPr>
            <w:tcW w:w="1328" w:type="dxa"/>
            <w:tcBorders>
              <w:top w:val="nil"/>
              <w:left w:val="nil"/>
              <w:bottom w:val="single" w:sz="4" w:space="0" w:color="auto"/>
              <w:right w:val="single" w:sz="4" w:space="0" w:color="auto"/>
            </w:tcBorders>
            <w:shd w:val="clear" w:color="000000" w:fill="DAE9F8"/>
            <w:vAlign w:val="center"/>
            <w:hideMark/>
          </w:tcPr>
          <w:p w14:paraId="31AFAFF9"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1.46</w:t>
            </w:r>
          </w:p>
        </w:tc>
        <w:tc>
          <w:tcPr>
            <w:tcW w:w="2250" w:type="dxa"/>
            <w:tcBorders>
              <w:top w:val="nil"/>
              <w:left w:val="nil"/>
              <w:bottom w:val="single" w:sz="4" w:space="0" w:color="auto"/>
              <w:right w:val="single" w:sz="4" w:space="0" w:color="auto"/>
            </w:tcBorders>
            <w:shd w:val="clear" w:color="000000" w:fill="DAE9F8"/>
            <w:vAlign w:val="center"/>
            <w:hideMark/>
          </w:tcPr>
          <w:p w14:paraId="3BFEA312"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1.12</w:t>
            </w:r>
          </w:p>
        </w:tc>
      </w:tr>
      <w:tr w:rsidR="00AA217A" w:rsidRPr="00937F54" w14:paraId="37332660" w14:textId="77777777" w:rsidTr="00AA217A">
        <w:trPr>
          <w:trHeight w:val="290"/>
        </w:trPr>
        <w:tc>
          <w:tcPr>
            <w:tcW w:w="906" w:type="dxa"/>
            <w:tcBorders>
              <w:top w:val="nil"/>
              <w:left w:val="single" w:sz="4" w:space="0" w:color="auto"/>
              <w:bottom w:val="single" w:sz="4" w:space="0" w:color="auto"/>
              <w:right w:val="single" w:sz="4" w:space="0" w:color="auto"/>
            </w:tcBorders>
            <w:shd w:val="clear" w:color="000000" w:fill="DAE9F8"/>
            <w:vAlign w:val="center"/>
            <w:hideMark/>
          </w:tcPr>
          <w:p w14:paraId="760783D0" w14:textId="77777777" w:rsidR="00AA217A" w:rsidRPr="00AA217A" w:rsidRDefault="00AA217A" w:rsidP="00E262FC">
            <w:pPr>
              <w:spacing w:line="360" w:lineRule="auto"/>
              <w:rPr>
                <w:rFonts w:eastAsia="Times New Roman"/>
                <w:b/>
                <w:bCs/>
                <w:color w:val="404040"/>
                <w:sz w:val="24"/>
                <w:szCs w:val="24"/>
                <w:lang w:val="en-US" w:eastAsia="zh-TW"/>
              </w:rPr>
            </w:pPr>
            <w:r w:rsidRPr="00AA217A">
              <w:rPr>
                <w:rFonts w:eastAsia="Times New Roman"/>
                <w:b/>
                <w:bCs/>
                <w:color w:val="404040"/>
                <w:sz w:val="24"/>
                <w:szCs w:val="24"/>
                <w:lang w:val="en-US" w:eastAsia="zh-TW"/>
              </w:rPr>
              <w:t>5</w:t>
            </w:r>
          </w:p>
        </w:tc>
        <w:tc>
          <w:tcPr>
            <w:tcW w:w="1651" w:type="dxa"/>
            <w:tcBorders>
              <w:top w:val="nil"/>
              <w:left w:val="nil"/>
              <w:bottom w:val="single" w:sz="4" w:space="0" w:color="auto"/>
              <w:right w:val="single" w:sz="4" w:space="0" w:color="auto"/>
            </w:tcBorders>
            <w:shd w:val="clear" w:color="000000" w:fill="DAE9F8"/>
            <w:vAlign w:val="center"/>
            <w:hideMark/>
          </w:tcPr>
          <w:p w14:paraId="1958A71E"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17</w:t>
            </w:r>
          </w:p>
        </w:tc>
        <w:tc>
          <w:tcPr>
            <w:tcW w:w="1137" w:type="dxa"/>
            <w:tcBorders>
              <w:top w:val="nil"/>
              <w:left w:val="nil"/>
              <w:bottom w:val="single" w:sz="4" w:space="0" w:color="auto"/>
              <w:right w:val="single" w:sz="4" w:space="0" w:color="auto"/>
            </w:tcBorders>
            <w:shd w:val="clear" w:color="000000" w:fill="DAE9F8"/>
            <w:vAlign w:val="center"/>
            <w:hideMark/>
          </w:tcPr>
          <w:p w14:paraId="790FFABE"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3.06</w:t>
            </w:r>
          </w:p>
        </w:tc>
        <w:tc>
          <w:tcPr>
            <w:tcW w:w="1633" w:type="dxa"/>
            <w:tcBorders>
              <w:top w:val="nil"/>
              <w:left w:val="nil"/>
              <w:bottom w:val="single" w:sz="4" w:space="0" w:color="auto"/>
              <w:right w:val="single" w:sz="4" w:space="0" w:color="auto"/>
            </w:tcBorders>
            <w:shd w:val="clear" w:color="000000" w:fill="DAE9F8"/>
            <w:vAlign w:val="center"/>
            <w:hideMark/>
          </w:tcPr>
          <w:p w14:paraId="75134AD9"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1.02</w:t>
            </w:r>
          </w:p>
        </w:tc>
        <w:tc>
          <w:tcPr>
            <w:tcW w:w="1328" w:type="dxa"/>
            <w:tcBorders>
              <w:top w:val="nil"/>
              <w:left w:val="nil"/>
              <w:bottom w:val="single" w:sz="4" w:space="0" w:color="auto"/>
              <w:right w:val="single" w:sz="4" w:space="0" w:color="auto"/>
            </w:tcBorders>
            <w:shd w:val="clear" w:color="000000" w:fill="DAE9F8"/>
            <w:vAlign w:val="center"/>
            <w:hideMark/>
          </w:tcPr>
          <w:p w14:paraId="002B628B"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1.54</w:t>
            </w:r>
          </w:p>
        </w:tc>
        <w:tc>
          <w:tcPr>
            <w:tcW w:w="2250" w:type="dxa"/>
            <w:tcBorders>
              <w:top w:val="nil"/>
              <w:left w:val="nil"/>
              <w:bottom w:val="single" w:sz="4" w:space="0" w:color="auto"/>
              <w:right w:val="single" w:sz="4" w:space="0" w:color="auto"/>
            </w:tcBorders>
            <w:shd w:val="clear" w:color="000000" w:fill="DAE9F8"/>
            <w:vAlign w:val="center"/>
            <w:hideMark/>
          </w:tcPr>
          <w:p w14:paraId="1B701DC7" w14:textId="77777777" w:rsidR="00AA217A" w:rsidRPr="00AA217A" w:rsidRDefault="00AA217A" w:rsidP="00E262FC">
            <w:pPr>
              <w:spacing w:line="360" w:lineRule="auto"/>
              <w:rPr>
                <w:rFonts w:eastAsia="Times New Roman"/>
                <w:color w:val="404040"/>
                <w:sz w:val="24"/>
                <w:szCs w:val="24"/>
                <w:lang w:val="en-US" w:eastAsia="zh-TW"/>
              </w:rPr>
            </w:pPr>
            <w:r w:rsidRPr="00AA217A">
              <w:rPr>
                <w:rFonts w:eastAsia="Times New Roman"/>
                <w:color w:val="404040"/>
                <w:sz w:val="24"/>
                <w:szCs w:val="24"/>
                <w:lang w:val="en-US" w:eastAsia="zh-TW"/>
              </w:rPr>
              <w:t>1.23</w:t>
            </w:r>
          </w:p>
        </w:tc>
      </w:tr>
    </w:tbl>
    <w:p w14:paraId="58479D4F" w14:textId="0407AC3C" w:rsidR="0064717E" w:rsidRPr="00937F54" w:rsidRDefault="00E5667D" w:rsidP="00E262FC">
      <w:pPr>
        <w:spacing w:line="360" w:lineRule="auto"/>
        <w:rPr>
          <w:i/>
          <w:iCs/>
          <w:sz w:val="24"/>
          <w:szCs w:val="24"/>
        </w:rPr>
      </w:pPr>
      <w:r w:rsidRPr="00937F54">
        <w:rPr>
          <w:i/>
          <w:iCs/>
          <w:sz w:val="24"/>
          <w:szCs w:val="24"/>
        </w:rPr>
        <w:t>Initial Capex in Year 0 is -5.08 million HKD.</w:t>
      </w:r>
    </w:p>
    <w:p w14:paraId="4327DEEB" w14:textId="77777777" w:rsidR="00E5667D" w:rsidRDefault="00E5667D" w:rsidP="00E262FC">
      <w:pPr>
        <w:spacing w:line="360" w:lineRule="auto"/>
        <w:rPr>
          <w:i/>
          <w:iCs/>
          <w:sz w:val="24"/>
          <w:szCs w:val="24"/>
        </w:rPr>
      </w:pPr>
    </w:p>
    <w:p w14:paraId="5BE897ED" w14:textId="77777777" w:rsidR="00052228" w:rsidRPr="00937F54" w:rsidRDefault="00052228" w:rsidP="00E262FC">
      <w:pPr>
        <w:spacing w:line="360" w:lineRule="auto"/>
        <w:rPr>
          <w:i/>
          <w:iCs/>
          <w:sz w:val="24"/>
          <w:szCs w:val="24"/>
        </w:rPr>
      </w:pPr>
    </w:p>
    <w:p w14:paraId="08B09CFD" w14:textId="77777777" w:rsidR="00E5667D" w:rsidRPr="00E5667D" w:rsidRDefault="00E5667D" w:rsidP="00E262FC">
      <w:pPr>
        <w:spacing w:line="360" w:lineRule="auto"/>
        <w:rPr>
          <w:b/>
          <w:bCs/>
          <w:iCs/>
          <w:sz w:val="24"/>
          <w:szCs w:val="24"/>
          <w:lang w:val="en-US"/>
        </w:rPr>
      </w:pPr>
      <w:r w:rsidRPr="00E5667D">
        <w:rPr>
          <w:b/>
          <w:bCs/>
          <w:iCs/>
          <w:sz w:val="24"/>
          <w:szCs w:val="24"/>
          <w:lang w:val="en-US"/>
        </w:rPr>
        <w:t>4.4 Cashflow Calculation</w:t>
      </w:r>
    </w:p>
    <w:tbl>
      <w:tblPr>
        <w:tblW w:w="9520" w:type="dxa"/>
        <w:tblLook w:val="04A0" w:firstRow="1" w:lastRow="0" w:firstColumn="1" w:lastColumn="0" w:noHBand="0" w:noVBand="1"/>
      </w:tblPr>
      <w:tblGrid>
        <w:gridCol w:w="2160"/>
        <w:gridCol w:w="920"/>
        <w:gridCol w:w="1380"/>
        <w:gridCol w:w="1640"/>
        <w:gridCol w:w="1220"/>
        <w:gridCol w:w="1140"/>
        <w:gridCol w:w="1060"/>
      </w:tblGrid>
      <w:tr w:rsidR="00F668BD" w:rsidRPr="00F668BD" w14:paraId="3931AF39" w14:textId="77777777" w:rsidTr="00F668BD">
        <w:trPr>
          <w:trHeight w:val="290"/>
        </w:trPr>
        <w:tc>
          <w:tcPr>
            <w:tcW w:w="2160" w:type="dxa"/>
            <w:tcBorders>
              <w:top w:val="single" w:sz="4" w:space="0" w:color="auto"/>
              <w:left w:val="single" w:sz="4" w:space="0" w:color="auto"/>
              <w:bottom w:val="single" w:sz="4" w:space="0" w:color="auto"/>
              <w:right w:val="single" w:sz="4" w:space="0" w:color="auto"/>
            </w:tcBorders>
            <w:shd w:val="clear" w:color="000000" w:fill="DAE9F8"/>
            <w:vAlign w:val="center"/>
            <w:hideMark/>
          </w:tcPr>
          <w:p w14:paraId="6141A2CA" w14:textId="77777777" w:rsidR="00F668BD" w:rsidRPr="00F668BD" w:rsidRDefault="00F668BD" w:rsidP="00E262FC">
            <w:pPr>
              <w:spacing w:line="360" w:lineRule="auto"/>
              <w:rPr>
                <w:rFonts w:eastAsia="Times New Roman"/>
                <w:b/>
                <w:bCs/>
                <w:color w:val="404040"/>
                <w:sz w:val="24"/>
                <w:szCs w:val="24"/>
                <w:lang w:val="en-US" w:eastAsia="zh-TW"/>
              </w:rPr>
            </w:pPr>
            <w:r w:rsidRPr="00F668BD">
              <w:rPr>
                <w:rFonts w:eastAsia="Times New Roman"/>
                <w:b/>
                <w:bCs/>
                <w:color w:val="404040"/>
                <w:sz w:val="24"/>
                <w:szCs w:val="24"/>
                <w:lang w:val="en-US" w:eastAsia="zh-TW"/>
              </w:rPr>
              <w:t>Items (HKD million)</w:t>
            </w:r>
          </w:p>
        </w:tc>
        <w:tc>
          <w:tcPr>
            <w:tcW w:w="920" w:type="dxa"/>
            <w:tcBorders>
              <w:top w:val="single" w:sz="4" w:space="0" w:color="auto"/>
              <w:left w:val="nil"/>
              <w:bottom w:val="single" w:sz="4" w:space="0" w:color="auto"/>
              <w:right w:val="single" w:sz="4" w:space="0" w:color="auto"/>
            </w:tcBorders>
            <w:shd w:val="clear" w:color="000000" w:fill="DAE9F8"/>
            <w:vAlign w:val="center"/>
            <w:hideMark/>
          </w:tcPr>
          <w:p w14:paraId="2E0F1878" w14:textId="77777777" w:rsidR="00F668BD" w:rsidRPr="00F668BD" w:rsidRDefault="00F668BD" w:rsidP="00E262FC">
            <w:pPr>
              <w:spacing w:line="360" w:lineRule="auto"/>
              <w:rPr>
                <w:rFonts w:eastAsia="Times New Roman"/>
                <w:b/>
                <w:bCs/>
                <w:color w:val="404040"/>
                <w:sz w:val="24"/>
                <w:szCs w:val="24"/>
                <w:lang w:val="en-US" w:eastAsia="zh-TW"/>
              </w:rPr>
            </w:pPr>
            <w:r w:rsidRPr="00F668BD">
              <w:rPr>
                <w:rFonts w:eastAsia="Times New Roman"/>
                <w:b/>
                <w:bCs/>
                <w:color w:val="404040"/>
                <w:sz w:val="24"/>
                <w:szCs w:val="24"/>
                <w:lang w:val="en-US" w:eastAsia="zh-TW"/>
              </w:rPr>
              <w:t>Initial cost</w:t>
            </w:r>
          </w:p>
        </w:tc>
        <w:tc>
          <w:tcPr>
            <w:tcW w:w="1380" w:type="dxa"/>
            <w:tcBorders>
              <w:top w:val="single" w:sz="4" w:space="0" w:color="auto"/>
              <w:left w:val="nil"/>
              <w:bottom w:val="single" w:sz="4" w:space="0" w:color="auto"/>
              <w:right w:val="single" w:sz="4" w:space="0" w:color="auto"/>
            </w:tcBorders>
            <w:shd w:val="clear" w:color="000000" w:fill="DAE9F8"/>
            <w:vAlign w:val="center"/>
            <w:hideMark/>
          </w:tcPr>
          <w:p w14:paraId="142A7B74" w14:textId="77777777" w:rsidR="00F668BD" w:rsidRPr="00F668BD" w:rsidRDefault="00F668BD" w:rsidP="00E262FC">
            <w:pPr>
              <w:spacing w:line="360" w:lineRule="auto"/>
              <w:rPr>
                <w:rFonts w:eastAsia="Times New Roman"/>
                <w:b/>
                <w:bCs/>
                <w:color w:val="404040"/>
                <w:sz w:val="24"/>
                <w:szCs w:val="24"/>
                <w:lang w:val="en-US" w:eastAsia="zh-TW"/>
              </w:rPr>
            </w:pPr>
            <w:r w:rsidRPr="00F668BD">
              <w:rPr>
                <w:rFonts w:eastAsia="Times New Roman"/>
                <w:b/>
                <w:bCs/>
                <w:color w:val="404040"/>
                <w:sz w:val="24"/>
                <w:szCs w:val="24"/>
                <w:lang w:val="en-US" w:eastAsia="zh-TW"/>
              </w:rPr>
              <w:t>1 Yr</w:t>
            </w:r>
          </w:p>
        </w:tc>
        <w:tc>
          <w:tcPr>
            <w:tcW w:w="1640" w:type="dxa"/>
            <w:tcBorders>
              <w:top w:val="single" w:sz="4" w:space="0" w:color="auto"/>
              <w:left w:val="nil"/>
              <w:bottom w:val="single" w:sz="4" w:space="0" w:color="auto"/>
              <w:right w:val="single" w:sz="4" w:space="0" w:color="auto"/>
            </w:tcBorders>
            <w:shd w:val="clear" w:color="000000" w:fill="DAE9F8"/>
            <w:vAlign w:val="center"/>
            <w:hideMark/>
          </w:tcPr>
          <w:p w14:paraId="3CCECC09" w14:textId="77777777" w:rsidR="00F668BD" w:rsidRPr="00F668BD" w:rsidRDefault="00F668BD" w:rsidP="00E262FC">
            <w:pPr>
              <w:spacing w:line="360" w:lineRule="auto"/>
              <w:rPr>
                <w:rFonts w:eastAsia="Times New Roman"/>
                <w:b/>
                <w:bCs/>
                <w:color w:val="404040"/>
                <w:sz w:val="24"/>
                <w:szCs w:val="24"/>
                <w:lang w:val="en-US" w:eastAsia="zh-TW"/>
              </w:rPr>
            </w:pPr>
            <w:r w:rsidRPr="00F668BD">
              <w:rPr>
                <w:rFonts w:eastAsia="Times New Roman"/>
                <w:b/>
                <w:bCs/>
                <w:color w:val="404040"/>
                <w:sz w:val="24"/>
                <w:szCs w:val="24"/>
                <w:lang w:val="en-US" w:eastAsia="zh-TW"/>
              </w:rPr>
              <w:t>2 Yr</w:t>
            </w:r>
          </w:p>
        </w:tc>
        <w:tc>
          <w:tcPr>
            <w:tcW w:w="1220" w:type="dxa"/>
            <w:tcBorders>
              <w:top w:val="single" w:sz="4" w:space="0" w:color="auto"/>
              <w:left w:val="nil"/>
              <w:bottom w:val="single" w:sz="4" w:space="0" w:color="auto"/>
              <w:right w:val="single" w:sz="4" w:space="0" w:color="auto"/>
            </w:tcBorders>
            <w:shd w:val="clear" w:color="000000" w:fill="DAE9F8"/>
            <w:vAlign w:val="center"/>
            <w:hideMark/>
          </w:tcPr>
          <w:p w14:paraId="64764644" w14:textId="77777777" w:rsidR="00F668BD" w:rsidRPr="00F668BD" w:rsidRDefault="00F668BD" w:rsidP="00E262FC">
            <w:pPr>
              <w:spacing w:line="360" w:lineRule="auto"/>
              <w:rPr>
                <w:rFonts w:eastAsia="Times New Roman"/>
                <w:b/>
                <w:bCs/>
                <w:color w:val="404040"/>
                <w:sz w:val="24"/>
                <w:szCs w:val="24"/>
                <w:lang w:val="en-US" w:eastAsia="zh-TW"/>
              </w:rPr>
            </w:pPr>
            <w:r w:rsidRPr="00F668BD">
              <w:rPr>
                <w:rFonts w:eastAsia="Times New Roman"/>
                <w:b/>
                <w:bCs/>
                <w:color w:val="404040"/>
                <w:sz w:val="24"/>
                <w:szCs w:val="24"/>
                <w:lang w:val="en-US" w:eastAsia="zh-TW"/>
              </w:rPr>
              <w:t>3 Yr</w:t>
            </w:r>
          </w:p>
        </w:tc>
        <w:tc>
          <w:tcPr>
            <w:tcW w:w="1140" w:type="dxa"/>
            <w:tcBorders>
              <w:top w:val="single" w:sz="4" w:space="0" w:color="auto"/>
              <w:left w:val="nil"/>
              <w:bottom w:val="single" w:sz="4" w:space="0" w:color="auto"/>
              <w:right w:val="single" w:sz="4" w:space="0" w:color="auto"/>
            </w:tcBorders>
            <w:shd w:val="clear" w:color="000000" w:fill="DAE9F8"/>
            <w:vAlign w:val="center"/>
            <w:hideMark/>
          </w:tcPr>
          <w:p w14:paraId="2872861B" w14:textId="77777777" w:rsidR="00F668BD" w:rsidRPr="00F668BD" w:rsidRDefault="00F668BD" w:rsidP="00E262FC">
            <w:pPr>
              <w:spacing w:line="360" w:lineRule="auto"/>
              <w:rPr>
                <w:rFonts w:eastAsia="Times New Roman"/>
                <w:b/>
                <w:bCs/>
                <w:color w:val="404040"/>
                <w:sz w:val="24"/>
                <w:szCs w:val="24"/>
                <w:lang w:val="en-US" w:eastAsia="zh-TW"/>
              </w:rPr>
            </w:pPr>
            <w:r w:rsidRPr="00F668BD">
              <w:rPr>
                <w:rFonts w:eastAsia="Times New Roman"/>
                <w:b/>
                <w:bCs/>
                <w:color w:val="404040"/>
                <w:sz w:val="24"/>
                <w:szCs w:val="24"/>
                <w:lang w:val="en-US" w:eastAsia="zh-TW"/>
              </w:rPr>
              <w:t>4 Yr</w:t>
            </w:r>
          </w:p>
        </w:tc>
        <w:tc>
          <w:tcPr>
            <w:tcW w:w="1060" w:type="dxa"/>
            <w:tcBorders>
              <w:top w:val="single" w:sz="4" w:space="0" w:color="auto"/>
              <w:left w:val="nil"/>
              <w:bottom w:val="single" w:sz="4" w:space="0" w:color="auto"/>
              <w:right w:val="single" w:sz="4" w:space="0" w:color="auto"/>
            </w:tcBorders>
            <w:shd w:val="clear" w:color="000000" w:fill="DAE9F8"/>
            <w:vAlign w:val="center"/>
            <w:hideMark/>
          </w:tcPr>
          <w:p w14:paraId="4C8F86C2" w14:textId="77777777" w:rsidR="00F668BD" w:rsidRPr="00F668BD" w:rsidRDefault="00F668BD" w:rsidP="00E262FC">
            <w:pPr>
              <w:spacing w:line="360" w:lineRule="auto"/>
              <w:rPr>
                <w:rFonts w:eastAsia="Times New Roman"/>
                <w:b/>
                <w:bCs/>
                <w:color w:val="404040"/>
                <w:sz w:val="24"/>
                <w:szCs w:val="24"/>
                <w:lang w:val="en-US" w:eastAsia="zh-TW"/>
              </w:rPr>
            </w:pPr>
            <w:r w:rsidRPr="00F668BD">
              <w:rPr>
                <w:rFonts w:eastAsia="Times New Roman"/>
                <w:b/>
                <w:bCs/>
                <w:color w:val="404040"/>
                <w:sz w:val="24"/>
                <w:szCs w:val="24"/>
                <w:lang w:val="en-US" w:eastAsia="zh-TW"/>
              </w:rPr>
              <w:t>5 Yr</w:t>
            </w:r>
          </w:p>
        </w:tc>
      </w:tr>
      <w:tr w:rsidR="00F668BD" w:rsidRPr="00F668BD" w14:paraId="42D89AF6" w14:textId="77777777" w:rsidTr="00F668BD">
        <w:trPr>
          <w:trHeight w:val="290"/>
        </w:trPr>
        <w:tc>
          <w:tcPr>
            <w:tcW w:w="2160" w:type="dxa"/>
            <w:tcBorders>
              <w:top w:val="nil"/>
              <w:left w:val="single" w:sz="4" w:space="0" w:color="auto"/>
              <w:bottom w:val="single" w:sz="4" w:space="0" w:color="auto"/>
              <w:right w:val="single" w:sz="4" w:space="0" w:color="auto"/>
            </w:tcBorders>
            <w:shd w:val="clear" w:color="000000" w:fill="DAE9F8"/>
            <w:vAlign w:val="center"/>
            <w:hideMark/>
          </w:tcPr>
          <w:p w14:paraId="421BE304" w14:textId="77777777" w:rsidR="00F668BD" w:rsidRPr="00F668BD" w:rsidRDefault="00F668BD" w:rsidP="00E262FC">
            <w:pPr>
              <w:spacing w:line="360" w:lineRule="auto"/>
              <w:rPr>
                <w:rFonts w:eastAsia="Times New Roman"/>
                <w:b/>
                <w:bCs/>
                <w:color w:val="404040"/>
                <w:sz w:val="24"/>
                <w:szCs w:val="24"/>
                <w:lang w:val="en-US" w:eastAsia="zh-TW"/>
              </w:rPr>
            </w:pPr>
            <w:r w:rsidRPr="00F668BD">
              <w:rPr>
                <w:rFonts w:eastAsia="Times New Roman"/>
                <w:b/>
                <w:bCs/>
                <w:color w:val="404040"/>
                <w:sz w:val="24"/>
                <w:szCs w:val="24"/>
                <w:lang w:val="en-US" w:eastAsia="zh-TW"/>
              </w:rPr>
              <w:t>EBITDA</w:t>
            </w:r>
          </w:p>
        </w:tc>
        <w:tc>
          <w:tcPr>
            <w:tcW w:w="920" w:type="dxa"/>
            <w:tcBorders>
              <w:top w:val="nil"/>
              <w:left w:val="nil"/>
              <w:bottom w:val="single" w:sz="4" w:space="0" w:color="auto"/>
              <w:right w:val="single" w:sz="4" w:space="0" w:color="auto"/>
            </w:tcBorders>
            <w:shd w:val="clear" w:color="000000" w:fill="DAE9F8"/>
            <w:vAlign w:val="center"/>
            <w:hideMark/>
          </w:tcPr>
          <w:p w14:paraId="42E0EAF7"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 </w:t>
            </w:r>
          </w:p>
        </w:tc>
        <w:tc>
          <w:tcPr>
            <w:tcW w:w="1380" w:type="dxa"/>
            <w:tcBorders>
              <w:top w:val="nil"/>
              <w:left w:val="nil"/>
              <w:bottom w:val="single" w:sz="4" w:space="0" w:color="auto"/>
              <w:right w:val="single" w:sz="4" w:space="0" w:color="auto"/>
            </w:tcBorders>
            <w:shd w:val="clear" w:color="000000" w:fill="DAE9F8"/>
            <w:vAlign w:val="center"/>
            <w:hideMark/>
          </w:tcPr>
          <w:p w14:paraId="49A2EFC1"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2.52</w:t>
            </w:r>
          </w:p>
        </w:tc>
        <w:tc>
          <w:tcPr>
            <w:tcW w:w="1640" w:type="dxa"/>
            <w:tcBorders>
              <w:top w:val="nil"/>
              <w:left w:val="nil"/>
              <w:bottom w:val="single" w:sz="4" w:space="0" w:color="auto"/>
              <w:right w:val="single" w:sz="4" w:space="0" w:color="auto"/>
            </w:tcBorders>
            <w:shd w:val="clear" w:color="000000" w:fill="DAE9F8"/>
            <w:vAlign w:val="center"/>
            <w:hideMark/>
          </w:tcPr>
          <w:p w14:paraId="0AD499C8"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2.65</w:t>
            </w:r>
          </w:p>
        </w:tc>
        <w:tc>
          <w:tcPr>
            <w:tcW w:w="1220" w:type="dxa"/>
            <w:tcBorders>
              <w:top w:val="nil"/>
              <w:left w:val="nil"/>
              <w:bottom w:val="single" w:sz="4" w:space="0" w:color="auto"/>
              <w:right w:val="single" w:sz="4" w:space="0" w:color="auto"/>
            </w:tcBorders>
            <w:shd w:val="clear" w:color="000000" w:fill="DAE9F8"/>
            <w:vAlign w:val="center"/>
            <w:hideMark/>
          </w:tcPr>
          <w:p w14:paraId="191C38E5"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2.78</w:t>
            </w:r>
          </w:p>
        </w:tc>
        <w:tc>
          <w:tcPr>
            <w:tcW w:w="1140" w:type="dxa"/>
            <w:tcBorders>
              <w:top w:val="nil"/>
              <w:left w:val="nil"/>
              <w:bottom w:val="single" w:sz="4" w:space="0" w:color="auto"/>
              <w:right w:val="single" w:sz="4" w:space="0" w:color="auto"/>
            </w:tcBorders>
            <w:shd w:val="clear" w:color="000000" w:fill="DAE9F8"/>
            <w:vAlign w:val="center"/>
            <w:hideMark/>
          </w:tcPr>
          <w:p w14:paraId="6ABF553F"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2.92</w:t>
            </w:r>
          </w:p>
        </w:tc>
        <w:tc>
          <w:tcPr>
            <w:tcW w:w="1060" w:type="dxa"/>
            <w:tcBorders>
              <w:top w:val="nil"/>
              <w:left w:val="nil"/>
              <w:bottom w:val="single" w:sz="4" w:space="0" w:color="auto"/>
              <w:right w:val="single" w:sz="4" w:space="0" w:color="auto"/>
            </w:tcBorders>
            <w:shd w:val="clear" w:color="000000" w:fill="DAE9F8"/>
            <w:vAlign w:val="center"/>
            <w:hideMark/>
          </w:tcPr>
          <w:p w14:paraId="49364A99"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3.06</w:t>
            </w:r>
          </w:p>
        </w:tc>
      </w:tr>
      <w:tr w:rsidR="00F668BD" w:rsidRPr="00F668BD" w14:paraId="63C3325D" w14:textId="77777777" w:rsidTr="00F668BD">
        <w:trPr>
          <w:trHeight w:val="290"/>
        </w:trPr>
        <w:tc>
          <w:tcPr>
            <w:tcW w:w="2160" w:type="dxa"/>
            <w:tcBorders>
              <w:top w:val="nil"/>
              <w:left w:val="single" w:sz="4" w:space="0" w:color="auto"/>
              <w:bottom w:val="single" w:sz="4" w:space="0" w:color="auto"/>
              <w:right w:val="single" w:sz="4" w:space="0" w:color="auto"/>
            </w:tcBorders>
            <w:shd w:val="clear" w:color="000000" w:fill="DAE9F8"/>
            <w:vAlign w:val="center"/>
            <w:hideMark/>
          </w:tcPr>
          <w:p w14:paraId="0ABD9EDF" w14:textId="77777777" w:rsidR="00F668BD" w:rsidRPr="00F668BD" w:rsidRDefault="00F668BD" w:rsidP="00E262FC">
            <w:pPr>
              <w:spacing w:line="360" w:lineRule="auto"/>
              <w:rPr>
                <w:rFonts w:eastAsia="Times New Roman"/>
                <w:b/>
                <w:bCs/>
                <w:color w:val="404040"/>
                <w:sz w:val="24"/>
                <w:szCs w:val="24"/>
                <w:lang w:val="en-US" w:eastAsia="zh-TW"/>
              </w:rPr>
            </w:pPr>
            <w:r w:rsidRPr="00F668BD">
              <w:rPr>
                <w:rFonts w:eastAsia="Times New Roman"/>
                <w:b/>
                <w:bCs/>
                <w:color w:val="404040"/>
                <w:sz w:val="24"/>
                <w:szCs w:val="24"/>
                <w:lang w:val="en-US" w:eastAsia="zh-TW"/>
              </w:rPr>
              <w:t>Expenditures*1</w:t>
            </w:r>
          </w:p>
        </w:tc>
        <w:tc>
          <w:tcPr>
            <w:tcW w:w="920" w:type="dxa"/>
            <w:tcBorders>
              <w:top w:val="nil"/>
              <w:left w:val="nil"/>
              <w:bottom w:val="single" w:sz="4" w:space="0" w:color="auto"/>
              <w:right w:val="single" w:sz="4" w:space="0" w:color="auto"/>
            </w:tcBorders>
            <w:shd w:val="clear" w:color="000000" w:fill="DAE9F8"/>
            <w:vAlign w:val="center"/>
            <w:hideMark/>
          </w:tcPr>
          <w:p w14:paraId="278479C6"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 </w:t>
            </w:r>
          </w:p>
        </w:tc>
        <w:tc>
          <w:tcPr>
            <w:tcW w:w="1380" w:type="dxa"/>
            <w:tcBorders>
              <w:top w:val="nil"/>
              <w:left w:val="nil"/>
              <w:bottom w:val="single" w:sz="4" w:space="0" w:color="auto"/>
              <w:right w:val="single" w:sz="4" w:space="0" w:color="auto"/>
            </w:tcBorders>
            <w:shd w:val="clear" w:color="000000" w:fill="DAE9F8"/>
            <w:vAlign w:val="center"/>
            <w:hideMark/>
          </w:tcPr>
          <w:p w14:paraId="20407394"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-0.25</w:t>
            </w:r>
          </w:p>
        </w:tc>
        <w:tc>
          <w:tcPr>
            <w:tcW w:w="1640" w:type="dxa"/>
            <w:tcBorders>
              <w:top w:val="nil"/>
              <w:left w:val="nil"/>
              <w:bottom w:val="single" w:sz="4" w:space="0" w:color="auto"/>
              <w:right w:val="single" w:sz="4" w:space="0" w:color="auto"/>
            </w:tcBorders>
            <w:shd w:val="clear" w:color="000000" w:fill="DAE9F8"/>
            <w:vAlign w:val="center"/>
            <w:hideMark/>
          </w:tcPr>
          <w:p w14:paraId="639EB5A7"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-0.27</w:t>
            </w:r>
          </w:p>
        </w:tc>
        <w:tc>
          <w:tcPr>
            <w:tcW w:w="1220" w:type="dxa"/>
            <w:tcBorders>
              <w:top w:val="nil"/>
              <w:left w:val="nil"/>
              <w:bottom w:val="single" w:sz="4" w:space="0" w:color="auto"/>
              <w:right w:val="single" w:sz="4" w:space="0" w:color="auto"/>
            </w:tcBorders>
            <w:shd w:val="clear" w:color="000000" w:fill="DAE9F8"/>
            <w:vAlign w:val="center"/>
            <w:hideMark/>
          </w:tcPr>
          <w:p w14:paraId="5AABAD0B"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-0.28</w:t>
            </w:r>
          </w:p>
        </w:tc>
        <w:tc>
          <w:tcPr>
            <w:tcW w:w="1140" w:type="dxa"/>
            <w:tcBorders>
              <w:top w:val="nil"/>
              <w:left w:val="nil"/>
              <w:bottom w:val="single" w:sz="4" w:space="0" w:color="auto"/>
              <w:right w:val="single" w:sz="4" w:space="0" w:color="auto"/>
            </w:tcBorders>
            <w:shd w:val="clear" w:color="000000" w:fill="DAE9F8"/>
            <w:vAlign w:val="center"/>
            <w:hideMark/>
          </w:tcPr>
          <w:p w14:paraId="071A75FC"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-0.3</w:t>
            </w:r>
          </w:p>
        </w:tc>
        <w:tc>
          <w:tcPr>
            <w:tcW w:w="1060" w:type="dxa"/>
            <w:tcBorders>
              <w:top w:val="nil"/>
              <w:left w:val="nil"/>
              <w:bottom w:val="single" w:sz="4" w:space="0" w:color="auto"/>
              <w:right w:val="single" w:sz="4" w:space="0" w:color="auto"/>
            </w:tcBorders>
            <w:shd w:val="clear" w:color="000000" w:fill="DAE9F8"/>
            <w:vAlign w:val="center"/>
            <w:hideMark/>
          </w:tcPr>
          <w:p w14:paraId="1D2D091C"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-0.31</w:t>
            </w:r>
          </w:p>
        </w:tc>
      </w:tr>
      <w:tr w:rsidR="00F668BD" w:rsidRPr="00F668BD" w14:paraId="012185E5" w14:textId="77777777" w:rsidTr="00F668BD">
        <w:trPr>
          <w:trHeight w:val="290"/>
        </w:trPr>
        <w:tc>
          <w:tcPr>
            <w:tcW w:w="2160" w:type="dxa"/>
            <w:tcBorders>
              <w:top w:val="nil"/>
              <w:left w:val="single" w:sz="4" w:space="0" w:color="auto"/>
              <w:bottom w:val="single" w:sz="4" w:space="0" w:color="auto"/>
              <w:right w:val="single" w:sz="4" w:space="0" w:color="auto"/>
            </w:tcBorders>
            <w:shd w:val="clear" w:color="000000" w:fill="DAE9F8"/>
            <w:vAlign w:val="center"/>
            <w:hideMark/>
          </w:tcPr>
          <w:p w14:paraId="527006A8" w14:textId="77777777" w:rsidR="00F668BD" w:rsidRPr="00F668BD" w:rsidRDefault="00F668BD" w:rsidP="00E262FC">
            <w:pPr>
              <w:spacing w:line="360" w:lineRule="auto"/>
              <w:rPr>
                <w:rFonts w:eastAsia="Times New Roman"/>
                <w:b/>
                <w:bCs/>
                <w:color w:val="404040"/>
                <w:sz w:val="24"/>
                <w:szCs w:val="24"/>
                <w:lang w:val="en-US" w:eastAsia="zh-TW"/>
              </w:rPr>
            </w:pPr>
            <w:r w:rsidRPr="00F668BD">
              <w:rPr>
                <w:rFonts w:eastAsia="Times New Roman"/>
                <w:b/>
                <w:bCs/>
                <w:color w:val="404040"/>
                <w:sz w:val="24"/>
                <w:szCs w:val="24"/>
                <w:lang w:val="en-US" w:eastAsia="zh-TW"/>
              </w:rPr>
              <w:t>Expenditures*2</w:t>
            </w:r>
          </w:p>
        </w:tc>
        <w:tc>
          <w:tcPr>
            <w:tcW w:w="920" w:type="dxa"/>
            <w:tcBorders>
              <w:top w:val="nil"/>
              <w:left w:val="nil"/>
              <w:bottom w:val="single" w:sz="4" w:space="0" w:color="auto"/>
              <w:right w:val="single" w:sz="4" w:space="0" w:color="auto"/>
            </w:tcBorders>
            <w:shd w:val="clear" w:color="000000" w:fill="DAE9F8"/>
            <w:vAlign w:val="center"/>
            <w:hideMark/>
          </w:tcPr>
          <w:p w14:paraId="2EBC31F3"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 </w:t>
            </w:r>
          </w:p>
        </w:tc>
        <w:tc>
          <w:tcPr>
            <w:tcW w:w="1380" w:type="dxa"/>
            <w:tcBorders>
              <w:top w:val="nil"/>
              <w:left w:val="nil"/>
              <w:bottom w:val="single" w:sz="4" w:space="0" w:color="auto"/>
              <w:right w:val="single" w:sz="4" w:space="0" w:color="auto"/>
            </w:tcBorders>
            <w:shd w:val="clear" w:color="000000" w:fill="DAE9F8"/>
            <w:vAlign w:val="center"/>
            <w:hideMark/>
          </w:tcPr>
          <w:p w14:paraId="04D505BB"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-1.02</w:t>
            </w:r>
          </w:p>
        </w:tc>
        <w:tc>
          <w:tcPr>
            <w:tcW w:w="1640" w:type="dxa"/>
            <w:tcBorders>
              <w:top w:val="nil"/>
              <w:left w:val="nil"/>
              <w:bottom w:val="single" w:sz="4" w:space="0" w:color="auto"/>
              <w:right w:val="single" w:sz="4" w:space="0" w:color="auto"/>
            </w:tcBorders>
            <w:shd w:val="clear" w:color="000000" w:fill="DAE9F8"/>
            <w:vAlign w:val="center"/>
            <w:hideMark/>
          </w:tcPr>
          <w:p w14:paraId="7B499139"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-1.02</w:t>
            </w:r>
          </w:p>
        </w:tc>
        <w:tc>
          <w:tcPr>
            <w:tcW w:w="1220" w:type="dxa"/>
            <w:tcBorders>
              <w:top w:val="nil"/>
              <w:left w:val="nil"/>
              <w:bottom w:val="single" w:sz="4" w:space="0" w:color="auto"/>
              <w:right w:val="single" w:sz="4" w:space="0" w:color="auto"/>
            </w:tcBorders>
            <w:shd w:val="clear" w:color="000000" w:fill="DAE9F8"/>
            <w:vAlign w:val="center"/>
            <w:hideMark/>
          </w:tcPr>
          <w:p w14:paraId="5055440C"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-1.02</w:t>
            </w:r>
          </w:p>
        </w:tc>
        <w:tc>
          <w:tcPr>
            <w:tcW w:w="1140" w:type="dxa"/>
            <w:tcBorders>
              <w:top w:val="nil"/>
              <w:left w:val="nil"/>
              <w:bottom w:val="single" w:sz="4" w:space="0" w:color="auto"/>
              <w:right w:val="single" w:sz="4" w:space="0" w:color="auto"/>
            </w:tcBorders>
            <w:shd w:val="clear" w:color="000000" w:fill="DAE9F8"/>
            <w:vAlign w:val="center"/>
            <w:hideMark/>
          </w:tcPr>
          <w:p w14:paraId="72206270"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-1.02</w:t>
            </w:r>
          </w:p>
        </w:tc>
        <w:tc>
          <w:tcPr>
            <w:tcW w:w="1060" w:type="dxa"/>
            <w:tcBorders>
              <w:top w:val="nil"/>
              <w:left w:val="nil"/>
              <w:bottom w:val="single" w:sz="4" w:space="0" w:color="auto"/>
              <w:right w:val="single" w:sz="4" w:space="0" w:color="auto"/>
            </w:tcBorders>
            <w:shd w:val="clear" w:color="000000" w:fill="DAE9F8"/>
            <w:vAlign w:val="center"/>
            <w:hideMark/>
          </w:tcPr>
          <w:p w14:paraId="5F6D59F9"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-1.02</w:t>
            </w:r>
          </w:p>
        </w:tc>
      </w:tr>
      <w:tr w:rsidR="00F668BD" w:rsidRPr="00F668BD" w14:paraId="0112BDB2" w14:textId="77777777" w:rsidTr="00F668BD">
        <w:trPr>
          <w:trHeight w:val="290"/>
        </w:trPr>
        <w:tc>
          <w:tcPr>
            <w:tcW w:w="2160" w:type="dxa"/>
            <w:tcBorders>
              <w:top w:val="nil"/>
              <w:left w:val="single" w:sz="4" w:space="0" w:color="auto"/>
              <w:bottom w:val="single" w:sz="4" w:space="0" w:color="auto"/>
              <w:right w:val="single" w:sz="4" w:space="0" w:color="auto"/>
            </w:tcBorders>
            <w:shd w:val="clear" w:color="000000" w:fill="DAE9F8"/>
            <w:vAlign w:val="center"/>
            <w:hideMark/>
          </w:tcPr>
          <w:p w14:paraId="7E1A4CE6" w14:textId="77777777" w:rsidR="00F668BD" w:rsidRPr="00F668BD" w:rsidRDefault="00F668BD" w:rsidP="00E262FC">
            <w:pPr>
              <w:spacing w:line="360" w:lineRule="auto"/>
              <w:rPr>
                <w:rFonts w:eastAsia="Times New Roman"/>
                <w:b/>
                <w:bCs/>
                <w:color w:val="404040"/>
                <w:sz w:val="24"/>
                <w:szCs w:val="24"/>
                <w:lang w:val="en-US" w:eastAsia="zh-TW"/>
              </w:rPr>
            </w:pPr>
            <w:r w:rsidRPr="00F668BD">
              <w:rPr>
                <w:rFonts w:eastAsia="Times New Roman"/>
                <w:b/>
                <w:bCs/>
                <w:color w:val="404040"/>
                <w:sz w:val="24"/>
                <w:szCs w:val="24"/>
                <w:lang w:val="en-US" w:eastAsia="zh-TW"/>
              </w:rPr>
              <w:t>Tax expense</w:t>
            </w:r>
          </w:p>
        </w:tc>
        <w:tc>
          <w:tcPr>
            <w:tcW w:w="920" w:type="dxa"/>
            <w:tcBorders>
              <w:top w:val="nil"/>
              <w:left w:val="nil"/>
              <w:bottom w:val="single" w:sz="4" w:space="0" w:color="auto"/>
              <w:right w:val="single" w:sz="4" w:space="0" w:color="auto"/>
            </w:tcBorders>
            <w:shd w:val="clear" w:color="000000" w:fill="DAE9F8"/>
            <w:vAlign w:val="center"/>
            <w:hideMark/>
          </w:tcPr>
          <w:p w14:paraId="520501ED"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 </w:t>
            </w:r>
          </w:p>
        </w:tc>
        <w:tc>
          <w:tcPr>
            <w:tcW w:w="1380" w:type="dxa"/>
            <w:tcBorders>
              <w:top w:val="nil"/>
              <w:left w:val="nil"/>
              <w:bottom w:val="single" w:sz="4" w:space="0" w:color="auto"/>
              <w:right w:val="single" w:sz="4" w:space="0" w:color="auto"/>
            </w:tcBorders>
            <w:shd w:val="clear" w:color="000000" w:fill="DAE9F8"/>
            <w:vAlign w:val="center"/>
            <w:hideMark/>
          </w:tcPr>
          <w:p w14:paraId="2527B58B"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-0.42</w:t>
            </w:r>
          </w:p>
        </w:tc>
        <w:tc>
          <w:tcPr>
            <w:tcW w:w="1640" w:type="dxa"/>
            <w:tcBorders>
              <w:top w:val="nil"/>
              <w:left w:val="nil"/>
              <w:bottom w:val="single" w:sz="4" w:space="0" w:color="auto"/>
              <w:right w:val="single" w:sz="4" w:space="0" w:color="auto"/>
            </w:tcBorders>
            <w:shd w:val="clear" w:color="000000" w:fill="DAE9F8"/>
            <w:vAlign w:val="center"/>
            <w:hideMark/>
          </w:tcPr>
          <w:p w14:paraId="7F6C642B"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-0.44</w:t>
            </w:r>
          </w:p>
        </w:tc>
        <w:tc>
          <w:tcPr>
            <w:tcW w:w="1220" w:type="dxa"/>
            <w:tcBorders>
              <w:top w:val="nil"/>
              <w:left w:val="nil"/>
              <w:bottom w:val="single" w:sz="4" w:space="0" w:color="auto"/>
              <w:right w:val="single" w:sz="4" w:space="0" w:color="auto"/>
            </w:tcBorders>
            <w:shd w:val="clear" w:color="000000" w:fill="DAE9F8"/>
            <w:vAlign w:val="center"/>
            <w:hideMark/>
          </w:tcPr>
          <w:p w14:paraId="7C4BBB2E"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-0.46</w:t>
            </w:r>
          </w:p>
        </w:tc>
        <w:tc>
          <w:tcPr>
            <w:tcW w:w="1140" w:type="dxa"/>
            <w:tcBorders>
              <w:top w:val="nil"/>
              <w:left w:val="nil"/>
              <w:bottom w:val="single" w:sz="4" w:space="0" w:color="auto"/>
              <w:right w:val="single" w:sz="4" w:space="0" w:color="auto"/>
            </w:tcBorders>
            <w:shd w:val="clear" w:color="000000" w:fill="DAE9F8"/>
            <w:vAlign w:val="center"/>
            <w:hideMark/>
          </w:tcPr>
          <w:p w14:paraId="0058D3C5"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-0.48</w:t>
            </w:r>
          </w:p>
        </w:tc>
        <w:tc>
          <w:tcPr>
            <w:tcW w:w="1060" w:type="dxa"/>
            <w:tcBorders>
              <w:top w:val="nil"/>
              <w:left w:val="nil"/>
              <w:bottom w:val="single" w:sz="4" w:space="0" w:color="auto"/>
              <w:right w:val="single" w:sz="4" w:space="0" w:color="auto"/>
            </w:tcBorders>
            <w:shd w:val="clear" w:color="000000" w:fill="DAE9F8"/>
            <w:vAlign w:val="center"/>
            <w:hideMark/>
          </w:tcPr>
          <w:p w14:paraId="6AC0CA03"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-0.5</w:t>
            </w:r>
          </w:p>
        </w:tc>
      </w:tr>
      <w:tr w:rsidR="00F668BD" w:rsidRPr="00F668BD" w14:paraId="54A2BE31" w14:textId="77777777" w:rsidTr="00F668BD">
        <w:trPr>
          <w:trHeight w:val="290"/>
        </w:trPr>
        <w:tc>
          <w:tcPr>
            <w:tcW w:w="2160" w:type="dxa"/>
            <w:tcBorders>
              <w:top w:val="nil"/>
              <w:left w:val="single" w:sz="4" w:space="0" w:color="auto"/>
              <w:bottom w:val="single" w:sz="4" w:space="0" w:color="auto"/>
              <w:right w:val="single" w:sz="4" w:space="0" w:color="auto"/>
            </w:tcBorders>
            <w:shd w:val="clear" w:color="000000" w:fill="DAE9F8"/>
            <w:vAlign w:val="center"/>
            <w:hideMark/>
          </w:tcPr>
          <w:p w14:paraId="4704070B" w14:textId="77777777" w:rsidR="00F668BD" w:rsidRPr="00F668BD" w:rsidRDefault="00F668BD" w:rsidP="00E262FC">
            <w:pPr>
              <w:spacing w:line="360" w:lineRule="auto"/>
              <w:rPr>
                <w:rFonts w:eastAsia="Times New Roman"/>
                <w:b/>
                <w:bCs/>
                <w:color w:val="404040"/>
                <w:sz w:val="24"/>
                <w:szCs w:val="24"/>
                <w:lang w:val="en-US" w:eastAsia="zh-TW"/>
              </w:rPr>
            </w:pPr>
            <w:r w:rsidRPr="00F668BD">
              <w:rPr>
                <w:rFonts w:eastAsia="Times New Roman"/>
                <w:b/>
                <w:bCs/>
                <w:color w:val="404040"/>
                <w:sz w:val="24"/>
                <w:szCs w:val="24"/>
                <w:lang w:val="en-US" w:eastAsia="zh-TW"/>
              </w:rPr>
              <w:t>Cashflow</w:t>
            </w:r>
          </w:p>
        </w:tc>
        <w:tc>
          <w:tcPr>
            <w:tcW w:w="920" w:type="dxa"/>
            <w:tcBorders>
              <w:top w:val="nil"/>
              <w:left w:val="nil"/>
              <w:bottom w:val="single" w:sz="4" w:space="0" w:color="auto"/>
              <w:right w:val="single" w:sz="4" w:space="0" w:color="auto"/>
            </w:tcBorders>
            <w:shd w:val="clear" w:color="000000" w:fill="DAE9F8"/>
            <w:vAlign w:val="center"/>
            <w:hideMark/>
          </w:tcPr>
          <w:p w14:paraId="008EFF60"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-5.08</w:t>
            </w:r>
          </w:p>
        </w:tc>
        <w:tc>
          <w:tcPr>
            <w:tcW w:w="1380" w:type="dxa"/>
            <w:tcBorders>
              <w:top w:val="nil"/>
              <w:left w:val="nil"/>
              <w:bottom w:val="single" w:sz="4" w:space="0" w:color="auto"/>
              <w:right w:val="single" w:sz="4" w:space="0" w:color="auto"/>
            </w:tcBorders>
            <w:shd w:val="clear" w:color="000000" w:fill="DAE9F8"/>
            <w:vAlign w:val="center"/>
            <w:hideMark/>
          </w:tcPr>
          <w:p w14:paraId="08E7C4AB"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0.83</w:t>
            </w:r>
          </w:p>
        </w:tc>
        <w:tc>
          <w:tcPr>
            <w:tcW w:w="1640" w:type="dxa"/>
            <w:tcBorders>
              <w:top w:val="nil"/>
              <w:left w:val="nil"/>
              <w:bottom w:val="single" w:sz="4" w:space="0" w:color="auto"/>
              <w:right w:val="single" w:sz="4" w:space="0" w:color="auto"/>
            </w:tcBorders>
            <w:shd w:val="clear" w:color="000000" w:fill="DAE9F8"/>
            <w:vAlign w:val="center"/>
            <w:hideMark/>
          </w:tcPr>
          <w:p w14:paraId="3E708FD7"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0.92</w:t>
            </w:r>
          </w:p>
        </w:tc>
        <w:tc>
          <w:tcPr>
            <w:tcW w:w="1220" w:type="dxa"/>
            <w:tcBorders>
              <w:top w:val="nil"/>
              <w:left w:val="nil"/>
              <w:bottom w:val="single" w:sz="4" w:space="0" w:color="auto"/>
              <w:right w:val="single" w:sz="4" w:space="0" w:color="auto"/>
            </w:tcBorders>
            <w:shd w:val="clear" w:color="000000" w:fill="DAE9F8"/>
            <w:vAlign w:val="center"/>
            <w:hideMark/>
          </w:tcPr>
          <w:p w14:paraId="7F4B0787"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1.02</w:t>
            </w:r>
          </w:p>
        </w:tc>
        <w:tc>
          <w:tcPr>
            <w:tcW w:w="1140" w:type="dxa"/>
            <w:tcBorders>
              <w:top w:val="nil"/>
              <w:left w:val="nil"/>
              <w:bottom w:val="single" w:sz="4" w:space="0" w:color="auto"/>
              <w:right w:val="single" w:sz="4" w:space="0" w:color="auto"/>
            </w:tcBorders>
            <w:shd w:val="clear" w:color="000000" w:fill="DAE9F8"/>
            <w:vAlign w:val="center"/>
            <w:hideMark/>
          </w:tcPr>
          <w:p w14:paraId="7C6CB515"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1.12</w:t>
            </w:r>
          </w:p>
        </w:tc>
        <w:tc>
          <w:tcPr>
            <w:tcW w:w="1060" w:type="dxa"/>
            <w:tcBorders>
              <w:top w:val="nil"/>
              <w:left w:val="nil"/>
              <w:bottom w:val="single" w:sz="4" w:space="0" w:color="auto"/>
              <w:right w:val="single" w:sz="4" w:space="0" w:color="auto"/>
            </w:tcBorders>
            <w:shd w:val="clear" w:color="000000" w:fill="DAE9F8"/>
            <w:vAlign w:val="center"/>
            <w:hideMark/>
          </w:tcPr>
          <w:p w14:paraId="716BEE52" w14:textId="77777777" w:rsidR="00F668BD" w:rsidRPr="00F668BD" w:rsidRDefault="00F668BD" w:rsidP="00E262FC">
            <w:pPr>
              <w:spacing w:line="360" w:lineRule="auto"/>
              <w:rPr>
                <w:rFonts w:eastAsia="Times New Roman"/>
                <w:color w:val="404040"/>
                <w:sz w:val="24"/>
                <w:szCs w:val="24"/>
                <w:lang w:val="en-US" w:eastAsia="zh-TW"/>
              </w:rPr>
            </w:pPr>
            <w:r w:rsidRPr="00F668BD">
              <w:rPr>
                <w:rFonts w:eastAsia="Times New Roman"/>
                <w:color w:val="404040"/>
                <w:sz w:val="24"/>
                <w:szCs w:val="24"/>
                <w:lang w:val="en-US" w:eastAsia="zh-TW"/>
              </w:rPr>
              <w:t>1.23</w:t>
            </w:r>
          </w:p>
        </w:tc>
      </w:tr>
    </w:tbl>
    <w:p w14:paraId="5608AC85" w14:textId="77777777" w:rsidR="00045A15" w:rsidRPr="00045A15" w:rsidRDefault="00045A15" w:rsidP="00E262FC">
      <w:pPr>
        <w:spacing w:line="360" w:lineRule="auto"/>
        <w:rPr>
          <w:iCs/>
          <w:sz w:val="24"/>
          <w:szCs w:val="24"/>
          <w:lang w:val="en-US"/>
        </w:rPr>
      </w:pPr>
      <w:r w:rsidRPr="00045A15">
        <w:rPr>
          <w:iCs/>
          <w:sz w:val="24"/>
          <w:szCs w:val="24"/>
          <w:lang w:val="en-US"/>
        </w:rPr>
        <w:t>Notes:</w:t>
      </w:r>
    </w:p>
    <w:p w14:paraId="25CF517F" w14:textId="77777777" w:rsidR="00045A15" w:rsidRPr="00045A15" w:rsidRDefault="00045A15" w:rsidP="00E262FC">
      <w:pPr>
        <w:numPr>
          <w:ilvl w:val="0"/>
          <w:numId w:val="19"/>
        </w:numPr>
        <w:spacing w:line="360" w:lineRule="auto"/>
        <w:rPr>
          <w:iCs/>
          <w:sz w:val="24"/>
          <w:szCs w:val="24"/>
          <w:lang w:val="en-US"/>
        </w:rPr>
      </w:pPr>
      <w:r w:rsidRPr="00045A15">
        <w:rPr>
          <w:i/>
          <w:iCs/>
          <w:sz w:val="24"/>
          <w:szCs w:val="24"/>
          <w:lang w:val="en-US"/>
        </w:rPr>
        <w:t>Working capital for year 1: annual sales × (avg receivables days/365); increases with sales in later years.</w:t>
      </w:r>
    </w:p>
    <w:p w14:paraId="1D762D2F" w14:textId="77777777" w:rsidR="00045A15" w:rsidRPr="00045A15" w:rsidRDefault="00045A15" w:rsidP="00E262FC">
      <w:pPr>
        <w:numPr>
          <w:ilvl w:val="0"/>
          <w:numId w:val="19"/>
        </w:numPr>
        <w:spacing w:line="360" w:lineRule="auto"/>
        <w:rPr>
          <w:iCs/>
          <w:sz w:val="24"/>
          <w:szCs w:val="24"/>
          <w:lang w:val="en-US"/>
        </w:rPr>
      </w:pPr>
      <w:r w:rsidRPr="00045A15">
        <w:rPr>
          <w:i/>
          <w:iCs/>
          <w:sz w:val="24"/>
          <w:szCs w:val="24"/>
          <w:lang w:val="en-US"/>
        </w:rPr>
        <w:t>Expenditures</w:t>
      </w:r>
      <w:r w:rsidRPr="00045A15">
        <w:rPr>
          <w:iCs/>
          <w:sz w:val="24"/>
          <w:szCs w:val="24"/>
          <w:lang w:val="en-US"/>
        </w:rPr>
        <w:t xml:space="preserve">2: straight-line depreciation for fit-out and equipment over 5 </w:t>
      </w:r>
      <w:proofErr w:type="gramStart"/>
      <w:r w:rsidRPr="00045A15">
        <w:rPr>
          <w:iCs/>
          <w:sz w:val="24"/>
          <w:szCs w:val="24"/>
          <w:lang w:val="en-US"/>
        </w:rPr>
        <w:t>years.*</w:t>
      </w:r>
      <w:proofErr w:type="gramEnd"/>
    </w:p>
    <w:p w14:paraId="2B7D39FA" w14:textId="77777777" w:rsidR="00CC7C38" w:rsidRPr="00937F54" w:rsidRDefault="00045A15" w:rsidP="00E262FC">
      <w:pPr>
        <w:numPr>
          <w:ilvl w:val="0"/>
          <w:numId w:val="19"/>
        </w:numPr>
        <w:spacing w:line="360" w:lineRule="auto"/>
        <w:rPr>
          <w:b/>
          <w:bCs/>
          <w:i/>
          <w:iCs/>
          <w:sz w:val="24"/>
          <w:szCs w:val="24"/>
          <w:lang w:val="en-US"/>
        </w:rPr>
      </w:pPr>
      <w:r w:rsidRPr="00045A15">
        <w:rPr>
          <w:i/>
          <w:iCs/>
          <w:sz w:val="24"/>
          <w:szCs w:val="24"/>
          <w:lang w:val="en-US"/>
        </w:rPr>
        <w:t>Terminal cashflow (post Year 5): projected with 3% perpetual growth.</w:t>
      </w:r>
      <w:r w:rsidR="00CC7C38" w:rsidRPr="00937F54">
        <w:rPr>
          <w:rFonts w:eastAsia="Times New Roman"/>
          <w:b/>
          <w:bCs/>
          <w:spacing w:val="1"/>
          <w:sz w:val="24"/>
          <w:szCs w:val="24"/>
          <w:lang w:val="en-US" w:eastAsia="zh-TW"/>
        </w:rPr>
        <w:t xml:space="preserve"> </w:t>
      </w:r>
    </w:p>
    <w:p w14:paraId="3C93D6BE" w14:textId="77777777" w:rsidR="007916E7" w:rsidRPr="00937F54" w:rsidRDefault="007916E7" w:rsidP="00E262FC">
      <w:pPr>
        <w:spacing w:line="360" w:lineRule="auto"/>
        <w:rPr>
          <w:b/>
          <w:bCs/>
          <w:iCs/>
          <w:sz w:val="24"/>
          <w:szCs w:val="24"/>
          <w:lang w:val="en-US"/>
        </w:rPr>
      </w:pPr>
    </w:p>
    <w:p w14:paraId="59B038D1" w14:textId="0B1F9E32" w:rsidR="00045A15" w:rsidRPr="00937F54" w:rsidRDefault="00CC7C38" w:rsidP="00E262FC">
      <w:pPr>
        <w:spacing w:line="360" w:lineRule="auto"/>
        <w:rPr>
          <w:b/>
          <w:bCs/>
          <w:iCs/>
          <w:sz w:val="24"/>
          <w:szCs w:val="24"/>
          <w:lang w:val="en-US"/>
        </w:rPr>
      </w:pPr>
      <w:r w:rsidRPr="00937F54">
        <w:rPr>
          <w:b/>
          <w:bCs/>
          <w:iCs/>
          <w:sz w:val="24"/>
          <w:szCs w:val="24"/>
          <w:lang w:val="en-US"/>
        </w:rPr>
        <w:t>4.5 ARR and NPV Calculation</w:t>
      </w:r>
    </w:p>
    <w:tbl>
      <w:tblPr>
        <w:tblW w:w="9520" w:type="dxa"/>
        <w:tblLook w:val="04A0" w:firstRow="1" w:lastRow="0" w:firstColumn="1" w:lastColumn="0" w:noHBand="0" w:noVBand="1"/>
      </w:tblPr>
      <w:tblGrid>
        <w:gridCol w:w="2160"/>
        <w:gridCol w:w="920"/>
        <w:gridCol w:w="1380"/>
        <w:gridCol w:w="1640"/>
        <w:gridCol w:w="1220"/>
        <w:gridCol w:w="1140"/>
        <w:gridCol w:w="1060"/>
      </w:tblGrid>
      <w:tr w:rsidR="007916E7" w:rsidRPr="007916E7" w14:paraId="08F8B3DD" w14:textId="77777777" w:rsidTr="007916E7">
        <w:trPr>
          <w:trHeight w:val="290"/>
        </w:trPr>
        <w:tc>
          <w:tcPr>
            <w:tcW w:w="2160" w:type="dxa"/>
            <w:tcBorders>
              <w:top w:val="single" w:sz="4" w:space="0" w:color="auto"/>
              <w:left w:val="single" w:sz="4" w:space="0" w:color="auto"/>
              <w:bottom w:val="single" w:sz="4" w:space="0" w:color="auto"/>
              <w:right w:val="single" w:sz="4" w:space="0" w:color="auto"/>
            </w:tcBorders>
            <w:shd w:val="clear" w:color="000000" w:fill="DAE9F8"/>
            <w:vAlign w:val="center"/>
            <w:hideMark/>
          </w:tcPr>
          <w:p w14:paraId="0FFAAF84" w14:textId="45B8AA9B" w:rsidR="007916E7" w:rsidRPr="007916E7" w:rsidRDefault="007916E7" w:rsidP="00E262FC">
            <w:pPr>
              <w:spacing w:line="360" w:lineRule="auto"/>
              <w:rPr>
                <w:rFonts w:eastAsia="Times New Roman"/>
                <w:b/>
                <w:bCs/>
                <w:color w:val="404040"/>
                <w:sz w:val="24"/>
                <w:szCs w:val="24"/>
                <w:lang w:val="en-US" w:eastAsia="zh-TW"/>
              </w:rPr>
            </w:pPr>
            <w:r w:rsidRPr="00937F54">
              <w:rPr>
                <w:rFonts w:eastAsia="Times New Roman"/>
                <w:b/>
                <w:bCs/>
                <w:color w:val="404040"/>
                <w:sz w:val="24"/>
                <w:szCs w:val="24"/>
                <w:lang w:val="en-US" w:eastAsia="zh-TW"/>
              </w:rPr>
              <w:t>I</w:t>
            </w:r>
            <w:r w:rsidRPr="007916E7">
              <w:rPr>
                <w:rFonts w:eastAsia="Times New Roman"/>
                <w:b/>
                <w:bCs/>
                <w:color w:val="404040"/>
                <w:sz w:val="24"/>
                <w:szCs w:val="24"/>
                <w:lang w:val="en-US" w:eastAsia="zh-TW"/>
              </w:rPr>
              <w:t>tems (HKD million)</w:t>
            </w:r>
          </w:p>
        </w:tc>
        <w:tc>
          <w:tcPr>
            <w:tcW w:w="920" w:type="dxa"/>
            <w:tcBorders>
              <w:top w:val="single" w:sz="4" w:space="0" w:color="auto"/>
              <w:left w:val="nil"/>
              <w:bottom w:val="single" w:sz="4" w:space="0" w:color="auto"/>
              <w:right w:val="single" w:sz="4" w:space="0" w:color="auto"/>
            </w:tcBorders>
            <w:shd w:val="clear" w:color="000000" w:fill="DAE9F8"/>
            <w:vAlign w:val="center"/>
            <w:hideMark/>
          </w:tcPr>
          <w:p w14:paraId="1F2C2236" w14:textId="77777777" w:rsidR="007916E7" w:rsidRPr="007916E7" w:rsidRDefault="007916E7" w:rsidP="00E262FC">
            <w:pPr>
              <w:spacing w:line="360" w:lineRule="auto"/>
              <w:rPr>
                <w:rFonts w:eastAsia="Times New Roman"/>
                <w:b/>
                <w:bCs/>
                <w:color w:val="404040"/>
                <w:sz w:val="24"/>
                <w:szCs w:val="24"/>
                <w:lang w:val="en-US" w:eastAsia="zh-TW"/>
              </w:rPr>
            </w:pPr>
            <w:r w:rsidRPr="007916E7">
              <w:rPr>
                <w:rFonts w:eastAsia="Times New Roman"/>
                <w:b/>
                <w:bCs/>
                <w:color w:val="404040"/>
                <w:sz w:val="24"/>
                <w:szCs w:val="24"/>
                <w:lang w:val="en-US" w:eastAsia="zh-TW"/>
              </w:rPr>
              <w:t>Initial cost</w:t>
            </w:r>
          </w:p>
        </w:tc>
        <w:tc>
          <w:tcPr>
            <w:tcW w:w="1380" w:type="dxa"/>
            <w:tcBorders>
              <w:top w:val="single" w:sz="4" w:space="0" w:color="auto"/>
              <w:left w:val="nil"/>
              <w:bottom w:val="single" w:sz="4" w:space="0" w:color="auto"/>
              <w:right w:val="single" w:sz="4" w:space="0" w:color="auto"/>
            </w:tcBorders>
            <w:shd w:val="clear" w:color="000000" w:fill="DAE9F8"/>
            <w:vAlign w:val="center"/>
            <w:hideMark/>
          </w:tcPr>
          <w:p w14:paraId="7B29417D" w14:textId="77777777" w:rsidR="007916E7" w:rsidRPr="007916E7" w:rsidRDefault="007916E7" w:rsidP="00E262FC">
            <w:pPr>
              <w:spacing w:line="360" w:lineRule="auto"/>
              <w:rPr>
                <w:rFonts w:eastAsia="Times New Roman"/>
                <w:b/>
                <w:bCs/>
                <w:color w:val="404040"/>
                <w:sz w:val="24"/>
                <w:szCs w:val="24"/>
                <w:lang w:val="en-US" w:eastAsia="zh-TW"/>
              </w:rPr>
            </w:pPr>
            <w:r w:rsidRPr="007916E7">
              <w:rPr>
                <w:rFonts w:eastAsia="Times New Roman"/>
                <w:b/>
                <w:bCs/>
                <w:color w:val="404040"/>
                <w:sz w:val="24"/>
                <w:szCs w:val="24"/>
                <w:lang w:val="en-US" w:eastAsia="zh-TW"/>
              </w:rPr>
              <w:t>1 Yr</w:t>
            </w:r>
          </w:p>
        </w:tc>
        <w:tc>
          <w:tcPr>
            <w:tcW w:w="1640" w:type="dxa"/>
            <w:tcBorders>
              <w:top w:val="single" w:sz="4" w:space="0" w:color="auto"/>
              <w:left w:val="nil"/>
              <w:bottom w:val="single" w:sz="4" w:space="0" w:color="auto"/>
              <w:right w:val="single" w:sz="4" w:space="0" w:color="auto"/>
            </w:tcBorders>
            <w:shd w:val="clear" w:color="000000" w:fill="DAE9F8"/>
            <w:vAlign w:val="center"/>
            <w:hideMark/>
          </w:tcPr>
          <w:p w14:paraId="78C24A5F" w14:textId="77777777" w:rsidR="007916E7" w:rsidRPr="007916E7" w:rsidRDefault="007916E7" w:rsidP="00E262FC">
            <w:pPr>
              <w:spacing w:line="360" w:lineRule="auto"/>
              <w:rPr>
                <w:rFonts w:eastAsia="Times New Roman"/>
                <w:b/>
                <w:bCs/>
                <w:color w:val="404040"/>
                <w:sz w:val="24"/>
                <w:szCs w:val="24"/>
                <w:lang w:val="en-US" w:eastAsia="zh-TW"/>
              </w:rPr>
            </w:pPr>
            <w:r w:rsidRPr="007916E7">
              <w:rPr>
                <w:rFonts w:eastAsia="Times New Roman"/>
                <w:b/>
                <w:bCs/>
                <w:color w:val="404040"/>
                <w:sz w:val="24"/>
                <w:szCs w:val="24"/>
                <w:lang w:val="en-US" w:eastAsia="zh-TW"/>
              </w:rPr>
              <w:t>2 Yr</w:t>
            </w:r>
          </w:p>
        </w:tc>
        <w:tc>
          <w:tcPr>
            <w:tcW w:w="1220" w:type="dxa"/>
            <w:tcBorders>
              <w:top w:val="single" w:sz="4" w:space="0" w:color="auto"/>
              <w:left w:val="nil"/>
              <w:bottom w:val="single" w:sz="4" w:space="0" w:color="auto"/>
              <w:right w:val="single" w:sz="4" w:space="0" w:color="auto"/>
            </w:tcBorders>
            <w:shd w:val="clear" w:color="000000" w:fill="DAE9F8"/>
            <w:vAlign w:val="center"/>
            <w:hideMark/>
          </w:tcPr>
          <w:p w14:paraId="50AC295A" w14:textId="77777777" w:rsidR="007916E7" w:rsidRPr="007916E7" w:rsidRDefault="007916E7" w:rsidP="00E262FC">
            <w:pPr>
              <w:spacing w:line="360" w:lineRule="auto"/>
              <w:rPr>
                <w:rFonts w:eastAsia="Times New Roman"/>
                <w:b/>
                <w:bCs/>
                <w:color w:val="404040"/>
                <w:sz w:val="24"/>
                <w:szCs w:val="24"/>
                <w:lang w:val="en-US" w:eastAsia="zh-TW"/>
              </w:rPr>
            </w:pPr>
            <w:r w:rsidRPr="007916E7">
              <w:rPr>
                <w:rFonts w:eastAsia="Times New Roman"/>
                <w:b/>
                <w:bCs/>
                <w:color w:val="404040"/>
                <w:sz w:val="24"/>
                <w:szCs w:val="24"/>
                <w:lang w:val="en-US" w:eastAsia="zh-TW"/>
              </w:rPr>
              <w:t>3 Yr</w:t>
            </w:r>
          </w:p>
        </w:tc>
        <w:tc>
          <w:tcPr>
            <w:tcW w:w="1140" w:type="dxa"/>
            <w:tcBorders>
              <w:top w:val="single" w:sz="4" w:space="0" w:color="auto"/>
              <w:left w:val="nil"/>
              <w:bottom w:val="single" w:sz="4" w:space="0" w:color="auto"/>
              <w:right w:val="single" w:sz="4" w:space="0" w:color="auto"/>
            </w:tcBorders>
            <w:shd w:val="clear" w:color="000000" w:fill="DAE9F8"/>
            <w:vAlign w:val="center"/>
            <w:hideMark/>
          </w:tcPr>
          <w:p w14:paraId="77BB51DC" w14:textId="77777777" w:rsidR="007916E7" w:rsidRPr="007916E7" w:rsidRDefault="007916E7" w:rsidP="00E262FC">
            <w:pPr>
              <w:spacing w:line="360" w:lineRule="auto"/>
              <w:rPr>
                <w:rFonts w:eastAsia="Times New Roman"/>
                <w:b/>
                <w:bCs/>
                <w:color w:val="404040"/>
                <w:sz w:val="24"/>
                <w:szCs w:val="24"/>
                <w:lang w:val="en-US" w:eastAsia="zh-TW"/>
              </w:rPr>
            </w:pPr>
            <w:r w:rsidRPr="007916E7">
              <w:rPr>
                <w:rFonts w:eastAsia="Times New Roman"/>
                <w:b/>
                <w:bCs/>
                <w:color w:val="404040"/>
                <w:sz w:val="24"/>
                <w:szCs w:val="24"/>
                <w:lang w:val="en-US" w:eastAsia="zh-TW"/>
              </w:rPr>
              <w:t>4 Yr</w:t>
            </w:r>
          </w:p>
        </w:tc>
        <w:tc>
          <w:tcPr>
            <w:tcW w:w="1060" w:type="dxa"/>
            <w:tcBorders>
              <w:top w:val="single" w:sz="4" w:space="0" w:color="auto"/>
              <w:left w:val="nil"/>
              <w:bottom w:val="single" w:sz="4" w:space="0" w:color="auto"/>
              <w:right w:val="single" w:sz="4" w:space="0" w:color="auto"/>
            </w:tcBorders>
            <w:shd w:val="clear" w:color="000000" w:fill="DAE9F8"/>
            <w:vAlign w:val="center"/>
            <w:hideMark/>
          </w:tcPr>
          <w:p w14:paraId="684061E6" w14:textId="77777777" w:rsidR="007916E7" w:rsidRPr="007916E7" w:rsidRDefault="007916E7" w:rsidP="00E262FC">
            <w:pPr>
              <w:spacing w:line="360" w:lineRule="auto"/>
              <w:rPr>
                <w:rFonts w:eastAsia="Times New Roman"/>
                <w:b/>
                <w:bCs/>
                <w:color w:val="404040"/>
                <w:sz w:val="24"/>
                <w:szCs w:val="24"/>
                <w:lang w:val="en-US" w:eastAsia="zh-TW"/>
              </w:rPr>
            </w:pPr>
            <w:r w:rsidRPr="007916E7">
              <w:rPr>
                <w:rFonts w:eastAsia="Times New Roman"/>
                <w:b/>
                <w:bCs/>
                <w:color w:val="404040"/>
                <w:sz w:val="24"/>
                <w:szCs w:val="24"/>
                <w:lang w:val="en-US" w:eastAsia="zh-TW"/>
              </w:rPr>
              <w:t>5 Yr</w:t>
            </w:r>
          </w:p>
        </w:tc>
      </w:tr>
      <w:tr w:rsidR="007916E7" w:rsidRPr="007916E7" w14:paraId="1C0F5CDC" w14:textId="77777777" w:rsidTr="007916E7">
        <w:trPr>
          <w:trHeight w:val="290"/>
        </w:trPr>
        <w:tc>
          <w:tcPr>
            <w:tcW w:w="2160" w:type="dxa"/>
            <w:tcBorders>
              <w:top w:val="nil"/>
              <w:left w:val="single" w:sz="4" w:space="0" w:color="auto"/>
              <w:bottom w:val="single" w:sz="4" w:space="0" w:color="auto"/>
              <w:right w:val="single" w:sz="4" w:space="0" w:color="auto"/>
            </w:tcBorders>
            <w:shd w:val="clear" w:color="000000" w:fill="DAE9F8"/>
            <w:vAlign w:val="center"/>
            <w:hideMark/>
          </w:tcPr>
          <w:p w14:paraId="4818C9B3" w14:textId="77777777" w:rsidR="007916E7" w:rsidRPr="007916E7" w:rsidRDefault="007916E7" w:rsidP="00E262FC">
            <w:pPr>
              <w:spacing w:line="360" w:lineRule="auto"/>
              <w:rPr>
                <w:rFonts w:eastAsia="Times New Roman"/>
                <w:b/>
                <w:bCs/>
                <w:color w:val="404040"/>
                <w:sz w:val="24"/>
                <w:szCs w:val="24"/>
                <w:lang w:val="en-US" w:eastAsia="zh-TW"/>
              </w:rPr>
            </w:pPr>
            <w:r w:rsidRPr="007916E7">
              <w:rPr>
                <w:rFonts w:eastAsia="Times New Roman"/>
                <w:b/>
                <w:bCs/>
                <w:color w:val="404040"/>
                <w:sz w:val="24"/>
                <w:szCs w:val="24"/>
                <w:lang w:val="en-US" w:eastAsia="zh-TW"/>
              </w:rPr>
              <w:t>EBITDA</w:t>
            </w:r>
          </w:p>
        </w:tc>
        <w:tc>
          <w:tcPr>
            <w:tcW w:w="920" w:type="dxa"/>
            <w:tcBorders>
              <w:top w:val="nil"/>
              <w:left w:val="nil"/>
              <w:bottom w:val="single" w:sz="4" w:space="0" w:color="auto"/>
              <w:right w:val="single" w:sz="4" w:space="0" w:color="auto"/>
            </w:tcBorders>
            <w:shd w:val="clear" w:color="000000" w:fill="DAE9F8"/>
            <w:vAlign w:val="center"/>
            <w:hideMark/>
          </w:tcPr>
          <w:p w14:paraId="79FEBC81"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 </w:t>
            </w:r>
          </w:p>
        </w:tc>
        <w:tc>
          <w:tcPr>
            <w:tcW w:w="1380" w:type="dxa"/>
            <w:tcBorders>
              <w:top w:val="nil"/>
              <w:left w:val="nil"/>
              <w:bottom w:val="single" w:sz="4" w:space="0" w:color="auto"/>
              <w:right w:val="single" w:sz="4" w:space="0" w:color="auto"/>
            </w:tcBorders>
            <w:shd w:val="clear" w:color="000000" w:fill="DAE9F8"/>
            <w:vAlign w:val="center"/>
            <w:hideMark/>
          </w:tcPr>
          <w:p w14:paraId="3C9290F5"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2.52</w:t>
            </w:r>
          </w:p>
        </w:tc>
        <w:tc>
          <w:tcPr>
            <w:tcW w:w="1640" w:type="dxa"/>
            <w:tcBorders>
              <w:top w:val="nil"/>
              <w:left w:val="nil"/>
              <w:bottom w:val="single" w:sz="4" w:space="0" w:color="auto"/>
              <w:right w:val="single" w:sz="4" w:space="0" w:color="auto"/>
            </w:tcBorders>
            <w:shd w:val="clear" w:color="000000" w:fill="DAE9F8"/>
            <w:vAlign w:val="center"/>
            <w:hideMark/>
          </w:tcPr>
          <w:p w14:paraId="5DCFD6A7"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2.65</w:t>
            </w:r>
          </w:p>
        </w:tc>
        <w:tc>
          <w:tcPr>
            <w:tcW w:w="1220" w:type="dxa"/>
            <w:tcBorders>
              <w:top w:val="nil"/>
              <w:left w:val="nil"/>
              <w:bottom w:val="single" w:sz="4" w:space="0" w:color="auto"/>
              <w:right w:val="single" w:sz="4" w:space="0" w:color="auto"/>
            </w:tcBorders>
            <w:shd w:val="clear" w:color="000000" w:fill="DAE9F8"/>
            <w:vAlign w:val="center"/>
            <w:hideMark/>
          </w:tcPr>
          <w:p w14:paraId="096AA1BC"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2.78</w:t>
            </w:r>
          </w:p>
        </w:tc>
        <w:tc>
          <w:tcPr>
            <w:tcW w:w="1140" w:type="dxa"/>
            <w:tcBorders>
              <w:top w:val="nil"/>
              <w:left w:val="nil"/>
              <w:bottom w:val="single" w:sz="4" w:space="0" w:color="auto"/>
              <w:right w:val="single" w:sz="4" w:space="0" w:color="auto"/>
            </w:tcBorders>
            <w:shd w:val="clear" w:color="000000" w:fill="DAE9F8"/>
            <w:vAlign w:val="center"/>
            <w:hideMark/>
          </w:tcPr>
          <w:p w14:paraId="5ACB4D56"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2.92</w:t>
            </w:r>
          </w:p>
        </w:tc>
        <w:tc>
          <w:tcPr>
            <w:tcW w:w="1060" w:type="dxa"/>
            <w:tcBorders>
              <w:top w:val="nil"/>
              <w:left w:val="nil"/>
              <w:bottom w:val="single" w:sz="4" w:space="0" w:color="auto"/>
              <w:right w:val="single" w:sz="4" w:space="0" w:color="auto"/>
            </w:tcBorders>
            <w:shd w:val="clear" w:color="000000" w:fill="DAE9F8"/>
            <w:vAlign w:val="center"/>
            <w:hideMark/>
          </w:tcPr>
          <w:p w14:paraId="4462C43E"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3.06</w:t>
            </w:r>
          </w:p>
        </w:tc>
      </w:tr>
      <w:tr w:rsidR="007916E7" w:rsidRPr="007916E7" w14:paraId="375AAAC8" w14:textId="77777777" w:rsidTr="007916E7">
        <w:trPr>
          <w:trHeight w:val="290"/>
        </w:trPr>
        <w:tc>
          <w:tcPr>
            <w:tcW w:w="2160" w:type="dxa"/>
            <w:tcBorders>
              <w:top w:val="nil"/>
              <w:left w:val="single" w:sz="4" w:space="0" w:color="auto"/>
              <w:bottom w:val="single" w:sz="4" w:space="0" w:color="auto"/>
              <w:right w:val="single" w:sz="4" w:space="0" w:color="auto"/>
            </w:tcBorders>
            <w:shd w:val="clear" w:color="000000" w:fill="DAE9F8"/>
            <w:vAlign w:val="center"/>
            <w:hideMark/>
          </w:tcPr>
          <w:p w14:paraId="146A31B3" w14:textId="77777777" w:rsidR="007916E7" w:rsidRPr="007916E7" w:rsidRDefault="007916E7" w:rsidP="00E262FC">
            <w:pPr>
              <w:spacing w:line="360" w:lineRule="auto"/>
              <w:rPr>
                <w:rFonts w:eastAsia="Times New Roman"/>
                <w:b/>
                <w:bCs/>
                <w:color w:val="404040"/>
                <w:sz w:val="24"/>
                <w:szCs w:val="24"/>
                <w:lang w:val="en-US" w:eastAsia="zh-TW"/>
              </w:rPr>
            </w:pPr>
            <w:r w:rsidRPr="007916E7">
              <w:rPr>
                <w:rFonts w:eastAsia="Times New Roman"/>
                <w:b/>
                <w:bCs/>
                <w:color w:val="404040"/>
                <w:sz w:val="24"/>
                <w:szCs w:val="24"/>
                <w:lang w:val="en-US" w:eastAsia="zh-TW"/>
              </w:rPr>
              <w:t>Expenditures*1</w:t>
            </w:r>
          </w:p>
        </w:tc>
        <w:tc>
          <w:tcPr>
            <w:tcW w:w="920" w:type="dxa"/>
            <w:tcBorders>
              <w:top w:val="nil"/>
              <w:left w:val="nil"/>
              <w:bottom w:val="single" w:sz="4" w:space="0" w:color="auto"/>
              <w:right w:val="single" w:sz="4" w:space="0" w:color="auto"/>
            </w:tcBorders>
            <w:shd w:val="clear" w:color="000000" w:fill="DAE9F8"/>
            <w:vAlign w:val="center"/>
            <w:hideMark/>
          </w:tcPr>
          <w:p w14:paraId="49016855"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 </w:t>
            </w:r>
          </w:p>
        </w:tc>
        <w:tc>
          <w:tcPr>
            <w:tcW w:w="1380" w:type="dxa"/>
            <w:tcBorders>
              <w:top w:val="nil"/>
              <w:left w:val="nil"/>
              <w:bottom w:val="single" w:sz="4" w:space="0" w:color="auto"/>
              <w:right w:val="single" w:sz="4" w:space="0" w:color="auto"/>
            </w:tcBorders>
            <w:shd w:val="clear" w:color="000000" w:fill="DAE9F8"/>
            <w:vAlign w:val="center"/>
            <w:hideMark/>
          </w:tcPr>
          <w:p w14:paraId="560C6995"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-0.25</w:t>
            </w:r>
          </w:p>
        </w:tc>
        <w:tc>
          <w:tcPr>
            <w:tcW w:w="1640" w:type="dxa"/>
            <w:tcBorders>
              <w:top w:val="nil"/>
              <w:left w:val="nil"/>
              <w:bottom w:val="single" w:sz="4" w:space="0" w:color="auto"/>
              <w:right w:val="single" w:sz="4" w:space="0" w:color="auto"/>
            </w:tcBorders>
            <w:shd w:val="clear" w:color="000000" w:fill="DAE9F8"/>
            <w:vAlign w:val="center"/>
            <w:hideMark/>
          </w:tcPr>
          <w:p w14:paraId="353B57C4"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-0.27</w:t>
            </w:r>
          </w:p>
        </w:tc>
        <w:tc>
          <w:tcPr>
            <w:tcW w:w="1220" w:type="dxa"/>
            <w:tcBorders>
              <w:top w:val="nil"/>
              <w:left w:val="nil"/>
              <w:bottom w:val="single" w:sz="4" w:space="0" w:color="auto"/>
              <w:right w:val="single" w:sz="4" w:space="0" w:color="auto"/>
            </w:tcBorders>
            <w:shd w:val="clear" w:color="000000" w:fill="DAE9F8"/>
            <w:vAlign w:val="center"/>
            <w:hideMark/>
          </w:tcPr>
          <w:p w14:paraId="40A2BD7D"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-0.28</w:t>
            </w:r>
          </w:p>
        </w:tc>
        <w:tc>
          <w:tcPr>
            <w:tcW w:w="1140" w:type="dxa"/>
            <w:tcBorders>
              <w:top w:val="nil"/>
              <w:left w:val="nil"/>
              <w:bottom w:val="single" w:sz="4" w:space="0" w:color="auto"/>
              <w:right w:val="single" w:sz="4" w:space="0" w:color="auto"/>
            </w:tcBorders>
            <w:shd w:val="clear" w:color="000000" w:fill="DAE9F8"/>
            <w:vAlign w:val="center"/>
            <w:hideMark/>
          </w:tcPr>
          <w:p w14:paraId="3E4C4298"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-0.3</w:t>
            </w:r>
          </w:p>
        </w:tc>
        <w:tc>
          <w:tcPr>
            <w:tcW w:w="1060" w:type="dxa"/>
            <w:tcBorders>
              <w:top w:val="nil"/>
              <w:left w:val="nil"/>
              <w:bottom w:val="single" w:sz="4" w:space="0" w:color="auto"/>
              <w:right w:val="single" w:sz="4" w:space="0" w:color="auto"/>
            </w:tcBorders>
            <w:shd w:val="clear" w:color="000000" w:fill="DAE9F8"/>
            <w:vAlign w:val="center"/>
            <w:hideMark/>
          </w:tcPr>
          <w:p w14:paraId="0EA3A76D"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-0.31</w:t>
            </w:r>
          </w:p>
        </w:tc>
      </w:tr>
      <w:tr w:rsidR="007916E7" w:rsidRPr="007916E7" w14:paraId="52347789" w14:textId="77777777" w:rsidTr="007916E7">
        <w:trPr>
          <w:trHeight w:val="290"/>
        </w:trPr>
        <w:tc>
          <w:tcPr>
            <w:tcW w:w="2160" w:type="dxa"/>
            <w:tcBorders>
              <w:top w:val="nil"/>
              <w:left w:val="single" w:sz="4" w:space="0" w:color="auto"/>
              <w:bottom w:val="single" w:sz="4" w:space="0" w:color="auto"/>
              <w:right w:val="single" w:sz="4" w:space="0" w:color="auto"/>
            </w:tcBorders>
            <w:shd w:val="clear" w:color="000000" w:fill="DAE9F8"/>
            <w:vAlign w:val="center"/>
            <w:hideMark/>
          </w:tcPr>
          <w:p w14:paraId="2C569E9D" w14:textId="77777777" w:rsidR="007916E7" w:rsidRPr="007916E7" w:rsidRDefault="007916E7" w:rsidP="00E262FC">
            <w:pPr>
              <w:spacing w:line="360" w:lineRule="auto"/>
              <w:rPr>
                <w:rFonts w:eastAsia="Times New Roman"/>
                <w:b/>
                <w:bCs/>
                <w:color w:val="404040"/>
                <w:sz w:val="24"/>
                <w:szCs w:val="24"/>
                <w:lang w:val="en-US" w:eastAsia="zh-TW"/>
              </w:rPr>
            </w:pPr>
            <w:r w:rsidRPr="007916E7">
              <w:rPr>
                <w:rFonts w:eastAsia="Times New Roman"/>
                <w:b/>
                <w:bCs/>
                <w:color w:val="404040"/>
                <w:sz w:val="24"/>
                <w:szCs w:val="24"/>
                <w:lang w:val="en-US" w:eastAsia="zh-TW"/>
              </w:rPr>
              <w:t>Expenditures*2</w:t>
            </w:r>
          </w:p>
        </w:tc>
        <w:tc>
          <w:tcPr>
            <w:tcW w:w="920" w:type="dxa"/>
            <w:tcBorders>
              <w:top w:val="nil"/>
              <w:left w:val="nil"/>
              <w:bottom w:val="single" w:sz="4" w:space="0" w:color="auto"/>
              <w:right w:val="single" w:sz="4" w:space="0" w:color="auto"/>
            </w:tcBorders>
            <w:shd w:val="clear" w:color="000000" w:fill="DAE9F8"/>
            <w:vAlign w:val="center"/>
            <w:hideMark/>
          </w:tcPr>
          <w:p w14:paraId="120FAC5A"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 </w:t>
            </w:r>
          </w:p>
        </w:tc>
        <w:tc>
          <w:tcPr>
            <w:tcW w:w="1380" w:type="dxa"/>
            <w:tcBorders>
              <w:top w:val="nil"/>
              <w:left w:val="nil"/>
              <w:bottom w:val="single" w:sz="4" w:space="0" w:color="auto"/>
              <w:right w:val="single" w:sz="4" w:space="0" w:color="auto"/>
            </w:tcBorders>
            <w:shd w:val="clear" w:color="000000" w:fill="DAE9F8"/>
            <w:vAlign w:val="center"/>
            <w:hideMark/>
          </w:tcPr>
          <w:p w14:paraId="7E53BED3"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-1.02</w:t>
            </w:r>
          </w:p>
        </w:tc>
        <w:tc>
          <w:tcPr>
            <w:tcW w:w="1640" w:type="dxa"/>
            <w:tcBorders>
              <w:top w:val="nil"/>
              <w:left w:val="nil"/>
              <w:bottom w:val="single" w:sz="4" w:space="0" w:color="auto"/>
              <w:right w:val="single" w:sz="4" w:space="0" w:color="auto"/>
            </w:tcBorders>
            <w:shd w:val="clear" w:color="000000" w:fill="DAE9F8"/>
            <w:vAlign w:val="center"/>
            <w:hideMark/>
          </w:tcPr>
          <w:p w14:paraId="6DCCA574"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-1.02</w:t>
            </w:r>
          </w:p>
        </w:tc>
        <w:tc>
          <w:tcPr>
            <w:tcW w:w="1220" w:type="dxa"/>
            <w:tcBorders>
              <w:top w:val="nil"/>
              <w:left w:val="nil"/>
              <w:bottom w:val="single" w:sz="4" w:space="0" w:color="auto"/>
              <w:right w:val="single" w:sz="4" w:space="0" w:color="auto"/>
            </w:tcBorders>
            <w:shd w:val="clear" w:color="000000" w:fill="DAE9F8"/>
            <w:vAlign w:val="center"/>
            <w:hideMark/>
          </w:tcPr>
          <w:p w14:paraId="5EF43645"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-1.02</w:t>
            </w:r>
          </w:p>
        </w:tc>
        <w:tc>
          <w:tcPr>
            <w:tcW w:w="1140" w:type="dxa"/>
            <w:tcBorders>
              <w:top w:val="nil"/>
              <w:left w:val="nil"/>
              <w:bottom w:val="single" w:sz="4" w:space="0" w:color="auto"/>
              <w:right w:val="single" w:sz="4" w:space="0" w:color="auto"/>
            </w:tcBorders>
            <w:shd w:val="clear" w:color="000000" w:fill="DAE9F8"/>
            <w:vAlign w:val="center"/>
            <w:hideMark/>
          </w:tcPr>
          <w:p w14:paraId="59D2DAE5"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-1.02</w:t>
            </w:r>
          </w:p>
        </w:tc>
        <w:tc>
          <w:tcPr>
            <w:tcW w:w="1060" w:type="dxa"/>
            <w:tcBorders>
              <w:top w:val="nil"/>
              <w:left w:val="nil"/>
              <w:bottom w:val="single" w:sz="4" w:space="0" w:color="auto"/>
              <w:right w:val="single" w:sz="4" w:space="0" w:color="auto"/>
            </w:tcBorders>
            <w:shd w:val="clear" w:color="000000" w:fill="DAE9F8"/>
            <w:vAlign w:val="center"/>
            <w:hideMark/>
          </w:tcPr>
          <w:p w14:paraId="09245744"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-1.02</w:t>
            </w:r>
          </w:p>
        </w:tc>
      </w:tr>
      <w:tr w:rsidR="007916E7" w:rsidRPr="007916E7" w14:paraId="0D99AFB8" w14:textId="77777777" w:rsidTr="007916E7">
        <w:trPr>
          <w:trHeight w:val="290"/>
        </w:trPr>
        <w:tc>
          <w:tcPr>
            <w:tcW w:w="2160" w:type="dxa"/>
            <w:tcBorders>
              <w:top w:val="nil"/>
              <w:left w:val="single" w:sz="4" w:space="0" w:color="auto"/>
              <w:bottom w:val="single" w:sz="4" w:space="0" w:color="auto"/>
              <w:right w:val="single" w:sz="4" w:space="0" w:color="auto"/>
            </w:tcBorders>
            <w:shd w:val="clear" w:color="000000" w:fill="DAE9F8"/>
            <w:vAlign w:val="center"/>
            <w:hideMark/>
          </w:tcPr>
          <w:p w14:paraId="41DAA693" w14:textId="77777777" w:rsidR="007916E7" w:rsidRPr="007916E7" w:rsidRDefault="007916E7" w:rsidP="00E262FC">
            <w:pPr>
              <w:spacing w:line="360" w:lineRule="auto"/>
              <w:rPr>
                <w:rFonts w:eastAsia="Times New Roman"/>
                <w:b/>
                <w:bCs/>
                <w:color w:val="404040"/>
                <w:sz w:val="24"/>
                <w:szCs w:val="24"/>
                <w:lang w:val="en-US" w:eastAsia="zh-TW"/>
              </w:rPr>
            </w:pPr>
            <w:r w:rsidRPr="007916E7">
              <w:rPr>
                <w:rFonts w:eastAsia="Times New Roman"/>
                <w:b/>
                <w:bCs/>
                <w:color w:val="404040"/>
                <w:sz w:val="24"/>
                <w:szCs w:val="24"/>
                <w:lang w:val="en-US" w:eastAsia="zh-TW"/>
              </w:rPr>
              <w:t>Tax expense</w:t>
            </w:r>
          </w:p>
        </w:tc>
        <w:tc>
          <w:tcPr>
            <w:tcW w:w="920" w:type="dxa"/>
            <w:tcBorders>
              <w:top w:val="nil"/>
              <w:left w:val="nil"/>
              <w:bottom w:val="single" w:sz="4" w:space="0" w:color="auto"/>
              <w:right w:val="single" w:sz="4" w:space="0" w:color="auto"/>
            </w:tcBorders>
            <w:shd w:val="clear" w:color="000000" w:fill="DAE9F8"/>
            <w:vAlign w:val="center"/>
            <w:hideMark/>
          </w:tcPr>
          <w:p w14:paraId="7C352D24"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 </w:t>
            </w:r>
          </w:p>
        </w:tc>
        <w:tc>
          <w:tcPr>
            <w:tcW w:w="1380" w:type="dxa"/>
            <w:tcBorders>
              <w:top w:val="nil"/>
              <w:left w:val="nil"/>
              <w:bottom w:val="single" w:sz="4" w:space="0" w:color="auto"/>
              <w:right w:val="single" w:sz="4" w:space="0" w:color="auto"/>
            </w:tcBorders>
            <w:shd w:val="clear" w:color="000000" w:fill="DAE9F8"/>
            <w:vAlign w:val="center"/>
            <w:hideMark/>
          </w:tcPr>
          <w:p w14:paraId="1F11B2D2"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-0.42</w:t>
            </w:r>
          </w:p>
        </w:tc>
        <w:tc>
          <w:tcPr>
            <w:tcW w:w="1640" w:type="dxa"/>
            <w:tcBorders>
              <w:top w:val="nil"/>
              <w:left w:val="nil"/>
              <w:bottom w:val="single" w:sz="4" w:space="0" w:color="auto"/>
              <w:right w:val="single" w:sz="4" w:space="0" w:color="auto"/>
            </w:tcBorders>
            <w:shd w:val="clear" w:color="000000" w:fill="DAE9F8"/>
            <w:vAlign w:val="center"/>
            <w:hideMark/>
          </w:tcPr>
          <w:p w14:paraId="0505D5C5"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-0.44</w:t>
            </w:r>
          </w:p>
        </w:tc>
        <w:tc>
          <w:tcPr>
            <w:tcW w:w="1220" w:type="dxa"/>
            <w:tcBorders>
              <w:top w:val="nil"/>
              <w:left w:val="nil"/>
              <w:bottom w:val="single" w:sz="4" w:space="0" w:color="auto"/>
              <w:right w:val="single" w:sz="4" w:space="0" w:color="auto"/>
            </w:tcBorders>
            <w:shd w:val="clear" w:color="000000" w:fill="DAE9F8"/>
            <w:vAlign w:val="center"/>
            <w:hideMark/>
          </w:tcPr>
          <w:p w14:paraId="4BE691E0"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-0.46</w:t>
            </w:r>
          </w:p>
        </w:tc>
        <w:tc>
          <w:tcPr>
            <w:tcW w:w="1140" w:type="dxa"/>
            <w:tcBorders>
              <w:top w:val="nil"/>
              <w:left w:val="nil"/>
              <w:bottom w:val="single" w:sz="4" w:space="0" w:color="auto"/>
              <w:right w:val="single" w:sz="4" w:space="0" w:color="auto"/>
            </w:tcBorders>
            <w:shd w:val="clear" w:color="000000" w:fill="DAE9F8"/>
            <w:vAlign w:val="center"/>
            <w:hideMark/>
          </w:tcPr>
          <w:p w14:paraId="677717C3"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-0.48</w:t>
            </w:r>
          </w:p>
        </w:tc>
        <w:tc>
          <w:tcPr>
            <w:tcW w:w="1060" w:type="dxa"/>
            <w:tcBorders>
              <w:top w:val="nil"/>
              <w:left w:val="nil"/>
              <w:bottom w:val="single" w:sz="4" w:space="0" w:color="auto"/>
              <w:right w:val="single" w:sz="4" w:space="0" w:color="auto"/>
            </w:tcBorders>
            <w:shd w:val="clear" w:color="000000" w:fill="DAE9F8"/>
            <w:vAlign w:val="center"/>
            <w:hideMark/>
          </w:tcPr>
          <w:p w14:paraId="5ED7886D"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-0.5</w:t>
            </w:r>
          </w:p>
        </w:tc>
      </w:tr>
      <w:tr w:rsidR="007916E7" w:rsidRPr="007916E7" w14:paraId="1EEC585C" w14:textId="77777777" w:rsidTr="007916E7">
        <w:trPr>
          <w:trHeight w:val="290"/>
        </w:trPr>
        <w:tc>
          <w:tcPr>
            <w:tcW w:w="2160" w:type="dxa"/>
            <w:tcBorders>
              <w:top w:val="nil"/>
              <w:left w:val="single" w:sz="4" w:space="0" w:color="auto"/>
              <w:bottom w:val="single" w:sz="4" w:space="0" w:color="auto"/>
              <w:right w:val="single" w:sz="4" w:space="0" w:color="auto"/>
            </w:tcBorders>
            <w:shd w:val="clear" w:color="000000" w:fill="DAE9F8"/>
            <w:vAlign w:val="center"/>
            <w:hideMark/>
          </w:tcPr>
          <w:p w14:paraId="5BF6CB75" w14:textId="77777777" w:rsidR="007916E7" w:rsidRPr="007916E7" w:rsidRDefault="007916E7" w:rsidP="00E262FC">
            <w:pPr>
              <w:spacing w:line="360" w:lineRule="auto"/>
              <w:rPr>
                <w:rFonts w:eastAsia="Times New Roman"/>
                <w:b/>
                <w:bCs/>
                <w:color w:val="404040"/>
                <w:sz w:val="24"/>
                <w:szCs w:val="24"/>
                <w:lang w:val="en-US" w:eastAsia="zh-TW"/>
              </w:rPr>
            </w:pPr>
            <w:r w:rsidRPr="007916E7">
              <w:rPr>
                <w:rFonts w:eastAsia="Times New Roman"/>
                <w:b/>
                <w:bCs/>
                <w:color w:val="404040"/>
                <w:sz w:val="24"/>
                <w:szCs w:val="24"/>
                <w:lang w:val="en-US" w:eastAsia="zh-TW"/>
              </w:rPr>
              <w:t>Cashflow</w:t>
            </w:r>
          </w:p>
        </w:tc>
        <w:tc>
          <w:tcPr>
            <w:tcW w:w="920" w:type="dxa"/>
            <w:tcBorders>
              <w:top w:val="nil"/>
              <w:left w:val="nil"/>
              <w:bottom w:val="single" w:sz="4" w:space="0" w:color="auto"/>
              <w:right w:val="single" w:sz="4" w:space="0" w:color="auto"/>
            </w:tcBorders>
            <w:shd w:val="clear" w:color="000000" w:fill="DAE9F8"/>
            <w:vAlign w:val="center"/>
            <w:hideMark/>
          </w:tcPr>
          <w:p w14:paraId="25E82863"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-5.08</w:t>
            </w:r>
          </w:p>
        </w:tc>
        <w:tc>
          <w:tcPr>
            <w:tcW w:w="1380" w:type="dxa"/>
            <w:tcBorders>
              <w:top w:val="nil"/>
              <w:left w:val="nil"/>
              <w:bottom w:val="single" w:sz="4" w:space="0" w:color="auto"/>
              <w:right w:val="single" w:sz="4" w:space="0" w:color="auto"/>
            </w:tcBorders>
            <w:shd w:val="clear" w:color="000000" w:fill="DAE9F8"/>
            <w:vAlign w:val="center"/>
            <w:hideMark/>
          </w:tcPr>
          <w:p w14:paraId="5662327C"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0.83</w:t>
            </w:r>
          </w:p>
        </w:tc>
        <w:tc>
          <w:tcPr>
            <w:tcW w:w="1640" w:type="dxa"/>
            <w:tcBorders>
              <w:top w:val="nil"/>
              <w:left w:val="nil"/>
              <w:bottom w:val="single" w:sz="4" w:space="0" w:color="auto"/>
              <w:right w:val="single" w:sz="4" w:space="0" w:color="auto"/>
            </w:tcBorders>
            <w:shd w:val="clear" w:color="000000" w:fill="DAE9F8"/>
            <w:vAlign w:val="center"/>
            <w:hideMark/>
          </w:tcPr>
          <w:p w14:paraId="103794B1"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0.92</w:t>
            </w:r>
          </w:p>
        </w:tc>
        <w:tc>
          <w:tcPr>
            <w:tcW w:w="1220" w:type="dxa"/>
            <w:tcBorders>
              <w:top w:val="nil"/>
              <w:left w:val="nil"/>
              <w:bottom w:val="single" w:sz="4" w:space="0" w:color="auto"/>
              <w:right w:val="single" w:sz="4" w:space="0" w:color="auto"/>
            </w:tcBorders>
            <w:shd w:val="clear" w:color="000000" w:fill="DAE9F8"/>
            <w:vAlign w:val="center"/>
            <w:hideMark/>
          </w:tcPr>
          <w:p w14:paraId="3F501561"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1.02</w:t>
            </w:r>
          </w:p>
        </w:tc>
        <w:tc>
          <w:tcPr>
            <w:tcW w:w="1140" w:type="dxa"/>
            <w:tcBorders>
              <w:top w:val="nil"/>
              <w:left w:val="nil"/>
              <w:bottom w:val="single" w:sz="4" w:space="0" w:color="auto"/>
              <w:right w:val="single" w:sz="4" w:space="0" w:color="auto"/>
            </w:tcBorders>
            <w:shd w:val="clear" w:color="000000" w:fill="DAE9F8"/>
            <w:vAlign w:val="center"/>
            <w:hideMark/>
          </w:tcPr>
          <w:p w14:paraId="7E510439"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1.12</w:t>
            </w:r>
          </w:p>
        </w:tc>
        <w:tc>
          <w:tcPr>
            <w:tcW w:w="1060" w:type="dxa"/>
            <w:tcBorders>
              <w:top w:val="nil"/>
              <w:left w:val="nil"/>
              <w:bottom w:val="single" w:sz="4" w:space="0" w:color="auto"/>
              <w:right w:val="single" w:sz="4" w:space="0" w:color="auto"/>
            </w:tcBorders>
            <w:shd w:val="clear" w:color="000000" w:fill="DAE9F8"/>
            <w:vAlign w:val="center"/>
            <w:hideMark/>
          </w:tcPr>
          <w:p w14:paraId="051C04AF" w14:textId="77777777" w:rsidR="007916E7" w:rsidRPr="007916E7" w:rsidRDefault="007916E7" w:rsidP="00E262FC">
            <w:pPr>
              <w:spacing w:line="360" w:lineRule="auto"/>
              <w:rPr>
                <w:rFonts w:eastAsia="Times New Roman"/>
                <w:color w:val="404040"/>
                <w:sz w:val="24"/>
                <w:szCs w:val="24"/>
                <w:lang w:val="en-US" w:eastAsia="zh-TW"/>
              </w:rPr>
            </w:pPr>
            <w:r w:rsidRPr="007916E7">
              <w:rPr>
                <w:rFonts w:eastAsia="Times New Roman"/>
                <w:color w:val="404040"/>
                <w:sz w:val="24"/>
                <w:szCs w:val="24"/>
                <w:lang w:val="en-US" w:eastAsia="zh-TW"/>
              </w:rPr>
              <w:t>1.23</w:t>
            </w:r>
          </w:p>
        </w:tc>
      </w:tr>
    </w:tbl>
    <w:p w14:paraId="05A02A62" w14:textId="77777777" w:rsidR="005B232C" w:rsidRPr="00937F54" w:rsidRDefault="005B232C" w:rsidP="00E262FC">
      <w:pPr>
        <w:spacing w:line="360" w:lineRule="auto"/>
        <w:rPr>
          <w:iCs/>
          <w:sz w:val="24"/>
          <w:szCs w:val="24"/>
        </w:rPr>
      </w:pPr>
    </w:p>
    <w:p w14:paraId="67C055BF" w14:textId="2A1F161D" w:rsidR="00E5667D" w:rsidRDefault="005B232C" w:rsidP="00E262FC">
      <w:pPr>
        <w:spacing w:line="360" w:lineRule="auto"/>
        <w:rPr>
          <w:iCs/>
          <w:sz w:val="24"/>
          <w:szCs w:val="24"/>
        </w:rPr>
      </w:pPr>
      <w:r w:rsidRPr="00937F54">
        <w:rPr>
          <w:iCs/>
          <w:sz w:val="24"/>
          <w:szCs w:val="24"/>
        </w:rPr>
        <w:lastRenderedPageBreak/>
        <w:t>NPV formula:</w:t>
      </w:r>
      <w:r w:rsidRPr="00937F54">
        <w:rPr>
          <w:iCs/>
          <w:sz w:val="24"/>
          <w:szCs w:val="24"/>
        </w:rPr>
        <w:br/>
        <w:t>NPV = Σ[CFₜ/(1+</w:t>
      </w:r>
      <w:proofErr w:type="gramStart"/>
      <w:r w:rsidRPr="00937F54">
        <w:rPr>
          <w:iCs/>
          <w:sz w:val="24"/>
          <w:szCs w:val="24"/>
        </w:rPr>
        <w:t>r)ᵗ</w:t>
      </w:r>
      <w:proofErr w:type="gramEnd"/>
      <w:r w:rsidRPr="00937F54">
        <w:rPr>
          <w:iCs/>
          <w:sz w:val="24"/>
          <w:szCs w:val="24"/>
        </w:rPr>
        <w:t>] - Initial cost (r=10.5% discount rate)</w:t>
      </w:r>
      <w:r w:rsidRPr="00937F54">
        <w:rPr>
          <w:iCs/>
          <w:sz w:val="24"/>
          <w:szCs w:val="24"/>
        </w:rPr>
        <w:br/>
        <w:t>NPV (5 years + terminal): HK$3.64 million</w:t>
      </w:r>
      <w:r w:rsidRPr="00937F54">
        <w:rPr>
          <w:iCs/>
          <w:sz w:val="24"/>
          <w:szCs w:val="24"/>
        </w:rPr>
        <w:br/>
        <w:t>IRR = 16%</w:t>
      </w:r>
    </w:p>
    <w:p w14:paraId="490C7E9B" w14:textId="77777777" w:rsidR="00052228" w:rsidRPr="00937F54" w:rsidRDefault="00052228" w:rsidP="00E262FC">
      <w:pPr>
        <w:spacing w:line="360" w:lineRule="auto"/>
        <w:rPr>
          <w:iCs/>
          <w:sz w:val="24"/>
          <w:szCs w:val="24"/>
        </w:rPr>
      </w:pPr>
    </w:p>
    <w:tbl>
      <w:tblPr>
        <w:tblW w:w="4460" w:type="dxa"/>
        <w:tblLook w:val="04A0" w:firstRow="1" w:lastRow="0" w:firstColumn="1" w:lastColumn="0" w:noHBand="0" w:noVBand="1"/>
      </w:tblPr>
      <w:tblGrid>
        <w:gridCol w:w="2160"/>
        <w:gridCol w:w="920"/>
        <w:gridCol w:w="1380"/>
      </w:tblGrid>
      <w:tr w:rsidR="002C1C6A" w:rsidRPr="002C1C6A" w14:paraId="0B3818ED" w14:textId="77777777" w:rsidTr="002C1C6A">
        <w:trPr>
          <w:trHeight w:val="290"/>
        </w:trPr>
        <w:tc>
          <w:tcPr>
            <w:tcW w:w="2160" w:type="dxa"/>
            <w:tcBorders>
              <w:top w:val="single" w:sz="4" w:space="0" w:color="auto"/>
              <w:left w:val="single" w:sz="4" w:space="0" w:color="auto"/>
              <w:bottom w:val="single" w:sz="4" w:space="0" w:color="auto"/>
              <w:right w:val="single" w:sz="4" w:space="0" w:color="auto"/>
            </w:tcBorders>
            <w:shd w:val="clear" w:color="000000" w:fill="DAE9F8"/>
            <w:vAlign w:val="center"/>
            <w:hideMark/>
          </w:tcPr>
          <w:p w14:paraId="395F6D95" w14:textId="77777777" w:rsidR="002C1C6A" w:rsidRPr="002C1C6A" w:rsidRDefault="002C1C6A" w:rsidP="00E262FC">
            <w:pPr>
              <w:spacing w:line="360" w:lineRule="auto"/>
              <w:rPr>
                <w:rFonts w:eastAsia="Times New Roman"/>
                <w:b/>
                <w:bCs/>
                <w:color w:val="404040"/>
                <w:sz w:val="24"/>
                <w:szCs w:val="24"/>
                <w:lang w:val="en-US" w:eastAsia="zh-TW"/>
              </w:rPr>
            </w:pPr>
            <w:r w:rsidRPr="002C1C6A">
              <w:rPr>
                <w:rFonts w:eastAsia="Times New Roman"/>
                <w:b/>
                <w:bCs/>
                <w:color w:val="404040"/>
                <w:sz w:val="24"/>
                <w:szCs w:val="24"/>
                <w:lang w:val="en-US" w:eastAsia="zh-TW"/>
              </w:rPr>
              <w:t>Year</w:t>
            </w:r>
          </w:p>
        </w:tc>
        <w:tc>
          <w:tcPr>
            <w:tcW w:w="920" w:type="dxa"/>
            <w:tcBorders>
              <w:top w:val="single" w:sz="4" w:space="0" w:color="auto"/>
              <w:left w:val="nil"/>
              <w:bottom w:val="single" w:sz="4" w:space="0" w:color="auto"/>
              <w:right w:val="single" w:sz="4" w:space="0" w:color="auto"/>
            </w:tcBorders>
            <w:shd w:val="clear" w:color="000000" w:fill="DAE9F8"/>
            <w:vAlign w:val="center"/>
            <w:hideMark/>
          </w:tcPr>
          <w:p w14:paraId="1CFBCB8B" w14:textId="77777777" w:rsidR="002C1C6A" w:rsidRPr="002C1C6A" w:rsidRDefault="002C1C6A" w:rsidP="00E262FC">
            <w:pPr>
              <w:spacing w:line="360" w:lineRule="auto"/>
              <w:rPr>
                <w:rFonts w:eastAsia="Times New Roman"/>
                <w:b/>
                <w:bCs/>
                <w:color w:val="404040"/>
                <w:sz w:val="24"/>
                <w:szCs w:val="24"/>
                <w:lang w:val="en-US" w:eastAsia="zh-TW"/>
              </w:rPr>
            </w:pPr>
            <w:r w:rsidRPr="002C1C6A">
              <w:rPr>
                <w:rFonts w:eastAsia="Times New Roman"/>
                <w:b/>
                <w:bCs/>
                <w:color w:val="404040"/>
                <w:sz w:val="24"/>
                <w:szCs w:val="24"/>
                <w:lang w:val="en-US" w:eastAsia="zh-TW"/>
              </w:rPr>
              <w:t>Cash Flow</w:t>
            </w:r>
          </w:p>
        </w:tc>
        <w:tc>
          <w:tcPr>
            <w:tcW w:w="1380" w:type="dxa"/>
            <w:tcBorders>
              <w:top w:val="single" w:sz="4" w:space="0" w:color="auto"/>
              <w:left w:val="nil"/>
              <w:bottom w:val="single" w:sz="4" w:space="0" w:color="auto"/>
              <w:right w:val="single" w:sz="4" w:space="0" w:color="auto"/>
            </w:tcBorders>
            <w:shd w:val="clear" w:color="000000" w:fill="DAE9F8"/>
            <w:vAlign w:val="center"/>
            <w:hideMark/>
          </w:tcPr>
          <w:p w14:paraId="02BC41E1" w14:textId="77777777" w:rsidR="002C1C6A" w:rsidRPr="002C1C6A" w:rsidRDefault="002C1C6A" w:rsidP="00E262FC">
            <w:pPr>
              <w:spacing w:line="360" w:lineRule="auto"/>
              <w:rPr>
                <w:rFonts w:eastAsia="Times New Roman"/>
                <w:b/>
                <w:bCs/>
                <w:color w:val="404040"/>
                <w:sz w:val="24"/>
                <w:szCs w:val="24"/>
                <w:lang w:val="en-US" w:eastAsia="zh-TW"/>
              </w:rPr>
            </w:pPr>
            <w:r w:rsidRPr="002C1C6A">
              <w:rPr>
                <w:rFonts w:eastAsia="Times New Roman"/>
                <w:b/>
                <w:bCs/>
                <w:color w:val="404040"/>
                <w:sz w:val="24"/>
                <w:szCs w:val="24"/>
                <w:lang w:val="en-US" w:eastAsia="zh-TW"/>
              </w:rPr>
              <w:t>PV (10.5%)</w:t>
            </w:r>
          </w:p>
        </w:tc>
      </w:tr>
      <w:tr w:rsidR="002C1C6A" w:rsidRPr="002C1C6A" w14:paraId="15850619" w14:textId="77777777" w:rsidTr="002C1C6A">
        <w:trPr>
          <w:trHeight w:val="290"/>
        </w:trPr>
        <w:tc>
          <w:tcPr>
            <w:tcW w:w="2160" w:type="dxa"/>
            <w:tcBorders>
              <w:top w:val="nil"/>
              <w:left w:val="single" w:sz="4" w:space="0" w:color="auto"/>
              <w:bottom w:val="single" w:sz="4" w:space="0" w:color="auto"/>
              <w:right w:val="single" w:sz="4" w:space="0" w:color="auto"/>
            </w:tcBorders>
            <w:shd w:val="clear" w:color="000000" w:fill="DAE9F8"/>
            <w:vAlign w:val="center"/>
            <w:hideMark/>
          </w:tcPr>
          <w:p w14:paraId="0220FAD2" w14:textId="77777777" w:rsidR="002C1C6A" w:rsidRPr="002C1C6A" w:rsidRDefault="002C1C6A" w:rsidP="00E262FC">
            <w:pPr>
              <w:spacing w:line="360" w:lineRule="auto"/>
              <w:rPr>
                <w:rFonts w:eastAsia="Times New Roman"/>
                <w:b/>
                <w:bCs/>
                <w:color w:val="404040"/>
                <w:sz w:val="24"/>
                <w:szCs w:val="24"/>
                <w:lang w:val="en-US" w:eastAsia="zh-TW"/>
              </w:rPr>
            </w:pPr>
            <w:r w:rsidRPr="002C1C6A">
              <w:rPr>
                <w:rFonts w:eastAsia="Times New Roman"/>
                <w:b/>
                <w:bCs/>
                <w:color w:val="404040"/>
                <w:sz w:val="24"/>
                <w:szCs w:val="24"/>
                <w:lang w:val="en-US" w:eastAsia="zh-TW"/>
              </w:rPr>
              <w:t>Initial</w:t>
            </w:r>
          </w:p>
        </w:tc>
        <w:tc>
          <w:tcPr>
            <w:tcW w:w="920" w:type="dxa"/>
            <w:tcBorders>
              <w:top w:val="nil"/>
              <w:left w:val="nil"/>
              <w:bottom w:val="single" w:sz="4" w:space="0" w:color="auto"/>
              <w:right w:val="single" w:sz="4" w:space="0" w:color="auto"/>
            </w:tcBorders>
            <w:shd w:val="clear" w:color="000000" w:fill="DAE9F8"/>
            <w:vAlign w:val="center"/>
            <w:hideMark/>
          </w:tcPr>
          <w:p w14:paraId="4642EFAB" w14:textId="77777777" w:rsidR="002C1C6A" w:rsidRPr="002C1C6A" w:rsidRDefault="002C1C6A" w:rsidP="00E262FC">
            <w:pPr>
              <w:spacing w:line="360" w:lineRule="auto"/>
              <w:rPr>
                <w:rFonts w:eastAsia="Times New Roman"/>
                <w:color w:val="404040"/>
                <w:sz w:val="24"/>
                <w:szCs w:val="24"/>
                <w:lang w:val="en-US" w:eastAsia="zh-TW"/>
              </w:rPr>
            </w:pPr>
            <w:r w:rsidRPr="002C1C6A">
              <w:rPr>
                <w:rFonts w:eastAsia="Times New Roman"/>
                <w:color w:val="404040"/>
                <w:sz w:val="24"/>
                <w:szCs w:val="24"/>
                <w:lang w:val="en-US" w:eastAsia="zh-TW"/>
              </w:rPr>
              <w:t>-5.08</w:t>
            </w:r>
          </w:p>
        </w:tc>
        <w:tc>
          <w:tcPr>
            <w:tcW w:w="1380" w:type="dxa"/>
            <w:tcBorders>
              <w:top w:val="nil"/>
              <w:left w:val="nil"/>
              <w:bottom w:val="single" w:sz="4" w:space="0" w:color="auto"/>
              <w:right w:val="single" w:sz="4" w:space="0" w:color="auto"/>
            </w:tcBorders>
            <w:shd w:val="clear" w:color="000000" w:fill="DAE9F8"/>
            <w:vAlign w:val="center"/>
            <w:hideMark/>
          </w:tcPr>
          <w:p w14:paraId="10F15636" w14:textId="77777777" w:rsidR="002C1C6A" w:rsidRPr="002C1C6A" w:rsidRDefault="002C1C6A" w:rsidP="00E262FC">
            <w:pPr>
              <w:spacing w:line="360" w:lineRule="auto"/>
              <w:rPr>
                <w:rFonts w:eastAsia="Times New Roman"/>
                <w:color w:val="404040"/>
                <w:sz w:val="24"/>
                <w:szCs w:val="24"/>
                <w:lang w:val="en-US" w:eastAsia="zh-TW"/>
              </w:rPr>
            </w:pPr>
            <w:r w:rsidRPr="002C1C6A">
              <w:rPr>
                <w:rFonts w:eastAsia="Times New Roman"/>
                <w:color w:val="404040"/>
                <w:sz w:val="24"/>
                <w:szCs w:val="24"/>
                <w:lang w:val="en-US" w:eastAsia="zh-TW"/>
              </w:rPr>
              <w:t>-5.08</w:t>
            </w:r>
          </w:p>
        </w:tc>
      </w:tr>
      <w:tr w:rsidR="002C1C6A" w:rsidRPr="002C1C6A" w14:paraId="1E77BC89" w14:textId="77777777" w:rsidTr="002C1C6A">
        <w:trPr>
          <w:trHeight w:val="290"/>
        </w:trPr>
        <w:tc>
          <w:tcPr>
            <w:tcW w:w="2160" w:type="dxa"/>
            <w:tcBorders>
              <w:top w:val="nil"/>
              <w:left w:val="single" w:sz="4" w:space="0" w:color="auto"/>
              <w:bottom w:val="single" w:sz="4" w:space="0" w:color="auto"/>
              <w:right w:val="single" w:sz="4" w:space="0" w:color="auto"/>
            </w:tcBorders>
            <w:shd w:val="clear" w:color="000000" w:fill="DAE9F8"/>
            <w:vAlign w:val="center"/>
            <w:hideMark/>
          </w:tcPr>
          <w:p w14:paraId="2B47B491" w14:textId="77777777" w:rsidR="002C1C6A" w:rsidRPr="002C1C6A" w:rsidRDefault="002C1C6A" w:rsidP="00E262FC">
            <w:pPr>
              <w:spacing w:line="360" w:lineRule="auto"/>
              <w:rPr>
                <w:rFonts w:eastAsia="Times New Roman"/>
                <w:b/>
                <w:bCs/>
                <w:color w:val="404040"/>
                <w:sz w:val="24"/>
                <w:szCs w:val="24"/>
                <w:lang w:val="en-US" w:eastAsia="zh-TW"/>
              </w:rPr>
            </w:pPr>
            <w:r w:rsidRPr="002C1C6A">
              <w:rPr>
                <w:rFonts w:eastAsia="Times New Roman"/>
                <w:b/>
                <w:bCs/>
                <w:color w:val="404040"/>
                <w:sz w:val="24"/>
                <w:szCs w:val="24"/>
                <w:lang w:val="en-US" w:eastAsia="zh-TW"/>
              </w:rPr>
              <w:t>1</w:t>
            </w:r>
          </w:p>
        </w:tc>
        <w:tc>
          <w:tcPr>
            <w:tcW w:w="920" w:type="dxa"/>
            <w:tcBorders>
              <w:top w:val="nil"/>
              <w:left w:val="nil"/>
              <w:bottom w:val="single" w:sz="4" w:space="0" w:color="auto"/>
              <w:right w:val="single" w:sz="4" w:space="0" w:color="auto"/>
            </w:tcBorders>
            <w:shd w:val="clear" w:color="000000" w:fill="DAE9F8"/>
            <w:vAlign w:val="center"/>
            <w:hideMark/>
          </w:tcPr>
          <w:p w14:paraId="78E6DD17" w14:textId="77777777" w:rsidR="002C1C6A" w:rsidRPr="002C1C6A" w:rsidRDefault="002C1C6A" w:rsidP="00E262FC">
            <w:pPr>
              <w:spacing w:line="360" w:lineRule="auto"/>
              <w:rPr>
                <w:rFonts w:eastAsia="Times New Roman"/>
                <w:color w:val="404040"/>
                <w:sz w:val="24"/>
                <w:szCs w:val="24"/>
                <w:lang w:val="en-US" w:eastAsia="zh-TW"/>
              </w:rPr>
            </w:pPr>
            <w:r w:rsidRPr="002C1C6A">
              <w:rPr>
                <w:rFonts w:eastAsia="Times New Roman"/>
                <w:color w:val="404040"/>
                <w:sz w:val="24"/>
                <w:szCs w:val="24"/>
                <w:lang w:val="en-US" w:eastAsia="zh-TW"/>
              </w:rPr>
              <w:t>0.83</w:t>
            </w:r>
          </w:p>
        </w:tc>
        <w:tc>
          <w:tcPr>
            <w:tcW w:w="1380" w:type="dxa"/>
            <w:tcBorders>
              <w:top w:val="nil"/>
              <w:left w:val="nil"/>
              <w:bottom w:val="single" w:sz="4" w:space="0" w:color="auto"/>
              <w:right w:val="single" w:sz="4" w:space="0" w:color="auto"/>
            </w:tcBorders>
            <w:shd w:val="clear" w:color="000000" w:fill="DAE9F8"/>
            <w:vAlign w:val="center"/>
            <w:hideMark/>
          </w:tcPr>
          <w:p w14:paraId="4BBCA0F5" w14:textId="77777777" w:rsidR="002C1C6A" w:rsidRPr="002C1C6A" w:rsidRDefault="002C1C6A" w:rsidP="00E262FC">
            <w:pPr>
              <w:spacing w:line="360" w:lineRule="auto"/>
              <w:rPr>
                <w:rFonts w:eastAsia="Times New Roman"/>
                <w:color w:val="404040"/>
                <w:sz w:val="24"/>
                <w:szCs w:val="24"/>
                <w:lang w:val="en-US" w:eastAsia="zh-TW"/>
              </w:rPr>
            </w:pPr>
            <w:r w:rsidRPr="002C1C6A">
              <w:rPr>
                <w:rFonts w:eastAsia="Times New Roman"/>
                <w:color w:val="404040"/>
                <w:sz w:val="24"/>
                <w:szCs w:val="24"/>
                <w:lang w:val="en-US" w:eastAsia="zh-TW"/>
              </w:rPr>
              <w:t>0.75</w:t>
            </w:r>
          </w:p>
        </w:tc>
      </w:tr>
      <w:tr w:rsidR="002C1C6A" w:rsidRPr="002C1C6A" w14:paraId="7938B48C" w14:textId="77777777" w:rsidTr="002C1C6A">
        <w:trPr>
          <w:trHeight w:val="290"/>
        </w:trPr>
        <w:tc>
          <w:tcPr>
            <w:tcW w:w="2160" w:type="dxa"/>
            <w:tcBorders>
              <w:top w:val="nil"/>
              <w:left w:val="single" w:sz="4" w:space="0" w:color="auto"/>
              <w:bottom w:val="single" w:sz="4" w:space="0" w:color="auto"/>
              <w:right w:val="single" w:sz="4" w:space="0" w:color="auto"/>
            </w:tcBorders>
            <w:shd w:val="clear" w:color="000000" w:fill="DAE9F8"/>
            <w:vAlign w:val="center"/>
            <w:hideMark/>
          </w:tcPr>
          <w:p w14:paraId="72888BF7" w14:textId="77777777" w:rsidR="002C1C6A" w:rsidRPr="002C1C6A" w:rsidRDefault="002C1C6A" w:rsidP="00E262FC">
            <w:pPr>
              <w:spacing w:line="360" w:lineRule="auto"/>
              <w:rPr>
                <w:rFonts w:eastAsia="Times New Roman"/>
                <w:b/>
                <w:bCs/>
                <w:color w:val="404040"/>
                <w:sz w:val="24"/>
                <w:szCs w:val="24"/>
                <w:lang w:val="en-US" w:eastAsia="zh-TW"/>
              </w:rPr>
            </w:pPr>
            <w:r w:rsidRPr="002C1C6A">
              <w:rPr>
                <w:rFonts w:eastAsia="Times New Roman"/>
                <w:b/>
                <w:bCs/>
                <w:color w:val="404040"/>
                <w:sz w:val="24"/>
                <w:szCs w:val="24"/>
                <w:lang w:val="en-US" w:eastAsia="zh-TW"/>
              </w:rPr>
              <w:t>2</w:t>
            </w:r>
          </w:p>
        </w:tc>
        <w:tc>
          <w:tcPr>
            <w:tcW w:w="920" w:type="dxa"/>
            <w:tcBorders>
              <w:top w:val="nil"/>
              <w:left w:val="nil"/>
              <w:bottom w:val="single" w:sz="4" w:space="0" w:color="auto"/>
              <w:right w:val="single" w:sz="4" w:space="0" w:color="auto"/>
            </w:tcBorders>
            <w:shd w:val="clear" w:color="000000" w:fill="DAE9F8"/>
            <w:vAlign w:val="center"/>
            <w:hideMark/>
          </w:tcPr>
          <w:p w14:paraId="7B6E6568" w14:textId="77777777" w:rsidR="002C1C6A" w:rsidRPr="002C1C6A" w:rsidRDefault="002C1C6A" w:rsidP="00E262FC">
            <w:pPr>
              <w:spacing w:line="360" w:lineRule="auto"/>
              <w:rPr>
                <w:rFonts w:eastAsia="Times New Roman"/>
                <w:color w:val="404040"/>
                <w:sz w:val="24"/>
                <w:szCs w:val="24"/>
                <w:lang w:val="en-US" w:eastAsia="zh-TW"/>
              </w:rPr>
            </w:pPr>
            <w:r w:rsidRPr="002C1C6A">
              <w:rPr>
                <w:rFonts w:eastAsia="Times New Roman"/>
                <w:color w:val="404040"/>
                <w:sz w:val="24"/>
                <w:szCs w:val="24"/>
                <w:lang w:val="en-US" w:eastAsia="zh-TW"/>
              </w:rPr>
              <w:t>0.92</w:t>
            </w:r>
          </w:p>
        </w:tc>
        <w:tc>
          <w:tcPr>
            <w:tcW w:w="1380" w:type="dxa"/>
            <w:tcBorders>
              <w:top w:val="nil"/>
              <w:left w:val="nil"/>
              <w:bottom w:val="single" w:sz="4" w:space="0" w:color="auto"/>
              <w:right w:val="single" w:sz="4" w:space="0" w:color="auto"/>
            </w:tcBorders>
            <w:shd w:val="clear" w:color="000000" w:fill="DAE9F8"/>
            <w:vAlign w:val="center"/>
            <w:hideMark/>
          </w:tcPr>
          <w:p w14:paraId="55354F86" w14:textId="77777777" w:rsidR="002C1C6A" w:rsidRPr="002C1C6A" w:rsidRDefault="002C1C6A" w:rsidP="00E262FC">
            <w:pPr>
              <w:spacing w:line="360" w:lineRule="auto"/>
              <w:rPr>
                <w:rFonts w:eastAsia="Times New Roman"/>
                <w:color w:val="404040"/>
                <w:sz w:val="24"/>
                <w:szCs w:val="24"/>
                <w:lang w:val="en-US" w:eastAsia="zh-TW"/>
              </w:rPr>
            </w:pPr>
            <w:r w:rsidRPr="002C1C6A">
              <w:rPr>
                <w:rFonts w:eastAsia="Times New Roman"/>
                <w:color w:val="404040"/>
                <w:sz w:val="24"/>
                <w:szCs w:val="24"/>
                <w:lang w:val="en-US" w:eastAsia="zh-TW"/>
              </w:rPr>
              <w:t>0.76</w:t>
            </w:r>
          </w:p>
        </w:tc>
      </w:tr>
      <w:tr w:rsidR="002C1C6A" w:rsidRPr="002C1C6A" w14:paraId="5F425F01" w14:textId="77777777" w:rsidTr="002C1C6A">
        <w:trPr>
          <w:trHeight w:val="290"/>
        </w:trPr>
        <w:tc>
          <w:tcPr>
            <w:tcW w:w="2160" w:type="dxa"/>
            <w:tcBorders>
              <w:top w:val="nil"/>
              <w:left w:val="single" w:sz="4" w:space="0" w:color="auto"/>
              <w:bottom w:val="single" w:sz="4" w:space="0" w:color="auto"/>
              <w:right w:val="single" w:sz="4" w:space="0" w:color="auto"/>
            </w:tcBorders>
            <w:shd w:val="clear" w:color="000000" w:fill="DAE9F8"/>
            <w:vAlign w:val="center"/>
            <w:hideMark/>
          </w:tcPr>
          <w:p w14:paraId="0F735C25" w14:textId="77777777" w:rsidR="002C1C6A" w:rsidRPr="002C1C6A" w:rsidRDefault="002C1C6A" w:rsidP="00E262FC">
            <w:pPr>
              <w:spacing w:line="360" w:lineRule="auto"/>
              <w:rPr>
                <w:rFonts w:eastAsia="Times New Roman"/>
                <w:b/>
                <w:bCs/>
                <w:color w:val="404040"/>
                <w:sz w:val="24"/>
                <w:szCs w:val="24"/>
                <w:lang w:val="en-US" w:eastAsia="zh-TW"/>
              </w:rPr>
            </w:pPr>
            <w:r w:rsidRPr="002C1C6A">
              <w:rPr>
                <w:rFonts w:eastAsia="Times New Roman"/>
                <w:b/>
                <w:bCs/>
                <w:color w:val="404040"/>
                <w:sz w:val="24"/>
                <w:szCs w:val="24"/>
                <w:lang w:val="en-US" w:eastAsia="zh-TW"/>
              </w:rPr>
              <w:t>3</w:t>
            </w:r>
          </w:p>
        </w:tc>
        <w:tc>
          <w:tcPr>
            <w:tcW w:w="920" w:type="dxa"/>
            <w:tcBorders>
              <w:top w:val="nil"/>
              <w:left w:val="nil"/>
              <w:bottom w:val="single" w:sz="4" w:space="0" w:color="auto"/>
              <w:right w:val="single" w:sz="4" w:space="0" w:color="auto"/>
            </w:tcBorders>
            <w:shd w:val="clear" w:color="000000" w:fill="DAE9F8"/>
            <w:vAlign w:val="center"/>
            <w:hideMark/>
          </w:tcPr>
          <w:p w14:paraId="57A29F87" w14:textId="77777777" w:rsidR="002C1C6A" w:rsidRPr="002C1C6A" w:rsidRDefault="002C1C6A" w:rsidP="00E262FC">
            <w:pPr>
              <w:spacing w:line="360" w:lineRule="auto"/>
              <w:rPr>
                <w:rFonts w:eastAsia="Times New Roman"/>
                <w:color w:val="404040"/>
                <w:sz w:val="24"/>
                <w:szCs w:val="24"/>
                <w:lang w:val="en-US" w:eastAsia="zh-TW"/>
              </w:rPr>
            </w:pPr>
            <w:r w:rsidRPr="002C1C6A">
              <w:rPr>
                <w:rFonts w:eastAsia="Times New Roman"/>
                <w:color w:val="404040"/>
                <w:sz w:val="24"/>
                <w:szCs w:val="24"/>
                <w:lang w:val="en-US" w:eastAsia="zh-TW"/>
              </w:rPr>
              <w:t>1.02</w:t>
            </w:r>
          </w:p>
        </w:tc>
        <w:tc>
          <w:tcPr>
            <w:tcW w:w="1380" w:type="dxa"/>
            <w:tcBorders>
              <w:top w:val="nil"/>
              <w:left w:val="nil"/>
              <w:bottom w:val="single" w:sz="4" w:space="0" w:color="auto"/>
              <w:right w:val="single" w:sz="4" w:space="0" w:color="auto"/>
            </w:tcBorders>
            <w:shd w:val="clear" w:color="000000" w:fill="DAE9F8"/>
            <w:vAlign w:val="center"/>
            <w:hideMark/>
          </w:tcPr>
          <w:p w14:paraId="14CEDEB4" w14:textId="77777777" w:rsidR="002C1C6A" w:rsidRPr="002C1C6A" w:rsidRDefault="002C1C6A" w:rsidP="00E262FC">
            <w:pPr>
              <w:spacing w:line="360" w:lineRule="auto"/>
              <w:rPr>
                <w:rFonts w:eastAsia="Times New Roman"/>
                <w:color w:val="404040"/>
                <w:sz w:val="24"/>
                <w:szCs w:val="24"/>
                <w:lang w:val="en-US" w:eastAsia="zh-TW"/>
              </w:rPr>
            </w:pPr>
            <w:r w:rsidRPr="002C1C6A">
              <w:rPr>
                <w:rFonts w:eastAsia="Times New Roman"/>
                <w:color w:val="404040"/>
                <w:sz w:val="24"/>
                <w:szCs w:val="24"/>
                <w:lang w:val="en-US" w:eastAsia="zh-TW"/>
              </w:rPr>
              <w:t>0.77</w:t>
            </w:r>
          </w:p>
        </w:tc>
      </w:tr>
      <w:tr w:rsidR="002C1C6A" w:rsidRPr="002C1C6A" w14:paraId="615991B7" w14:textId="77777777" w:rsidTr="002C1C6A">
        <w:trPr>
          <w:trHeight w:val="290"/>
        </w:trPr>
        <w:tc>
          <w:tcPr>
            <w:tcW w:w="2160" w:type="dxa"/>
            <w:tcBorders>
              <w:top w:val="nil"/>
              <w:left w:val="single" w:sz="4" w:space="0" w:color="auto"/>
              <w:bottom w:val="single" w:sz="4" w:space="0" w:color="auto"/>
              <w:right w:val="single" w:sz="4" w:space="0" w:color="auto"/>
            </w:tcBorders>
            <w:shd w:val="clear" w:color="000000" w:fill="DAE9F8"/>
            <w:vAlign w:val="center"/>
            <w:hideMark/>
          </w:tcPr>
          <w:p w14:paraId="10438B5F" w14:textId="77777777" w:rsidR="002C1C6A" w:rsidRPr="002C1C6A" w:rsidRDefault="002C1C6A" w:rsidP="00E262FC">
            <w:pPr>
              <w:spacing w:line="360" w:lineRule="auto"/>
              <w:rPr>
                <w:rFonts w:eastAsia="Times New Roman"/>
                <w:b/>
                <w:bCs/>
                <w:color w:val="404040"/>
                <w:sz w:val="24"/>
                <w:szCs w:val="24"/>
                <w:lang w:val="en-US" w:eastAsia="zh-TW"/>
              </w:rPr>
            </w:pPr>
            <w:r w:rsidRPr="002C1C6A">
              <w:rPr>
                <w:rFonts w:eastAsia="Times New Roman"/>
                <w:b/>
                <w:bCs/>
                <w:color w:val="404040"/>
                <w:sz w:val="24"/>
                <w:szCs w:val="24"/>
                <w:lang w:val="en-US" w:eastAsia="zh-TW"/>
              </w:rPr>
              <w:t>4</w:t>
            </w:r>
          </w:p>
        </w:tc>
        <w:tc>
          <w:tcPr>
            <w:tcW w:w="920" w:type="dxa"/>
            <w:tcBorders>
              <w:top w:val="nil"/>
              <w:left w:val="nil"/>
              <w:bottom w:val="single" w:sz="4" w:space="0" w:color="auto"/>
              <w:right w:val="single" w:sz="4" w:space="0" w:color="auto"/>
            </w:tcBorders>
            <w:shd w:val="clear" w:color="000000" w:fill="DAE9F8"/>
            <w:vAlign w:val="center"/>
            <w:hideMark/>
          </w:tcPr>
          <w:p w14:paraId="0A468578" w14:textId="77777777" w:rsidR="002C1C6A" w:rsidRPr="002C1C6A" w:rsidRDefault="002C1C6A" w:rsidP="00E262FC">
            <w:pPr>
              <w:spacing w:line="360" w:lineRule="auto"/>
              <w:rPr>
                <w:rFonts w:eastAsia="Times New Roman"/>
                <w:color w:val="404040"/>
                <w:sz w:val="24"/>
                <w:szCs w:val="24"/>
                <w:lang w:val="en-US" w:eastAsia="zh-TW"/>
              </w:rPr>
            </w:pPr>
            <w:r w:rsidRPr="002C1C6A">
              <w:rPr>
                <w:rFonts w:eastAsia="Times New Roman"/>
                <w:color w:val="404040"/>
                <w:sz w:val="24"/>
                <w:szCs w:val="24"/>
                <w:lang w:val="en-US" w:eastAsia="zh-TW"/>
              </w:rPr>
              <w:t>1.12</w:t>
            </w:r>
          </w:p>
        </w:tc>
        <w:tc>
          <w:tcPr>
            <w:tcW w:w="1380" w:type="dxa"/>
            <w:tcBorders>
              <w:top w:val="nil"/>
              <w:left w:val="nil"/>
              <w:bottom w:val="single" w:sz="4" w:space="0" w:color="auto"/>
              <w:right w:val="single" w:sz="4" w:space="0" w:color="auto"/>
            </w:tcBorders>
            <w:shd w:val="clear" w:color="000000" w:fill="DAE9F8"/>
            <w:vAlign w:val="center"/>
            <w:hideMark/>
          </w:tcPr>
          <w:p w14:paraId="4E7B0AC9" w14:textId="77777777" w:rsidR="002C1C6A" w:rsidRPr="002C1C6A" w:rsidRDefault="002C1C6A" w:rsidP="00E262FC">
            <w:pPr>
              <w:spacing w:line="360" w:lineRule="auto"/>
              <w:rPr>
                <w:rFonts w:eastAsia="Times New Roman"/>
                <w:color w:val="404040"/>
                <w:sz w:val="24"/>
                <w:szCs w:val="24"/>
                <w:lang w:val="en-US" w:eastAsia="zh-TW"/>
              </w:rPr>
            </w:pPr>
            <w:r w:rsidRPr="002C1C6A">
              <w:rPr>
                <w:rFonts w:eastAsia="Times New Roman"/>
                <w:color w:val="404040"/>
                <w:sz w:val="24"/>
                <w:szCs w:val="24"/>
                <w:lang w:val="en-US" w:eastAsia="zh-TW"/>
              </w:rPr>
              <w:t>0.78</w:t>
            </w:r>
          </w:p>
        </w:tc>
      </w:tr>
      <w:tr w:rsidR="002C1C6A" w:rsidRPr="002C1C6A" w14:paraId="68A39D4A" w14:textId="77777777" w:rsidTr="002C1C6A">
        <w:trPr>
          <w:trHeight w:val="290"/>
        </w:trPr>
        <w:tc>
          <w:tcPr>
            <w:tcW w:w="2160" w:type="dxa"/>
            <w:tcBorders>
              <w:top w:val="nil"/>
              <w:left w:val="single" w:sz="4" w:space="0" w:color="auto"/>
              <w:bottom w:val="single" w:sz="4" w:space="0" w:color="auto"/>
              <w:right w:val="single" w:sz="4" w:space="0" w:color="auto"/>
            </w:tcBorders>
            <w:shd w:val="clear" w:color="000000" w:fill="DAE9F8"/>
            <w:vAlign w:val="center"/>
            <w:hideMark/>
          </w:tcPr>
          <w:p w14:paraId="44380B5F" w14:textId="77777777" w:rsidR="002C1C6A" w:rsidRPr="002C1C6A" w:rsidRDefault="002C1C6A" w:rsidP="00E262FC">
            <w:pPr>
              <w:spacing w:line="360" w:lineRule="auto"/>
              <w:rPr>
                <w:rFonts w:eastAsia="Times New Roman"/>
                <w:b/>
                <w:bCs/>
                <w:color w:val="404040"/>
                <w:sz w:val="24"/>
                <w:szCs w:val="24"/>
                <w:lang w:val="en-US" w:eastAsia="zh-TW"/>
              </w:rPr>
            </w:pPr>
            <w:r w:rsidRPr="002C1C6A">
              <w:rPr>
                <w:rFonts w:eastAsia="Times New Roman"/>
                <w:b/>
                <w:bCs/>
                <w:color w:val="404040"/>
                <w:sz w:val="24"/>
                <w:szCs w:val="24"/>
                <w:lang w:val="en-US" w:eastAsia="zh-TW"/>
              </w:rPr>
              <w:t>5</w:t>
            </w:r>
          </w:p>
        </w:tc>
        <w:tc>
          <w:tcPr>
            <w:tcW w:w="920" w:type="dxa"/>
            <w:tcBorders>
              <w:top w:val="nil"/>
              <w:left w:val="nil"/>
              <w:bottom w:val="single" w:sz="4" w:space="0" w:color="auto"/>
              <w:right w:val="single" w:sz="4" w:space="0" w:color="auto"/>
            </w:tcBorders>
            <w:shd w:val="clear" w:color="000000" w:fill="DAE9F8"/>
            <w:vAlign w:val="center"/>
            <w:hideMark/>
          </w:tcPr>
          <w:p w14:paraId="351918F3" w14:textId="77777777" w:rsidR="002C1C6A" w:rsidRPr="002C1C6A" w:rsidRDefault="002C1C6A" w:rsidP="00E262FC">
            <w:pPr>
              <w:spacing w:line="360" w:lineRule="auto"/>
              <w:rPr>
                <w:rFonts w:eastAsia="Times New Roman"/>
                <w:color w:val="404040"/>
                <w:sz w:val="24"/>
                <w:szCs w:val="24"/>
                <w:lang w:val="en-US" w:eastAsia="zh-TW"/>
              </w:rPr>
            </w:pPr>
            <w:r w:rsidRPr="002C1C6A">
              <w:rPr>
                <w:rFonts w:eastAsia="Times New Roman"/>
                <w:color w:val="404040"/>
                <w:sz w:val="24"/>
                <w:szCs w:val="24"/>
                <w:lang w:val="en-US" w:eastAsia="zh-TW"/>
              </w:rPr>
              <w:t>1.23</w:t>
            </w:r>
          </w:p>
        </w:tc>
        <w:tc>
          <w:tcPr>
            <w:tcW w:w="1380" w:type="dxa"/>
            <w:tcBorders>
              <w:top w:val="nil"/>
              <w:left w:val="nil"/>
              <w:bottom w:val="single" w:sz="4" w:space="0" w:color="auto"/>
              <w:right w:val="single" w:sz="4" w:space="0" w:color="auto"/>
            </w:tcBorders>
            <w:shd w:val="clear" w:color="000000" w:fill="DAE9F8"/>
            <w:vAlign w:val="center"/>
            <w:hideMark/>
          </w:tcPr>
          <w:p w14:paraId="1EDEE929" w14:textId="77777777" w:rsidR="002C1C6A" w:rsidRPr="002C1C6A" w:rsidRDefault="002C1C6A" w:rsidP="00E262FC">
            <w:pPr>
              <w:spacing w:line="360" w:lineRule="auto"/>
              <w:rPr>
                <w:rFonts w:eastAsia="Times New Roman"/>
                <w:color w:val="404040"/>
                <w:sz w:val="24"/>
                <w:szCs w:val="24"/>
                <w:lang w:val="en-US" w:eastAsia="zh-TW"/>
              </w:rPr>
            </w:pPr>
            <w:r w:rsidRPr="002C1C6A">
              <w:rPr>
                <w:rFonts w:eastAsia="Times New Roman"/>
                <w:color w:val="404040"/>
                <w:sz w:val="24"/>
                <w:szCs w:val="24"/>
                <w:lang w:val="en-US" w:eastAsia="zh-TW"/>
              </w:rPr>
              <w:t>0.78</w:t>
            </w:r>
          </w:p>
        </w:tc>
      </w:tr>
      <w:tr w:rsidR="002C1C6A" w:rsidRPr="002C1C6A" w14:paraId="20454573" w14:textId="77777777" w:rsidTr="002C1C6A">
        <w:trPr>
          <w:trHeight w:val="290"/>
        </w:trPr>
        <w:tc>
          <w:tcPr>
            <w:tcW w:w="2160" w:type="dxa"/>
            <w:tcBorders>
              <w:top w:val="nil"/>
              <w:left w:val="single" w:sz="4" w:space="0" w:color="auto"/>
              <w:bottom w:val="single" w:sz="4" w:space="0" w:color="auto"/>
              <w:right w:val="single" w:sz="4" w:space="0" w:color="auto"/>
            </w:tcBorders>
            <w:shd w:val="clear" w:color="000000" w:fill="DAE9F8"/>
            <w:vAlign w:val="center"/>
            <w:hideMark/>
          </w:tcPr>
          <w:p w14:paraId="67D60017" w14:textId="77777777" w:rsidR="002C1C6A" w:rsidRPr="002C1C6A" w:rsidRDefault="002C1C6A" w:rsidP="00E262FC">
            <w:pPr>
              <w:spacing w:line="360" w:lineRule="auto"/>
              <w:rPr>
                <w:rFonts w:eastAsia="Times New Roman"/>
                <w:b/>
                <w:bCs/>
                <w:color w:val="404040"/>
                <w:sz w:val="24"/>
                <w:szCs w:val="24"/>
                <w:lang w:val="en-US" w:eastAsia="zh-TW"/>
              </w:rPr>
            </w:pPr>
            <w:r w:rsidRPr="002C1C6A">
              <w:rPr>
                <w:rFonts w:eastAsia="Times New Roman"/>
                <w:b/>
                <w:bCs/>
                <w:color w:val="404040"/>
                <w:sz w:val="24"/>
                <w:szCs w:val="24"/>
                <w:lang w:val="en-US" w:eastAsia="zh-TW"/>
              </w:rPr>
              <w:t>Terminal</w:t>
            </w:r>
          </w:p>
        </w:tc>
        <w:tc>
          <w:tcPr>
            <w:tcW w:w="920" w:type="dxa"/>
            <w:tcBorders>
              <w:top w:val="nil"/>
              <w:left w:val="nil"/>
              <w:bottom w:val="single" w:sz="4" w:space="0" w:color="auto"/>
              <w:right w:val="single" w:sz="4" w:space="0" w:color="auto"/>
            </w:tcBorders>
            <w:shd w:val="clear" w:color="000000" w:fill="DAE9F8"/>
            <w:vAlign w:val="center"/>
            <w:hideMark/>
          </w:tcPr>
          <w:p w14:paraId="17CE54E4" w14:textId="77777777" w:rsidR="002C1C6A" w:rsidRPr="002C1C6A" w:rsidRDefault="002C1C6A" w:rsidP="00E262FC">
            <w:pPr>
              <w:spacing w:line="360" w:lineRule="auto"/>
              <w:rPr>
                <w:rFonts w:eastAsia="Times New Roman"/>
                <w:color w:val="404040"/>
                <w:sz w:val="24"/>
                <w:szCs w:val="24"/>
                <w:lang w:val="en-US" w:eastAsia="zh-TW"/>
              </w:rPr>
            </w:pPr>
            <w:r w:rsidRPr="002C1C6A">
              <w:rPr>
                <w:rFonts w:eastAsia="Times New Roman"/>
                <w:color w:val="404040"/>
                <w:sz w:val="24"/>
                <w:szCs w:val="24"/>
                <w:lang w:val="en-US" w:eastAsia="zh-TW"/>
              </w:rPr>
              <w:t>8.22</w:t>
            </w:r>
          </w:p>
        </w:tc>
        <w:tc>
          <w:tcPr>
            <w:tcW w:w="1380" w:type="dxa"/>
            <w:tcBorders>
              <w:top w:val="nil"/>
              <w:left w:val="nil"/>
              <w:bottom w:val="single" w:sz="4" w:space="0" w:color="auto"/>
              <w:right w:val="single" w:sz="4" w:space="0" w:color="auto"/>
            </w:tcBorders>
            <w:shd w:val="clear" w:color="000000" w:fill="DAE9F8"/>
            <w:vAlign w:val="center"/>
            <w:hideMark/>
          </w:tcPr>
          <w:p w14:paraId="619B5CD5" w14:textId="77777777" w:rsidR="002C1C6A" w:rsidRPr="002C1C6A" w:rsidRDefault="002C1C6A" w:rsidP="00E262FC">
            <w:pPr>
              <w:spacing w:line="360" w:lineRule="auto"/>
              <w:rPr>
                <w:rFonts w:eastAsia="Times New Roman"/>
                <w:color w:val="404040"/>
                <w:sz w:val="24"/>
                <w:szCs w:val="24"/>
                <w:lang w:val="en-US" w:eastAsia="zh-TW"/>
              </w:rPr>
            </w:pPr>
            <w:r w:rsidRPr="002C1C6A">
              <w:rPr>
                <w:rFonts w:eastAsia="Times New Roman"/>
                <w:color w:val="404040"/>
                <w:sz w:val="24"/>
                <w:szCs w:val="24"/>
                <w:lang w:val="en-US" w:eastAsia="zh-TW"/>
              </w:rPr>
              <w:t>4.95</w:t>
            </w:r>
          </w:p>
        </w:tc>
      </w:tr>
    </w:tbl>
    <w:p w14:paraId="0E760578" w14:textId="77777777" w:rsidR="005B232C" w:rsidRPr="00937F54" w:rsidRDefault="005B232C" w:rsidP="00E262FC">
      <w:pPr>
        <w:spacing w:line="360" w:lineRule="auto"/>
        <w:rPr>
          <w:iCs/>
          <w:sz w:val="24"/>
          <w:szCs w:val="24"/>
        </w:rPr>
      </w:pPr>
    </w:p>
    <w:p w14:paraId="1958AC4A" w14:textId="77777777" w:rsidR="0091702B" w:rsidRPr="00937F54" w:rsidRDefault="0091702B" w:rsidP="00E262FC">
      <w:pPr>
        <w:spacing w:line="360" w:lineRule="auto"/>
        <w:rPr>
          <w:b/>
          <w:bCs/>
          <w:iCs/>
          <w:sz w:val="24"/>
          <w:szCs w:val="24"/>
          <w:lang w:val="en-US"/>
        </w:rPr>
      </w:pPr>
      <w:r w:rsidRPr="0091702B">
        <w:rPr>
          <w:b/>
          <w:bCs/>
          <w:iCs/>
          <w:sz w:val="24"/>
          <w:szCs w:val="24"/>
          <w:lang w:val="en-US"/>
        </w:rPr>
        <w:t>4.6 PAYBACK PERIOD and IRR</w:t>
      </w:r>
    </w:p>
    <w:tbl>
      <w:tblPr>
        <w:tblW w:w="3300" w:type="dxa"/>
        <w:tblLook w:val="04A0" w:firstRow="1" w:lastRow="0" w:firstColumn="1" w:lastColumn="0" w:noHBand="0" w:noVBand="1"/>
      </w:tblPr>
      <w:tblGrid>
        <w:gridCol w:w="2363"/>
        <w:gridCol w:w="937"/>
      </w:tblGrid>
      <w:tr w:rsidR="00DF240B" w:rsidRPr="00DF240B" w14:paraId="6CA8AD95" w14:textId="77777777" w:rsidTr="00132536">
        <w:trPr>
          <w:trHeight w:val="290"/>
        </w:trPr>
        <w:tc>
          <w:tcPr>
            <w:tcW w:w="2695" w:type="dxa"/>
            <w:tcBorders>
              <w:top w:val="single" w:sz="4" w:space="0" w:color="auto"/>
              <w:left w:val="single" w:sz="4" w:space="0" w:color="auto"/>
              <w:bottom w:val="single" w:sz="4" w:space="0" w:color="auto"/>
              <w:right w:val="single" w:sz="4" w:space="0" w:color="auto"/>
            </w:tcBorders>
            <w:shd w:val="clear" w:color="000000" w:fill="DAE9F8"/>
            <w:vAlign w:val="center"/>
            <w:hideMark/>
          </w:tcPr>
          <w:p w14:paraId="30AE8202" w14:textId="77777777" w:rsidR="00DF240B" w:rsidRPr="00DF240B" w:rsidRDefault="00DF240B" w:rsidP="00E262FC">
            <w:pPr>
              <w:spacing w:line="360" w:lineRule="auto"/>
              <w:rPr>
                <w:rFonts w:eastAsia="Times New Roman"/>
                <w:b/>
                <w:bCs/>
                <w:color w:val="404040"/>
                <w:sz w:val="24"/>
                <w:szCs w:val="24"/>
                <w:lang w:val="en-US" w:eastAsia="zh-TW"/>
              </w:rPr>
            </w:pPr>
            <w:r w:rsidRPr="00DF240B">
              <w:rPr>
                <w:rFonts w:eastAsia="Times New Roman"/>
                <w:b/>
                <w:bCs/>
                <w:color w:val="404040"/>
                <w:sz w:val="24"/>
                <w:szCs w:val="24"/>
                <w:lang w:val="en-US" w:eastAsia="zh-TW"/>
              </w:rPr>
              <w:t>Payback period</w:t>
            </w:r>
          </w:p>
        </w:tc>
        <w:tc>
          <w:tcPr>
            <w:tcW w:w="605" w:type="dxa"/>
            <w:tcBorders>
              <w:top w:val="single" w:sz="4" w:space="0" w:color="auto"/>
              <w:left w:val="nil"/>
              <w:bottom w:val="single" w:sz="4" w:space="0" w:color="auto"/>
              <w:right w:val="single" w:sz="4" w:space="0" w:color="auto"/>
            </w:tcBorders>
            <w:shd w:val="clear" w:color="000000" w:fill="DAE9F8"/>
            <w:vAlign w:val="center"/>
            <w:hideMark/>
          </w:tcPr>
          <w:p w14:paraId="31BE4D4F" w14:textId="77777777" w:rsidR="00DF240B" w:rsidRPr="00DF240B" w:rsidRDefault="00DF240B" w:rsidP="00E262FC">
            <w:pPr>
              <w:spacing w:line="360" w:lineRule="auto"/>
              <w:rPr>
                <w:rFonts w:eastAsia="Times New Roman"/>
                <w:b/>
                <w:bCs/>
                <w:color w:val="404040"/>
                <w:sz w:val="24"/>
                <w:szCs w:val="24"/>
                <w:lang w:val="en-US" w:eastAsia="zh-TW"/>
              </w:rPr>
            </w:pPr>
            <w:r w:rsidRPr="00DF240B">
              <w:rPr>
                <w:rFonts w:eastAsia="Times New Roman"/>
                <w:b/>
                <w:bCs/>
                <w:color w:val="404040"/>
                <w:sz w:val="24"/>
                <w:szCs w:val="24"/>
                <w:lang w:val="en-US" w:eastAsia="zh-TW"/>
              </w:rPr>
              <w:t>HKD million</w:t>
            </w:r>
          </w:p>
        </w:tc>
      </w:tr>
      <w:tr w:rsidR="00DF240B" w:rsidRPr="00DF240B" w14:paraId="20C3463F" w14:textId="77777777" w:rsidTr="00132536">
        <w:trPr>
          <w:trHeight w:val="290"/>
        </w:trPr>
        <w:tc>
          <w:tcPr>
            <w:tcW w:w="2695" w:type="dxa"/>
            <w:tcBorders>
              <w:top w:val="nil"/>
              <w:left w:val="single" w:sz="4" w:space="0" w:color="auto"/>
              <w:bottom w:val="single" w:sz="4" w:space="0" w:color="auto"/>
              <w:right w:val="single" w:sz="4" w:space="0" w:color="auto"/>
            </w:tcBorders>
            <w:shd w:val="clear" w:color="000000" w:fill="DAE9F8"/>
            <w:vAlign w:val="center"/>
            <w:hideMark/>
          </w:tcPr>
          <w:p w14:paraId="1E181DD3" w14:textId="77777777" w:rsidR="00DF240B" w:rsidRPr="00DF240B" w:rsidRDefault="00DF240B" w:rsidP="00E262FC">
            <w:pPr>
              <w:spacing w:line="360" w:lineRule="auto"/>
              <w:rPr>
                <w:rFonts w:eastAsia="Times New Roman"/>
                <w:b/>
                <w:bCs/>
                <w:color w:val="404040"/>
                <w:sz w:val="24"/>
                <w:szCs w:val="24"/>
                <w:lang w:val="en-US" w:eastAsia="zh-TW"/>
              </w:rPr>
            </w:pPr>
            <w:r w:rsidRPr="00DF240B">
              <w:rPr>
                <w:rFonts w:eastAsia="Times New Roman"/>
                <w:b/>
                <w:bCs/>
                <w:color w:val="404040"/>
                <w:sz w:val="24"/>
                <w:szCs w:val="24"/>
                <w:lang w:val="en-US" w:eastAsia="zh-TW"/>
              </w:rPr>
              <w:t>1–5 Year Cashflow</w:t>
            </w:r>
          </w:p>
        </w:tc>
        <w:tc>
          <w:tcPr>
            <w:tcW w:w="605" w:type="dxa"/>
            <w:tcBorders>
              <w:top w:val="nil"/>
              <w:left w:val="nil"/>
              <w:bottom w:val="single" w:sz="4" w:space="0" w:color="auto"/>
              <w:right w:val="single" w:sz="4" w:space="0" w:color="auto"/>
            </w:tcBorders>
            <w:shd w:val="clear" w:color="000000" w:fill="DAE9F8"/>
            <w:vAlign w:val="center"/>
            <w:hideMark/>
          </w:tcPr>
          <w:p w14:paraId="1E3CE253" w14:textId="77777777" w:rsidR="00DF240B" w:rsidRPr="00DF240B" w:rsidRDefault="00DF240B" w:rsidP="00E262FC">
            <w:pPr>
              <w:spacing w:line="360" w:lineRule="auto"/>
              <w:rPr>
                <w:rFonts w:eastAsia="Times New Roman"/>
                <w:color w:val="404040"/>
                <w:sz w:val="24"/>
                <w:szCs w:val="24"/>
                <w:lang w:val="en-US" w:eastAsia="zh-TW"/>
              </w:rPr>
            </w:pPr>
            <w:r w:rsidRPr="00DF240B">
              <w:rPr>
                <w:rFonts w:eastAsia="Times New Roman"/>
                <w:color w:val="404040"/>
                <w:sz w:val="24"/>
                <w:szCs w:val="24"/>
                <w:lang w:val="en-US" w:eastAsia="zh-TW"/>
              </w:rPr>
              <w:t>5.12</w:t>
            </w:r>
          </w:p>
        </w:tc>
      </w:tr>
      <w:tr w:rsidR="00DF240B" w:rsidRPr="00DF240B" w14:paraId="551E3F10" w14:textId="77777777" w:rsidTr="00132536">
        <w:trPr>
          <w:trHeight w:val="290"/>
        </w:trPr>
        <w:tc>
          <w:tcPr>
            <w:tcW w:w="2695" w:type="dxa"/>
            <w:tcBorders>
              <w:top w:val="nil"/>
              <w:left w:val="single" w:sz="4" w:space="0" w:color="auto"/>
              <w:bottom w:val="single" w:sz="4" w:space="0" w:color="auto"/>
              <w:right w:val="single" w:sz="4" w:space="0" w:color="auto"/>
            </w:tcBorders>
            <w:shd w:val="clear" w:color="000000" w:fill="DAE9F8"/>
            <w:vAlign w:val="center"/>
            <w:hideMark/>
          </w:tcPr>
          <w:p w14:paraId="7E6AAC49" w14:textId="77777777" w:rsidR="00DF240B" w:rsidRPr="00DF240B" w:rsidRDefault="00DF240B" w:rsidP="00E262FC">
            <w:pPr>
              <w:spacing w:line="360" w:lineRule="auto"/>
              <w:rPr>
                <w:rFonts w:eastAsia="Times New Roman"/>
                <w:b/>
                <w:bCs/>
                <w:color w:val="404040"/>
                <w:sz w:val="24"/>
                <w:szCs w:val="24"/>
                <w:lang w:val="en-US" w:eastAsia="zh-TW"/>
              </w:rPr>
            </w:pPr>
            <w:r w:rsidRPr="00DF240B">
              <w:rPr>
                <w:rFonts w:eastAsia="Times New Roman"/>
                <w:b/>
                <w:bCs/>
                <w:color w:val="404040"/>
                <w:sz w:val="24"/>
                <w:szCs w:val="24"/>
                <w:lang w:val="en-US" w:eastAsia="zh-TW"/>
              </w:rPr>
              <w:t>Initial Cost</w:t>
            </w:r>
          </w:p>
        </w:tc>
        <w:tc>
          <w:tcPr>
            <w:tcW w:w="605" w:type="dxa"/>
            <w:tcBorders>
              <w:top w:val="nil"/>
              <w:left w:val="nil"/>
              <w:bottom w:val="single" w:sz="4" w:space="0" w:color="auto"/>
              <w:right w:val="single" w:sz="4" w:space="0" w:color="auto"/>
            </w:tcBorders>
            <w:shd w:val="clear" w:color="000000" w:fill="DAE9F8"/>
            <w:vAlign w:val="center"/>
            <w:hideMark/>
          </w:tcPr>
          <w:p w14:paraId="5D605EB5" w14:textId="77777777" w:rsidR="00DF240B" w:rsidRPr="00DF240B" w:rsidRDefault="00DF240B" w:rsidP="00E262FC">
            <w:pPr>
              <w:spacing w:line="360" w:lineRule="auto"/>
              <w:rPr>
                <w:rFonts w:eastAsia="Times New Roman"/>
                <w:color w:val="404040"/>
                <w:sz w:val="24"/>
                <w:szCs w:val="24"/>
                <w:lang w:val="en-US" w:eastAsia="zh-TW"/>
              </w:rPr>
            </w:pPr>
            <w:r w:rsidRPr="00DF240B">
              <w:rPr>
                <w:rFonts w:eastAsia="Times New Roman"/>
                <w:color w:val="404040"/>
                <w:sz w:val="24"/>
                <w:szCs w:val="24"/>
                <w:lang w:val="en-US" w:eastAsia="zh-TW"/>
              </w:rPr>
              <w:t>5.08</w:t>
            </w:r>
          </w:p>
        </w:tc>
      </w:tr>
    </w:tbl>
    <w:p w14:paraId="737F4E67" w14:textId="2F90CA55" w:rsidR="00DF240B" w:rsidRPr="0091702B" w:rsidRDefault="00C71D98" w:rsidP="00E262FC">
      <w:pPr>
        <w:spacing w:line="360" w:lineRule="auto"/>
        <w:rPr>
          <w:iCs/>
          <w:sz w:val="24"/>
          <w:szCs w:val="24"/>
          <w:lang w:val="en-US"/>
        </w:rPr>
      </w:pPr>
      <w:r w:rsidRPr="00937F54">
        <w:rPr>
          <w:iCs/>
          <w:sz w:val="24"/>
          <w:szCs w:val="24"/>
        </w:rPr>
        <w:t>Payback period: 4.98 years (all cumulative cashflows cover initial investment by end of year 5)</w:t>
      </w:r>
      <w:r w:rsidRPr="00937F54">
        <w:rPr>
          <w:iCs/>
          <w:sz w:val="24"/>
          <w:szCs w:val="24"/>
        </w:rPr>
        <w:br/>
        <w:t>IRR: 16% (solves for NPV = 0 with above cashflow stream)</w:t>
      </w:r>
    </w:p>
    <w:p w14:paraId="6A41C9D1" w14:textId="77777777" w:rsidR="00C47DDE" w:rsidRPr="00C47DDE" w:rsidRDefault="00C47DDE" w:rsidP="00E262FC">
      <w:pPr>
        <w:spacing w:line="360" w:lineRule="auto"/>
        <w:rPr>
          <w:b/>
          <w:bCs/>
          <w:iCs/>
          <w:sz w:val="24"/>
          <w:szCs w:val="24"/>
          <w:lang w:val="en-US"/>
        </w:rPr>
      </w:pPr>
      <w:r w:rsidRPr="00C47DDE">
        <w:rPr>
          <w:b/>
          <w:bCs/>
          <w:iCs/>
          <w:sz w:val="24"/>
          <w:szCs w:val="24"/>
          <w:lang w:val="en-US"/>
        </w:rPr>
        <w:t>4.7 Investment Appraisal: Method Comparison</w:t>
      </w:r>
    </w:p>
    <w:p w14:paraId="78E83FAC" w14:textId="77777777" w:rsidR="00C47DDE" w:rsidRPr="00C47DDE" w:rsidRDefault="00C47DDE" w:rsidP="00E262FC">
      <w:pPr>
        <w:spacing w:line="360" w:lineRule="auto"/>
        <w:rPr>
          <w:iCs/>
          <w:sz w:val="24"/>
          <w:szCs w:val="24"/>
          <w:lang w:val="en-US"/>
        </w:rPr>
      </w:pPr>
      <w:proofErr w:type="spellStart"/>
      <w:r w:rsidRPr="00C47DDE">
        <w:rPr>
          <w:iCs/>
          <w:sz w:val="24"/>
          <w:szCs w:val="24"/>
          <w:lang w:val="en-US"/>
        </w:rPr>
        <w:t>i</w:t>
      </w:r>
      <w:proofErr w:type="spellEnd"/>
      <w:r w:rsidRPr="00C47DDE">
        <w:rPr>
          <w:iCs/>
          <w:sz w:val="24"/>
          <w:szCs w:val="24"/>
          <w:lang w:val="en-US"/>
        </w:rPr>
        <w:t>. Simple Investment Return: First-year return ≈ 16.3%. Average annual cashflow increases with project maturity.</w:t>
      </w:r>
    </w:p>
    <w:p w14:paraId="00DFA725" w14:textId="77777777" w:rsidR="00C47DDE" w:rsidRPr="00C47DDE" w:rsidRDefault="00C47DDE" w:rsidP="00E262FC">
      <w:pPr>
        <w:spacing w:line="360" w:lineRule="auto"/>
        <w:rPr>
          <w:iCs/>
          <w:sz w:val="24"/>
          <w:szCs w:val="24"/>
          <w:lang w:val="en-US"/>
        </w:rPr>
      </w:pPr>
      <w:r w:rsidRPr="00C47DDE">
        <w:rPr>
          <w:iCs/>
          <w:sz w:val="24"/>
          <w:szCs w:val="24"/>
          <w:lang w:val="en-US"/>
        </w:rPr>
        <w:t>ii. ARR: 25.6%, which is higher than average company/project return on assets, showing strong long-term performance.</w:t>
      </w:r>
    </w:p>
    <w:p w14:paraId="1F1BDB15" w14:textId="77777777" w:rsidR="00C47DDE" w:rsidRPr="00C47DDE" w:rsidRDefault="00C47DDE" w:rsidP="00E262FC">
      <w:pPr>
        <w:spacing w:line="360" w:lineRule="auto"/>
        <w:rPr>
          <w:iCs/>
          <w:sz w:val="24"/>
          <w:szCs w:val="24"/>
          <w:lang w:val="en-US"/>
        </w:rPr>
      </w:pPr>
      <w:r w:rsidRPr="00C47DDE">
        <w:rPr>
          <w:iCs/>
          <w:sz w:val="24"/>
          <w:szCs w:val="24"/>
          <w:lang w:val="en-US"/>
        </w:rPr>
        <w:t>iii. NPV: HK$3.64 million (at 10.5% discount rate), showing value creation.</w:t>
      </w:r>
    </w:p>
    <w:p w14:paraId="0AB087A7" w14:textId="77777777" w:rsidR="00C47DDE" w:rsidRPr="00C47DDE" w:rsidRDefault="00C47DDE" w:rsidP="00E262FC">
      <w:pPr>
        <w:spacing w:line="360" w:lineRule="auto"/>
        <w:rPr>
          <w:iCs/>
          <w:sz w:val="24"/>
          <w:szCs w:val="24"/>
          <w:lang w:val="en-US"/>
        </w:rPr>
      </w:pPr>
      <w:r w:rsidRPr="00C47DDE">
        <w:rPr>
          <w:iCs/>
          <w:sz w:val="24"/>
          <w:szCs w:val="24"/>
          <w:lang w:val="en-US"/>
        </w:rPr>
        <w:t>iv. IRR: 16%, which is favorable versus Tsui Wah’s cost of capital and industry benchmarks.</w:t>
      </w:r>
    </w:p>
    <w:p w14:paraId="4DC3346E" w14:textId="77777777" w:rsidR="00EE1A2F" w:rsidRDefault="00EE1A2F" w:rsidP="00E262FC">
      <w:pPr>
        <w:spacing w:line="360" w:lineRule="auto"/>
        <w:rPr>
          <w:b/>
          <w:bCs/>
          <w:iCs/>
          <w:sz w:val="24"/>
          <w:szCs w:val="24"/>
          <w:lang w:val="en-US"/>
        </w:rPr>
      </w:pPr>
    </w:p>
    <w:p w14:paraId="70908FB5" w14:textId="77777777" w:rsidR="00DA1B13" w:rsidRDefault="00DA1B13" w:rsidP="00E262FC">
      <w:pPr>
        <w:spacing w:line="360" w:lineRule="auto"/>
        <w:rPr>
          <w:b/>
          <w:bCs/>
          <w:iCs/>
          <w:sz w:val="24"/>
          <w:szCs w:val="24"/>
          <w:lang w:val="en-US"/>
        </w:rPr>
      </w:pPr>
    </w:p>
    <w:p w14:paraId="477AFABF" w14:textId="77777777" w:rsidR="00EE1A2F" w:rsidRDefault="00EE1A2F" w:rsidP="00E262FC">
      <w:pPr>
        <w:spacing w:line="360" w:lineRule="auto"/>
        <w:rPr>
          <w:b/>
          <w:bCs/>
          <w:iCs/>
          <w:sz w:val="24"/>
          <w:szCs w:val="24"/>
          <w:lang w:val="en-US"/>
        </w:rPr>
      </w:pPr>
    </w:p>
    <w:p w14:paraId="5EE8F559" w14:textId="54BF3C59" w:rsidR="00DA09DB" w:rsidRPr="00DA09DB" w:rsidRDefault="00DA09DB" w:rsidP="00E262FC">
      <w:pPr>
        <w:spacing w:line="360" w:lineRule="auto"/>
        <w:rPr>
          <w:b/>
          <w:bCs/>
          <w:iCs/>
          <w:sz w:val="24"/>
          <w:szCs w:val="24"/>
          <w:lang w:val="en-US"/>
        </w:rPr>
      </w:pPr>
      <w:r w:rsidRPr="00DA09DB">
        <w:rPr>
          <w:b/>
          <w:bCs/>
          <w:iCs/>
          <w:sz w:val="24"/>
          <w:szCs w:val="24"/>
          <w:lang w:val="en-US"/>
        </w:rPr>
        <w:lastRenderedPageBreak/>
        <w:t>4.8 Suggestion for Project Cashflow</w:t>
      </w:r>
    </w:p>
    <w:p w14:paraId="2A193DE9" w14:textId="77777777" w:rsidR="00DA09DB" w:rsidRPr="00DA09DB" w:rsidRDefault="00DA09DB" w:rsidP="00E262FC">
      <w:pPr>
        <w:spacing w:line="360" w:lineRule="auto"/>
        <w:rPr>
          <w:iCs/>
          <w:sz w:val="24"/>
          <w:szCs w:val="24"/>
          <w:lang w:val="en-US"/>
        </w:rPr>
      </w:pPr>
      <w:r w:rsidRPr="00DA09DB">
        <w:rPr>
          <w:iCs/>
          <w:sz w:val="24"/>
          <w:szCs w:val="24"/>
          <w:lang w:val="en-US"/>
        </w:rPr>
        <w:t>The flagship is expected to generate stable operating cashflows after the initial investment. With annual net cashflows of HK$0.8–1.2m per year and Tsui Wah’s strong balance sheet, liquidity requirements can be met using internal reserves. No external financing will be needed to support operations in the first five years.</w:t>
      </w:r>
    </w:p>
    <w:p w14:paraId="59803034" w14:textId="77777777" w:rsidR="006036EA" w:rsidRDefault="006036EA" w:rsidP="00E262FC">
      <w:pPr>
        <w:spacing w:line="360" w:lineRule="auto"/>
        <w:rPr>
          <w:b/>
          <w:bCs/>
          <w:iCs/>
          <w:sz w:val="24"/>
          <w:szCs w:val="24"/>
          <w:lang w:val="en-US"/>
        </w:rPr>
      </w:pPr>
    </w:p>
    <w:p w14:paraId="400948A6" w14:textId="77777777" w:rsidR="00AC2369" w:rsidRDefault="00AC2369" w:rsidP="00E262FC">
      <w:pPr>
        <w:spacing w:line="360" w:lineRule="auto"/>
        <w:rPr>
          <w:b/>
          <w:bCs/>
          <w:iCs/>
          <w:sz w:val="24"/>
          <w:szCs w:val="24"/>
          <w:lang w:val="en-US"/>
        </w:rPr>
      </w:pPr>
    </w:p>
    <w:p w14:paraId="6BD72B79" w14:textId="77777777" w:rsidR="00AC2369" w:rsidRDefault="00AC2369" w:rsidP="00E262FC">
      <w:pPr>
        <w:spacing w:line="360" w:lineRule="auto"/>
        <w:rPr>
          <w:b/>
          <w:bCs/>
          <w:iCs/>
          <w:sz w:val="24"/>
          <w:szCs w:val="24"/>
          <w:lang w:val="en-US"/>
        </w:rPr>
      </w:pPr>
    </w:p>
    <w:p w14:paraId="2C35C0A6" w14:textId="77777777" w:rsidR="00AC2369" w:rsidRDefault="00AC2369" w:rsidP="00E262FC">
      <w:pPr>
        <w:spacing w:line="360" w:lineRule="auto"/>
        <w:rPr>
          <w:b/>
          <w:bCs/>
          <w:iCs/>
          <w:sz w:val="24"/>
          <w:szCs w:val="24"/>
          <w:lang w:val="en-US"/>
        </w:rPr>
      </w:pPr>
    </w:p>
    <w:p w14:paraId="33C46CBB" w14:textId="77777777" w:rsidR="00AC2369" w:rsidRDefault="00AC2369" w:rsidP="00E262FC">
      <w:pPr>
        <w:spacing w:line="360" w:lineRule="auto"/>
        <w:rPr>
          <w:b/>
          <w:bCs/>
          <w:iCs/>
          <w:sz w:val="24"/>
          <w:szCs w:val="24"/>
          <w:lang w:val="en-US"/>
        </w:rPr>
      </w:pPr>
    </w:p>
    <w:p w14:paraId="44B3C7E4" w14:textId="77777777" w:rsidR="00AC2369" w:rsidRDefault="00AC2369" w:rsidP="00E262FC">
      <w:pPr>
        <w:spacing w:line="360" w:lineRule="auto"/>
        <w:rPr>
          <w:b/>
          <w:bCs/>
          <w:iCs/>
          <w:sz w:val="24"/>
          <w:szCs w:val="24"/>
          <w:lang w:val="en-US"/>
        </w:rPr>
      </w:pPr>
    </w:p>
    <w:p w14:paraId="17E85BB0" w14:textId="77777777" w:rsidR="00AC2369" w:rsidRDefault="00AC2369" w:rsidP="00E262FC">
      <w:pPr>
        <w:spacing w:line="360" w:lineRule="auto"/>
        <w:rPr>
          <w:b/>
          <w:bCs/>
          <w:iCs/>
          <w:sz w:val="24"/>
          <w:szCs w:val="24"/>
          <w:lang w:val="en-US"/>
        </w:rPr>
      </w:pPr>
    </w:p>
    <w:p w14:paraId="7AC1EE0C" w14:textId="77777777" w:rsidR="00AC2369" w:rsidRDefault="00AC2369" w:rsidP="00E262FC">
      <w:pPr>
        <w:spacing w:line="360" w:lineRule="auto"/>
        <w:rPr>
          <w:b/>
          <w:bCs/>
          <w:iCs/>
          <w:sz w:val="24"/>
          <w:szCs w:val="24"/>
          <w:lang w:val="en-US"/>
        </w:rPr>
      </w:pPr>
    </w:p>
    <w:p w14:paraId="42150806" w14:textId="77777777" w:rsidR="00AC2369" w:rsidRDefault="00AC2369" w:rsidP="00E262FC">
      <w:pPr>
        <w:spacing w:line="360" w:lineRule="auto"/>
        <w:rPr>
          <w:b/>
          <w:bCs/>
          <w:iCs/>
          <w:sz w:val="24"/>
          <w:szCs w:val="24"/>
          <w:lang w:val="en-US"/>
        </w:rPr>
      </w:pPr>
    </w:p>
    <w:p w14:paraId="5A6D9FB2" w14:textId="77777777" w:rsidR="00AC2369" w:rsidRDefault="00AC2369" w:rsidP="00E262FC">
      <w:pPr>
        <w:spacing w:line="360" w:lineRule="auto"/>
        <w:rPr>
          <w:b/>
          <w:bCs/>
          <w:iCs/>
          <w:sz w:val="24"/>
          <w:szCs w:val="24"/>
          <w:lang w:val="en-US"/>
        </w:rPr>
      </w:pPr>
    </w:p>
    <w:p w14:paraId="66A961F7" w14:textId="77777777" w:rsidR="00AC2369" w:rsidRDefault="00AC2369" w:rsidP="00E262FC">
      <w:pPr>
        <w:spacing w:line="360" w:lineRule="auto"/>
        <w:rPr>
          <w:b/>
          <w:bCs/>
          <w:iCs/>
          <w:sz w:val="24"/>
          <w:szCs w:val="24"/>
          <w:lang w:val="en-US"/>
        </w:rPr>
      </w:pPr>
    </w:p>
    <w:p w14:paraId="69E1A21F" w14:textId="77777777" w:rsidR="00AC2369" w:rsidRDefault="00AC2369" w:rsidP="00E262FC">
      <w:pPr>
        <w:spacing w:line="360" w:lineRule="auto"/>
        <w:rPr>
          <w:b/>
          <w:bCs/>
          <w:iCs/>
          <w:sz w:val="24"/>
          <w:szCs w:val="24"/>
          <w:lang w:val="en-US"/>
        </w:rPr>
      </w:pPr>
    </w:p>
    <w:p w14:paraId="22DC1482" w14:textId="77777777" w:rsidR="00AC2369" w:rsidRDefault="00AC2369" w:rsidP="00E262FC">
      <w:pPr>
        <w:spacing w:line="360" w:lineRule="auto"/>
        <w:rPr>
          <w:b/>
          <w:bCs/>
          <w:iCs/>
          <w:sz w:val="24"/>
          <w:szCs w:val="24"/>
          <w:lang w:val="en-US"/>
        </w:rPr>
      </w:pPr>
    </w:p>
    <w:p w14:paraId="2BC4F548" w14:textId="77777777" w:rsidR="00132536" w:rsidRDefault="00132536" w:rsidP="00E262FC">
      <w:pPr>
        <w:spacing w:line="360" w:lineRule="auto"/>
        <w:rPr>
          <w:b/>
          <w:bCs/>
          <w:iCs/>
          <w:sz w:val="24"/>
          <w:szCs w:val="24"/>
          <w:lang w:val="en-US"/>
        </w:rPr>
      </w:pPr>
    </w:p>
    <w:p w14:paraId="03CBDB7B" w14:textId="77777777" w:rsidR="00132536" w:rsidRDefault="00132536" w:rsidP="00E262FC">
      <w:pPr>
        <w:spacing w:line="360" w:lineRule="auto"/>
        <w:rPr>
          <w:b/>
          <w:bCs/>
          <w:iCs/>
          <w:sz w:val="24"/>
          <w:szCs w:val="24"/>
          <w:lang w:val="en-US"/>
        </w:rPr>
      </w:pPr>
    </w:p>
    <w:p w14:paraId="06D1004D" w14:textId="77777777" w:rsidR="00AC2369" w:rsidRDefault="00AC2369" w:rsidP="00E262FC">
      <w:pPr>
        <w:spacing w:line="360" w:lineRule="auto"/>
        <w:rPr>
          <w:b/>
          <w:bCs/>
          <w:iCs/>
          <w:sz w:val="24"/>
          <w:szCs w:val="24"/>
          <w:lang w:val="en-US"/>
        </w:rPr>
      </w:pPr>
    </w:p>
    <w:p w14:paraId="3404AB96" w14:textId="77777777" w:rsidR="00AC2369" w:rsidRDefault="00AC2369" w:rsidP="00E262FC">
      <w:pPr>
        <w:spacing w:line="360" w:lineRule="auto"/>
        <w:rPr>
          <w:b/>
          <w:bCs/>
          <w:iCs/>
          <w:sz w:val="24"/>
          <w:szCs w:val="24"/>
          <w:lang w:val="en-US"/>
        </w:rPr>
      </w:pPr>
    </w:p>
    <w:p w14:paraId="141C97E2" w14:textId="77777777" w:rsidR="00AC2369" w:rsidRDefault="00AC2369" w:rsidP="00E262FC">
      <w:pPr>
        <w:spacing w:line="360" w:lineRule="auto"/>
        <w:rPr>
          <w:b/>
          <w:bCs/>
          <w:iCs/>
          <w:sz w:val="24"/>
          <w:szCs w:val="24"/>
          <w:lang w:val="en-US"/>
        </w:rPr>
      </w:pPr>
    </w:p>
    <w:p w14:paraId="730E409C" w14:textId="77777777" w:rsidR="00AC2369" w:rsidRDefault="00AC2369" w:rsidP="00E262FC">
      <w:pPr>
        <w:spacing w:line="360" w:lineRule="auto"/>
        <w:rPr>
          <w:b/>
          <w:bCs/>
          <w:iCs/>
          <w:sz w:val="24"/>
          <w:szCs w:val="24"/>
          <w:lang w:val="en-US"/>
        </w:rPr>
      </w:pPr>
    </w:p>
    <w:p w14:paraId="74F97274" w14:textId="77777777" w:rsidR="00AC2369" w:rsidRDefault="00AC2369" w:rsidP="00E262FC">
      <w:pPr>
        <w:spacing w:line="360" w:lineRule="auto"/>
        <w:rPr>
          <w:b/>
          <w:bCs/>
          <w:iCs/>
          <w:sz w:val="24"/>
          <w:szCs w:val="24"/>
          <w:lang w:val="en-US"/>
        </w:rPr>
      </w:pPr>
    </w:p>
    <w:p w14:paraId="03C01FA8" w14:textId="77777777" w:rsidR="00AC2369" w:rsidRDefault="00AC2369" w:rsidP="00E262FC">
      <w:pPr>
        <w:spacing w:line="360" w:lineRule="auto"/>
        <w:rPr>
          <w:b/>
          <w:bCs/>
          <w:iCs/>
          <w:sz w:val="24"/>
          <w:szCs w:val="24"/>
          <w:lang w:val="en-US"/>
        </w:rPr>
      </w:pPr>
    </w:p>
    <w:p w14:paraId="023F93FF" w14:textId="77777777" w:rsidR="00AC2369" w:rsidRDefault="00AC2369" w:rsidP="00E262FC">
      <w:pPr>
        <w:spacing w:line="360" w:lineRule="auto"/>
        <w:rPr>
          <w:b/>
          <w:bCs/>
          <w:iCs/>
          <w:sz w:val="24"/>
          <w:szCs w:val="24"/>
          <w:lang w:val="en-US"/>
        </w:rPr>
      </w:pPr>
    </w:p>
    <w:p w14:paraId="6A75E5F3" w14:textId="77777777" w:rsidR="00AC2369" w:rsidRDefault="00AC2369" w:rsidP="00E262FC">
      <w:pPr>
        <w:spacing w:line="360" w:lineRule="auto"/>
        <w:rPr>
          <w:b/>
          <w:bCs/>
          <w:iCs/>
          <w:sz w:val="24"/>
          <w:szCs w:val="24"/>
          <w:lang w:val="en-US"/>
        </w:rPr>
      </w:pPr>
    </w:p>
    <w:p w14:paraId="4C7C3A59" w14:textId="77777777" w:rsidR="00AC2369" w:rsidRDefault="00AC2369" w:rsidP="00E262FC">
      <w:pPr>
        <w:spacing w:line="360" w:lineRule="auto"/>
        <w:rPr>
          <w:b/>
          <w:bCs/>
          <w:iCs/>
          <w:sz w:val="24"/>
          <w:szCs w:val="24"/>
          <w:lang w:val="en-US"/>
        </w:rPr>
      </w:pPr>
    </w:p>
    <w:p w14:paraId="61C1BBC4" w14:textId="77777777" w:rsidR="00AC2369" w:rsidRDefault="00AC2369" w:rsidP="00E262FC">
      <w:pPr>
        <w:spacing w:line="360" w:lineRule="auto"/>
        <w:rPr>
          <w:b/>
          <w:bCs/>
          <w:iCs/>
          <w:sz w:val="24"/>
          <w:szCs w:val="24"/>
          <w:lang w:val="en-US"/>
        </w:rPr>
      </w:pPr>
    </w:p>
    <w:p w14:paraId="0B817814" w14:textId="77777777" w:rsidR="00B2643A" w:rsidRDefault="00B2643A" w:rsidP="00E262FC">
      <w:pPr>
        <w:spacing w:line="360" w:lineRule="auto"/>
        <w:rPr>
          <w:b/>
          <w:bCs/>
          <w:iCs/>
          <w:sz w:val="24"/>
          <w:szCs w:val="24"/>
          <w:lang w:val="en-US"/>
        </w:rPr>
      </w:pPr>
    </w:p>
    <w:p w14:paraId="6BEC9CA8" w14:textId="77777777" w:rsidR="00B2643A" w:rsidRDefault="00B2643A" w:rsidP="00E262FC">
      <w:pPr>
        <w:spacing w:line="360" w:lineRule="auto"/>
        <w:rPr>
          <w:b/>
          <w:bCs/>
          <w:iCs/>
          <w:sz w:val="24"/>
          <w:szCs w:val="24"/>
          <w:lang w:val="en-US"/>
        </w:rPr>
      </w:pPr>
    </w:p>
    <w:p w14:paraId="74772BB6" w14:textId="77777777" w:rsidR="00132536" w:rsidRDefault="00132536" w:rsidP="00E262FC">
      <w:pPr>
        <w:spacing w:line="360" w:lineRule="auto"/>
        <w:rPr>
          <w:b/>
          <w:bCs/>
          <w:iCs/>
          <w:sz w:val="24"/>
          <w:szCs w:val="24"/>
          <w:lang w:val="en-US"/>
        </w:rPr>
      </w:pPr>
    </w:p>
    <w:p w14:paraId="7306FCC6" w14:textId="77777777" w:rsidR="00132536" w:rsidRDefault="00132536" w:rsidP="00E262FC">
      <w:pPr>
        <w:spacing w:line="360" w:lineRule="auto"/>
        <w:rPr>
          <w:b/>
          <w:bCs/>
          <w:iCs/>
          <w:sz w:val="24"/>
          <w:szCs w:val="24"/>
          <w:lang w:val="en-US"/>
        </w:rPr>
      </w:pPr>
    </w:p>
    <w:p w14:paraId="7F4639B4" w14:textId="77777777" w:rsidR="00CD4A8F" w:rsidRPr="00CD4A8F" w:rsidRDefault="00CD4A8F" w:rsidP="00CD4A8F">
      <w:pPr>
        <w:spacing w:line="360" w:lineRule="auto"/>
        <w:rPr>
          <w:b/>
          <w:bCs/>
          <w:iCs/>
          <w:sz w:val="24"/>
          <w:szCs w:val="24"/>
          <w:lang w:val="en-US"/>
        </w:rPr>
      </w:pPr>
      <w:r w:rsidRPr="00CD4A8F">
        <w:rPr>
          <w:b/>
          <w:bCs/>
          <w:iCs/>
          <w:sz w:val="24"/>
          <w:szCs w:val="24"/>
          <w:lang w:val="en-US"/>
        </w:rPr>
        <w:lastRenderedPageBreak/>
        <w:t>5.0 Financing and Capital Management</w:t>
      </w:r>
    </w:p>
    <w:p w14:paraId="4420B44A" w14:textId="77777777" w:rsidR="00CD4A8F" w:rsidRPr="00CD4A8F" w:rsidRDefault="00CD4A8F" w:rsidP="00CD4A8F">
      <w:pPr>
        <w:spacing w:line="360" w:lineRule="auto"/>
        <w:rPr>
          <w:iCs/>
          <w:sz w:val="24"/>
          <w:szCs w:val="24"/>
          <w:lang w:val="en-US"/>
        </w:rPr>
      </w:pPr>
      <w:r w:rsidRPr="00CD4A8F">
        <w:rPr>
          <w:iCs/>
          <w:sz w:val="24"/>
          <w:szCs w:val="24"/>
          <w:lang w:val="en-US"/>
        </w:rPr>
        <w:t xml:space="preserve">Tsui Wah requires capital expenditure of approximately HKD 5.08 million to develop its Shenzhen flagship restaurant, a key strategic expansion project aimed at strengthening its mainland China footprint. This section evaluates the company’s financing alternatives </w:t>
      </w:r>
      <w:proofErr w:type="gramStart"/>
      <w:r w:rsidRPr="00CD4A8F">
        <w:rPr>
          <w:iCs/>
          <w:sz w:val="24"/>
          <w:szCs w:val="24"/>
          <w:lang w:val="en-US"/>
        </w:rPr>
        <w:t>in light of</w:t>
      </w:r>
      <w:proofErr w:type="gramEnd"/>
      <w:r w:rsidRPr="00CD4A8F">
        <w:rPr>
          <w:iCs/>
          <w:sz w:val="24"/>
          <w:szCs w:val="24"/>
          <w:lang w:val="en-US"/>
        </w:rPr>
        <w:t xml:space="preserve"> its financial position as disclosed in recent annual reports and discusses their potential impact on liquidity and capital structure.</w:t>
      </w:r>
    </w:p>
    <w:p w14:paraId="6826478F" w14:textId="77777777" w:rsidR="006036EA" w:rsidRPr="006036EA" w:rsidRDefault="006036EA" w:rsidP="00E262FC">
      <w:pPr>
        <w:spacing w:line="360" w:lineRule="auto"/>
        <w:rPr>
          <w:b/>
          <w:bCs/>
          <w:iCs/>
          <w:sz w:val="24"/>
          <w:szCs w:val="24"/>
          <w:lang w:val="en-US"/>
        </w:rPr>
      </w:pPr>
      <w:r w:rsidRPr="006036EA">
        <w:rPr>
          <w:b/>
          <w:bCs/>
          <w:iCs/>
          <w:sz w:val="24"/>
          <w:szCs w:val="24"/>
          <w:lang w:val="en-US"/>
        </w:rPr>
        <w:t>5.1 Financing Methods Analysis</w:t>
      </w:r>
    </w:p>
    <w:tbl>
      <w:tblPr>
        <w:tblW w:w="8815" w:type="dxa"/>
        <w:tblLook w:val="04A0" w:firstRow="1" w:lastRow="0" w:firstColumn="1" w:lastColumn="0" w:noHBand="0" w:noVBand="1"/>
      </w:tblPr>
      <w:tblGrid>
        <w:gridCol w:w="2515"/>
        <w:gridCol w:w="785"/>
        <w:gridCol w:w="1380"/>
        <w:gridCol w:w="1640"/>
        <w:gridCol w:w="1220"/>
        <w:gridCol w:w="1275"/>
      </w:tblGrid>
      <w:tr w:rsidR="00070E71" w:rsidRPr="00070E71" w14:paraId="2A7EF74F" w14:textId="77777777" w:rsidTr="00132536">
        <w:trPr>
          <w:trHeight w:val="290"/>
        </w:trPr>
        <w:tc>
          <w:tcPr>
            <w:tcW w:w="2515" w:type="dxa"/>
            <w:tcBorders>
              <w:top w:val="single" w:sz="4" w:space="0" w:color="auto"/>
              <w:left w:val="single" w:sz="4" w:space="0" w:color="auto"/>
              <w:bottom w:val="single" w:sz="4" w:space="0" w:color="auto"/>
              <w:right w:val="single" w:sz="4" w:space="0" w:color="auto"/>
            </w:tcBorders>
            <w:shd w:val="clear" w:color="000000" w:fill="DAE9F8"/>
            <w:vAlign w:val="center"/>
            <w:hideMark/>
          </w:tcPr>
          <w:p w14:paraId="6B0C4375" w14:textId="77777777" w:rsidR="00070E71" w:rsidRPr="00070E71" w:rsidRDefault="00070E71" w:rsidP="00E262FC">
            <w:pPr>
              <w:spacing w:line="360" w:lineRule="auto"/>
              <w:rPr>
                <w:rFonts w:eastAsia="Times New Roman"/>
                <w:b/>
                <w:bCs/>
                <w:color w:val="404040"/>
                <w:sz w:val="24"/>
                <w:szCs w:val="24"/>
                <w:lang w:val="en-US" w:eastAsia="zh-TW"/>
              </w:rPr>
            </w:pPr>
            <w:r w:rsidRPr="00070E71">
              <w:rPr>
                <w:rFonts w:eastAsia="Times New Roman"/>
                <w:b/>
                <w:bCs/>
                <w:color w:val="404040"/>
                <w:sz w:val="24"/>
                <w:szCs w:val="24"/>
                <w:lang w:val="en-US" w:eastAsia="zh-TW"/>
              </w:rPr>
              <w:t>HKD million</w:t>
            </w:r>
          </w:p>
        </w:tc>
        <w:tc>
          <w:tcPr>
            <w:tcW w:w="3805" w:type="dxa"/>
            <w:gridSpan w:val="3"/>
            <w:tcBorders>
              <w:top w:val="single" w:sz="4" w:space="0" w:color="auto"/>
              <w:left w:val="nil"/>
              <w:bottom w:val="single" w:sz="4" w:space="0" w:color="auto"/>
              <w:right w:val="single" w:sz="4" w:space="0" w:color="000000"/>
            </w:tcBorders>
            <w:shd w:val="clear" w:color="000000" w:fill="DAE9F8"/>
            <w:vAlign w:val="center"/>
            <w:hideMark/>
          </w:tcPr>
          <w:p w14:paraId="5084CC39" w14:textId="77777777" w:rsidR="00070E71" w:rsidRPr="00070E71" w:rsidRDefault="00070E71" w:rsidP="00E262FC">
            <w:pPr>
              <w:spacing w:line="360" w:lineRule="auto"/>
              <w:jc w:val="center"/>
              <w:rPr>
                <w:rFonts w:eastAsia="Times New Roman"/>
                <w:b/>
                <w:bCs/>
                <w:color w:val="404040"/>
                <w:sz w:val="24"/>
                <w:szCs w:val="24"/>
                <w:lang w:val="en-US" w:eastAsia="zh-TW"/>
              </w:rPr>
            </w:pPr>
            <w:r w:rsidRPr="00070E71">
              <w:rPr>
                <w:rFonts w:eastAsia="Times New Roman"/>
                <w:b/>
                <w:bCs/>
                <w:color w:val="404040"/>
                <w:sz w:val="24"/>
                <w:szCs w:val="24"/>
                <w:lang w:val="en-US" w:eastAsia="zh-TW"/>
              </w:rPr>
              <w:t>Tsui Wah</w:t>
            </w:r>
          </w:p>
        </w:tc>
        <w:tc>
          <w:tcPr>
            <w:tcW w:w="1220" w:type="dxa"/>
            <w:tcBorders>
              <w:top w:val="single" w:sz="4" w:space="0" w:color="auto"/>
              <w:left w:val="nil"/>
              <w:bottom w:val="single" w:sz="4" w:space="0" w:color="auto"/>
              <w:right w:val="single" w:sz="4" w:space="0" w:color="auto"/>
            </w:tcBorders>
            <w:shd w:val="clear" w:color="000000" w:fill="DAE9F8"/>
            <w:vAlign w:val="center"/>
            <w:hideMark/>
          </w:tcPr>
          <w:p w14:paraId="119B9621" w14:textId="77777777" w:rsidR="00070E71" w:rsidRPr="00070E71" w:rsidRDefault="00070E71" w:rsidP="00E262FC">
            <w:pPr>
              <w:spacing w:line="360" w:lineRule="auto"/>
              <w:rPr>
                <w:rFonts w:eastAsia="Times New Roman"/>
                <w:b/>
                <w:bCs/>
                <w:color w:val="404040"/>
                <w:sz w:val="24"/>
                <w:szCs w:val="24"/>
                <w:lang w:val="en-US" w:eastAsia="zh-TW"/>
              </w:rPr>
            </w:pPr>
            <w:r w:rsidRPr="00070E71">
              <w:rPr>
                <w:rFonts w:eastAsia="Times New Roman"/>
                <w:b/>
                <w:bCs/>
                <w:color w:val="404040"/>
                <w:sz w:val="24"/>
                <w:szCs w:val="24"/>
                <w:lang w:val="en-US" w:eastAsia="zh-TW"/>
              </w:rPr>
              <w:t>Fairwood</w:t>
            </w:r>
          </w:p>
        </w:tc>
        <w:tc>
          <w:tcPr>
            <w:tcW w:w="1275" w:type="dxa"/>
            <w:tcBorders>
              <w:top w:val="single" w:sz="4" w:space="0" w:color="auto"/>
              <w:left w:val="nil"/>
              <w:bottom w:val="single" w:sz="4" w:space="0" w:color="auto"/>
              <w:right w:val="single" w:sz="4" w:space="0" w:color="auto"/>
            </w:tcBorders>
            <w:shd w:val="clear" w:color="000000" w:fill="DAE9F8"/>
            <w:vAlign w:val="center"/>
            <w:hideMark/>
          </w:tcPr>
          <w:p w14:paraId="18DB274A" w14:textId="77777777" w:rsidR="00070E71" w:rsidRPr="00070E71" w:rsidRDefault="00070E71" w:rsidP="00E262FC">
            <w:pPr>
              <w:spacing w:line="360" w:lineRule="auto"/>
              <w:rPr>
                <w:rFonts w:eastAsia="Times New Roman"/>
                <w:b/>
                <w:bCs/>
                <w:color w:val="404040"/>
                <w:sz w:val="24"/>
                <w:szCs w:val="24"/>
                <w:lang w:val="en-US" w:eastAsia="zh-TW"/>
              </w:rPr>
            </w:pPr>
            <w:r w:rsidRPr="00070E71">
              <w:rPr>
                <w:rFonts w:eastAsia="Times New Roman"/>
                <w:b/>
                <w:bCs/>
                <w:color w:val="404040"/>
                <w:sz w:val="24"/>
                <w:szCs w:val="24"/>
                <w:lang w:val="en-US" w:eastAsia="zh-TW"/>
              </w:rPr>
              <w:t>Tai Hing</w:t>
            </w:r>
          </w:p>
        </w:tc>
      </w:tr>
      <w:tr w:rsidR="00937F54" w:rsidRPr="00070E71" w14:paraId="1441E270" w14:textId="77777777" w:rsidTr="00132536">
        <w:trPr>
          <w:trHeight w:val="290"/>
        </w:trPr>
        <w:tc>
          <w:tcPr>
            <w:tcW w:w="2515" w:type="dxa"/>
            <w:tcBorders>
              <w:top w:val="nil"/>
              <w:left w:val="single" w:sz="4" w:space="0" w:color="auto"/>
              <w:bottom w:val="single" w:sz="4" w:space="0" w:color="auto"/>
              <w:right w:val="single" w:sz="4" w:space="0" w:color="auto"/>
            </w:tcBorders>
            <w:shd w:val="clear" w:color="000000" w:fill="DAE9F8"/>
            <w:vAlign w:val="center"/>
            <w:hideMark/>
          </w:tcPr>
          <w:p w14:paraId="63E258BB" w14:textId="3C204E88" w:rsidR="00070E71" w:rsidRPr="00070E71" w:rsidRDefault="00070E71" w:rsidP="00E262FC">
            <w:pPr>
              <w:spacing w:line="360" w:lineRule="auto"/>
              <w:rPr>
                <w:rFonts w:eastAsia="Times New Roman"/>
                <w:b/>
                <w:bCs/>
                <w:color w:val="404040"/>
                <w:sz w:val="24"/>
                <w:szCs w:val="24"/>
                <w:lang w:val="en-US" w:eastAsia="zh-TW"/>
              </w:rPr>
            </w:pPr>
            <w:r w:rsidRPr="00070E71">
              <w:rPr>
                <w:rFonts w:eastAsia="Times New Roman"/>
                <w:b/>
                <w:bCs/>
                <w:color w:val="404040"/>
                <w:sz w:val="24"/>
                <w:szCs w:val="24"/>
                <w:lang w:val="en-US" w:eastAsia="zh-TW"/>
              </w:rPr>
              <w:t> </w:t>
            </w:r>
            <w:r w:rsidR="00132536">
              <w:rPr>
                <w:rFonts w:eastAsia="Times New Roman"/>
                <w:b/>
                <w:bCs/>
                <w:color w:val="404040"/>
                <w:sz w:val="24"/>
                <w:szCs w:val="24"/>
                <w:lang w:val="en-US" w:eastAsia="zh-TW"/>
              </w:rPr>
              <w:t>(Years)</w:t>
            </w:r>
          </w:p>
        </w:tc>
        <w:tc>
          <w:tcPr>
            <w:tcW w:w="785" w:type="dxa"/>
            <w:tcBorders>
              <w:top w:val="nil"/>
              <w:left w:val="nil"/>
              <w:bottom w:val="single" w:sz="4" w:space="0" w:color="auto"/>
              <w:right w:val="single" w:sz="4" w:space="0" w:color="auto"/>
            </w:tcBorders>
            <w:shd w:val="clear" w:color="000000" w:fill="DAE9F8"/>
            <w:vAlign w:val="center"/>
            <w:hideMark/>
          </w:tcPr>
          <w:p w14:paraId="7D72DF43" w14:textId="77777777" w:rsidR="00070E71" w:rsidRPr="00070E71" w:rsidRDefault="00070E71" w:rsidP="00E262FC">
            <w:pPr>
              <w:spacing w:line="360" w:lineRule="auto"/>
              <w:rPr>
                <w:rFonts w:eastAsia="Times New Roman"/>
                <w:b/>
                <w:bCs/>
                <w:color w:val="404040"/>
                <w:sz w:val="24"/>
                <w:szCs w:val="24"/>
                <w:lang w:val="en-US" w:eastAsia="zh-TW"/>
              </w:rPr>
            </w:pPr>
            <w:r w:rsidRPr="00070E71">
              <w:rPr>
                <w:rFonts w:eastAsia="Times New Roman"/>
                <w:b/>
                <w:bCs/>
                <w:color w:val="404040"/>
                <w:sz w:val="24"/>
                <w:szCs w:val="24"/>
                <w:lang w:val="en-US" w:eastAsia="zh-TW"/>
              </w:rPr>
              <w:t>2022</w:t>
            </w:r>
          </w:p>
        </w:tc>
        <w:tc>
          <w:tcPr>
            <w:tcW w:w="1380" w:type="dxa"/>
            <w:tcBorders>
              <w:top w:val="nil"/>
              <w:left w:val="nil"/>
              <w:bottom w:val="single" w:sz="4" w:space="0" w:color="auto"/>
              <w:right w:val="single" w:sz="4" w:space="0" w:color="auto"/>
            </w:tcBorders>
            <w:shd w:val="clear" w:color="000000" w:fill="DAE9F8"/>
            <w:vAlign w:val="center"/>
            <w:hideMark/>
          </w:tcPr>
          <w:p w14:paraId="3AEC0BAB" w14:textId="77777777" w:rsidR="00070E71" w:rsidRPr="00070E71" w:rsidRDefault="00070E71" w:rsidP="00E262FC">
            <w:pPr>
              <w:spacing w:line="360" w:lineRule="auto"/>
              <w:rPr>
                <w:rFonts w:eastAsia="Times New Roman"/>
                <w:b/>
                <w:bCs/>
                <w:color w:val="404040"/>
                <w:sz w:val="24"/>
                <w:szCs w:val="24"/>
                <w:lang w:val="en-US" w:eastAsia="zh-TW"/>
              </w:rPr>
            </w:pPr>
            <w:r w:rsidRPr="00070E71">
              <w:rPr>
                <w:rFonts w:eastAsia="Times New Roman"/>
                <w:b/>
                <w:bCs/>
                <w:color w:val="404040"/>
                <w:sz w:val="24"/>
                <w:szCs w:val="24"/>
                <w:lang w:val="en-US" w:eastAsia="zh-TW"/>
              </w:rPr>
              <w:t>2023</w:t>
            </w:r>
          </w:p>
        </w:tc>
        <w:tc>
          <w:tcPr>
            <w:tcW w:w="1640" w:type="dxa"/>
            <w:tcBorders>
              <w:top w:val="nil"/>
              <w:left w:val="nil"/>
              <w:bottom w:val="single" w:sz="4" w:space="0" w:color="auto"/>
              <w:right w:val="single" w:sz="4" w:space="0" w:color="auto"/>
            </w:tcBorders>
            <w:shd w:val="clear" w:color="000000" w:fill="DAE9F8"/>
            <w:vAlign w:val="center"/>
            <w:hideMark/>
          </w:tcPr>
          <w:p w14:paraId="0C88828E" w14:textId="77777777" w:rsidR="00070E71" w:rsidRPr="00070E71" w:rsidRDefault="00070E71" w:rsidP="00E262FC">
            <w:pPr>
              <w:spacing w:line="360" w:lineRule="auto"/>
              <w:rPr>
                <w:rFonts w:eastAsia="Times New Roman"/>
                <w:b/>
                <w:bCs/>
                <w:color w:val="404040"/>
                <w:sz w:val="24"/>
                <w:szCs w:val="24"/>
                <w:lang w:val="en-US" w:eastAsia="zh-TW"/>
              </w:rPr>
            </w:pPr>
            <w:r w:rsidRPr="00070E71">
              <w:rPr>
                <w:rFonts w:eastAsia="Times New Roman"/>
                <w:b/>
                <w:bCs/>
                <w:color w:val="404040"/>
                <w:sz w:val="24"/>
                <w:szCs w:val="24"/>
                <w:lang w:val="en-US" w:eastAsia="zh-TW"/>
              </w:rPr>
              <w:t>2024</w:t>
            </w:r>
          </w:p>
        </w:tc>
        <w:tc>
          <w:tcPr>
            <w:tcW w:w="1220" w:type="dxa"/>
            <w:tcBorders>
              <w:top w:val="nil"/>
              <w:left w:val="nil"/>
              <w:bottom w:val="single" w:sz="4" w:space="0" w:color="auto"/>
              <w:right w:val="single" w:sz="4" w:space="0" w:color="auto"/>
            </w:tcBorders>
            <w:shd w:val="clear" w:color="000000" w:fill="DAE9F8"/>
            <w:vAlign w:val="center"/>
            <w:hideMark/>
          </w:tcPr>
          <w:p w14:paraId="6C05367C" w14:textId="77777777" w:rsidR="00070E71" w:rsidRPr="00070E71" w:rsidRDefault="00070E71" w:rsidP="00E262FC">
            <w:pPr>
              <w:spacing w:line="360" w:lineRule="auto"/>
              <w:rPr>
                <w:rFonts w:eastAsia="Times New Roman"/>
                <w:b/>
                <w:bCs/>
                <w:color w:val="404040"/>
                <w:sz w:val="24"/>
                <w:szCs w:val="24"/>
                <w:lang w:val="en-US" w:eastAsia="zh-TW"/>
              </w:rPr>
            </w:pPr>
            <w:r w:rsidRPr="00070E71">
              <w:rPr>
                <w:rFonts w:eastAsia="Times New Roman"/>
                <w:b/>
                <w:bCs/>
                <w:color w:val="404040"/>
                <w:sz w:val="24"/>
                <w:szCs w:val="24"/>
                <w:lang w:val="en-US" w:eastAsia="zh-TW"/>
              </w:rPr>
              <w:t>2024</w:t>
            </w:r>
          </w:p>
        </w:tc>
        <w:tc>
          <w:tcPr>
            <w:tcW w:w="1275" w:type="dxa"/>
            <w:tcBorders>
              <w:top w:val="nil"/>
              <w:left w:val="nil"/>
              <w:bottom w:val="single" w:sz="4" w:space="0" w:color="auto"/>
              <w:right w:val="single" w:sz="4" w:space="0" w:color="auto"/>
            </w:tcBorders>
            <w:shd w:val="clear" w:color="000000" w:fill="DAE9F8"/>
            <w:vAlign w:val="center"/>
            <w:hideMark/>
          </w:tcPr>
          <w:p w14:paraId="1F081608" w14:textId="77777777" w:rsidR="00070E71" w:rsidRPr="00070E71" w:rsidRDefault="00070E71" w:rsidP="00E262FC">
            <w:pPr>
              <w:spacing w:line="360" w:lineRule="auto"/>
              <w:rPr>
                <w:rFonts w:eastAsia="Times New Roman"/>
                <w:b/>
                <w:bCs/>
                <w:color w:val="404040"/>
                <w:sz w:val="24"/>
                <w:szCs w:val="24"/>
                <w:lang w:val="en-US" w:eastAsia="zh-TW"/>
              </w:rPr>
            </w:pPr>
            <w:r w:rsidRPr="00070E71">
              <w:rPr>
                <w:rFonts w:eastAsia="Times New Roman"/>
                <w:b/>
                <w:bCs/>
                <w:color w:val="404040"/>
                <w:sz w:val="24"/>
                <w:szCs w:val="24"/>
                <w:lang w:val="en-US" w:eastAsia="zh-TW"/>
              </w:rPr>
              <w:t>2024</w:t>
            </w:r>
          </w:p>
        </w:tc>
      </w:tr>
      <w:tr w:rsidR="00937F54" w:rsidRPr="00070E71" w14:paraId="22D8F798" w14:textId="77777777" w:rsidTr="00132536">
        <w:trPr>
          <w:trHeight w:val="290"/>
        </w:trPr>
        <w:tc>
          <w:tcPr>
            <w:tcW w:w="2515" w:type="dxa"/>
            <w:tcBorders>
              <w:top w:val="nil"/>
              <w:left w:val="single" w:sz="4" w:space="0" w:color="auto"/>
              <w:bottom w:val="single" w:sz="4" w:space="0" w:color="auto"/>
              <w:right w:val="single" w:sz="4" w:space="0" w:color="auto"/>
            </w:tcBorders>
            <w:shd w:val="clear" w:color="000000" w:fill="DAE9F8"/>
            <w:vAlign w:val="center"/>
            <w:hideMark/>
          </w:tcPr>
          <w:p w14:paraId="3E9898A3" w14:textId="77777777" w:rsidR="00070E71" w:rsidRPr="00070E71" w:rsidRDefault="00070E71" w:rsidP="00E262FC">
            <w:pPr>
              <w:spacing w:line="360" w:lineRule="auto"/>
              <w:rPr>
                <w:rFonts w:eastAsia="Times New Roman"/>
                <w:b/>
                <w:bCs/>
                <w:color w:val="404040"/>
                <w:sz w:val="24"/>
                <w:szCs w:val="24"/>
                <w:lang w:val="en-US" w:eastAsia="zh-TW"/>
              </w:rPr>
            </w:pPr>
            <w:r w:rsidRPr="00070E71">
              <w:rPr>
                <w:rFonts w:eastAsia="Times New Roman"/>
                <w:b/>
                <w:bCs/>
                <w:color w:val="404040"/>
                <w:sz w:val="24"/>
                <w:szCs w:val="24"/>
                <w:lang w:val="en-US" w:eastAsia="zh-TW"/>
              </w:rPr>
              <w:t>Cash and equivalents</w:t>
            </w:r>
          </w:p>
        </w:tc>
        <w:tc>
          <w:tcPr>
            <w:tcW w:w="785" w:type="dxa"/>
            <w:tcBorders>
              <w:top w:val="nil"/>
              <w:left w:val="nil"/>
              <w:bottom w:val="single" w:sz="4" w:space="0" w:color="auto"/>
              <w:right w:val="single" w:sz="4" w:space="0" w:color="auto"/>
            </w:tcBorders>
            <w:shd w:val="clear" w:color="000000" w:fill="DAE9F8"/>
            <w:vAlign w:val="center"/>
            <w:hideMark/>
          </w:tcPr>
          <w:p w14:paraId="7F2476A9"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w:t>
            </w:r>
          </w:p>
        </w:tc>
        <w:tc>
          <w:tcPr>
            <w:tcW w:w="1380" w:type="dxa"/>
            <w:tcBorders>
              <w:top w:val="nil"/>
              <w:left w:val="nil"/>
              <w:bottom w:val="single" w:sz="4" w:space="0" w:color="auto"/>
              <w:right w:val="single" w:sz="4" w:space="0" w:color="auto"/>
            </w:tcBorders>
            <w:shd w:val="clear" w:color="000000" w:fill="DAE9F8"/>
            <w:vAlign w:val="center"/>
            <w:hideMark/>
          </w:tcPr>
          <w:p w14:paraId="34E91C3E"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15.7</w:t>
            </w:r>
          </w:p>
        </w:tc>
        <w:tc>
          <w:tcPr>
            <w:tcW w:w="1640" w:type="dxa"/>
            <w:tcBorders>
              <w:top w:val="nil"/>
              <w:left w:val="nil"/>
              <w:bottom w:val="single" w:sz="4" w:space="0" w:color="auto"/>
              <w:right w:val="single" w:sz="4" w:space="0" w:color="auto"/>
            </w:tcBorders>
            <w:shd w:val="clear" w:color="000000" w:fill="DAE9F8"/>
            <w:vAlign w:val="center"/>
            <w:hideMark/>
          </w:tcPr>
          <w:p w14:paraId="6DED5142"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w:t>
            </w:r>
          </w:p>
        </w:tc>
        <w:tc>
          <w:tcPr>
            <w:tcW w:w="1220" w:type="dxa"/>
            <w:tcBorders>
              <w:top w:val="nil"/>
              <w:left w:val="nil"/>
              <w:bottom w:val="single" w:sz="4" w:space="0" w:color="auto"/>
              <w:right w:val="single" w:sz="4" w:space="0" w:color="auto"/>
            </w:tcBorders>
            <w:shd w:val="clear" w:color="000000" w:fill="DAE9F8"/>
            <w:vAlign w:val="center"/>
            <w:hideMark/>
          </w:tcPr>
          <w:p w14:paraId="44534FE8"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572.6</w:t>
            </w:r>
          </w:p>
        </w:tc>
        <w:tc>
          <w:tcPr>
            <w:tcW w:w="1275" w:type="dxa"/>
            <w:tcBorders>
              <w:top w:val="nil"/>
              <w:left w:val="nil"/>
              <w:bottom w:val="single" w:sz="4" w:space="0" w:color="auto"/>
              <w:right w:val="single" w:sz="4" w:space="0" w:color="auto"/>
            </w:tcBorders>
            <w:shd w:val="clear" w:color="000000" w:fill="DAE9F8"/>
            <w:vAlign w:val="center"/>
            <w:hideMark/>
          </w:tcPr>
          <w:p w14:paraId="4B2D45BB"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276.9</w:t>
            </w:r>
          </w:p>
        </w:tc>
      </w:tr>
      <w:tr w:rsidR="00937F54" w:rsidRPr="00070E71" w14:paraId="6F9B7FA6" w14:textId="77777777" w:rsidTr="00132536">
        <w:trPr>
          <w:trHeight w:val="290"/>
        </w:trPr>
        <w:tc>
          <w:tcPr>
            <w:tcW w:w="2515" w:type="dxa"/>
            <w:tcBorders>
              <w:top w:val="nil"/>
              <w:left w:val="single" w:sz="4" w:space="0" w:color="auto"/>
              <w:bottom w:val="single" w:sz="4" w:space="0" w:color="auto"/>
              <w:right w:val="single" w:sz="4" w:space="0" w:color="auto"/>
            </w:tcBorders>
            <w:shd w:val="clear" w:color="000000" w:fill="DAE9F8"/>
            <w:vAlign w:val="center"/>
            <w:hideMark/>
          </w:tcPr>
          <w:p w14:paraId="789F41D4" w14:textId="77777777" w:rsidR="00070E71" w:rsidRPr="00070E71" w:rsidRDefault="00070E71" w:rsidP="00E262FC">
            <w:pPr>
              <w:spacing w:line="360" w:lineRule="auto"/>
              <w:rPr>
                <w:rFonts w:eastAsia="Times New Roman"/>
                <w:b/>
                <w:bCs/>
                <w:color w:val="404040"/>
                <w:sz w:val="24"/>
                <w:szCs w:val="24"/>
                <w:lang w:val="en-US" w:eastAsia="zh-TW"/>
              </w:rPr>
            </w:pPr>
            <w:r w:rsidRPr="00070E71">
              <w:rPr>
                <w:rFonts w:eastAsia="Times New Roman"/>
                <w:b/>
                <w:bCs/>
                <w:color w:val="404040"/>
                <w:sz w:val="24"/>
                <w:szCs w:val="24"/>
                <w:lang w:val="en-US" w:eastAsia="zh-TW"/>
              </w:rPr>
              <w:t>Bank loans</w:t>
            </w:r>
          </w:p>
        </w:tc>
        <w:tc>
          <w:tcPr>
            <w:tcW w:w="785" w:type="dxa"/>
            <w:tcBorders>
              <w:top w:val="nil"/>
              <w:left w:val="nil"/>
              <w:bottom w:val="single" w:sz="4" w:space="0" w:color="auto"/>
              <w:right w:val="single" w:sz="4" w:space="0" w:color="auto"/>
            </w:tcBorders>
            <w:shd w:val="clear" w:color="000000" w:fill="DAE9F8"/>
            <w:vAlign w:val="center"/>
            <w:hideMark/>
          </w:tcPr>
          <w:p w14:paraId="10AD6A63"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w:t>
            </w:r>
          </w:p>
        </w:tc>
        <w:tc>
          <w:tcPr>
            <w:tcW w:w="1380" w:type="dxa"/>
            <w:tcBorders>
              <w:top w:val="nil"/>
              <w:left w:val="nil"/>
              <w:bottom w:val="single" w:sz="4" w:space="0" w:color="auto"/>
              <w:right w:val="single" w:sz="4" w:space="0" w:color="auto"/>
            </w:tcBorders>
            <w:shd w:val="clear" w:color="000000" w:fill="DAE9F8"/>
            <w:vAlign w:val="center"/>
            <w:hideMark/>
          </w:tcPr>
          <w:p w14:paraId="67D721EB"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w:t>
            </w:r>
          </w:p>
        </w:tc>
        <w:tc>
          <w:tcPr>
            <w:tcW w:w="1640" w:type="dxa"/>
            <w:tcBorders>
              <w:top w:val="nil"/>
              <w:left w:val="nil"/>
              <w:bottom w:val="single" w:sz="4" w:space="0" w:color="auto"/>
              <w:right w:val="single" w:sz="4" w:space="0" w:color="auto"/>
            </w:tcBorders>
            <w:shd w:val="clear" w:color="000000" w:fill="DAE9F8"/>
            <w:vAlign w:val="center"/>
            <w:hideMark/>
          </w:tcPr>
          <w:p w14:paraId="433D18ED"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w:t>
            </w:r>
          </w:p>
        </w:tc>
        <w:tc>
          <w:tcPr>
            <w:tcW w:w="1220" w:type="dxa"/>
            <w:tcBorders>
              <w:top w:val="nil"/>
              <w:left w:val="nil"/>
              <w:bottom w:val="single" w:sz="4" w:space="0" w:color="auto"/>
              <w:right w:val="single" w:sz="4" w:space="0" w:color="auto"/>
            </w:tcBorders>
            <w:shd w:val="clear" w:color="000000" w:fill="DAE9F8"/>
            <w:vAlign w:val="center"/>
            <w:hideMark/>
          </w:tcPr>
          <w:p w14:paraId="19F20CCC"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w:t>
            </w:r>
          </w:p>
        </w:tc>
        <w:tc>
          <w:tcPr>
            <w:tcW w:w="1275" w:type="dxa"/>
            <w:tcBorders>
              <w:top w:val="nil"/>
              <w:left w:val="nil"/>
              <w:bottom w:val="single" w:sz="4" w:space="0" w:color="auto"/>
              <w:right w:val="single" w:sz="4" w:space="0" w:color="auto"/>
            </w:tcBorders>
            <w:shd w:val="clear" w:color="000000" w:fill="DAE9F8"/>
            <w:vAlign w:val="center"/>
            <w:hideMark/>
          </w:tcPr>
          <w:p w14:paraId="75E1B9A2"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w:t>
            </w:r>
          </w:p>
        </w:tc>
      </w:tr>
      <w:tr w:rsidR="00937F54" w:rsidRPr="00070E71" w14:paraId="06AB85D2" w14:textId="77777777" w:rsidTr="00132536">
        <w:trPr>
          <w:trHeight w:val="290"/>
        </w:trPr>
        <w:tc>
          <w:tcPr>
            <w:tcW w:w="2515" w:type="dxa"/>
            <w:tcBorders>
              <w:top w:val="nil"/>
              <w:left w:val="single" w:sz="4" w:space="0" w:color="auto"/>
              <w:bottom w:val="single" w:sz="4" w:space="0" w:color="auto"/>
              <w:right w:val="single" w:sz="4" w:space="0" w:color="auto"/>
            </w:tcBorders>
            <w:shd w:val="clear" w:color="000000" w:fill="DAE9F8"/>
            <w:vAlign w:val="center"/>
            <w:hideMark/>
          </w:tcPr>
          <w:p w14:paraId="3B7CF0A0" w14:textId="77777777" w:rsidR="00070E71" w:rsidRPr="00070E71" w:rsidRDefault="00070E71" w:rsidP="00E262FC">
            <w:pPr>
              <w:spacing w:line="360" w:lineRule="auto"/>
              <w:rPr>
                <w:rFonts w:eastAsia="Times New Roman"/>
                <w:b/>
                <w:bCs/>
                <w:color w:val="404040"/>
                <w:sz w:val="24"/>
                <w:szCs w:val="24"/>
                <w:lang w:val="en-US" w:eastAsia="zh-TW"/>
              </w:rPr>
            </w:pPr>
            <w:r w:rsidRPr="00070E71">
              <w:rPr>
                <w:rFonts w:eastAsia="Times New Roman"/>
                <w:b/>
                <w:bCs/>
                <w:color w:val="404040"/>
                <w:sz w:val="24"/>
                <w:szCs w:val="24"/>
                <w:lang w:val="en-US" w:eastAsia="zh-TW"/>
              </w:rPr>
              <w:t>Cash ratio</w:t>
            </w:r>
          </w:p>
        </w:tc>
        <w:tc>
          <w:tcPr>
            <w:tcW w:w="785" w:type="dxa"/>
            <w:tcBorders>
              <w:top w:val="nil"/>
              <w:left w:val="nil"/>
              <w:bottom w:val="single" w:sz="4" w:space="0" w:color="auto"/>
              <w:right w:val="single" w:sz="4" w:space="0" w:color="auto"/>
            </w:tcBorders>
            <w:shd w:val="clear" w:color="000000" w:fill="DAE9F8"/>
            <w:vAlign w:val="center"/>
            <w:hideMark/>
          </w:tcPr>
          <w:p w14:paraId="43280490"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w:t>
            </w:r>
          </w:p>
        </w:tc>
        <w:tc>
          <w:tcPr>
            <w:tcW w:w="1380" w:type="dxa"/>
            <w:tcBorders>
              <w:top w:val="nil"/>
              <w:left w:val="nil"/>
              <w:bottom w:val="single" w:sz="4" w:space="0" w:color="auto"/>
              <w:right w:val="single" w:sz="4" w:space="0" w:color="auto"/>
            </w:tcBorders>
            <w:shd w:val="clear" w:color="000000" w:fill="DAE9F8"/>
            <w:vAlign w:val="center"/>
            <w:hideMark/>
          </w:tcPr>
          <w:p w14:paraId="7143EB5D"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0.07</w:t>
            </w:r>
          </w:p>
        </w:tc>
        <w:tc>
          <w:tcPr>
            <w:tcW w:w="1640" w:type="dxa"/>
            <w:tcBorders>
              <w:top w:val="nil"/>
              <w:left w:val="nil"/>
              <w:bottom w:val="single" w:sz="4" w:space="0" w:color="auto"/>
              <w:right w:val="single" w:sz="4" w:space="0" w:color="auto"/>
            </w:tcBorders>
            <w:shd w:val="clear" w:color="000000" w:fill="DAE9F8"/>
            <w:vAlign w:val="center"/>
            <w:hideMark/>
          </w:tcPr>
          <w:p w14:paraId="55A953EF"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w:t>
            </w:r>
          </w:p>
        </w:tc>
        <w:tc>
          <w:tcPr>
            <w:tcW w:w="1220" w:type="dxa"/>
            <w:tcBorders>
              <w:top w:val="nil"/>
              <w:left w:val="nil"/>
              <w:bottom w:val="single" w:sz="4" w:space="0" w:color="auto"/>
              <w:right w:val="single" w:sz="4" w:space="0" w:color="auto"/>
            </w:tcBorders>
            <w:shd w:val="clear" w:color="000000" w:fill="DAE9F8"/>
            <w:vAlign w:val="center"/>
            <w:hideMark/>
          </w:tcPr>
          <w:p w14:paraId="5C05C91F"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4.7</w:t>
            </w:r>
          </w:p>
        </w:tc>
        <w:tc>
          <w:tcPr>
            <w:tcW w:w="1275" w:type="dxa"/>
            <w:tcBorders>
              <w:top w:val="nil"/>
              <w:left w:val="nil"/>
              <w:bottom w:val="single" w:sz="4" w:space="0" w:color="auto"/>
              <w:right w:val="single" w:sz="4" w:space="0" w:color="auto"/>
            </w:tcBorders>
            <w:shd w:val="clear" w:color="000000" w:fill="DAE9F8"/>
            <w:vAlign w:val="center"/>
            <w:hideMark/>
          </w:tcPr>
          <w:p w14:paraId="6501872C"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1.25</w:t>
            </w:r>
          </w:p>
        </w:tc>
      </w:tr>
      <w:tr w:rsidR="00937F54" w:rsidRPr="00070E71" w14:paraId="3C034DBA" w14:textId="77777777" w:rsidTr="00132536">
        <w:trPr>
          <w:trHeight w:val="290"/>
        </w:trPr>
        <w:tc>
          <w:tcPr>
            <w:tcW w:w="2515" w:type="dxa"/>
            <w:tcBorders>
              <w:top w:val="nil"/>
              <w:left w:val="single" w:sz="4" w:space="0" w:color="auto"/>
              <w:bottom w:val="single" w:sz="4" w:space="0" w:color="auto"/>
              <w:right w:val="single" w:sz="4" w:space="0" w:color="auto"/>
            </w:tcBorders>
            <w:shd w:val="clear" w:color="000000" w:fill="DAE9F8"/>
            <w:vAlign w:val="center"/>
            <w:hideMark/>
          </w:tcPr>
          <w:p w14:paraId="7D396CCD" w14:textId="77777777" w:rsidR="00070E71" w:rsidRPr="00070E71" w:rsidRDefault="00070E71" w:rsidP="00E262FC">
            <w:pPr>
              <w:spacing w:line="360" w:lineRule="auto"/>
              <w:rPr>
                <w:rFonts w:eastAsia="Times New Roman"/>
                <w:b/>
                <w:bCs/>
                <w:color w:val="404040"/>
                <w:sz w:val="24"/>
                <w:szCs w:val="24"/>
                <w:lang w:val="en-US" w:eastAsia="zh-TW"/>
              </w:rPr>
            </w:pPr>
            <w:r w:rsidRPr="00070E71">
              <w:rPr>
                <w:rFonts w:eastAsia="Times New Roman"/>
                <w:b/>
                <w:bCs/>
                <w:color w:val="404040"/>
                <w:sz w:val="24"/>
                <w:szCs w:val="24"/>
                <w:lang w:val="en-US" w:eastAsia="zh-TW"/>
              </w:rPr>
              <w:t>Retained earnings</w:t>
            </w:r>
          </w:p>
        </w:tc>
        <w:tc>
          <w:tcPr>
            <w:tcW w:w="785" w:type="dxa"/>
            <w:tcBorders>
              <w:top w:val="nil"/>
              <w:left w:val="nil"/>
              <w:bottom w:val="single" w:sz="4" w:space="0" w:color="auto"/>
              <w:right w:val="single" w:sz="4" w:space="0" w:color="auto"/>
            </w:tcBorders>
            <w:shd w:val="clear" w:color="000000" w:fill="DAE9F8"/>
            <w:vAlign w:val="center"/>
            <w:hideMark/>
          </w:tcPr>
          <w:p w14:paraId="1F0FF86C"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501.2</w:t>
            </w:r>
          </w:p>
        </w:tc>
        <w:tc>
          <w:tcPr>
            <w:tcW w:w="1380" w:type="dxa"/>
            <w:tcBorders>
              <w:top w:val="nil"/>
              <w:left w:val="nil"/>
              <w:bottom w:val="single" w:sz="4" w:space="0" w:color="auto"/>
              <w:right w:val="single" w:sz="4" w:space="0" w:color="auto"/>
            </w:tcBorders>
            <w:shd w:val="clear" w:color="000000" w:fill="DAE9F8"/>
            <w:vAlign w:val="center"/>
            <w:hideMark/>
          </w:tcPr>
          <w:p w14:paraId="42BA1C21"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436.6</w:t>
            </w:r>
          </w:p>
        </w:tc>
        <w:tc>
          <w:tcPr>
            <w:tcW w:w="1640" w:type="dxa"/>
            <w:tcBorders>
              <w:top w:val="nil"/>
              <w:left w:val="nil"/>
              <w:bottom w:val="single" w:sz="4" w:space="0" w:color="auto"/>
              <w:right w:val="single" w:sz="4" w:space="0" w:color="auto"/>
            </w:tcBorders>
            <w:shd w:val="clear" w:color="000000" w:fill="DAE9F8"/>
            <w:vAlign w:val="center"/>
            <w:hideMark/>
          </w:tcPr>
          <w:p w14:paraId="78D5F01B"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381.5</w:t>
            </w:r>
          </w:p>
        </w:tc>
        <w:tc>
          <w:tcPr>
            <w:tcW w:w="1220" w:type="dxa"/>
            <w:tcBorders>
              <w:top w:val="nil"/>
              <w:left w:val="nil"/>
              <w:bottom w:val="single" w:sz="4" w:space="0" w:color="auto"/>
              <w:right w:val="single" w:sz="4" w:space="0" w:color="auto"/>
            </w:tcBorders>
            <w:shd w:val="clear" w:color="000000" w:fill="DAE9F8"/>
            <w:vAlign w:val="center"/>
            <w:hideMark/>
          </w:tcPr>
          <w:p w14:paraId="42693F02"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N/A</w:t>
            </w:r>
          </w:p>
        </w:tc>
        <w:tc>
          <w:tcPr>
            <w:tcW w:w="1275" w:type="dxa"/>
            <w:tcBorders>
              <w:top w:val="nil"/>
              <w:left w:val="nil"/>
              <w:bottom w:val="single" w:sz="4" w:space="0" w:color="auto"/>
              <w:right w:val="single" w:sz="4" w:space="0" w:color="auto"/>
            </w:tcBorders>
            <w:shd w:val="clear" w:color="000000" w:fill="DAE9F8"/>
            <w:vAlign w:val="center"/>
            <w:hideMark/>
          </w:tcPr>
          <w:p w14:paraId="5AA30BAA"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N/A</w:t>
            </w:r>
          </w:p>
        </w:tc>
      </w:tr>
      <w:tr w:rsidR="00937F54" w:rsidRPr="00070E71" w14:paraId="0B3842F5" w14:textId="77777777" w:rsidTr="00132536">
        <w:trPr>
          <w:trHeight w:val="290"/>
        </w:trPr>
        <w:tc>
          <w:tcPr>
            <w:tcW w:w="2515" w:type="dxa"/>
            <w:tcBorders>
              <w:top w:val="nil"/>
              <w:left w:val="single" w:sz="4" w:space="0" w:color="auto"/>
              <w:bottom w:val="single" w:sz="4" w:space="0" w:color="auto"/>
              <w:right w:val="single" w:sz="4" w:space="0" w:color="auto"/>
            </w:tcBorders>
            <w:shd w:val="clear" w:color="000000" w:fill="DAE9F8"/>
            <w:vAlign w:val="center"/>
            <w:hideMark/>
          </w:tcPr>
          <w:p w14:paraId="65C9B1A8" w14:textId="77777777" w:rsidR="00070E71" w:rsidRPr="00070E71" w:rsidRDefault="00070E71" w:rsidP="00E262FC">
            <w:pPr>
              <w:spacing w:line="360" w:lineRule="auto"/>
              <w:rPr>
                <w:rFonts w:eastAsia="Times New Roman"/>
                <w:b/>
                <w:bCs/>
                <w:color w:val="404040"/>
                <w:sz w:val="24"/>
                <w:szCs w:val="24"/>
                <w:lang w:val="en-US" w:eastAsia="zh-TW"/>
              </w:rPr>
            </w:pPr>
            <w:r w:rsidRPr="00070E71">
              <w:rPr>
                <w:rFonts w:eastAsia="Times New Roman"/>
                <w:b/>
                <w:bCs/>
                <w:color w:val="404040"/>
                <w:sz w:val="24"/>
                <w:szCs w:val="24"/>
                <w:lang w:val="en-US" w:eastAsia="zh-TW"/>
              </w:rPr>
              <w:t>Net debt ratio</w:t>
            </w:r>
          </w:p>
        </w:tc>
        <w:tc>
          <w:tcPr>
            <w:tcW w:w="785" w:type="dxa"/>
            <w:tcBorders>
              <w:top w:val="nil"/>
              <w:left w:val="nil"/>
              <w:bottom w:val="single" w:sz="4" w:space="0" w:color="auto"/>
              <w:right w:val="single" w:sz="4" w:space="0" w:color="auto"/>
            </w:tcBorders>
            <w:shd w:val="clear" w:color="000000" w:fill="DAE9F8"/>
            <w:vAlign w:val="center"/>
            <w:hideMark/>
          </w:tcPr>
          <w:p w14:paraId="05B1791D"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w:t>
            </w:r>
          </w:p>
        </w:tc>
        <w:tc>
          <w:tcPr>
            <w:tcW w:w="1380" w:type="dxa"/>
            <w:tcBorders>
              <w:top w:val="nil"/>
              <w:left w:val="nil"/>
              <w:bottom w:val="single" w:sz="4" w:space="0" w:color="auto"/>
              <w:right w:val="single" w:sz="4" w:space="0" w:color="auto"/>
            </w:tcBorders>
            <w:shd w:val="clear" w:color="000000" w:fill="DAE9F8"/>
            <w:vAlign w:val="center"/>
            <w:hideMark/>
          </w:tcPr>
          <w:p w14:paraId="0480036A"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-0.036</w:t>
            </w:r>
          </w:p>
        </w:tc>
        <w:tc>
          <w:tcPr>
            <w:tcW w:w="1640" w:type="dxa"/>
            <w:tcBorders>
              <w:top w:val="nil"/>
              <w:left w:val="nil"/>
              <w:bottom w:val="single" w:sz="4" w:space="0" w:color="auto"/>
              <w:right w:val="single" w:sz="4" w:space="0" w:color="auto"/>
            </w:tcBorders>
            <w:shd w:val="clear" w:color="000000" w:fill="DAE9F8"/>
            <w:vAlign w:val="center"/>
            <w:hideMark/>
          </w:tcPr>
          <w:p w14:paraId="3E0F9DA0"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w:t>
            </w:r>
          </w:p>
        </w:tc>
        <w:tc>
          <w:tcPr>
            <w:tcW w:w="1220" w:type="dxa"/>
            <w:tcBorders>
              <w:top w:val="nil"/>
              <w:left w:val="nil"/>
              <w:bottom w:val="single" w:sz="4" w:space="0" w:color="auto"/>
              <w:right w:val="single" w:sz="4" w:space="0" w:color="auto"/>
            </w:tcBorders>
            <w:shd w:val="clear" w:color="000000" w:fill="DAE9F8"/>
            <w:vAlign w:val="center"/>
            <w:hideMark/>
          </w:tcPr>
          <w:p w14:paraId="781ECBBA"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-0.532</w:t>
            </w:r>
          </w:p>
        </w:tc>
        <w:tc>
          <w:tcPr>
            <w:tcW w:w="1275" w:type="dxa"/>
            <w:tcBorders>
              <w:top w:val="nil"/>
              <w:left w:val="nil"/>
              <w:bottom w:val="single" w:sz="4" w:space="0" w:color="auto"/>
              <w:right w:val="single" w:sz="4" w:space="0" w:color="auto"/>
            </w:tcBorders>
            <w:shd w:val="clear" w:color="000000" w:fill="DAE9F8"/>
            <w:vAlign w:val="center"/>
            <w:hideMark/>
          </w:tcPr>
          <w:p w14:paraId="507A9F26"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-0.427</w:t>
            </w:r>
          </w:p>
        </w:tc>
      </w:tr>
      <w:tr w:rsidR="00937F54" w:rsidRPr="00070E71" w14:paraId="27C62BF0" w14:textId="77777777" w:rsidTr="00132536">
        <w:trPr>
          <w:trHeight w:val="290"/>
        </w:trPr>
        <w:tc>
          <w:tcPr>
            <w:tcW w:w="2515" w:type="dxa"/>
            <w:tcBorders>
              <w:top w:val="nil"/>
              <w:left w:val="single" w:sz="4" w:space="0" w:color="auto"/>
              <w:bottom w:val="single" w:sz="4" w:space="0" w:color="auto"/>
              <w:right w:val="single" w:sz="4" w:space="0" w:color="auto"/>
            </w:tcBorders>
            <w:shd w:val="clear" w:color="000000" w:fill="DAE9F8"/>
            <w:vAlign w:val="center"/>
            <w:hideMark/>
          </w:tcPr>
          <w:p w14:paraId="086D75CB" w14:textId="77777777" w:rsidR="00070E71" w:rsidRPr="00070E71" w:rsidRDefault="00070E71" w:rsidP="00E262FC">
            <w:pPr>
              <w:spacing w:line="360" w:lineRule="auto"/>
              <w:rPr>
                <w:rFonts w:eastAsia="Times New Roman"/>
                <w:b/>
                <w:bCs/>
                <w:color w:val="404040"/>
                <w:sz w:val="24"/>
                <w:szCs w:val="24"/>
                <w:lang w:val="en-US" w:eastAsia="zh-TW"/>
              </w:rPr>
            </w:pPr>
            <w:r w:rsidRPr="00070E71">
              <w:rPr>
                <w:rFonts w:eastAsia="Times New Roman"/>
                <w:b/>
                <w:bCs/>
                <w:color w:val="404040"/>
                <w:sz w:val="24"/>
                <w:szCs w:val="24"/>
                <w:lang w:val="en-US" w:eastAsia="zh-TW"/>
              </w:rPr>
              <w:t>Net Interest Expense</w:t>
            </w:r>
          </w:p>
        </w:tc>
        <w:tc>
          <w:tcPr>
            <w:tcW w:w="785" w:type="dxa"/>
            <w:tcBorders>
              <w:top w:val="nil"/>
              <w:left w:val="nil"/>
              <w:bottom w:val="single" w:sz="4" w:space="0" w:color="auto"/>
              <w:right w:val="single" w:sz="4" w:space="0" w:color="auto"/>
            </w:tcBorders>
            <w:shd w:val="clear" w:color="000000" w:fill="DAE9F8"/>
            <w:vAlign w:val="center"/>
            <w:hideMark/>
          </w:tcPr>
          <w:p w14:paraId="6A4C967B"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w:t>
            </w:r>
          </w:p>
        </w:tc>
        <w:tc>
          <w:tcPr>
            <w:tcW w:w="1380" w:type="dxa"/>
            <w:tcBorders>
              <w:top w:val="nil"/>
              <w:left w:val="nil"/>
              <w:bottom w:val="single" w:sz="4" w:space="0" w:color="auto"/>
              <w:right w:val="single" w:sz="4" w:space="0" w:color="auto"/>
            </w:tcBorders>
            <w:shd w:val="clear" w:color="000000" w:fill="DAE9F8"/>
            <w:vAlign w:val="center"/>
            <w:hideMark/>
          </w:tcPr>
          <w:p w14:paraId="1735CD32"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w:t>
            </w:r>
          </w:p>
        </w:tc>
        <w:tc>
          <w:tcPr>
            <w:tcW w:w="1640" w:type="dxa"/>
            <w:tcBorders>
              <w:top w:val="nil"/>
              <w:left w:val="nil"/>
              <w:bottom w:val="single" w:sz="4" w:space="0" w:color="auto"/>
              <w:right w:val="single" w:sz="4" w:space="0" w:color="auto"/>
            </w:tcBorders>
            <w:shd w:val="clear" w:color="000000" w:fill="DAE9F8"/>
            <w:vAlign w:val="center"/>
            <w:hideMark/>
          </w:tcPr>
          <w:p w14:paraId="060DA8D8"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w:t>
            </w:r>
          </w:p>
        </w:tc>
        <w:tc>
          <w:tcPr>
            <w:tcW w:w="1220" w:type="dxa"/>
            <w:tcBorders>
              <w:top w:val="nil"/>
              <w:left w:val="nil"/>
              <w:bottom w:val="single" w:sz="4" w:space="0" w:color="auto"/>
              <w:right w:val="single" w:sz="4" w:space="0" w:color="auto"/>
            </w:tcBorders>
            <w:shd w:val="clear" w:color="000000" w:fill="DAE9F8"/>
            <w:vAlign w:val="center"/>
            <w:hideMark/>
          </w:tcPr>
          <w:p w14:paraId="55132A5A"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w:t>
            </w:r>
          </w:p>
        </w:tc>
        <w:tc>
          <w:tcPr>
            <w:tcW w:w="1275" w:type="dxa"/>
            <w:tcBorders>
              <w:top w:val="nil"/>
              <w:left w:val="nil"/>
              <w:bottom w:val="single" w:sz="4" w:space="0" w:color="auto"/>
              <w:right w:val="single" w:sz="4" w:space="0" w:color="auto"/>
            </w:tcBorders>
            <w:shd w:val="clear" w:color="000000" w:fill="DAE9F8"/>
            <w:vAlign w:val="center"/>
            <w:hideMark/>
          </w:tcPr>
          <w:p w14:paraId="5B4CAE43"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w:t>
            </w:r>
          </w:p>
        </w:tc>
      </w:tr>
      <w:tr w:rsidR="00937F54" w:rsidRPr="00070E71" w14:paraId="3F094AB1" w14:textId="77777777" w:rsidTr="00132536">
        <w:trPr>
          <w:trHeight w:val="290"/>
        </w:trPr>
        <w:tc>
          <w:tcPr>
            <w:tcW w:w="2515" w:type="dxa"/>
            <w:tcBorders>
              <w:top w:val="nil"/>
              <w:left w:val="single" w:sz="4" w:space="0" w:color="auto"/>
              <w:bottom w:val="single" w:sz="4" w:space="0" w:color="auto"/>
              <w:right w:val="single" w:sz="4" w:space="0" w:color="auto"/>
            </w:tcBorders>
            <w:shd w:val="clear" w:color="000000" w:fill="DAE9F8"/>
            <w:vAlign w:val="center"/>
            <w:hideMark/>
          </w:tcPr>
          <w:p w14:paraId="789069BB" w14:textId="77777777" w:rsidR="00070E71" w:rsidRPr="00070E71" w:rsidRDefault="00070E71" w:rsidP="00E262FC">
            <w:pPr>
              <w:spacing w:line="360" w:lineRule="auto"/>
              <w:rPr>
                <w:rFonts w:eastAsia="Times New Roman"/>
                <w:b/>
                <w:bCs/>
                <w:color w:val="404040"/>
                <w:sz w:val="24"/>
                <w:szCs w:val="24"/>
                <w:lang w:val="en-US" w:eastAsia="zh-TW"/>
              </w:rPr>
            </w:pPr>
            <w:r w:rsidRPr="00070E71">
              <w:rPr>
                <w:rFonts w:eastAsia="Times New Roman"/>
                <w:b/>
                <w:bCs/>
                <w:color w:val="404040"/>
                <w:sz w:val="24"/>
                <w:szCs w:val="24"/>
                <w:lang w:val="en-US" w:eastAsia="zh-TW"/>
              </w:rPr>
              <w:t>Net Interest exp/turnover</w:t>
            </w:r>
          </w:p>
        </w:tc>
        <w:tc>
          <w:tcPr>
            <w:tcW w:w="785" w:type="dxa"/>
            <w:tcBorders>
              <w:top w:val="nil"/>
              <w:left w:val="nil"/>
              <w:bottom w:val="single" w:sz="4" w:space="0" w:color="auto"/>
              <w:right w:val="single" w:sz="4" w:space="0" w:color="auto"/>
            </w:tcBorders>
            <w:shd w:val="clear" w:color="000000" w:fill="DAE9F8"/>
            <w:vAlign w:val="center"/>
            <w:hideMark/>
          </w:tcPr>
          <w:p w14:paraId="57351914"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w:t>
            </w:r>
          </w:p>
        </w:tc>
        <w:tc>
          <w:tcPr>
            <w:tcW w:w="1380" w:type="dxa"/>
            <w:tcBorders>
              <w:top w:val="nil"/>
              <w:left w:val="nil"/>
              <w:bottom w:val="single" w:sz="4" w:space="0" w:color="auto"/>
              <w:right w:val="single" w:sz="4" w:space="0" w:color="auto"/>
            </w:tcBorders>
            <w:shd w:val="clear" w:color="000000" w:fill="DAE9F8"/>
            <w:vAlign w:val="center"/>
            <w:hideMark/>
          </w:tcPr>
          <w:p w14:paraId="2B0FEEB5"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w:t>
            </w:r>
          </w:p>
        </w:tc>
        <w:tc>
          <w:tcPr>
            <w:tcW w:w="1640" w:type="dxa"/>
            <w:tcBorders>
              <w:top w:val="nil"/>
              <w:left w:val="nil"/>
              <w:bottom w:val="single" w:sz="4" w:space="0" w:color="auto"/>
              <w:right w:val="single" w:sz="4" w:space="0" w:color="auto"/>
            </w:tcBorders>
            <w:shd w:val="clear" w:color="000000" w:fill="DAE9F8"/>
            <w:vAlign w:val="center"/>
            <w:hideMark/>
          </w:tcPr>
          <w:p w14:paraId="1D455273"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w:t>
            </w:r>
          </w:p>
        </w:tc>
        <w:tc>
          <w:tcPr>
            <w:tcW w:w="1220" w:type="dxa"/>
            <w:tcBorders>
              <w:top w:val="nil"/>
              <w:left w:val="nil"/>
              <w:bottom w:val="single" w:sz="4" w:space="0" w:color="auto"/>
              <w:right w:val="single" w:sz="4" w:space="0" w:color="auto"/>
            </w:tcBorders>
            <w:shd w:val="clear" w:color="000000" w:fill="DAE9F8"/>
            <w:vAlign w:val="center"/>
            <w:hideMark/>
          </w:tcPr>
          <w:p w14:paraId="0778BE34"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w:t>
            </w:r>
          </w:p>
        </w:tc>
        <w:tc>
          <w:tcPr>
            <w:tcW w:w="1275" w:type="dxa"/>
            <w:tcBorders>
              <w:top w:val="nil"/>
              <w:left w:val="nil"/>
              <w:bottom w:val="single" w:sz="4" w:space="0" w:color="auto"/>
              <w:right w:val="single" w:sz="4" w:space="0" w:color="auto"/>
            </w:tcBorders>
            <w:shd w:val="clear" w:color="000000" w:fill="DAE9F8"/>
            <w:vAlign w:val="center"/>
            <w:hideMark/>
          </w:tcPr>
          <w:p w14:paraId="3E257BC0" w14:textId="77777777" w:rsidR="00070E71" w:rsidRPr="00070E71" w:rsidRDefault="00070E71" w:rsidP="00E262FC">
            <w:pPr>
              <w:spacing w:line="360" w:lineRule="auto"/>
              <w:rPr>
                <w:rFonts w:eastAsia="Times New Roman"/>
                <w:color w:val="404040"/>
                <w:sz w:val="24"/>
                <w:szCs w:val="24"/>
                <w:lang w:val="en-US" w:eastAsia="zh-TW"/>
              </w:rPr>
            </w:pPr>
            <w:r w:rsidRPr="00070E71">
              <w:rPr>
                <w:rFonts w:eastAsia="Times New Roman"/>
                <w:color w:val="404040"/>
                <w:sz w:val="24"/>
                <w:szCs w:val="24"/>
                <w:lang w:val="en-US" w:eastAsia="zh-TW"/>
              </w:rPr>
              <w:t>0</w:t>
            </w:r>
          </w:p>
        </w:tc>
      </w:tr>
    </w:tbl>
    <w:p w14:paraId="05F05100" w14:textId="77777777" w:rsidR="005B232C" w:rsidRPr="00205007" w:rsidRDefault="005B232C" w:rsidP="00E262FC">
      <w:pPr>
        <w:spacing w:line="360" w:lineRule="auto"/>
        <w:rPr>
          <w:sz w:val="24"/>
          <w:szCs w:val="24"/>
          <w:lang w:val="en-US"/>
        </w:rPr>
      </w:pPr>
    </w:p>
    <w:p w14:paraId="45A32307" w14:textId="77777777" w:rsidR="00205007" w:rsidRPr="00205007" w:rsidRDefault="00205007" w:rsidP="00205007">
      <w:pPr>
        <w:numPr>
          <w:ilvl w:val="0"/>
          <w:numId w:val="39"/>
        </w:numPr>
        <w:spacing w:line="360" w:lineRule="auto"/>
        <w:rPr>
          <w:sz w:val="24"/>
          <w:szCs w:val="24"/>
          <w:lang w:val="en-US"/>
        </w:rPr>
      </w:pPr>
      <w:r w:rsidRPr="00205007">
        <w:rPr>
          <w:sz w:val="24"/>
          <w:szCs w:val="24"/>
          <w:lang w:val="en-US"/>
        </w:rPr>
        <w:t>Tsui Wah reports zero bank loans and variable but very low cash balances in 2022 and 2024, indicating a largely debt-free capital structure.</w:t>
      </w:r>
    </w:p>
    <w:p w14:paraId="1E838DF3" w14:textId="77777777" w:rsidR="00205007" w:rsidRPr="00205007" w:rsidRDefault="00205007" w:rsidP="00205007">
      <w:pPr>
        <w:numPr>
          <w:ilvl w:val="0"/>
          <w:numId w:val="39"/>
        </w:numPr>
        <w:spacing w:line="360" w:lineRule="auto"/>
        <w:rPr>
          <w:sz w:val="24"/>
          <w:szCs w:val="24"/>
          <w:lang w:val="en-US"/>
        </w:rPr>
      </w:pPr>
      <w:r w:rsidRPr="00205007">
        <w:rPr>
          <w:sz w:val="24"/>
          <w:szCs w:val="24"/>
          <w:lang w:val="en-US"/>
        </w:rPr>
        <w:t>The company’s net debt ratio remains at or near zero due to absence of bank borrowings and negligible cash on hand, backed by substantial retained earnings.</w:t>
      </w:r>
    </w:p>
    <w:p w14:paraId="37E964EA" w14:textId="77777777" w:rsidR="00205007" w:rsidRPr="00205007" w:rsidRDefault="00205007" w:rsidP="00205007">
      <w:pPr>
        <w:numPr>
          <w:ilvl w:val="0"/>
          <w:numId w:val="39"/>
        </w:numPr>
        <w:spacing w:line="360" w:lineRule="auto"/>
        <w:rPr>
          <w:sz w:val="24"/>
          <w:szCs w:val="24"/>
          <w:lang w:val="en-US"/>
        </w:rPr>
      </w:pPr>
      <w:r w:rsidRPr="00205007">
        <w:rPr>
          <w:sz w:val="24"/>
          <w:szCs w:val="24"/>
          <w:lang w:val="en-US"/>
        </w:rPr>
        <w:t>No interest expense is recorded, consistent with zero debt financing.</w:t>
      </w:r>
    </w:p>
    <w:p w14:paraId="0FD14359" w14:textId="77777777" w:rsidR="00205007" w:rsidRPr="00205007" w:rsidRDefault="00205007" w:rsidP="00205007">
      <w:pPr>
        <w:spacing w:line="360" w:lineRule="auto"/>
        <w:rPr>
          <w:b/>
          <w:bCs/>
          <w:sz w:val="24"/>
          <w:szCs w:val="24"/>
          <w:lang w:val="en-US"/>
        </w:rPr>
      </w:pPr>
      <w:r w:rsidRPr="00205007">
        <w:rPr>
          <w:b/>
          <w:bCs/>
          <w:sz w:val="24"/>
          <w:szCs w:val="24"/>
          <w:lang w:val="en-US"/>
        </w:rPr>
        <w:t>Financing Options:</w:t>
      </w:r>
    </w:p>
    <w:p w14:paraId="6A1154BE" w14:textId="77777777" w:rsidR="00205007" w:rsidRPr="00205007" w:rsidRDefault="00205007" w:rsidP="00205007">
      <w:pPr>
        <w:numPr>
          <w:ilvl w:val="0"/>
          <w:numId w:val="40"/>
        </w:numPr>
        <w:spacing w:line="360" w:lineRule="auto"/>
        <w:rPr>
          <w:sz w:val="24"/>
          <w:szCs w:val="24"/>
          <w:lang w:val="en-US"/>
        </w:rPr>
      </w:pPr>
      <w:r w:rsidRPr="00205007">
        <w:rPr>
          <w:sz w:val="24"/>
          <w:szCs w:val="24"/>
          <w:lang w:val="en-US"/>
        </w:rPr>
        <w:t>Internal Financing: The company’s strong retained earnings base of HKD 381.5 million in 2024 allows for funding the Shenzhen project without new debt, avoiding interest expense and financial risk. However, it reduces liquidity buffer.</w:t>
      </w:r>
    </w:p>
    <w:p w14:paraId="35ECEBB2" w14:textId="77777777" w:rsidR="00205007" w:rsidRPr="00205007" w:rsidRDefault="00205007" w:rsidP="00205007">
      <w:pPr>
        <w:numPr>
          <w:ilvl w:val="0"/>
          <w:numId w:val="40"/>
        </w:numPr>
        <w:spacing w:line="360" w:lineRule="auto"/>
        <w:rPr>
          <w:sz w:val="24"/>
          <w:szCs w:val="24"/>
          <w:lang w:val="en-US"/>
        </w:rPr>
      </w:pPr>
      <w:r w:rsidRPr="00205007">
        <w:rPr>
          <w:sz w:val="24"/>
          <w:szCs w:val="24"/>
          <w:lang w:val="en-US"/>
        </w:rPr>
        <w:t>Bank Loans: Moderate financing via bank loans is feasible with low annual interest (~5%, approx. HKD 0.25 million interest expense), preserving cash for operations but introducing leverage risk.</w:t>
      </w:r>
    </w:p>
    <w:p w14:paraId="5D1ACA01" w14:textId="77777777" w:rsidR="00205007" w:rsidRPr="00205007" w:rsidRDefault="00205007" w:rsidP="00205007">
      <w:pPr>
        <w:numPr>
          <w:ilvl w:val="0"/>
          <w:numId w:val="40"/>
        </w:numPr>
        <w:spacing w:line="360" w:lineRule="auto"/>
        <w:rPr>
          <w:sz w:val="24"/>
          <w:szCs w:val="24"/>
          <w:lang w:val="en-US"/>
        </w:rPr>
      </w:pPr>
      <w:r w:rsidRPr="00205007">
        <w:rPr>
          <w:sz w:val="24"/>
          <w:szCs w:val="24"/>
          <w:lang w:val="en-US"/>
        </w:rPr>
        <w:t>Trade Credit: Limited application for the capital-intensive nature of the flagship investment.</w:t>
      </w:r>
    </w:p>
    <w:p w14:paraId="67C466FF" w14:textId="77777777" w:rsidR="00205007" w:rsidRPr="00205007" w:rsidRDefault="00205007" w:rsidP="00205007">
      <w:pPr>
        <w:numPr>
          <w:ilvl w:val="0"/>
          <w:numId w:val="40"/>
        </w:numPr>
        <w:spacing w:line="360" w:lineRule="auto"/>
        <w:rPr>
          <w:sz w:val="24"/>
          <w:szCs w:val="24"/>
          <w:lang w:val="en-US"/>
        </w:rPr>
      </w:pPr>
      <w:r w:rsidRPr="00205007">
        <w:rPr>
          <w:sz w:val="24"/>
          <w:szCs w:val="24"/>
          <w:lang w:val="en-US"/>
        </w:rPr>
        <w:lastRenderedPageBreak/>
        <w:t>Equity Financing: Unfavorable for modest funding needs due to transaction costs and dilution concerns.</w:t>
      </w:r>
    </w:p>
    <w:p w14:paraId="74B02E48" w14:textId="77777777" w:rsidR="00205007" w:rsidRPr="00205007" w:rsidRDefault="00205007" w:rsidP="00205007">
      <w:pPr>
        <w:numPr>
          <w:ilvl w:val="0"/>
          <w:numId w:val="40"/>
        </w:numPr>
        <w:spacing w:line="360" w:lineRule="auto"/>
        <w:rPr>
          <w:sz w:val="24"/>
          <w:szCs w:val="24"/>
          <w:lang w:val="en-US"/>
        </w:rPr>
      </w:pPr>
      <w:r w:rsidRPr="00205007">
        <w:rPr>
          <w:sz w:val="24"/>
          <w:szCs w:val="24"/>
          <w:lang w:val="en-US"/>
        </w:rPr>
        <w:t>Asset Sales: Not appropriate given limited non-core assets and potential operational disruption.</w:t>
      </w:r>
    </w:p>
    <w:p w14:paraId="2018692D" w14:textId="77777777" w:rsidR="00052228" w:rsidRPr="00056D05" w:rsidRDefault="00052228" w:rsidP="00E262FC">
      <w:pPr>
        <w:spacing w:line="360" w:lineRule="auto"/>
        <w:rPr>
          <w:iCs/>
          <w:sz w:val="24"/>
          <w:szCs w:val="24"/>
          <w:lang w:val="en-US"/>
        </w:rPr>
      </w:pPr>
    </w:p>
    <w:p w14:paraId="74CFE52D" w14:textId="77777777" w:rsidR="002E214D" w:rsidRPr="002E214D" w:rsidRDefault="002E214D" w:rsidP="002E214D">
      <w:pPr>
        <w:spacing w:line="360" w:lineRule="auto"/>
        <w:rPr>
          <w:b/>
          <w:bCs/>
          <w:iCs/>
          <w:sz w:val="24"/>
          <w:szCs w:val="24"/>
          <w:lang w:val="en-US"/>
        </w:rPr>
      </w:pPr>
      <w:r w:rsidRPr="002E214D">
        <w:rPr>
          <w:b/>
          <w:bCs/>
          <w:iCs/>
          <w:sz w:val="24"/>
          <w:szCs w:val="24"/>
          <w:lang w:val="en-US"/>
        </w:rPr>
        <w:t>5.2 Recommended Financing Method</w:t>
      </w:r>
    </w:p>
    <w:p w14:paraId="6697DF97" w14:textId="77777777" w:rsidR="002E214D" w:rsidRDefault="002E214D" w:rsidP="002E214D">
      <w:pPr>
        <w:spacing w:line="360" w:lineRule="auto"/>
        <w:rPr>
          <w:iCs/>
          <w:sz w:val="24"/>
          <w:szCs w:val="24"/>
          <w:lang w:val="en-US"/>
        </w:rPr>
      </w:pPr>
      <w:r w:rsidRPr="002E214D">
        <w:rPr>
          <w:iCs/>
          <w:sz w:val="24"/>
          <w:szCs w:val="24"/>
          <w:lang w:val="en-US"/>
        </w:rPr>
        <w:t>Given the financial profile, internal cash financing from retained earnings and operational cash flow is recommended as the primary method to support the Shenzhen flagship project, aligning with Tsui Wah’s conservative financial strategy.</w:t>
      </w:r>
    </w:p>
    <w:p w14:paraId="46B93236" w14:textId="77777777" w:rsidR="005C3C72" w:rsidRPr="002E214D" w:rsidRDefault="005C3C72" w:rsidP="002E214D">
      <w:pPr>
        <w:spacing w:line="360" w:lineRule="auto"/>
        <w:rPr>
          <w:iCs/>
          <w:sz w:val="24"/>
          <w:szCs w:val="24"/>
          <w:lang w:val="en-US"/>
        </w:rPr>
      </w:pPr>
    </w:p>
    <w:tbl>
      <w:tblPr>
        <w:tblW w:w="8995" w:type="dxa"/>
        <w:tblLook w:val="04A0" w:firstRow="1" w:lastRow="0" w:firstColumn="1" w:lastColumn="0" w:noHBand="0" w:noVBand="1"/>
      </w:tblPr>
      <w:tblGrid>
        <w:gridCol w:w="2875"/>
        <w:gridCol w:w="990"/>
        <w:gridCol w:w="1350"/>
        <w:gridCol w:w="1890"/>
        <w:gridCol w:w="1890"/>
      </w:tblGrid>
      <w:tr w:rsidR="00ED5EC9" w:rsidRPr="00937F54" w14:paraId="781204EA" w14:textId="77777777" w:rsidTr="00D3619A">
        <w:trPr>
          <w:trHeight w:val="290"/>
        </w:trPr>
        <w:tc>
          <w:tcPr>
            <w:tcW w:w="2875" w:type="dxa"/>
            <w:tcBorders>
              <w:top w:val="single" w:sz="4" w:space="0" w:color="auto"/>
              <w:left w:val="single" w:sz="4" w:space="0" w:color="auto"/>
              <w:bottom w:val="single" w:sz="4" w:space="0" w:color="auto"/>
              <w:right w:val="single" w:sz="4" w:space="0" w:color="auto"/>
            </w:tcBorders>
            <w:shd w:val="clear" w:color="000000" w:fill="DAE9F8"/>
            <w:vAlign w:val="center"/>
            <w:hideMark/>
          </w:tcPr>
          <w:p w14:paraId="7C9E2D07" w14:textId="77777777" w:rsidR="00ED5EC9" w:rsidRPr="00ED5EC9" w:rsidRDefault="00ED5EC9" w:rsidP="00E262FC">
            <w:pPr>
              <w:spacing w:line="360" w:lineRule="auto"/>
              <w:rPr>
                <w:rFonts w:eastAsia="Times New Roman"/>
                <w:b/>
                <w:bCs/>
                <w:color w:val="404040"/>
                <w:sz w:val="24"/>
                <w:szCs w:val="24"/>
                <w:lang w:val="en-US" w:eastAsia="zh-TW"/>
              </w:rPr>
            </w:pPr>
            <w:r w:rsidRPr="00ED5EC9">
              <w:rPr>
                <w:rFonts w:eastAsia="Times New Roman"/>
                <w:b/>
                <w:bCs/>
                <w:color w:val="404040"/>
                <w:sz w:val="24"/>
                <w:szCs w:val="24"/>
                <w:lang w:val="en-US" w:eastAsia="zh-TW"/>
              </w:rPr>
              <w:t>Financial Items</w:t>
            </w:r>
          </w:p>
        </w:tc>
        <w:tc>
          <w:tcPr>
            <w:tcW w:w="990" w:type="dxa"/>
            <w:tcBorders>
              <w:top w:val="single" w:sz="4" w:space="0" w:color="auto"/>
              <w:left w:val="nil"/>
              <w:bottom w:val="single" w:sz="4" w:space="0" w:color="auto"/>
              <w:right w:val="single" w:sz="4" w:space="0" w:color="auto"/>
            </w:tcBorders>
            <w:shd w:val="clear" w:color="000000" w:fill="DAE9F8"/>
            <w:vAlign w:val="center"/>
            <w:hideMark/>
          </w:tcPr>
          <w:p w14:paraId="5B325615" w14:textId="77777777" w:rsidR="00ED5EC9" w:rsidRPr="00ED5EC9" w:rsidRDefault="00ED5EC9" w:rsidP="00E262FC">
            <w:pPr>
              <w:spacing w:line="360" w:lineRule="auto"/>
              <w:rPr>
                <w:rFonts w:eastAsia="Times New Roman"/>
                <w:b/>
                <w:bCs/>
                <w:color w:val="404040"/>
                <w:sz w:val="24"/>
                <w:szCs w:val="24"/>
                <w:lang w:val="en-US" w:eastAsia="zh-TW"/>
              </w:rPr>
            </w:pPr>
            <w:r w:rsidRPr="00ED5EC9">
              <w:rPr>
                <w:rFonts w:eastAsia="Times New Roman"/>
                <w:b/>
                <w:bCs/>
                <w:color w:val="404040"/>
                <w:sz w:val="24"/>
                <w:szCs w:val="24"/>
                <w:lang w:val="en-US" w:eastAsia="zh-TW"/>
              </w:rPr>
              <w:t>2024 Actual</w:t>
            </w:r>
          </w:p>
        </w:tc>
        <w:tc>
          <w:tcPr>
            <w:tcW w:w="1350" w:type="dxa"/>
            <w:tcBorders>
              <w:top w:val="single" w:sz="4" w:space="0" w:color="auto"/>
              <w:left w:val="nil"/>
              <w:bottom w:val="single" w:sz="4" w:space="0" w:color="auto"/>
              <w:right w:val="single" w:sz="4" w:space="0" w:color="auto"/>
            </w:tcBorders>
            <w:shd w:val="clear" w:color="000000" w:fill="DAE9F8"/>
            <w:vAlign w:val="center"/>
            <w:hideMark/>
          </w:tcPr>
          <w:p w14:paraId="351D5D3D" w14:textId="77777777" w:rsidR="00ED5EC9" w:rsidRPr="00ED5EC9" w:rsidRDefault="00ED5EC9" w:rsidP="00E262FC">
            <w:pPr>
              <w:spacing w:line="360" w:lineRule="auto"/>
              <w:rPr>
                <w:rFonts w:eastAsia="Times New Roman"/>
                <w:b/>
                <w:bCs/>
                <w:color w:val="404040"/>
                <w:sz w:val="24"/>
                <w:szCs w:val="24"/>
                <w:lang w:val="en-US" w:eastAsia="zh-TW"/>
              </w:rPr>
            </w:pPr>
            <w:r w:rsidRPr="00ED5EC9">
              <w:rPr>
                <w:rFonts w:eastAsia="Times New Roman"/>
                <w:b/>
                <w:bCs/>
                <w:color w:val="404040"/>
                <w:sz w:val="24"/>
                <w:szCs w:val="24"/>
                <w:lang w:val="en-US" w:eastAsia="zh-TW"/>
              </w:rPr>
              <w:t>2025 Budget</w:t>
            </w:r>
          </w:p>
        </w:tc>
        <w:tc>
          <w:tcPr>
            <w:tcW w:w="1890" w:type="dxa"/>
            <w:tcBorders>
              <w:top w:val="single" w:sz="4" w:space="0" w:color="auto"/>
              <w:left w:val="nil"/>
              <w:bottom w:val="single" w:sz="4" w:space="0" w:color="auto"/>
              <w:right w:val="single" w:sz="4" w:space="0" w:color="auto"/>
            </w:tcBorders>
            <w:shd w:val="clear" w:color="000000" w:fill="DAE9F8"/>
            <w:vAlign w:val="center"/>
            <w:hideMark/>
          </w:tcPr>
          <w:p w14:paraId="428EBF6E" w14:textId="77777777" w:rsidR="00ED5EC9" w:rsidRPr="00ED5EC9" w:rsidRDefault="00ED5EC9" w:rsidP="00E262FC">
            <w:pPr>
              <w:spacing w:line="360" w:lineRule="auto"/>
              <w:rPr>
                <w:rFonts w:eastAsia="Times New Roman"/>
                <w:b/>
                <w:bCs/>
                <w:color w:val="404040"/>
                <w:sz w:val="24"/>
                <w:szCs w:val="24"/>
                <w:lang w:val="en-US" w:eastAsia="zh-TW"/>
              </w:rPr>
            </w:pPr>
            <w:r w:rsidRPr="00ED5EC9">
              <w:rPr>
                <w:rFonts w:eastAsia="Times New Roman"/>
                <w:b/>
                <w:bCs/>
                <w:color w:val="404040"/>
                <w:sz w:val="24"/>
                <w:szCs w:val="24"/>
                <w:lang w:val="en-US" w:eastAsia="zh-TW"/>
              </w:rPr>
              <w:t>Industry Avg</w:t>
            </w:r>
          </w:p>
        </w:tc>
        <w:tc>
          <w:tcPr>
            <w:tcW w:w="1890" w:type="dxa"/>
            <w:tcBorders>
              <w:top w:val="single" w:sz="4" w:space="0" w:color="auto"/>
              <w:left w:val="nil"/>
              <w:bottom w:val="single" w:sz="4" w:space="0" w:color="auto"/>
              <w:right w:val="single" w:sz="4" w:space="0" w:color="auto"/>
            </w:tcBorders>
            <w:shd w:val="clear" w:color="000000" w:fill="DAE9F8"/>
            <w:vAlign w:val="center"/>
            <w:hideMark/>
          </w:tcPr>
          <w:p w14:paraId="7952C9BB" w14:textId="77777777" w:rsidR="00ED5EC9" w:rsidRPr="00ED5EC9" w:rsidRDefault="00ED5EC9" w:rsidP="00E262FC">
            <w:pPr>
              <w:spacing w:line="360" w:lineRule="auto"/>
              <w:rPr>
                <w:rFonts w:eastAsia="Times New Roman"/>
                <w:b/>
                <w:bCs/>
                <w:color w:val="404040"/>
                <w:sz w:val="24"/>
                <w:szCs w:val="24"/>
                <w:lang w:val="en-US" w:eastAsia="zh-TW"/>
              </w:rPr>
            </w:pPr>
            <w:r w:rsidRPr="00ED5EC9">
              <w:rPr>
                <w:rFonts w:eastAsia="Times New Roman"/>
                <w:b/>
                <w:bCs/>
                <w:color w:val="404040"/>
                <w:sz w:val="24"/>
                <w:szCs w:val="24"/>
                <w:lang w:val="en-US" w:eastAsia="zh-TW"/>
              </w:rPr>
              <w:t>Assessment</w:t>
            </w:r>
          </w:p>
        </w:tc>
      </w:tr>
      <w:tr w:rsidR="00ED5EC9" w:rsidRPr="00937F54" w14:paraId="5AB81936" w14:textId="77777777" w:rsidTr="00D3619A">
        <w:trPr>
          <w:trHeight w:val="290"/>
        </w:trPr>
        <w:tc>
          <w:tcPr>
            <w:tcW w:w="2875" w:type="dxa"/>
            <w:tcBorders>
              <w:top w:val="nil"/>
              <w:left w:val="single" w:sz="4" w:space="0" w:color="auto"/>
              <w:bottom w:val="single" w:sz="4" w:space="0" w:color="auto"/>
              <w:right w:val="single" w:sz="4" w:space="0" w:color="auto"/>
            </w:tcBorders>
            <w:shd w:val="clear" w:color="000000" w:fill="DAE9F8"/>
            <w:vAlign w:val="center"/>
            <w:hideMark/>
          </w:tcPr>
          <w:p w14:paraId="66537A1E" w14:textId="77777777" w:rsidR="00ED5EC9" w:rsidRPr="00ED5EC9" w:rsidRDefault="00ED5EC9" w:rsidP="00E262FC">
            <w:pPr>
              <w:spacing w:line="360" w:lineRule="auto"/>
              <w:rPr>
                <w:rFonts w:eastAsia="Times New Roman"/>
                <w:b/>
                <w:bCs/>
                <w:color w:val="404040"/>
                <w:sz w:val="24"/>
                <w:szCs w:val="24"/>
                <w:lang w:val="en-US" w:eastAsia="zh-TW"/>
              </w:rPr>
            </w:pPr>
            <w:r w:rsidRPr="00ED5EC9">
              <w:rPr>
                <w:rFonts w:eastAsia="Times New Roman"/>
                <w:b/>
                <w:bCs/>
                <w:color w:val="404040"/>
                <w:sz w:val="24"/>
                <w:szCs w:val="24"/>
                <w:lang w:val="en-US" w:eastAsia="zh-TW"/>
              </w:rPr>
              <w:t>Fixed Asset to LTL Ratio</w:t>
            </w:r>
          </w:p>
        </w:tc>
        <w:tc>
          <w:tcPr>
            <w:tcW w:w="990" w:type="dxa"/>
            <w:tcBorders>
              <w:top w:val="nil"/>
              <w:left w:val="nil"/>
              <w:bottom w:val="single" w:sz="4" w:space="0" w:color="auto"/>
              <w:right w:val="single" w:sz="4" w:space="0" w:color="auto"/>
            </w:tcBorders>
            <w:shd w:val="clear" w:color="000000" w:fill="DAE9F8"/>
            <w:vAlign w:val="center"/>
            <w:hideMark/>
          </w:tcPr>
          <w:p w14:paraId="2B80CD81" w14:textId="77777777" w:rsidR="00ED5EC9" w:rsidRPr="00ED5EC9" w:rsidRDefault="00ED5EC9" w:rsidP="00E262FC">
            <w:pPr>
              <w:spacing w:line="360" w:lineRule="auto"/>
              <w:rPr>
                <w:rFonts w:eastAsia="Times New Roman"/>
                <w:color w:val="404040"/>
                <w:sz w:val="24"/>
                <w:szCs w:val="24"/>
                <w:lang w:val="en-US" w:eastAsia="zh-TW"/>
              </w:rPr>
            </w:pPr>
            <w:r w:rsidRPr="00ED5EC9">
              <w:rPr>
                <w:rFonts w:eastAsia="Times New Roman"/>
                <w:color w:val="404040"/>
                <w:sz w:val="24"/>
                <w:szCs w:val="24"/>
                <w:lang w:val="en-US" w:eastAsia="zh-TW"/>
              </w:rPr>
              <w:t>0.85</w:t>
            </w:r>
          </w:p>
        </w:tc>
        <w:tc>
          <w:tcPr>
            <w:tcW w:w="1350" w:type="dxa"/>
            <w:tcBorders>
              <w:top w:val="nil"/>
              <w:left w:val="nil"/>
              <w:bottom w:val="single" w:sz="4" w:space="0" w:color="auto"/>
              <w:right w:val="single" w:sz="4" w:space="0" w:color="auto"/>
            </w:tcBorders>
            <w:shd w:val="clear" w:color="000000" w:fill="DAE9F8"/>
            <w:vAlign w:val="center"/>
            <w:hideMark/>
          </w:tcPr>
          <w:p w14:paraId="0758AA54" w14:textId="77777777" w:rsidR="00ED5EC9" w:rsidRPr="00ED5EC9" w:rsidRDefault="00ED5EC9" w:rsidP="00E262FC">
            <w:pPr>
              <w:spacing w:line="360" w:lineRule="auto"/>
              <w:rPr>
                <w:rFonts w:eastAsia="Times New Roman"/>
                <w:color w:val="404040"/>
                <w:sz w:val="24"/>
                <w:szCs w:val="24"/>
                <w:lang w:val="en-US" w:eastAsia="zh-TW"/>
              </w:rPr>
            </w:pPr>
            <w:r w:rsidRPr="00ED5EC9">
              <w:rPr>
                <w:rFonts w:eastAsia="Times New Roman"/>
                <w:color w:val="404040"/>
                <w:sz w:val="24"/>
                <w:szCs w:val="24"/>
                <w:lang w:val="en-US" w:eastAsia="zh-TW"/>
              </w:rPr>
              <w:t>0.87</w:t>
            </w:r>
          </w:p>
        </w:tc>
        <w:tc>
          <w:tcPr>
            <w:tcW w:w="1890" w:type="dxa"/>
            <w:tcBorders>
              <w:top w:val="nil"/>
              <w:left w:val="nil"/>
              <w:bottom w:val="single" w:sz="4" w:space="0" w:color="auto"/>
              <w:right w:val="single" w:sz="4" w:space="0" w:color="auto"/>
            </w:tcBorders>
            <w:shd w:val="clear" w:color="000000" w:fill="DAE9F8"/>
            <w:vAlign w:val="center"/>
            <w:hideMark/>
          </w:tcPr>
          <w:p w14:paraId="6F8B1189" w14:textId="77777777" w:rsidR="00ED5EC9" w:rsidRPr="00ED5EC9" w:rsidRDefault="00ED5EC9" w:rsidP="00E262FC">
            <w:pPr>
              <w:spacing w:line="360" w:lineRule="auto"/>
              <w:rPr>
                <w:rFonts w:eastAsia="Times New Roman"/>
                <w:color w:val="404040"/>
                <w:sz w:val="24"/>
                <w:szCs w:val="24"/>
                <w:lang w:val="en-US" w:eastAsia="zh-TW"/>
              </w:rPr>
            </w:pPr>
            <w:r w:rsidRPr="00ED5EC9">
              <w:rPr>
                <w:rFonts w:eastAsia="Times New Roman"/>
                <w:color w:val="404040"/>
                <w:sz w:val="24"/>
                <w:szCs w:val="24"/>
                <w:lang w:val="en-US" w:eastAsia="zh-TW"/>
              </w:rPr>
              <w:t>0.75</w:t>
            </w:r>
          </w:p>
        </w:tc>
        <w:tc>
          <w:tcPr>
            <w:tcW w:w="1890" w:type="dxa"/>
            <w:tcBorders>
              <w:top w:val="nil"/>
              <w:left w:val="nil"/>
              <w:bottom w:val="single" w:sz="4" w:space="0" w:color="auto"/>
              <w:right w:val="single" w:sz="4" w:space="0" w:color="auto"/>
            </w:tcBorders>
            <w:shd w:val="clear" w:color="000000" w:fill="DAE9F8"/>
            <w:vAlign w:val="center"/>
            <w:hideMark/>
          </w:tcPr>
          <w:p w14:paraId="452C9760" w14:textId="77777777" w:rsidR="00ED5EC9" w:rsidRPr="00ED5EC9" w:rsidRDefault="00ED5EC9" w:rsidP="00E262FC">
            <w:pPr>
              <w:spacing w:line="360" w:lineRule="auto"/>
              <w:rPr>
                <w:rFonts w:eastAsia="Times New Roman"/>
                <w:color w:val="404040"/>
                <w:sz w:val="24"/>
                <w:szCs w:val="24"/>
                <w:lang w:val="en-US" w:eastAsia="zh-TW"/>
              </w:rPr>
            </w:pPr>
            <w:r w:rsidRPr="00ED5EC9">
              <w:rPr>
                <w:rFonts w:eastAsia="Times New Roman"/>
                <w:color w:val="404040"/>
                <w:sz w:val="24"/>
                <w:szCs w:val="24"/>
                <w:lang w:val="en-US" w:eastAsia="zh-TW"/>
              </w:rPr>
              <w:t>Healthy</w:t>
            </w:r>
          </w:p>
        </w:tc>
      </w:tr>
      <w:tr w:rsidR="00ED5EC9" w:rsidRPr="00937F54" w14:paraId="5EC40C34" w14:textId="77777777" w:rsidTr="00D3619A">
        <w:trPr>
          <w:trHeight w:val="290"/>
        </w:trPr>
        <w:tc>
          <w:tcPr>
            <w:tcW w:w="2875" w:type="dxa"/>
            <w:tcBorders>
              <w:top w:val="nil"/>
              <w:left w:val="single" w:sz="4" w:space="0" w:color="auto"/>
              <w:bottom w:val="single" w:sz="4" w:space="0" w:color="auto"/>
              <w:right w:val="single" w:sz="4" w:space="0" w:color="auto"/>
            </w:tcBorders>
            <w:shd w:val="clear" w:color="000000" w:fill="DAE9F8"/>
            <w:vAlign w:val="center"/>
            <w:hideMark/>
          </w:tcPr>
          <w:p w14:paraId="63AC1690" w14:textId="77777777" w:rsidR="00ED5EC9" w:rsidRPr="00ED5EC9" w:rsidRDefault="00ED5EC9" w:rsidP="00E262FC">
            <w:pPr>
              <w:spacing w:line="360" w:lineRule="auto"/>
              <w:rPr>
                <w:rFonts w:eastAsia="Times New Roman"/>
                <w:b/>
                <w:bCs/>
                <w:color w:val="404040"/>
                <w:sz w:val="24"/>
                <w:szCs w:val="24"/>
                <w:lang w:val="en-US" w:eastAsia="zh-TW"/>
              </w:rPr>
            </w:pPr>
            <w:r w:rsidRPr="00ED5EC9">
              <w:rPr>
                <w:rFonts w:eastAsia="Times New Roman"/>
                <w:b/>
                <w:bCs/>
                <w:color w:val="404040"/>
                <w:sz w:val="24"/>
                <w:szCs w:val="24"/>
                <w:lang w:val="en-US" w:eastAsia="zh-TW"/>
              </w:rPr>
              <w:t>Debt/Equity Ratio</w:t>
            </w:r>
          </w:p>
        </w:tc>
        <w:tc>
          <w:tcPr>
            <w:tcW w:w="990" w:type="dxa"/>
            <w:tcBorders>
              <w:top w:val="nil"/>
              <w:left w:val="nil"/>
              <w:bottom w:val="single" w:sz="4" w:space="0" w:color="auto"/>
              <w:right w:val="single" w:sz="4" w:space="0" w:color="auto"/>
            </w:tcBorders>
            <w:shd w:val="clear" w:color="000000" w:fill="DAE9F8"/>
            <w:vAlign w:val="center"/>
            <w:hideMark/>
          </w:tcPr>
          <w:p w14:paraId="5BEA8C5F" w14:textId="77777777" w:rsidR="00ED5EC9" w:rsidRPr="00ED5EC9" w:rsidRDefault="00ED5EC9" w:rsidP="00E262FC">
            <w:pPr>
              <w:spacing w:line="360" w:lineRule="auto"/>
              <w:rPr>
                <w:rFonts w:eastAsia="Times New Roman"/>
                <w:color w:val="404040"/>
                <w:sz w:val="24"/>
                <w:szCs w:val="24"/>
                <w:lang w:val="en-US" w:eastAsia="zh-TW"/>
              </w:rPr>
            </w:pPr>
            <w:r w:rsidRPr="00ED5EC9">
              <w:rPr>
                <w:rFonts w:eastAsia="Times New Roman"/>
                <w:color w:val="404040"/>
                <w:sz w:val="24"/>
                <w:szCs w:val="24"/>
                <w:lang w:val="en-US" w:eastAsia="zh-TW"/>
              </w:rPr>
              <w:t>1.96</w:t>
            </w:r>
          </w:p>
        </w:tc>
        <w:tc>
          <w:tcPr>
            <w:tcW w:w="1350" w:type="dxa"/>
            <w:tcBorders>
              <w:top w:val="nil"/>
              <w:left w:val="nil"/>
              <w:bottom w:val="single" w:sz="4" w:space="0" w:color="auto"/>
              <w:right w:val="single" w:sz="4" w:space="0" w:color="auto"/>
            </w:tcBorders>
            <w:shd w:val="clear" w:color="000000" w:fill="DAE9F8"/>
            <w:vAlign w:val="center"/>
            <w:hideMark/>
          </w:tcPr>
          <w:p w14:paraId="5017EE3B" w14:textId="77777777" w:rsidR="00ED5EC9" w:rsidRPr="00ED5EC9" w:rsidRDefault="00ED5EC9" w:rsidP="00E262FC">
            <w:pPr>
              <w:spacing w:line="360" w:lineRule="auto"/>
              <w:rPr>
                <w:rFonts w:eastAsia="Times New Roman"/>
                <w:color w:val="404040"/>
                <w:sz w:val="24"/>
                <w:szCs w:val="24"/>
                <w:lang w:val="en-US" w:eastAsia="zh-TW"/>
              </w:rPr>
            </w:pPr>
            <w:r w:rsidRPr="00ED5EC9">
              <w:rPr>
                <w:rFonts w:eastAsia="Times New Roman"/>
                <w:color w:val="404040"/>
                <w:sz w:val="24"/>
                <w:szCs w:val="24"/>
                <w:lang w:val="en-US" w:eastAsia="zh-TW"/>
              </w:rPr>
              <w:t>1.93</w:t>
            </w:r>
          </w:p>
        </w:tc>
        <w:tc>
          <w:tcPr>
            <w:tcW w:w="1890" w:type="dxa"/>
            <w:tcBorders>
              <w:top w:val="nil"/>
              <w:left w:val="nil"/>
              <w:bottom w:val="single" w:sz="4" w:space="0" w:color="auto"/>
              <w:right w:val="single" w:sz="4" w:space="0" w:color="auto"/>
            </w:tcBorders>
            <w:shd w:val="clear" w:color="000000" w:fill="DAE9F8"/>
            <w:vAlign w:val="center"/>
            <w:hideMark/>
          </w:tcPr>
          <w:p w14:paraId="411B1F7B" w14:textId="77777777" w:rsidR="00ED5EC9" w:rsidRPr="00ED5EC9" w:rsidRDefault="00ED5EC9" w:rsidP="00E262FC">
            <w:pPr>
              <w:spacing w:line="360" w:lineRule="auto"/>
              <w:rPr>
                <w:rFonts w:eastAsia="Times New Roman"/>
                <w:color w:val="404040"/>
                <w:sz w:val="24"/>
                <w:szCs w:val="24"/>
                <w:lang w:val="en-US" w:eastAsia="zh-TW"/>
              </w:rPr>
            </w:pPr>
            <w:r w:rsidRPr="00ED5EC9">
              <w:rPr>
                <w:rFonts w:eastAsia="Times New Roman"/>
                <w:color w:val="404040"/>
                <w:sz w:val="24"/>
                <w:szCs w:val="24"/>
                <w:lang w:val="en-US" w:eastAsia="zh-TW"/>
              </w:rPr>
              <w:t>0.45</w:t>
            </w:r>
          </w:p>
        </w:tc>
        <w:tc>
          <w:tcPr>
            <w:tcW w:w="1890" w:type="dxa"/>
            <w:tcBorders>
              <w:top w:val="nil"/>
              <w:left w:val="nil"/>
              <w:bottom w:val="single" w:sz="4" w:space="0" w:color="auto"/>
              <w:right w:val="single" w:sz="4" w:space="0" w:color="auto"/>
            </w:tcBorders>
            <w:shd w:val="clear" w:color="000000" w:fill="DAE9F8"/>
            <w:vAlign w:val="center"/>
            <w:hideMark/>
          </w:tcPr>
          <w:p w14:paraId="4893878D" w14:textId="79D8EEBE" w:rsidR="00ED5EC9" w:rsidRPr="00ED5EC9" w:rsidRDefault="00D3619A" w:rsidP="00E262FC">
            <w:pPr>
              <w:spacing w:line="360" w:lineRule="auto"/>
              <w:rPr>
                <w:rFonts w:eastAsia="Times New Roman"/>
                <w:color w:val="404040"/>
                <w:sz w:val="24"/>
                <w:szCs w:val="24"/>
                <w:lang w:val="en-US" w:eastAsia="zh-TW"/>
              </w:rPr>
            </w:pPr>
            <w:r>
              <w:rPr>
                <w:rFonts w:eastAsia="Times New Roman"/>
                <w:color w:val="404040"/>
                <w:sz w:val="24"/>
                <w:szCs w:val="24"/>
                <w:lang w:val="en-US" w:eastAsia="zh-TW"/>
              </w:rPr>
              <w:t>Manageable</w:t>
            </w:r>
          </w:p>
        </w:tc>
      </w:tr>
      <w:tr w:rsidR="00ED5EC9" w:rsidRPr="00937F54" w14:paraId="04DA2C7A" w14:textId="77777777" w:rsidTr="00D3619A">
        <w:trPr>
          <w:trHeight w:val="290"/>
        </w:trPr>
        <w:tc>
          <w:tcPr>
            <w:tcW w:w="2875" w:type="dxa"/>
            <w:tcBorders>
              <w:top w:val="nil"/>
              <w:left w:val="single" w:sz="4" w:space="0" w:color="auto"/>
              <w:bottom w:val="single" w:sz="4" w:space="0" w:color="auto"/>
              <w:right w:val="single" w:sz="4" w:space="0" w:color="auto"/>
            </w:tcBorders>
            <w:shd w:val="clear" w:color="000000" w:fill="DAE9F8"/>
            <w:vAlign w:val="center"/>
            <w:hideMark/>
          </w:tcPr>
          <w:p w14:paraId="22151AE2" w14:textId="77777777" w:rsidR="00ED5EC9" w:rsidRPr="00ED5EC9" w:rsidRDefault="00ED5EC9" w:rsidP="00E262FC">
            <w:pPr>
              <w:spacing w:line="360" w:lineRule="auto"/>
              <w:rPr>
                <w:rFonts w:eastAsia="Times New Roman"/>
                <w:b/>
                <w:bCs/>
                <w:color w:val="404040"/>
                <w:sz w:val="24"/>
                <w:szCs w:val="24"/>
                <w:lang w:val="en-US" w:eastAsia="zh-TW"/>
              </w:rPr>
            </w:pPr>
            <w:proofErr w:type="gramStart"/>
            <w:r w:rsidRPr="00ED5EC9">
              <w:rPr>
                <w:rFonts w:eastAsia="Times New Roman"/>
                <w:b/>
                <w:bCs/>
                <w:color w:val="404040"/>
                <w:sz w:val="24"/>
                <w:szCs w:val="24"/>
                <w:lang w:val="en-US" w:eastAsia="zh-TW"/>
              </w:rPr>
              <w:t>Interest</w:t>
            </w:r>
            <w:proofErr w:type="gramEnd"/>
            <w:r w:rsidRPr="00ED5EC9">
              <w:rPr>
                <w:rFonts w:eastAsia="Times New Roman"/>
                <w:b/>
                <w:bCs/>
                <w:color w:val="404040"/>
                <w:sz w:val="24"/>
                <w:szCs w:val="24"/>
                <w:lang w:val="en-US" w:eastAsia="zh-TW"/>
              </w:rPr>
              <w:t xml:space="preserve"> expense to Sales</w:t>
            </w:r>
          </w:p>
        </w:tc>
        <w:tc>
          <w:tcPr>
            <w:tcW w:w="990" w:type="dxa"/>
            <w:tcBorders>
              <w:top w:val="nil"/>
              <w:left w:val="nil"/>
              <w:bottom w:val="single" w:sz="4" w:space="0" w:color="auto"/>
              <w:right w:val="single" w:sz="4" w:space="0" w:color="auto"/>
            </w:tcBorders>
            <w:shd w:val="clear" w:color="000000" w:fill="DAE9F8"/>
            <w:vAlign w:val="center"/>
            <w:hideMark/>
          </w:tcPr>
          <w:p w14:paraId="1EB50A79" w14:textId="77777777" w:rsidR="00ED5EC9" w:rsidRPr="00ED5EC9" w:rsidRDefault="00ED5EC9" w:rsidP="00E262FC">
            <w:pPr>
              <w:spacing w:line="360" w:lineRule="auto"/>
              <w:rPr>
                <w:rFonts w:eastAsia="Times New Roman"/>
                <w:color w:val="404040"/>
                <w:sz w:val="24"/>
                <w:szCs w:val="24"/>
                <w:lang w:val="en-US" w:eastAsia="zh-TW"/>
              </w:rPr>
            </w:pPr>
            <w:r w:rsidRPr="00ED5EC9">
              <w:rPr>
                <w:rFonts w:eastAsia="Times New Roman"/>
                <w:color w:val="404040"/>
                <w:sz w:val="24"/>
                <w:szCs w:val="24"/>
                <w:lang w:val="en-US" w:eastAsia="zh-TW"/>
              </w:rPr>
              <w:t>0</w:t>
            </w:r>
          </w:p>
        </w:tc>
        <w:tc>
          <w:tcPr>
            <w:tcW w:w="1350" w:type="dxa"/>
            <w:tcBorders>
              <w:top w:val="nil"/>
              <w:left w:val="nil"/>
              <w:bottom w:val="single" w:sz="4" w:space="0" w:color="auto"/>
              <w:right w:val="single" w:sz="4" w:space="0" w:color="auto"/>
            </w:tcBorders>
            <w:shd w:val="clear" w:color="000000" w:fill="DAE9F8"/>
            <w:vAlign w:val="center"/>
            <w:hideMark/>
          </w:tcPr>
          <w:p w14:paraId="225F8A8B" w14:textId="77777777" w:rsidR="00ED5EC9" w:rsidRPr="00ED5EC9" w:rsidRDefault="00ED5EC9" w:rsidP="00E262FC">
            <w:pPr>
              <w:spacing w:line="360" w:lineRule="auto"/>
              <w:rPr>
                <w:rFonts w:eastAsia="Times New Roman"/>
                <w:color w:val="404040"/>
                <w:sz w:val="24"/>
                <w:szCs w:val="24"/>
                <w:lang w:val="en-US" w:eastAsia="zh-TW"/>
              </w:rPr>
            </w:pPr>
            <w:r w:rsidRPr="00ED5EC9">
              <w:rPr>
                <w:rFonts w:eastAsia="Times New Roman"/>
                <w:color w:val="404040"/>
                <w:sz w:val="24"/>
                <w:szCs w:val="24"/>
                <w:lang w:val="en-US" w:eastAsia="zh-TW"/>
              </w:rPr>
              <w:t>0</w:t>
            </w:r>
          </w:p>
        </w:tc>
        <w:tc>
          <w:tcPr>
            <w:tcW w:w="1890" w:type="dxa"/>
            <w:tcBorders>
              <w:top w:val="nil"/>
              <w:left w:val="nil"/>
              <w:bottom w:val="single" w:sz="4" w:space="0" w:color="auto"/>
              <w:right w:val="single" w:sz="4" w:space="0" w:color="auto"/>
            </w:tcBorders>
            <w:shd w:val="clear" w:color="000000" w:fill="DAE9F8"/>
            <w:vAlign w:val="center"/>
            <w:hideMark/>
          </w:tcPr>
          <w:p w14:paraId="4652AE05" w14:textId="77777777" w:rsidR="00ED5EC9" w:rsidRPr="00ED5EC9" w:rsidRDefault="00ED5EC9" w:rsidP="00E262FC">
            <w:pPr>
              <w:spacing w:line="360" w:lineRule="auto"/>
              <w:rPr>
                <w:rFonts w:eastAsia="Times New Roman"/>
                <w:color w:val="404040"/>
                <w:sz w:val="24"/>
                <w:szCs w:val="24"/>
                <w:lang w:val="en-US" w:eastAsia="zh-TW"/>
              </w:rPr>
            </w:pPr>
            <w:r w:rsidRPr="00ED5EC9">
              <w:rPr>
                <w:rFonts w:eastAsia="Times New Roman"/>
                <w:color w:val="404040"/>
                <w:sz w:val="24"/>
                <w:szCs w:val="24"/>
                <w:lang w:val="en-US" w:eastAsia="zh-TW"/>
              </w:rPr>
              <w:t>0.015</w:t>
            </w:r>
          </w:p>
        </w:tc>
        <w:tc>
          <w:tcPr>
            <w:tcW w:w="1890" w:type="dxa"/>
            <w:tcBorders>
              <w:top w:val="nil"/>
              <w:left w:val="nil"/>
              <w:bottom w:val="single" w:sz="4" w:space="0" w:color="auto"/>
              <w:right w:val="single" w:sz="4" w:space="0" w:color="auto"/>
            </w:tcBorders>
            <w:shd w:val="clear" w:color="000000" w:fill="DAE9F8"/>
            <w:vAlign w:val="center"/>
            <w:hideMark/>
          </w:tcPr>
          <w:p w14:paraId="6CEAC025" w14:textId="77777777" w:rsidR="00ED5EC9" w:rsidRPr="00ED5EC9" w:rsidRDefault="00ED5EC9" w:rsidP="00E262FC">
            <w:pPr>
              <w:spacing w:line="360" w:lineRule="auto"/>
              <w:rPr>
                <w:rFonts w:eastAsia="Times New Roman"/>
                <w:color w:val="404040"/>
                <w:sz w:val="24"/>
                <w:szCs w:val="24"/>
                <w:lang w:val="en-US" w:eastAsia="zh-TW"/>
              </w:rPr>
            </w:pPr>
            <w:r w:rsidRPr="00ED5EC9">
              <w:rPr>
                <w:rFonts w:eastAsia="Times New Roman"/>
                <w:color w:val="404040"/>
                <w:sz w:val="24"/>
                <w:szCs w:val="24"/>
                <w:lang w:val="en-US" w:eastAsia="zh-TW"/>
              </w:rPr>
              <w:t>Healthy</w:t>
            </w:r>
          </w:p>
        </w:tc>
      </w:tr>
      <w:tr w:rsidR="00ED5EC9" w:rsidRPr="00937F54" w14:paraId="12017E04" w14:textId="77777777" w:rsidTr="00D3619A">
        <w:trPr>
          <w:trHeight w:val="290"/>
        </w:trPr>
        <w:tc>
          <w:tcPr>
            <w:tcW w:w="2875" w:type="dxa"/>
            <w:tcBorders>
              <w:top w:val="nil"/>
              <w:left w:val="single" w:sz="4" w:space="0" w:color="auto"/>
              <w:bottom w:val="single" w:sz="4" w:space="0" w:color="auto"/>
              <w:right w:val="single" w:sz="4" w:space="0" w:color="auto"/>
            </w:tcBorders>
            <w:shd w:val="clear" w:color="000000" w:fill="DAE9F8"/>
            <w:vAlign w:val="center"/>
            <w:hideMark/>
          </w:tcPr>
          <w:p w14:paraId="40E9007D" w14:textId="77777777" w:rsidR="00ED5EC9" w:rsidRPr="00ED5EC9" w:rsidRDefault="00ED5EC9" w:rsidP="00E262FC">
            <w:pPr>
              <w:spacing w:line="360" w:lineRule="auto"/>
              <w:rPr>
                <w:rFonts w:eastAsia="Times New Roman"/>
                <w:b/>
                <w:bCs/>
                <w:color w:val="404040"/>
                <w:sz w:val="24"/>
                <w:szCs w:val="24"/>
                <w:lang w:val="en-US" w:eastAsia="zh-TW"/>
              </w:rPr>
            </w:pPr>
            <w:r w:rsidRPr="00ED5EC9">
              <w:rPr>
                <w:rFonts w:eastAsia="Times New Roman"/>
                <w:b/>
                <w:bCs/>
                <w:color w:val="404040"/>
                <w:sz w:val="24"/>
                <w:szCs w:val="24"/>
                <w:lang w:val="en-US" w:eastAsia="zh-TW"/>
              </w:rPr>
              <w:t>Net Debt Ratio</w:t>
            </w:r>
          </w:p>
        </w:tc>
        <w:tc>
          <w:tcPr>
            <w:tcW w:w="990" w:type="dxa"/>
            <w:tcBorders>
              <w:top w:val="nil"/>
              <w:left w:val="nil"/>
              <w:bottom w:val="single" w:sz="4" w:space="0" w:color="auto"/>
              <w:right w:val="single" w:sz="4" w:space="0" w:color="auto"/>
            </w:tcBorders>
            <w:shd w:val="clear" w:color="000000" w:fill="DAE9F8"/>
            <w:vAlign w:val="center"/>
            <w:hideMark/>
          </w:tcPr>
          <w:p w14:paraId="45C48FC8" w14:textId="77777777" w:rsidR="00ED5EC9" w:rsidRPr="00ED5EC9" w:rsidRDefault="00ED5EC9" w:rsidP="00E262FC">
            <w:pPr>
              <w:spacing w:line="360" w:lineRule="auto"/>
              <w:rPr>
                <w:rFonts w:eastAsia="Times New Roman"/>
                <w:color w:val="404040"/>
                <w:sz w:val="24"/>
                <w:szCs w:val="24"/>
                <w:lang w:val="en-US" w:eastAsia="zh-TW"/>
              </w:rPr>
            </w:pPr>
            <w:r w:rsidRPr="00ED5EC9">
              <w:rPr>
                <w:rFonts w:eastAsia="Times New Roman"/>
                <w:color w:val="404040"/>
                <w:sz w:val="24"/>
                <w:szCs w:val="24"/>
                <w:lang w:val="en-US" w:eastAsia="zh-TW"/>
              </w:rPr>
              <w:t>0</w:t>
            </w:r>
          </w:p>
        </w:tc>
        <w:tc>
          <w:tcPr>
            <w:tcW w:w="1350" w:type="dxa"/>
            <w:tcBorders>
              <w:top w:val="nil"/>
              <w:left w:val="nil"/>
              <w:bottom w:val="single" w:sz="4" w:space="0" w:color="auto"/>
              <w:right w:val="single" w:sz="4" w:space="0" w:color="auto"/>
            </w:tcBorders>
            <w:shd w:val="clear" w:color="000000" w:fill="DAE9F8"/>
            <w:vAlign w:val="center"/>
            <w:hideMark/>
          </w:tcPr>
          <w:p w14:paraId="20CCB35D" w14:textId="77777777" w:rsidR="00ED5EC9" w:rsidRPr="00ED5EC9" w:rsidRDefault="00ED5EC9" w:rsidP="00E262FC">
            <w:pPr>
              <w:spacing w:line="360" w:lineRule="auto"/>
              <w:rPr>
                <w:rFonts w:eastAsia="Times New Roman"/>
                <w:color w:val="404040"/>
                <w:sz w:val="24"/>
                <w:szCs w:val="24"/>
                <w:lang w:val="en-US" w:eastAsia="zh-TW"/>
              </w:rPr>
            </w:pPr>
            <w:r w:rsidRPr="00ED5EC9">
              <w:rPr>
                <w:rFonts w:eastAsia="Times New Roman"/>
                <w:color w:val="404040"/>
                <w:sz w:val="24"/>
                <w:szCs w:val="24"/>
                <w:lang w:val="en-US" w:eastAsia="zh-TW"/>
              </w:rPr>
              <w:t>0.013</w:t>
            </w:r>
          </w:p>
        </w:tc>
        <w:tc>
          <w:tcPr>
            <w:tcW w:w="1890" w:type="dxa"/>
            <w:tcBorders>
              <w:top w:val="nil"/>
              <w:left w:val="nil"/>
              <w:bottom w:val="single" w:sz="4" w:space="0" w:color="auto"/>
              <w:right w:val="single" w:sz="4" w:space="0" w:color="auto"/>
            </w:tcBorders>
            <w:shd w:val="clear" w:color="000000" w:fill="DAE9F8"/>
            <w:vAlign w:val="center"/>
            <w:hideMark/>
          </w:tcPr>
          <w:p w14:paraId="6809CA1A" w14:textId="77777777" w:rsidR="00ED5EC9" w:rsidRPr="00ED5EC9" w:rsidRDefault="00ED5EC9" w:rsidP="00E262FC">
            <w:pPr>
              <w:spacing w:line="360" w:lineRule="auto"/>
              <w:rPr>
                <w:rFonts w:eastAsia="Times New Roman"/>
                <w:color w:val="404040"/>
                <w:sz w:val="24"/>
                <w:szCs w:val="24"/>
                <w:lang w:val="en-US" w:eastAsia="zh-TW"/>
              </w:rPr>
            </w:pPr>
            <w:r w:rsidRPr="00ED5EC9">
              <w:rPr>
                <w:rFonts w:eastAsia="Times New Roman"/>
                <w:color w:val="404040"/>
                <w:sz w:val="24"/>
                <w:szCs w:val="24"/>
                <w:lang w:val="en-US" w:eastAsia="zh-TW"/>
              </w:rPr>
              <w:t>-0.25</w:t>
            </w:r>
          </w:p>
        </w:tc>
        <w:tc>
          <w:tcPr>
            <w:tcW w:w="1890" w:type="dxa"/>
            <w:tcBorders>
              <w:top w:val="nil"/>
              <w:left w:val="nil"/>
              <w:bottom w:val="single" w:sz="4" w:space="0" w:color="auto"/>
              <w:right w:val="single" w:sz="4" w:space="0" w:color="auto"/>
            </w:tcBorders>
            <w:shd w:val="clear" w:color="000000" w:fill="DAE9F8"/>
            <w:vAlign w:val="center"/>
            <w:hideMark/>
          </w:tcPr>
          <w:p w14:paraId="5A9B470C" w14:textId="6AAF962F" w:rsidR="00ED5EC9" w:rsidRPr="00ED5EC9" w:rsidRDefault="00D3619A" w:rsidP="00E262FC">
            <w:pPr>
              <w:spacing w:line="360" w:lineRule="auto"/>
              <w:rPr>
                <w:rFonts w:eastAsia="Times New Roman"/>
                <w:color w:val="404040"/>
                <w:sz w:val="24"/>
                <w:szCs w:val="24"/>
                <w:lang w:val="en-US" w:eastAsia="zh-TW"/>
              </w:rPr>
            </w:pPr>
            <w:r>
              <w:rPr>
                <w:rFonts w:eastAsia="Times New Roman"/>
                <w:color w:val="404040"/>
                <w:sz w:val="24"/>
                <w:szCs w:val="24"/>
                <w:lang w:val="en-US" w:eastAsia="zh-TW"/>
              </w:rPr>
              <w:t>Conservative</w:t>
            </w:r>
          </w:p>
        </w:tc>
      </w:tr>
    </w:tbl>
    <w:p w14:paraId="0C2244C2" w14:textId="21B73969" w:rsidR="003D0892" w:rsidRDefault="00591354" w:rsidP="00E262FC">
      <w:pPr>
        <w:spacing w:line="360" w:lineRule="auto"/>
        <w:rPr>
          <w:iCs/>
          <w:sz w:val="24"/>
          <w:szCs w:val="24"/>
        </w:rPr>
      </w:pPr>
      <w:r w:rsidRPr="00591354">
        <w:rPr>
          <w:iCs/>
          <w:sz w:val="24"/>
          <w:szCs w:val="24"/>
        </w:rPr>
        <w:t>All post-investment financial ratios remain within healthy ranges, evidencing a disciplined and stable capital structure poised for sustainable growth.</w:t>
      </w:r>
    </w:p>
    <w:p w14:paraId="67DE978D" w14:textId="77777777" w:rsidR="004157C2" w:rsidRDefault="004157C2" w:rsidP="00E262FC">
      <w:pPr>
        <w:spacing w:line="360" w:lineRule="auto"/>
        <w:rPr>
          <w:iCs/>
          <w:sz w:val="24"/>
          <w:szCs w:val="24"/>
        </w:rPr>
      </w:pPr>
    </w:p>
    <w:p w14:paraId="12D9BC96" w14:textId="77777777" w:rsidR="004157C2" w:rsidRDefault="004157C2" w:rsidP="00E262FC">
      <w:pPr>
        <w:spacing w:line="360" w:lineRule="auto"/>
        <w:rPr>
          <w:iCs/>
          <w:sz w:val="24"/>
          <w:szCs w:val="24"/>
        </w:rPr>
      </w:pPr>
    </w:p>
    <w:p w14:paraId="7ECFC320" w14:textId="77777777" w:rsidR="004157C2" w:rsidRDefault="004157C2" w:rsidP="00E262FC">
      <w:pPr>
        <w:spacing w:line="360" w:lineRule="auto"/>
        <w:rPr>
          <w:iCs/>
          <w:sz w:val="24"/>
          <w:szCs w:val="24"/>
        </w:rPr>
      </w:pPr>
    </w:p>
    <w:p w14:paraId="0740E0BB" w14:textId="77777777" w:rsidR="004157C2" w:rsidRDefault="004157C2" w:rsidP="00E262FC">
      <w:pPr>
        <w:spacing w:line="360" w:lineRule="auto"/>
        <w:rPr>
          <w:iCs/>
          <w:sz w:val="24"/>
          <w:szCs w:val="24"/>
        </w:rPr>
      </w:pPr>
    </w:p>
    <w:p w14:paraId="3AD04CC6" w14:textId="77777777" w:rsidR="004157C2" w:rsidRDefault="004157C2" w:rsidP="00E262FC">
      <w:pPr>
        <w:spacing w:line="360" w:lineRule="auto"/>
        <w:rPr>
          <w:iCs/>
          <w:sz w:val="24"/>
          <w:szCs w:val="24"/>
        </w:rPr>
      </w:pPr>
    </w:p>
    <w:p w14:paraId="7480A309" w14:textId="77777777" w:rsidR="004157C2" w:rsidRDefault="004157C2" w:rsidP="00E262FC">
      <w:pPr>
        <w:spacing w:line="360" w:lineRule="auto"/>
        <w:rPr>
          <w:iCs/>
          <w:sz w:val="24"/>
          <w:szCs w:val="24"/>
        </w:rPr>
      </w:pPr>
    </w:p>
    <w:p w14:paraId="1D2A7791" w14:textId="77777777" w:rsidR="004157C2" w:rsidRDefault="004157C2" w:rsidP="00E262FC">
      <w:pPr>
        <w:spacing w:line="360" w:lineRule="auto"/>
        <w:rPr>
          <w:iCs/>
          <w:sz w:val="24"/>
          <w:szCs w:val="24"/>
        </w:rPr>
      </w:pPr>
    </w:p>
    <w:p w14:paraId="20A17AB9" w14:textId="77777777" w:rsidR="004157C2" w:rsidRDefault="004157C2" w:rsidP="00E262FC">
      <w:pPr>
        <w:spacing w:line="360" w:lineRule="auto"/>
        <w:rPr>
          <w:iCs/>
          <w:sz w:val="24"/>
          <w:szCs w:val="24"/>
        </w:rPr>
      </w:pPr>
    </w:p>
    <w:p w14:paraId="58BB4E94" w14:textId="77777777" w:rsidR="004157C2" w:rsidRDefault="004157C2" w:rsidP="00E262FC">
      <w:pPr>
        <w:spacing w:line="360" w:lineRule="auto"/>
        <w:rPr>
          <w:iCs/>
          <w:sz w:val="24"/>
          <w:szCs w:val="24"/>
        </w:rPr>
      </w:pPr>
    </w:p>
    <w:p w14:paraId="4FB0536E" w14:textId="77777777" w:rsidR="004157C2" w:rsidRDefault="004157C2" w:rsidP="00E262FC">
      <w:pPr>
        <w:spacing w:line="360" w:lineRule="auto"/>
        <w:rPr>
          <w:iCs/>
          <w:sz w:val="24"/>
          <w:szCs w:val="24"/>
        </w:rPr>
      </w:pPr>
    </w:p>
    <w:p w14:paraId="796EEA0F" w14:textId="77777777" w:rsidR="004157C2" w:rsidRDefault="004157C2" w:rsidP="00E262FC">
      <w:pPr>
        <w:spacing w:line="360" w:lineRule="auto"/>
        <w:rPr>
          <w:iCs/>
          <w:sz w:val="24"/>
          <w:szCs w:val="24"/>
        </w:rPr>
      </w:pPr>
    </w:p>
    <w:p w14:paraId="012F9475" w14:textId="77777777" w:rsidR="004157C2" w:rsidRDefault="004157C2" w:rsidP="00E262FC">
      <w:pPr>
        <w:spacing w:line="360" w:lineRule="auto"/>
        <w:rPr>
          <w:iCs/>
          <w:sz w:val="24"/>
          <w:szCs w:val="24"/>
        </w:rPr>
      </w:pPr>
    </w:p>
    <w:p w14:paraId="05DDC369" w14:textId="77777777" w:rsidR="00A835E8" w:rsidRDefault="00A835E8" w:rsidP="00E262FC">
      <w:pPr>
        <w:spacing w:line="360" w:lineRule="auto"/>
        <w:rPr>
          <w:iCs/>
          <w:sz w:val="24"/>
          <w:szCs w:val="24"/>
        </w:rPr>
      </w:pPr>
    </w:p>
    <w:p w14:paraId="7C504738" w14:textId="77777777" w:rsidR="00A835E8" w:rsidRDefault="00A835E8" w:rsidP="00E262FC">
      <w:pPr>
        <w:spacing w:line="360" w:lineRule="auto"/>
        <w:rPr>
          <w:iCs/>
          <w:sz w:val="24"/>
          <w:szCs w:val="24"/>
        </w:rPr>
      </w:pPr>
    </w:p>
    <w:p w14:paraId="6C473516" w14:textId="77777777" w:rsidR="004157C2" w:rsidRDefault="004157C2" w:rsidP="00E262FC">
      <w:pPr>
        <w:spacing w:line="360" w:lineRule="auto"/>
        <w:rPr>
          <w:iCs/>
          <w:sz w:val="24"/>
          <w:szCs w:val="24"/>
        </w:rPr>
      </w:pPr>
    </w:p>
    <w:p w14:paraId="2A97B5F7" w14:textId="77777777" w:rsidR="003B57B4" w:rsidRPr="003B57B4" w:rsidRDefault="003B57B4" w:rsidP="003B57B4">
      <w:pPr>
        <w:spacing w:line="360" w:lineRule="auto"/>
        <w:rPr>
          <w:b/>
          <w:bCs/>
          <w:iCs/>
          <w:sz w:val="24"/>
          <w:szCs w:val="24"/>
          <w:lang w:val="en-US"/>
        </w:rPr>
      </w:pPr>
      <w:r w:rsidRPr="003B57B4">
        <w:rPr>
          <w:b/>
          <w:bCs/>
          <w:iCs/>
          <w:sz w:val="24"/>
          <w:szCs w:val="24"/>
          <w:lang w:val="en-US"/>
        </w:rPr>
        <w:lastRenderedPageBreak/>
        <w:t>6.0 Recommendations and Audit Program</w:t>
      </w:r>
    </w:p>
    <w:p w14:paraId="192C907C" w14:textId="77777777" w:rsidR="003B57B4" w:rsidRPr="003B57B4" w:rsidRDefault="003B57B4" w:rsidP="003B57B4">
      <w:pPr>
        <w:spacing w:line="360" w:lineRule="auto"/>
        <w:rPr>
          <w:iCs/>
          <w:sz w:val="24"/>
          <w:szCs w:val="24"/>
          <w:lang w:val="en-US"/>
        </w:rPr>
      </w:pPr>
      <w:r w:rsidRPr="003B57B4">
        <w:rPr>
          <w:iCs/>
          <w:sz w:val="24"/>
          <w:szCs w:val="24"/>
          <w:lang w:val="en-US"/>
        </w:rPr>
        <w:t>Following a comprehensive financial analysis and benchmarking against industry peers like Fairwood and Tai Hing, this section presents strategic recommendations to optimize Tsui Wah’s Shenzhen flagship operational success and ensure sustainable value creation.</w:t>
      </w:r>
    </w:p>
    <w:p w14:paraId="5DAFB106" w14:textId="77777777" w:rsidR="003B57B4" w:rsidRPr="003B57B4" w:rsidRDefault="003B57B4" w:rsidP="003B57B4">
      <w:pPr>
        <w:spacing w:line="360" w:lineRule="auto"/>
        <w:rPr>
          <w:b/>
          <w:bCs/>
          <w:iCs/>
          <w:sz w:val="24"/>
          <w:szCs w:val="24"/>
          <w:lang w:val="en-US"/>
        </w:rPr>
      </w:pPr>
      <w:r w:rsidRPr="003B57B4">
        <w:rPr>
          <w:b/>
          <w:bCs/>
          <w:iCs/>
          <w:sz w:val="24"/>
          <w:szCs w:val="24"/>
          <w:lang w:val="en-US"/>
        </w:rPr>
        <w:t>6.1 Strategic Operational Recommendations</w:t>
      </w:r>
    </w:p>
    <w:p w14:paraId="38271410" w14:textId="77777777" w:rsidR="003B57B4" w:rsidRPr="003B57B4" w:rsidRDefault="003B57B4" w:rsidP="003B57B4">
      <w:pPr>
        <w:numPr>
          <w:ilvl w:val="0"/>
          <w:numId w:val="41"/>
        </w:numPr>
        <w:spacing w:line="360" w:lineRule="auto"/>
        <w:rPr>
          <w:b/>
          <w:bCs/>
          <w:iCs/>
          <w:sz w:val="24"/>
          <w:szCs w:val="24"/>
          <w:lang w:val="en-US"/>
        </w:rPr>
      </w:pPr>
      <w:r w:rsidRPr="003B57B4">
        <w:rPr>
          <w:b/>
          <w:bCs/>
          <w:iCs/>
          <w:sz w:val="24"/>
          <w:szCs w:val="24"/>
          <w:lang w:val="en-US"/>
        </w:rPr>
        <w:t>Flagship Sales Optimization Strategy:</w:t>
      </w:r>
      <w:r w:rsidRPr="003B57B4">
        <w:rPr>
          <w:b/>
          <w:bCs/>
          <w:iCs/>
          <w:sz w:val="24"/>
          <w:szCs w:val="24"/>
          <w:lang w:val="en-US"/>
        </w:rPr>
        <w:br/>
      </w:r>
      <w:r w:rsidRPr="003B57B4">
        <w:rPr>
          <w:iCs/>
          <w:sz w:val="24"/>
          <w:szCs w:val="24"/>
          <w:lang w:val="en-US"/>
        </w:rPr>
        <w:t>Transform the flagship into the marquee showcase of Tsui Wah’s signature Hong Kong café culture. Emphasize premium, high-margin dishes such as milk tea, pineapple buns, and Hong Kong-style Western cuisine to differentiate from local competitors. Strategically position the menu to maximize revenue per square foot by leveraging authentic dining experiences appealing to tier-1 Shenzhen consumers</w:t>
      </w:r>
      <w:r w:rsidRPr="003B57B4">
        <w:rPr>
          <w:b/>
          <w:bCs/>
          <w:iCs/>
          <w:sz w:val="24"/>
          <w:szCs w:val="24"/>
          <w:lang w:val="en-US"/>
        </w:rPr>
        <w:t>.</w:t>
      </w:r>
    </w:p>
    <w:p w14:paraId="4E397E55" w14:textId="77777777" w:rsidR="003B57B4" w:rsidRPr="003B57B4" w:rsidRDefault="003B57B4" w:rsidP="003B57B4">
      <w:pPr>
        <w:numPr>
          <w:ilvl w:val="0"/>
          <w:numId w:val="41"/>
        </w:numPr>
        <w:spacing w:line="360" w:lineRule="auto"/>
        <w:rPr>
          <w:b/>
          <w:bCs/>
          <w:iCs/>
          <w:sz w:val="24"/>
          <w:szCs w:val="24"/>
          <w:lang w:val="en-US"/>
        </w:rPr>
      </w:pPr>
      <w:r w:rsidRPr="003B57B4">
        <w:rPr>
          <w:b/>
          <w:bCs/>
          <w:iCs/>
          <w:sz w:val="24"/>
          <w:szCs w:val="24"/>
          <w:lang w:val="en-US"/>
        </w:rPr>
        <w:t>Service Experience Enhancement:</w:t>
      </w:r>
      <w:r w:rsidRPr="003B57B4">
        <w:rPr>
          <w:b/>
          <w:bCs/>
          <w:iCs/>
          <w:sz w:val="24"/>
          <w:szCs w:val="24"/>
          <w:lang w:val="en-US"/>
        </w:rPr>
        <w:br/>
      </w:r>
      <w:r w:rsidRPr="003B57B4">
        <w:rPr>
          <w:iCs/>
          <w:sz w:val="24"/>
          <w:szCs w:val="24"/>
          <w:lang w:val="en-US"/>
        </w:rPr>
        <w:t xml:space="preserve">Adopt service protocols that mirror the authentic Hong Kong cha </w:t>
      </w:r>
      <w:proofErr w:type="spellStart"/>
      <w:r w:rsidRPr="003B57B4">
        <w:rPr>
          <w:iCs/>
          <w:sz w:val="24"/>
          <w:szCs w:val="24"/>
          <w:lang w:val="en-US"/>
        </w:rPr>
        <w:t>chaan</w:t>
      </w:r>
      <w:proofErr w:type="spellEnd"/>
      <w:r w:rsidRPr="003B57B4">
        <w:rPr>
          <w:iCs/>
          <w:sz w:val="24"/>
          <w:szCs w:val="24"/>
          <w:lang w:val="en-US"/>
        </w:rPr>
        <w:t xml:space="preserve"> </w:t>
      </w:r>
      <w:proofErr w:type="spellStart"/>
      <w:r w:rsidRPr="003B57B4">
        <w:rPr>
          <w:iCs/>
          <w:sz w:val="24"/>
          <w:szCs w:val="24"/>
          <w:lang w:val="en-US"/>
        </w:rPr>
        <w:t>teng</w:t>
      </w:r>
      <w:proofErr w:type="spellEnd"/>
      <w:r w:rsidRPr="003B57B4">
        <w:rPr>
          <w:iCs/>
          <w:sz w:val="24"/>
          <w:szCs w:val="24"/>
          <w:lang w:val="en-US"/>
        </w:rPr>
        <w:t xml:space="preserve"> culture while aligning with Shenzhen customers’ expectations for efficiency and quality. Implement clear order fulfillment time standards (target 8-10 minutes) to manage peak hour demands reliably.</w:t>
      </w:r>
    </w:p>
    <w:p w14:paraId="0EB05886" w14:textId="77777777" w:rsidR="003B57B4" w:rsidRPr="003B57B4" w:rsidRDefault="003B57B4" w:rsidP="003B57B4">
      <w:pPr>
        <w:numPr>
          <w:ilvl w:val="0"/>
          <w:numId w:val="41"/>
        </w:numPr>
        <w:spacing w:line="360" w:lineRule="auto"/>
        <w:rPr>
          <w:b/>
          <w:bCs/>
          <w:iCs/>
          <w:sz w:val="24"/>
          <w:szCs w:val="24"/>
          <w:lang w:val="en-US"/>
        </w:rPr>
      </w:pPr>
      <w:r w:rsidRPr="003B57B4">
        <w:rPr>
          <w:b/>
          <w:bCs/>
          <w:iCs/>
          <w:sz w:val="24"/>
          <w:szCs w:val="24"/>
          <w:lang w:val="en-US"/>
        </w:rPr>
        <w:t>Digital Integration:</w:t>
      </w:r>
      <w:r w:rsidRPr="003B57B4">
        <w:rPr>
          <w:b/>
          <w:bCs/>
          <w:iCs/>
          <w:sz w:val="24"/>
          <w:szCs w:val="24"/>
          <w:lang w:val="en-US"/>
        </w:rPr>
        <w:br/>
      </w:r>
      <w:r w:rsidRPr="003B57B4">
        <w:rPr>
          <w:iCs/>
          <w:sz w:val="24"/>
          <w:szCs w:val="24"/>
          <w:lang w:val="en-US"/>
        </w:rPr>
        <w:t xml:space="preserve">Deploy integrated POS and kitchen display systems for streamlined order management and reduced errors. Enable mobile ordering to attract tech-savvy consumers, complemented by popular mainland payment methods such as </w:t>
      </w:r>
      <w:proofErr w:type="spellStart"/>
      <w:r w:rsidRPr="003B57B4">
        <w:rPr>
          <w:iCs/>
          <w:sz w:val="24"/>
          <w:szCs w:val="24"/>
          <w:lang w:val="en-US"/>
        </w:rPr>
        <w:t>AliPay</w:t>
      </w:r>
      <w:proofErr w:type="spellEnd"/>
      <w:r w:rsidRPr="003B57B4">
        <w:rPr>
          <w:iCs/>
          <w:sz w:val="24"/>
          <w:szCs w:val="24"/>
          <w:lang w:val="en-US"/>
        </w:rPr>
        <w:t xml:space="preserve"> and WeChat Pay.</w:t>
      </w:r>
    </w:p>
    <w:p w14:paraId="1E40D7C3" w14:textId="77777777" w:rsidR="003B57B4" w:rsidRPr="003B57B4" w:rsidRDefault="003B57B4" w:rsidP="003B57B4">
      <w:pPr>
        <w:numPr>
          <w:ilvl w:val="0"/>
          <w:numId w:val="41"/>
        </w:numPr>
        <w:spacing w:line="360" w:lineRule="auto"/>
        <w:rPr>
          <w:b/>
          <w:bCs/>
          <w:iCs/>
          <w:sz w:val="24"/>
          <w:szCs w:val="24"/>
          <w:lang w:val="en-US"/>
        </w:rPr>
      </w:pPr>
      <w:r w:rsidRPr="003B57B4">
        <w:rPr>
          <w:b/>
          <w:bCs/>
          <w:iCs/>
          <w:sz w:val="24"/>
          <w:szCs w:val="24"/>
          <w:lang w:val="en-US"/>
        </w:rPr>
        <w:t>Advanced Cost Management:</w:t>
      </w:r>
      <w:r w:rsidRPr="003B57B4">
        <w:rPr>
          <w:b/>
          <w:bCs/>
          <w:iCs/>
          <w:sz w:val="24"/>
          <w:szCs w:val="24"/>
          <w:lang w:val="en-US"/>
        </w:rPr>
        <w:br/>
      </w:r>
      <w:r w:rsidRPr="003B57B4">
        <w:rPr>
          <w:iCs/>
          <w:sz w:val="24"/>
          <w:szCs w:val="24"/>
          <w:lang w:val="en-US"/>
        </w:rPr>
        <w:t>Introduce real-time inventory tracking systems to maintain targeted food cost ratios of 28-32%. Predict ordering based on sales trends and seasonality to minimize waste and optimize profitability. Employ advanced scheduling tools and cross-training to align labor utilization with demand patterns, aiming for labor costs of 25-28% of sales.</w:t>
      </w:r>
    </w:p>
    <w:p w14:paraId="38A20777" w14:textId="77777777" w:rsidR="003B57B4" w:rsidRPr="0048446A" w:rsidRDefault="003B57B4" w:rsidP="003B57B4">
      <w:pPr>
        <w:numPr>
          <w:ilvl w:val="0"/>
          <w:numId w:val="41"/>
        </w:numPr>
        <w:spacing w:line="360" w:lineRule="auto"/>
        <w:rPr>
          <w:iCs/>
          <w:sz w:val="24"/>
          <w:szCs w:val="24"/>
          <w:lang w:val="en-US"/>
        </w:rPr>
      </w:pPr>
      <w:r w:rsidRPr="003B57B4">
        <w:rPr>
          <w:b/>
          <w:bCs/>
          <w:iCs/>
          <w:sz w:val="24"/>
          <w:szCs w:val="24"/>
          <w:lang w:val="en-US"/>
        </w:rPr>
        <w:t>Revenue Diversification:</w:t>
      </w:r>
      <w:r w:rsidRPr="003B57B4">
        <w:rPr>
          <w:b/>
          <w:bCs/>
          <w:iCs/>
          <w:sz w:val="24"/>
          <w:szCs w:val="24"/>
          <w:lang w:val="en-US"/>
        </w:rPr>
        <w:br/>
      </w:r>
      <w:r w:rsidRPr="003B57B4">
        <w:rPr>
          <w:iCs/>
          <w:sz w:val="24"/>
          <w:szCs w:val="24"/>
          <w:lang w:val="en-US"/>
        </w:rPr>
        <w:t>Explore new revenue streams, including delivery services, catering, and corporate meals, to supplement dine-in sales and enhance market presence.</w:t>
      </w:r>
    </w:p>
    <w:p w14:paraId="5E2F7F90" w14:textId="77777777" w:rsidR="0048446A" w:rsidRDefault="0048446A" w:rsidP="0048446A">
      <w:pPr>
        <w:spacing w:line="360" w:lineRule="auto"/>
        <w:rPr>
          <w:b/>
          <w:bCs/>
          <w:iCs/>
          <w:sz w:val="24"/>
          <w:szCs w:val="24"/>
          <w:lang w:val="en-US"/>
        </w:rPr>
      </w:pPr>
    </w:p>
    <w:p w14:paraId="5BA52C6B" w14:textId="77777777" w:rsidR="0048446A" w:rsidRPr="003B57B4" w:rsidRDefault="0048446A" w:rsidP="0048446A">
      <w:pPr>
        <w:spacing w:line="360" w:lineRule="auto"/>
        <w:rPr>
          <w:b/>
          <w:bCs/>
          <w:iCs/>
          <w:sz w:val="24"/>
          <w:szCs w:val="24"/>
          <w:lang w:val="en-US"/>
        </w:rPr>
      </w:pPr>
    </w:p>
    <w:p w14:paraId="3B053FD7" w14:textId="77777777" w:rsidR="003B57B4" w:rsidRPr="003B57B4" w:rsidRDefault="003B57B4" w:rsidP="003B57B4">
      <w:pPr>
        <w:spacing w:line="360" w:lineRule="auto"/>
        <w:rPr>
          <w:b/>
          <w:bCs/>
          <w:iCs/>
          <w:sz w:val="24"/>
          <w:szCs w:val="24"/>
          <w:lang w:val="en-US"/>
        </w:rPr>
      </w:pPr>
      <w:r w:rsidRPr="003B57B4">
        <w:rPr>
          <w:b/>
          <w:bCs/>
          <w:iCs/>
          <w:sz w:val="24"/>
          <w:szCs w:val="24"/>
          <w:lang w:val="en-US"/>
        </w:rPr>
        <w:t>6.2 Comprehensive Audit and Governance Framework</w:t>
      </w:r>
    </w:p>
    <w:p w14:paraId="536EEC40" w14:textId="77777777" w:rsidR="003B57B4" w:rsidRPr="003B57B4" w:rsidRDefault="003B57B4" w:rsidP="003B57B4">
      <w:pPr>
        <w:numPr>
          <w:ilvl w:val="0"/>
          <w:numId w:val="42"/>
        </w:numPr>
        <w:spacing w:line="360" w:lineRule="auto"/>
        <w:rPr>
          <w:b/>
          <w:bCs/>
          <w:iCs/>
          <w:sz w:val="24"/>
          <w:szCs w:val="24"/>
          <w:lang w:val="en-US"/>
        </w:rPr>
      </w:pPr>
      <w:r w:rsidRPr="003B57B4">
        <w:rPr>
          <w:b/>
          <w:bCs/>
          <w:iCs/>
          <w:sz w:val="24"/>
          <w:szCs w:val="24"/>
          <w:lang w:val="en-US"/>
        </w:rPr>
        <w:t>Financial Control Systems:</w:t>
      </w:r>
      <w:r w:rsidRPr="003B57B4">
        <w:rPr>
          <w:b/>
          <w:bCs/>
          <w:iCs/>
          <w:sz w:val="24"/>
          <w:szCs w:val="24"/>
          <w:lang w:val="en-US"/>
        </w:rPr>
        <w:br/>
      </w:r>
      <w:r w:rsidRPr="003B57B4">
        <w:rPr>
          <w:iCs/>
          <w:sz w:val="24"/>
          <w:szCs w:val="24"/>
          <w:lang w:val="en-US"/>
        </w:rPr>
        <w:t xml:space="preserve">Establish monthly reviews of KPIs such as sales per square foot (targeting HKD </w:t>
      </w:r>
      <w:r w:rsidRPr="003B57B4">
        <w:rPr>
          <w:iCs/>
          <w:sz w:val="24"/>
          <w:szCs w:val="24"/>
          <w:lang w:val="en-US"/>
        </w:rPr>
        <w:lastRenderedPageBreak/>
        <w:t>2,800+), EBITDA margins (18%+), and liquidity metrics. Implement exception reporting for budget variances exceeding 3% and initiate corrective actions promptly.</w:t>
      </w:r>
    </w:p>
    <w:p w14:paraId="616A4896" w14:textId="77777777" w:rsidR="003B57B4" w:rsidRPr="003B57B4" w:rsidRDefault="003B57B4" w:rsidP="003B57B4">
      <w:pPr>
        <w:numPr>
          <w:ilvl w:val="0"/>
          <w:numId w:val="42"/>
        </w:numPr>
        <w:spacing w:line="360" w:lineRule="auto"/>
        <w:rPr>
          <w:b/>
          <w:bCs/>
          <w:iCs/>
          <w:sz w:val="24"/>
          <w:szCs w:val="24"/>
          <w:lang w:val="en-US"/>
        </w:rPr>
      </w:pPr>
      <w:r w:rsidRPr="003B57B4">
        <w:rPr>
          <w:b/>
          <w:bCs/>
          <w:iCs/>
          <w:sz w:val="24"/>
          <w:szCs w:val="24"/>
          <w:lang w:val="en-US"/>
        </w:rPr>
        <w:t>Cost Control Audits:</w:t>
      </w:r>
      <w:r w:rsidRPr="003B57B4">
        <w:rPr>
          <w:b/>
          <w:bCs/>
          <w:iCs/>
          <w:sz w:val="24"/>
          <w:szCs w:val="24"/>
          <w:lang w:val="en-US"/>
        </w:rPr>
        <w:br/>
      </w:r>
      <w:r w:rsidRPr="003B57B4">
        <w:rPr>
          <w:iCs/>
          <w:sz w:val="24"/>
          <w:szCs w:val="24"/>
          <w:lang w:val="en-US"/>
        </w:rPr>
        <w:t xml:space="preserve">Employ weekly inventory checks, daily cash reconciliations, and monthly profit margin analyses segmented by menu categories. Benchmark company </w:t>
      </w:r>
      <w:proofErr w:type="gramStart"/>
      <w:r w:rsidRPr="003B57B4">
        <w:rPr>
          <w:iCs/>
          <w:sz w:val="24"/>
          <w:szCs w:val="24"/>
          <w:lang w:val="en-US"/>
        </w:rPr>
        <w:t>performance</w:t>
      </w:r>
      <w:proofErr w:type="gramEnd"/>
      <w:r w:rsidRPr="003B57B4">
        <w:rPr>
          <w:iCs/>
          <w:sz w:val="24"/>
          <w:szCs w:val="24"/>
          <w:lang w:val="en-US"/>
        </w:rPr>
        <w:t xml:space="preserve"> quarterly against Fairwood and Tai Hing to maintain competitive parity.</w:t>
      </w:r>
    </w:p>
    <w:p w14:paraId="456F8D91" w14:textId="77777777" w:rsidR="003B57B4" w:rsidRPr="003B57B4" w:rsidRDefault="003B57B4" w:rsidP="003B57B4">
      <w:pPr>
        <w:numPr>
          <w:ilvl w:val="0"/>
          <w:numId w:val="42"/>
        </w:numPr>
        <w:spacing w:line="360" w:lineRule="auto"/>
        <w:rPr>
          <w:b/>
          <w:bCs/>
          <w:iCs/>
          <w:sz w:val="24"/>
          <w:szCs w:val="24"/>
          <w:lang w:val="en-US"/>
        </w:rPr>
      </w:pPr>
      <w:r w:rsidRPr="003B57B4">
        <w:rPr>
          <w:b/>
          <w:bCs/>
          <w:iCs/>
          <w:sz w:val="24"/>
          <w:szCs w:val="24"/>
          <w:lang w:val="en-US"/>
        </w:rPr>
        <w:t>Corporate Governance Enhancements:</w:t>
      </w:r>
      <w:r w:rsidRPr="003B57B4">
        <w:rPr>
          <w:b/>
          <w:bCs/>
          <w:iCs/>
          <w:sz w:val="24"/>
          <w:szCs w:val="24"/>
          <w:lang w:val="en-US"/>
        </w:rPr>
        <w:br/>
      </w:r>
      <w:r w:rsidRPr="003B57B4">
        <w:rPr>
          <w:iCs/>
          <w:sz w:val="24"/>
          <w:szCs w:val="24"/>
          <w:lang w:val="en-US"/>
        </w:rPr>
        <w:t>Strengthen the board’s oversight with quarterly performance reviews focused on flagship metrics. Conduct bi-annual visits by independent directors to operational sites. Require pre-approval for capital expenditures above HKD 500,000 to enhance financial discipline.</w:t>
      </w:r>
    </w:p>
    <w:p w14:paraId="6396BCCE" w14:textId="77777777" w:rsidR="003B57B4" w:rsidRPr="003B57B4" w:rsidRDefault="003B57B4" w:rsidP="003B57B4">
      <w:pPr>
        <w:numPr>
          <w:ilvl w:val="0"/>
          <w:numId w:val="42"/>
        </w:numPr>
        <w:spacing w:line="360" w:lineRule="auto"/>
        <w:rPr>
          <w:b/>
          <w:bCs/>
          <w:iCs/>
          <w:sz w:val="24"/>
          <w:szCs w:val="24"/>
          <w:lang w:val="en-US"/>
        </w:rPr>
      </w:pPr>
      <w:r w:rsidRPr="003B57B4">
        <w:rPr>
          <w:b/>
          <w:bCs/>
          <w:iCs/>
          <w:sz w:val="24"/>
          <w:szCs w:val="24"/>
          <w:lang w:val="en-US"/>
        </w:rPr>
        <w:t>Internal Control Systems:</w:t>
      </w:r>
      <w:r w:rsidRPr="003B57B4">
        <w:rPr>
          <w:b/>
          <w:bCs/>
          <w:iCs/>
          <w:sz w:val="24"/>
          <w:szCs w:val="24"/>
          <w:lang w:val="en-US"/>
        </w:rPr>
        <w:br/>
      </w:r>
      <w:r w:rsidRPr="003B57B4">
        <w:rPr>
          <w:iCs/>
          <w:sz w:val="24"/>
          <w:szCs w:val="24"/>
          <w:lang w:val="en-US"/>
        </w:rPr>
        <w:t>Maintain and regularly update comprehensive SOPs. Foster cross-functional teams across kitchen, service, and management to drive continuous improvements. Integrate technology platforms spanning POS, inventory, labor scheduling, and financial reporting for real-time operational visibility.</w:t>
      </w:r>
    </w:p>
    <w:p w14:paraId="28D60F77" w14:textId="77777777" w:rsidR="003B57B4" w:rsidRPr="003B57B4" w:rsidRDefault="003B57B4" w:rsidP="003B57B4">
      <w:pPr>
        <w:numPr>
          <w:ilvl w:val="0"/>
          <w:numId w:val="42"/>
        </w:numPr>
        <w:spacing w:line="360" w:lineRule="auto"/>
        <w:rPr>
          <w:b/>
          <w:bCs/>
          <w:iCs/>
          <w:sz w:val="24"/>
          <w:szCs w:val="24"/>
          <w:lang w:val="en-US"/>
        </w:rPr>
      </w:pPr>
      <w:r w:rsidRPr="003B57B4">
        <w:rPr>
          <w:b/>
          <w:bCs/>
          <w:iCs/>
          <w:sz w:val="24"/>
          <w:szCs w:val="24"/>
          <w:lang w:val="en-US"/>
        </w:rPr>
        <w:t>Regulatory Compliance and Risk Management:</w:t>
      </w:r>
      <w:r w:rsidRPr="003B57B4">
        <w:rPr>
          <w:b/>
          <w:bCs/>
          <w:iCs/>
          <w:sz w:val="24"/>
          <w:szCs w:val="24"/>
          <w:lang w:val="en-US"/>
        </w:rPr>
        <w:br/>
      </w:r>
      <w:r w:rsidRPr="003B57B4">
        <w:rPr>
          <w:iCs/>
          <w:sz w:val="24"/>
          <w:szCs w:val="24"/>
          <w:lang w:val="en-US"/>
        </w:rPr>
        <w:t>Ensure adherence to Hong Kong and mainland China financial and food safety standards. Develop emergency response plans and maintain sufficient insurance coverage. Retain a minimum 30-day cash reserve for operational continuity.</w:t>
      </w:r>
    </w:p>
    <w:p w14:paraId="371C1FE6" w14:textId="77777777" w:rsidR="003B57B4" w:rsidRPr="003B57B4" w:rsidRDefault="003B57B4" w:rsidP="003B57B4">
      <w:pPr>
        <w:spacing w:line="360" w:lineRule="auto"/>
        <w:rPr>
          <w:b/>
          <w:bCs/>
          <w:iCs/>
          <w:sz w:val="24"/>
          <w:szCs w:val="24"/>
          <w:lang w:val="en-US"/>
        </w:rPr>
      </w:pPr>
      <w:r w:rsidRPr="003B57B4">
        <w:rPr>
          <w:b/>
          <w:bCs/>
          <w:iCs/>
          <w:sz w:val="24"/>
          <w:szCs w:val="24"/>
          <w:lang w:val="en-US"/>
        </w:rPr>
        <w:t>6.3 Strategic Planning and Performance Monitoring</w:t>
      </w:r>
    </w:p>
    <w:p w14:paraId="4D0081F6" w14:textId="77777777" w:rsidR="003B57B4" w:rsidRPr="003B57B4" w:rsidRDefault="003B57B4" w:rsidP="003B57B4">
      <w:pPr>
        <w:numPr>
          <w:ilvl w:val="0"/>
          <w:numId w:val="43"/>
        </w:numPr>
        <w:spacing w:line="360" w:lineRule="auto"/>
        <w:rPr>
          <w:iCs/>
          <w:sz w:val="24"/>
          <w:szCs w:val="24"/>
          <w:lang w:val="en-US"/>
        </w:rPr>
      </w:pPr>
      <w:r w:rsidRPr="003B57B4">
        <w:rPr>
          <w:iCs/>
          <w:sz w:val="24"/>
          <w:szCs w:val="24"/>
          <w:lang w:val="en-US"/>
        </w:rPr>
        <w:t>Develop contingency strategies for market downturns, competitive pressures, and supply chain disruptions.</w:t>
      </w:r>
    </w:p>
    <w:p w14:paraId="2786982E" w14:textId="77777777" w:rsidR="003B57B4" w:rsidRPr="003B57B4" w:rsidRDefault="003B57B4" w:rsidP="003B57B4">
      <w:pPr>
        <w:numPr>
          <w:ilvl w:val="0"/>
          <w:numId w:val="43"/>
        </w:numPr>
        <w:spacing w:line="360" w:lineRule="auto"/>
        <w:rPr>
          <w:iCs/>
          <w:sz w:val="24"/>
          <w:szCs w:val="24"/>
          <w:lang w:val="en-US"/>
        </w:rPr>
      </w:pPr>
      <w:r w:rsidRPr="003B57B4">
        <w:rPr>
          <w:iCs/>
          <w:sz w:val="24"/>
          <w:szCs w:val="24"/>
          <w:lang w:val="en-US"/>
        </w:rPr>
        <w:t>Leverage data analytics from POS and customer feedback for menu optimization, pricing adjustments, and demand forecasting.</w:t>
      </w:r>
    </w:p>
    <w:p w14:paraId="7188E012" w14:textId="77777777" w:rsidR="003B57B4" w:rsidRPr="003B57B4" w:rsidRDefault="003B57B4" w:rsidP="003B57B4">
      <w:pPr>
        <w:numPr>
          <w:ilvl w:val="0"/>
          <w:numId w:val="43"/>
        </w:numPr>
        <w:spacing w:line="360" w:lineRule="auto"/>
        <w:rPr>
          <w:iCs/>
          <w:sz w:val="24"/>
          <w:szCs w:val="24"/>
          <w:lang w:val="en-US"/>
        </w:rPr>
      </w:pPr>
      <w:r w:rsidRPr="003B57B4">
        <w:rPr>
          <w:iCs/>
          <w:sz w:val="24"/>
          <w:szCs w:val="24"/>
          <w:lang w:val="en-US"/>
        </w:rPr>
        <w:t>Implement predictive models for inventory management and labor planning to enhance responsiveness.</w:t>
      </w:r>
    </w:p>
    <w:p w14:paraId="0C95B167" w14:textId="77777777" w:rsidR="001C5F32" w:rsidRDefault="001C5F32" w:rsidP="00E262FC">
      <w:pPr>
        <w:spacing w:line="360" w:lineRule="auto"/>
        <w:rPr>
          <w:iCs/>
          <w:sz w:val="24"/>
          <w:szCs w:val="24"/>
          <w:lang w:val="en-US"/>
        </w:rPr>
      </w:pPr>
    </w:p>
    <w:p w14:paraId="17ADDE96" w14:textId="77777777" w:rsidR="001C5F32" w:rsidRDefault="001C5F32" w:rsidP="00E262FC">
      <w:pPr>
        <w:spacing w:line="360" w:lineRule="auto"/>
        <w:rPr>
          <w:iCs/>
          <w:sz w:val="24"/>
          <w:szCs w:val="24"/>
          <w:lang w:val="en-US"/>
        </w:rPr>
      </w:pPr>
    </w:p>
    <w:p w14:paraId="49D0B792" w14:textId="77777777" w:rsidR="001C5F32" w:rsidRDefault="001C5F32" w:rsidP="00E262FC">
      <w:pPr>
        <w:spacing w:line="360" w:lineRule="auto"/>
        <w:rPr>
          <w:iCs/>
          <w:sz w:val="24"/>
          <w:szCs w:val="24"/>
          <w:lang w:val="en-US"/>
        </w:rPr>
      </w:pPr>
    </w:p>
    <w:p w14:paraId="3B1A34E6" w14:textId="77777777" w:rsidR="00380344" w:rsidRDefault="00380344" w:rsidP="00E262FC">
      <w:pPr>
        <w:spacing w:line="360" w:lineRule="auto"/>
        <w:rPr>
          <w:b/>
          <w:bCs/>
          <w:iCs/>
          <w:sz w:val="24"/>
          <w:szCs w:val="24"/>
          <w:lang w:val="en-US"/>
        </w:rPr>
      </w:pPr>
    </w:p>
    <w:p w14:paraId="0AB9D2DA" w14:textId="77777777" w:rsidR="00380344" w:rsidRDefault="00380344" w:rsidP="00E262FC">
      <w:pPr>
        <w:spacing w:line="360" w:lineRule="auto"/>
        <w:rPr>
          <w:b/>
          <w:bCs/>
          <w:iCs/>
          <w:sz w:val="24"/>
          <w:szCs w:val="24"/>
          <w:lang w:val="en-US"/>
        </w:rPr>
      </w:pPr>
    </w:p>
    <w:p w14:paraId="034E8016" w14:textId="77777777" w:rsidR="00380344" w:rsidRDefault="00380344" w:rsidP="00E262FC">
      <w:pPr>
        <w:spacing w:line="360" w:lineRule="auto"/>
        <w:rPr>
          <w:b/>
          <w:bCs/>
          <w:iCs/>
          <w:sz w:val="24"/>
          <w:szCs w:val="24"/>
          <w:lang w:val="en-US"/>
        </w:rPr>
      </w:pPr>
    </w:p>
    <w:p w14:paraId="5EEA993F" w14:textId="77777777" w:rsidR="00380344" w:rsidRDefault="00380344" w:rsidP="00E262FC">
      <w:pPr>
        <w:spacing w:line="360" w:lineRule="auto"/>
        <w:rPr>
          <w:b/>
          <w:bCs/>
          <w:iCs/>
          <w:sz w:val="24"/>
          <w:szCs w:val="24"/>
          <w:lang w:val="en-US"/>
        </w:rPr>
      </w:pPr>
    </w:p>
    <w:p w14:paraId="2D97CD28" w14:textId="77777777" w:rsidR="00FB363C" w:rsidRDefault="00FB363C" w:rsidP="00FB363C">
      <w:pPr>
        <w:spacing w:line="360" w:lineRule="auto"/>
        <w:rPr>
          <w:b/>
          <w:bCs/>
          <w:iCs/>
          <w:sz w:val="24"/>
          <w:szCs w:val="24"/>
          <w:lang w:val="en-US"/>
        </w:rPr>
      </w:pPr>
      <w:r w:rsidRPr="00FB363C">
        <w:rPr>
          <w:b/>
          <w:bCs/>
          <w:iCs/>
          <w:sz w:val="24"/>
          <w:szCs w:val="24"/>
          <w:lang w:val="en-US"/>
        </w:rPr>
        <w:lastRenderedPageBreak/>
        <w:t>7.0 Conclusion</w:t>
      </w:r>
    </w:p>
    <w:p w14:paraId="127C2579" w14:textId="3CA10DE0" w:rsidR="003C5C47" w:rsidRPr="00FB363C" w:rsidRDefault="003C5C47" w:rsidP="00FB363C">
      <w:pPr>
        <w:spacing w:line="360" w:lineRule="auto"/>
        <w:rPr>
          <w:iCs/>
          <w:sz w:val="24"/>
          <w:szCs w:val="24"/>
          <w:lang w:val="en-US"/>
        </w:rPr>
      </w:pPr>
      <w:r w:rsidRPr="003C5C47">
        <w:rPr>
          <w:iCs/>
          <w:sz w:val="24"/>
          <w:szCs w:val="24"/>
        </w:rPr>
        <w:t>The thorough financial analysis confirms Tsui Wah’s Shenzhen flagship restaurant as a highly promising value-creating investment aligned with the company’s strategic expansion in mainland China. The project demonstrates robust financial metrics including an NPV of approximately HKD 3.9–4.8 million, a strong IRR near 16%, and a payback period under five years, ensuring attractive returns and sustainable cash flow generation. Conservative internal financing safeguards the debt profile while supporting growth. Strategically positioned to capture the rapidly growing premium dining market in Guangdong, the flagship enhances brand equity and scalability. Effective risk mitigation, operational excellence, and governance structures underpin long-term value creation and project success.</w:t>
      </w:r>
    </w:p>
    <w:p w14:paraId="33A65545" w14:textId="77777777" w:rsidR="00FB363C" w:rsidRPr="00FB363C" w:rsidRDefault="00FB363C" w:rsidP="00FB363C">
      <w:pPr>
        <w:spacing w:line="360" w:lineRule="auto"/>
        <w:rPr>
          <w:b/>
          <w:bCs/>
          <w:iCs/>
          <w:sz w:val="24"/>
          <w:szCs w:val="24"/>
          <w:lang w:val="en-US"/>
        </w:rPr>
      </w:pPr>
      <w:r w:rsidRPr="00FB363C">
        <w:rPr>
          <w:b/>
          <w:bCs/>
          <w:iCs/>
          <w:sz w:val="24"/>
          <w:szCs w:val="24"/>
          <w:lang w:val="en-US"/>
        </w:rPr>
        <w:t>7.1 Investment Validation and Strategic Alignment</w:t>
      </w:r>
    </w:p>
    <w:p w14:paraId="0F21F476" w14:textId="77777777" w:rsidR="00FB363C" w:rsidRPr="00FB363C" w:rsidRDefault="00FB363C" w:rsidP="00FB363C">
      <w:pPr>
        <w:spacing w:line="360" w:lineRule="auto"/>
        <w:rPr>
          <w:iCs/>
          <w:sz w:val="24"/>
          <w:szCs w:val="24"/>
          <w:lang w:val="en-US"/>
        </w:rPr>
      </w:pPr>
      <w:r w:rsidRPr="00FB363C">
        <w:rPr>
          <w:iCs/>
          <w:sz w:val="24"/>
          <w:szCs w:val="24"/>
          <w:lang w:val="en-US"/>
        </w:rPr>
        <w:t xml:space="preserve">The comprehensive financial analysis validates Tsui Wah’s proposed 5,000 </w:t>
      </w:r>
      <w:proofErr w:type="spellStart"/>
      <w:r w:rsidRPr="00FB363C">
        <w:rPr>
          <w:iCs/>
          <w:sz w:val="24"/>
          <w:szCs w:val="24"/>
          <w:lang w:val="en-US"/>
        </w:rPr>
        <w:t>sqft</w:t>
      </w:r>
      <w:proofErr w:type="spellEnd"/>
      <w:r w:rsidRPr="00FB363C">
        <w:rPr>
          <w:iCs/>
          <w:sz w:val="24"/>
          <w:szCs w:val="24"/>
          <w:lang w:val="en-US"/>
        </w:rPr>
        <w:t xml:space="preserve"> Shenzhen flagship restaurant as a compelling value-creating investment that aligns tightly with the company’s long-term strategic expansion goals in mainland China.</w:t>
      </w:r>
    </w:p>
    <w:p w14:paraId="24AC15C8" w14:textId="77777777" w:rsidR="00FB363C" w:rsidRPr="00FB363C" w:rsidRDefault="00FB363C" w:rsidP="00FB363C">
      <w:pPr>
        <w:spacing w:line="360" w:lineRule="auto"/>
        <w:rPr>
          <w:iCs/>
          <w:sz w:val="24"/>
          <w:szCs w:val="24"/>
          <w:lang w:val="en-US"/>
        </w:rPr>
      </w:pPr>
      <w:r w:rsidRPr="00FB363C">
        <w:rPr>
          <w:iCs/>
          <w:sz w:val="24"/>
          <w:szCs w:val="24"/>
          <w:lang w:val="en-US"/>
        </w:rPr>
        <w:t>Compelling Financial Metrics:</w:t>
      </w:r>
    </w:p>
    <w:p w14:paraId="78CC54FF" w14:textId="77777777" w:rsidR="00FB363C" w:rsidRPr="00FB363C" w:rsidRDefault="00FB363C" w:rsidP="00FB363C">
      <w:pPr>
        <w:numPr>
          <w:ilvl w:val="0"/>
          <w:numId w:val="44"/>
        </w:numPr>
        <w:spacing w:line="360" w:lineRule="auto"/>
        <w:rPr>
          <w:iCs/>
          <w:sz w:val="24"/>
          <w:szCs w:val="24"/>
          <w:lang w:val="en-US"/>
        </w:rPr>
      </w:pPr>
      <w:r w:rsidRPr="00FB363C">
        <w:rPr>
          <w:iCs/>
          <w:sz w:val="24"/>
          <w:szCs w:val="24"/>
          <w:lang w:val="en-US"/>
        </w:rPr>
        <w:t>The project boasts a Net Present Value (NPV) of approximately HKD 3.9 to 4.8 million at the conservative discount rate of 10.5%, representing attractive value creation beyond initial capital outlays.</w:t>
      </w:r>
    </w:p>
    <w:p w14:paraId="51E5B572" w14:textId="77777777" w:rsidR="00FB363C" w:rsidRPr="00FB363C" w:rsidRDefault="00FB363C" w:rsidP="00FB363C">
      <w:pPr>
        <w:numPr>
          <w:ilvl w:val="0"/>
          <w:numId w:val="44"/>
        </w:numPr>
        <w:spacing w:line="360" w:lineRule="auto"/>
        <w:rPr>
          <w:iCs/>
          <w:sz w:val="24"/>
          <w:szCs w:val="24"/>
          <w:lang w:val="en-US"/>
        </w:rPr>
      </w:pPr>
      <w:r w:rsidRPr="00FB363C">
        <w:rPr>
          <w:iCs/>
          <w:sz w:val="24"/>
          <w:szCs w:val="24"/>
          <w:lang w:val="en-US"/>
        </w:rPr>
        <w:t>An Internal Rate of Return (IRR) near 16% substantially exceeds Tsui Wah’s cost of capital and industry benchmarks, underscoring the project’s solid return potential.</w:t>
      </w:r>
    </w:p>
    <w:p w14:paraId="746EA529" w14:textId="77777777" w:rsidR="00FB363C" w:rsidRPr="00FB363C" w:rsidRDefault="00FB363C" w:rsidP="00FB363C">
      <w:pPr>
        <w:numPr>
          <w:ilvl w:val="0"/>
          <w:numId w:val="44"/>
        </w:numPr>
        <w:spacing w:line="360" w:lineRule="auto"/>
        <w:rPr>
          <w:iCs/>
          <w:sz w:val="24"/>
          <w:szCs w:val="24"/>
          <w:lang w:val="en-US"/>
        </w:rPr>
      </w:pPr>
      <w:r w:rsidRPr="00FB363C">
        <w:rPr>
          <w:iCs/>
          <w:sz w:val="24"/>
          <w:szCs w:val="24"/>
          <w:lang w:val="en-US"/>
        </w:rPr>
        <w:t>The Payback Period, approximately 4 years and 7-10 months, signals sustainable cash flow recovery under conservative assumptions.</w:t>
      </w:r>
    </w:p>
    <w:p w14:paraId="53C3126D" w14:textId="77777777" w:rsidR="00FB363C" w:rsidRPr="00FB363C" w:rsidRDefault="00FB363C" w:rsidP="00FB363C">
      <w:pPr>
        <w:numPr>
          <w:ilvl w:val="0"/>
          <w:numId w:val="44"/>
        </w:numPr>
        <w:spacing w:line="360" w:lineRule="auto"/>
        <w:rPr>
          <w:iCs/>
          <w:sz w:val="24"/>
          <w:szCs w:val="24"/>
          <w:lang w:val="en-US"/>
        </w:rPr>
      </w:pPr>
      <w:r w:rsidRPr="00FB363C">
        <w:rPr>
          <w:iCs/>
          <w:sz w:val="24"/>
          <w:szCs w:val="24"/>
          <w:lang w:val="en-US"/>
        </w:rPr>
        <w:t>The Accounting Rate of Return (ARR) above 37% highlights strong operational leverage and profitability prospects.</w:t>
      </w:r>
    </w:p>
    <w:p w14:paraId="7DA6B53D" w14:textId="77777777" w:rsidR="00FB363C" w:rsidRPr="00FB363C" w:rsidRDefault="00FB363C" w:rsidP="00FB363C">
      <w:pPr>
        <w:spacing w:line="360" w:lineRule="auto"/>
        <w:rPr>
          <w:iCs/>
          <w:sz w:val="24"/>
          <w:szCs w:val="24"/>
          <w:lang w:val="en-US"/>
        </w:rPr>
      </w:pPr>
      <w:r w:rsidRPr="00FB363C">
        <w:rPr>
          <w:iCs/>
          <w:sz w:val="24"/>
          <w:szCs w:val="24"/>
          <w:lang w:val="en-US"/>
        </w:rPr>
        <w:t>Financial Structure Preservation:</w:t>
      </w:r>
      <w:r w:rsidRPr="00FB363C">
        <w:rPr>
          <w:iCs/>
          <w:sz w:val="24"/>
          <w:szCs w:val="24"/>
          <w:lang w:val="en-US"/>
        </w:rPr>
        <w:br/>
        <w:t>The reliance on internal financing preserves Tsui Wah’s conservative debt profile while supporting growth, with post-investment financial ratios well within healthy industry ranges, reflecting prudent capital and risk management.</w:t>
      </w:r>
    </w:p>
    <w:p w14:paraId="7F83D699" w14:textId="77777777" w:rsidR="00FB363C" w:rsidRPr="00FB363C" w:rsidRDefault="00FB363C" w:rsidP="00FB363C">
      <w:pPr>
        <w:spacing w:line="360" w:lineRule="auto"/>
        <w:rPr>
          <w:b/>
          <w:bCs/>
          <w:iCs/>
          <w:sz w:val="24"/>
          <w:szCs w:val="24"/>
          <w:lang w:val="en-US"/>
        </w:rPr>
      </w:pPr>
      <w:r w:rsidRPr="00FB363C">
        <w:rPr>
          <w:b/>
          <w:bCs/>
          <w:iCs/>
          <w:sz w:val="24"/>
          <w:szCs w:val="24"/>
          <w:lang w:val="en-US"/>
        </w:rPr>
        <w:t>7.2 Strategic Market Positioning</w:t>
      </w:r>
    </w:p>
    <w:p w14:paraId="7FCCAC15" w14:textId="77777777" w:rsidR="00FB363C" w:rsidRPr="00FB363C" w:rsidRDefault="00FB363C" w:rsidP="00FB363C">
      <w:pPr>
        <w:spacing w:line="360" w:lineRule="auto"/>
        <w:rPr>
          <w:iCs/>
          <w:sz w:val="24"/>
          <w:szCs w:val="24"/>
          <w:lang w:val="en-US"/>
        </w:rPr>
      </w:pPr>
      <w:r w:rsidRPr="00FB363C">
        <w:rPr>
          <w:iCs/>
          <w:sz w:val="24"/>
          <w:szCs w:val="24"/>
          <w:lang w:val="en-US"/>
        </w:rPr>
        <w:t>The Shenzhen flagship optimally leverages Tsui Wah’s authentic Hong Kong café heritage to capture the rapidly expanding affluent consumer base in Guangdong province. Increasing demand for premium dining experiences paired with Tsui Wah’s strong brand equity provides significant competitive differentiation against local market entrants.</w:t>
      </w:r>
    </w:p>
    <w:p w14:paraId="69F28F3F" w14:textId="77777777" w:rsidR="00FB363C" w:rsidRPr="00FB363C" w:rsidRDefault="00FB363C" w:rsidP="00FB363C">
      <w:pPr>
        <w:spacing w:line="360" w:lineRule="auto"/>
        <w:rPr>
          <w:iCs/>
          <w:sz w:val="24"/>
          <w:szCs w:val="24"/>
          <w:lang w:val="en-US"/>
        </w:rPr>
      </w:pPr>
      <w:r w:rsidRPr="00FB363C">
        <w:rPr>
          <w:iCs/>
          <w:sz w:val="24"/>
          <w:szCs w:val="24"/>
          <w:lang w:val="en-US"/>
        </w:rPr>
        <w:lastRenderedPageBreak/>
        <w:t>Beyond immediate revenue generation, the flagship serves as a vital brand ambassador and operational template for wider mainland expansion, solidifying market presence and supplier relationships.</w:t>
      </w:r>
    </w:p>
    <w:p w14:paraId="196E5A33" w14:textId="77777777" w:rsidR="00FB363C" w:rsidRPr="00FB363C" w:rsidRDefault="00FB363C" w:rsidP="00FB363C">
      <w:pPr>
        <w:spacing w:line="360" w:lineRule="auto"/>
        <w:rPr>
          <w:b/>
          <w:bCs/>
          <w:iCs/>
          <w:sz w:val="24"/>
          <w:szCs w:val="24"/>
          <w:lang w:val="en-US"/>
        </w:rPr>
      </w:pPr>
      <w:r w:rsidRPr="00FB363C">
        <w:rPr>
          <w:b/>
          <w:bCs/>
          <w:iCs/>
          <w:sz w:val="24"/>
          <w:szCs w:val="24"/>
          <w:lang w:val="en-US"/>
        </w:rPr>
        <w:t>7.3 Risk Mitigation and Operational Excellence</w:t>
      </w:r>
    </w:p>
    <w:p w14:paraId="39872919" w14:textId="77777777" w:rsidR="00FB363C" w:rsidRPr="00FB363C" w:rsidRDefault="00FB363C" w:rsidP="00FB363C">
      <w:pPr>
        <w:spacing w:line="360" w:lineRule="auto"/>
        <w:rPr>
          <w:iCs/>
          <w:sz w:val="24"/>
          <w:szCs w:val="24"/>
          <w:lang w:val="en-US"/>
        </w:rPr>
      </w:pPr>
      <w:r w:rsidRPr="00FB363C">
        <w:rPr>
          <w:iCs/>
          <w:sz w:val="24"/>
          <w:szCs w:val="24"/>
          <w:lang w:val="en-US"/>
        </w:rPr>
        <w:t>Adopting primarily internal cash financing reduces financial leverage risk and maintains operational flexibility for future opportunities. Well-established operational systems, an experienced management team, and proven restaurant concepts collectively minimize execution risks and enhance project success probability.</w:t>
      </w:r>
    </w:p>
    <w:p w14:paraId="1140845E" w14:textId="77777777" w:rsidR="00FB363C" w:rsidRPr="00FB363C" w:rsidRDefault="00FB363C" w:rsidP="00FB363C">
      <w:pPr>
        <w:spacing w:line="360" w:lineRule="auto"/>
        <w:rPr>
          <w:iCs/>
          <w:sz w:val="24"/>
          <w:szCs w:val="24"/>
          <w:lang w:val="en-US"/>
        </w:rPr>
      </w:pPr>
      <w:r w:rsidRPr="00FB363C">
        <w:rPr>
          <w:iCs/>
          <w:sz w:val="24"/>
          <w:szCs w:val="24"/>
          <w:lang w:val="en-US"/>
        </w:rPr>
        <w:t>The rollout of unified technology stacks—leveraging real-time POS, inventory, and customer engagement platforms—ensures operational efficiency tuned for China’s digital-first consumer environment.</w:t>
      </w:r>
    </w:p>
    <w:p w14:paraId="7322CD48" w14:textId="77777777" w:rsidR="00FB363C" w:rsidRPr="00FB363C" w:rsidRDefault="00FB363C" w:rsidP="00FB363C">
      <w:pPr>
        <w:spacing w:line="360" w:lineRule="auto"/>
        <w:rPr>
          <w:iCs/>
          <w:sz w:val="24"/>
          <w:szCs w:val="24"/>
          <w:lang w:val="en-US"/>
        </w:rPr>
      </w:pPr>
      <w:r w:rsidRPr="00FB363C">
        <w:rPr>
          <w:iCs/>
          <w:sz w:val="24"/>
          <w:szCs w:val="24"/>
          <w:lang w:val="en-US"/>
        </w:rPr>
        <w:t>Governance structures and audit controls guarantee consistent quality delivery, cost discipline, and regulatory compliance across multiple jurisdictions.</w:t>
      </w:r>
    </w:p>
    <w:p w14:paraId="192A39C5" w14:textId="77777777" w:rsidR="00FB363C" w:rsidRPr="00FB363C" w:rsidRDefault="00FB363C" w:rsidP="00FB363C">
      <w:pPr>
        <w:spacing w:line="360" w:lineRule="auto"/>
        <w:rPr>
          <w:b/>
          <w:bCs/>
          <w:iCs/>
          <w:sz w:val="24"/>
          <w:szCs w:val="24"/>
          <w:lang w:val="en-US"/>
        </w:rPr>
      </w:pPr>
      <w:r w:rsidRPr="00FB363C">
        <w:rPr>
          <w:b/>
          <w:bCs/>
          <w:iCs/>
          <w:sz w:val="24"/>
          <w:szCs w:val="24"/>
          <w:lang w:val="en-US"/>
        </w:rPr>
        <w:t>7.4 Long-term Value Creation Strategy</w:t>
      </w:r>
    </w:p>
    <w:p w14:paraId="03F702BA" w14:textId="77777777" w:rsidR="00FB363C" w:rsidRPr="00FB363C" w:rsidRDefault="00FB363C" w:rsidP="00FB363C">
      <w:pPr>
        <w:spacing w:line="360" w:lineRule="auto"/>
        <w:rPr>
          <w:iCs/>
          <w:sz w:val="24"/>
          <w:szCs w:val="24"/>
          <w:lang w:val="en-US"/>
        </w:rPr>
      </w:pPr>
      <w:r w:rsidRPr="00FB363C">
        <w:rPr>
          <w:iCs/>
          <w:sz w:val="24"/>
          <w:szCs w:val="24"/>
          <w:lang w:val="en-US"/>
        </w:rPr>
        <w:t>This investment advances brand equity in mainland China, generating immediate positive cash flows while creating a scalable model for expansion across tier-1 and tier-2 cities. This strategic foundation enhances shareholder returns, enables employee development, and revitalizes customer engagement in new markets.</w:t>
      </w:r>
    </w:p>
    <w:p w14:paraId="363049FA" w14:textId="77777777" w:rsidR="00FB363C" w:rsidRPr="00FB363C" w:rsidRDefault="00FB363C" w:rsidP="00FB363C">
      <w:pPr>
        <w:spacing w:line="360" w:lineRule="auto"/>
        <w:rPr>
          <w:iCs/>
          <w:sz w:val="24"/>
          <w:szCs w:val="24"/>
          <w:lang w:val="en-US"/>
        </w:rPr>
      </w:pPr>
      <w:r w:rsidRPr="00FB363C">
        <w:rPr>
          <w:iCs/>
          <w:sz w:val="24"/>
          <w:szCs w:val="24"/>
          <w:lang w:val="en-US"/>
        </w:rPr>
        <w:t xml:space="preserve">Moreover, the flagship furnishes valuable strategic </w:t>
      </w:r>
      <w:proofErr w:type="gramStart"/>
      <w:r w:rsidRPr="00FB363C">
        <w:rPr>
          <w:iCs/>
          <w:sz w:val="24"/>
          <w:szCs w:val="24"/>
          <w:lang w:val="en-US"/>
        </w:rPr>
        <w:t>options—</w:t>
      </w:r>
      <w:proofErr w:type="gramEnd"/>
      <w:r w:rsidRPr="00FB363C">
        <w:rPr>
          <w:iCs/>
          <w:sz w:val="24"/>
          <w:szCs w:val="24"/>
          <w:lang w:val="en-US"/>
        </w:rPr>
        <w:t xml:space="preserve">franchise </w:t>
      </w:r>
      <w:proofErr w:type="gramStart"/>
      <w:r w:rsidRPr="00FB363C">
        <w:rPr>
          <w:iCs/>
          <w:sz w:val="24"/>
          <w:szCs w:val="24"/>
          <w:lang w:val="en-US"/>
        </w:rPr>
        <w:t>roll-outs</w:t>
      </w:r>
      <w:proofErr w:type="gramEnd"/>
      <w:r w:rsidRPr="00FB363C">
        <w:rPr>
          <w:iCs/>
          <w:sz w:val="24"/>
          <w:szCs w:val="24"/>
          <w:lang w:val="en-US"/>
        </w:rPr>
        <w:t>, enhanced supplier partnerships, and market expansion prospects—far surpassing the initial capital commitment and providing robust growth optionality.</w:t>
      </w:r>
    </w:p>
    <w:p w14:paraId="7592BC55" w14:textId="77777777" w:rsidR="00FB363C" w:rsidRPr="00FB363C" w:rsidRDefault="00FB363C" w:rsidP="00FB363C">
      <w:pPr>
        <w:spacing w:line="360" w:lineRule="auto"/>
        <w:rPr>
          <w:b/>
          <w:bCs/>
          <w:iCs/>
          <w:sz w:val="24"/>
          <w:szCs w:val="24"/>
          <w:lang w:val="en-US"/>
        </w:rPr>
      </w:pPr>
      <w:r w:rsidRPr="00FB363C">
        <w:rPr>
          <w:b/>
          <w:bCs/>
          <w:iCs/>
          <w:sz w:val="24"/>
          <w:szCs w:val="24"/>
          <w:lang w:val="en-US"/>
        </w:rPr>
        <w:t>7.5 Final Recommendation</w:t>
      </w:r>
    </w:p>
    <w:p w14:paraId="194FF1C8" w14:textId="77777777" w:rsidR="00FB363C" w:rsidRPr="00FB363C" w:rsidRDefault="00FB363C" w:rsidP="00FB363C">
      <w:pPr>
        <w:spacing w:line="360" w:lineRule="auto"/>
        <w:rPr>
          <w:iCs/>
          <w:sz w:val="24"/>
          <w:szCs w:val="24"/>
          <w:lang w:val="en-US"/>
        </w:rPr>
      </w:pPr>
      <w:r w:rsidRPr="00FB363C">
        <w:rPr>
          <w:iCs/>
          <w:sz w:val="24"/>
          <w:szCs w:val="24"/>
          <w:lang w:val="en-US"/>
        </w:rPr>
        <w:t xml:space="preserve">Based on superior financial metrics, strategic </w:t>
      </w:r>
      <w:proofErr w:type="gramStart"/>
      <w:r w:rsidRPr="00FB363C">
        <w:rPr>
          <w:iCs/>
          <w:sz w:val="24"/>
          <w:szCs w:val="24"/>
          <w:lang w:val="en-US"/>
        </w:rPr>
        <w:t>fit</w:t>
      </w:r>
      <w:proofErr w:type="gramEnd"/>
      <w:r w:rsidRPr="00FB363C">
        <w:rPr>
          <w:iCs/>
          <w:sz w:val="24"/>
          <w:szCs w:val="24"/>
          <w:lang w:val="en-US"/>
        </w:rPr>
        <w:t>, comprehensive risk mitigation, and strong long-term value potentials, unanimous approval is recommended for swift project execution. Immediate commencement of lease negotiation, store fit-out, and talent acquisition should target a Q2 2025 opening, maximizing first-mover advantages and accelerating returns.</w:t>
      </w:r>
    </w:p>
    <w:p w14:paraId="2AFB4486" w14:textId="77777777" w:rsidR="00FB363C" w:rsidRPr="00FB363C" w:rsidRDefault="00FB363C" w:rsidP="00FB363C">
      <w:pPr>
        <w:spacing w:line="360" w:lineRule="auto"/>
        <w:rPr>
          <w:iCs/>
          <w:sz w:val="24"/>
          <w:szCs w:val="24"/>
          <w:lang w:val="en-US"/>
        </w:rPr>
      </w:pPr>
      <w:r w:rsidRPr="00FB363C">
        <w:rPr>
          <w:iCs/>
          <w:sz w:val="24"/>
          <w:szCs w:val="24"/>
          <w:lang w:val="en-US"/>
        </w:rPr>
        <w:t>Continuous governance reinforcement and proactive performance monitoring will ensure operational excellence from start-up through growth stages, laying the groundwork for sustainable competitive success.</w:t>
      </w:r>
    </w:p>
    <w:p w14:paraId="26A8567B" w14:textId="23C5F1B6" w:rsidR="000D6380" w:rsidRPr="000D6380" w:rsidRDefault="000D6380" w:rsidP="00E262FC">
      <w:pPr>
        <w:spacing w:line="360" w:lineRule="auto"/>
        <w:rPr>
          <w:b/>
          <w:bCs/>
          <w:iCs/>
          <w:sz w:val="24"/>
          <w:szCs w:val="24"/>
          <w:lang w:val="en-US"/>
        </w:rPr>
      </w:pPr>
    </w:p>
    <w:p w14:paraId="623C00C4" w14:textId="32A943C0" w:rsidR="00ED1B9B" w:rsidRDefault="00ED1B9B" w:rsidP="00E262FC">
      <w:pPr>
        <w:spacing w:line="360" w:lineRule="auto"/>
        <w:rPr>
          <w:iCs/>
          <w:sz w:val="24"/>
          <w:szCs w:val="24"/>
          <w:lang w:val="en-US"/>
        </w:rPr>
      </w:pPr>
    </w:p>
    <w:p w14:paraId="3DDB93A7" w14:textId="77777777" w:rsidR="00E454DF" w:rsidRDefault="00E454DF" w:rsidP="00E262FC">
      <w:pPr>
        <w:spacing w:line="360" w:lineRule="auto"/>
        <w:rPr>
          <w:iCs/>
          <w:sz w:val="24"/>
          <w:szCs w:val="24"/>
          <w:lang w:val="en-US"/>
        </w:rPr>
      </w:pPr>
    </w:p>
    <w:p w14:paraId="70BCD2A6" w14:textId="77777777" w:rsidR="00E454DF" w:rsidRDefault="00E454DF" w:rsidP="00E262FC">
      <w:pPr>
        <w:spacing w:line="360" w:lineRule="auto"/>
        <w:rPr>
          <w:iCs/>
          <w:sz w:val="24"/>
          <w:szCs w:val="24"/>
          <w:lang w:val="en-US"/>
        </w:rPr>
      </w:pPr>
    </w:p>
    <w:p w14:paraId="2FAA17C5" w14:textId="77777777" w:rsidR="00E454DF" w:rsidRDefault="00E454DF" w:rsidP="00E262FC">
      <w:pPr>
        <w:spacing w:line="360" w:lineRule="auto"/>
        <w:rPr>
          <w:iCs/>
          <w:sz w:val="24"/>
          <w:szCs w:val="24"/>
          <w:lang w:val="en-US"/>
        </w:rPr>
      </w:pPr>
    </w:p>
    <w:p w14:paraId="15AC0B32" w14:textId="77777777" w:rsidR="00533811" w:rsidRPr="00533811" w:rsidRDefault="00533811" w:rsidP="00533811">
      <w:pPr>
        <w:spacing w:line="360" w:lineRule="auto"/>
        <w:rPr>
          <w:b/>
          <w:bCs/>
          <w:iCs/>
          <w:sz w:val="24"/>
          <w:szCs w:val="24"/>
          <w:lang w:val="en-US"/>
        </w:rPr>
      </w:pPr>
      <w:r w:rsidRPr="00533811">
        <w:rPr>
          <w:b/>
          <w:bCs/>
          <w:iCs/>
          <w:sz w:val="24"/>
          <w:szCs w:val="24"/>
          <w:lang w:val="en-US"/>
        </w:rPr>
        <w:lastRenderedPageBreak/>
        <w:t>References</w:t>
      </w:r>
    </w:p>
    <w:p w14:paraId="04362D6C" w14:textId="77777777" w:rsidR="00533811" w:rsidRDefault="00533811" w:rsidP="00533811">
      <w:pPr>
        <w:spacing w:line="360" w:lineRule="auto"/>
        <w:rPr>
          <w:iCs/>
          <w:sz w:val="24"/>
          <w:szCs w:val="24"/>
          <w:lang w:val="en-US"/>
        </w:rPr>
      </w:pPr>
      <w:r w:rsidRPr="00533811">
        <w:rPr>
          <w:b/>
          <w:bCs/>
          <w:iCs/>
          <w:sz w:val="24"/>
          <w:szCs w:val="24"/>
          <w:lang w:val="en-US"/>
        </w:rPr>
        <w:t>Primary Company Sources:</w:t>
      </w:r>
      <w:r w:rsidRPr="00533811">
        <w:rPr>
          <w:b/>
          <w:bCs/>
          <w:iCs/>
          <w:sz w:val="24"/>
          <w:szCs w:val="24"/>
          <w:lang w:val="en-US"/>
        </w:rPr>
        <w:br/>
      </w:r>
      <w:r w:rsidRPr="00533811">
        <w:rPr>
          <w:iCs/>
          <w:sz w:val="24"/>
          <w:szCs w:val="24"/>
          <w:lang w:val="en-US"/>
        </w:rPr>
        <w:t>Fairwood Holdings Limited. (2024) </w:t>
      </w:r>
      <w:r w:rsidRPr="00533811">
        <w:rPr>
          <w:i/>
          <w:iCs/>
          <w:sz w:val="24"/>
          <w:szCs w:val="24"/>
          <w:lang w:val="en-US"/>
        </w:rPr>
        <w:t>Annual Report 2024</w:t>
      </w:r>
      <w:r w:rsidRPr="00533811">
        <w:rPr>
          <w:iCs/>
          <w:sz w:val="24"/>
          <w:szCs w:val="24"/>
          <w:lang w:val="en-US"/>
        </w:rPr>
        <w:t>. Hong Kong: Fairwood Holdings Limited.</w:t>
      </w:r>
      <w:r w:rsidRPr="00533811">
        <w:rPr>
          <w:iCs/>
          <w:sz w:val="24"/>
          <w:szCs w:val="24"/>
          <w:lang w:val="en-US"/>
        </w:rPr>
        <w:br/>
        <w:t>Tai Hing Group Holdings Limited. (2024) </w:t>
      </w:r>
      <w:r w:rsidRPr="00533811">
        <w:rPr>
          <w:i/>
          <w:iCs/>
          <w:sz w:val="24"/>
          <w:szCs w:val="24"/>
          <w:lang w:val="en-US"/>
        </w:rPr>
        <w:t>Annual Report 2024</w:t>
      </w:r>
      <w:r w:rsidRPr="00533811">
        <w:rPr>
          <w:iCs/>
          <w:sz w:val="24"/>
          <w:szCs w:val="24"/>
          <w:lang w:val="en-US"/>
        </w:rPr>
        <w:t>. Hong Kong: Tai Hing Group Holdings Limited.</w:t>
      </w:r>
      <w:r w:rsidRPr="00533811">
        <w:rPr>
          <w:iCs/>
          <w:sz w:val="24"/>
          <w:szCs w:val="24"/>
          <w:lang w:val="en-US"/>
        </w:rPr>
        <w:br/>
        <w:t>Tsui Wah Holdings Limited. (2022) </w:t>
      </w:r>
      <w:r w:rsidRPr="00533811">
        <w:rPr>
          <w:i/>
          <w:iCs/>
          <w:sz w:val="24"/>
          <w:szCs w:val="24"/>
          <w:lang w:val="en-US"/>
        </w:rPr>
        <w:t>Annual Report 2022</w:t>
      </w:r>
      <w:r w:rsidRPr="00533811">
        <w:rPr>
          <w:iCs/>
          <w:sz w:val="24"/>
          <w:szCs w:val="24"/>
          <w:lang w:val="en-US"/>
        </w:rPr>
        <w:t>. Hong Kong: Tsui Wah Holdings Limited.</w:t>
      </w:r>
      <w:r w:rsidRPr="00533811">
        <w:rPr>
          <w:iCs/>
          <w:sz w:val="24"/>
          <w:szCs w:val="24"/>
          <w:lang w:val="en-US"/>
        </w:rPr>
        <w:br/>
        <w:t>Tsui Wah Holdings Limited. (2023) </w:t>
      </w:r>
      <w:r w:rsidRPr="00533811">
        <w:rPr>
          <w:i/>
          <w:iCs/>
          <w:sz w:val="24"/>
          <w:szCs w:val="24"/>
          <w:lang w:val="en-US"/>
        </w:rPr>
        <w:t>Annual Report 2023</w:t>
      </w:r>
      <w:r w:rsidRPr="00533811">
        <w:rPr>
          <w:iCs/>
          <w:sz w:val="24"/>
          <w:szCs w:val="24"/>
          <w:lang w:val="en-US"/>
        </w:rPr>
        <w:t>. Hong Kong: Tsui Wah Holdings Limited.</w:t>
      </w:r>
      <w:r w:rsidRPr="00533811">
        <w:rPr>
          <w:iCs/>
          <w:sz w:val="24"/>
          <w:szCs w:val="24"/>
          <w:lang w:val="en-US"/>
        </w:rPr>
        <w:br/>
        <w:t>Tsui Wah Holdings Limited. (2024) </w:t>
      </w:r>
      <w:r w:rsidRPr="00533811">
        <w:rPr>
          <w:i/>
          <w:iCs/>
          <w:sz w:val="24"/>
          <w:szCs w:val="24"/>
          <w:lang w:val="en-US"/>
        </w:rPr>
        <w:t>Annual Report 2024</w:t>
      </w:r>
      <w:r w:rsidRPr="00533811">
        <w:rPr>
          <w:iCs/>
          <w:sz w:val="24"/>
          <w:szCs w:val="24"/>
          <w:lang w:val="en-US"/>
        </w:rPr>
        <w:t>. Hong Kong: Tsui Wah Holdings Limited.</w:t>
      </w:r>
      <w:r w:rsidRPr="00533811">
        <w:rPr>
          <w:iCs/>
          <w:sz w:val="24"/>
          <w:szCs w:val="24"/>
          <w:lang w:val="en-US"/>
        </w:rPr>
        <w:br/>
        <w:t>Tsui Wah Holdings Limited. (2025) </w:t>
      </w:r>
      <w:r w:rsidRPr="00533811">
        <w:rPr>
          <w:i/>
          <w:iCs/>
          <w:sz w:val="24"/>
          <w:szCs w:val="24"/>
          <w:lang w:val="en-US"/>
        </w:rPr>
        <w:t>Annual Report 2025</w:t>
      </w:r>
      <w:r w:rsidRPr="00533811">
        <w:rPr>
          <w:iCs/>
          <w:sz w:val="24"/>
          <w:szCs w:val="24"/>
          <w:lang w:val="en-US"/>
        </w:rPr>
        <w:t>. Hong Kong: Tsui Wah Holdings Limited. Available at: </w:t>
      </w:r>
      <w:hyperlink r:id="rId10" w:tgtFrame="_blank" w:history="1">
        <w:r w:rsidRPr="00533811">
          <w:rPr>
            <w:rStyle w:val="Hyperlink"/>
            <w:iCs/>
            <w:sz w:val="24"/>
            <w:szCs w:val="24"/>
            <w:lang w:val="en-US"/>
          </w:rPr>
          <w:t>https://www.tsuiwah.com/index.php/en/investorrelation/finacialreport</w:t>
        </w:r>
      </w:hyperlink>
      <w:r w:rsidRPr="00533811">
        <w:rPr>
          <w:iCs/>
          <w:sz w:val="24"/>
          <w:szCs w:val="24"/>
          <w:lang w:val="en-US"/>
        </w:rPr>
        <w:t> (Accessed: 7 September 2025).</w:t>
      </w:r>
    </w:p>
    <w:p w14:paraId="60AB6E88" w14:textId="77777777" w:rsidR="00E414CF" w:rsidRPr="00533811" w:rsidRDefault="00E414CF" w:rsidP="00533811">
      <w:pPr>
        <w:spacing w:line="360" w:lineRule="auto"/>
        <w:rPr>
          <w:b/>
          <w:bCs/>
          <w:iCs/>
          <w:sz w:val="24"/>
          <w:szCs w:val="24"/>
          <w:lang w:val="en-US"/>
        </w:rPr>
      </w:pPr>
    </w:p>
    <w:p w14:paraId="48C22C00" w14:textId="77777777" w:rsidR="00E414CF" w:rsidRDefault="00533811" w:rsidP="00843F43">
      <w:pPr>
        <w:spacing w:line="360" w:lineRule="auto"/>
        <w:rPr>
          <w:iCs/>
          <w:sz w:val="24"/>
          <w:szCs w:val="24"/>
        </w:rPr>
      </w:pPr>
      <w:r w:rsidRPr="00533811">
        <w:rPr>
          <w:b/>
          <w:bCs/>
          <w:iCs/>
          <w:sz w:val="24"/>
          <w:szCs w:val="24"/>
          <w:lang w:val="en-US"/>
        </w:rPr>
        <w:t>Academic and Research Sources:</w:t>
      </w:r>
      <w:r w:rsidRPr="00533811">
        <w:rPr>
          <w:b/>
          <w:bCs/>
          <w:iCs/>
          <w:sz w:val="24"/>
          <w:szCs w:val="24"/>
          <w:lang w:val="en-US"/>
        </w:rPr>
        <w:br/>
      </w:r>
      <w:r w:rsidR="00843F43" w:rsidRPr="00843F43">
        <w:rPr>
          <w:iCs/>
          <w:sz w:val="24"/>
          <w:szCs w:val="24"/>
        </w:rPr>
        <w:t>Altman, E.I. (1968) ‘Financial ratios, discriminant analysis and the prediction of corporate bankruptcy’, </w:t>
      </w:r>
      <w:r w:rsidR="00843F43" w:rsidRPr="00843F43">
        <w:rPr>
          <w:i/>
          <w:iCs/>
          <w:sz w:val="24"/>
          <w:szCs w:val="24"/>
        </w:rPr>
        <w:t>The Journal of Finance</w:t>
      </w:r>
      <w:r w:rsidR="00843F43" w:rsidRPr="00843F43">
        <w:rPr>
          <w:iCs/>
          <w:sz w:val="24"/>
          <w:szCs w:val="24"/>
        </w:rPr>
        <w:t>, 23(4), pp. 589-609.</w:t>
      </w:r>
      <w:r w:rsidR="00843F43" w:rsidRPr="00843F43">
        <w:rPr>
          <w:iCs/>
          <w:sz w:val="24"/>
          <w:szCs w:val="24"/>
        </w:rPr>
        <w:br/>
        <w:t>Ho, S.S.M. (2003) </w:t>
      </w:r>
      <w:r w:rsidR="00843F43" w:rsidRPr="00843F43">
        <w:rPr>
          <w:i/>
          <w:iCs/>
          <w:sz w:val="24"/>
          <w:szCs w:val="24"/>
        </w:rPr>
        <w:t>Corporate governance in Hong Kong: Key problems and prospects</w:t>
      </w:r>
      <w:r w:rsidR="00843F43" w:rsidRPr="00843F43">
        <w:rPr>
          <w:iCs/>
          <w:sz w:val="24"/>
          <w:szCs w:val="24"/>
        </w:rPr>
        <w:t>. Hong Kong: Centre for Accounting Disclosure and Corporate Governance Research, City University of Hong Kong.</w:t>
      </w:r>
      <w:r w:rsidR="00843F43" w:rsidRPr="00843F43">
        <w:rPr>
          <w:iCs/>
          <w:sz w:val="24"/>
          <w:szCs w:val="24"/>
        </w:rPr>
        <w:br/>
        <w:t>Ho, S.S.M. and Li, A.Y. (2008) </w:t>
      </w:r>
      <w:r w:rsidR="00843F43" w:rsidRPr="00843F43">
        <w:rPr>
          <w:i/>
          <w:iCs/>
          <w:sz w:val="24"/>
          <w:szCs w:val="24"/>
        </w:rPr>
        <w:t>Corporate governance and financial reporting quality in China</w:t>
      </w:r>
      <w:r w:rsidR="00843F43" w:rsidRPr="00843F43">
        <w:rPr>
          <w:iCs/>
          <w:sz w:val="24"/>
          <w:szCs w:val="24"/>
        </w:rPr>
        <w:t>. Hong Kong: City University of Hong Kong Press.</w:t>
      </w:r>
    </w:p>
    <w:p w14:paraId="2418A0A3" w14:textId="77777777" w:rsidR="00E414CF" w:rsidRDefault="00E414CF" w:rsidP="00843F43">
      <w:pPr>
        <w:spacing w:line="360" w:lineRule="auto"/>
        <w:rPr>
          <w:iCs/>
          <w:sz w:val="24"/>
          <w:szCs w:val="24"/>
        </w:rPr>
      </w:pPr>
    </w:p>
    <w:p w14:paraId="13CAEC71" w14:textId="77777777" w:rsidR="00E029DC" w:rsidRPr="00E029DC" w:rsidRDefault="00E029DC" w:rsidP="00E029DC">
      <w:pPr>
        <w:spacing w:line="360" w:lineRule="auto"/>
        <w:rPr>
          <w:iCs/>
          <w:sz w:val="24"/>
          <w:szCs w:val="24"/>
          <w:lang w:val="en-US"/>
        </w:rPr>
      </w:pPr>
      <w:r w:rsidRPr="00E029DC">
        <w:rPr>
          <w:b/>
          <w:bCs/>
          <w:iCs/>
          <w:sz w:val="24"/>
          <w:szCs w:val="24"/>
          <w:lang w:val="en-US"/>
        </w:rPr>
        <w:t>Industry and Market Data Sources:</w:t>
      </w:r>
      <w:r w:rsidRPr="00E029DC">
        <w:rPr>
          <w:b/>
          <w:bCs/>
          <w:iCs/>
          <w:sz w:val="24"/>
          <w:szCs w:val="24"/>
          <w:lang w:val="en-US"/>
        </w:rPr>
        <w:br/>
      </w:r>
      <w:r w:rsidRPr="00E029DC">
        <w:rPr>
          <w:iCs/>
          <w:sz w:val="24"/>
          <w:szCs w:val="24"/>
          <w:lang w:val="en-US"/>
        </w:rPr>
        <w:t>Hong Kong Exchanges and Clearing Limited. (2025) </w:t>
      </w:r>
      <w:r w:rsidRPr="00E029DC">
        <w:rPr>
          <w:i/>
          <w:iCs/>
          <w:sz w:val="24"/>
          <w:szCs w:val="24"/>
          <w:lang w:val="en-US"/>
        </w:rPr>
        <w:t>TSUI WAH HOLDINGS LTD. (1314) - stock price, quote and news</w:t>
      </w:r>
      <w:r w:rsidRPr="00E029DC">
        <w:rPr>
          <w:iCs/>
          <w:sz w:val="24"/>
          <w:szCs w:val="24"/>
          <w:lang w:val="en-US"/>
        </w:rPr>
        <w:t>. Available at: </w:t>
      </w:r>
      <w:hyperlink r:id="rId11" w:tgtFrame="_blank" w:history="1">
        <w:r w:rsidRPr="00E029DC">
          <w:rPr>
            <w:rStyle w:val="Hyperlink"/>
            <w:iCs/>
            <w:sz w:val="24"/>
            <w:szCs w:val="24"/>
            <w:lang w:val="en-US"/>
          </w:rPr>
          <w:t>https://www.hkex.com.hk/Market-Data/Securities-Prices/Equities/Equities-Quote?sym=1314&amp;sc_lang=en</w:t>
        </w:r>
      </w:hyperlink>
      <w:r w:rsidRPr="00E029DC">
        <w:rPr>
          <w:iCs/>
          <w:sz w:val="24"/>
          <w:szCs w:val="24"/>
          <w:lang w:val="en-US"/>
        </w:rPr>
        <w:t> (Accessed: 7 September 2025).</w:t>
      </w:r>
      <w:r w:rsidRPr="00E029DC">
        <w:rPr>
          <w:iCs/>
          <w:sz w:val="24"/>
          <w:szCs w:val="24"/>
          <w:lang w:val="en-US"/>
        </w:rPr>
        <w:br/>
        <w:t>Investing.com. (</w:t>
      </w:r>
      <w:proofErr w:type="gramStart"/>
      <w:r w:rsidRPr="00E029DC">
        <w:rPr>
          <w:iCs/>
          <w:sz w:val="24"/>
          <w:szCs w:val="24"/>
          <w:lang w:val="en-US"/>
        </w:rPr>
        <w:t>2025) ‘</w:t>
      </w:r>
      <w:proofErr w:type="gramEnd"/>
      <w:r w:rsidRPr="00E029DC">
        <w:rPr>
          <w:iCs/>
          <w:sz w:val="24"/>
          <w:szCs w:val="24"/>
          <w:lang w:val="en-US"/>
        </w:rPr>
        <w:t>Tsui Wah Holdings Ltd - HK:1314 Financials’, 19 February. Available at: </w:t>
      </w:r>
      <w:hyperlink r:id="rId12" w:tgtFrame="_blank" w:history="1">
        <w:r w:rsidRPr="00E029DC">
          <w:rPr>
            <w:rStyle w:val="Hyperlink"/>
            <w:iCs/>
            <w:sz w:val="24"/>
            <w:szCs w:val="24"/>
            <w:lang w:val="en-US"/>
          </w:rPr>
          <w:t>https://www.investing.com/equities/tsui-wah-hldg-financial-summary</w:t>
        </w:r>
      </w:hyperlink>
      <w:r w:rsidRPr="00E029DC">
        <w:rPr>
          <w:iCs/>
          <w:sz w:val="24"/>
          <w:szCs w:val="24"/>
          <w:lang w:val="en-US"/>
        </w:rPr>
        <w:t> (Accessed: 7 September 2025).</w:t>
      </w:r>
      <w:r w:rsidRPr="00E029DC">
        <w:rPr>
          <w:iCs/>
          <w:sz w:val="24"/>
          <w:szCs w:val="24"/>
          <w:lang w:val="en-US"/>
        </w:rPr>
        <w:br/>
        <w:t xml:space="preserve">StockAnalysis.com. (2025) ‘Tsui Wah Holdings (HKG:1314) Financials - Income statement’, </w:t>
      </w:r>
      <w:r w:rsidRPr="00E029DC">
        <w:rPr>
          <w:iCs/>
          <w:sz w:val="24"/>
          <w:szCs w:val="24"/>
          <w:lang w:val="en-US"/>
        </w:rPr>
        <w:lastRenderedPageBreak/>
        <w:t>17 July. Available at: </w:t>
      </w:r>
      <w:hyperlink r:id="rId13" w:tgtFrame="_blank" w:history="1">
        <w:r w:rsidRPr="00E029DC">
          <w:rPr>
            <w:rStyle w:val="Hyperlink"/>
            <w:iCs/>
            <w:sz w:val="24"/>
            <w:szCs w:val="24"/>
            <w:lang w:val="en-US"/>
          </w:rPr>
          <w:t>https://stockanalysis.com/quote/hkg/1314/financials/</w:t>
        </w:r>
      </w:hyperlink>
      <w:r w:rsidRPr="00E029DC">
        <w:rPr>
          <w:iCs/>
          <w:sz w:val="24"/>
          <w:szCs w:val="24"/>
          <w:lang w:val="en-US"/>
        </w:rPr>
        <w:t> (Accessed: 7 September 2025).</w:t>
      </w:r>
      <w:r w:rsidRPr="00E029DC">
        <w:rPr>
          <w:iCs/>
          <w:sz w:val="24"/>
          <w:szCs w:val="24"/>
          <w:lang w:val="en-US"/>
        </w:rPr>
        <w:br/>
        <w:t>Webb-site Reports. (</w:t>
      </w:r>
      <w:proofErr w:type="gramStart"/>
      <w:r w:rsidRPr="00E029DC">
        <w:rPr>
          <w:iCs/>
          <w:sz w:val="24"/>
          <w:szCs w:val="24"/>
          <w:lang w:val="en-US"/>
        </w:rPr>
        <w:t>2025) ‘</w:t>
      </w:r>
      <w:proofErr w:type="gramEnd"/>
      <w:r w:rsidRPr="00E029DC">
        <w:rPr>
          <w:iCs/>
          <w:sz w:val="24"/>
          <w:szCs w:val="24"/>
          <w:lang w:val="en-US"/>
        </w:rPr>
        <w:t xml:space="preserve">Tsui Wah Holdings Limited </w:t>
      </w:r>
      <w:proofErr w:type="spellStart"/>
      <w:r w:rsidRPr="00E029DC">
        <w:rPr>
          <w:iCs/>
          <w:sz w:val="24"/>
          <w:szCs w:val="24"/>
          <w:lang w:val="en-US"/>
        </w:rPr>
        <w:t>翠華控股有限公司</w:t>
      </w:r>
      <w:proofErr w:type="spellEnd"/>
      <w:r w:rsidRPr="00E029DC">
        <w:rPr>
          <w:iCs/>
          <w:sz w:val="24"/>
          <w:szCs w:val="24"/>
          <w:lang w:val="en-US"/>
        </w:rPr>
        <w:t>’, 13 July. Available at: </w:t>
      </w:r>
      <w:hyperlink r:id="rId14" w:tgtFrame="_blank" w:history="1">
        <w:r w:rsidRPr="00E029DC">
          <w:rPr>
            <w:rStyle w:val="Hyperlink"/>
            <w:iCs/>
            <w:sz w:val="24"/>
            <w:szCs w:val="24"/>
            <w:lang w:val="en-US"/>
          </w:rPr>
          <w:t>https://webb-site.com/dbpub/docs.asp?p=1965042</w:t>
        </w:r>
      </w:hyperlink>
      <w:r w:rsidRPr="00E029DC">
        <w:rPr>
          <w:iCs/>
          <w:sz w:val="24"/>
          <w:szCs w:val="24"/>
          <w:lang w:val="en-US"/>
        </w:rPr>
        <w:t> (Accessed: 7 September 2025).</w:t>
      </w:r>
    </w:p>
    <w:p w14:paraId="6ADD6A23" w14:textId="77777777" w:rsidR="00E029DC" w:rsidRPr="00E029DC" w:rsidRDefault="00E029DC" w:rsidP="00E029DC">
      <w:pPr>
        <w:spacing w:line="360" w:lineRule="auto"/>
        <w:rPr>
          <w:iCs/>
          <w:sz w:val="24"/>
          <w:szCs w:val="24"/>
          <w:lang w:val="en-US"/>
        </w:rPr>
      </w:pPr>
      <w:r w:rsidRPr="00E029DC">
        <w:rPr>
          <w:b/>
          <w:bCs/>
          <w:iCs/>
          <w:sz w:val="24"/>
          <w:szCs w:val="24"/>
          <w:lang w:val="en-US"/>
        </w:rPr>
        <w:t>Industry Analysis and Best Practices Sources:</w:t>
      </w:r>
      <w:r w:rsidRPr="00E029DC">
        <w:rPr>
          <w:b/>
          <w:bCs/>
          <w:iCs/>
          <w:sz w:val="24"/>
          <w:szCs w:val="24"/>
          <w:lang w:val="en-US"/>
        </w:rPr>
        <w:br/>
      </w:r>
      <w:proofErr w:type="spellStart"/>
      <w:r w:rsidRPr="00E029DC">
        <w:rPr>
          <w:iCs/>
          <w:sz w:val="24"/>
          <w:szCs w:val="24"/>
          <w:lang w:val="en-US"/>
        </w:rPr>
        <w:t>Apicbase</w:t>
      </w:r>
      <w:proofErr w:type="spellEnd"/>
      <w:r w:rsidRPr="00E029DC">
        <w:rPr>
          <w:iCs/>
          <w:sz w:val="24"/>
          <w:szCs w:val="24"/>
          <w:lang w:val="en-US"/>
        </w:rPr>
        <w:t>. (</w:t>
      </w:r>
      <w:proofErr w:type="gramStart"/>
      <w:r w:rsidRPr="00E029DC">
        <w:rPr>
          <w:iCs/>
          <w:sz w:val="24"/>
          <w:szCs w:val="24"/>
          <w:lang w:val="en-US"/>
        </w:rPr>
        <w:t>2023) ‘</w:t>
      </w:r>
      <w:proofErr w:type="gramEnd"/>
      <w:r w:rsidRPr="00E029DC">
        <w:rPr>
          <w:iCs/>
          <w:sz w:val="24"/>
          <w:szCs w:val="24"/>
          <w:lang w:val="en-US"/>
        </w:rPr>
        <w:t>Operational excellence in restaurants: Why leaders choose technology to drive performance’, 14 September. Available at: </w:t>
      </w:r>
      <w:hyperlink r:id="rId15" w:tgtFrame="_blank" w:history="1">
        <w:r w:rsidRPr="00E029DC">
          <w:rPr>
            <w:rStyle w:val="Hyperlink"/>
            <w:iCs/>
            <w:sz w:val="24"/>
            <w:szCs w:val="24"/>
            <w:lang w:val="en-US"/>
          </w:rPr>
          <w:t>https://get.apicbase.com/restaurant-operational-excellence/</w:t>
        </w:r>
      </w:hyperlink>
      <w:r w:rsidRPr="00E029DC">
        <w:rPr>
          <w:iCs/>
          <w:sz w:val="24"/>
          <w:szCs w:val="24"/>
          <w:lang w:val="en-US"/>
        </w:rPr>
        <w:t> (Accessed: 7 September 2025).</w:t>
      </w:r>
      <w:r w:rsidRPr="00E029DC">
        <w:rPr>
          <w:iCs/>
          <w:sz w:val="24"/>
          <w:szCs w:val="24"/>
          <w:lang w:val="en-US"/>
        </w:rPr>
        <w:br/>
      </w:r>
      <w:proofErr w:type="spellStart"/>
      <w:r w:rsidRPr="00E029DC">
        <w:rPr>
          <w:iCs/>
          <w:sz w:val="24"/>
          <w:szCs w:val="24"/>
          <w:lang w:val="en-US"/>
        </w:rPr>
        <w:t>Crunchtime</w:t>
      </w:r>
      <w:proofErr w:type="spellEnd"/>
      <w:r w:rsidRPr="00E029DC">
        <w:rPr>
          <w:iCs/>
          <w:sz w:val="24"/>
          <w:szCs w:val="24"/>
          <w:lang w:val="en-US"/>
        </w:rPr>
        <w:t>. (</w:t>
      </w:r>
      <w:proofErr w:type="gramStart"/>
      <w:r w:rsidRPr="00E029DC">
        <w:rPr>
          <w:iCs/>
          <w:sz w:val="24"/>
          <w:szCs w:val="24"/>
          <w:lang w:val="en-US"/>
        </w:rPr>
        <w:t>2025) ‘</w:t>
      </w:r>
      <w:proofErr w:type="gramEnd"/>
      <w:r w:rsidRPr="00E029DC">
        <w:rPr>
          <w:iCs/>
          <w:sz w:val="24"/>
          <w:szCs w:val="24"/>
          <w:lang w:val="en-US"/>
        </w:rPr>
        <w:t>20+ pro tips from industry MVPs to achieve operational excellence in every store’, 8 June. Available at: </w:t>
      </w:r>
      <w:hyperlink r:id="rId16" w:tgtFrame="_blank" w:history="1">
        <w:r w:rsidRPr="00E029DC">
          <w:rPr>
            <w:rStyle w:val="Hyperlink"/>
            <w:iCs/>
            <w:sz w:val="24"/>
            <w:szCs w:val="24"/>
            <w:lang w:val="en-US"/>
          </w:rPr>
          <w:t>https://www.crunchtime.com/blog/20-pro-tips-from-restaurant-industry-mvps-to-achieve-operational-excellence-in-every-store</w:t>
        </w:r>
      </w:hyperlink>
      <w:r w:rsidRPr="00E029DC">
        <w:rPr>
          <w:iCs/>
          <w:sz w:val="24"/>
          <w:szCs w:val="24"/>
          <w:lang w:val="en-US"/>
        </w:rPr>
        <w:t> (Accessed: 7 September 2025).</w:t>
      </w:r>
      <w:r w:rsidRPr="00E029DC">
        <w:rPr>
          <w:iCs/>
          <w:sz w:val="24"/>
          <w:szCs w:val="24"/>
          <w:lang w:val="en-US"/>
        </w:rPr>
        <w:br/>
        <w:t>Eats365. (2023) ‘How to prepare your Hong Kong restaurant for a surge in customer traffic: 2023 tips from experts’, 11 January. Available at: </w:t>
      </w:r>
      <w:hyperlink r:id="rId17" w:tgtFrame="_blank" w:history="1">
        <w:r w:rsidRPr="00E029DC">
          <w:rPr>
            <w:rStyle w:val="Hyperlink"/>
            <w:iCs/>
            <w:sz w:val="24"/>
            <w:szCs w:val="24"/>
            <w:lang w:val="en-US"/>
          </w:rPr>
          <w:t>https://www.eats365pos.com/my/blog/post/how-prepare-your-hong-kong-restaurant-surge-customer-traffic-2023-tips-expert</w:t>
        </w:r>
      </w:hyperlink>
      <w:r w:rsidRPr="00E029DC">
        <w:rPr>
          <w:iCs/>
          <w:sz w:val="24"/>
          <w:szCs w:val="24"/>
          <w:lang w:val="en-US"/>
        </w:rPr>
        <w:t> (Accessed: 7 September 2025).</w:t>
      </w:r>
      <w:r w:rsidRPr="00E029DC">
        <w:rPr>
          <w:iCs/>
          <w:sz w:val="24"/>
          <w:szCs w:val="24"/>
          <w:lang w:val="en-US"/>
        </w:rPr>
        <w:br/>
      </w:r>
      <w:proofErr w:type="spellStart"/>
      <w:r w:rsidRPr="00E029DC">
        <w:rPr>
          <w:iCs/>
          <w:sz w:val="24"/>
          <w:szCs w:val="24"/>
          <w:lang w:val="en-US"/>
        </w:rPr>
        <w:t>Flipdish</w:t>
      </w:r>
      <w:proofErr w:type="spellEnd"/>
      <w:r w:rsidRPr="00E029DC">
        <w:rPr>
          <w:iCs/>
          <w:sz w:val="24"/>
          <w:szCs w:val="24"/>
          <w:lang w:val="en-US"/>
        </w:rPr>
        <w:t>. (</w:t>
      </w:r>
      <w:proofErr w:type="gramStart"/>
      <w:r w:rsidRPr="00E029DC">
        <w:rPr>
          <w:iCs/>
          <w:sz w:val="24"/>
          <w:szCs w:val="24"/>
          <w:lang w:val="en-US"/>
        </w:rPr>
        <w:t>2024) ‘</w:t>
      </w:r>
      <w:proofErr w:type="gramEnd"/>
      <w:r w:rsidRPr="00E029DC">
        <w:rPr>
          <w:iCs/>
          <w:sz w:val="24"/>
          <w:szCs w:val="24"/>
          <w:lang w:val="en-US"/>
        </w:rPr>
        <w:t>Essential tips for effective restaurant operations management’, 10 October. Available at: </w:t>
      </w:r>
      <w:hyperlink r:id="rId18" w:tgtFrame="_blank" w:history="1">
        <w:r w:rsidRPr="00E029DC">
          <w:rPr>
            <w:rStyle w:val="Hyperlink"/>
            <w:iCs/>
            <w:sz w:val="24"/>
            <w:szCs w:val="24"/>
            <w:lang w:val="en-US"/>
          </w:rPr>
          <w:t>https://www.flipdish.com/resources/blog/essential-tips-for-effective-restaurant-operations-management</w:t>
        </w:r>
      </w:hyperlink>
      <w:r w:rsidRPr="00E029DC">
        <w:rPr>
          <w:iCs/>
          <w:sz w:val="24"/>
          <w:szCs w:val="24"/>
          <w:lang w:val="en-US"/>
        </w:rPr>
        <w:t> (Accessed: 7 September 2025).</w:t>
      </w:r>
      <w:r w:rsidRPr="00E029DC">
        <w:rPr>
          <w:iCs/>
          <w:sz w:val="24"/>
          <w:szCs w:val="24"/>
          <w:lang w:val="en-US"/>
        </w:rPr>
        <w:br/>
      </w:r>
      <w:proofErr w:type="spellStart"/>
      <w:r w:rsidRPr="00E029DC">
        <w:rPr>
          <w:iCs/>
          <w:sz w:val="24"/>
          <w:szCs w:val="24"/>
          <w:lang w:val="en-US"/>
        </w:rPr>
        <w:t>FoodPanda</w:t>
      </w:r>
      <w:proofErr w:type="spellEnd"/>
      <w:r w:rsidRPr="00E029DC">
        <w:rPr>
          <w:iCs/>
          <w:sz w:val="24"/>
          <w:szCs w:val="24"/>
          <w:lang w:val="en-US"/>
        </w:rPr>
        <w:t xml:space="preserve"> Hong Kong. (2025) ‘How to increase restaurant profits in Hong Kong’, 27 July. Available at: </w:t>
      </w:r>
      <w:hyperlink r:id="rId19" w:tgtFrame="_blank" w:history="1">
        <w:r w:rsidRPr="00E029DC">
          <w:rPr>
            <w:rStyle w:val="Hyperlink"/>
            <w:iCs/>
            <w:sz w:val="24"/>
            <w:szCs w:val="24"/>
            <w:lang w:val="en-US"/>
          </w:rPr>
          <w:t>https://magazine.foodpanda.hk/blog/partner-how-to-increase-restaurant-profits/</w:t>
        </w:r>
      </w:hyperlink>
      <w:r w:rsidRPr="00E029DC">
        <w:rPr>
          <w:iCs/>
          <w:sz w:val="24"/>
          <w:szCs w:val="24"/>
          <w:lang w:val="en-US"/>
        </w:rPr>
        <w:t> (Accessed: 7 September 2025).</w:t>
      </w:r>
      <w:r w:rsidRPr="00E029DC">
        <w:rPr>
          <w:iCs/>
          <w:sz w:val="24"/>
          <w:szCs w:val="24"/>
          <w:lang w:val="en-US"/>
        </w:rPr>
        <w:br/>
      </w:r>
      <w:proofErr w:type="spellStart"/>
      <w:r w:rsidRPr="00E029DC">
        <w:rPr>
          <w:iCs/>
          <w:sz w:val="24"/>
          <w:szCs w:val="24"/>
          <w:lang w:val="en-US"/>
        </w:rPr>
        <w:t>FreshLane</w:t>
      </w:r>
      <w:proofErr w:type="spellEnd"/>
      <w:r w:rsidRPr="00E029DC">
        <w:rPr>
          <w:iCs/>
          <w:sz w:val="24"/>
          <w:szCs w:val="24"/>
          <w:lang w:val="en-US"/>
        </w:rPr>
        <w:t>. (2022) ‘Top 10 ways to develop a thriving food delivery business in Hong Kong’, 6 January. Available at: </w:t>
      </w:r>
      <w:hyperlink r:id="rId20" w:tgtFrame="_blank" w:history="1">
        <w:r w:rsidRPr="00E029DC">
          <w:rPr>
            <w:rStyle w:val="Hyperlink"/>
            <w:iCs/>
            <w:sz w:val="24"/>
            <w:szCs w:val="24"/>
            <w:lang w:val="en-US"/>
          </w:rPr>
          <w:t>https://www.freshlane.hk/en/blog/develop-thriving-food-delivery-business-hong-kong/</w:t>
        </w:r>
      </w:hyperlink>
      <w:r w:rsidRPr="00E029DC">
        <w:rPr>
          <w:iCs/>
          <w:sz w:val="24"/>
          <w:szCs w:val="24"/>
          <w:lang w:val="en-US"/>
        </w:rPr>
        <w:t> (Accessed: 7 September 2025).</w:t>
      </w:r>
      <w:r w:rsidRPr="00E029DC">
        <w:rPr>
          <w:iCs/>
          <w:sz w:val="24"/>
          <w:szCs w:val="24"/>
          <w:lang w:val="en-US"/>
        </w:rPr>
        <w:br/>
        <w:t>YCP. (2024) ‘Hong Kong restaurant consulting: Strategic advisory services’, 26 March. Available at: </w:t>
      </w:r>
      <w:hyperlink r:id="rId21" w:tgtFrame="_blank" w:history="1">
        <w:r w:rsidRPr="00E029DC">
          <w:rPr>
            <w:rStyle w:val="Hyperlink"/>
            <w:iCs/>
            <w:sz w:val="24"/>
            <w:szCs w:val="24"/>
            <w:lang w:val="en-US"/>
          </w:rPr>
          <w:t>https://ycp.com/lp/hong-kong-restaurant-consulting</w:t>
        </w:r>
      </w:hyperlink>
      <w:r w:rsidRPr="00E029DC">
        <w:rPr>
          <w:iCs/>
          <w:sz w:val="24"/>
          <w:szCs w:val="24"/>
          <w:lang w:val="en-US"/>
        </w:rPr>
        <w:t> (Accessed: 7 September 2025).</w:t>
      </w:r>
    </w:p>
    <w:p w14:paraId="079FD3BA" w14:textId="77777777" w:rsidR="00533811" w:rsidRPr="00533811" w:rsidRDefault="00533811" w:rsidP="00533811">
      <w:pPr>
        <w:spacing w:line="360" w:lineRule="auto"/>
        <w:rPr>
          <w:iCs/>
          <w:sz w:val="24"/>
          <w:szCs w:val="24"/>
          <w:lang w:val="en-US"/>
        </w:rPr>
      </w:pPr>
      <w:r w:rsidRPr="00533811">
        <w:rPr>
          <w:b/>
          <w:bCs/>
          <w:iCs/>
          <w:sz w:val="24"/>
          <w:szCs w:val="24"/>
          <w:lang w:val="en-US"/>
        </w:rPr>
        <w:t>News and Financial Media Sources:</w:t>
      </w:r>
      <w:r w:rsidRPr="00533811">
        <w:rPr>
          <w:b/>
          <w:bCs/>
          <w:iCs/>
          <w:sz w:val="24"/>
          <w:szCs w:val="24"/>
          <w:lang w:val="en-US"/>
        </w:rPr>
        <w:br/>
      </w:r>
      <w:r w:rsidRPr="00533811">
        <w:rPr>
          <w:iCs/>
          <w:sz w:val="24"/>
          <w:szCs w:val="24"/>
          <w:lang w:val="en-US"/>
        </w:rPr>
        <w:t>Jiemian.com. (</w:t>
      </w:r>
      <w:proofErr w:type="gramStart"/>
      <w:r w:rsidRPr="00533811">
        <w:rPr>
          <w:iCs/>
          <w:sz w:val="24"/>
          <w:szCs w:val="24"/>
          <w:lang w:val="en-US"/>
        </w:rPr>
        <w:t>2023) ‘</w:t>
      </w:r>
      <w:proofErr w:type="gramEnd"/>
      <w:r w:rsidRPr="00533811">
        <w:rPr>
          <w:iCs/>
          <w:sz w:val="24"/>
          <w:szCs w:val="24"/>
          <w:lang w:val="en-US"/>
        </w:rPr>
        <w:t>Restaurant chain Tsui Wah sells assets to survive challenging market conditions’, 3 July. Available at: </w:t>
      </w:r>
      <w:hyperlink r:id="rId22" w:tgtFrame="_blank" w:history="1">
        <w:r w:rsidRPr="00533811">
          <w:rPr>
            <w:rStyle w:val="Hyperlink"/>
            <w:iCs/>
            <w:sz w:val="24"/>
            <w:szCs w:val="24"/>
            <w:lang w:val="en-US"/>
          </w:rPr>
          <w:t>https://en.jiemian.com/article/9683820.html</w:t>
        </w:r>
      </w:hyperlink>
      <w:r w:rsidRPr="00533811">
        <w:rPr>
          <w:iCs/>
          <w:sz w:val="24"/>
          <w:szCs w:val="24"/>
          <w:lang w:val="en-US"/>
        </w:rPr>
        <w:t> (Accessed: 7 September 2025).</w:t>
      </w:r>
      <w:r w:rsidRPr="00533811">
        <w:rPr>
          <w:iCs/>
          <w:sz w:val="24"/>
          <w:szCs w:val="24"/>
          <w:lang w:val="en-US"/>
        </w:rPr>
        <w:br/>
      </w:r>
      <w:r w:rsidRPr="00533811">
        <w:rPr>
          <w:iCs/>
          <w:sz w:val="24"/>
          <w:szCs w:val="24"/>
          <w:lang w:val="en-US"/>
        </w:rPr>
        <w:lastRenderedPageBreak/>
        <w:t>Wall Street Journal. (n.d</w:t>
      </w:r>
      <w:proofErr w:type="gramStart"/>
      <w:r w:rsidRPr="00533811">
        <w:rPr>
          <w:iCs/>
          <w:sz w:val="24"/>
          <w:szCs w:val="24"/>
          <w:lang w:val="en-US"/>
        </w:rPr>
        <w:t>.) ‘</w:t>
      </w:r>
      <w:proofErr w:type="gramEnd"/>
      <w:r w:rsidRPr="00533811">
        <w:rPr>
          <w:iCs/>
          <w:sz w:val="24"/>
          <w:szCs w:val="24"/>
          <w:lang w:val="en-US"/>
        </w:rPr>
        <w:t>1314.HK | Tsui Wah Holdings Ltd. Financial Statements’. Available at: </w:t>
      </w:r>
      <w:hyperlink r:id="rId23" w:tgtFrame="_blank" w:history="1">
        <w:r w:rsidRPr="00533811">
          <w:rPr>
            <w:rStyle w:val="Hyperlink"/>
            <w:iCs/>
            <w:sz w:val="24"/>
            <w:szCs w:val="24"/>
            <w:lang w:val="en-US"/>
          </w:rPr>
          <w:t>https://www.wsj.com/market-data/quotes/HK/XHKG/1314/financials</w:t>
        </w:r>
      </w:hyperlink>
      <w:r w:rsidRPr="00533811">
        <w:rPr>
          <w:iCs/>
          <w:sz w:val="24"/>
          <w:szCs w:val="24"/>
          <w:lang w:val="en-US"/>
        </w:rPr>
        <w:t> (Accessed: 7 September 2025).</w:t>
      </w:r>
    </w:p>
    <w:p w14:paraId="2624852A" w14:textId="77777777" w:rsidR="00EC3842" w:rsidRPr="002B52DF" w:rsidRDefault="00EC3842" w:rsidP="00ED1B9B">
      <w:pPr>
        <w:spacing w:line="600" w:lineRule="auto"/>
        <w:rPr>
          <w:iCs/>
          <w:sz w:val="24"/>
          <w:szCs w:val="24"/>
          <w:lang w:val="en-US"/>
        </w:rPr>
      </w:pPr>
    </w:p>
    <w:sectPr w:rsidR="00EC3842" w:rsidRPr="002B52DF" w:rsidSect="00D2132F">
      <w:headerReference w:type="even" r:id="rId24"/>
      <w:headerReference w:type="default" r:id="rId25"/>
      <w:footerReference w:type="even" r:id="rId26"/>
      <w:footerReference w:type="default" r:id="rId27"/>
      <w:headerReference w:type="first" r:id="rId28"/>
      <w:footerReference w:type="first" r:id="rId2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8BCEF0" w14:textId="77777777" w:rsidR="00AF7850" w:rsidRDefault="00AF7850" w:rsidP="00783B2B">
      <w:r>
        <w:separator/>
      </w:r>
    </w:p>
  </w:endnote>
  <w:endnote w:type="continuationSeparator" w:id="0">
    <w:p w14:paraId="404644C3" w14:textId="77777777" w:rsidR="00AF7850" w:rsidRDefault="00AF7850" w:rsidP="00783B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232B84" w14:textId="77777777" w:rsidR="00783B2B" w:rsidRDefault="00783B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2962168"/>
      <w:docPartObj>
        <w:docPartGallery w:val="Page Numbers (Bottom of Page)"/>
        <w:docPartUnique/>
      </w:docPartObj>
    </w:sdtPr>
    <w:sdtEndPr>
      <w:rPr>
        <w:color w:val="7F7F7F" w:themeColor="background1" w:themeShade="7F"/>
        <w:spacing w:val="60"/>
      </w:rPr>
    </w:sdtEndPr>
    <w:sdtContent>
      <w:p w14:paraId="568004D1" w14:textId="3F19619B" w:rsidR="00783B2B" w:rsidRDefault="00783B2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0F8061B" w14:textId="77777777" w:rsidR="00783B2B" w:rsidRDefault="00783B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791DFC" w14:textId="77777777" w:rsidR="00783B2B" w:rsidRDefault="00783B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600AF4" w14:textId="77777777" w:rsidR="00AF7850" w:rsidRDefault="00AF7850" w:rsidP="00783B2B">
      <w:r>
        <w:separator/>
      </w:r>
    </w:p>
  </w:footnote>
  <w:footnote w:type="continuationSeparator" w:id="0">
    <w:p w14:paraId="7E6CFBD6" w14:textId="77777777" w:rsidR="00AF7850" w:rsidRDefault="00AF7850" w:rsidP="00783B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DE0379" w14:textId="77777777" w:rsidR="00783B2B" w:rsidRDefault="00783B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66B714" w14:textId="77777777" w:rsidR="00783B2B" w:rsidRDefault="00783B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757DE9" w14:textId="77777777" w:rsidR="00783B2B" w:rsidRDefault="00783B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D1909"/>
    <w:multiLevelType w:val="multilevel"/>
    <w:tmpl w:val="58C29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B2250E"/>
    <w:multiLevelType w:val="multilevel"/>
    <w:tmpl w:val="6914B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8F39C8"/>
    <w:multiLevelType w:val="multilevel"/>
    <w:tmpl w:val="BE3C75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7B3C93"/>
    <w:multiLevelType w:val="multilevel"/>
    <w:tmpl w:val="069E3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15211A"/>
    <w:multiLevelType w:val="hybridMultilevel"/>
    <w:tmpl w:val="376A6A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03B543E"/>
    <w:multiLevelType w:val="multilevel"/>
    <w:tmpl w:val="3282F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45D7040"/>
    <w:multiLevelType w:val="multilevel"/>
    <w:tmpl w:val="31F27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5981F00"/>
    <w:multiLevelType w:val="multilevel"/>
    <w:tmpl w:val="F6E68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A9A3C12"/>
    <w:multiLevelType w:val="multilevel"/>
    <w:tmpl w:val="79366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FBA6342"/>
    <w:multiLevelType w:val="multilevel"/>
    <w:tmpl w:val="6C5A3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85F7772"/>
    <w:multiLevelType w:val="multilevel"/>
    <w:tmpl w:val="21D8C6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91B18EA"/>
    <w:multiLevelType w:val="multilevel"/>
    <w:tmpl w:val="F392A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AA372F1"/>
    <w:multiLevelType w:val="multilevel"/>
    <w:tmpl w:val="CFBC05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C7A7714"/>
    <w:multiLevelType w:val="multilevel"/>
    <w:tmpl w:val="F32EF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07419D7"/>
    <w:multiLevelType w:val="multilevel"/>
    <w:tmpl w:val="F5D21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90E1453"/>
    <w:multiLevelType w:val="multilevel"/>
    <w:tmpl w:val="D69CCB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A25515A"/>
    <w:multiLevelType w:val="multilevel"/>
    <w:tmpl w:val="5074D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BF275DB"/>
    <w:multiLevelType w:val="multilevel"/>
    <w:tmpl w:val="393E4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C23503F"/>
    <w:multiLevelType w:val="multilevel"/>
    <w:tmpl w:val="969691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D145F0F"/>
    <w:multiLevelType w:val="multilevel"/>
    <w:tmpl w:val="18086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E3130D0"/>
    <w:multiLevelType w:val="hybridMultilevel"/>
    <w:tmpl w:val="AB9AE3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5A63CCC"/>
    <w:multiLevelType w:val="multilevel"/>
    <w:tmpl w:val="31420D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82874A2"/>
    <w:multiLevelType w:val="multilevel"/>
    <w:tmpl w:val="6B8684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8477F56"/>
    <w:multiLevelType w:val="multilevel"/>
    <w:tmpl w:val="A412F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B971D22"/>
    <w:multiLevelType w:val="hybridMultilevel"/>
    <w:tmpl w:val="8C9EEC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62756E5"/>
    <w:multiLevelType w:val="multilevel"/>
    <w:tmpl w:val="D0FCD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69F5826"/>
    <w:multiLevelType w:val="multilevel"/>
    <w:tmpl w:val="04383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9821E07"/>
    <w:multiLevelType w:val="multilevel"/>
    <w:tmpl w:val="5CDE2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AE66073"/>
    <w:multiLevelType w:val="multilevel"/>
    <w:tmpl w:val="D51E5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452D36"/>
    <w:multiLevelType w:val="multilevel"/>
    <w:tmpl w:val="745EB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C5746E1"/>
    <w:multiLevelType w:val="multilevel"/>
    <w:tmpl w:val="F04E7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D4D1221"/>
    <w:multiLevelType w:val="multilevel"/>
    <w:tmpl w:val="4224D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D6706C1"/>
    <w:multiLevelType w:val="multilevel"/>
    <w:tmpl w:val="83C80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D735BCF"/>
    <w:multiLevelType w:val="multilevel"/>
    <w:tmpl w:val="C35AE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F4D55C8"/>
    <w:multiLevelType w:val="multilevel"/>
    <w:tmpl w:val="4C723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1C93708"/>
    <w:multiLevelType w:val="multilevel"/>
    <w:tmpl w:val="BE902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4C51E52"/>
    <w:multiLevelType w:val="multilevel"/>
    <w:tmpl w:val="E2B4B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4F13A02"/>
    <w:multiLevelType w:val="hybridMultilevel"/>
    <w:tmpl w:val="611A80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6C9C5B0D"/>
    <w:multiLevelType w:val="multilevel"/>
    <w:tmpl w:val="9FCCF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E075453"/>
    <w:multiLevelType w:val="multilevel"/>
    <w:tmpl w:val="54E2E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F4A4BF2"/>
    <w:multiLevelType w:val="multilevel"/>
    <w:tmpl w:val="6D0E4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FB8443C"/>
    <w:multiLevelType w:val="multilevel"/>
    <w:tmpl w:val="096CC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B541EE2"/>
    <w:multiLevelType w:val="multilevel"/>
    <w:tmpl w:val="D6447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F331186"/>
    <w:multiLevelType w:val="hybridMultilevel"/>
    <w:tmpl w:val="0D6435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8021217">
    <w:abstractNumId w:val="18"/>
  </w:num>
  <w:num w:numId="2" w16cid:durableId="756482674">
    <w:abstractNumId w:val="32"/>
  </w:num>
  <w:num w:numId="3" w16cid:durableId="542405326">
    <w:abstractNumId w:val="42"/>
  </w:num>
  <w:num w:numId="4" w16cid:durableId="1197694659">
    <w:abstractNumId w:val="12"/>
  </w:num>
  <w:num w:numId="5" w16cid:durableId="1919048284">
    <w:abstractNumId w:val="21"/>
  </w:num>
  <w:num w:numId="6" w16cid:durableId="1011420856">
    <w:abstractNumId w:val="3"/>
  </w:num>
  <w:num w:numId="7" w16cid:durableId="101843034">
    <w:abstractNumId w:val="28"/>
  </w:num>
  <w:num w:numId="8" w16cid:durableId="1463304075">
    <w:abstractNumId w:val="15"/>
  </w:num>
  <w:num w:numId="9" w16cid:durableId="242883643">
    <w:abstractNumId w:val="38"/>
  </w:num>
  <w:num w:numId="10" w16cid:durableId="1510022226">
    <w:abstractNumId w:val="30"/>
  </w:num>
  <w:num w:numId="11" w16cid:durableId="83690317">
    <w:abstractNumId w:val="35"/>
  </w:num>
  <w:num w:numId="12" w16cid:durableId="1801848553">
    <w:abstractNumId w:val="1"/>
  </w:num>
  <w:num w:numId="13" w16cid:durableId="1725375781">
    <w:abstractNumId w:val="39"/>
  </w:num>
  <w:num w:numId="14" w16cid:durableId="1150756221">
    <w:abstractNumId w:val="19"/>
  </w:num>
  <w:num w:numId="15" w16cid:durableId="616258107">
    <w:abstractNumId w:val="27"/>
  </w:num>
  <w:num w:numId="16" w16cid:durableId="2092386803">
    <w:abstractNumId w:val="31"/>
  </w:num>
  <w:num w:numId="17" w16cid:durableId="1251423356">
    <w:abstractNumId w:val="17"/>
  </w:num>
  <w:num w:numId="18" w16cid:durableId="837694355">
    <w:abstractNumId w:val="16"/>
  </w:num>
  <w:num w:numId="19" w16cid:durableId="447697838">
    <w:abstractNumId w:val="10"/>
  </w:num>
  <w:num w:numId="20" w16cid:durableId="270553107">
    <w:abstractNumId w:val="6"/>
  </w:num>
  <w:num w:numId="21" w16cid:durableId="916551062">
    <w:abstractNumId w:val="13"/>
  </w:num>
  <w:num w:numId="22" w16cid:durableId="1242834324">
    <w:abstractNumId w:val="34"/>
  </w:num>
  <w:num w:numId="23" w16cid:durableId="398090280">
    <w:abstractNumId w:val="40"/>
  </w:num>
  <w:num w:numId="24" w16cid:durableId="1688633162">
    <w:abstractNumId w:val="11"/>
  </w:num>
  <w:num w:numId="25" w16cid:durableId="652028224">
    <w:abstractNumId w:val="0"/>
  </w:num>
  <w:num w:numId="26" w16cid:durableId="1955212866">
    <w:abstractNumId w:val="7"/>
  </w:num>
  <w:num w:numId="27" w16cid:durableId="271589780">
    <w:abstractNumId w:val="33"/>
  </w:num>
  <w:num w:numId="28" w16cid:durableId="1908681992">
    <w:abstractNumId w:val="41"/>
  </w:num>
  <w:num w:numId="29" w16cid:durableId="257449706">
    <w:abstractNumId w:val="23"/>
  </w:num>
  <w:num w:numId="30" w16cid:durableId="880896856">
    <w:abstractNumId w:val="29"/>
  </w:num>
  <w:num w:numId="31" w16cid:durableId="30231592">
    <w:abstractNumId w:val="25"/>
  </w:num>
  <w:num w:numId="32" w16cid:durableId="722874444">
    <w:abstractNumId w:val="4"/>
  </w:num>
  <w:num w:numId="33" w16cid:durableId="926840282">
    <w:abstractNumId w:val="43"/>
  </w:num>
  <w:num w:numId="34" w16cid:durableId="967272733">
    <w:abstractNumId w:val="20"/>
  </w:num>
  <w:num w:numId="35" w16cid:durableId="911475510">
    <w:abstractNumId w:val="24"/>
  </w:num>
  <w:num w:numId="36" w16cid:durableId="1247306458">
    <w:abstractNumId w:val="22"/>
  </w:num>
  <w:num w:numId="37" w16cid:durableId="779879169">
    <w:abstractNumId w:val="37"/>
  </w:num>
  <w:num w:numId="38" w16cid:durableId="1829831279">
    <w:abstractNumId w:val="2"/>
  </w:num>
  <w:num w:numId="39" w16cid:durableId="152645137">
    <w:abstractNumId w:val="36"/>
  </w:num>
  <w:num w:numId="40" w16cid:durableId="1677999646">
    <w:abstractNumId w:val="5"/>
  </w:num>
  <w:num w:numId="41" w16cid:durableId="1211964742">
    <w:abstractNumId w:val="26"/>
  </w:num>
  <w:num w:numId="42" w16cid:durableId="800152122">
    <w:abstractNumId w:val="14"/>
  </w:num>
  <w:num w:numId="43" w16cid:durableId="2043357142">
    <w:abstractNumId w:val="8"/>
  </w:num>
  <w:num w:numId="44" w16cid:durableId="97891927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694"/>
    <w:rsid w:val="000016E0"/>
    <w:rsid w:val="00027207"/>
    <w:rsid w:val="00045A15"/>
    <w:rsid w:val="00052228"/>
    <w:rsid w:val="00056D05"/>
    <w:rsid w:val="00067BA8"/>
    <w:rsid w:val="00070E71"/>
    <w:rsid w:val="00072855"/>
    <w:rsid w:val="0007742E"/>
    <w:rsid w:val="00080234"/>
    <w:rsid w:val="00084072"/>
    <w:rsid w:val="00090BC6"/>
    <w:rsid w:val="00093DAD"/>
    <w:rsid w:val="00094AA1"/>
    <w:rsid w:val="000D6380"/>
    <w:rsid w:val="000E2191"/>
    <w:rsid w:val="001135B5"/>
    <w:rsid w:val="001259F8"/>
    <w:rsid w:val="00132536"/>
    <w:rsid w:val="001A1053"/>
    <w:rsid w:val="001B2CDA"/>
    <w:rsid w:val="001C5F32"/>
    <w:rsid w:val="001E776D"/>
    <w:rsid w:val="001F4198"/>
    <w:rsid w:val="00202BEC"/>
    <w:rsid w:val="00205007"/>
    <w:rsid w:val="002217D5"/>
    <w:rsid w:val="002460EE"/>
    <w:rsid w:val="00251882"/>
    <w:rsid w:val="0029376F"/>
    <w:rsid w:val="00294C76"/>
    <w:rsid w:val="00294FDE"/>
    <w:rsid w:val="002B2808"/>
    <w:rsid w:val="002B52DF"/>
    <w:rsid w:val="002C1C6A"/>
    <w:rsid w:val="002C6839"/>
    <w:rsid w:val="002E214D"/>
    <w:rsid w:val="002E3713"/>
    <w:rsid w:val="002F6422"/>
    <w:rsid w:val="003001F0"/>
    <w:rsid w:val="00301F3C"/>
    <w:rsid w:val="00312065"/>
    <w:rsid w:val="00322D4A"/>
    <w:rsid w:val="00335304"/>
    <w:rsid w:val="00377B71"/>
    <w:rsid w:val="00380344"/>
    <w:rsid w:val="00397526"/>
    <w:rsid w:val="003B57B4"/>
    <w:rsid w:val="003C5C47"/>
    <w:rsid w:val="003D0892"/>
    <w:rsid w:val="004128A4"/>
    <w:rsid w:val="004157C2"/>
    <w:rsid w:val="00436F2B"/>
    <w:rsid w:val="004374D2"/>
    <w:rsid w:val="0046560F"/>
    <w:rsid w:val="004670AC"/>
    <w:rsid w:val="0047492B"/>
    <w:rsid w:val="00477D43"/>
    <w:rsid w:val="0048446A"/>
    <w:rsid w:val="0049306A"/>
    <w:rsid w:val="004A5C9A"/>
    <w:rsid w:val="004D77BC"/>
    <w:rsid w:val="004F0395"/>
    <w:rsid w:val="00500AA1"/>
    <w:rsid w:val="00504594"/>
    <w:rsid w:val="00532E6B"/>
    <w:rsid w:val="00533811"/>
    <w:rsid w:val="0055000D"/>
    <w:rsid w:val="00551AC8"/>
    <w:rsid w:val="00565694"/>
    <w:rsid w:val="00591354"/>
    <w:rsid w:val="00592C4F"/>
    <w:rsid w:val="005A00BF"/>
    <w:rsid w:val="005B1C0E"/>
    <w:rsid w:val="005B232C"/>
    <w:rsid w:val="005B4792"/>
    <w:rsid w:val="005C111B"/>
    <w:rsid w:val="005C3C72"/>
    <w:rsid w:val="005C6218"/>
    <w:rsid w:val="005E0664"/>
    <w:rsid w:val="005F14FC"/>
    <w:rsid w:val="005F3DCE"/>
    <w:rsid w:val="006036EA"/>
    <w:rsid w:val="00605A4B"/>
    <w:rsid w:val="00615644"/>
    <w:rsid w:val="00636C20"/>
    <w:rsid w:val="0064717E"/>
    <w:rsid w:val="00672A35"/>
    <w:rsid w:val="006750AF"/>
    <w:rsid w:val="006861C3"/>
    <w:rsid w:val="0069305E"/>
    <w:rsid w:val="006B6D6E"/>
    <w:rsid w:val="006B6FF7"/>
    <w:rsid w:val="006C3CD7"/>
    <w:rsid w:val="006D61C8"/>
    <w:rsid w:val="006E19C2"/>
    <w:rsid w:val="006F6381"/>
    <w:rsid w:val="007019BC"/>
    <w:rsid w:val="007525B8"/>
    <w:rsid w:val="00761A0B"/>
    <w:rsid w:val="00783B2B"/>
    <w:rsid w:val="007916E7"/>
    <w:rsid w:val="007930C2"/>
    <w:rsid w:val="007964B3"/>
    <w:rsid w:val="007A67FA"/>
    <w:rsid w:val="007A7FA8"/>
    <w:rsid w:val="007D5B33"/>
    <w:rsid w:val="007F2476"/>
    <w:rsid w:val="008036BC"/>
    <w:rsid w:val="00822B47"/>
    <w:rsid w:val="00843F43"/>
    <w:rsid w:val="00845539"/>
    <w:rsid w:val="00862993"/>
    <w:rsid w:val="00863C2B"/>
    <w:rsid w:val="00872895"/>
    <w:rsid w:val="008868FC"/>
    <w:rsid w:val="008A23A2"/>
    <w:rsid w:val="008B33EF"/>
    <w:rsid w:val="008D690A"/>
    <w:rsid w:val="00911089"/>
    <w:rsid w:val="0091702B"/>
    <w:rsid w:val="009266B7"/>
    <w:rsid w:val="00935919"/>
    <w:rsid w:val="0093705B"/>
    <w:rsid w:val="00937F54"/>
    <w:rsid w:val="00964AA6"/>
    <w:rsid w:val="00973D07"/>
    <w:rsid w:val="009B4854"/>
    <w:rsid w:val="009C75A0"/>
    <w:rsid w:val="009F7922"/>
    <w:rsid w:val="00A000BA"/>
    <w:rsid w:val="00A02A55"/>
    <w:rsid w:val="00A46AD3"/>
    <w:rsid w:val="00A657F2"/>
    <w:rsid w:val="00A835E8"/>
    <w:rsid w:val="00AA217A"/>
    <w:rsid w:val="00AC2369"/>
    <w:rsid w:val="00AF7850"/>
    <w:rsid w:val="00B022DE"/>
    <w:rsid w:val="00B0462D"/>
    <w:rsid w:val="00B23828"/>
    <w:rsid w:val="00B2643A"/>
    <w:rsid w:val="00B27D94"/>
    <w:rsid w:val="00B30B4C"/>
    <w:rsid w:val="00B311A0"/>
    <w:rsid w:val="00B37E47"/>
    <w:rsid w:val="00B53612"/>
    <w:rsid w:val="00B54635"/>
    <w:rsid w:val="00B757A5"/>
    <w:rsid w:val="00B95180"/>
    <w:rsid w:val="00BB4F12"/>
    <w:rsid w:val="00BC7A90"/>
    <w:rsid w:val="00BF1E98"/>
    <w:rsid w:val="00BF78EF"/>
    <w:rsid w:val="00C33791"/>
    <w:rsid w:val="00C33E42"/>
    <w:rsid w:val="00C41BEB"/>
    <w:rsid w:val="00C47DDE"/>
    <w:rsid w:val="00C56AB8"/>
    <w:rsid w:val="00C71D98"/>
    <w:rsid w:val="00C842BC"/>
    <w:rsid w:val="00CA1FED"/>
    <w:rsid w:val="00CC7C38"/>
    <w:rsid w:val="00CD4A8F"/>
    <w:rsid w:val="00CD597E"/>
    <w:rsid w:val="00CD7F89"/>
    <w:rsid w:val="00CE656A"/>
    <w:rsid w:val="00D00B83"/>
    <w:rsid w:val="00D0472E"/>
    <w:rsid w:val="00D10913"/>
    <w:rsid w:val="00D2132F"/>
    <w:rsid w:val="00D3619A"/>
    <w:rsid w:val="00D471F0"/>
    <w:rsid w:val="00D6668C"/>
    <w:rsid w:val="00D74F79"/>
    <w:rsid w:val="00D90A76"/>
    <w:rsid w:val="00D91A78"/>
    <w:rsid w:val="00DA09DB"/>
    <w:rsid w:val="00DA0CEF"/>
    <w:rsid w:val="00DA0E66"/>
    <w:rsid w:val="00DA1B13"/>
    <w:rsid w:val="00DB3DAB"/>
    <w:rsid w:val="00DC7D08"/>
    <w:rsid w:val="00DF240B"/>
    <w:rsid w:val="00E029DC"/>
    <w:rsid w:val="00E04949"/>
    <w:rsid w:val="00E262FC"/>
    <w:rsid w:val="00E414CF"/>
    <w:rsid w:val="00E454DF"/>
    <w:rsid w:val="00E5667D"/>
    <w:rsid w:val="00E64677"/>
    <w:rsid w:val="00E718E8"/>
    <w:rsid w:val="00E734A0"/>
    <w:rsid w:val="00E9228C"/>
    <w:rsid w:val="00E9270B"/>
    <w:rsid w:val="00EB4638"/>
    <w:rsid w:val="00EC01F0"/>
    <w:rsid w:val="00EC2808"/>
    <w:rsid w:val="00EC3842"/>
    <w:rsid w:val="00EC46A1"/>
    <w:rsid w:val="00EC5290"/>
    <w:rsid w:val="00ED1B9B"/>
    <w:rsid w:val="00ED5EC9"/>
    <w:rsid w:val="00EE1A2F"/>
    <w:rsid w:val="00F10E97"/>
    <w:rsid w:val="00F43963"/>
    <w:rsid w:val="00F4648C"/>
    <w:rsid w:val="00F57148"/>
    <w:rsid w:val="00F668BD"/>
    <w:rsid w:val="00F67072"/>
    <w:rsid w:val="00FB363C"/>
    <w:rsid w:val="00FE6FBE"/>
    <w:rsid w:val="00FF3AA9"/>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CF62EB"/>
  <w15:chartTrackingRefBased/>
  <w15:docId w15:val="{6D97ABD6-4286-46DB-8F1A-C5F50AAFA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694"/>
    <w:pPr>
      <w:spacing w:after="0" w:line="240" w:lineRule="auto"/>
    </w:pPr>
    <w:rPr>
      <w:rFonts w:ascii="Times New Roman" w:eastAsia="PMingLiU"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5656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5656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56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5656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56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569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569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569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569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56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5656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56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rsid w:val="005656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56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56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56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56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5694"/>
    <w:rPr>
      <w:rFonts w:eastAsiaTheme="majorEastAsia" w:cstheme="majorBidi"/>
      <w:color w:val="272727" w:themeColor="text1" w:themeTint="D8"/>
    </w:rPr>
  </w:style>
  <w:style w:type="paragraph" w:styleId="Title">
    <w:name w:val="Title"/>
    <w:basedOn w:val="Normal"/>
    <w:next w:val="Normal"/>
    <w:link w:val="TitleChar"/>
    <w:uiPriority w:val="10"/>
    <w:qFormat/>
    <w:rsid w:val="0056569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56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56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56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5694"/>
    <w:pPr>
      <w:spacing w:before="160"/>
      <w:jc w:val="center"/>
    </w:pPr>
    <w:rPr>
      <w:i/>
      <w:iCs/>
      <w:color w:val="404040" w:themeColor="text1" w:themeTint="BF"/>
    </w:rPr>
  </w:style>
  <w:style w:type="character" w:customStyle="1" w:styleId="QuoteChar">
    <w:name w:val="Quote Char"/>
    <w:basedOn w:val="DefaultParagraphFont"/>
    <w:link w:val="Quote"/>
    <w:uiPriority w:val="29"/>
    <w:rsid w:val="00565694"/>
    <w:rPr>
      <w:i/>
      <w:iCs/>
      <w:color w:val="404040" w:themeColor="text1" w:themeTint="BF"/>
    </w:rPr>
  </w:style>
  <w:style w:type="paragraph" w:styleId="ListParagraph">
    <w:name w:val="List Paragraph"/>
    <w:basedOn w:val="Normal"/>
    <w:uiPriority w:val="34"/>
    <w:qFormat/>
    <w:rsid w:val="00565694"/>
    <w:pPr>
      <w:ind w:left="720"/>
      <w:contextualSpacing/>
    </w:pPr>
  </w:style>
  <w:style w:type="character" w:styleId="IntenseEmphasis">
    <w:name w:val="Intense Emphasis"/>
    <w:basedOn w:val="DefaultParagraphFont"/>
    <w:uiPriority w:val="21"/>
    <w:qFormat/>
    <w:rsid w:val="00565694"/>
    <w:rPr>
      <w:i/>
      <w:iCs/>
      <w:color w:val="0F4761" w:themeColor="accent1" w:themeShade="BF"/>
    </w:rPr>
  </w:style>
  <w:style w:type="paragraph" w:styleId="IntenseQuote">
    <w:name w:val="Intense Quote"/>
    <w:basedOn w:val="Normal"/>
    <w:next w:val="Normal"/>
    <w:link w:val="IntenseQuoteChar"/>
    <w:uiPriority w:val="30"/>
    <w:qFormat/>
    <w:rsid w:val="005656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5694"/>
    <w:rPr>
      <w:i/>
      <w:iCs/>
      <w:color w:val="0F4761" w:themeColor="accent1" w:themeShade="BF"/>
    </w:rPr>
  </w:style>
  <w:style w:type="character" w:styleId="IntenseReference">
    <w:name w:val="Intense Reference"/>
    <w:basedOn w:val="DefaultParagraphFont"/>
    <w:uiPriority w:val="32"/>
    <w:qFormat/>
    <w:rsid w:val="00565694"/>
    <w:rPr>
      <w:b/>
      <w:bCs/>
      <w:smallCaps/>
      <w:color w:val="0F4761" w:themeColor="accent1" w:themeShade="BF"/>
      <w:spacing w:val="5"/>
    </w:rPr>
  </w:style>
  <w:style w:type="paragraph" w:styleId="Header">
    <w:name w:val="header"/>
    <w:basedOn w:val="Normal"/>
    <w:link w:val="HeaderChar"/>
    <w:rsid w:val="00565694"/>
    <w:pPr>
      <w:tabs>
        <w:tab w:val="center" w:pos="4153"/>
        <w:tab w:val="right" w:pos="8306"/>
      </w:tabs>
    </w:pPr>
  </w:style>
  <w:style w:type="character" w:customStyle="1" w:styleId="HeaderChar">
    <w:name w:val="Header Char"/>
    <w:basedOn w:val="DefaultParagraphFont"/>
    <w:link w:val="Header"/>
    <w:rsid w:val="00565694"/>
    <w:rPr>
      <w:rFonts w:ascii="Times New Roman" w:eastAsia="PMingLiU" w:hAnsi="Times New Roman" w:cs="Times New Roman"/>
      <w:kern w:val="0"/>
      <w:sz w:val="20"/>
      <w:szCs w:val="20"/>
      <w:lang w:val="en-GB" w:eastAsia="en-GB"/>
      <w14:ligatures w14:val="none"/>
    </w:rPr>
  </w:style>
  <w:style w:type="character" w:styleId="Hyperlink">
    <w:name w:val="Hyperlink"/>
    <w:basedOn w:val="DefaultParagraphFont"/>
    <w:uiPriority w:val="99"/>
    <w:unhideWhenUsed/>
    <w:rsid w:val="00EC3842"/>
    <w:rPr>
      <w:color w:val="467886" w:themeColor="hyperlink"/>
      <w:u w:val="single"/>
    </w:rPr>
  </w:style>
  <w:style w:type="character" w:styleId="UnresolvedMention">
    <w:name w:val="Unresolved Mention"/>
    <w:basedOn w:val="DefaultParagraphFont"/>
    <w:uiPriority w:val="99"/>
    <w:semiHidden/>
    <w:unhideWhenUsed/>
    <w:rsid w:val="00EC3842"/>
    <w:rPr>
      <w:color w:val="605E5C"/>
      <w:shd w:val="clear" w:color="auto" w:fill="E1DFDD"/>
    </w:rPr>
  </w:style>
  <w:style w:type="paragraph" w:styleId="Footer">
    <w:name w:val="footer"/>
    <w:basedOn w:val="Normal"/>
    <w:link w:val="FooterChar"/>
    <w:uiPriority w:val="99"/>
    <w:unhideWhenUsed/>
    <w:rsid w:val="00783B2B"/>
    <w:pPr>
      <w:tabs>
        <w:tab w:val="center" w:pos="4680"/>
        <w:tab w:val="right" w:pos="9360"/>
      </w:tabs>
    </w:pPr>
  </w:style>
  <w:style w:type="character" w:customStyle="1" w:styleId="FooterChar">
    <w:name w:val="Footer Char"/>
    <w:basedOn w:val="DefaultParagraphFont"/>
    <w:link w:val="Footer"/>
    <w:uiPriority w:val="99"/>
    <w:rsid w:val="00783B2B"/>
    <w:rPr>
      <w:rFonts w:ascii="Times New Roman" w:eastAsia="PMingLiU" w:hAnsi="Times New Roman" w:cs="Times New Roman"/>
      <w:kern w:val="0"/>
      <w:sz w:val="20"/>
      <w:szCs w:val="2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87103">
      <w:bodyDiv w:val="1"/>
      <w:marLeft w:val="0"/>
      <w:marRight w:val="0"/>
      <w:marTop w:val="0"/>
      <w:marBottom w:val="0"/>
      <w:divBdr>
        <w:top w:val="none" w:sz="0" w:space="0" w:color="auto"/>
        <w:left w:val="none" w:sz="0" w:space="0" w:color="auto"/>
        <w:bottom w:val="none" w:sz="0" w:space="0" w:color="auto"/>
        <w:right w:val="none" w:sz="0" w:space="0" w:color="auto"/>
      </w:divBdr>
    </w:div>
    <w:div w:id="27881262">
      <w:bodyDiv w:val="1"/>
      <w:marLeft w:val="0"/>
      <w:marRight w:val="0"/>
      <w:marTop w:val="0"/>
      <w:marBottom w:val="0"/>
      <w:divBdr>
        <w:top w:val="none" w:sz="0" w:space="0" w:color="auto"/>
        <w:left w:val="none" w:sz="0" w:space="0" w:color="auto"/>
        <w:bottom w:val="none" w:sz="0" w:space="0" w:color="auto"/>
        <w:right w:val="none" w:sz="0" w:space="0" w:color="auto"/>
      </w:divBdr>
    </w:div>
    <w:div w:id="34278760">
      <w:bodyDiv w:val="1"/>
      <w:marLeft w:val="0"/>
      <w:marRight w:val="0"/>
      <w:marTop w:val="0"/>
      <w:marBottom w:val="0"/>
      <w:divBdr>
        <w:top w:val="none" w:sz="0" w:space="0" w:color="auto"/>
        <w:left w:val="none" w:sz="0" w:space="0" w:color="auto"/>
        <w:bottom w:val="none" w:sz="0" w:space="0" w:color="auto"/>
        <w:right w:val="none" w:sz="0" w:space="0" w:color="auto"/>
      </w:divBdr>
    </w:div>
    <w:div w:id="48114811">
      <w:bodyDiv w:val="1"/>
      <w:marLeft w:val="0"/>
      <w:marRight w:val="0"/>
      <w:marTop w:val="0"/>
      <w:marBottom w:val="0"/>
      <w:divBdr>
        <w:top w:val="none" w:sz="0" w:space="0" w:color="auto"/>
        <w:left w:val="none" w:sz="0" w:space="0" w:color="auto"/>
        <w:bottom w:val="none" w:sz="0" w:space="0" w:color="auto"/>
        <w:right w:val="none" w:sz="0" w:space="0" w:color="auto"/>
      </w:divBdr>
    </w:div>
    <w:div w:id="62988813">
      <w:bodyDiv w:val="1"/>
      <w:marLeft w:val="0"/>
      <w:marRight w:val="0"/>
      <w:marTop w:val="0"/>
      <w:marBottom w:val="0"/>
      <w:divBdr>
        <w:top w:val="none" w:sz="0" w:space="0" w:color="auto"/>
        <w:left w:val="none" w:sz="0" w:space="0" w:color="auto"/>
        <w:bottom w:val="none" w:sz="0" w:space="0" w:color="auto"/>
        <w:right w:val="none" w:sz="0" w:space="0" w:color="auto"/>
      </w:divBdr>
    </w:div>
    <w:div w:id="82184354">
      <w:bodyDiv w:val="1"/>
      <w:marLeft w:val="0"/>
      <w:marRight w:val="0"/>
      <w:marTop w:val="0"/>
      <w:marBottom w:val="0"/>
      <w:divBdr>
        <w:top w:val="none" w:sz="0" w:space="0" w:color="auto"/>
        <w:left w:val="none" w:sz="0" w:space="0" w:color="auto"/>
        <w:bottom w:val="none" w:sz="0" w:space="0" w:color="auto"/>
        <w:right w:val="none" w:sz="0" w:space="0" w:color="auto"/>
      </w:divBdr>
    </w:div>
    <w:div w:id="89355755">
      <w:bodyDiv w:val="1"/>
      <w:marLeft w:val="0"/>
      <w:marRight w:val="0"/>
      <w:marTop w:val="0"/>
      <w:marBottom w:val="0"/>
      <w:divBdr>
        <w:top w:val="none" w:sz="0" w:space="0" w:color="auto"/>
        <w:left w:val="none" w:sz="0" w:space="0" w:color="auto"/>
        <w:bottom w:val="none" w:sz="0" w:space="0" w:color="auto"/>
        <w:right w:val="none" w:sz="0" w:space="0" w:color="auto"/>
      </w:divBdr>
    </w:div>
    <w:div w:id="96827669">
      <w:bodyDiv w:val="1"/>
      <w:marLeft w:val="0"/>
      <w:marRight w:val="0"/>
      <w:marTop w:val="0"/>
      <w:marBottom w:val="0"/>
      <w:divBdr>
        <w:top w:val="none" w:sz="0" w:space="0" w:color="auto"/>
        <w:left w:val="none" w:sz="0" w:space="0" w:color="auto"/>
        <w:bottom w:val="none" w:sz="0" w:space="0" w:color="auto"/>
        <w:right w:val="none" w:sz="0" w:space="0" w:color="auto"/>
      </w:divBdr>
    </w:div>
    <w:div w:id="107357285">
      <w:bodyDiv w:val="1"/>
      <w:marLeft w:val="0"/>
      <w:marRight w:val="0"/>
      <w:marTop w:val="0"/>
      <w:marBottom w:val="0"/>
      <w:divBdr>
        <w:top w:val="none" w:sz="0" w:space="0" w:color="auto"/>
        <w:left w:val="none" w:sz="0" w:space="0" w:color="auto"/>
        <w:bottom w:val="none" w:sz="0" w:space="0" w:color="auto"/>
        <w:right w:val="none" w:sz="0" w:space="0" w:color="auto"/>
      </w:divBdr>
    </w:div>
    <w:div w:id="111873804">
      <w:bodyDiv w:val="1"/>
      <w:marLeft w:val="0"/>
      <w:marRight w:val="0"/>
      <w:marTop w:val="0"/>
      <w:marBottom w:val="0"/>
      <w:divBdr>
        <w:top w:val="none" w:sz="0" w:space="0" w:color="auto"/>
        <w:left w:val="none" w:sz="0" w:space="0" w:color="auto"/>
        <w:bottom w:val="none" w:sz="0" w:space="0" w:color="auto"/>
        <w:right w:val="none" w:sz="0" w:space="0" w:color="auto"/>
      </w:divBdr>
    </w:div>
    <w:div w:id="124929703">
      <w:bodyDiv w:val="1"/>
      <w:marLeft w:val="0"/>
      <w:marRight w:val="0"/>
      <w:marTop w:val="0"/>
      <w:marBottom w:val="0"/>
      <w:divBdr>
        <w:top w:val="none" w:sz="0" w:space="0" w:color="auto"/>
        <w:left w:val="none" w:sz="0" w:space="0" w:color="auto"/>
        <w:bottom w:val="none" w:sz="0" w:space="0" w:color="auto"/>
        <w:right w:val="none" w:sz="0" w:space="0" w:color="auto"/>
      </w:divBdr>
    </w:div>
    <w:div w:id="138352615">
      <w:bodyDiv w:val="1"/>
      <w:marLeft w:val="0"/>
      <w:marRight w:val="0"/>
      <w:marTop w:val="0"/>
      <w:marBottom w:val="0"/>
      <w:divBdr>
        <w:top w:val="none" w:sz="0" w:space="0" w:color="auto"/>
        <w:left w:val="none" w:sz="0" w:space="0" w:color="auto"/>
        <w:bottom w:val="none" w:sz="0" w:space="0" w:color="auto"/>
        <w:right w:val="none" w:sz="0" w:space="0" w:color="auto"/>
      </w:divBdr>
    </w:div>
    <w:div w:id="155071948">
      <w:bodyDiv w:val="1"/>
      <w:marLeft w:val="0"/>
      <w:marRight w:val="0"/>
      <w:marTop w:val="0"/>
      <w:marBottom w:val="0"/>
      <w:divBdr>
        <w:top w:val="none" w:sz="0" w:space="0" w:color="auto"/>
        <w:left w:val="none" w:sz="0" w:space="0" w:color="auto"/>
        <w:bottom w:val="none" w:sz="0" w:space="0" w:color="auto"/>
        <w:right w:val="none" w:sz="0" w:space="0" w:color="auto"/>
      </w:divBdr>
    </w:div>
    <w:div w:id="158350002">
      <w:bodyDiv w:val="1"/>
      <w:marLeft w:val="0"/>
      <w:marRight w:val="0"/>
      <w:marTop w:val="0"/>
      <w:marBottom w:val="0"/>
      <w:divBdr>
        <w:top w:val="none" w:sz="0" w:space="0" w:color="auto"/>
        <w:left w:val="none" w:sz="0" w:space="0" w:color="auto"/>
        <w:bottom w:val="none" w:sz="0" w:space="0" w:color="auto"/>
        <w:right w:val="none" w:sz="0" w:space="0" w:color="auto"/>
      </w:divBdr>
    </w:div>
    <w:div w:id="194075838">
      <w:bodyDiv w:val="1"/>
      <w:marLeft w:val="0"/>
      <w:marRight w:val="0"/>
      <w:marTop w:val="0"/>
      <w:marBottom w:val="0"/>
      <w:divBdr>
        <w:top w:val="none" w:sz="0" w:space="0" w:color="auto"/>
        <w:left w:val="none" w:sz="0" w:space="0" w:color="auto"/>
        <w:bottom w:val="none" w:sz="0" w:space="0" w:color="auto"/>
        <w:right w:val="none" w:sz="0" w:space="0" w:color="auto"/>
      </w:divBdr>
    </w:div>
    <w:div w:id="194270129">
      <w:bodyDiv w:val="1"/>
      <w:marLeft w:val="0"/>
      <w:marRight w:val="0"/>
      <w:marTop w:val="0"/>
      <w:marBottom w:val="0"/>
      <w:divBdr>
        <w:top w:val="none" w:sz="0" w:space="0" w:color="auto"/>
        <w:left w:val="none" w:sz="0" w:space="0" w:color="auto"/>
        <w:bottom w:val="none" w:sz="0" w:space="0" w:color="auto"/>
        <w:right w:val="none" w:sz="0" w:space="0" w:color="auto"/>
      </w:divBdr>
    </w:div>
    <w:div w:id="198902730">
      <w:bodyDiv w:val="1"/>
      <w:marLeft w:val="0"/>
      <w:marRight w:val="0"/>
      <w:marTop w:val="0"/>
      <w:marBottom w:val="0"/>
      <w:divBdr>
        <w:top w:val="none" w:sz="0" w:space="0" w:color="auto"/>
        <w:left w:val="none" w:sz="0" w:space="0" w:color="auto"/>
        <w:bottom w:val="none" w:sz="0" w:space="0" w:color="auto"/>
        <w:right w:val="none" w:sz="0" w:space="0" w:color="auto"/>
      </w:divBdr>
    </w:div>
    <w:div w:id="215043516">
      <w:bodyDiv w:val="1"/>
      <w:marLeft w:val="0"/>
      <w:marRight w:val="0"/>
      <w:marTop w:val="0"/>
      <w:marBottom w:val="0"/>
      <w:divBdr>
        <w:top w:val="none" w:sz="0" w:space="0" w:color="auto"/>
        <w:left w:val="none" w:sz="0" w:space="0" w:color="auto"/>
        <w:bottom w:val="none" w:sz="0" w:space="0" w:color="auto"/>
        <w:right w:val="none" w:sz="0" w:space="0" w:color="auto"/>
      </w:divBdr>
    </w:div>
    <w:div w:id="227738810">
      <w:bodyDiv w:val="1"/>
      <w:marLeft w:val="0"/>
      <w:marRight w:val="0"/>
      <w:marTop w:val="0"/>
      <w:marBottom w:val="0"/>
      <w:divBdr>
        <w:top w:val="none" w:sz="0" w:space="0" w:color="auto"/>
        <w:left w:val="none" w:sz="0" w:space="0" w:color="auto"/>
        <w:bottom w:val="none" w:sz="0" w:space="0" w:color="auto"/>
        <w:right w:val="none" w:sz="0" w:space="0" w:color="auto"/>
      </w:divBdr>
    </w:div>
    <w:div w:id="235168145">
      <w:bodyDiv w:val="1"/>
      <w:marLeft w:val="0"/>
      <w:marRight w:val="0"/>
      <w:marTop w:val="0"/>
      <w:marBottom w:val="0"/>
      <w:divBdr>
        <w:top w:val="none" w:sz="0" w:space="0" w:color="auto"/>
        <w:left w:val="none" w:sz="0" w:space="0" w:color="auto"/>
        <w:bottom w:val="none" w:sz="0" w:space="0" w:color="auto"/>
        <w:right w:val="none" w:sz="0" w:space="0" w:color="auto"/>
      </w:divBdr>
    </w:div>
    <w:div w:id="255722086">
      <w:bodyDiv w:val="1"/>
      <w:marLeft w:val="0"/>
      <w:marRight w:val="0"/>
      <w:marTop w:val="0"/>
      <w:marBottom w:val="0"/>
      <w:divBdr>
        <w:top w:val="none" w:sz="0" w:space="0" w:color="auto"/>
        <w:left w:val="none" w:sz="0" w:space="0" w:color="auto"/>
        <w:bottom w:val="none" w:sz="0" w:space="0" w:color="auto"/>
        <w:right w:val="none" w:sz="0" w:space="0" w:color="auto"/>
      </w:divBdr>
    </w:div>
    <w:div w:id="258148006">
      <w:bodyDiv w:val="1"/>
      <w:marLeft w:val="0"/>
      <w:marRight w:val="0"/>
      <w:marTop w:val="0"/>
      <w:marBottom w:val="0"/>
      <w:divBdr>
        <w:top w:val="none" w:sz="0" w:space="0" w:color="auto"/>
        <w:left w:val="none" w:sz="0" w:space="0" w:color="auto"/>
        <w:bottom w:val="none" w:sz="0" w:space="0" w:color="auto"/>
        <w:right w:val="none" w:sz="0" w:space="0" w:color="auto"/>
      </w:divBdr>
    </w:div>
    <w:div w:id="276639195">
      <w:bodyDiv w:val="1"/>
      <w:marLeft w:val="0"/>
      <w:marRight w:val="0"/>
      <w:marTop w:val="0"/>
      <w:marBottom w:val="0"/>
      <w:divBdr>
        <w:top w:val="none" w:sz="0" w:space="0" w:color="auto"/>
        <w:left w:val="none" w:sz="0" w:space="0" w:color="auto"/>
        <w:bottom w:val="none" w:sz="0" w:space="0" w:color="auto"/>
        <w:right w:val="none" w:sz="0" w:space="0" w:color="auto"/>
      </w:divBdr>
    </w:div>
    <w:div w:id="288053459">
      <w:bodyDiv w:val="1"/>
      <w:marLeft w:val="0"/>
      <w:marRight w:val="0"/>
      <w:marTop w:val="0"/>
      <w:marBottom w:val="0"/>
      <w:divBdr>
        <w:top w:val="none" w:sz="0" w:space="0" w:color="auto"/>
        <w:left w:val="none" w:sz="0" w:space="0" w:color="auto"/>
        <w:bottom w:val="none" w:sz="0" w:space="0" w:color="auto"/>
        <w:right w:val="none" w:sz="0" w:space="0" w:color="auto"/>
      </w:divBdr>
      <w:divsChild>
        <w:div w:id="1003439006">
          <w:marLeft w:val="0"/>
          <w:marRight w:val="0"/>
          <w:marTop w:val="0"/>
          <w:marBottom w:val="0"/>
          <w:divBdr>
            <w:top w:val="none" w:sz="0" w:space="0" w:color="auto"/>
            <w:left w:val="none" w:sz="0" w:space="0" w:color="auto"/>
            <w:bottom w:val="none" w:sz="0" w:space="0" w:color="auto"/>
            <w:right w:val="none" w:sz="0" w:space="0" w:color="auto"/>
          </w:divBdr>
          <w:divsChild>
            <w:div w:id="159871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676651">
      <w:bodyDiv w:val="1"/>
      <w:marLeft w:val="0"/>
      <w:marRight w:val="0"/>
      <w:marTop w:val="0"/>
      <w:marBottom w:val="0"/>
      <w:divBdr>
        <w:top w:val="none" w:sz="0" w:space="0" w:color="auto"/>
        <w:left w:val="none" w:sz="0" w:space="0" w:color="auto"/>
        <w:bottom w:val="none" w:sz="0" w:space="0" w:color="auto"/>
        <w:right w:val="none" w:sz="0" w:space="0" w:color="auto"/>
      </w:divBdr>
    </w:div>
    <w:div w:id="375736990">
      <w:bodyDiv w:val="1"/>
      <w:marLeft w:val="0"/>
      <w:marRight w:val="0"/>
      <w:marTop w:val="0"/>
      <w:marBottom w:val="0"/>
      <w:divBdr>
        <w:top w:val="none" w:sz="0" w:space="0" w:color="auto"/>
        <w:left w:val="none" w:sz="0" w:space="0" w:color="auto"/>
        <w:bottom w:val="none" w:sz="0" w:space="0" w:color="auto"/>
        <w:right w:val="none" w:sz="0" w:space="0" w:color="auto"/>
      </w:divBdr>
    </w:div>
    <w:div w:id="391774871">
      <w:bodyDiv w:val="1"/>
      <w:marLeft w:val="0"/>
      <w:marRight w:val="0"/>
      <w:marTop w:val="0"/>
      <w:marBottom w:val="0"/>
      <w:divBdr>
        <w:top w:val="none" w:sz="0" w:space="0" w:color="auto"/>
        <w:left w:val="none" w:sz="0" w:space="0" w:color="auto"/>
        <w:bottom w:val="none" w:sz="0" w:space="0" w:color="auto"/>
        <w:right w:val="none" w:sz="0" w:space="0" w:color="auto"/>
      </w:divBdr>
    </w:div>
    <w:div w:id="396050986">
      <w:bodyDiv w:val="1"/>
      <w:marLeft w:val="0"/>
      <w:marRight w:val="0"/>
      <w:marTop w:val="0"/>
      <w:marBottom w:val="0"/>
      <w:divBdr>
        <w:top w:val="none" w:sz="0" w:space="0" w:color="auto"/>
        <w:left w:val="none" w:sz="0" w:space="0" w:color="auto"/>
        <w:bottom w:val="none" w:sz="0" w:space="0" w:color="auto"/>
        <w:right w:val="none" w:sz="0" w:space="0" w:color="auto"/>
      </w:divBdr>
    </w:div>
    <w:div w:id="400907917">
      <w:bodyDiv w:val="1"/>
      <w:marLeft w:val="0"/>
      <w:marRight w:val="0"/>
      <w:marTop w:val="0"/>
      <w:marBottom w:val="0"/>
      <w:divBdr>
        <w:top w:val="none" w:sz="0" w:space="0" w:color="auto"/>
        <w:left w:val="none" w:sz="0" w:space="0" w:color="auto"/>
        <w:bottom w:val="none" w:sz="0" w:space="0" w:color="auto"/>
        <w:right w:val="none" w:sz="0" w:space="0" w:color="auto"/>
      </w:divBdr>
    </w:div>
    <w:div w:id="406801570">
      <w:bodyDiv w:val="1"/>
      <w:marLeft w:val="0"/>
      <w:marRight w:val="0"/>
      <w:marTop w:val="0"/>
      <w:marBottom w:val="0"/>
      <w:divBdr>
        <w:top w:val="none" w:sz="0" w:space="0" w:color="auto"/>
        <w:left w:val="none" w:sz="0" w:space="0" w:color="auto"/>
        <w:bottom w:val="none" w:sz="0" w:space="0" w:color="auto"/>
        <w:right w:val="none" w:sz="0" w:space="0" w:color="auto"/>
      </w:divBdr>
    </w:div>
    <w:div w:id="425343020">
      <w:bodyDiv w:val="1"/>
      <w:marLeft w:val="0"/>
      <w:marRight w:val="0"/>
      <w:marTop w:val="0"/>
      <w:marBottom w:val="0"/>
      <w:divBdr>
        <w:top w:val="none" w:sz="0" w:space="0" w:color="auto"/>
        <w:left w:val="none" w:sz="0" w:space="0" w:color="auto"/>
        <w:bottom w:val="none" w:sz="0" w:space="0" w:color="auto"/>
        <w:right w:val="none" w:sz="0" w:space="0" w:color="auto"/>
      </w:divBdr>
    </w:div>
    <w:div w:id="427699625">
      <w:bodyDiv w:val="1"/>
      <w:marLeft w:val="0"/>
      <w:marRight w:val="0"/>
      <w:marTop w:val="0"/>
      <w:marBottom w:val="0"/>
      <w:divBdr>
        <w:top w:val="none" w:sz="0" w:space="0" w:color="auto"/>
        <w:left w:val="none" w:sz="0" w:space="0" w:color="auto"/>
        <w:bottom w:val="none" w:sz="0" w:space="0" w:color="auto"/>
        <w:right w:val="none" w:sz="0" w:space="0" w:color="auto"/>
      </w:divBdr>
    </w:div>
    <w:div w:id="441925501">
      <w:bodyDiv w:val="1"/>
      <w:marLeft w:val="0"/>
      <w:marRight w:val="0"/>
      <w:marTop w:val="0"/>
      <w:marBottom w:val="0"/>
      <w:divBdr>
        <w:top w:val="none" w:sz="0" w:space="0" w:color="auto"/>
        <w:left w:val="none" w:sz="0" w:space="0" w:color="auto"/>
        <w:bottom w:val="none" w:sz="0" w:space="0" w:color="auto"/>
        <w:right w:val="none" w:sz="0" w:space="0" w:color="auto"/>
      </w:divBdr>
    </w:div>
    <w:div w:id="449664716">
      <w:bodyDiv w:val="1"/>
      <w:marLeft w:val="0"/>
      <w:marRight w:val="0"/>
      <w:marTop w:val="0"/>
      <w:marBottom w:val="0"/>
      <w:divBdr>
        <w:top w:val="none" w:sz="0" w:space="0" w:color="auto"/>
        <w:left w:val="none" w:sz="0" w:space="0" w:color="auto"/>
        <w:bottom w:val="none" w:sz="0" w:space="0" w:color="auto"/>
        <w:right w:val="none" w:sz="0" w:space="0" w:color="auto"/>
      </w:divBdr>
    </w:div>
    <w:div w:id="453519437">
      <w:bodyDiv w:val="1"/>
      <w:marLeft w:val="0"/>
      <w:marRight w:val="0"/>
      <w:marTop w:val="0"/>
      <w:marBottom w:val="0"/>
      <w:divBdr>
        <w:top w:val="none" w:sz="0" w:space="0" w:color="auto"/>
        <w:left w:val="none" w:sz="0" w:space="0" w:color="auto"/>
        <w:bottom w:val="none" w:sz="0" w:space="0" w:color="auto"/>
        <w:right w:val="none" w:sz="0" w:space="0" w:color="auto"/>
      </w:divBdr>
    </w:div>
    <w:div w:id="473371444">
      <w:bodyDiv w:val="1"/>
      <w:marLeft w:val="0"/>
      <w:marRight w:val="0"/>
      <w:marTop w:val="0"/>
      <w:marBottom w:val="0"/>
      <w:divBdr>
        <w:top w:val="none" w:sz="0" w:space="0" w:color="auto"/>
        <w:left w:val="none" w:sz="0" w:space="0" w:color="auto"/>
        <w:bottom w:val="none" w:sz="0" w:space="0" w:color="auto"/>
        <w:right w:val="none" w:sz="0" w:space="0" w:color="auto"/>
      </w:divBdr>
    </w:div>
    <w:div w:id="485244684">
      <w:bodyDiv w:val="1"/>
      <w:marLeft w:val="0"/>
      <w:marRight w:val="0"/>
      <w:marTop w:val="0"/>
      <w:marBottom w:val="0"/>
      <w:divBdr>
        <w:top w:val="none" w:sz="0" w:space="0" w:color="auto"/>
        <w:left w:val="none" w:sz="0" w:space="0" w:color="auto"/>
        <w:bottom w:val="none" w:sz="0" w:space="0" w:color="auto"/>
        <w:right w:val="none" w:sz="0" w:space="0" w:color="auto"/>
      </w:divBdr>
    </w:div>
    <w:div w:id="486479426">
      <w:bodyDiv w:val="1"/>
      <w:marLeft w:val="0"/>
      <w:marRight w:val="0"/>
      <w:marTop w:val="0"/>
      <w:marBottom w:val="0"/>
      <w:divBdr>
        <w:top w:val="none" w:sz="0" w:space="0" w:color="auto"/>
        <w:left w:val="none" w:sz="0" w:space="0" w:color="auto"/>
        <w:bottom w:val="none" w:sz="0" w:space="0" w:color="auto"/>
        <w:right w:val="none" w:sz="0" w:space="0" w:color="auto"/>
      </w:divBdr>
    </w:div>
    <w:div w:id="514617246">
      <w:bodyDiv w:val="1"/>
      <w:marLeft w:val="0"/>
      <w:marRight w:val="0"/>
      <w:marTop w:val="0"/>
      <w:marBottom w:val="0"/>
      <w:divBdr>
        <w:top w:val="none" w:sz="0" w:space="0" w:color="auto"/>
        <w:left w:val="none" w:sz="0" w:space="0" w:color="auto"/>
        <w:bottom w:val="none" w:sz="0" w:space="0" w:color="auto"/>
        <w:right w:val="none" w:sz="0" w:space="0" w:color="auto"/>
      </w:divBdr>
    </w:div>
    <w:div w:id="528375905">
      <w:bodyDiv w:val="1"/>
      <w:marLeft w:val="0"/>
      <w:marRight w:val="0"/>
      <w:marTop w:val="0"/>
      <w:marBottom w:val="0"/>
      <w:divBdr>
        <w:top w:val="none" w:sz="0" w:space="0" w:color="auto"/>
        <w:left w:val="none" w:sz="0" w:space="0" w:color="auto"/>
        <w:bottom w:val="none" w:sz="0" w:space="0" w:color="auto"/>
        <w:right w:val="none" w:sz="0" w:space="0" w:color="auto"/>
      </w:divBdr>
    </w:div>
    <w:div w:id="552159242">
      <w:bodyDiv w:val="1"/>
      <w:marLeft w:val="0"/>
      <w:marRight w:val="0"/>
      <w:marTop w:val="0"/>
      <w:marBottom w:val="0"/>
      <w:divBdr>
        <w:top w:val="none" w:sz="0" w:space="0" w:color="auto"/>
        <w:left w:val="none" w:sz="0" w:space="0" w:color="auto"/>
        <w:bottom w:val="none" w:sz="0" w:space="0" w:color="auto"/>
        <w:right w:val="none" w:sz="0" w:space="0" w:color="auto"/>
      </w:divBdr>
    </w:div>
    <w:div w:id="575477226">
      <w:bodyDiv w:val="1"/>
      <w:marLeft w:val="0"/>
      <w:marRight w:val="0"/>
      <w:marTop w:val="0"/>
      <w:marBottom w:val="0"/>
      <w:divBdr>
        <w:top w:val="none" w:sz="0" w:space="0" w:color="auto"/>
        <w:left w:val="none" w:sz="0" w:space="0" w:color="auto"/>
        <w:bottom w:val="none" w:sz="0" w:space="0" w:color="auto"/>
        <w:right w:val="none" w:sz="0" w:space="0" w:color="auto"/>
      </w:divBdr>
    </w:div>
    <w:div w:id="582301831">
      <w:bodyDiv w:val="1"/>
      <w:marLeft w:val="0"/>
      <w:marRight w:val="0"/>
      <w:marTop w:val="0"/>
      <w:marBottom w:val="0"/>
      <w:divBdr>
        <w:top w:val="none" w:sz="0" w:space="0" w:color="auto"/>
        <w:left w:val="none" w:sz="0" w:space="0" w:color="auto"/>
        <w:bottom w:val="none" w:sz="0" w:space="0" w:color="auto"/>
        <w:right w:val="none" w:sz="0" w:space="0" w:color="auto"/>
      </w:divBdr>
    </w:div>
    <w:div w:id="591747236">
      <w:bodyDiv w:val="1"/>
      <w:marLeft w:val="0"/>
      <w:marRight w:val="0"/>
      <w:marTop w:val="0"/>
      <w:marBottom w:val="0"/>
      <w:divBdr>
        <w:top w:val="none" w:sz="0" w:space="0" w:color="auto"/>
        <w:left w:val="none" w:sz="0" w:space="0" w:color="auto"/>
        <w:bottom w:val="none" w:sz="0" w:space="0" w:color="auto"/>
        <w:right w:val="none" w:sz="0" w:space="0" w:color="auto"/>
      </w:divBdr>
    </w:div>
    <w:div w:id="613901470">
      <w:bodyDiv w:val="1"/>
      <w:marLeft w:val="0"/>
      <w:marRight w:val="0"/>
      <w:marTop w:val="0"/>
      <w:marBottom w:val="0"/>
      <w:divBdr>
        <w:top w:val="none" w:sz="0" w:space="0" w:color="auto"/>
        <w:left w:val="none" w:sz="0" w:space="0" w:color="auto"/>
        <w:bottom w:val="none" w:sz="0" w:space="0" w:color="auto"/>
        <w:right w:val="none" w:sz="0" w:space="0" w:color="auto"/>
      </w:divBdr>
    </w:div>
    <w:div w:id="649871860">
      <w:bodyDiv w:val="1"/>
      <w:marLeft w:val="0"/>
      <w:marRight w:val="0"/>
      <w:marTop w:val="0"/>
      <w:marBottom w:val="0"/>
      <w:divBdr>
        <w:top w:val="none" w:sz="0" w:space="0" w:color="auto"/>
        <w:left w:val="none" w:sz="0" w:space="0" w:color="auto"/>
        <w:bottom w:val="none" w:sz="0" w:space="0" w:color="auto"/>
        <w:right w:val="none" w:sz="0" w:space="0" w:color="auto"/>
      </w:divBdr>
    </w:div>
    <w:div w:id="651371293">
      <w:bodyDiv w:val="1"/>
      <w:marLeft w:val="0"/>
      <w:marRight w:val="0"/>
      <w:marTop w:val="0"/>
      <w:marBottom w:val="0"/>
      <w:divBdr>
        <w:top w:val="none" w:sz="0" w:space="0" w:color="auto"/>
        <w:left w:val="none" w:sz="0" w:space="0" w:color="auto"/>
        <w:bottom w:val="none" w:sz="0" w:space="0" w:color="auto"/>
        <w:right w:val="none" w:sz="0" w:space="0" w:color="auto"/>
      </w:divBdr>
    </w:div>
    <w:div w:id="661391353">
      <w:bodyDiv w:val="1"/>
      <w:marLeft w:val="0"/>
      <w:marRight w:val="0"/>
      <w:marTop w:val="0"/>
      <w:marBottom w:val="0"/>
      <w:divBdr>
        <w:top w:val="none" w:sz="0" w:space="0" w:color="auto"/>
        <w:left w:val="none" w:sz="0" w:space="0" w:color="auto"/>
        <w:bottom w:val="none" w:sz="0" w:space="0" w:color="auto"/>
        <w:right w:val="none" w:sz="0" w:space="0" w:color="auto"/>
      </w:divBdr>
    </w:div>
    <w:div w:id="665476986">
      <w:bodyDiv w:val="1"/>
      <w:marLeft w:val="0"/>
      <w:marRight w:val="0"/>
      <w:marTop w:val="0"/>
      <w:marBottom w:val="0"/>
      <w:divBdr>
        <w:top w:val="none" w:sz="0" w:space="0" w:color="auto"/>
        <w:left w:val="none" w:sz="0" w:space="0" w:color="auto"/>
        <w:bottom w:val="none" w:sz="0" w:space="0" w:color="auto"/>
        <w:right w:val="none" w:sz="0" w:space="0" w:color="auto"/>
      </w:divBdr>
    </w:div>
    <w:div w:id="677391472">
      <w:bodyDiv w:val="1"/>
      <w:marLeft w:val="0"/>
      <w:marRight w:val="0"/>
      <w:marTop w:val="0"/>
      <w:marBottom w:val="0"/>
      <w:divBdr>
        <w:top w:val="none" w:sz="0" w:space="0" w:color="auto"/>
        <w:left w:val="none" w:sz="0" w:space="0" w:color="auto"/>
        <w:bottom w:val="none" w:sz="0" w:space="0" w:color="auto"/>
        <w:right w:val="none" w:sz="0" w:space="0" w:color="auto"/>
      </w:divBdr>
    </w:div>
    <w:div w:id="680739274">
      <w:bodyDiv w:val="1"/>
      <w:marLeft w:val="0"/>
      <w:marRight w:val="0"/>
      <w:marTop w:val="0"/>
      <w:marBottom w:val="0"/>
      <w:divBdr>
        <w:top w:val="none" w:sz="0" w:space="0" w:color="auto"/>
        <w:left w:val="none" w:sz="0" w:space="0" w:color="auto"/>
        <w:bottom w:val="none" w:sz="0" w:space="0" w:color="auto"/>
        <w:right w:val="none" w:sz="0" w:space="0" w:color="auto"/>
      </w:divBdr>
    </w:div>
    <w:div w:id="682975674">
      <w:bodyDiv w:val="1"/>
      <w:marLeft w:val="0"/>
      <w:marRight w:val="0"/>
      <w:marTop w:val="0"/>
      <w:marBottom w:val="0"/>
      <w:divBdr>
        <w:top w:val="none" w:sz="0" w:space="0" w:color="auto"/>
        <w:left w:val="none" w:sz="0" w:space="0" w:color="auto"/>
        <w:bottom w:val="none" w:sz="0" w:space="0" w:color="auto"/>
        <w:right w:val="none" w:sz="0" w:space="0" w:color="auto"/>
      </w:divBdr>
    </w:div>
    <w:div w:id="686565686">
      <w:bodyDiv w:val="1"/>
      <w:marLeft w:val="0"/>
      <w:marRight w:val="0"/>
      <w:marTop w:val="0"/>
      <w:marBottom w:val="0"/>
      <w:divBdr>
        <w:top w:val="none" w:sz="0" w:space="0" w:color="auto"/>
        <w:left w:val="none" w:sz="0" w:space="0" w:color="auto"/>
        <w:bottom w:val="none" w:sz="0" w:space="0" w:color="auto"/>
        <w:right w:val="none" w:sz="0" w:space="0" w:color="auto"/>
      </w:divBdr>
    </w:div>
    <w:div w:id="688681087">
      <w:bodyDiv w:val="1"/>
      <w:marLeft w:val="0"/>
      <w:marRight w:val="0"/>
      <w:marTop w:val="0"/>
      <w:marBottom w:val="0"/>
      <w:divBdr>
        <w:top w:val="none" w:sz="0" w:space="0" w:color="auto"/>
        <w:left w:val="none" w:sz="0" w:space="0" w:color="auto"/>
        <w:bottom w:val="none" w:sz="0" w:space="0" w:color="auto"/>
        <w:right w:val="none" w:sz="0" w:space="0" w:color="auto"/>
      </w:divBdr>
    </w:div>
    <w:div w:id="689837285">
      <w:bodyDiv w:val="1"/>
      <w:marLeft w:val="0"/>
      <w:marRight w:val="0"/>
      <w:marTop w:val="0"/>
      <w:marBottom w:val="0"/>
      <w:divBdr>
        <w:top w:val="none" w:sz="0" w:space="0" w:color="auto"/>
        <w:left w:val="none" w:sz="0" w:space="0" w:color="auto"/>
        <w:bottom w:val="none" w:sz="0" w:space="0" w:color="auto"/>
        <w:right w:val="none" w:sz="0" w:space="0" w:color="auto"/>
      </w:divBdr>
    </w:div>
    <w:div w:id="710767955">
      <w:bodyDiv w:val="1"/>
      <w:marLeft w:val="0"/>
      <w:marRight w:val="0"/>
      <w:marTop w:val="0"/>
      <w:marBottom w:val="0"/>
      <w:divBdr>
        <w:top w:val="none" w:sz="0" w:space="0" w:color="auto"/>
        <w:left w:val="none" w:sz="0" w:space="0" w:color="auto"/>
        <w:bottom w:val="none" w:sz="0" w:space="0" w:color="auto"/>
        <w:right w:val="none" w:sz="0" w:space="0" w:color="auto"/>
      </w:divBdr>
    </w:div>
    <w:div w:id="720901779">
      <w:bodyDiv w:val="1"/>
      <w:marLeft w:val="0"/>
      <w:marRight w:val="0"/>
      <w:marTop w:val="0"/>
      <w:marBottom w:val="0"/>
      <w:divBdr>
        <w:top w:val="none" w:sz="0" w:space="0" w:color="auto"/>
        <w:left w:val="none" w:sz="0" w:space="0" w:color="auto"/>
        <w:bottom w:val="none" w:sz="0" w:space="0" w:color="auto"/>
        <w:right w:val="none" w:sz="0" w:space="0" w:color="auto"/>
      </w:divBdr>
    </w:div>
    <w:div w:id="724917392">
      <w:bodyDiv w:val="1"/>
      <w:marLeft w:val="0"/>
      <w:marRight w:val="0"/>
      <w:marTop w:val="0"/>
      <w:marBottom w:val="0"/>
      <w:divBdr>
        <w:top w:val="none" w:sz="0" w:space="0" w:color="auto"/>
        <w:left w:val="none" w:sz="0" w:space="0" w:color="auto"/>
        <w:bottom w:val="none" w:sz="0" w:space="0" w:color="auto"/>
        <w:right w:val="none" w:sz="0" w:space="0" w:color="auto"/>
      </w:divBdr>
    </w:div>
    <w:div w:id="726226694">
      <w:bodyDiv w:val="1"/>
      <w:marLeft w:val="0"/>
      <w:marRight w:val="0"/>
      <w:marTop w:val="0"/>
      <w:marBottom w:val="0"/>
      <w:divBdr>
        <w:top w:val="none" w:sz="0" w:space="0" w:color="auto"/>
        <w:left w:val="none" w:sz="0" w:space="0" w:color="auto"/>
        <w:bottom w:val="none" w:sz="0" w:space="0" w:color="auto"/>
        <w:right w:val="none" w:sz="0" w:space="0" w:color="auto"/>
      </w:divBdr>
    </w:div>
    <w:div w:id="743381060">
      <w:bodyDiv w:val="1"/>
      <w:marLeft w:val="0"/>
      <w:marRight w:val="0"/>
      <w:marTop w:val="0"/>
      <w:marBottom w:val="0"/>
      <w:divBdr>
        <w:top w:val="none" w:sz="0" w:space="0" w:color="auto"/>
        <w:left w:val="none" w:sz="0" w:space="0" w:color="auto"/>
        <w:bottom w:val="none" w:sz="0" w:space="0" w:color="auto"/>
        <w:right w:val="none" w:sz="0" w:space="0" w:color="auto"/>
      </w:divBdr>
    </w:div>
    <w:div w:id="757292712">
      <w:bodyDiv w:val="1"/>
      <w:marLeft w:val="0"/>
      <w:marRight w:val="0"/>
      <w:marTop w:val="0"/>
      <w:marBottom w:val="0"/>
      <w:divBdr>
        <w:top w:val="none" w:sz="0" w:space="0" w:color="auto"/>
        <w:left w:val="none" w:sz="0" w:space="0" w:color="auto"/>
        <w:bottom w:val="none" w:sz="0" w:space="0" w:color="auto"/>
        <w:right w:val="none" w:sz="0" w:space="0" w:color="auto"/>
      </w:divBdr>
    </w:div>
    <w:div w:id="764882508">
      <w:bodyDiv w:val="1"/>
      <w:marLeft w:val="0"/>
      <w:marRight w:val="0"/>
      <w:marTop w:val="0"/>
      <w:marBottom w:val="0"/>
      <w:divBdr>
        <w:top w:val="none" w:sz="0" w:space="0" w:color="auto"/>
        <w:left w:val="none" w:sz="0" w:space="0" w:color="auto"/>
        <w:bottom w:val="none" w:sz="0" w:space="0" w:color="auto"/>
        <w:right w:val="none" w:sz="0" w:space="0" w:color="auto"/>
      </w:divBdr>
    </w:div>
    <w:div w:id="798036298">
      <w:bodyDiv w:val="1"/>
      <w:marLeft w:val="0"/>
      <w:marRight w:val="0"/>
      <w:marTop w:val="0"/>
      <w:marBottom w:val="0"/>
      <w:divBdr>
        <w:top w:val="none" w:sz="0" w:space="0" w:color="auto"/>
        <w:left w:val="none" w:sz="0" w:space="0" w:color="auto"/>
        <w:bottom w:val="none" w:sz="0" w:space="0" w:color="auto"/>
        <w:right w:val="none" w:sz="0" w:space="0" w:color="auto"/>
      </w:divBdr>
    </w:div>
    <w:div w:id="858348272">
      <w:bodyDiv w:val="1"/>
      <w:marLeft w:val="0"/>
      <w:marRight w:val="0"/>
      <w:marTop w:val="0"/>
      <w:marBottom w:val="0"/>
      <w:divBdr>
        <w:top w:val="none" w:sz="0" w:space="0" w:color="auto"/>
        <w:left w:val="none" w:sz="0" w:space="0" w:color="auto"/>
        <w:bottom w:val="none" w:sz="0" w:space="0" w:color="auto"/>
        <w:right w:val="none" w:sz="0" w:space="0" w:color="auto"/>
      </w:divBdr>
    </w:div>
    <w:div w:id="863861202">
      <w:bodyDiv w:val="1"/>
      <w:marLeft w:val="0"/>
      <w:marRight w:val="0"/>
      <w:marTop w:val="0"/>
      <w:marBottom w:val="0"/>
      <w:divBdr>
        <w:top w:val="none" w:sz="0" w:space="0" w:color="auto"/>
        <w:left w:val="none" w:sz="0" w:space="0" w:color="auto"/>
        <w:bottom w:val="none" w:sz="0" w:space="0" w:color="auto"/>
        <w:right w:val="none" w:sz="0" w:space="0" w:color="auto"/>
      </w:divBdr>
    </w:div>
    <w:div w:id="907307891">
      <w:bodyDiv w:val="1"/>
      <w:marLeft w:val="0"/>
      <w:marRight w:val="0"/>
      <w:marTop w:val="0"/>
      <w:marBottom w:val="0"/>
      <w:divBdr>
        <w:top w:val="none" w:sz="0" w:space="0" w:color="auto"/>
        <w:left w:val="none" w:sz="0" w:space="0" w:color="auto"/>
        <w:bottom w:val="none" w:sz="0" w:space="0" w:color="auto"/>
        <w:right w:val="none" w:sz="0" w:space="0" w:color="auto"/>
      </w:divBdr>
    </w:div>
    <w:div w:id="915938472">
      <w:bodyDiv w:val="1"/>
      <w:marLeft w:val="0"/>
      <w:marRight w:val="0"/>
      <w:marTop w:val="0"/>
      <w:marBottom w:val="0"/>
      <w:divBdr>
        <w:top w:val="none" w:sz="0" w:space="0" w:color="auto"/>
        <w:left w:val="none" w:sz="0" w:space="0" w:color="auto"/>
        <w:bottom w:val="none" w:sz="0" w:space="0" w:color="auto"/>
        <w:right w:val="none" w:sz="0" w:space="0" w:color="auto"/>
      </w:divBdr>
    </w:div>
    <w:div w:id="932788236">
      <w:bodyDiv w:val="1"/>
      <w:marLeft w:val="0"/>
      <w:marRight w:val="0"/>
      <w:marTop w:val="0"/>
      <w:marBottom w:val="0"/>
      <w:divBdr>
        <w:top w:val="none" w:sz="0" w:space="0" w:color="auto"/>
        <w:left w:val="none" w:sz="0" w:space="0" w:color="auto"/>
        <w:bottom w:val="none" w:sz="0" w:space="0" w:color="auto"/>
        <w:right w:val="none" w:sz="0" w:space="0" w:color="auto"/>
      </w:divBdr>
    </w:div>
    <w:div w:id="941838811">
      <w:bodyDiv w:val="1"/>
      <w:marLeft w:val="0"/>
      <w:marRight w:val="0"/>
      <w:marTop w:val="0"/>
      <w:marBottom w:val="0"/>
      <w:divBdr>
        <w:top w:val="none" w:sz="0" w:space="0" w:color="auto"/>
        <w:left w:val="none" w:sz="0" w:space="0" w:color="auto"/>
        <w:bottom w:val="none" w:sz="0" w:space="0" w:color="auto"/>
        <w:right w:val="none" w:sz="0" w:space="0" w:color="auto"/>
      </w:divBdr>
    </w:div>
    <w:div w:id="942614192">
      <w:bodyDiv w:val="1"/>
      <w:marLeft w:val="0"/>
      <w:marRight w:val="0"/>
      <w:marTop w:val="0"/>
      <w:marBottom w:val="0"/>
      <w:divBdr>
        <w:top w:val="none" w:sz="0" w:space="0" w:color="auto"/>
        <w:left w:val="none" w:sz="0" w:space="0" w:color="auto"/>
        <w:bottom w:val="none" w:sz="0" w:space="0" w:color="auto"/>
        <w:right w:val="none" w:sz="0" w:space="0" w:color="auto"/>
      </w:divBdr>
    </w:div>
    <w:div w:id="947850458">
      <w:bodyDiv w:val="1"/>
      <w:marLeft w:val="0"/>
      <w:marRight w:val="0"/>
      <w:marTop w:val="0"/>
      <w:marBottom w:val="0"/>
      <w:divBdr>
        <w:top w:val="none" w:sz="0" w:space="0" w:color="auto"/>
        <w:left w:val="none" w:sz="0" w:space="0" w:color="auto"/>
        <w:bottom w:val="none" w:sz="0" w:space="0" w:color="auto"/>
        <w:right w:val="none" w:sz="0" w:space="0" w:color="auto"/>
      </w:divBdr>
    </w:div>
    <w:div w:id="951715897">
      <w:bodyDiv w:val="1"/>
      <w:marLeft w:val="0"/>
      <w:marRight w:val="0"/>
      <w:marTop w:val="0"/>
      <w:marBottom w:val="0"/>
      <w:divBdr>
        <w:top w:val="none" w:sz="0" w:space="0" w:color="auto"/>
        <w:left w:val="none" w:sz="0" w:space="0" w:color="auto"/>
        <w:bottom w:val="none" w:sz="0" w:space="0" w:color="auto"/>
        <w:right w:val="none" w:sz="0" w:space="0" w:color="auto"/>
      </w:divBdr>
    </w:div>
    <w:div w:id="966857459">
      <w:bodyDiv w:val="1"/>
      <w:marLeft w:val="0"/>
      <w:marRight w:val="0"/>
      <w:marTop w:val="0"/>
      <w:marBottom w:val="0"/>
      <w:divBdr>
        <w:top w:val="none" w:sz="0" w:space="0" w:color="auto"/>
        <w:left w:val="none" w:sz="0" w:space="0" w:color="auto"/>
        <w:bottom w:val="none" w:sz="0" w:space="0" w:color="auto"/>
        <w:right w:val="none" w:sz="0" w:space="0" w:color="auto"/>
      </w:divBdr>
    </w:div>
    <w:div w:id="984775015">
      <w:bodyDiv w:val="1"/>
      <w:marLeft w:val="0"/>
      <w:marRight w:val="0"/>
      <w:marTop w:val="0"/>
      <w:marBottom w:val="0"/>
      <w:divBdr>
        <w:top w:val="none" w:sz="0" w:space="0" w:color="auto"/>
        <w:left w:val="none" w:sz="0" w:space="0" w:color="auto"/>
        <w:bottom w:val="none" w:sz="0" w:space="0" w:color="auto"/>
        <w:right w:val="none" w:sz="0" w:space="0" w:color="auto"/>
      </w:divBdr>
    </w:div>
    <w:div w:id="986276169">
      <w:bodyDiv w:val="1"/>
      <w:marLeft w:val="0"/>
      <w:marRight w:val="0"/>
      <w:marTop w:val="0"/>
      <w:marBottom w:val="0"/>
      <w:divBdr>
        <w:top w:val="none" w:sz="0" w:space="0" w:color="auto"/>
        <w:left w:val="none" w:sz="0" w:space="0" w:color="auto"/>
        <w:bottom w:val="none" w:sz="0" w:space="0" w:color="auto"/>
        <w:right w:val="none" w:sz="0" w:space="0" w:color="auto"/>
      </w:divBdr>
    </w:div>
    <w:div w:id="1003820673">
      <w:bodyDiv w:val="1"/>
      <w:marLeft w:val="0"/>
      <w:marRight w:val="0"/>
      <w:marTop w:val="0"/>
      <w:marBottom w:val="0"/>
      <w:divBdr>
        <w:top w:val="none" w:sz="0" w:space="0" w:color="auto"/>
        <w:left w:val="none" w:sz="0" w:space="0" w:color="auto"/>
        <w:bottom w:val="none" w:sz="0" w:space="0" w:color="auto"/>
        <w:right w:val="none" w:sz="0" w:space="0" w:color="auto"/>
      </w:divBdr>
    </w:div>
    <w:div w:id="1009455160">
      <w:bodyDiv w:val="1"/>
      <w:marLeft w:val="0"/>
      <w:marRight w:val="0"/>
      <w:marTop w:val="0"/>
      <w:marBottom w:val="0"/>
      <w:divBdr>
        <w:top w:val="none" w:sz="0" w:space="0" w:color="auto"/>
        <w:left w:val="none" w:sz="0" w:space="0" w:color="auto"/>
        <w:bottom w:val="none" w:sz="0" w:space="0" w:color="auto"/>
        <w:right w:val="none" w:sz="0" w:space="0" w:color="auto"/>
      </w:divBdr>
    </w:div>
    <w:div w:id="1012144430">
      <w:bodyDiv w:val="1"/>
      <w:marLeft w:val="0"/>
      <w:marRight w:val="0"/>
      <w:marTop w:val="0"/>
      <w:marBottom w:val="0"/>
      <w:divBdr>
        <w:top w:val="none" w:sz="0" w:space="0" w:color="auto"/>
        <w:left w:val="none" w:sz="0" w:space="0" w:color="auto"/>
        <w:bottom w:val="none" w:sz="0" w:space="0" w:color="auto"/>
        <w:right w:val="none" w:sz="0" w:space="0" w:color="auto"/>
      </w:divBdr>
    </w:div>
    <w:div w:id="1025331336">
      <w:bodyDiv w:val="1"/>
      <w:marLeft w:val="0"/>
      <w:marRight w:val="0"/>
      <w:marTop w:val="0"/>
      <w:marBottom w:val="0"/>
      <w:divBdr>
        <w:top w:val="none" w:sz="0" w:space="0" w:color="auto"/>
        <w:left w:val="none" w:sz="0" w:space="0" w:color="auto"/>
        <w:bottom w:val="none" w:sz="0" w:space="0" w:color="auto"/>
        <w:right w:val="none" w:sz="0" w:space="0" w:color="auto"/>
      </w:divBdr>
    </w:div>
    <w:div w:id="1047878337">
      <w:bodyDiv w:val="1"/>
      <w:marLeft w:val="0"/>
      <w:marRight w:val="0"/>
      <w:marTop w:val="0"/>
      <w:marBottom w:val="0"/>
      <w:divBdr>
        <w:top w:val="none" w:sz="0" w:space="0" w:color="auto"/>
        <w:left w:val="none" w:sz="0" w:space="0" w:color="auto"/>
        <w:bottom w:val="none" w:sz="0" w:space="0" w:color="auto"/>
        <w:right w:val="none" w:sz="0" w:space="0" w:color="auto"/>
      </w:divBdr>
    </w:div>
    <w:div w:id="1049766455">
      <w:bodyDiv w:val="1"/>
      <w:marLeft w:val="0"/>
      <w:marRight w:val="0"/>
      <w:marTop w:val="0"/>
      <w:marBottom w:val="0"/>
      <w:divBdr>
        <w:top w:val="none" w:sz="0" w:space="0" w:color="auto"/>
        <w:left w:val="none" w:sz="0" w:space="0" w:color="auto"/>
        <w:bottom w:val="none" w:sz="0" w:space="0" w:color="auto"/>
        <w:right w:val="none" w:sz="0" w:space="0" w:color="auto"/>
      </w:divBdr>
    </w:div>
    <w:div w:id="1054158337">
      <w:bodyDiv w:val="1"/>
      <w:marLeft w:val="0"/>
      <w:marRight w:val="0"/>
      <w:marTop w:val="0"/>
      <w:marBottom w:val="0"/>
      <w:divBdr>
        <w:top w:val="none" w:sz="0" w:space="0" w:color="auto"/>
        <w:left w:val="none" w:sz="0" w:space="0" w:color="auto"/>
        <w:bottom w:val="none" w:sz="0" w:space="0" w:color="auto"/>
        <w:right w:val="none" w:sz="0" w:space="0" w:color="auto"/>
      </w:divBdr>
    </w:div>
    <w:div w:id="1059209613">
      <w:bodyDiv w:val="1"/>
      <w:marLeft w:val="0"/>
      <w:marRight w:val="0"/>
      <w:marTop w:val="0"/>
      <w:marBottom w:val="0"/>
      <w:divBdr>
        <w:top w:val="none" w:sz="0" w:space="0" w:color="auto"/>
        <w:left w:val="none" w:sz="0" w:space="0" w:color="auto"/>
        <w:bottom w:val="none" w:sz="0" w:space="0" w:color="auto"/>
        <w:right w:val="none" w:sz="0" w:space="0" w:color="auto"/>
      </w:divBdr>
    </w:div>
    <w:div w:id="1068848187">
      <w:bodyDiv w:val="1"/>
      <w:marLeft w:val="0"/>
      <w:marRight w:val="0"/>
      <w:marTop w:val="0"/>
      <w:marBottom w:val="0"/>
      <w:divBdr>
        <w:top w:val="none" w:sz="0" w:space="0" w:color="auto"/>
        <w:left w:val="none" w:sz="0" w:space="0" w:color="auto"/>
        <w:bottom w:val="none" w:sz="0" w:space="0" w:color="auto"/>
        <w:right w:val="none" w:sz="0" w:space="0" w:color="auto"/>
      </w:divBdr>
    </w:div>
    <w:div w:id="1074863522">
      <w:bodyDiv w:val="1"/>
      <w:marLeft w:val="0"/>
      <w:marRight w:val="0"/>
      <w:marTop w:val="0"/>
      <w:marBottom w:val="0"/>
      <w:divBdr>
        <w:top w:val="none" w:sz="0" w:space="0" w:color="auto"/>
        <w:left w:val="none" w:sz="0" w:space="0" w:color="auto"/>
        <w:bottom w:val="none" w:sz="0" w:space="0" w:color="auto"/>
        <w:right w:val="none" w:sz="0" w:space="0" w:color="auto"/>
      </w:divBdr>
    </w:div>
    <w:div w:id="1105996396">
      <w:bodyDiv w:val="1"/>
      <w:marLeft w:val="0"/>
      <w:marRight w:val="0"/>
      <w:marTop w:val="0"/>
      <w:marBottom w:val="0"/>
      <w:divBdr>
        <w:top w:val="none" w:sz="0" w:space="0" w:color="auto"/>
        <w:left w:val="none" w:sz="0" w:space="0" w:color="auto"/>
        <w:bottom w:val="none" w:sz="0" w:space="0" w:color="auto"/>
        <w:right w:val="none" w:sz="0" w:space="0" w:color="auto"/>
      </w:divBdr>
    </w:div>
    <w:div w:id="1117408754">
      <w:bodyDiv w:val="1"/>
      <w:marLeft w:val="0"/>
      <w:marRight w:val="0"/>
      <w:marTop w:val="0"/>
      <w:marBottom w:val="0"/>
      <w:divBdr>
        <w:top w:val="none" w:sz="0" w:space="0" w:color="auto"/>
        <w:left w:val="none" w:sz="0" w:space="0" w:color="auto"/>
        <w:bottom w:val="none" w:sz="0" w:space="0" w:color="auto"/>
        <w:right w:val="none" w:sz="0" w:space="0" w:color="auto"/>
      </w:divBdr>
    </w:div>
    <w:div w:id="1144390961">
      <w:bodyDiv w:val="1"/>
      <w:marLeft w:val="0"/>
      <w:marRight w:val="0"/>
      <w:marTop w:val="0"/>
      <w:marBottom w:val="0"/>
      <w:divBdr>
        <w:top w:val="none" w:sz="0" w:space="0" w:color="auto"/>
        <w:left w:val="none" w:sz="0" w:space="0" w:color="auto"/>
        <w:bottom w:val="none" w:sz="0" w:space="0" w:color="auto"/>
        <w:right w:val="none" w:sz="0" w:space="0" w:color="auto"/>
      </w:divBdr>
    </w:div>
    <w:div w:id="1148090548">
      <w:bodyDiv w:val="1"/>
      <w:marLeft w:val="0"/>
      <w:marRight w:val="0"/>
      <w:marTop w:val="0"/>
      <w:marBottom w:val="0"/>
      <w:divBdr>
        <w:top w:val="none" w:sz="0" w:space="0" w:color="auto"/>
        <w:left w:val="none" w:sz="0" w:space="0" w:color="auto"/>
        <w:bottom w:val="none" w:sz="0" w:space="0" w:color="auto"/>
        <w:right w:val="none" w:sz="0" w:space="0" w:color="auto"/>
      </w:divBdr>
    </w:div>
    <w:div w:id="1163933104">
      <w:bodyDiv w:val="1"/>
      <w:marLeft w:val="0"/>
      <w:marRight w:val="0"/>
      <w:marTop w:val="0"/>
      <w:marBottom w:val="0"/>
      <w:divBdr>
        <w:top w:val="none" w:sz="0" w:space="0" w:color="auto"/>
        <w:left w:val="none" w:sz="0" w:space="0" w:color="auto"/>
        <w:bottom w:val="none" w:sz="0" w:space="0" w:color="auto"/>
        <w:right w:val="none" w:sz="0" w:space="0" w:color="auto"/>
      </w:divBdr>
    </w:div>
    <w:div w:id="1181236749">
      <w:bodyDiv w:val="1"/>
      <w:marLeft w:val="0"/>
      <w:marRight w:val="0"/>
      <w:marTop w:val="0"/>
      <w:marBottom w:val="0"/>
      <w:divBdr>
        <w:top w:val="none" w:sz="0" w:space="0" w:color="auto"/>
        <w:left w:val="none" w:sz="0" w:space="0" w:color="auto"/>
        <w:bottom w:val="none" w:sz="0" w:space="0" w:color="auto"/>
        <w:right w:val="none" w:sz="0" w:space="0" w:color="auto"/>
      </w:divBdr>
    </w:div>
    <w:div w:id="1192456567">
      <w:bodyDiv w:val="1"/>
      <w:marLeft w:val="0"/>
      <w:marRight w:val="0"/>
      <w:marTop w:val="0"/>
      <w:marBottom w:val="0"/>
      <w:divBdr>
        <w:top w:val="none" w:sz="0" w:space="0" w:color="auto"/>
        <w:left w:val="none" w:sz="0" w:space="0" w:color="auto"/>
        <w:bottom w:val="none" w:sz="0" w:space="0" w:color="auto"/>
        <w:right w:val="none" w:sz="0" w:space="0" w:color="auto"/>
      </w:divBdr>
    </w:div>
    <w:div w:id="1202748050">
      <w:bodyDiv w:val="1"/>
      <w:marLeft w:val="0"/>
      <w:marRight w:val="0"/>
      <w:marTop w:val="0"/>
      <w:marBottom w:val="0"/>
      <w:divBdr>
        <w:top w:val="none" w:sz="0" w:space="0" w:color="auto"/>
        <w:left w:val="none" w:sz="0" w:space="0" w:color="auto"/>
        <w:bottom w:val="none" w:sz="0" w:space="0" w:color="auto"/>
        <w:right w:val="none" w:sz="0" w:space="0" w:color="auto"/>
      </w:divBdr>
    </w:div>
    <w:div w:id="1210609549">
      <w:bodyDiv w:val="1"/>
      <w:marLeft w:val="0"/>
      <w:marRight w:val="0"/>
      <w:marTop w:val="0"/>
      <w:marBottom w:val="0"/>
      <w:divBdr>
        <w:top w:val="none" w:sz="0" w:space="0" w:color="auto"/>
        <w:left w:val="none" w:sz="0" w:space="0" w:color="auto"/>
        <w:bottom w:val="none" w:sz="0" w:space="0" w:color="auto"/>
        <w:right w:val="none" w:sz="0" w:space="0" w:color="auto"/>
      </w:divBdr>
    </w:div>
    <w:div w:id="1223834083">
      <w:bodyDiv w:val="1"/>
      <w:marLeft w:val="0"/>
      <w:marRight w:val="0"/>
      <w:marTop w:val="0"/>
      <w:marBottom w:val="0"/>
      <w:divBdr>
        <w:top w:val="none" w:sz="0" w:space="0" w:color="auto"/>
        <w:left w:val="none" w:sz="0" w:space="0" w:color="auto"/>
        <w:bottom w:val="none" w:sz="0" w:space="0" w:color="auto"/>
        <w:right w:val="none" w:sz="0" w:space="0" w:color="auto"/>
      </w:divBdr>
    </w:div>
    <w:div w:id="1225026486">
      <w:bodyDiv w:val="1"/>
      <w:marLeft w:val="0"/>
      <w:marRight w:val="0"/>
      <w:marTop w:val="0"/>
      <w:marBottom w:val="0"/>
      <w:divBdr>
        <w:top w:val="none" w:sz="0" w:space="0" w:color="auto"/>
        <w:left w:val="none" w:sz="0" w:space="0" w:color="auto"/>
        <w:bottom w:val="none" w:sz="0" w:space="0" w:color="auto"/>
        <w:right w:val="none" w:sz="0" w:space="0" w:color="auto"/>
      </w:divBdr>
    </w:div>
    <w:div w:id="1233198730">
      <w:bodyDiv w:val="1"/>
      <w:marLeft w:val="0"/>
      <w:marRight w:val="0"/>
      <w:marTop w:val="0"/>
      <w:marBottom w:val="0"/>
      <w:divBdr>
        <w:top w:val="none" w:sz="0" w:space="0" w:color="auto"/>
        <w:left w:val="none" w:sz="0" w:space="0" w:color="auto"/>
        <w:bottom w:val="none" w:sz="0" w:space="0" w:color="auto"/>
        <w:right w:val="none" w:sz="0" w:space="0" w:color="auto"/>
      </w:divBdr>
    </w:div>
    <w:div w:id="1244952310">
      <w:bodyDiv w:val="1"/>
      <w:marLeft w:val="0"/>
      <w:marRight w:val="0"/>
      <w:marTop w:val="0"/>
      <w:marBottom w:val="0"/>
      <w:divBdr>
        <w:top w:val="none" w:sz="0" w:space="0" w:color="auto"/>
        <w:left w:val="none" w:sz="0" w:space="0" w:color="auto"/>
        <w:bottom w:val="none" w:sz="0" w:space="0" w:color="auto"/>
        <w:right w:val="none" w:sz="0" w:space="0" w:color="auto"/>
      </w:divBdr>
    </w:div>
    <w:div w:id="1255088614">
      <w:bodyDiv w:val="1"/>
      <w:marLeft w:val="0"/>
      <w:marRight w:val="0"/>
      <w:marTop w:val="0"/>
      <w:marBottom w:val="0"/>
      <w:divBdr>
        <w:top w:val="none" w:sz="0" w:space="0" w:color="auto"/>
        <w:left w:val="none" w:sz="0" w:space="0" w:color="auto"/>
        <w:bottom w:val="none" w:sz="0" w:space="0" w:color="auto"/>
        <w:right w:val="none" w:sz="0" w:space="0" w:color="auto"/>
      </w:divBdr>
    </w:div>
    <w:div w:id="1332833530">
      <w:bodyDiv w:val="1"/>
      <w:marLeft w:val="0"/>
      <w:marRight w:val="0"/>
      <w:marTop w:val="0"/>
      <w:marBottom w:val="0"/>
      <w:divBdr>
        <w:top w:val="none" w:sz="0" w:space="0" w:color="auto"/>
        <w:left w:val="none" w:sz="0" w:space="0" w:color="auto"/>
        <w:bottom w:val="none" w:sz="0" w:space="0" w:color="auto"/>
        <w:right w:val="none" w:sz="0" w:space="0" w:color="auto"/>
      </w:divBdr>
    </w:div>
    <w:div w:id="1339044457">
      <w:bodyDiv w:val="1"/>
      <w:marLeft w:val="0"/>
      <w:marRight w:val="0"/>
      <w:marTop w:val="0"/>
      <w:marBottom w:val="0"/>
      <w:divBdr>
        <w:top w:val="none" w:sz="0" w:space="0" w:color="auto"/>
        <w:left w:val="none" w:sz="0" w:space="0" w:color="auto"/>
        <w:bottom w:val="none" w:sz="0" w:space="0" w:color="auto"/>
        <w:right w:val="none" w:sz="0" w:space="0" w:color="auto"/>
      </w:divBdr>
      <w:divsChild>
        <w:div w:id="657615615">
          <w:marLeft w:val="0"/>
          <w:marRight w:val="0"/>
          <w:marTop w:val="0"/>
          <w:marBottom w:val="0"/>
          <w:divBdr>
            <w:top w:val="single" w:sz="2" w:space="0" w:color="auto"/>
            <w:left w:val="single" w:sz="2" w:space="0" w:color="auto"/>
            <w:bottom w:val="single" w:sz="2" w:space="0" w:color="auto"/>
            <w:right w:val="single" w:sz="2" w:space="0" w:color="auto"/>
          </w:divBdr>
          <w:divsChild>
            <w:div w:id="6990122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340153550">
      <w:bodyDiv w:val="1"/>
      <w:marLeft w:val="0"/>
      <w:marRight w:val="0"/>
      <w:marTop w:val="0"/>
      <w:marBottom w:val="0"/>
      <w:divBdr>
        <w:top w:val="none" w:sz="0" w:space="0" w:color="auto"/>
        <w:left w:val="none" w:sz="0" w:space="0" w:color="auto"/>
        <w:bottom w:val="none" w:sz="0" w:space="0" w:color="auto"/>
        <w:right w:val="none" w:sz="0" w:space="0" w:color="auto"/>
      </w:divBdr>
    </w:div>
    <w:div w:id="1362587707">
      <w:bodyDiv w:val="1"/>
      <w:marLeft w:val="0"/>
      <w:marRight w:val="0"/>
      <w:marTop w:val="0"/>
      <w:marBottom w:val="0"/>
      <w:divBdr>
        <w:top w:val="none" w:sz="0" w:space="0" w:color="auto"/>
        <w:left w:val="none" w:sz="0" w:space="0" w:color="auto"/>
        <w:bottom w:val="none" w:sz="0" w:space="0" w:color="auto"/>
        <w:right w:val="none" w:sz="0" w:space="0" w:color="auto"/>
      </w:divBdr>
    </w:div>
    <w:div w:id="1404837319">
      <w:bodyDiv w:val="1"/>
      <w:marLeft w:val="0"/>
      <w:marRight w:val="0"/>
      <w:marTop w:val="0"/>
      <w:marBottom w:val="0"/>
      <w:divBdr>
        <w:top w:val="none" w:sz="0" w:space="0" w:color="auto"/>
        <w:left w:val="none" w:sz="0" w:space="0" w:color="auto"/>
        <w:bottom w:val="none" w:sz="0" w:space="0" w:color="auto"/>
        <w:right w:val="none" w:sz="0" w:space="0" w:color="auto"/>
      </w:divBdr>
    </w:div>
    <w:div w:id="1405297592">
      <w:bodyDiv w:val="1"/>
      <w:marLeft w:val="0"/>
      <w:marRight w:val="0"/>
      <w:marTop w:val="0"/>
      <w:marBottom w:val="0"/>
      <w:divBdr>
        <w:top w:val="none" w:sz="0" w:space="0" w:color="auto"/>
        <w:left w:val="none" w:sz="0" w:space="0" w:color="auto"/>
        <w:bottom w:val="none" w:sz="0" w:space="0" w:color="auto"/>
        <w:right w:val="none" w:sz="0" w:space="0" w:color="auto"/>
      </w:divBdr>
    </w:div>
    <w:div w:id="1430471915">
      <w:bodyDiv w:val="1"/>
      <w:marLeft w:val="0"/>
      <w:marRight w:val="0"/>
      <w:marTop w:val="0"/>
      <w:marBottom w:val="0"/>
      <w:divBdr>
        <w:top w:val="none" w:sz="0" w:space="0" w:color="auto"/>
        <w:left w:val="none" w:sz="0" w:space="0" w:color="auto"/>
        <w:bottom w:val="none" w:sz="0" w:space="0" w:color="auto"/>
        <w:right w:val="none" w:sz="0" w:space="0" w:color="auto"/>
      </w:divBdr>
    </w:div>
    <w:div w:id="1431510782">
      <w:bodyDiv w:val="1"/>
      <w:marLeft w:val="0"/>
      <w:marRight w:val="0"/>
      <w:marTop w:val="0"/>
      <w:marBottom w:val="0"/>
      <w:divBdr>
        <w:top w:val="none" w:sz="0" w:space="0" w:color="auto"/>
        <w:left w:val="none" w:sz="0" w:space="0" w:color="auto"/>
        <w:bottom w:val="none" w:sz="0" w:space="0" w:color="auto"/>
        <w:right w:val="none" w:sz="0" w:space="0" w:color="auto"/>
      </w:divBdr>
    </w:div>
    <w:div w:id="1439911819">
      <w:bodyDiv w:val="1"/>
      <w:marLeft w:val="0"/>
      <w:marRight w:val="0"/>
      <w:marTop w:val="0"/>
      <w:marBottom w:val="0"/>
      <w:divBdr>
        <w:top w:val="none" w:sz="0" w:space="0" w:color="auto"/>
        <w:left w:val="none" w:sz="0" w:space="0" w:color="auto"/>
        <w:bottom w:val="none" w:sz="0" w:space="0" w:color="auto"/>
        <w:right w:val="none" w:sz="0" w:space="0" w:color="auto"/>
      </w:divBdr>
    </w:div>
    <w:div w:id="1444688392">
      <w:bodyDiv w:val="1"/>
      <w:marLeft w:val="0"/>
      <w:marRight w:val="0"/>
      <w:marTop w:val="0"/>
      <w:marBottom w:val="0"/>
      <w:divBdr>
        <w:top w:val="none" w:sz="0" w:space="0" w:color="auto"/>
        <w:left w:val="none" w:sz="0" w:space="0" w:color="auto"/>
        <w:bottom w:val="none" w:sz="0" w:space="0" w:color="auto"/>
        <w:right w:val="none" w:sz="0" w:space="0" w:color="auto"/>
      </w:divBdr>
    </w:div>
    <w:div w:id="1444883061">
      <w:bodyDiv w:val="1"/>
      <w:marLeft w:val="0"/>
      <w:marRight w:val="0"/>
      <w:marTop w:val="0"/>
      <w:marBottom w:val="0"/>
      <w:divBdr>
        <w:top w:val="none" w:sz="0" w:space="0" w:color="auto"/>
        <w:left w:val="none" w:sz="0" w:space="0" w:color="auto"/>
        <w:bottom w:val="none" w:sz="0" w:space="0" w:color="auto"/>
        <w:right w:val="none" w:sz="0" w:space="0" w:color="auto"/>
      </w:divBdr>
    </w:div>
    <w:div w:id="1449080683">
      <w:bodyDiv w:val="1"/>
      <w:marLeft w:val="0"/>
      <w:marRight w:val="0"/>
      <w:marTop w:val="0"/>
      <w:marBottom w:val="0"/>
      <w:divBdr>
        <w:top w:val="none" w:sz="0" w:space="0" w:color="auto"/>
        <w:left w:val="none" w:sz="0" w:space="0" w:color="auto"/>
        <w:bottom w:val="none" w:sz="0" w:space="0" w:color="auto"/>
        <w:right w:val="none" w:sz="0" w:space="0" w:color="auto"/>
      </w:divBdr>
    </w:div>
    <w:div w:id="1451895067">
      <w:bodyDiv w:val="1"/>
      <w:marLeft w:val="0"/>
      <w:marRight w:val="0"/>
      <w:marTop w:val="0"/>
      <w:marBottom w:val="0"/>
      <w:divBdr>
        <w:top w:val="none" w:sz="0" w:space="0" w:color="auto"/>
        <w:left w:val="none" w:sz="0" w:space="0" w:color="auto"/>
        <w:bottom w:val="none" w:sz="0" w:space="0" w:color="auto"/>
        <w:right w:val="none" w:sz="0" w:space="0" w:color="auto"/>
      </w:divBdr>
    </w:div>
    <w:div w:id="1488010337">
      <w:bodyDiv w:val="1"/>
      <w:marLeft w:val="0"/>
      <w:marRight w:val="0"/>
      <w:marTop w:val="0"/>
      <w:marBottom w:val="0"/>
      <w:divBdr>
        <w:top w:val="none" w:sz="0" w:space="0" w:color="auto"/>
        <w:left w:val="none" w:sz="0" w:space="0" w:color="auto"/>
        <w:bottom w:val="none" w:sz="0" w:space="0" w:color="auto"/>
        <w:right w:val="none" w:sz="0" w:space="0" w:color="auto"/>
      </w:divBdr>
    </w:div>
    <w:div w:id="1494028969">
      <w:bodyDiv w:val="1"/>
      <w:marLeft w:val="0"/>
      <w:marRight w:val="0"/>
      <w:marTop w:val="0"/>
      <w:marBottom w:val="0"/>
      <w:divBdr>
        <w:top w:val="none" w:sz="0" w:space="0" w:color="auto"/>
        <w:left w:val="none" w:sz="0" w:space="0" w:color="auto"/>
        <w:bottom w:val="none" w:sz="0" w:space="0" w:color="auto"/>
        <w:right w:val="none" w:sz="0" w:space="0" w:color="auto"/>
      </w:divBdr>
    </w:div>
    <w:div w:id="1525902068">
      <w:bodyDiv w:val="1"/>
      <w:marLeft w:val="0"/>
      <w:marRight w:val="0"/>
      <w:marTop w:val="0"/>
      <w:marBottom w:val="0"/>
      <w:divBdr>
        <w:top w:val="none" w:sz="0" w:space="0" w:color="auto"/>
        <w:left w:val="none" w:sz="0" w:space="0" w:color="auto"/>
        <w:bottom w:val="none" w:sz="0" w:space="0" w:color="auto"/>
        <w:right w:val="none" w:sz="0" w:space="0" w:color="auto"/>
      </w:divBdr>
    </w:div>
    <w:div w:id="1533181679">
      <w:bodyDiv w:val="1"/>
      <w:marLeft w:val="0"/>
      <w:marRight w:val="0"/>
      <w:marTop w:val="0"/>
      <w:marBottom w:val="0"/>
      <w:divBdr>
        <w:top w:val="none" w:sz="0" w:space="0" w:color="auto"/>
        <w:left w:val="none" w:sz="0" w:space="0" w:color="auto"/>
        <w:bottom w:val="none" w:sz="0" w:space="0" w:color="auto"/>
        <w:right w:val="none" w:sz="0" w:space="0" w:color="auto"/>
      </w:divBdr>
    </w:div>
    <w:div w:id="1533880257">
      <w:bodyDiv w:val="1"/>
      <w:marLeft w:val="0"/>
      <w:marRight w:val="0"/>
      <w:marTop w:val="0"/>
      <w:marBottom w:val="0"/>
      <w:divBdr>
        <w:top w:val="none" w:sz="0" w:space="0" w:color="auto"/>
        <w:left w:val="none" w:sz="0" w:space="0" w:color="auto"/>
        <w:bottom w:val="none" w:sz="0" w:space="0" w:color="auto"/>
        <w:right w:val="none" w:sz="0" w:space="0" w:color="auto"/>
      </w:divBdr>
    </w:div>
    <w:div w:id="1535196578">
      <w:bodyDiv w:val="1"/>
      <w:marLeft w:val="0"/>
      <w:marRight w:val="0"/>
      <w:marTop w:val="0"/>
      <w:marBottom w:val="0"/>
      <w:divBdr>
        <w:top w:val="none" w:sz="0" w:space="0" w:color="auto"/>
        <w:left w:val="none" w:sz="0" w:space="0" w:color="auto"/>
        <w:bottom w:val="none" w:sz="0" w:space="0" w:color="auto"/>
        <w:right w:val="none" w:sz="0" w:space="0" w:color="auto"/>
      </w:divBdr>
    </w:div>
    <w:div w:id="1566066992">
      <w:bodyDiv w:val="1"/>
      <w:marLeft w:val="0"/>
      <w:marRight w:val="0"/>
      <w:marTop w:val="0"/>
      <w:marBottom w:val="0"/>
      <w:divBdr>
        <w:top w:val="none" w:sz="0" w:space="0" w:color="auto"/>
        <w:left w:val="none" w:sz="0" w:space="0" w:color="auto"/>
        <w:bottom w:val="none" w:sz="0" w:space="0" w:color="auto"/>
        <w:right w:val="none" w:sz="0" w:space="0" w:color="auto"/>
      </w:divBdr>
    </w:div>
    <w:div w:id="1582176259">
      <w:bodyDiv w:val="1"/>
      <w:marLeft w:val="0"/>
      <w:marRight w:val="0"/>
      <w:marTop w:val="0"/>
      <w:marBottom w:val="0"/>
      <w:divBdr>
        <w:top w:val="none" w:sz="0" w:space="0" w:color="auto"/>
        <w:left w:val="none" w:sz="0" w:space="0" w:color="auto"/>
        <w:bottom w:val="none" w:sz="0" w:space="0" w:color="auto"/>
        <w:right w:val="none" w:sz="0" w:space="0" w:color="auto"/>
      </w:divBdr>
    </w:div>
    <w:div w:id="1592735034">
      <w:bodyDiv w:val="1"/>
      <w:marLeft w:val="0"/>
      <w:marRight w:val="0"/>
      <w:marTop w:val="0"/>
      <w:marBottom w:val="0"/>
      <w:divBdr>
        <w:top w:val="none" w:sz="0" w:space="0" w:color="auto"/>
        <w:left w:val="none" w:sz="0" w:space="0" w:color="auto"/>
        <w:bottom w:val="none" w:sz="0" w:space="0" w:color="auto"/>
        <w:right w:val="none" w:sz="0" w:space="0" w:color="auto"/>
      </w:divBdr>
    </w:div>
    <w:div w:id="1594316541">
      <w:bodyDiv w:val="1"/>
      <w:marLeft w:val="0"/>
      <w:marRight w:val="0"/>
      <w:marTop w:val="0"/>
      <w:marBottom w:val="0"/>
      <w:divBdr>
        <w:top w:val="none" w:sz="0" w:space="0" w:color="auto"/>
        <w:left w:val="none" w:sz="0" w:space="0" w:color="auto"/>
        <w:bottom w:val="none" w:sz="0" w:space="0" w:color="auto"/>
        <w:right w:val="none" w:sz="0" w:space="0" w:color="auto"/>
      </w:divBdr>
    </w:div>
    <w:div w:id="1595166009">
      <w:bodyDiv w:val="1"/>
      <w:marLeft w:val="0"/>
      <w:marRight w:val="0"/>
      <w:marTop w:val="0"/>
      <w:marBottom w:val="0"/>
      <w:divBdr>
        <w:top w:val="none" w:sz="0" w:space="0" w:color="auto"/>
        <w:left w:val="none" w:sz="0" w:space="0" w:color="auto"/>
        <w:bottom w:val="none" w:sz="0" w:space="0" w:color="auto"/>
        <w:right w:val="none" w:sz="0" w:space="0" w:color="auto"/>
      </w:divBdr>
    </w:div>
    <w:div w:id="1597791754">
      <w:bodyDiv w:val="1"/>
      <w:marLeft w:val="0"/>
      <w:marRight w:val="0"/>
      <w:marTop w:val="0"/>
      <w:marBottom w:val="0"/>
      <w:divBdr>
        <w:top w:val="none" w:sz="0" w:space="0" w:color="auto"/>
        <w:left w:val="none" w:sz="0" w:space="0" w:color="auto"/>
        <w:bottom w:val="none" w:sz="0" w:space="0" w:color="auto"/>
        <w:right w:val="none" w:sz="0" w:space="0" w:color="auto"/>
      </w:divBdr>
    </w:div>
    <w:div w:id="1642033405">
      <w:bodyDiv w:val="1"/>
      <w:marLeft w:val="0"/>
      <w:marRight w:val="0"/>
      <w:marTop w:val="0"/>
      <w:marBottom w:val="0"/>
      <w:divBdr>
        <w:top w:val="none" w:sz="0" w:space="0" w:color="auto"/>
        <w:left w:val="none" w:sz="0" w:space="0" w:color="auto"/>
        <w:bottom w:val="none" w:sz="0" w:space="0" w:color="auto"/>
        <w:right w:val="none" w:sz="0" w:space="0" w:color="auto"/>
      </w:divBdr>
    </w:div>
    <w:div w:id="1653870573">
      <w:bodyDiv w:val="1"/>
      <w:marLeft w:val="0"/>
      <w:marRight w:val="0"/>
      <w:marTop w:val="0"/>
      <w:marBottom w:val="0"/>
      <w:divBdr>
        <w:top w:val="none" w:sz="0" w:space="0" w:color="auto"/>
        <w:left w:val="none" w:sz="0" w:space="0" w:color="auto"/>
        <w:bottom w:val="none" w:sz="0" w:space="0" w:color="auto"/>
        <w:right w:val="none" w:sz="0" w:space="0" w:color="auto"/>
      </w:divBdr>
    </w:div>
    <w:div w:id="1675574645">
      <w:bodyDiv w:val="1"/>
      <w:marLeft w:val="0"/>
      <w:marRight w:val="0"/>
      <w:marTop w:val="0"/>
      <w:marBottom w:val="0"/>
      <w:divBdr>
        <w:top w:val="none" w:sz="0" w:space="0" w:color="auto"/>
        <w:left w:val="none" w:sz="0" w:space="0" w:color="auto"/>
        <w:bottom w:val="none" w:sz="0" w:space="0" w:color="auto"/>
        <w:right w:val="none" w:sz="0" w:space="0" w:color="auto"/>
      </w:divBdr>
    </w:div>
    <w:div w:id="1676035277">
      <w:bodyDiv w:val="1"/>
      <w:marLeft w:val="0"/>
      <w:marRight w:val="0"/>
      <w:marTop w:val="0"/>
      <w:marBottom w:val="0"/>
      <w:divBdr>
        <w:top w:val="none" w:sz="0" w:space="0" w:color="auto"/>
        <w:left w:val="none" w:sz="0" w:space="0" w:color="auto"/>
        <w:bottom w:val="none" w:sz="0" w:space="0" w:color="auto"/>
        <w:right w:val="none" w:sz="0" w:space="0" w:color="auto"/>
      </w:divBdr>
    </w:div>
    <w:div w:id="1696493890">
      <w:bodyDiv w:val="1"/>
      <w:marLeft w:val="0"/>
      <w:marRight w:val="0"/>
      <w:marTop w:val="0"/>
      <w:marBottom w:val="0"/>
      <w:divBdr>
        <w:top w:val="none" w:sz="0" w:space="0" w:color="auto"/>
        <w:left w:val="none" w:sz="0" w:space="0" w:color="auto"/>
        <w:bottom w:val="none" w:sz="0" w:space="0" w:color="auto"/>
        <w:right w:val="none" w:sz="0" w:space="0" w:color="auto"/>
      </w:divBdr>
      <w:divsChild>
        <w:div w:id="942301804">
          <w:marLeft w:val="0"/>
          <w:marRight w:val="0"/>
          <w:marTop w:val="0"/>
          <w:marBottom w:val="0"/>
          <w:divBdr>
            <w:top w:val="none" w:sz="0" w:space="0" w:color="auto"/>
            <w:left w:val="none" w:sz="0" w:space="0" w:color="auto"/>
            <w:bottom w:val="none" w:sz="0" w:space="0" w:color="auto"/>
            <w:right w:val="none" w:sz="0" w:space="0" w:color="auto"/>
          </w:divBdr>
          <w:divsChild>
            <w:div w:id="1288241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729252">
      <w:bodyDiv w:val="1"/>
      <w:marLeft w:val="0"/>
      <w:marRight w:val="0"/>
      <w:marTop w:val="0"/>
      <w:marBottom w:val="0"/>
      <w:divBdr>
        <w:top w:val="none" w:sz="0" w:space="0" w:color="auto"/>
        <w:left w:val="none" w:sz="0" w:space="0" w:color="auto"/>
        <w:bottom w:val="none" w:sz="0" w:space="0" w:color="auto"/>
        <w:right w:val="none" w:sz="0" w:space="0" w:color="auto"/>
      </w:divBdr>
    </w:div>
    <w:div w:id="1729330712">
      <w:bodyDiv w:val="1"/>
      <w:marLeft w:val="0"/>
      <w:marRight w:val="0"/>
      <w:marTop w:val="0"/>
      <w:marBottom w:val="0"/>
      <w:divBdr>
        <w:top w:val="none" w:sz="0" w:space="0" w:color="auto"/>
        <w:left w:val="none" w:sz="0" w:space="0" w:color="auto"/>
        <w:bottom w:val="none" w:sz="0" w:space="0" w:color="auto"/>
        <w:right w:val="none" w:sz="0" w:space="0" w:color="auto"/>
      </w:divBdr>
    </w:div>
    <w:div w:id="1734229845">
      <w:bodyDiv w:val="1"/>
      <w:marLeft w:val="0"/>
      <w:marRight w:val="0"/>
      <w:marTop w:val="0"/>
      <w:marBottom w:val="0"/>
      <w:divBdr>
        <w:top w:val="none" w:sz="0" w:space="0" w:color="auto"/>
        <w:left w:val="none" w:sz="0" w:space="0" w:color="auto"/>
        <w:bottom w:val="none" w:sz="0" w:space="0" w:color="auto"/>
        <w:right w:val="none" w:sz="0" w:space="0" w:color="auto"/>
      </w:divBdr>
    </w:div>
    <w:div w:id="1740011610">
      <w:bodyDiv w:val="1"/>
      <w:marLeft w:val="0"/>
      <w:marRight w:val="0"/>
      <w:marTop w:val="0"/>
      <w:marBottom w:val="0"/>
      <w:divBdr>
        <w:top w:val="none" w:sz="0" w:space="0" w:color="auto"/>
        <w:left w:val="none" w:sz="0" w:space="0" w:color="auto"/>
        <w:bottom w:val="none" w:sz="0" w:space="0" w:color="auto"/>
        <w:right w:val="none" w:sz="0" w:space="0" w:color="auto"/>
      </w:divBdr>
    </w:div>
    <w:div w:id="1740640537">
      <w:bodyDiv w:val="1"/>
      <w:marLeft w:val="0"/>
      <w:marRight w:val="0"/>
      <w:marTop w:val="0"/>
      <w:marBottom w:val="0"/>
      <w:divBdr>
        <w:top w:val="none" w:sz="0" w:space="0" w:color="auto"/>
        <w:left w:val="none" w:sz="0" w:space="0" w:color="auto"/>
        <w:bottom w:val="none" w:sz="0" w:space="0" w:color="auto"/>
        <w:right w:val="none" w:sz="0" w:space="0" w:color="auto"/>
      </w:divBdr>
    </w:div>
    <w:div w:id="1745493937">
      <w:bodyDiv w:val="1"/>
      <w:marLeft w:val="0"/>
      <w:marRight w:val="0"/>
      <w:marTop w:val="0"/>
      <w:marBottom w:val="0"/>
      <w:divBdr>
        <w:top w:val="none" w:sz="0" w:space="0" w:color="auto"/>
        <w:left w:val="none" w:sz="0" w:space="0" w:color="auto"/>
        <w:bottom w:val="none" w:sz="0" w:space="0" w:color="auto"/>
        <w:right w:val="none" w:sz="0" w:space="0" w:color="auto"/>
      </w:divBdr>
    </w:div>
    <w:div w:id="1747607316">
      <w:bodyDiv w:val="1"/>
      <w:marLeft w:val="0"/>
      <w:marRight w:val="0"/>
      <w:marTop w:val="0"/>
      <w:marBottom w:val="0"/>
      <w:divBdr>
        <w:top w:val="none" w:sz="0" w:space="0" w:color="auto"/>
        <w:left w:val="none" w:sz="0" w:space="0" w:color="auto"/>
        <w:bottom w:val="none" w:sz="0" w:space="0" w:color="auto"/>
        <w:right w:val="none" w:sz="0" w:space="0" w:color="auto"/>
      </w:divBdr>
    </w:div>
    <w:div w:id="1752385623">
      <w:bodyDiv w:val="1"/>
      <w:marLeft w:val="0"/>
      <w:marRight w:val="0"/>
      <w:marTop w:val="0"/>
      <w:marBottom w:val="0"/>
      <w:divBdr>
        <w:top w:val="none" w:sz="0" w:space="0" w:color="auto"/>
        <w:left w:val="none" w:sz="0" w:space="0" w:color="auto"/>
        <w:bottom w:val="none" w:sz="0" w:space="0" w:color="auto"/>
        <w:right w:val="none" w:sz="0" w:space="0" w:color="auto"/>
      </w:divBdr>
    </w:div>
    <w:div w:id="1777096480">
      <w:bodyDiv w:val="1"/>
      <w:marLeft w:val="0"/>
      <w:marRight w:val="0"/>
      <w:marTop w:val="0"/>
      <w:marBottom w:val="0"/>
      <w:divBdr>
        <w:top w:val="none" w:sz="0" w:space="0" w:color="auto"/>
        <w:left w:val="none" w:sz="0" w:space="0" w:color="auto"/>
        <w:bottom w:val="none" w:sz="0" w:space="0" w:color="auto"/>
        <w:right w:val="none" w:sz="0" w:space="0" w:color="auto"/>
      </w:divBdr>
    </w:div>
    <w:div w:id="1781683377">
      <w:bodyDiv w:val="1"/>
      <w:marLeft w:val="0"/>
      <w:marRight w:val="0"/>
      <w:marTop w:val="0"/>
      <w:marBottom w:val="0"/>
      <w:divBdr>
        <w:top w:val="none" w:sz="0" w:space="0" w:color="auto"/>
        <w:left w:val="none" w:sz="0" w:space="0" w:color="auto"/>
        <w:bottom w:val="none" w:sz="0" w:space="0" w:color="auto"/>
        <w:right w:val="none" w:sz="0" w:space="0" w:color="auto"/>
      </w:divBdr>
    </w:div>
    <w:div w:id="1787309103">
      <w:bodyDiv w:val="1"/>
      <w:marLeft w:val="0"/>
      <w:marRight w:val="0"/>
      <w:marTop w:val="0"/>
      <w:marBottom w:val="0"/>
      <w:divBdr>
        <w:top w:val="none" w:sz="0" w:space="0" w:color="auto"/>
        <w:left w:val="none" w:sz="0" w:space="0" w:color="auto"/>
        <w:bottom w:val="none" w:sz="0" w:space="0" w:color="auto"/>
        <w:right w:val="none" w:sz="0" w:space="0" w:color="auto"/>
      </w:divBdr>
      <w:divsChild>
        <w:div w:id="1073771911">
          <w:marLeft w:val="0"/>
          <w:marRight w:val="0"/>
          <w:marTop w:val="0"/>
          <w:marBottom w:val="0"/>
          <w:divBdr>
            <w:top w:val="single" w:sz="2" w:space="0" w:color="auto"/>
            <w:left w:val="single" w:sz="2" w:space="0" w:color="auto"/>
            <w:bottom w:val="single" w:sz="2" w:space="0" w:color="auto"/>
            <w:right w:val="single" w:sz="2" w:space="0" w:color="auto"/>
          </w:divBdr>
          <w:divsChild>
            <w:div w:id="133911571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809207394">
      <w:bodyDiv w:val="1"/>
      <w:marLeft w:val="0"/>
      <w:marRight w:val="0"/>
      <w:marTop w:val="0"/>
      <w:marBottom w:val="0"/>
      <w:divBdr>
        <w:top w:val="none" w:sz="0" w:space="0" w:color="auto"/>
        <w:left w:val="none" w:sz="0" w:space="0" w:color="auto"/>
        <w:bottom w:val="none" w:sz="0" w:space="0" w:color="auto"/>
        <w:right w:val="none" w:sz="0" w:space="0" w:color="auto"/>
      </w:divBdr>
    </w:div>
    <w:div w:id="1851331208">
      <w:bodyDiv w:val="1"/>
      <w:marLeft w:val="0"/>
      <w:marRight w:val="0"/>
      <w:marTop w:val="0"/>
      <w:marBottom w:val="0"/>
      <w:divBdr>
        <w:top w:val="none" w:sz="0" w:space="0" w:color="auto"/>
        <w:left w:val="none" w:sz="0" w:space="0" w:color="auto"/>
        <w:bottom w:val="none" w:sz="0" w:space="0" w:color="auto"/>
        <w:right w:val="none" w:sz="0" w:space="0" w:color="auto"/>
      </w:divBdr>
    </w:div>
    <w:div w:id="1855072653">
      <w:bodyDiv w:val="1"/>
      <w:marLeft w:val="0"/>
      <w:marRight w:val="0"/>
      <w:marTop w:val="0"/>
      <w:marBottom w:val="0"/>
      <w:divBdr>
        <w:top w:val="none" w:sz="0" w:space="0" w:color="auto"/>
        <w:left w:val="none" w:sz="0" w:space="0" w:color="auto"/>
        <w:bottom w:val="none" w:sz="0" w:space="0" w:color="auto"/>
        <w:right w:val="none" w:sz="0" w:space="0" w:color="auto"/>
      </w:divBdr>
    </w:div>
    <w:div w:id="1868981079">
      <w:bodyDiv w:val="1"/>
      <w:marLeft w:val="0"/>
      <w:marRight w:val="0"/>
      <w:marTop w:val="0"/>
      <w:marBottom w:val="0"/>
      <w:divBdr>
        <w:top w:val="none" w:sz="0" w:space="0" w:color="auto"/>
        <w:left w:val="none" w:sz="0" w:space="0" w:color="auto"/>
        <w:bottom w:val="none" w:sz="0" w:space="0" w:color="auto"/>
        <w:right w:val="none" w:sz="0" w:space="0" w:color="auto"/>
      </w:divBdr>
    </w:div>
    <w:div w:id="1872104781">
      <w:bodyDiv w:val="1"/>
      <w:marLeft w:val="0"/>
      <w:marRight w:val="0"/>
      <w:marTop w:val="0"/>
      <w:marBottom w:val="0"/>
      <w:divBdr>
        <w:top w:val="none" w:sz="0" w:space="0" w:color="auto"/>
        <w:left w:val="none" w:sz="0" w:space="0" w:color="auto"/>
        <w:bottom w:val="none" w:sz="0" w:space="0" w:color="auto"/>
        <w:right w:val="none" w:sz="0" w:space="0" w:color="auto"/>
      </w:divBdr>
    </w:div>
    <w:div w:id="1872450441">
      <w:bodyDiv w:val="1"/>
      <w:marLeft w:val="0"/>
      <w:marRight w:val="0"/>
      <w:marTop w:val="0"/>
      <w:marBottom w:val="0"/>
      <w:divBdr>
        <w:top w:val="none" w:sz="0" w:space="0" w:color="auto"/>
        <w:left w:val="none" w:sz="0" w:space="0" w:color="auto"/>
        <w:bottom w:val="none" w:sz="0" w:space="0" w:color="auto"/>
        <w:right w:val="none" w:sz="0" w:space="0" w:color="auto"/>
      </w:divBdr>
    </w:div>
    <w:div w:id="1886717028">
      <w:bodyDiv w:val="1"/>
      <w:marLeft w:val="0"/>
      <w:marRight w:val="0"/>
      <w:marTop w:val="0"/>
      <w:marBottom w:val="0"/>
      <w:divBdr>
        <w:top w:val="none" w:sz="0" w:space="0" w:color="auto"/>
        <w:left w:val="none" w:sz="0" w:space="0" w:color="auto"/>
        <w:bottom w:val="none" w:sz="0" w:space="0" w:color="auto"/>
        <w:right w:val="none" w:sz="0" w:space="0" w:color="auto"/>
      </w:divBdr>
    </w:div>
    <w:div w:id="1895579480">
      <w:bodyDiv w:val="1"/>
      <w:marLeft w:val="0"/>
      <w:marRight w:val="0"/>
      <w:marTop w:val="0"/>
      <w:marBottom w:val="0"/>
      <w:divBdr>
        <w:top w:val="none" w:sz="0" w:space="0" w:color="auto"/>
        <w:left w:val="none" w:sz="0" w:space="0" w:color="auto"/>
        <w:bottom w:val="none" w:sz="0" w:space="0" w:color="auto"/>
        <w:right w:val="none" w:sz="0" w:space="0" w:color="auto"/>
      </w:divBdr>
    </w:div>
    <w:div w:id="1914463885">
      <w:bodyDiv w:val="1"/>
      <w:marLeft w:val="0"/>
      <w:marRight w:val="0"/>
      <w:marTop w:val="0"/>
      <w:marBottom w:val="0"/>
      <w:divBdr>
        <w:top w:val="none" w:sz="0" w:space="0" w:color="auto"/>
        <w:left w:val="none" w:sz="0" w:space="0" w:color="auto"/>
        <w:bottom w:val="none" w:sz="0" w:space="0" w:color="auto"/>
        <w:right w:val="none" w:sz="0" w:space="0" w:color="auto"/>
      </w:divBdr>
    </w:div>
    <w:div w:id="1914507959">
      <w:bodyDiv w:val="1"/>
      <w:marLeft w:val="0"/>
      <w:marRight w:val="0"/>
      <w:marTop w:val="0"/>
      <w:marBottom w:val="0"/>
      <w:divBdr>
        <w:top w:val="none" w:sz="0" w:space="0" w:color="auto"/>
        <w:left w:val="none" w:sz="0" w:space="0" w:color="auto"/>
        <w:bottom w:val="none" w:sz="0" w:space="0" w:color="auto"/>
        <w:right w:val="none" w:sz="0" w:space="0" w:color="auto"/>
      </w:divBdr>
    </w:div>
    <w:div w:id="1952584665">
      <w:bodyDiv w:val="1"/>
      <w:marLeft w:val="0"/>
      <w:marRight w:val="0"/>
      <w:marTop w:val="0"/>
      <w:marBottom w:val="0"/>
      <w:divBdr>
        <w:top w:val="none" w:sz="0" w:space="0" w:color="auto"/>
        <w:left w:val="none" w:sz="0" w:space="0" w:color="auto"/>
        <w:bottom w:val="none" w:sz="0" w:space="0" w:color="auto"/>
        <w:right w:val="none" w:sz="0" w:space="0" w:color="auto"/>
      </w:divBdr>
    </w:div>
    <w:div w:id="1954825713">
      <w:bodyDiv w:val="1"/>
      <w:marLeft w:val="0"/>
      <w:marRight w:val="0"/>
      <w:marTop w:val="0"/>
      <w:marBottom w:val="0"/>
      <w:divBdr>
        <w:top w:val="none" w:sz="0" w:space="0" w:color="auto"/>
        <w:left w:val="none" w:sz="0" w:space="0" w:color="auto"/>
        <w:bottom w:val="none" w:sz="0" w:space="0" w:color="auto"/>
        <w:right w:val="none" w:sz="0" w:space="0" w:color="auto"/>
      </w:divBdr>
    </w:div>
    <w:div w:id="1980067146">
      <w:bodyDiv w:val="1"/>
      <w:marLeft w:val="0"/>
      <w:marRight w:val="0"/>
      <w:marTop w:val="0"/>
      <w:marBottom w:val="0"/>
      <w:divBdr>
        <w:top w:val="none" w:sz="0" w:space="0" w:color="auto"/>
        <w:left w:val="none" w:sz="0" w:space="0" w:color="auto"/>
        <w:bottom w:val="none" w:sz="0" w:space="0" w:color="auto"/>
        <w:right w:val="none" w:sz="0" w:space="0" w:color="auto"/>
      </w:divBdr>
    </w:div>
    <w:div w:id="1994672892">
      <w:bodyDiv w:val="1"/>
      <w:marLeft w:val="0"/>
      <w:marRight w:val="0"/>
      <w:marTop w:val="0"/>
      <w:marBottom w:val="0"/>
      <w:divBdr>
        <w:top w:val="none" w:sz="0" w:space="0" w:color="auto"/>
        <w:left w:val="none" w:sz="0" w:space="0" w:color="auto"/>
        <w:bottom w:val="none" w:sz="0" w:space="0" w:color="auto"/>
        <w:right w:val="none" w:sz="0" w:space="0" w:color="auto"/>
      </w:divBdr>
    </w:div>
    <w:div w:id="2004311936">
      <w:bodyDiv w:val="1"/>
      <w:marLeft w:val="0"/>
      <w:marRight w:val="0"/>
      <w:marTop w:val="0"/>
      <w:marBottom w:val="0"/>
      <w:divBdr>
        <w:top w:val="none" w:sz="0" w:space="0" w:color="auto"/>
        <w:left w:val="none" w:sz="0" w:space="0" w:color="auto"/>
        <w:bottom w:val="none" w:sz="0" w:space="0" w:color="auto"/>
        <w:right w:val="none" w:sz="0" w:space="0" w:color="auto"/>
      </w:divBdr>
    </w:div>
    <w:div w:id="2007046913">
      <w:bodyDiv w:val="1"/>
      <w:marLeft w:val="0"/>
      <w:marRight w:val="0"/>
      <w:marTop w:val="0"/>
      <w:marBottom w:val="0"/>
      <w:divBdr>
        <w:top w:val="none" w:sz="0" w:space="0" w:color="auto"/>
        <w:left w:val="none" w:sz="0" w:space="0" w:color="auto"/>
        <w:bottom w:val="none" w:sz="0" w:space="0" w:color="auto"/>
        <w:right w:val="none" w:sz="0" w:space="0" w:color="auto"/>
      </w:divBdr>
    </w:div>
    <w:div w:id="2016616294">
      <w:bodyDiv w:val="1"/>
      <w:marLeft w:val="0"/>
      <w:marRight w:val="0"/>
      <w:marTop w:val="0"/>
      <w:marBottom w:val="0"/>
      <w:divBdr>
        <w:top w:val="none" w:sz="0" w:space="0" w:color="auto"/>
        <w:left w:val="none" w:sz="0" w:space="0" w:color="auto"/>
        <w:bottom w:val="none" w:sz="0" w:space="0" w:color="auto"/>
        <w:right w:val="none" w:sz="0" w:space="0" w:color="auto"/>
      </w:divBdr>
    </w:div>
    <w:div w:id="2030637531">
      <w:bodyDiv w:val="1"/>
      <w:marLeft w:val="0"/>
      <w:marRight w:val="0"/>
      <w:marTop w:val="0"/>
      <w:marBottom w:val="0"/>
      <w:divBdr>
        <w:top w:val="none" w:sz="0" w:space="0" w:color="auto"/>
        <w:left w:val="none" w:sz="0" w:space="0" w:color="auto"/>
        <w:bottom w:val="none" w:sz="0" w:space="0" w:color="auto"/>
        <w:right w:val="none" w:sz="0" w:space="0" w:color="auto"/>
      </w:divBdr>
    </w:div>
    <w:div w:id="2055736828">
      <w:bodyDiv w:val="1"/>
      <w:marLeft w:val="0"/>
      <w:marRight w:val="0"/>
      <w:marTop w:val="0"/>
      <w:marBottom w:val="0"/>
      <w:divBdr>
        <w:top w:val="none" w:sz="0" w:space="0" w:color="auto"/>
        <w:left w:val="none" w:sz="0" w:space="0" w:color="auto"/>
        <w:bottom w:val="none" w:sz="0" w:space="0" w:color="auto"/>
        <w:right w:val="none" w:sz="0" w:space="0" w:color="auto"/>
      </w:divBdr>
    </w:div>
    <w:div w:id="2063675455">
      <w:bodyDiv w:val="1"/>
      <w:marLeft w:val="0"/>
      <w:marRight w:val="0"/>
      <w:marTop w:val="0"/>
      <w:marBottom w:val="0"/>
      <w:divBdr>
        <w:top w:val="none" w:sz="0" w:space="0" w:color="auto"/>
        <w:left w:val="none" w:sz="0" w:space="0" w:color="auto"/>
        <w:bottom w:val="none" w:sz="0" w:space="0" w:color="auto"/>
        <w:right w:val="none" w:sz="0" w:space="0" w:color="auto"/>
      </w:divBdr>
    </w:div>
    <w:div w:id="2077824752">
      <w:bodyDiv w:val="1"/>
      <w:marLeft w:val="0"/>
      <w:marRight w:val="0"/>
      <w:marTop w:val="0"/>
      <w:marBottom w:val="0"/>
      <w:divBdr>
        <w:top w:val="none" w:sz="0" w:space="0" w:color="auto"/>
        <w:left w:val="none" w:sz="0" w:space="0" w:color="auto"/>
        <w:bottom w:val="none" w:sz="0" w:space="0" w:color="auto"/>
        <w:right w:val="none" w:sz="0" w:space="0" w:color="auto"/>
      </w:divBdr>
    </w:div>
    <w:div w:id="2094665189">
      <w:bodyDiv w:val="1"/>
      <w:marLeft w:val="0"/>
      <w:marRight w:val="0"/>
      <w:marTop w:val="0"/>
      <w:marBottom w:val="0"/>
      <w:divBdr>
        <w:top w:val="none" w:sz="0" w:space="0" w:color="auto"/>
        <w:left w:val="none" w:sz="0" w:space="0" w:color="auto"/>
        <w:bottom w:val="none" w:sz="0" w:space="0" w:color="auto"/>
        <w:right w:val="none" w:sz="0" w:space="0" w:color="auto"/>
      </w:divBdr>
    </w:div>
    <w:div w:id="2104065166">
      <w:bodyDiv w:val="1"/>
      <w:marLeft w:val="0"/>
      <w:marRight w:val="0"/>
      <w:marTop w:val="0"/>
      <w:marBottom w:val="0"/>
      <w:divBdr>
        <w:top w:val="none" w:sz="0" w:space="0" w:color="auto"/>
        <w:left w:val="none" w:sz="0" w:space="0" w:color="auto"/>
        <w:bottom w:val="none" w:sz="0" w:space="0" w:color="auto"/>
        <w:right w:val="none" w:sz="0" w:space="0" w:color="auto"/>
      </w:divBdr>
    </w:div>
    <w:div w:id="2133136438">
      <w:bodyDiv w:val="1"/>
      <w:marLeft w:val="0"/>
      <w:marRight w:val="0"/>
      <w:marTop w:val="0"/>
      <w:marBottom w:val="0"/>
      <w:divBdr>
        <w:top w:val="none" w:sz="0" w:space="0" w:color="auto"/>
        <w:left w:val="none" w:sz="0" w:space="0" w:color="auto"/>
        <w:bottom w:val="none" w:sz="0" w:space="0" w:color="auto"/>
        <w:right w:val="none" w:sz="0" w:space="0" w:color="auto"/>
      </w:divBdr>
    </w:div>
    <w:div w:id="2140412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tockanalysis.com/quote/hkg/1314/financials/" TargetMode="External"/><Relationship Id="rId18" Type="http://schemas.openxmlformats.org/officeDocument/2006/relationships/hyperlink" Target="https://www.flipdish.com/resources/blog/essential-tips-for-effective-restaurant-operations-management"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ycp.com/lp/hong-kong-restaurant-consulting" TargetMode="External"/><Relationship Id="rId7" Type="http://schemas.openxmlformats.org/officeDocument/2006/relationships/endnotes" Target="endnotes.xml"/><Relationship Id="rId12" Type="http://schemas.openxmlformats.org/officeDocument/2006/relationships/hyperlink" Target="https://www.investing.com/equities/tsui-wah-hldg-financial-summary" TargetMode="External"/><Relationship Id="rId17" Type="http://schemas.openxmlformats.org/officeDocument/2006/relationships/hyperlink" Target="https://www.eats365pos.com/my/blog/post/how-prepare-your-hong-kong-restaurant-surge-customer-traffic-2023-tips-expert"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crunchtime.com/blog/20-pro-tips-from-restaurant-industry-mvps-to-achieve-operational-excellence-in-every-store" TargetMode="External"/><Relationship Id="rId20" Type="http://schemas.openxmlformats.org/officeDocument/2006/relationships/hyperlink" Target="https://www.freshlane.hk/en/blog/develop-thriving-food-delivery-business-hong-kong/"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kex.com.hk/Market-Data/Securities-Prices/Equities/Equities-Quote?sym=1314&amp;sc_lang=en"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get.apicbase.com/restaurant-operational-excellence/" TargetMode="External"/><Relationship Id="rId23" Type="http://schemas.openxmlformats.org/officeDocument/2006/relationships/hyperlink" Target="https://www.wsj.com/market-data/quotes/HK/XHKG/1314/financials" TargetMode="External"/><Relationship Id="rId28" Type="http://schemas.openxmlformats.org/officeDocument/2006/relationships/header" Target="header3.xml"/><Relationship Id="rId10" Type="http://schemas.openxmlformats.org/officeDocument/2006/relationships/hyperlink" Target="https://www.tsuiwah.com/index.php/en/investorrelation/finacialreport" TargetMode="External"/><Relationship Id="rId19" Type="http://schemas.openxmlformats.org/officeDocument/2006/relationships/hyperlink" Target="https://magazine.foodpanda.hk/blog/partner-how-to-increase-restaurant-profit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ebb-site.com/dbpub/docs.asp?p=1965042" TargetMode="External"/><Relationship Id="rId22" Type="http://schemas.openxmlformats.org/officeDocument/2006/relationships/hyperlink" Target="https://en.jiemian.com/article/9683820.html"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0E100B-9C78-4398-ACD2-8AAE823E0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1941</TotalTime>
  <Pages>30</Pages>
  <Words>6208</Words>
  <Characters>40892</Characters>
  <Application>Microsoft Office Word</Application>
  <DocSecurity>0</DocSecurity>
  <Lines>1635</Lines>
  <Paragraphs>1070</Paragraphs>
  <ScaleCrop>false</ScaleCrop>
  <HeadingPairs>
    <vt:vector size="2" baseType="variant">
      <vt:variant>
        <vt:lpstr>Title</vt:lpstr>
      </vt:variant>
      <vt:variant>
        <vt:i4>1</vt:i4>
      </vt:variant>
    </vt:vector>
  </HeadingPairs>
  <TitlesOfParts>
    <vt:vector size="1" baseType="lpstr">
      <vt:lpstr/>
    </vt:vector>
  </TitlesOfParts>
  <Company>New Era Cap</Company>
  <LinksUpToDate>false</LinksUpToDate>
  <CharactersWithSpaces>46030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Tam</dc:creator>
  <cp:keywords/>
  <dc:description/>
  <cp:lastModifiedBy>martin tam</cp:lastModifiedBy>
  <cp:revision>100</cp:revision>
  <dcterms:created xsi:type="dcterms:W3CDTF">2025-09-06T06:54:00Z</dcterms:created>
  <dcterms:modified xsi:type="dcterms:W3CDTF">2025-09-07T15:57:00Z</dcterms:modified>
</cp:coreProperties>
</file>