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74D769" w14:textId="77777777" w:rsidR="001A45CF" w:rsidRPr="00AC16DD" w:rsidRDefault="001A45CF" w:rsidP="00AC16DD">
      <w:pPr>
        <w:spacing w:line="360" w:lineRule="auto"/>
        <w:jc w:val="center"/>
        <w:rPr>
          <w:rFonts w:ascii="Arial" w:hAnsi="Arial" w:cs="Arial"/>
          <w:b/>
          <w:bCs/>
        </w:rPr>
      </w:pPr>
    </w:p>
    <w:p w14:paraId="305DEBDF" w14:textId="77777777" w:rsidR="001A45CF" w:rsidRPr="00AC16DD" w:rsidRDefault="001A45CF" w:rsidP="00AC16DD">
      <w:pPr>
        <w:spacing w:line="360" w:lineRule="auto"/>
        <w:jc w:val="center"/>
        <w:rPr>
          <w:rFonts w:ascii="Arial" w:hAnsi="Arial" w:cs="Arial"/>
          <w:b/>
          <w:bCs/>
        </w:rPr>
      </w:pPr>
    </w:p>
    <w:p w14:paraId="56F1BFAD" w14:textId="77777777" w:rsidR="001A45CF" w:rsidRPr="00A90DB4" w:rsidRDefault="001A45CF" w:rsidP="00AC16DD">
      <w:pPr>
        <w:spacing w:line="360" w:lineRule="auto"/>
        <w:jc w:val="center"/>
        <w:rPr>
          <w:rFonts w:ascii="Arial" w:hAnsi="Arial" w:cs="Arial"/>
          <w:b/>
          <w:bCs/>
          <w:color w:val="000000" w:themeColor="text1"/>
          <w:sz w:val="28"/>
          <w:szCs w:val="28"/>
        </w:rPr>
      </w:pPr>
      <w:r w:rsidRPr="00A90DB4">
        <w:rPr>
          <w:rFonts w:ascii="Arial" w:hAnsi="Arial" w:cs="Arial"/>
          <w:b/>
          <w:bCs/>
          <w:color w:val="000000" w:themeColor="text1"/>
          <w:sz w:val="28"/>
          <w:szCs w:val="28"/>
        </w:rPr>
        <w:t>Name: Ataf Rashid</w:t>
      </w:r>
    </w:p>
    <w:p w14:paraId="1353347B" w14:textId="77777777" w:rsidR="001A45CF" w:rsidRPr="00A90DB4" w:rsidRDefault="001A45CF" w:rsidP="00AC16DD">
      <w:pPr>
        <w:spacing w:line="360" w:lineRule="auto"/>
        <w:jc w:val="center"/>
        <w:rPr>
          <w:rFonts w:ascii="Arial" w:hAnsi="Arial" w:cs="Arial"/>
          <w:b/>
          <w:bCs/>
          <w:color w:val="000000" w:themeColor="text1"/>
          <w:sz w:val="28"/>
          <w:szCs w:val="28"/>
        </w:rPr>
      </w:pPr>
      <w:r w:rsidRPr="00A90DB4">
        <w:rPr>
          <w:rFonts w:ascii="Arial" w:hAnsi="Arial" w:cs="Arial"/>
          <w:b/>
          <w:bCs/>
          <w:color w:val="000000" w:themeColor="text1"/>
          <w:sz w:val="28"/>
          <w:szCs w:val="28"/>
        </w:rPr>
        <w:t>Student Number: 2434316</w:t>
      </w:r>
    </w:p>
    <w:p w14:paraId="7A1103FC" w14:textId="1D4077E6" w:rsidR="001A45CF" w:rsidRPr="00A90DB4" w:rsidRDefault="001A45CF" w:rsidP="00AC16DD">
      <w:pPr>
        <w:spacing w:line="360" w:lineRule="auto"/>
        <w:jc w:val="center"/>
        <w:rPr>
          <w:rFonts w:ascii="Arial" w:hAnsi="Arial" w:cs="Arial"/>
          <w:b/>
          <w:bCs/>
          <w:color w:val="000000" w:themeColor="text1"/>
          <w:sz w:val="28"/>
          <w:szCs w:val="28"/>
        </w:rPr>
      </w:pPr>
      <w:r w:rsidRPr="00A90DB4">
        <w:rPr>
          <w:rFonts w:ascii="Arial" w:hAnsi="Arial" w:cs="Arial"/>
          <w:b/>
          <w:bCs/>
          <w:color w:val="000000" w:themeColor="text1"/>
          <w:sz w:val="28"/>
          <w:szCs w:val="28"/>
        </w:rPr>
        <w:t>Module Name: Principles of Health and Social Care Practice</w:t>
      </w:r>
    </w:p>
    <w:p w14:paraId="79D2C850" w14:textId="1D2EA3C5" w:rsidR="001A45CF" w:rsidRPr="00A90DB4" w:rsidRDefault="001A45CF" w:rsidP="00AC16DD">
      <w:pPr>
        <w:spacing w:line="360" w:lineRule="auto"/>
        <w:jc w:val="center"/>
        <w:rPr>
          <w:rFonts w:ascii="Arial" w:hAnsi="Arial" w:cs="Arial"/>
          <w:b/>
          <w:bCs/>
          <w:color w:val="000000" w:themeColor="text1"/>
          <w:sz w:val="28"/>
          <w:szCs w:val="28"/>
          <w:lang w:val="fr-FR"/>
        </w:rPr>
      </w:pPr>
      <w:proofErr w:type="spellStart"/>
      <w:r w:rsidRPr="00A90DB4">
        <w:rPr>
          <w:rFonts w:ascii="Arial" w:hAnsi="Arial" w:cs="Arial"/>
          <w:b/>
          <w:bCs/>
          <w:color w:val="000000" w:themeColor="text1"/>
          <w:sz w:val="28"/>
          <w:szCs w:val="28"/>
          <w:lang w:val="fr-FR"/>
        </w:rPr>
        <w:t>Lecturer</w:t>
      </w:r>
      <w:proofErr w:type="spellEnd"/>
      <w:r w:rsidRPr="00A90DB4">
        <w:rPr>
          <w:rFonts w:ascii="Arial" w:hAnsi="Arial" w:cs="Arial"/>
          <w:b/>
          <w:bCs/>
          <w:color w:val="000000" w:themeColor="text1"/>
          <w:sz w:val="28"/>
          <w:szCs w:val="28"/>
          <w:lang w:val="fr-FR"/>
        </w:rPr>
        <w:t>: Rizwan</w:t>
      </w:r>
      <w:r w:rsidR="005D7890" w:rsidRPr="00A90DB4">
        <w:rPr>
          <w:rFonts w:ascii="Arial" w:hAnsi="Arial" w:cs="Arial"/>
          <w:b/>
          <w:bCs/>
          <w:color w:val="000000" w:themeColor="text1"/>
          <w:sz w:val="28"/>
          <w:szCs w:val="28"/>
          <w:lang w:val="fr-FR"/>
        </w:rPr>
        <w:t xml:space="preserve"> Nadim</w:t>
      </w:r>
    </w:p>
    <w:p w14:paraId="265BA950" w14:textId="795DB728" w:rsidR="001A45CF" w:rsidRPr="00A90DB4" w:rsidRDefault="001A45CF" w:rsidP="00AC16DD">
      <w:pPr>
        <w:spacing w:line="360" w:lineRule="auto"/>
        <w:jc w:val="center"/>
        <w:rPr>
          <w:rFonts w:ascii="Arial" w:hAnsi="Arial" w:cs="Arial"/>
          <w:b/>
          <w:color w:val="000000" w:themeColor="text1"/>
          <w:sz w:val="28"/>
          <w:szCs w:val="28"/>
          <w:lang w:val="fr-FR"/>
        </w:rPr>
      </w:pPr>
      <w:r w:rsidRPr="00A90DB4">
        <w:rPr>
          <w:rFonts w:ascii="Arial" w:hAnsi="Arial" w:cs="Arial"/>
          <w:b/>
          <w:bCs/>
          <w:color w:val="000000" w:themeColor="text1"/>
          <w:sz w:val="28"/>
          <w:szCs w:val="28"/>
          <w:lang w:val="fr-FR"/>
        </w:rPr>
        <w:t xml:space="preserve">Module Code: </w:t>
      </w:r>
      <w:r w:rsidR="00F11B25" w:rsidRPr="00A90DB4">
        <w:rPr>
          <w:rFonts w:ascii="Arial" w:hAnsi="Arial" w:cs="Arial"/>
          <w:b/>
          <w:bCs/>
          <w:color w:val="000000" w:themeColor="text1"/>
          <w:sz w:val="28"/>
          <w:szCs w:val="28"/>
          <w:lang w:val="fr-FR"/>
        </w:rPr>
        <w:t>BMHP5016</w:t>
      </w:r>
    </w:p>
    <w:p w14:paraId="257B2C78" w14:textId="137C0A89" w:rsidR="001A45CF" w:rsidRPr="00A90DB4" w:rsidRDefault="001A45CF" w:rsidP="00AC16DD">
      <w:pPr>
        <w:spacing w:line="360" w:lineRule="auto"/>
        <w:jc w:val="center"/>
        <w:rPr>
          <w:rFonts w:ascii="Arial" w:hAnsi="Arial" w:cs="Arial"/>
          <w:b/>
          <w:bCs/>
          <w:color w:val="000000" w:themeColor="text1"/>
          <w:sz w:val="28"/>
          <w:szCs w:val="28"/>
        </w:rPr>
      </w:pPr>
      <w:r w:rsidRPr="00A90DB4">
        <w:rPr>
          <w:rFonts w:ascii="Arial" w:hAnsi="Arial" w:cs="Arial"/>
          <w:b/>
          <w:bCs/>
          <w:color w:val="000000" w:themeColor="text1"/>
          <w:sz w:val="28"/>
          <w:szCs w:val="28"/>
        </w:rPr>
        <w:t xml:space="preserve">Assessment Title: </w:t>
      </w:r>
      <w:r w:rsidR="00BA54DA" w:rsidRPr="00A90DB4">
        <w:rPr>
          <w:rFonts w:ascii="Arial" w:hAnsi="Arial" w:cs="Arial"/>
          <w:b/>
          <w:bCs/>
          <w:color w:val="000000" w:themeColor="text1"/>
          <w:sz w:val="28"/>
          <w:szCs w:val="28"/>
        </w:rPr>
        <w:t>Component 1: Written Assignment (Reflective Report)</w:t>
      </w:r>
    </w:p>
    <w:p w14:paraId="0165B93C" w14:textId="77777777" w:rsidR="001A45CF" w:rsidRPr="00AC16DD" w:rsidRDefault="001A45CF" w:rsidP="00AC16DD">
      <w:pPr>
        <w:spacing w:line="360" w:lineRule="auto"/>
        <w:jc w:val="center"/>
        <w:rPr>
          <w:rFonts w:ascii="Arial" w:hAnsi="Arial" w:cs="Arial"/>
          <w:b/>
          <w:bCs/>
          <w:color w:val="000000" w:themeColor="text1"/>
        </w:rPr>
      </w:pPr>
      <w:r w:rsidRPr="00AC16DD">
        <w:rPr>
          <w:rFonts w:ascii="Arial" w:hAnsi="Arial" w:cs="Arial"/>
          <w:b/>
          <w:bCs/>
          <w:noProof/>
          <w:color w:val="000000" w:themeColor="text1"/>
        </w:rPr>
        <w:drawing>
          <wp:inline distT="0" distB="0" distL="0" distR="0" wp14:anchorId="367FEAC5" wp14:editId="645E5557">
            <wp:extent cx="4290060" cy="1737360"/>
            <wp:effectExtent l="0" t="0" r="0" b="0"/>
            <wp:docPr id="5173448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7344851" name="Picture 517344851"/>
                    <pic:cNvPicPr/>
                  </pic:nvPicPr>
                  <pic:blipFill>
                    <a:blip r:embed="rId7">
                      <a:extLst>
                        <a:ext uri="{28A0092B-C50C-407E-A947-70E740481C1C}">
                          <a14:useLocalDpi xmlns:a14="http://schemas.microsoft.com/office/drawing/2010/main" val="0"/>
                        </a:ext>
                      </a:extLst>
                    </a:blip>
                    <a:stretch>
                      <a:fillRect/>
                    </a:stretch>
                  </pic:blipFill>
                  <pic:spPr>
                    <a:xfrm>
                      <a:off x="0" y="0"/>
                      <a:ext cx="4290060" cy="1737360"/>
                    </a:xfrm>
                    <a:prstGeom prst="rect">
                      <a:avLst/>
                    </a:prstGeom>
                  </pic:spPr>
                </pic:pic>
              </a:graphicData>
            </a:graphic>
          </wp:inline>
        </w:drawing>
      </w:r>
    </w:p>
    <w:p w14:paraId="7DEEF843" w14:textId="77777777" w:rsidR="001A45CF" w:rsidRPr="00AC16DD" w:rsidRDefault="001A45CF" w:rsidP="00AC16DD">
      <w:pPr>
        <w:spacing w:line="360" w:lineRule="auto"/>
        <w:jc w:val="center"/>
        <w:rPr>
          <w:rFonts w:ascii="Arial" w:hAnsi="Arial" w:cs="Arial"/>
          <w:b/>
          <w:bCs/>
        </w:rPr>
      </w:pPr>
    </w:p>
    <w:p w14:paraId="00482F60" w14:textId="77777777" w:rsidR="001A45CF" w:rsidRPr="00AC16DD" w:rsidRDefault="001A45CF" w:rsidP="00AC16DD">
      <w:pPr>
        <w:spacing w:line="360" w:lineRule="auto"/>
        <w:jc w:val="center"/>
        <w:rPr>
          <w:rFonts w:ascii="Arial" w:hAnsi="Arial" w:cs="Arial"/>
          <w:b/>
          <w:bCs/>
        </w:rPr>
      </w:pPr>
    </w:p>
    <w:p w14:paraId="31A4180A" w14:textId="77777777" w:rsidR="001A45CF" w:rsidRPr="00AC16DD" w:rsidRDefault="001A45CF" w:rsidP="00AC16DD">
      <w:pPr>
        <w:spacing w:line="360" w:lineRule="auto"/>
        <w:jc w:val="center"/>
        <w:rPr>
          <w:rFonts w:ascii="Arial" w:hAnsi="Arial" w:cs="Arial"/>
          <w:b/>
          <w:bCs/>
        </w:rPr>
      </w:pPr>
    </w:p>
    <w:p w14:paraId="17BB44E6" w14:textId="77777777" w:rsidR="001A45CF" w:rsidRPr="00AC16DD" w:rsidRDefault="001A45CF" w:rsidP="00AC16DD">
      <w:pPr>
        <w:spacing w:line="360" w:lineRule="auto"/>
        <w:jc w:val="center"/>
        <w:rPr>
          <w:rFonts w:ascii="Arial" w:hAnsi="Arial" w:cs="Arial"/>
          <w:b/>
          <w:bCs/>
        </w:rPr>
      </w:pPr>
    </w:p>
    <w:p w14:paraId="1DE2A425" w14:textId="77777777" w:rsidR="001A45CF" w:rsidRPr="00AC16DD" w:rsidRDefault="001A45CF" w:rsidP="00AC16DD">
      <w:pPr>
        <w:spacing w:line="360" w:lineRule="auto"/>
        <w:jc w:val="center"/>
        <w:rPr>
          <w:rFonts w:ascii="Arial" w:hAnsi="Arial" w:cs="Arial"/>
          <w:b/>
          <w:bCs/>
        </w:rPr>
      </w:pPr>
    </w:p>
    <w:p w14:paraId="4F3BAE50" w14:textId="77777777" w:rsidR="001A45CF" w:rsidRPr="00AC16DD" w:rsidRDefault="001A45CF" w:rsidP="00AC16DD">
      <w:pPr>
        <w:spacing w:line="360" w:lineRule="auto"/>
        <w:jc w:val="center"/>
        <w:rPr>
          <w:rFonts w:ascii="Arial" w:hAnsi="Arial" w:cs="Arial"/>
          <w:b/>
          <w:bCs/>
        </w:rPr>
      </w:pPr>
    </w:p>
    <w:p w14:paraId="3D0DEBC7" w14:textId="77777777" w:rsidR="001A45CF" w:rsidRPr="00AC16DD" w:rsidRDefault="001A45CF" w:rsidP="00AC16DD">
      <w:pPr>
        <w:spacing w:line="360" w:lineRule="auto"/>
        <w:jc w:val="center"/>
        <w:rPr>
          <w:rFonts w:ascii="Arial" w:hAnsi="Arial" w:cs="Arial"/>
          <w:b/>
          <w:bCs/>
        </w:rPr>
      </w:pPr>
    </w:p>
    <w:p w14:paraId="0A61DA3B" w14:textId="77777777" w:rsidR="00A90DB4" w:rsidRDefault="00A90DB4" w:rsidP="002F4580">
      <w:pPr>
        <w:spacing w:line="360" w:lineRule="auto"/>
        <w:rPr>
          <w:rFonts w:ascii="Arial" w:hAnsi="Arial" w:cs="Arial"/>
          <w:b/>
          <w:bCs/>
        </w:rPr>
      </w:pPr>
    </w:p>
    <w:p w14:paraId="76894CC0" w14:textId="77777777" w:rsidR="002F4580" w:rsidRPr="00AC16DD" w:rsidRDefault="002F4580" w:rsidP="002F4580">
      <w:pPr>
        <w:spacing w:line="360" w:lineRule="auto"/>
        <w:rPr>
          <w:rFonts w:ascii="Arial" w:hAnsi="Arial" w:cs="Arial"/>
          <w:b/>
          <w:bCs/>
        </w:rPr>
      </w:pPr>
    </w:p>
    <w:sdt>
      <w:sdtPr>
        <w:rPr>
          <w:rFonts w:ascii="Arial" w:eastAsiaTheme="minorHAnsi" w:hAnsi="Arial" w:cs="Arial"/>
          <w:b/>
          <w:bCs/>
          <w:color w:val="000000" w:themeColor="text1"/>
          <w:kern w:val="2"/>
          <w:sz w:val="22"/>
          <w:szCs w:val="22"/>
          <w:lang w:eastAsia="en-US"/>
          <w14:ligatures w14:val="standardContextual"/>
        </w:rPr>
        <w:id w:val="-1672874726"/>
        <w:docPartObj>
          <w:docPartGallery w:val="Table of Contents"/>
          <w:docPartUnique/>
        </w:docPartObj>
      </w:sdtPr>
      <w:sdtEndPr>
        <w:rPr>
          <w:b w:val="0"/>
          <w:bCs w:val="0"/>
        </w:rPr>
      </w:sdtEndPr>
      <w:sdtContent>
        <w:p w14:paraId="194FF8A6" w14:textId="7A774F2A" w:rsidR="00AC16DD" w:rsidRPr="00A90DB4" w:rsidRDefault="00AC16DD" w:rsidP="00C82D77">
          <w:pPr>
            <w:pStyle w:val="TOCHeading"/>
            <w:spacing w:line="360" w:lineRule="auto"/>
            <w:rPr>
              <w:rFonts w:ascii="Arial" w:hAnsi="Arial" w:cs="Arial"/>
              <w:b/>
              <w:bCs/>
              <w:color w:val="000000" w:themeColor="text1"/>
              <w:sz w:val="22"/>
              <w:szCs w:val="22"/>
            </w:rPr>
          </w:pPr>
          <w:r w:rsidRPr="00A90DB4">
            <w:rPr>
              <w:rFonts w:ascii="Arial" w:hAnsi="Arial" w:cs="Arial"/>
              <w:b/>
              <w:bCs/>
              <w:color w:val="000000" w:themeColor="text1"/>
              <w:sz w:val="22"/>
              <w:szCs w:val="22"/>
            </w:rPr>
            <w:t>Contents</w:t>
          </w:r>
        </w:p>
        <w:p w14:paraId="552E85A9" w14:textId="5BFBA969" w:rsidR="00C82D77" w:rsidRPr="00C82D77" w:rsidRDefault="00AC16DD" w:rsidP="00C82D77">
          <w:pPr>
            <w:pStyle w:val="TOC1"/>
            <w:tabs>
              <w:tab w:val="right" w:leader="dot" w:pos="9016"/>
            </w:tabs>
            <w:spacing w:line="360" w:lineRule="auto"/>
            <w:rPr>
              <w:noProof/>
              <w:color w:val="000000" w:themeColor="text1"/>
            </w:rPr>
          </w:pPr>
          <w:r w:rsidRPr="00C82D77">
            <w:rPr>
              <w:rFonts w:ascii="Arial" w:hAnsi="Arial" w:cs="Arial"/>
              <w:color w:val="000000" w:themeColor="text1"/>
            </w:rPr>
            <w:fldChar w:fldCharType="begin"/>
          </w:r>
          <w:r w:rsidRPr="00C82D77">
            <w:rPr>
              <w:rFonts w:ascii="Arial" w:hAnsi="Arial" w:cs="Arial"/>
              <w:color w:val="000000" w:themeColor="text1"/>
            </w:rPr>
            <w:instrText xml:space="preserve"> TOC \o "1-3" \h \z \u </w:instrText>
          </w:r>
          <w:r w:rsidRPr="00C82D77">
            <w:rPr>
              <w:rFonts w:ascii="Arial" w:hAnsi="Arial" w:cs="Arial"/>
              <w:color w:val="000000" w:themeColor="text1"/>
            </w:rPr>
            <w:fldChar w:fldCharType="separate"/>
          </w:r>
          <w:hyperlink w:anchor="_Toc234017207" w:history="1">
            <w:r w:rsidR="00C82D77" w:rsidRPr="00C82D77">
              <w:rPr>
                <w:rStyle w:val="Hyperlink"/>
                <w:rFonts w:ascii="Arial" w:hAnsi="Arial" w:cs="Arial"/>
                <w:noProof/>
                <w:color w:val="000000" w:themeColor="text1"/>
              </w:rPr>
              <w:t>Introduction</w:t>
            </w:r>
            <w:r w:rsidR="00C82D77" w:rsidRPr="00C82D77">
              <w:rPr>
                <w:noProof/>
                <w:webHidden/>
                <w:color w:val="000000" w:themeColor="text1"/>
              </w:rPr>
              <w:tab/>
            </w:r>
            <w:r w:rsidR="00C82D77" w:rsidRPr="00C82D77">
              <w:rPr>
                <w:noProof/>
                <w:webHidden/>
                <w:color w:val="000000" w:themeColor="text1"/>
              </w:rPr>
              <w:fldChar w:fldCharType="begin"/>
            </w:r>
            <w:r w:rsidR="00C82D77" w:rsidRPr="00C82D77">
              <w:rPr>
                <w:noProof/>
                <w:webHidden/>
                <w:color w:val="000000" w:themeColor="text1"/>
              </w:rPr>
              <w:instrText xml:space="preserve"> PAGEREF _Toc234017207 \h </w:instrText>
            </w:r>
            <w:r w:rsidR="00C82D77" w:rsidRPr="00C82D77">
              <w:rPr>
                <w:noProof/>
                <w:webHidden/>
                <w:color w:val="000000" w:themeColor="text1"/>
              </w:rPr>
            </w:r>
            <w:r w:rsidR="00C82D77" w:rsidRPr="00C82D77">
              <w:rPr>
                <w:noProof/>
                <w:webHidden/>
                <w:color w:val="000000" w:themeColor="text1"/>
              </w:rPr>
              <w:fldChar w:fldCharType="separate"/>
            </w:r>
            <w:r w:rsidR="00016B24">
              <w:rPr>
                <w:noProof/>
                <w:webHidden/>
                <w:color w:val="000000" w:themeColor="text1"/>
              </w:rPr>
              <w:t>3</w:t>
            </w:r>
            <w:r w:rsidR="00C82D77" w:rsidRPr="00C82D77">
              <w:rPr>
                <w:noProof/>
                <w:webHidden/>
                <w:color w:val="000000" w:themeColor="text1"/>
              </w:rPr>
              <w:fldChar w:fldCharType="end"/>
            </w:r>
          </w:hyperlink>
        </w:p>
        <w:p w14:paraId="74CA80EE" w14:textId="50EC663D" w:rsidR="00C82D77" w:rsidRPr="00C82D77" w:rsidRDefault="00C82D77" w:rsidP="00C82D77">
          <w:pPr>
            <w:pStyle w:val="TOC1"/>
            <w:tabs>
              <w:tab w:val="right" w:leader="dot" w:pos="9016"/>
            </w:tabs>
            <w:spacing w:line="360" w:lineRule="auto"/>
            <w:rPr>
              <w:noProof/>
              <w:color w:val="000000" w:themeColor="text1"/>
            </w:rPr>
          </w:pPr>
          <w:hyperlink w:anchor="_Toc234017208" w:history="1">
            <w:r w:rsidRPr="00C82D77">
              <w:rPr>
                <w:rStyle w:val="Hyperlink"/>
                <w:rFonts w:ascii="Arial" w:hAnsi="Arial" w:cs="Arial"/>
                <w:noProof/>
                <w:color w:val="000000" w:themeColor="text1"/>
              </w:rPr>
              <w:t>Task 1: Reflection on the Importance of Principles of Health and Social Care Practice</w:t>
            </w:r>
            <w:r w:rsidRPr="00C82D77">
              <w:rPr>
                <w:noProof/>
                <w:webHidden/>
                <w:color w:val="000000" w:themeColor="text1"/>
              </w:rPr>
              <w:tab/>
            </w:r>
            <w:r w:rsidRPr="00C82D77">
              <w:rPr>
                <w:noProof/>
                <w:webHidden/>
                <w:color w:val="000000" w:themeColor="text1"/>
              </w:rPr>
              <w:fldChar w:fldCharType="begin"/>
            </w:r>
            <w:r w:rsidRPr="00C82D77">
              <w:rPr>
                <w:noProof/>
                <w:webHidden/>
                <w:color w:val="000000" w:themeColor="text1"/>
              </w:rPr>
              <w:instrText xml:space="preserve"> PAGEREF _Toc234017208 \h </w:instrText>
            </w:r>
            <w:r w:rsidRPr="00C82D77">
              <w:rPr>
                <w:noProof/>
                <w:webHidden/>
                <w:color w:val="000000" w:themeColor="text1"/>
              </w:rPr>
            </w:r>
            <w:r w:rsidRPr="00C82D77">
              <w:rPr>
                <w:noProof/>
                <w:webHidden/>
                <w:color w:val="000000" w:themeColor="text1"/>
              </w:rPr>
              <w:fldChar w:fldCharType="separate"/>
            </w:r>
            <w:r w:rsidR="00016B24">
              <w:rPr>
                <w:noProof/>
                <w:webHidden/>
                <w:color w:val="000000" w:themeColor="text1"/>
              </w:rPr>
              <w:t>3</w:t>
            </w:r>
            <w:r w:rsidRPr="00C82D77">
              <w:rPr>
                <w:noProof/>
                <w:webHidden/>
                <w:color w:val="000000" w:themeColor="text1"/>
              </w:rPr>
              <w:fldChar w:fldCharType="end"/>
            </w:r>
          </w:hyperlink>
        </w:p>
        <w:p w14:paraId="17C110D1" w14:textId="6414E63A" w:rsidR="00C82D77" w:rsidRPr="00C82D77" w:rsidRDefault="00C82D77" w:rsidP="00C82D77">
          <w:pPr>
            <w:pStyle w:val="TOC1"/>
            <w:tabs>
              <w:tab w:val="right" w:leader="dot" w:pos="9016"/>
            </w:tabs>
            <w:spacing w:line="360" w:lineRule="auto"/>
            <w:rPr>
              <w:noProof/>
              <w:color w:val="000000" w:themeColor="text1"/>
            </w:rPr>
          </w:pPr>
          <w:hyperlink w:anchor="_Toc234017209" w:history="1">
            <w:r w:rsidRPr="00C82D77">
              <w:rPr>
                <w:rStyle w:val="Hyperlink"/>
                <w:rFonts w:ascii="Arial" w:hAnsi="Arial" w:cs="Arial"/>
                <w:noProof/>
                <w:color w:val="000000" w:themeColor="text1"/>
              </w:rPr>
              <w:t>Task 2: Practical Example in Practice – Joan's Case Study</w:t>
            </w:r>
            <w:r w:rsidRPr="00C82D77">
              <w:rPr>
                <w:noProof/>
                <w:webHidden/>
                <w:color w:val="000000" w:themeColor="text1"/>
              </w:rPr>
              <w:tab/>
            </w:r>
            <w:r w:rsidRPr="00C82D77">
              <w:rPr>
                <w:noProof/>
                <w:webHidden/>
                <w:color w:val="000000" w:themeColor="text1"/>
              </w:rPr>
              <w:fldChar w:fldCharType="begin"/>
            </w:r>
            <w:r w:rsidRPr="00C82D77">
              <w:rPr>
                <w:noProof/>
                <w:webHidden/>
                <w:color w:val="000000" w:themeColor="text1"/>
              </w:rPr>
              <w:instrText xml:space="preserve"> PAGEREF _Toc234017209 \h </w:instrText>
            </w:r>
            <w:r w:rsidRPr="00C82D77">
              <w:rPr>
                <w:noProof/>
                <w:webHidden/>
                <w:color w:val="000000" w:themeColor="text1"/>
              </w:rPr>
            </w:r>
            <w:r w:rsidRPr="00C82D77">
              <w:rPr>
                <w:noProof/>
                <w:webHidden/>
                <w:color w:val="000000" w:themeColor="text1"/>
              </w:rPr>
              <w:fldChar w:fldCharType="separate"/>
            </w:r>
            <w:r w:rsidR="00016B24">
              <w:rPr>
                <w:noProof/>
                <w:webHidden/>
                <w:color w:val="000000" w:themeColor="text1"/>
              </w:rPr>
              <w:t>5</w:t>
            </w:r>
            <w:r w:rsidRPr="00C82D77">
              <w:rPr>
                <w:noProof/>
                <w:webHidden/>
                <w:color w:val="000000" w:themeColor="text1"/>
              </w:rPr>
              <w:fldChar w:fldCharType="end"/>
            </w:r>
          </w:hyperlink>
        </w:p>
        <w:p w14:paraId="64AEDA32" w14:textId="42000572" w:rsidR="00C82D77" w:rsidRPr="00C82D77" w:rsidRDefault="00C82D77" w:rsidP="00C82D77">
          <w:pPr>
            <w:pStyle w:val="TOC1"/>
            <w:tabs>
              <w:tab w:val="right" w:leader="dot" w:pos="9016"/>
            </w:tabs>
            <w:spacing w:line="360" w:lineRule="auto"/>
            <w:rPr>
              <w:noProof/>
              <w:color w:val="000000" w:themeColor="text1"/>
            </w:rPr>
          </w:pPr>
          <w:hyperlink w:anchor="_Toc234017210" w:history="1">
            <w:r w:rsidRPr="00C82D77">
              <w:rPr>
                <w:rStyle w:val="Hyperlink"/>
                <w:rFonts w:ascii="Arial" w:hAnsi="Arial" w:cs="Arial"/>
                <w:noProof/>
                <w:color w:val="000000" w:themeColor="text1"/>
              </w:rPr>
              <w:t>Task 3: Self-Reflection as a Healthcare Assistant (Gibbs' Reflective Cycle)</w:t>
            </w:r>
            <w:r w:rsidRPr="00C82D77">
              <w:rPr>
                <w:noProof/>
                <w:webHidden/>
                <w:color w:val="000000" w:themeColor="text1"/>
              </w:rPr>
              <w:tab/>
            </w:r>
            <w:r w:rsidRPr="00C82D77">
              <w:rPr>
                <w:noProof/>
                <w:webHidden/>
                <w:color w:val="000000" w:themeColor="text1"/>
              </w:rPr>
              <w:fldChar w:fldCharType="begin"/>
            </w:r>
            <w:r w:rsidRPr="00C82D77">
              <w:rPr>
                <w:noProof/>
                <w:webHidden/>
                <w:color w:val="000000" w:themeColor="text1"/>
              </w:rPr>
              <w:instrText xml:space="preserve"> PAGEREF _Toc234017210 \h </w:instrText>
            </w:r>
            <w:r w:rsidRPr="00C82D77">
              <w:rPr>
                <w:noProof/>
                <w:webHidden/>
                <w:color w:val="000000" w:themeColor="text1"/>
              </w:rPr>
            </w:r>
            <w:r w:rsidRPr="00C82D77">
              <w:rPr>
                <w:noProof/>
                <w:webHidden/>
                <w:color w:val="000000" w:themeColor="text1"/>
              </w:rPr>
              <w:fldChar w:fldCharType="separate"/>
            </w:r>
            <w:r w:rsidR="00016B24">
              <w:rPr>
                <w:noProof/>
                <w:webHidden/>
                <w:color w:val="000000" w:themeColor="text1"/>
              </w:rPr>
              <w:t>8</w:t>
            </w:r>
            <w:r w:rsidRPr="00C82D77">
              <w:rPr>
                <w:noProof/>
                <w:webHidden/>
                <w:color w:val="000000" w:themeColor="text1"/>
              </w:rPr>
              <w:fldChar w:fldCharType="end"/>
            </w:r>
          </w:hyperlink>
        </w:p>
        <w:p w14:paraId="22F599D1" w14:textId="750BC777" w:rsidR="00C82D77" w:rsidRPr="00C82D77" w:rsidRDefault="00C82D77" w:rsidP="00C82D77">
          <w:pPr>
            <w:pStyle w:val="TOC1"/>
            <w:tabs>
              <w:tab w:val="right" w:leader="dot" w:pos="9016"/>
            </w:tabs>
            <w:spacing w:line="360" w:lineRule="auto"/>
            <w:rPr>
              <w:noProof/>
              <w:color w:val="000000" w:themeColor="text1"/>
            </w:rPr>
          </w:pPr>
          <w:hyperlink w:anchor="_Toc234017211" w:history="1">
            <w:r w:rsidRPr="00C82D77">
              <w:rPr>
                <w:rStyle w:val="Hyperlink"/>
                <w:rFonts w:ascii="Arial" w:hAnsi="Arial" w:cs="Arial"/>
                <w:noProof/>
                <w:color w:val="000000" w:themeColor="text1"/>
              </w:rPr>
              <w:t>Conclusion</w:t>
            </w:r>
            <w:r w:rsidRPr="00C82D77">
              <w:rPr>
                <w:noProof/>
                <w:webHidden/>
                <w:color w:val="000000" w:themeColor="text1"/>
              </w:rPr>
              <w:tab/>
            </w:r>
            <w:r w:rsidRPr="00C82D77">
              <w:rPr>
                <w:noProof/>
                <w:webHidden/>
                <w:color w:val="000000" w:themeColor="text1"/>
              </w:rPr>
              <w:fldChar w:fldCharType="begin"/>
            </w:r>
            <w:r w:rsidRPr="00C82D77">
              <w:rPr>
                <w:noProof/>
                <w:webHidden/>
                <w:color w:val="000000" w:themeColor="text1"/>
              </w:rPr>
              <w:instrText xml:space="preserve"> PAGEREF _Toc234017211 \h </w:instrText>
            </w:r>
            <w:r w:rsidRPr="00C82D77">
              <w:rPr>
                <w:noProof/>
                <w:webHidden/>
                <w:color w:val="000000" w:themeColor="text1"/>
              </w:rPr>
            </w:r>
            <w:r w:rsidRPr="00C82D77">
              <w:rPr>
                <w:noProof/>
                <w:webHidden/>
                <w:color w:val="000000" w:themeColor="text1"/>
              </w:rPr>
              <w:fldChar w:fldCharType="separate"/>
            </w:r>
            <w:r w:rsidR="00016B24">
              <w:rPr>
                <w:noProof/>
                <w:webHidden/>
                <w:color w:val="000000" w:themeColor="text1"/>
              </w:rPr>
              <w:t>9</w:t>
            </w:r>
            <w:r w:rsidRPr="00C82D77">
              <w:rPr>
                <w:noProof/>
                <w:webHidden/>
                <w:color w:val="000000" w:themeColor="text1"/>
              </w:rPr>
              <w:fldChar w:fldCharType="end"/>
            </w:r>
          </w:hyperlink>
        </w:p>
        <w:p w14:paraId="431A9EBF" w14:textId="1A892F1B" w:rsidR="00C82D77" w:rsidRPr="00C82D77" w:rsidRDefault="00C82D77" w:rsidP="00C82D77">
          <w:pPr>
            <w:pStyle w:val="TOC1"/>
            <w:tabs>
              <w:tab w:val="right" w:leader="dot" w:pos="9016"/>
            </w:tabs>
            <w:spacing w:line="360" w:lineRule="auto"/>
            <w:rPr>
              <w:noProof/>
              <w:color w:val="000000" w:themeColor="text1"/>
            </w:rPr>
          </w:pPr>
          <w:hyperlink w:anchor="_Toc234017212" w:history="1">
            <w:r w:rsidRPr="00C82D77">
              <w:rPr>
                <w:rStyle w:val="Hyperlink"/>
                <w:rFonts w:ascii="Arial" w:hAnsi="Arial" w:cs="Arial"/>
                <w:noProof/>
                <w:color w:val="000000" w:themeColor="text1"/>
              </w:rPr>
              <w:t>References</w:t>
            </w:r>
            <w:r w:rsidRPr="00C82D77">
              <w:rPr>
                <w:noProof/>
                <w:webHidden/>
                <w:color w:val="000000" w:themeColor="text1"/>
              </w:rPr>
              <w:tab/>
            </w:r>
            <w:r w:rsidRPr="00C82D77">
              <w:rPr>
                <w:noProof/>
                <w:webHidden/>
                <w:color w:val="000000" w:themeColor="text1"/>
              </w:rPr>
              <w:fldChar w:fldCharType="begin"/>
            </w:r>
            <w:r w:rsidRPr="00C82D77">
              <w:rPr>
                <w:noProof/>
                <w:webHidden/>
                <w:color w:val="000000" w:themeColor="text1"/>
              </w:rPr>
              <w:instrText xml:space="preserve"> PAGEREF _Toc234017212 \h </w:instrText>
            </w:r>
            <w:r w:rsidRPr="00C82D77">
              <w:rPr>
                <w:noProof/>
                <w:webHidden/>
                <w:color w:val="000000" w:themeColor="text1"/>
              </w:rPr>
            </w:r>
            <w:r w:rsidRPr="00C82D77">
              <w:rPr>
                <w:noProof/>
                <w:webHidden/>
                <w:color w:val="000000" w:themeColor="text1"/>
              </w:rPr>
              <w:fldChar w:fldCharType="separate"/>
            </w:r>
            <w:r w:rsidR="00016B24">
              <w:rPr>
                <w:noProof/>
                <w:webHidden/>
                <w:color w:val="000000" w:themeColor="text1"/>
              </w:rPr>
              <w:t>10</w:t>
            </w:r>
            <w:r w:rsidRPr="00C82D77">
              <w:rPr>
                <w:noProof/>
                <w:webHidden/>
                <w:color w:val="000000" w:themeColor="text1"/>
              </w:rPr>
              <w:fldChar w:fldCharType="end"/>
            </w:r>
          </w:hyperlink>
        </w:p>
        <w:p w14:paraId="2C02C0C3" w14:textId="6F48EB96" w:rsidR="00AC16DD" w:rsidRPr="00C82D77" w:rsidRDefault="00AC16DD" w:rsidP="00C82D77">
          <w:pPr>
            <w:spacing w:line="360" w:lineRule="auto"/>
            <w:rPr>
              <w:rFonts w:ascii="Arial" w:hAnsi="Arial" w:cs="Arial"/>
              <w:color w:val="000000" w:themeColor="text1"/>
            </w:rPr>
          </w:pPr>
          <w:r w:rsidRPr="00C82D77">
            <w:rPr>
              <w:rFonts w:ascii="Arial" w:hAnsi="Arial" w:cs="Arial"/>
              <w:color w:val="000000" w:themeColor="text1"/>
            </w:rPr>
            <w:fldChar w:fldCharType="end"/>
          </w:r>
        </w:p>
      </w:sdtContent>
    </w:sdt>
    <w:p w14:paraId="1BA6D5D9" w14:textId="77777777" w:rsidR="001A45CF" w:rsidRPr="00AC16DD" w:rsidRDefault="001A45CF" w:rsidP="00AC16DD">
      <w:pPr>
        <w:spacing w:line="360" w:lineRule="auto"/>
        <w:jc w:val="center"/>
        <w:rPr>
          <w:rFonts w:ascii="Arial" w:hAnsi="Arial" w:cs="Arial"/>
          <w:b/>
          <w:bCs/>
        </w:rPr>
      </w:pPr>
    </w:p>
    <w:p w14:paraId="37BB40C0" w14:textId="77777777" w:rsidR="00AC16DD" w:rsidRPr="00AC16DD" w:rsidRDefault="00AC16DD" w:rsidP="00AC16DD">
      <w:pPr>
        <w:spacing w:line="360" w:lineRule="auto"/>
        <w:jc w:val="center"/>
        <w:rPr>
          <w:rFonts w:ascii="Arial" w:hAnsi="Arial" w:cs="Arial"/>
          <w:b/>
          <w:bCs/>
        </w:rPr>
      </w:pPr>
    </w:p>
    <w:p w14:paraId="7E33B06F" w14:textId="77777777" w:rsidR="001A45CF" w:rsidRPr="00AC16DD" w:rsidRDefault="001A45CF" w:rsidP="00AC16DD">
      <w:pPr>
        <w:spacing w:line="360" w:lineRule="auto"/>
        <w:jc w:val="center"/>
        <w:rPr>
          <w:rFonts w:ascii="Arial" w:hAnsi="Arial" w:cs="Arial"/>
          <w:b/>
          <w:bCs/>
        </w:rPr>
      </w:pPr>
    </w:p>
    <w:p w14:paraId="6BE0467E" w14:textId="77777777" w:rsidR="001A45CF" w:rsidRPr="00AC16DD" w:rsidRDefault="001A45CF" w:rsidP="00AC16DD">
      <w:pPr>
        <w:spacing w:line="360" w:lineRule="auto"/>
        <w:jc w:val="center"/>
        <w:rPr>
          <w:rFonts w:ascii="Arial" w:hAnsi="Arial" w:cs="Arial"/>
          <w:b/>
          <w:bCs/>
        </w:rPr>
      </w:pPr>
    </w:p>
    <w:p w14:paraId="2FD873AD" w14:textId="77777777" w:rsidR="001A45CF" w:rsidRPr="00AC16DD" w:rsidRDefault="001A45CF" w:rsidP="00AC16DD">
      <w:pPr>
        <w:spacing w:line="360" w:lineRule="auto"/>
        <w:jc w:val="center"/>
        <w:rPr>
          <w:rFonts w:ascii="Arial" w:hAnsi="Arial" w:cs="Arial"/>
          <w:b/>
          <w:bCs/>
        </w:rPr>
      </w:pPr>
    </w:p>
    <w:p w14:paraId="64EA8590" w14:textId="77777777" w:rsidR="001A45CF" w:rsidRPr="00AC16DD" w:rsidRDefault="001A45CF" w:rsidP="00AC16DD">
      <w:pPr>
        <w:spacing w:line="360" w:lineRule="auto"/>
        <w:jc w:val="center"/>
        <w:rPr>
          <w:rFonts w:ascii="Arial" w:hAnsi="Arial" w:cs="Arial"/>
          <w:b/>
          <w:bCs/>
        </w:rPr>
      </w:pPr>
    </w:p>
    <w:p w14:paraId="32D3B7F2" w14:textId="77777777" w:rsidR="001A45CF" w:rsidRPr="00AC16DD" w:rsidRDefault="001A45CF" w:rsidP="00AC16DD">
      <w:pPr>
        <w:spacing w:line="360" w:lineRule="auto"/>
        <w:jc w:val="center"/>
        <w:rPr>
          <w:rFonts w:ascii="Arial" w:hAnsi="Arial" w:cs="Arial"/>
          <w:b/>
          <w:bCs/>
        </w:rPr>
      </w:pPr>
    </w:p>
    <w:p w14:paraId="05F2924C" w14:textId="77777777" w:rsidR="001A45CF" w:rsidRPr="00AC16DD" w:rsidRDefault="001A45CF" w:rsidP="00AC16DD">
      <w:pPr>
        <w:spacing w:line="360" w:lineRule="auto"/>
        <w:jc w:val="center"/>
        <w:rPr>
          <w:rFonts w:ascii="Arial" w:hAnsi="Arial" w:cs="Arial"/>
          <w:b/>
          <w:bCs/>
        </w:rPr>
      </w:pPr>
    </w:p>
    <w:p w14:paraId="35FD54B7" w14:textId="77777777" w:rsidR="001A45CF" w:rsidRPr="00AC16DD" w:rsidRDefault="001A45CF" w:rsidP="00AC16DD">
      <w:pPr>
        <w:spacing w:line="360" w:lineRule="auto"/>
        <w:jc w:val="center"/>
        <w:rPr>
          <w:rFonts w:ascii="Arial" w:hAnsi="Arial" w:cs="Arial"/>
          <w:b/>
          <w:bCs/>
        </w:rPr>
      </w:pPr>
    </w:p>
    <w:p w14:paraId="0A4E7A5C" w14:textId="77777777" w:rsidR="001A45CF" w:rsidRPr="00AC16DD" w:rsidRDefault="001A45CF" w:rsidP="00AC16DD">
      <w:pPr>
        <w:spacing w:line="360" w:lineRule="auto"/>
        <w:jc w:val="center"/>
        <w:rPr>
          <w:rFonts w:ascii="Arial" w:hAnsi="Arial" w:cs="Arial"/>
          <w:b/>
          <w:bCs/>
        </w:rPr>
      </w:pPr>
    </w:p>
    <w:p w14:paraId="7241C411" w14:textId="77777777" w:rsidR="001A45CF" w:rsidRPr="00AC16DD" w:rsidRDefault="001A45CF" w:rsidP="00AC16DD">
      <w:pPr>
        <w:spacing w:line="360" w:lineRule="auto"/>
        <w:jc w:val="center"/>
        <w:rPr>
          <w:rFonts w:ascii="Arial" w:hAnsi="Arial" w:cs="Arial"/>
          <w:b/>
          <w:bCs/>
        </w:rPr>
      </w:pPr>
    </w:p>
    <w:p w14:paraId="3A98C0C0" w14:textId="77777777" w:rsidR="001A45CF" w:rsidRPr="00AC16DD" w:rsidRDefault="001A45CF" w:rsidP="00AC16DD">
      <w:pPr>
        <w:spacing w:line="360" w:lineRule="auto"/>
        <w:jc w:val="center"/>
        <w:rPr>
          <w:rFonts w:ascii="Arial" w:hAnsi="Arial" w:cs="Arial"/>
          <w:b/>
          <w:bCs/>
        </w:rPr>
      </w:pPr>
    </w:p>
    <w:p w14:paraId="2BE1B42E" w14:textId="77777777" w:rsidR="001A45CF" w:rsidRPr="00AC16DD" w:rsidRDefault="001A45CF" w:rsidP="00AC16DD">
      <w:pPr>
        <w:spacing w:line="360" w:lineRule="auto"/>
        <w:jc w:val="center"/>
        <w:rPr>
          <w:rFonts w:ascii="Arial" w:hAnsi="Arial" w:cs="Arial"/>
          <w:b/>
          <w:bCs/>
        </w:rPr>
      </w:pPr>
    </w:p>
    <w:p w14:paraId="3E6ED17E" w14:textId="77777777" w:rsidR="001A45CF" w:rsidRPr="00AC16DD" w:rsidRDefault="001A45CF" w:rsidP="00AC16DD">
      <w:pPr>
        <w:spacing w:line="360" w:lineRule="auto"/>
        <w:jc w:val="center"/>
        <w:rPr>
          <w:rFonts w:ascii="Arial" w:hAnsi="Arial" w:cs="Arial"/>
          <w:b/>
          <w:bCs/>
        </w:rPr>
      </w:pPr>
    </w:p>
    <w:p w14:paraId="71F866F8" w14:textId="77777777" w:rsidR="001A45CF" w:rsidRPr="00AC16DD" w:rsidRDefault="001A45CF" w:rsidP="00AC16DD">
      <w:pPr>
        <w:spacing w:line="360" w:lineRule="auto"/>
        <w:jc w:val="center"/>
        <w:rPr>
          <w:rFonts w:ascii="Arial" w:hAnsi="Arial" w:cs="Arial"/>
          <w:b/>
          <w:bCs/>
        </w:rPr>
      </w:pPr>
    </w:p>
    <w:p w14:paraId="65A78704" w14:textId="77777777" w:rsidR="001A45CF" w:rsidRPr="00AC16DD" w:rsidRDefault="001A45CF" w:rsidP="00AC16DD">
      <w:pPr>
        <w:spacing w:line="360" w:lineRule="auto"/>
        <w:jc w:val="center"/>
        <w:rPr>
          <w:rFonts w:ascii="Arial" w:hAnsi="Arial" w:cs="Arial"/>
          <w:b/>
          <w:bCs/>
        </w:rPr>
      </w:pPr>
    </w:p>
    <w:p w14:paraId="285A5CBC" w14:textId="77777777" w:rsidR="001A45CF" w:rsidRPr="00AC16DD" w:rsidRDefault="001A45CF" w:rsidP="00AC16DD">
      <w:pPr>
        <w:spacing w:line="360" w:lineRule="auto"/>
        <w:jc w:val="center"/>
        <w:rPr>
          <w:rFonts w:ascii="Arial" w:hAnsi="Arial" w:cs="Arial"/>
          <w:b/>
          <w:bCs/>
        </w:rPr>
      </w:pPr>
    </w:p>
    <w:p w14:paraId="6CD8DF0C" w14:textId="77777777" w:rsidR="001A45CF" w:rsidRDefault="001A45CF" w:rsidP="00AC16DD">
      <w:pPr>
        <w:spacing w:line="360" w:lineRule="auto"/>
        <w:jc w:val="center"/>
        <w:rPr>
          <w:rFonts w:ascii="Arial" w:hAnsi="Arial" w:cs="Arial"/>
          <w:b/>
          <w:bCs/>
        </w:rPr>
      </w:pPr>
    </w:p>
    <w:p w14:paraId="1D1067FF" w14:textId="77777777" w:rsidR="002F4580" w:rsidRPr="00AC16DD" w:rsidRDefault="002F4580" w:rsidP="002F4580">
      <w:pPr>
        <w:spacing w:line="360" w:lineRule="auto"/>
        <w:rPr>
          <w:rFonts w:ascii="Arial" w:hAnsi="Arial" w:cs="Arial"/>
          <w:b/>
          <w:bCs/>
        </w:rPr>
      </w:pPr>
    </w:p>
    <w:p w14:paraId="5E23EC87" w14:textId="5956AA87" w:rsidR="00C12C72" w:rsidRPr="00AC16DD" w:rsidRDefault="00C12C72" w:rsidP="00AC16DD">
      <w:pPr>
        <w:spacing w:line="360" w:lineRule="auto"/>
        <w:jc w:val="center"/>
        <w:rPr>
          <w:rFonts w:ascii="Arial" w:hAnsi="Arial" w:cs="Arial"/>
          <w:b/>
          <w:bCs/>
        </w:rPr>
      </w:pPr>
      <w:r w:rsidRPr="00AC16DD">
        <w:rPr>
          <w:rFonts w:ascii="Arial" w:hAnsi="Arial" w:cs="Arial"/>
          <w:b/>
          <w:bCs/>
        </w:rPr>
        <w:lastRenderedPageBreak/>
        <w:t>Principles of Health and Social Care Practice: A Reflective Report</w:t>
      </w:r>
    </w:p>
    <w:p w14:paraId="64FD0DEB" w14:textId="77777777" w:rsidR="000F3FE8" w:rsidRPr="00AC16DD" w:rsidRDefault="000F3FE8" w:rsidP="00AC16DD">
      <w:pPr>
        <w:spacing w:line="360" w:lineRule="auto"/>
        <w:jc w:val="center"/>
        <w:rPr>
          <w:rFonts w:ascii="Arial" w:hAnsi="Arial" w:cs="Arial"/>
        </w:rPr>
      </w:pPr>
    </w:p>
    <w:p w14:paraId="2335EE7B" w14:textId="77777777" w:rsidR="00C12C72" w:rsidRPr="00A90DB4" w:rsidRDefault="00C12C72" w:rsidP="00AC16DD">
      <w:pPr>
        <w:pStyle w:val="Heading1"/>
        <w:spacing w:line="360" w:lineRule="auto"/>
        <w:rPr>
          <w:rFonts w:ascii="Arial" w:hAnsi="Arial" w:cs="Arial"/>
          <w:b/>
          <w:bCs/>
          <w:color w:val="000000" w:themeColor="text1"/>
          <w:sz w:val="22"/>
          <w:szCs w:val="22"/>
        </w:rPr>
      </w:pPr>
      <w:bookmarkStart w:id="0" w:name="_Toc234017207"/>
      <w:r w:rsidRPr="00A90DB4">
        <w:rPr>
          <w:rFonts w:ascii="Arial" w:hAnsi="Arial" w:cs="Arial"/>
          <w:b/>
          <w:bCs/>
          <w:color w:val="000000" w:themeColor="text1"/>
          <w:sz w:val="22"/>
          <w:szCs w:val="22"/>
        </w:rPr>
        <w:t>Introduction</w:t>
      </w:r>
      <w:bookmarkEnd w:id="0"/>
    </w:p>
    <w:p w14:paraId="670AACB0" w14:textId="77777777" w:rsidR="00C12C72" w:rsidRPr="00AC16DD" w:rsidRDefault="00C12C72" w:rsidP="00C97D8A">
      <w:pPr>
        <w:spacing w:line="360" w:lineRule="auto"/>
        <w:jc w:val="both"/>
        <w:rPr>
          <w:rFonts w:ascii="Arial" w:hAnsi="Arial" w:cs="Arial"/>
        </w:rPr>
      </w:pPr>
      <w:r w:rsidRPr="00AC16DD">
        <w:rPr>
          <w:rFonts w:ascii="Arial" w:hAnsi="Arial" w:cs="Arial"/>
        </w:rPr>
        <w:t>Health and social care practices in the United Kingdom are based on principles that ensure care is safe, effective, and compassionate. Among the key principles are person-centred care, collaborative working, and ethical practice. These principles guarantee that individuals receive care that honours their dignity, values, and preferences while fostering cooperation between professionals, service users, and families. They are underpinned by legislation and professional guidelines, including the Care Act 2014, the Health and Care Act 2022, the Equality Act 2010, and the Nursing and Midwifery Council (NMC) Code (2018). Implementing these principles enhances health outcomes, safeguards the rights of service users, and upholds high professional standards. This report examines the importance of these principles, considers relevant theories and legislation, applies them to Joan’s case study and concludes with a personal reflection using Gibbs’ Reflective Cycle.</w:t>
      </w:r>
    </w:p>
    <w:p w14:paraId="73611159" w14:textId="77777777" w:rsidR="000F3FE8" w:rsidRPr="00AC16DD" w:rsidRDefault="000F3FE8" w:rsidP="00C97D8A">
      <w:pPr>
        <w:spacing w:line="360" w:lineRule="auto"/>
        <w:jc w:val="both"/>
        <w:rPr>
          <w:rFonts w:ascii="Arial" w:hAnsi="Arial" w:cs="Arial"/>
        </w:rPr>
      </w:pPr>
    </w:p>
    <w:p w14:paraId="1F8FCB22" w14:textId="77777777" w:rsidR="00C12C72" w:rsidRPr="00A90DB4" w:rsidRDefault="00C12C72" w:rsidP="00C97D8A">
      <w:pPr>
        <w:pStyle w:val="Heading1"/>
        <w:spacing w:line="360" w:lineRule="auto"/>
        <w:jc w:val="both"/>
        <w:rPr>
          <w:rFonts w:ascii="Arial" w:hAnsi="Arial" w:cs="Arial"/>
          <w:b/>
          <w:bCs/>
          <w:color w:val="000000" w:themeColor="text1"/>
          <w:sz w:val="22"/>
          <w:szCs w:val="22"/>
        </w:rPr>
      </w:pPr>
      <w:bookmarkStart w:id="1" w:name="_Toc234017208"/>
      <w:r w:rsidRPr="00A90DB4">
        <w:rPr>
          <w:rFonts w:ascii="Arial" w:hAnsi="Arial" w:cs="Arial"/>
          <w:b/>
          <w:bCs/>
          <w:color w:val="000000" w:themeColor="text1"/>
          <w:sz w:val="22"/>
          <w:szCs w:val="22"/>
        </w:rPr>
        <w:t>Task 1: Reflection on the Importance of Principles of Health and Social Care Practice</w:t>
      </w:r>
      <w:bookmarkEnd w:id="1"/>
    </w:p>
    <w:p w14:paraId="6A70A01B" w14:textId="77777777" w:rsidR="00C12C72" w:rsidRPr="00AC16DD" w:rsidRDefault="00C12C72" w:rsidP="00C97D8A">
      <w:pPr>
        <w:spacing w:line="360" w:lineRule="auto"/>
        <w:jc w:val="both"/>
        <w:rPr>
          <w:rFonts w:ascii="Arial" w:hAnsi="Arial" w:cs="Arial"/>
        </w:rPr>
      </w:pPr>
      <w:r w:rsidRPr="00AC16DD">
        <w:rPr>
          <w:rFonts w:ascii="Arial" w:hAnsi="Arial" w:cs="Arial"/>
        </w:rPr>
        <w:t>Person-centred care constitutes a foundational principle within health and social care. This approach recognises individuals as active partners in their care by respecting their preferences, values, and beliefs and involving them in decisions about treatment and support. Rather than concentrating solely on illness, professionals address the needs of the whole person. According to NICE (2023), person-centred care fosters dignity, choice, independence, and shared decision-making, thereby enhancing experiences and improving health outcomes. The significance of this approach is further supported by Maslow's Hierarchy of Needs (Maslow, 1943). Maslow suggested that wellbeing depends on meeting physiological, safety, social, esteem and self-actualisation needs. Health professionals should therefore address emotional, psychological and social needs alongside physical health. When individuals participate in planning their care, they are more likely to develop confidence, improve self-management and experience greater satisfaction. However, implementing person-centred care can be challenging due to staffing pressures, communication barriers, and the increasing demand for services. Professionals must balance individual preferences with available resources while maintaining safe and effective care.</w:t>
      </w:r>
    </w:p>
    <w:p w14:paraId="7DBB13F5" w14:textId="77777777" w:rsidR="00C12C72" w:rsidRPr="00AC16DD" w:rsidRDefault="00C12C72" w:rsidP="00C97D8A">
      <w:pPr>
        <w:spacing w:line="360" w:lineRule="auto"/>
        <w:jc w:val="both"/>
        <w:rPr>
          <w:rFonts w:ascii="Arial" w:hAnsi="Arial" w:cs="Arial"/>
        </w:rPr>
      </w:pPr>
      <w:r w:rsidRPr="00AC16DD">
        <w:rPr>
          <w:rFonts w:ascii="Arial" w:hAnsi="Arial" w:cs="Arial"/>
        </w:rPr>
        <w:t xml:space="preserve">Partnership working represents a fundamental principle in health and social care. It entails collaboration among service users, families, carers, and professionals to deliver coordinated </w:t>
      </w:r>
      <w:r w:rsidRPr="00AC16DD">
        <w:rPr>
          <w:rFonts w:ascii="Arial" w:hAnsi="Arial" w:cs="Arial"/>
        </w:rPr>
        <w:lastRenderedPageBreak/>
        <w:t>and holistic care. The Health and Care Act 2022 reinforced the role of integrated care systems across England, promoting inter-organisational cooperation to address health inequalities and improve outcomes. Effective partnership working facilitates continuity of care, minimises service duplication, and enables professionals to integrate their knowledge and expertise.</w:t>
      </w:r>
    </w:p>
    <w:p w14:paraId="0CF98A47" w14:textId="77777777" w:rsidR="00C12C72" w:rsidRPr="00AC16DD" w:rsidRDefault="00C12C72" w:rsidP="00C97D8A">
      <w:pPr>
        <w:spacing w:line="360" w:lineRule="auto"/>
        <w:jc w:val="both"/>
        <w:rPr>
          <w:rFonts w:ascii="Arial" w:hAnsi="Arial" w:cs="Arial"/>
        </w:rPr>
      </w:pPr>
      <w:r w:rsidRPr="00AC16DD">
        <w:rPr>
          <w:rFonts w:ascii="Arial" w:hAnsi="Arial" w:cs="Arial"/>
        </w:rPr>
        <w:t>Bronfenbrenner's Ecological Systems Theory (1979) emphasises the impact of relationships, community, and broader social systems on health and wellbeing. This theoretical framework underpins the importance of partnership working, as effective communication and collaboration among professionals, families, and organisations facilitate the comprehensive addressing of individuals' physical, emotional, and social needs. However, challenges such as inadequate communication, concerns regarding confidentiality, and conflicting professional priorities may impede collaborative practice. To overcome these barriers, regular communication, strong leadership, and shared goals are essential.</w:t>
      </w:r>
    </w:p>
    <w:p w14:paraId="5C3A8B66" w14:textId="77777777" w:rsidR="00C12C72" w:rsidRPr="00AC16DD" w:rsidRDefault="00C12C72" w:rsidP="00C97D8A">
      <w:pPr>
        <w:spacing w:line="360" w:lineRule="auto"/>
        <w:jc w:val="both"/>
        <w:rPr>
          <w:rFonts w:ascii="Arial" w:hAnsi="Arial" w:cs="Arial"/>
        </w:rPr>
      </w:pPr>
      <w:r w:rsidRPr="00AC16DD">
        <w:rPr>
          <w:rFonts w:ascii="Arial" w:hAnsi="Arial" w:cs="Arial"/>
        </w:rPr>
        <w:t>Ethical practice forms the foundation of professional decision-making. Beauchamp and Childress (2019) identify four core ethical principles: autonomy, beneficence, non-maleficence, and justice. These principles require professionals to respect individuals' choices, act in their best interests, avoid harm, and ensure equitable access to care.</w:t>
      </w:r>
    </w:p>
    <w:p w14:paraId="4D02BE71" w14:textId="77777777" w:rsidR="00C12C72" w:rsidRPr="00AC16DD" w:rsidRDefault="00C12C72" w:rsidP="00C97D8A">
      <w:pPr>
        <w:spacing w:line="360" w:lineRule="auto"/>
        <w:jc w:val="both"/>
        <w:rPr>
          <w:rFonts w:ascii="Arial" w:hAnsi="Arial" w:cs="Arial"/>
        </w:rPr>
      </w:pPr>
      <w:r w:rsidRPr="00AC16DD">
        <w:rPr>
          <w:rFonts w:ascii="Arial" w:hAnsi="Arial" w:cs="Arial"/>
        </w:rPr>
        <w:t>These principles are supported by the Care Act 2014, the Mental Capacity Act 2005 and the NMC Code (2018), which promote dignity, confidentiality, safeguarding and equality. The Care Quality Commission regulates services to ensure they are safe, effective, caring, responsive, and well-led. The NHS 6Cs—care, compassion, competence, communication, courage and commitment—reinforce these professional values.</w:t>
      </w:r>
    </w:p>
    <w:p w14:paraId="4C19609D" w14:textId="4223BF1D" w:rsidR="002F4580" w:rsidRDefault="00C12C72" w:rsidP="00C97D8A">
      <w:pPr>
        <w:spacing w:line="360" w:lineRule="auto"/>
        <w:jc w:val="both"/>
        <w:rPr>
          <w:rFonts w:ascii="Arial" w:hAnsi="Arial" w:cs="Arial"/>
        </w:rPr>
      </w:pPr>
      <w:r w:rsidRPr="00AC16DD">
        <w:rPr>
          <w:rFonts w:ascii="Arial" w:hAnsi="Arial" w:cs="Arial"/>
        </w:rPr>
        <w:t>Overall, person-centred care, partnership working and ethical practice are closely linked. Together, they improve the quality of care, strengthen teamwork, and promote positive outcomes. Although challenges such as limited resources and communication barriers remain, applying legislation, professional standards and evidence-based practice enables professionals to deliver safe, compassionate and effective care.</w:t>
      </w:r>
    </w:p>
    <w:p w14:paraId="1514E6BC" w14:textId="77777777" w:rsidR="0045469A" w:rsidRDefault="0045469A" w:rsidP="00C97D8A">
      <w:pPr>
        <w:spacing w:line="360" w:lineRule="auto"/>
        <w:jc w:val="both"/>
        <w:rPr>
          <w:rFonts w:ascii="Arial" w:hAnsi="Arial" w:cs="Arial"/>
        </w:rPr>
      </w:pPr>
    </w:p>
    <w:p w14:paraId="5EDA4EE1" w14:textId="77777777" w:rsidR="0045469A" w:rsidRDefault="0045469A" w:rsidP="00C97D8A">
      <w:pPr>
        <w:spacing w:line="360" w:lineRule="auto"/>
        <w:jc w:val="both"/>
        <w:rPr>
          <w:rFonts w:ascii="Arial" w:hAnsi="Arial" w:cs="Arial"/>
        </w:rPr>
      </w:pPr>
    </w:p>
    <w:p w14:paraId="3D90936B" w14:textId="77777777" w:rsidR="0045469A" w:rsidRDefault="0045469A" w:rsidP="00C97D8A">
      <w:pPr>
        <w:spacing w:line="360" w:lineRule="auto"/>
        <w:jc w:val="both"/>
        <w:rPr>
          <w:rFonts w:ascii="Arial" w:hAnsi="Arial" w:cs="Arial"/>
        </w:rPr>
      </w:pPr>
    </w:p>
    <w:p w14:paraId="2CCE2C5E" w14:textId="77777777" w:rsidR="0045469A" w:rsidRPr="00AC16DD" w:rsidRDefault="0045469A" w:rsidP="00C97D8A">
      <w:pPr>
        <w:spacing w:line="360" w:lineRule="auto"/>
        <w:jc w:val="both"/>
        <w:rPr>
          <w:rFonts w:ascii="Arial" w:hAnsi="Arial" w:cs="Arial"/>
        </w:rPr>
      </w:pPr>
    </w:p>
    <w:p w14:paraId="20125305" w14:textId="77777777" w:rsidR="00C12C72" w:rsidRPr="00A90DB4" w:rsidRDefault="00C12C72" w:rsidP="00C97D8A">
      <w:pPr>
        <w:pStyle w:val="Heading1"/>
        <w:spacing w:line="360" w:lineRule="auto"/>
        <w:jc w:val="both"/>
        <w:rPr>
          <w:rFonts w:ascii="Arial" w:hAnsi="Arial" w:cs="Arial"/>
          <w:b/>
          <w:bCs/>
          <w:color w:val="000000" w:themeColor="text1"/>
          <w:sz w:val="22"/>
          <w:szCs w:val="22"/>
        </w:rPr>
      </w:pPr>
      <w:bookmarkStart w:id="2" w:name="_Toc234017209"/>
      <w:r w:rsidRPr="00A90DB4">
        <w:rPr>
          <w:rFonts w:ascii="Arial" w:hAnsi="Arial" w:cs="Arial"/>
          <w:b/>
          <w:bCs/>
          <w:color w:val="000000" w:themeColor="text1"/>
          <w:sz w:val="22"/>
          <w:szCs w:val="22"/>
        </w:rPr>
        <w:lastRenderedPageBreak/>
        <w:t>Task 2: Practical Example in Practice – Joan's Case Study</w:t>
      </w:r>
      <w:bookmarkEnd w:id="2"/>
    </w:p>
    <w:p w14:paraId="7A07AA79" w14:textId="77777777" w:rsidR="00C12C72" w:rsidRPr="00AC16DD" w:rsidRDefault="00C12C72" w:rsidP="00C97D8A">
      <w:pPr>
        <w:spacing w:line="360" w:lineRule="auto"/>
        <w:jc w:val="both"/>
        <w:rPr>
          <w:rFonts w:ascii="Arial" w:hAnsi="Arial" w:cs="Arial"/>
        </w:rPr>
      </w:pPr>
      <w:r w:rsidRPr="00AC16DD">
        <w:rPr>
          <w:rFonts w:ascii="Arial" w:hAnsi="Arial" w:cs="Arial"/>
        </w:rPr>
        <w:t>Joan's case study demonstrates how person-centred care, partnership working and ethical practice can improve outcomes for individuals living with long-term health conditions. Joan had Chronic Obstructive Pulmonary Disease (COPD), which significantly affected her mobility, confidence and ability to manage everyday activities. As a result, she frequently missed healthcare appointments and found it difficult to engage with professionals. Rather than viewing her behaviour as non-compliance, the multidisciplinary team adopted a person-centred approach to understand the reasons behind her difficulties and identify appropriate interventions.</w:t>
      </w:r>
    </w:p>
    <w:p w14:paraId="1323E4FD" w14:textId="77777777" w:rsidR="00C12C72" w:rsidRPr="00AC16DD" w:rsidRDefault="00C12C72" w:rsidP="00C97D8A">
      <w:pPr>
        <w:spacing w:line="360" w:lineRule="auto"/>
        <w:jc w:val="both"/>
        <w:rPr>
          <w:rFonts w:ascii="Arial" w:hAnsi="Arial" w:cs="Arial"/>
        </w:rPr>
      </w:pPr>
      <w:r w:rsidRPr="00AC16DD">
        <w:rPr>
          <w:rFonts w:ascii="Arial" w:hAnsi="Arial" w:cs="Arial"/>
        </w:rPr>
        <w:t>Person-centred care was central to Joan's support. Healthcare professionals took time to develop a trusting relationship through regular discussions and assessments, encouraging Joan to express her concerns, priorities and personal goals. Instead of focusing only on her COPD, they considered her physical health, emotional wellbeing and social circumstances. This holistic assessment enabled the team to create an individualised care plan that reflected Joan's preferences and encouraged her to participate in decisions about her treatment.</w:t>
      </w:r>
    </w:p>
    <w:p w14:paraId="6314694B" w14:textId="77777777" w:rsidR="00C12C72" w:rsidRPr="00AC16DD" w:rsidRDefault="00C12C72" w:rsidP="00C97D8A">
      <w:pPr>
        <w:spacing w:line="360" w:lineRule="auto"/>
        <w:jc w:val="both"/>
        <w:rPr>
          <w:rFonts w:ascii="Arial" w:hAnsi="Arial" w:cs="Arial"/>
        </w:rPr>
      </w:pPr>
      <w:r w:rsidRPr="00AC16DD">
        <w:rPr>
          <w:rFonts w:ascii="Arial" w:hAnsi="Arial" w:cs="Arial"/>
        </w:rPr>
        <w:t>The Patient Activation Measure (PAM) was used to assess Joan's confidence, knowledge and ability to manage her condition independently. This assessment helped professionals identify the level of support she required while encouraging her to become more actively involved in managing her health. As Joan's confidence increased, she became more engaged in her care and developed greater independence. This approach reflects the ethical principle of autonomy by respecting her right to make informed choices and participate in decisions affecting her health.</w:t>
      </w:r>
    </w:p>
    <w:p w14:paraId="2118429B" w14:textId="77777777" w:rsidR="00C12C72" w:rsidRPr="00AC16DD" w:rsidRDefault="00C12C72" w:rsidP="00C97D8A">
      <w:pPr>
        <w:spacing w:line="360" w:lineRule="auto"/>
        <w:jc w:val="both"/>
        <w:rPr>
          <w:rFonts w:ascii="Arial" w:hAnsi="Arial" w:cs="Arial"/>
        </w:rPr>
      </w:pPr>
      <w:r w:rsidRPr="00AC16DD">
        <w:rPr>
          <w:rFonts w:ascii="Arial" w:hAnsi="Arial" w:cs="Arial"/>
        </w:rPr>
        <w:t>Partnership working played an equally important role in improving Joan's outcomes. Her care involved close collaboration between her general practitioner, specialist physiotherapist, therapy team and family members. Effective communication and information sharing enabled professionals to develop a comprehensive understanding of Joan's health needs. Through this collaborative approach, they discovered that poorly managed Crohn's disease, rather than a lack of motivation, was preventing Joan from attending appointments and participating fully in rehabilitation. Once this underlying problem was identified, appropriate medical treatment was arranged while rehabilitation continued. Professionals worked together to coordinate appointments, monitor Joan's progress, and review her care plan as needed. Her family also provided valuable emotional support by encouraging her to remain engaged with treatment and participate in everyday activities. With increasing confidence, Joan eventually went Christmas shopping with her daughter, demonstrating improvements not only in her physical health but also in her emotional well-being and social participation.</w:t>
      </w:r>
    </w:p>
    <w:p w14:paraId="3ABFFE6A" w14:textId="77777777" w:rsidR="00C12C72" w:rsidRPr="00AC16DD" w:rsidRDefault="00C12C72" w:rsidP="00C97D8A">
      <w:pPr>
        <w:spacing w:line="360" w:lineRule="auto"/>
        <w:jc w:val="both"/>
        <w:rPr>
          <w:rFonts w:ascii="Arial" w:hAnsi="Arial" w:cs="Arial"/>
        </w:rPr>
      </w:pPr>
      <w:r w:rsidRPr="00AC16DD">
        <w:rPr>
          <w:rFonts w:ascii="Arial" w:hAnsi="Arial" w:cs="Arial"/>
        </w:rPr>
        <w:lastRenderedPageBreak/>
        <w:t>Ethical practice was evident throughout Joan's care. Professionals listened to her concerns without judgement and ensured that her views were respected when making decisions. This demonstrated autonomy by involving Joan in planning her care. Beneficence was demonstrated by identifying barriers affecting her health and providing appropriate interventions to promote her well-being. Non-maleficence was reflected in the careful planning of treatment to avoid unnecessary harm, while justice was demonstrated by ensuring fair access to healthcare services and coordinated multidisciplinary support. Confidentiality was maintained throughout the process in accordance with professional standards and legal requirements.</w:t>
      </w:r>
    </w:p>
    <w:p w14:paraId="728FF4A2" w14:textId="77777777" w:rsidR="00C12C72" w:rsidRPr="00AC16DD" w:rsidRDefault="00C12C72" w:rsidP="00C97D8A">
      <w:pPr>
        <w:spacing w:line="360" w:lineRule="auto"/>
        <w:jc w:val="both"/>
        <w:rPr>
          <w:rFonts w:ascii="Arial" w:hAnsi="Arial" w:cs="Arial"/>
        </w:rPr>
      </w:pPr>
      <w:r w:rsidRPr="00AC16DD">
        <w:rPr>
          <w:rFonts w:ascii="Arial" w:hAnsi="Arial" w:cs="Arial"/>
        </w:rPr>
        <w:t>Joan's care also reflected important legislation and professional guidance. The Care Act 2014 promotes wellbeing, independence and personalised care, all of which were evident in the support provided. The Health and Care Act 2022 encourages integrated working across health and social care organisations, enabling professionals from different disciplines to coordinate care effectively. NICE guidance on shared decision-making was also reflected by involving Joan in developing her care plan and respecting her preferences. Furthermore, the values of the NHS 6Cs—particularly care, compassion, communication and commitment—were demonstrated throughout the interventions.</w:t>
      </w:r>
    </w:p>
    <w:p w14:paraId="17A8D9AC" w14:textId="77777777" w:rsidR="00C12C72" w:rsidRPr="00AC16DD" w:rsidRDefault="00C12C72" w:rsidP="00C97D8A">
      <w:pPr>
        <w:spacing w:line="360" w:lineRule="auto"/>
        <w:jc w:val="both"/>
        <w:rPr>
          <w:rFonts w:ascii="Arial" w:hAnsi="Arial" w:cs="Arial"/>
        </w:rPr>
      </w:pPr>
      <w:r w:rsidRPr="00AC16DD">
        <w:rPr>
          <w:rFonts w:ascii="Arial" w:hAnsi="Arial" w:cs="Arial"/>
        </w:rPr>
        <w:t>The outcomes achieved were positive for both Joan and the professionals involved in her care. Joan became more confident in managing her COPD, attended appointments more consistently and experienced fewer emergency hospital admissions. Her improved Patient Activation Measure score showed increased knowledge, confidence and ability to self-manage her condition. She also regained confidence in performing daily activities and participating in social events, thereby improving her overall quality of life.</w:t>
      </w:r>
    </w:p>
    <w:p w14:paraId="43B367D6" w14:textId="77777777" w:rsidR="00C12C72" w:rsidRPr="00AC16DD" w:rsidRDefault="00C12C72" w:rsidP="00C97D8A">
      <w:pPr>
        <w:spacing w:line="360" w:lineRule="auto"/>
        <w:jc w:val="both"/>
        <w:rPr>
          <w:rFonts w:ascii="Arial" w:hAnsi="Arial" w:cs="Arial"/>
        </w:rPr>
      </w:pPr>
      <w:r w:rsidRPr="00AC16DD">
        <w:rPr>
          <w:rFonts w:ascii="Arial" w:hAnsi="Arial" w:cs="Arial"/>
        </w:rPr>
        <w:t>Healthcare professionals also benefited from collaborative working. Regular communication improved decision-making, reduced service duplication, and ensured that interventions were coordinated effectively. Working as a multidisciplinary team enabled professionals to combine their expertise and deliver more holistic, efficient care.</w:t>
      </w:r>
    </w:p>
    <w:p w14:paraId="54A35A1A" w14:textId="77777777" w:rsidR="00C12C72" w:rsidRPr="00AC16DD" w:rsidRDefault="00C12C72" w:rsidP="00C97D8A">
      <w:pPr>
        <w:spacing w:line="360" w:lineRule="auto"/>
        <w:jc w:val="both"/>
        <w:rPr>
          <w:rFonts w:ascii="Arial" w:hAnsi="Arial" w:cs="Arial"/>
        </w:rPr>
      </w:pPr>
      <w:r w:rsidRPr="00AC16DD">
        <w:rPr>
          <w:rFonts w:ascii="Arial" w:hAnsi="Arial" w:cs="Arial"/>
        </w:rPr>
        <w:t>Despite these positive outcomes, Joan's case also highlights challenges commonly experienced within health and social care. Managing multiple long-term conditions required ongoing assessment and flexibility, while maintaining effective communication between different organisations demanded time and commitment. Joan's initial lack of confidence and reduced engagement also required patience and consistent encouragement from professionals and family members.</w:t>
      </w:r>
    </w:p>
    <w:p w14:paraId="19C47DBA" w14:textId="77777777" w:rsidR="00C12C72" w:rsidRDefault="00C12C72" w:rsidP="00C97D8A">
      <w:pPr>
        <w:spacing w:line="360" w:lineRule="auto"/>
        <w:jc w:val="both"/>
        <w:rPr>
          <w:rFonts w:ascii="Arial" w:hAnsi="Arial" w:cs="Arial"/>
        </w:rPr>
      </w:pPr>
      <w:r w:rsidRPr="00AC16DD">
        <w:rPr>
          <w:rFonts w:ascii="Arial" w:hAnsi="Arial" w:cs="Arial"/>
        </w:rPr>
        <w:t xml:space="preserve">These challenges were addressed by maintaining regular multidisciplinary meetings, reviewing care plans, appropriately sharing relevant information, and involving Joan at every </w:t>
      </w:r>
      <w:r w:rsidRPr="00AC16DD">
        <w:rPr>
          <w:rFonts w:ascii="Arial" w:hAnsi="Arial" w:cs="Arial"/>
        </w:rPr>
        <w:lastRenderedPageBreak/>
        <w:t>stage of decision-making. This collaborative and person-centred approach ensured that care remained responsive to her changing needs. Overall, Joan's case demonstrates that person-centred care, partnership working and ethical practice are essential for improving health outcomes, promoting independence and delivering high-quality, compassionate care for people living with complex long-term conditions.</w:t>
      </w:r>
    </w:p>
    <w:p w14:paraId="50D7036E" w14:textId="77777777" w:rsidR="00230827" w:rsidRDefault="00230827" w:rsidP="00C97D8A">
      <w:pPr>
        <w:spacing w:line="360" w:lineRule="auto"/>
        <w:jc w:val="both"/>
        <w:rPr>
          <w:rFonts w:ascii="Arial" w:hAnsi="Arial" w:cs="Arial"/>
        </w:rPr>
      </w:pPr>
    </w:p>
    <w:p w14:paraId="42E1417D" w14:textId="77777777" w:rsidR="00230827" w:rsidRDefault="00230827" w:rsidP="00C97D8A">
      <w:pPr>
        <w:spacing w:line="360" w:lineRule="auto"/>
        <w:jc w:val="both"/>
        <w:rPr>
          <w:rFonts w:ascii="Arial" w:hAnsi="Arial" w:cs="Arial"/>
        </w:rPr>
      </w:pPr>
    </w:p>
    <w:p w14:paraId="7538CAE7" w14:textId="77777777" w:rsidR="00230827" w:rsidRDefault="00230827" w:rsidP="00C97D8A">
      <w:pPr>
        <w:spacing w:line="360" w:lineRule="auto"/>
        <w:jc w:val="both"/>
        <w:rPr>
          <w:rFonts w:ascii="Arial" w:hAnsi="Arial" w:cs="Arial"/>
        </w:rPr>
      </w:pPr>
    </w:p>
    <w:p w14:paraId="35ADA37F" w14:textId="77777777" w:rsidR="00230827" w:rsidRDefault="00230827" w:rsidP="00C97D8A">
      <w:pPr>
        <w:spacing w:line="360" w:lineRule="auto"/>
        <w:jc w:val="both"/>
        <w:rPr>
          <w:rFonts w:ascii="Arial" w:hAnsi="Arial" w:cs="Arial"/>
        </w:rPr>
      </w:pPr>
    </w:p>
    <w:p w14:paraId="258E1859" w14:textId="77777777" w:rsidR="00230827" w:rsidRDefault="00230827" w:rsidP="00C97D8A">
      <w:pPr>
        <w:spacing w:line="360" w:lineRule="auto"/>
        <w:jc w:val="both"/>
        <w:rPr>
          <w:rFonts w:ascii="Arial" w:hAnsi="Arial" w:cs="Arial"/>
        </w:rPr>
      </w:pPr>
    </w:p>
    <w:p w14:paraId="1E84C542" w14:textId="77777777" w:rsidR="00230827" w:rsidRDefault="00230827" w:rsidP="00C97D8A">
      <w:pPr>
        <w:spacing w:line="360" w:lineRule="auto"/>
        <w:jc w:val="both"/>
        <w:rPr>
          <w:rFonts w:ascii="Arial" w:hAnsi="Arial" w:cs="Arial"/>
        </w:rPr>
      </w:pPr>
    </w:p>
    <w:p w14:paraId="484F238E" w14:textId="77777777" w:rsidR="00230827" w:rsidRDefault="00230827" w:rsidP="00C97D8A">
      <w:pPr>
        <w:spacing w:line="360" w:lineRule="auto"/>
        <w:jc w:val="both"/>
        <w:rPr>
          <w:rFonts w:ascii="Arial" w:hAnsi="Arial" w:cs="Arial"/>
        </w:rPr>
      </w:pPr>
    </w:p>
    <w:p w14:paraId="58E0EE11" w14:textId="77777777" w:rsidR="00230827" w:rsidRDefault="00230827" w:rsidP="00C97D8A">
      <w:pPr>
        <w:spacing w:line="360" w:lineRule="auto"/>
        <w:jc w:val="both"/>
        <w:rPr>
          <w:rFonts w:ascii="Arial" w:hAnsi="Arial" w:cs="Arial"/>
        </w:rPr>
      </w:pPr>
    </w:p>
    <w:p w14:paraId="272248B3" w14:textId="77777777" w:rsidR="00230827" w:rsidRDefault="00230827" w:rsidP="00C97D8A">
      <w:pPr>
        <w:spacing w:line="360" w:lineRule="auto"/>
        <w:jc w:val="both"/>
        <w:rPr>
          <w:rFonts w:ascii="Arial" w:hAnsi="Arial" w:cs="Arial"/>
        </w:rPr>
      </w:pPr>
    </w:p>
    <w:p w14:paraId="19E22079" w14:textId="77777777" w:rsidR="00230827" w:rsidRDefault="00230827" w:rsidP="00C97D8A">
      <w:pPr>
        <w:spacing w:line="360" w:lineRule="auto"/>
        <w:jc w:val="both"/>
        <w:rPr>
          <w:rFonts w:ascii="Arial" w:hAnsi="Arial" w:cs="Arial"/>
        </w:rPr>
      </w:pPr>
    </w:p>
    <w:p w14:paraId="30FF681F" w14:textId="77777777" w:rsidR="00230827" w:rsidRDefault="00230827" w:rsidP="00C97D8A">
      <w:pPr>
        <w:spacing w:line="360" w:lineRule="auto"/>
        <w:jc w:val="both"/>
        <w:rPr>
          <w:rFonts w:ascii="Arial" w:hAnsi="Arial" w:cs="Arial"/>
        </w:rPr>
      </w:pPr>
    </w:p>
    <w:p w14:paraId="27EFF521" w14:textId="77777777" w:rsidR="00230827" w:rsidRDefault="00230827" w:rsidP="00C97D8A">
      <w:pPr>
        <w:spacing w:line="360" w:lineRule="auto"/>
        <w:jc w:val="both"/>
        <w:rPr>
          <w:rFonts w:ascii="Arial" w:hAnsi="Arial" w:cs="Arial"/>
        </w:rPr>
      </w:pPr>
    </w:p>
    <w:p w14:paraId="61C8E14D" w14:textId="77777777" w:rsidR="00230827" w:rsidRDefault="00230827" w:rsidP="00C97D8A">
      <w:pPr>
        <w:spacing w:line="360" w:lineRule="auto"/>
        <w:jc w:val="both"/>
        <w:rPr>
          <w:rFonts w:ascii="Arial" w:hAnsi="Arial" w:cs="Arial"/>
        </w:rPr>
      </w:pPr>
    </w:p>
    <w:p w14:paraId="064A74D5" w14:textId="77777777" w:rsidR="00230827" w:rsidRDefault="00230827" w:rsidP="00C97D8A">
      <w:pPr>
        <w:spacing w:line="360" w:lineRule="auto"/>
        <w:jc w:val="both"/>
        <w:rPr>
          <w:rFonts w:ascii="Arial" w:hAnsi="Arial" w:cs="Arial"/>
        </w:rPr>
      </w:pPr>
    </w:p>
    <w:p w14:paraId="0DFB9CB7" w14:textId="77777777" w:rsidR="00230827" w:rsidRDefault="00230827" w:rsidP="00C97D8A">
      <w:pPr>
        <w:spacing w:line="360" w:lineRule="auto"/>
        <w:jc w:val="both"/>
        <w:rPr>
          <w:rFonts w:ascii="Arial" w:hAnsi="Arial" w:cs="Arial"/>
        </w:rPr>
      </w:pPr>
    </w:p>
    <w:p w14:paraId="1154226F" w14:textId="77777777" w:rsidR="00230827" w:rsidRDefault="00230827" w:rsidP="00C97D8A">
      <w:pPr>
        <w:spacing w:line="360" w:lineRule="auto"/>
        <w:jc w:val="both"/>
        <w:rPr>
          <w:rFonts w:ascii="Arial" w:hAnsi="Arial" w:cs="Arial"/>
        </w:rPr>
      </w:pPr>
    </w:p>
    <w:p w14:paraId="65E4D9C8" w14:textId="77777777" w:rsidR="00230827" w:rsidRDefault="00230827" w:rsidP="00C97D8A">
      <w:pPr>
        <w:spacing w:line="360" w:lineRule="auto"/>
        <w:jc w:val="both"/>
        <w:rPr>
          <w:rFonts w:ascii="Arial" w:hAnsi="Arial" w:cs="Arial"/>
        </w:rPr>
      </w:pPr>
    </w:p>
    <w:p w14:paraId="31DCF7E1" w14:textId="77777777" w:rsidR="00230827" w:rsidRDefault="00230827" w:rsidP="00C97D8A">
      <w:pPr>
        <w:spacing w:line="360" w:lineRule="auto"/>
        <w:jc w:val="both"/>
        <w:rPr>
          <w:rFonts w:ascii="Arial" w:hAnsi="Arial" w:cs="Arial"/>
        </w:rPr>
      </w:pPr>
    </w:p>
    <w:p w14:paraId="72170D5B" w14:textId="77777777" w:rsidR="00230827" w:rsidRDefault="00230827" w:rsidP="00C97D8A">
      <w:pPr>
        <w:spacing w:line="360" w:lineRule="auto"/>
        <w:jc w:val="both"/>
        <w:rPr>
          <w:rFonts w:ascii="Arial" w:hAnsi="Arial" w:cs="Arial"/>
        </w:rPr>
      </w:pPr>
    </w:p>
    <w:p w14:paraId="39E0D58B" w14:textId="77777777" w:rsidR="0045469A" w:rsidRPr="00AC16DD" w:rsidRDefault="0045469A" w:rsidP="00C97D8A">
      <w:pPr>
        <w:spacing w:line="360" w:lineRule="auto"/>
        <w:jc w:val="both"/>
        <w:rPr>
          <w:rFonts w:ascii="Arial" w:hAnsi="Arial" w:cs="Arial"/>
        </w:rPr>
      </w:pPr>
    </w:p>
    <w:p w14:paraId="2217F9BA" w14:textId="77777777" w:rsidR="00C12C72" w:rsidRPr="009676AA" w:rsidRDefault="00C12C72" w:rsidP="00C97D8A">
      <w:pPr>
        <w:pStyle w:val="Heading1"/>
        <w:spacing w:line="360" w:lineRule="auto"/>
        <w:jc w:val="both"/>
        <w:rPr>
          <w:rFonts w:ascii="Arial" w:hAnsi="Arial" w:cs="Arial"/>
          <w:b/>
          <w:bCs/>
          <w:color w:val="000000" w:themeColor="text1"/>
          <w:sz w:val="22"/>
          <w:szCs w:val="22"/>
        </w:rPr>
      </w:pPr>
      <w:bookmarkStart w:id="3" w:name="_Toc234017210"/>
      <w:r w:rsidRPr="009676AA">
        <w:rPr>
          <w:rFonts w:ascii="Arial" w:hAnsi="Arial" w:cs="Arial"/>
          <w:b/>
          <w:bCs/>
          <w:color w:val="000000" w:themeColor="text1"/>
          <w:sz w:val="22"/>
          <w:szCs w:val="22"/>
        </w:rPr>
        <w:lastRenderedPageBreak/>
        <w:t>Task 3: Self-Reflection as a Healthcare Assistant (Gibbs' Reflective Cycle)</w:t>
      </w:r>
      <w:bookmarkEnd w:id="3"/>
    </w:p>
    <w:p w14:paraId="0CD40E0B" w14:textId="77777777" w:rsidR="00C12C72" w:rsidRPr="00AC16DD" w:rsidRDefault="00C12C72" w:rsidP="00C97D8A">
      <w:pPr>
        <w:spacing w:line="360" w:lineRule="auto"/>
        <w:jc w:val="both"/>
        <w:rPr>
          <w:rFonts w:ascii="Arial" w:hAnsi="Arial" w:cs="Arial"/>
        </w:rPr>
      </w:pPr>
      <w:r w:rsidRPr="00AC16DD">
        <w:rPr>
          <w:rFonts w:ascii="Arial" w:hAnsi="Arial" w:cs="Arial"/>
        </w:rPr>
        <w:t>Thinking about Joan's case has helped me better understand person-centred care, partnership working, and ethical practice. While working as a Healthcare Assistant, I cared for an elderly patient recovering from surgery who felt anxious about personal care and was hesitant to interact with staff.</w:t>
      </w:r>
    </w:p>
    <w:p w14:paraId="3E2B7BB0" w14:textId="77777777" w:rsidR="00C12C72" w:rsidRPr="00AC16DD" w:rsidRDefault="00C12C72" w:rsidP="00C97D8A">
      <w:pPr>
        <w:spacing w:line="360" w:lineRule="auto"/>
        <w:jc w:val="both"/>
        <w:rPr>
          <w:rFonts w:ascii="Arial" w:hAnsi="Arial" w:cs="Arial"/>
        </w:rPr>
      </w:pPr>
      <w:r w:rsidRPr="00AC16DD">
        <w:rPr>
          <w:rFonts w:ascii="Arial" w:hAnsi="Arial" w:cs="Arial"/>
        </w:rPr>
        <w:t>I intended to give the patient the care they needed while also respecting their dignity and independence. I noticed that hurrying made them more anxious, so I stayed calm, explained each step, and reassured them as I went along.</w:t>
      </w:r>
    </w:p>
    <w:p w14:paraId="2534D18D" w14:textId="77777777" w:rsidR="00C12C72" w:rsidRPr="00AC16DD" w:rsidRDefault="00C12C72" w:rsidP="00C97D8A">
      <w:pPr>
        <w:spacing w:line="360" w:lineRule="auto"/>
        <w:jc w:val="both"/>
        <w:rPr>
          <w:rFonts w:ascii="Arial" w:hAnsi="Arial" w:cs="Arial"/>
        </w:rPr>
      </w:pPr>
      <w:r w:rsidRPr="00AC16DD">
        <w:rPr>
          <w:rFonts w:ascii="Arial" w:hAnsi="Arial" w:cs="Arial"/>
        </w:rPr>
        <w:t>I introduced myself, encouraged the patient to make choices, and ensured the curtains were closed for privacy before providing care. I also shared my observations with the registered nurse so the team could adjust the care plan. This showed person-centred care and good teamwork.</w:t>
      </w:r>
    </w:p>
    <w:p w14:paraId="7657D40E" w14:textId="77777777" w:rsidR="00C12C72" w:rsidRPr="00AC16DD" w:rsidRDefault="00C12C72" w:rsidP="00C97D8A">
      <w:pPr>
        <w:spacing w:line="360" w:lineRule="auto"/>
        <w:jc w:val="both"/>
        <w:rPr>
          <w:rFonts w:ascii="Arial" w:hAnsi="Arial" w:cs="Arial"/>
        </w:rPr>
      </w:pPr>
      <w:r w:rsidRPr="00AC16DD">
        <w:rPr>
          <w:rFonts w:ascii="Arial" w:hAnsi="Arial" w:cs="Arial"/>
        </w:rPr>
        <w:t>I also noticed that I was not very confident when dealing with emotional distress and often turned to more experienced colleagues for help. This made me realise I need to work on my communication skills.</w:t>
      </w:r>
    </w:p>
    <w:p w14:paraId="226F0204" w14:textId="77777777" w:rsidR="00C12C72" w:rsidRPr="00AC16DD" w:rsidRDefault="00C12C72" w:rsidP="00C97D8A">
      <w:pPr>
        <w:spacing w:line="360" w:lineRule="auto"/>
        <w:jc w:val="both"/>
        <w:rPr>
          <w:rFonts w:ascii="Arial" w:hAnsi="Arial" w:cs="Arial"/>
        </w:rPr>
      </w:pPr>
      <w:r w:rsidRPr="00AC16DD">
        <w:rPr>
          <w:rFonts w:ascii="Arial" w:hAnsi="Arial" w:cs="Arial"/>
        </w:rPr>
        <w:t>This experience revealed to me that person-centred care means building trust, respecting dignity, and involving patients in decisions, not simply getting tasks done. It also showed how important teamwork is, since sharing information with the nurse helped ensure safe, consistent care.</w:t>
      </w:r>
    </w:p>
    <w:p w14:paraId="17AD20B5" w14:textId="77777777" w:rsidR="00C12C72" w:rsidRPr="00AC16DD" w:rsidRDefault="00C12C72" w:rsidP="00C97D8A">
      <w:pPr>
        <w:spacing w:line="360" w:lineRule="auto"/>
        <w:jc w:val="both"/>
        <w:rPr>
          <w:rFonts w:ascii="Arial" w:hAnsi="Arial" w:cs="Arial"/>
        </w:rPr>
      </w:pPr>
      <w:r w:rsidRPr="00AC16DD">
        <w:rPr>
          <w:rFonts w:ascii="Arial" w:hAnsi="Arial" w:cs="Arial"/>
        </w:rPr>
        <w:t>I adhered to ethical principles by respecting privacy, maintaining confidentiality, and supporting the patient's independence. My actions aligned with the Care Act 2014, the NMC Code (2018), and the NHS 6Cs, demonstrating compassion, effective communication, and professionalism.</w:t>
      </w:r>
    </w:p>
    <w:p w14:paraId="67CC7DA4" w14:textId="77777777" w:rsidR="00C12C72" w:rsidRPr="00AC16DD" w:rsidRDefault="00C12C72" w:rsidP="00C97D8A">
      <w:pPr>
        <w:spacing w:line="360" w:lineRule="auto"/>
        <w:jc w:val="both"/>
        <w:rPr>
          <w:rFonts w:ascii="Arial" w:hAnsi="Arial" w:cs="Arial"/>
        </w:rPr>
      </w:pPr>
      <w:r w:rsidRPr="00AC16DD">
        <w:rPr>
          <w:rFonts w:ascii="Arial" w:hAnsi="Arial" w:cs="Arial"/>
        </w:rPr>
        <w:t>Thinking about this experience reminded me of my strengths in empathy, listening, and considerate communication. It also showed me that I need to become more confident when helping patients who are upset or have trouble communicating.</w:t>
      </w:r>
    </w:p>
    <w:p w14:paraId="2AFCFE21" w14:textId="77777777" w:rsidR="00C12C72" w:rsidRPr="00AC16DD" w:rsidRDefault="00C12C72" w:rsidP="00C97D8A">
      <w:pPr>
        <w:spacing w:line="360" w:lineRule="auto"/>
        <w:jc w:val="both"/>
        <w:rPr>
          <w:rFonts w:ascii="Arial" w:hAnsi="Arial" w:cs="Arial"/>
        </w:rPr>
      </w:pPr>
      <w:r w:rsidRPr="00AC16DD">
        <w:rPr>
          <w:rFonts w:ascii="Arial" w:hAnsi="Arial" w:cs="Arial"/>
        </w:rPr>
        <w:t>To get better at my job, I plan to take more training in communication, dementia awareness, and long-term conditions like COPD. I will also keep learning about laws, safeguarding, and best practices by participating in professional development and seeking feedback from colleagues.</w:t>
      </w:r>
    </w:p>
    <w:p w14:paraId="5A614403" w14:textId="79684747" w:rsidR="00BF6406" w:rsidRPr="00AC16DD" w:rsidRDefault="00C12C72" w:rsidP="00C97D8A">
      <w:pPr>
        <w:spacing w:line="360" w:lineRule="auto"/>
        <w:jc w:val="both"/>
        <w:rPr>
          <w:rFonts w:ascii="Arial" w:hAnsi="Arial" w:cs="Arial"/>
        </w:rPr>
      </w:pPr>
      <w:r w:rsidRPr="00AC16DD">
        <w:rPr>
          <w:rFonts w:ascii="Arial" w:hAnsi="Arial" w:cs="Arial"/>
        </w:rPr>
        <w:t>Going forward, I will continue to involve patients in decisions about their care, work well with the team, and ensure I remain confidential, fair, and professional. Regularly using Gibbs' Reflective Cycle will help me evaluate my work and continue to improve.</w:t>
      </w:r>
    </w:p>
    <w:p w14:paraId="1F421FF0" w14:textId="1856F0D1" w:rsidR="00C12C72" w:rsidRPr="009676AA" w:rsidRDefault="00C12C72" w:rsidP="00C97D8A">
      <w:pPr>
        <w:pStyle w:val="Heading1"/>
        <w:spacing w:line="360" w:lineRule="auto"/>
        <w:jc w:val="both"/>
        <w:rPr>
          <w:rFonts w:ascii="Arial" w:hAnsi="Arial" w:cs="Arial"/>
          <w:b/>
          <w:bCs/>
          <w:color w:val="000000" w:themeColor="text1"/>
          <w:sz w:val="22"/>
          <w:szCs w:val="22"/>
        </w:rPr>
      </w:pPr>
      <w:bookmarkStart w:id="4" w:name="_Toc234017211"/>
      <w:r w:rsidRPr="009676AA">
        <w:rPr>
          <w:rFonts w:ascii="Arial" w:hAnsi="Arial" w:cs="Arial"/>
          <w:b/>
          <w:bCs/>
          <w:color w:val="000000" w:themeColor="text1"/>
          <w:sz w:val="22"/>
          <w:szCs w:val="22"/>
        </w:rPr>
        <w:lastRenderedPageBreak/>
        <w:t>Conclusion</w:t>
      </w:r>
      <w:bookmarkEnd w:id="4"/>
    </w:p>
    <w:p w14:paraId="46D00F28" w14:textId="77777777" w:rsidR="00C12C72" w:rsidRPr="00AC16DD" w:rsidRDefault="00C12C72" w:rsidP="00C97D8A">
      <w:pPr>
        <w:spacing w:line="360" w:lineRule="auto"/>
        <w:jc w:val="both"/>
        <w:rPr>
          <w:rFonts w:ascii="Arial" w:hAnsi="Arial" w:cs="Arial"/>
        </w:rPr>
      </w:pPr>
      <w:r w:rsidRPr="00AC16DD">
        <w:rPr>
          <w:rFonts w:ascii="Arial" w:hAnsi="Arial" w:cs="Arial"/>
        </w:rPr>
        <w:t>This report has examined the importance of person-centred care, partnership working and ethical practice within health and social care. These principles are fundamental to delivering safe, effective and compassionate services that promote dignity, independence and positive outcomes. The discussion demonstrated how Maslow's Hierarchy of Needs and Bronfenbrenner's Ecological Systems Theory support these principles, while legislation and professional guidance provide a framework for high-quality practice. Joan's case study showed how collaborative, personalised care can improve confidence, self-management and quality of life. The personal reflection highlighted the importance of communication, teamwork and continuous professional development in improving practice. By consistently applying these principles, Healthcare Assistants can make a valuable contribution to delivering person-centred, evidence-based care that meets the diverse needs of service users.</w:t>
      </w:r>
    </w:p>
    <w:p w14:paraId="7EDC27E2" w14:textId="77777777" w:rsidR="000F3FE8" w:rsidRPr="00AC16DD" w:rsidRDefault="000F3FE8" w:rsidP="00C97D8A">
      <w:pPr>
        <w:spacing w:line="360" w:lineRule="auto"/>
        <w:jc w:val="both"/>
        <w:rPr>
          <w:rFonts w:ascii="Arial" w:hAnsi="Arial" w:cs="Arial"/>
        </w:rPr>
      </w:pPr>
    </w:p>
    <w:p w14:paraId="2DE6996E" w14:textId="77777777" w:rsidR="000F3FE8" w:rsidRPr="00AC16DD" w:rsidRDefault="000F3FE8" w:rsidP="00C97D8A">
      <w:pPr>
        <w:spacing w:line="360" w:lineRule="auto"/>
        <w:jc w:val="both"/>
        <w:rPr>
          <w:rFonts w:ascii="Arial" w:hAnsi="Arial" w:cs="Arial"/>
        </w:rPr>
      </w:pPr>
    </w:p>
    <w:p w14:paraId="3DC83F6A" w14:textId="77777777" w:rsidR="000F3FE8" w:rsidRPr="00AC16DD" w:rsidRDefault="000F3FE8" w:rsidP="00C97D8A">
      <w:pPr>
        <w:spacing w:line="360" w:lineRule="auto"/>
        <w:jc w:val="both"/>
        <w:rPr>
          <w:rFonts w:ascii="Arial" w:hAnsi="Arial" w:cs="Arial"/>
        </w:rPr>
      </w:pPr>
    </w:p>
    <w:p w14:paraId="12266266" w14:textId="77777777" w:rsidR="000F3FE8" w:rsidRPr="00AC16DD" w:rsidRDefault="000F3FE8" w:rsidP="00C97D8A">
      <w:pPr>
        <w:spacing w:line="360" w:lineRule="auto"/>
        <w:jc w:val="both"/>
        <w:rPr>
          <w:rFonts w:ascii="Arial" w:hAnsi="Arial" w:cs="Arial"/>
        </w:rPr>
      </w:pPr>
    </w:p>
    <w:p w14:paraId="509DEC2A" w14:textId="77777777" w:rsidR="000F3FE8" w:rsidRPr="00AC16DD" w:rsidRDefault="000F3FE8" w:rsidP="00C97D8A">
      <w:pPr>
        <w:spacing w:line="360" w:lineRule="auto"/>
        <w:jc w:val="both"/>
        <w:rPr>
          <w:rFonts w:ascii="Arial" w:hAnsi="Arial" w:cs="Arial"/>
        </w:rPr>
      </w:pPr>
    </w:p>
    <w:p w14:paraId="3F3353F6" w14:textId="77777777" w:rsidR="000F3FE8" w:rsidRPr="00AC16DD" w:rsidRDefault="000F3FE8" w:rsidP="00C97D8A">
      <w:pPr>
        <w:spacing w:line="360" w:lineRule="auto"/>
        <w:jc w:val="both"/>
        <w:rPr>
          <w:rFonts w:ascii="Arial" w:hAnsi="Arial" w:cs="Arial"/>
        </w:rPr>
      </w:pPr>
    </w:p>
    <w:p w14:paraId="4EB61F5B" w14:textId="77777777" w:rsidR="000F3FE8" w:rsidRPr="00AC16DD" w:rsidRDefault="000F3FE8" w:rsidP="00C97D8A">
      <w:pPr>
        <w:spacing w:line="360" w:lineRule="auto"/>
        <w:jc w:val="both"/>
        <w:rPr>
          <w:rFonts w:ascii="Arial" w:hAnsi="Arial" w:cs="Arial"/>
        </w:rPr>
      </w:pPr>
    </w:p>
    <w:p w14:paraId="455129A4" w14:textId="77777777" w:rsidR="000F3FE8" w:rsidRPr="00AC16DD" w:rsidRDefault="000F3FE8" w:rsidP="00C97D8A">
      <w:pPr>
        <w:spacing w:line="360" w:lineRule="auto"/>
        <w:jc w:val="both"/>
        <w:rPr>
          <w:rFonts w:ascii="Arial" w:hAnsi="Arial" w:cs="Arial"/>
        </w:rPr>
      </w:pPr>
    </w:p>
    <w:p w14:paraId="73F5EF25" w14:textId="77777777" w:rsidR="000F3FE8" w:rsidRPr="00AC16DD" w:rsidRDefault="000F3FE8" w:rsidP="00C97D8A">
      <w:pPr>
        <w:spacing w:line="360" w:lineRule="auto"/>
        <w:jc w:val="both"/>
        <w:rPr>
          <w:rFonts w:ascii="Arial" w:hAnsi="Arial" w:cs="Arial"/>
        </w:rPr>
      </w:pPr>
    </w:p>
    <w:p w14:paraId="1EE4BF24" w14:textId="77777777" w:rsidR="000F3FE8" w:rsidRPr="00AC16DD" w:rsidRDefault="000F3FE8" w:rsidP="00C97D8A">
      <w:pPr>
        <w:spacing w:line="360" w:lineRule="auto"/>
        <w:jc w:val="both"/>
        <w:rPr>
          <w:rFonts w:ascii="Arial" w:hAnsi="Arial" w:cs="Arial"/>
        </w:rPr>
      </w:pPr>
    </w:p>
    <w:p w14:paraId="45D8D1A0" w14:textId="77777777" w:rsidR="000F3FE8" w:rsidRPr="00AC16DD" w:rsidRDefault="000F3FE8" w:rsidP="00C97D8A">
      <w:pPr>
        <w:spacing w:line="360" w:lineRule="auto"/>
        <w:jc w:val="both"/>
        <w:rPr>
          <w:rFonts w:ascii="Arial" w:hAnsi="Arial" w:cs="Arial"/>
        </w:rPr>
      </w:pPr>
    </w:p>
    <w:p w14:paraId="488468DC" w14:textId="77777777" w:rsidR="000F3FE8" w:rsidRPr="00AC16DD" w:rsidRDefault="000F3FE8" w:rsidP="00C97D8A">
      <w:pPr>
        <w:spacing w:line="360" w:lineRule="auto"/>
        <w:jc w:val="both"/>
        <w:rPr>
          <w:rFonts w:ascii="Arial" w:hAnsi="Arial" w:cs="Arial"/>
        </w:rPr>
      </w:pPr>
    </w:p>
    <w:p w14:paraId="0E175C19" w14:textId="77777777" w:rsidR="000F3FE8" w:rsidRPr="00AC16DD" w:rsidRDefault="000F3FE8" w:rsidP="00C97D8A">
      <w:pPr>
        <w:spacing w:line="360" w:lineRule="auto"/>
        <w:jc w:val="both"/>
        <w:rPr>
          <w:rFonts w:ascii="Arial" w:hAnsi="Arial" w:cs="Arial"/>
        </w:rPr>
      </w:pPr>
    </w:p>
    <w:p w14:paraId="52BB5799" w14:textId="77777777" w:rsidR="000F3FE8" w:rsidRPr="00AC16DD" w:rsidRDefault="000F3FE8" w:rsidP="00C97D8A">
      <w:pPr>
        <w:spacing w:line="360" w:lineRule="auto"/>
        <w:jc w:val="both"/>
        <w:rPr>
          <w:rFonts w:ascii="Arial" w:hAnsi="Arial" w:cs="Arial"/>
        </w:rPr>
      </w:pPr>
    </w:p>
    <w:p w14:paraId="45744CE5" w14:textId="77777777" w:rsidR="000F3FE8" w:rsidRPr="00AC16DD" w:rsidRDefault="000F3FE8" w:rsidP="00C97D8A">
      <w:pPr>
        <w:spacing w:line="360" w:lineRule="auto"/>
        <w:jc w:val="both"/>
        <w:rPr>
          <w:rFonts w:ascii="Arial" w:hAnsi="Arial" w:cs="Arial"/>
        </w:rPr>
      </w:pPr>
    </w:p>
    <w:p w14:paraId="36E24A9F" w14:textId="77777777" w:rsidR="00C12C72" w:rsidRPr="009676AA" w:rsidRDefault="00C12C72" w:rsidP="00C97D8A">
      <w:pPr>
        <w:pStyle w:val="Heading1"/>
        <w:spacing w:line="360" w:lineRule="auto"/>
        <w:jc w:val="both"/>
        <w:rPr>
          <w:rFonts w:ascii="Arial" w:hAnsi="Arial" w:cs="Arial"/>
          <w:b/>
          <w:bCs/>
          <w:color w:val="000000" w:themeColor="text1"/>
          <w:sz w:val="22"/>
          <w:szCs w:val="22"/>
        </w:rPr>
      </w:pPr>
      <w:bookmarkStart w:id="5" w:name="_Toc234017212"/>
      <w:r w:rsidRPr="009676AA">
        <w:rPr>
          <w:rFonts w:ascii="Arial" w:hAnsi="Arial" w:cs="Arial"/>
          <w:b/>
          <w:bCs/>
          <w:color w:val="000000" w:themeColor="text1"/>
          <w:sz w:val="22"/>
          <w:szCs w:val="22"/>
        </w:rPr>
        <w:lastRenderedPageBreak/>
        <w:t>References</w:t>
      </w:r>
      <w:bookmarkEnd w:id="5"/>
    </w:p>
    <w:p w14:paraId="22558E7B" w14:textId="77777777" w:rsidR="00C12C72" w:rsidRPr="00AC16DD" w:rsidRDefault="00C12C72" w:rsidP="00C97D8A">
      <w:pPr>
        <w:spacing w:line="360" w:lineRule="auto"/>
        <w:jc w:val="both"/>
        <w:rPr>
          <w:rFonts w:ascii="Arial" w:hAnsi="Arial" w:cs="Arial"/>
        </w:rPr>
      </w:pPr>
      <w:r w:rsidRPr="00AC16DD">
        <w:rPr>
          <w:rFonts w:ascii="Arial" w:hAnsi="Arial" w:cs="Arial"/>
        </w:rPr>
        <w:t xml:space="preserve">Beauchamp, T.L. and Childress, J.F. (2019) </w:t>
      </w:r>
      <w:r w:rsidRPr="00AC16DD">
        <w:rPr>
          <w:rFonts w:ascii="Arial" w:hAnsi="Arial" w:cs="Arial"/>
          <w:i/>
          <w:iCs/>
        </w:rPr>
        <w:t>Principles of Biomedical Ethics</w:t>
      </w:r>
      <w:r w:rsidRPr="00AC16DD">
        <w:rPr>
          <w:rFonts w:ascii="Arial" w:hAnsi="Arial" w:cs="Arial"/>
        </w:rPr>
        <w:t xml:space="preserve">. 8th </w:t>
      </w:r>
      <w:proofErr w:type="spellStart"/>
      <w:r w:rsidRPr="00AC16DD">
        <w:rPr>
          <w:rFonts w:ascii="Arial" w:hAnsi="Arial" w:cs="Arial"/>
        </w:rPr>
        <w:t>edn</w:t>
      </w:r>
      <w:proofErr w:type="spellEnd"/>
      <w:r w:rsidRPr="00AC16DD">
        <w:rPr>
          <w:rFonts w:ascii="Arial" w:hAnsi="Arial" w:cs="Arial"/>
        </w:rPr>
        <w:t>. New York: Oxford University Press.</w:t>
      </w:r>
    </w:p>
    <w:p w14:paraId="4747BA8F" w14:textId="77777777" w:rsidR="00C12C72" w:rsidRPr="00AC16DD" w:rsidRDefault="00C12C72" w:rsidP="00C97D8A">
      <w:pPr>
        <w:spacing w:line="360" w:lineRule="auto"/>
        <w:jc w:val="both"/>
        <w:rPr>
          <w:rFonts w:ascii="Arial" w:hAnsi="Arial" w:cs="Arial"/>
        </w:rPr>
      </w:pPr>
      <w:r w:rsidRPr="00AC16DD">
        <w:rPr>
          <w:rFonts w:ascii="Arial" w:hAnsi="Arial" w:cs="Arial"/>
        </w:rPr>
        <w:t>Bronfenbrenner, U. (1979</w:t>
      </w:r>
      <w:r w:rsidRPr="00633FFB">
        <w:rPr>
          <w:rFonts w:ascii="Arial" w:hAnsi="Arial" w:cs="Arial"/>
          <w:i/>
          <w:iCs/>
        </w:rPr>
        <w:t>) The Ecology of Human Development: Experiments by Nature and Design</w:t>
      </w:r>
      <w:r w:rsidRPr="00AC16DD">
        <w:rPr>
          <w:rFonts w:ascii="Arial" w:hAnsi="Arial" w:cs="Arial"/>
        </w:rPr>
        <w:t>. Cambridge, MA: Harvard University Press.</w:t>
      </w:r>
    </w:p>
    <w:p w14:paraId="25CCCA6E" w14:textId="77777777" w:rsidR="00C12C72" w:rsidRPr="00AC16DD" w:rsidRDefault="00C12C72" w:rsidP="00C97D8A">
      <w:pPr>
        <w:spacing w:line="360" w:lineRule="auto"/>
        <w:jc w:val="both"/>
        <w:rPr>
          <w:rFonts w:ascii="Arial" w:hAnsi="Arial" w:cs="Arial"/>
        </w:rPr>
      </w:pPr>
      <w:r w:rsidRPr="00AC16DD">
        <w:rPr>
          <w:rFonts w:ascii="Arial" w:hAnsi="Arial" w:cs="Arial"/>
        </w:rPr>
        <w:t xml:space="preserve">Department of Health and Social Care (2022) </w:t>
      </w:r>
      <w:r w:rsidRPr="00633FFB">
        <w:rPr>
          <w:rFonts w:ascii="Arial" w:hAnsi="Arial" w:cs="Arial"/>
          <w:i/>
          <w:iCs/>
        </w:rPr>
        <w:t>Health and Care Act 2022</w:t>
      </w:r>
      <w:r w:rsidRPr="00AC16DD">
        <w:rPr>
          <w:rFonts w:ascii="Arial" w:hAnsi="Arial" w:cs="Arial"/>
        </w:rPr>
        <w:t>. London: The Stationery Office.</w:t>
      </w:r>
    </w:p>
    <w:p w14:paraId="3C7EA691" w14:textId="77777777" w:rsidR="00C12C72" w:rsidRPr="00AC16DD" w:rsidRDefault="00C12C72" w:rsidP="00C97D8A">
      <w:pPr>
        <w:spacing w:line="360" w:lineRule="auto"/>
        <w:jc w:val="both"/>
        <w:rPr>
          <w:rFonts w:ascii="Arial" w:hAnsi="Arial" w:cs="Arial"/>
        </w:rPr>
      </w:pPr>
      <w:r w:rsidRPr="00AC16DD">
        <w:rPr>
          <w:rFonts w:ascii="Arial" w:hAnsi="Arial" w:cs="Arial"/>
        </w:rPr>
        <w:t xml:space="preserve">Gibbs, G. (1988) </w:t>
      </w:r>
      <w:r w:rsidRPr="00633FFB">
        <w:rPr>
          <w:rFonts w:ascii="Arial" w:hAnsi="Arial" w:cs="Arial"/>
          <w:i/>
          <w:iCs/>
        </w:rPr>
        <w:t>Learning by Doing: A Guide to Teaching and Learning Methods</w:t>
      </w:r>
      <w:r w:rsidRPr="00AC16DD">
        <w:rPr>
          <w:rFonts w:ascii="Arial" w:hAnsi="Arial" w:cs="Arial"/>
        </w:rPr>
        <w:t>. Oxford: Oxford Polytechnic.</w:t>
      </w:r>
    </w:p>
    <w:p w14:paraId="61C8E2E3" w14:textId="77777777" w:rsidR="00C12C72" w:rsidRPr="00AC16DD" w:rsidRDefault="00C12C72" w:rsidP="00C97D8A">
      <w:pPr>
        <w:spacing w:line="360" w:lineRule="auto"/>
        <w:jc w:val="both"/>
        <w:rPr>
          <w:rFonts w:ascii="Arial" w:hAnsi="Arial" w:cs="Arial"/>
        </w:rPr>
      </w:pPr>
      <w:r w:rsidRPr="00AC16DD">
        <w:rPr>
          <w:rFonts w:ascii="Arial" w:hAnsi="Arial" w:cs="Arial"/>
        </w:rPr>
        <w:t xml:space="preserve">HM Government (1998) </w:t>
      </w:r>
      <w:r w:rsidRPr="008A1F47">
        <w:rPr>
          <w:rFonts w:ascii="Arial" w:hAnsi="Arial" w:cs="Arial"/>
          <w:i/>
          <w:iCs/>
        </w:rPr>
        <w:t>Human Rights Act 1998</w:t>
      </w:r>
      <w:r w:rsidRPr="00AC16DD">
        <w:rPr>
          <w:rFonts w:ascii="Arial" w:hAnsi="Arial" w:cs="Arial"/>
        </w:rPr>
        <w:t>. London: The Stationery Office.</w:t>
      </w:r>
    </w:p>
    <w:p w14:paraId="72B512FA" w14:textId="77777777" w:rsidR="00C12C72" w:rsidRPr="00AC16DD" w:rsidRDefault="00C12C72" w:rsidP="00C97D8A">
      <w:pPr>
        <w:spacing w:line="360" w:lineRule="auto"/>
        <w:jc w:val="both"/>
        <w:rPr>
          <w:rFonts w:ascii="Arial" w:hAnsi="Arial" w:cs="Arial"/>
        </w:rPr>
      </w:pPr>
      <w:r w:rsidRPr="00AC16DD">
        <w:rPr>
          <w:rFonts w:ascii="Arial" w:hAnsi="Arial" w:cs="Arial"/>
        </w:rPr>
        <w:t xml:space="preserve">HM Government (2005) </w:t>
      </w:r>
      <w:r w:rsidRPr="008A1F47">
        <w:rPr>
          <w:rFonts w:ascii="Arial" w:hAnsi="Arial" w:cs="Arial"/>
          <w:i/>
          <w:iCs/>
        </w:rPr>
        <w:t>Mental Capacity Act 2005</w:t>
      </w:r>
      <w:r w:rsidRPr="00AC16DD">
        <w:rPr>
          <w:rFonts w:ascii="Arial" w:hAnsi="Arial" w:cs="Arial"/>
        </w:rPr>
        <w:t>. London: The Stationery Office.</w:t>
      </w:r>
    </w:p>
    <w:p w14:paraId="27A5EBF8" w14:textId="77777777" w:rsidR="00C12C72" w:rsidRPr="00AC16DD" w:rsidRDefault="00C12C72" w:rsidP="00C97D8A">
      <w:pPr>
        <w:spacing w:line="360" w:lineRule="auto"/>
        <w:jc w:val="both"/>
        <w:rPr>
          <w:rFonts w:ascii="Arial" w:hAnsi="Arial" w:cs="Arial"/>
        </w:rPr>
      </w:pPr>
      <w:r w:rsidRPr="00AC16DD">
        <w:rPr>
          <w:rFonts w:ascii="Arial" w:hAnsi="Arial" w:cs="Arial"/>
        </w:rPr>
        <w:t xml:space="preserve">HM Government (2010) </w:t>
      </w:r>
      <w:r w:rsidRPr="008A1F47">
        <w:rPr>
          <w:rFonts w:ascii="Arial" w:hAnsi="Arial" w:cs="Arial"/>
          <w:i/>
          <w:iCs/>
        </w:rPr>
        <w:t>Equality Act 2010</w:t>
      </w:r>
      <w:r w:rsidRPr="00AC16DD">
        <w:rPr>
          <w:rFonts w:ascii="Arial" w:hAnsi="Arial" w:cs="Arial"/>
        </w:rPr>
        <w:t>. London: The Stationery Office.</w:t>
      </w:r>
    </w:p>
    <w:p w14:paraId="235A5958" w14:textId="77777777" w:rsidR="00C12C72" w:rsidRPr="00AC16DD" w:rsidRDefault="00C12C72" w:rsidP="00C97D8A">
      <w:pPr>
        <w:spacing w:line="360" w:lineRule="auto"/>
        <w:jc w:val="both"/>
        <w:rPr>
          <w:rFonts w:ascii="Arial" w:hAnsi="Arial" w:cs="Arial"/>
        </w:rPr>
      </w:pPr>
      <w:r w:rsidRPr="00AC16DD">
        <w:rPr>
          <w:rFonts w:ascii="Arial" w:hAnsi="Arial" w:cs="Arial"/>
        </w:rPr>
        <w:t xml:space="preserve">HM Government (2014) </w:t>
      </w:r>
      <w:r w:rsidRPr="008A1F47">
        <w:rPr>
          <w:rFonts w:ascii="Arial" w:hAnsi="Arial" w:cs="Arial"/>
          <w:i/>
          <w:iCs/>
        </w:rPr>
        <w:t>Care Act 2014</w:t>
      </w:r>
      <w:r w:rsidRPr="00AC16DD">
        <w:rPr>
          <w:rFonts w:ascii="Arial" w:hAnsi="Arial" w:cs="Arial"/>
        </w:rPr>
        <w:t>. London: The Stationery Office.</w:t>
      </w:r>
    </w:p>
    <w:p w14:paraId="5C224D0C" w14:textId="77777777" w:rsidR="00C12C72" w:rsidRPr="00AC16DD" w:rsidRDefault="00C12C72" w:rsidP="00C97D8A">
      <w:pPr>
        <w:spacing w:line="360" w:lineRule="auto"/>
        <w:jc w:val="both"/>
        <w:rPr>
          <w:rFonts w:ascii="Arial" w:hAnsi="Arial" w:cs="Arial"/>
        </w:rPr>
      </w:pPr>
      <w:r w:rsidRPr="00AC16DD">
        <w:rPr>
          <w:rFonts w:ascii="Arial" w:hAnsi="Arial" w:cs="Arial"/>
        </w:rPr>
        <w:t xml:space="preserve">Maslow, A.H. (1943) ‘A Theory of Human Motivation’, </w:t>
      </w:r>
      <w:r w:rsidRPr="00A563AA">
        <w:rPr>
          <w:rFonts w:ascii="Arial" w:hAnsi="Arial" w:cs="Arial"/>
          <w:i/>
          <w:iCs/>
        </w:rPr>
        <w:t>Psychological Review</w:t>
      </w:r>
      <w:r w:rsidRPr="00AC16DD">
        <w:rPr>
          <w:rFonts w:ascii="Arial" w:hAnsi="Arial" w:cs="Arial"/>
        </w:rPr>
        <w:t>, 50(4), pp. 370–396.</w:t>
      </w:r>
    </w:p>
    <w:p w14:paraId="2AF2BB86" w14:textId="77777777" w:rsidR="00C12C72" w:rsidRPr="00AC16DD" w:rsidRDefault="00C12C72" w:rsidP="00C97D8A">
      <w:pPr>
        <w:spacing w:line="360" w:lineRule="auto"/>
        <w:jc w:val="both"/>
        <w:rPr>
          <w:rFonts w:ascii="Arial" w:hAnsi="Arial" w:cs="Arial"/>
        </w:rPr>
      </w:pPr>
      <w:r w:rsidRPr="00AC16DD">
        <w:rPr>
          <w:rFonts w:ascii="Arial" w:hAnsi="Arial" w:cs="Arial"/>
        </w:rPr>
        <w:t xml:space="preserve">National Institute for Health and Care Excellence (2021) </w:t>
      </w:r>
      <w:r w:rsidRPr="00AC16DD">
        <w:rPr>
          <w:rFonts w:ascii="Arial" w:hAnsi="Arial" w:cs="Arial"/>
          <w:i/>
          <w:iCs/>
        </w:rPr>
        <w:t xml:space="preserve">Shared Decision </w:t>
      </w:r>
      <w:r w:rsidRPr="00293CE4">
        <w:rPr>
          <w:rFonts w:ascii="Arial" w:hAnsi="Arial" w:cs="Arial"/>
          <w:i/>
          <w:iCs/>
        </w:rPr>
        <w:t>Making (NG197).</w:t>
      </w:r>
      <w:r w:rsidRPr="00AC16DD">
        <w:rPr>
          <w:rFonts w:ascii="Arial" w:hAnsi="Arial" w:cs="Arial"/>
        </w:rPr>
        <w:t xml:space="preserve"> London: NICE.</w:t>
      </w:r>
    </w:p>
    <w:p w14:paraId="3D10C851" w14:textId="77777777" w:rsidR="00C12C72" w:rsidRPr="00AC16DD" w:rsidRDefault="00C12C72" w:rsidP="00C97D8A">
      <w:pPr>
        <w:spacing w:line="360" w:lineRule="auto"/>
        <w:jc w:val="both"/>
        <w:rPr>
          <w:rFonts w:ascii="Arial" w:hAnsi="Arial" w:cs="Arial"/>
        </w:rPr>
      </w:pPr>
      <w:r w:rsidRPr="00AC16DD">
        <w:rPr>
          <w:rFonts w:ascii="Arial" w:hAnsi="Arial" w:cs="Arial"/>
        </w:rPr>
        <w:t xml:space="preserve">National Institute for Health and Care Excellence (2023) </w:t>
      </w:r>
      <w:r w:rsidRPr="006D50B1">
        <w:rPr>
          <w:rFonts w:ascii="Arial" w:hAnsi="Arial" w:cs="Arial"/>
          <w:i/>
          <w:iCs/>
        </w:rPr>
        <w:t>People's Experience in Adult Social Care: Improving the Experience of Care and Support for People Using Adult Social Care Services</w:t>
      </w:r>
      <w:r w:rsidRPr="00AC16DD">
        <w:rPr>
          <w:rFonts w:ascii="Arial" w:hAnsi="Arial" w:cs="Arial"/>
        </w:rPr>
        <w:t>. London: NICE.</w:t>
      </w:r>
    </w:p>
    <w:p w14:paraId="47E18D96" w14:textId="77777777" w:rsidR="00C12C72" w:rsidRPr="00AC16DD" w:rsidRDefault="00C12C72" w:rsidP="00C97D8A">
      <w:pPr>
        <w:spacing w:line="360" w:lineRule="auto"/>
        <w:jc w:val="both"/>
        <w:rPr>
          <w:rFonts w:ascii="Arial" w:hAnsi="Arial" w:cs="Arial"/>
        </w:rPr>
      </w:pPr>
      <w:r w:rsidRPr="00AC16DD">
        <w:rPr>
          <w:rFonts w:ascii="Arial" w:hAnsi="Arial" w:cs="Arial"/>
        </w:rPr>
        <w:t xml:space="preserve">Nursing and Midwifery Council (2018) </w:t>
      </w:r>
      <w:r w:rsidRPr="00353A6F">
        <w:rPr>
          <w:rFonts w:ascii="Arial" w:hAnsi="Arial" w:cs="Arial"/>
          <w:i/>
          <w:iCs/>
        </w:rPr>
        <w:t>The Code: Professional Standards of Practice and Behaviour for Nurses, Midwives and Nursing Associates</w:t>
      </w:r>
      <w:r w:rsidRPr="00AC16DD">
        <w:rPr>
          <w:rFonts w:ascii="Arial" w:hAnsi="Arial" w:cs="Arial"/>
        </w:rPr>
        <w:t>. London: NMC.</w:t>
      </w:r>
    </w:p>
    <w:p w14:paraId="33019C3E" w14:textId="77777777" w:rsidR="00C12C72" w:rsidRPr="00AC16DD" w:rsidRDefault="00C12C72" w:rsidP="00AC16DD">
      <w:pPr>
        <w:spacing w:line="360" w:lineRule="auto"/>
        <w:rPr>
          <w:rFonts w:ascii="Arial" w:hAnsi="Arial" w:cs="Arial"/>
        </w:rPr>
      </w:pPr>
    </w:p>
    <w:p w14:paraId="6DDE7F25" w14:textId="77777777" w:rsidR="00C12C72" w:rsidRPr="00AC16DD" w:rsidRDefault="00C12C72" w:rsidP="00AC16DD">
      <w:pPr>
        <w:spacing w:line="360" w:lineRule="auto"/>
        <w:rPr>
          <w:rFonts w:ascii="Arial" w:hAnsi="Arial" w:cs="Arial"/>
        </w:rPr>
      </w:pPr>
    </w:p>
    <w:sectPr w:rsidR="00C12C72" w:rsidRPr="00AC16DD">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C42BA4" w14:textId="77777777" w:rsidR="009A7CD0" w:rsidRDefault="009A7CD0" w:rsidP="00AC16DD">
      <w:pPr>
        <w:spacing w:after="0" w:line="240" w:lineRule="auto"/>
      </w:pPr>
      <w:r>
        <w:separator/>
      </w:r>
    </w:p>
  </w:endnote>
  <w:endnote w:type="continuationSeparator" w:id="0">
    <w:p w14:paraId="013E06D8" w14:textId="77777777" w:rsidR="009A7CD0" w:rsidRDefault="009A7CD0" w:rsidP="00AC16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612E8A" w14:textId="77777777" w:rsidR="009A7CD0" w:rsidRDefault="009A7CD0" w:rsidP="00AC16DD">
      <w:pPr>
        <w:spacing w:after="0" w:line="240" w:lineRule="auto"/>
      </w:pPr>
      <w:r>
        <w:separator/>
      </w:r>
    </w:p>
  </w:footnote>
  <w:footnote w:type="continuationSeparator" w:id="0">
    <w:p w14:paraId="0023A85C" w14:textId="77777777" w:rsidR="009A7CD0" w:rsidRDefault="009A7CD0" w:rsidP="00AC16D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59673478"/>
      <w:docPartObj>
        <w:docPartGallery w:val="Page Numbers (Top of Page)"/>
        <w:docPartUnique/>
      </w:docPartObj>
    </w:sdtPr>
    <w:sdtContent>
      <w:p w14:paraId="02BD4441" w14:textId="623C5284" w:rsidR="00AC16DD" w:rsidRDefault="00AC16DD">
        <w:pPr>
          <w:pStyle w:val="Header"/>
        </w:pPr>
        <w:r>
          <w:fldChar w:fldCharType="begin"/>
        </w:r>
        <w:r>
          <w:instrText>PAGE   \* MERGEFORMAT</w:instrText>
        </w:r>
        <w:r>
          <w:fldChar w:fldCharType="separate"/>
        </w:r>
        <w:r>
          <w:t>2</w:t>
        </w:r>
        <w:r>
          <w:fldChar w:fldCharType="end"/>
        </w:r>
      </w:p>
    </w:sdtContent>
  </w:sdt>
  <w:p w14:paraId="67CEF90F" w14:textId="77777777" w:rsidR="00AC16DD" w:rsidRDefault="00AC16DD">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3BDF"/>
    <w:rsid w:val="00016B24"/>
    <w:rsid w:val="0004455D"/>
    <w:rsid w:val="000F3FE8"/>
    <w:rsid w:val="00110CC2"/>
    <w:rsid w:val="00137CCB"/>
    <w:rsid w:val="001716B4"/>
    <w:rsid w:val="001948E1"/>
    <w:rsid w:val="001968A1"/>
    <w:rsid w:val="001A0E56"/>
    <w:rsid w:val="001A45CF"/>
    <w:rsid w:val="001F730A"/>
    <w:rsid w:val="00230827"/>
    <w:rsid w:val="00233F38"/>
    <w:rsid w:val="00273CF2"/>
    <w:rsid w:val="002756B9"/>
    <w:rsid w:val="00293CE4"/>
    <w:rsid w:val="002E2DC8"/>
    <w:rsid w:val="002F4580"/>
    <w:rsid w:val="00353A6F"/>
    <w:rsid w:val="003564F6"/>
    <w:rsid w:val="003A1083"/>
    <w:rsid w:val="003D3475"/>
    <w:rsid w:val="003F69AD"/>
    <w:rsid w:val="0045469A"/>
    <w:rsid w:val="004E6DE4"/>
    <w:rsid w:val="004F223C"/>
    <w:rsid w:val="004F5EA9"/>
    <w:rsid w:val="00503423"/>
    <w:rsid w:val="00531669"/>
    <w:rsid w:val="005564CC"/>
    <w:rsid w:val="00585E99"/>
    <w:rsid w:val="005C68E5"/>
    <w:rsid w:val="005D7005"/>
    <w:rsid w:val="005D7890"/>
    <w:rsid w:val="006305AA"/>
    <w:rsid w:val="00633FFB"/>
    <w:rsid w:val="006769CA"/>
    <w:rsid w:val="006D50B1"/>
    <w:rsid w:val="006E0B47"/>
    <w:rsid w:val="006F75CD"/>
    <w:rsid w:val="007023DF"/>
    <w:rsid w:val="007033F2"/>
    <w:rsid w:val="0071154F"/>
    <w:rsid w:val="007206DF"/>
    <w:rsid w:val="007224AE"/>
    <w:rsid w:val="00746088"/>
    <w:rsid w:val="00752ADA"/>
    <w:rsid w:val="00760FED"/>
    <w:rsid w:val="007826A6"/>
    <w:rsid w:val="00795043"/>
    <w:rsid w:val="008052B8"/>
    <w:rsid w:val="00816AA3"/>
    <w:rsid w:val="00833773"/>
    <w:rsid w:val="00843512"/>
    <w:rsid w:val="008A1F47"/>
    <w:rsid w:val="008B0C72"/>
    <w:rsid w:val="008F45E6"/>
    <w:rsid w:val="008F6193"/>
    <w:rsid w:val="009676AA"/>
    <w:rsid w:val="009A7CD0"/>
    <w:rsid w:val="009D066F"/>
    <w:rsid w:val="00A563AA"/>
    <w:rsid w:val="00A738DB"/>
    <w:rsid w:val="00A90DB4"/>
    <w:rsid w:val="00AB12E3"/>
    <w:rsid w:val="00AC16DD"/>
    <w:rsid w:val="00AE373B"/>
    <w:rsid w:val="00B177B8"/>
    <w:rsid w:val="00B93BDF"/>
    <w:rsid w:val="00BA54DA"/>
    <w:rsid w:val="00BF6406"/>
    <w:rsid w:val="00C12C72"/>
    <w:rsid w:val="00C82D77"/>
    <w:rsid w:val="00C94E1D"/>
    <w:rsid w:val="00C97D8A"/>
    <w:rsid w:val="00CA3AF1"/>
    <w:rsid w:val="00CF201B"/>
    <w:rsid w:val="00D41302"/>
    <w:rsid w:val="00D524BF"/>
    <w:rsid w:val="00D75B06"/>
    <w:rsid w:val="00D83399"/>
    <w:rsid w:val="00D9209A"/>
    <w:rsid w:val="00DE7F38"/>
    <w:rsid w:val="00DF5AAF"/>
    <w:rsid w:val="00EE44FB"/>
    <w:rsid w:val="00F11B25"/>
    <w:rsid w:val="00F75466"/>
    <w:rsid w:val="00FE093B"/>
    <w:rsid w:val="00FE1D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03FAF1"/>
  <w15:chartTrackingRefBased/>
  <w15:docId w15:val="{A77840AB-7477-4BEC-91FA-A201521BFD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93BD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93BD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93BD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93BD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93BD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93BD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93BD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93BD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93BD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93BD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93BD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93BD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93BD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93BD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93BD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93BD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93BD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93BDF"/>
    <w:rPr>
      <w:rFonts w:eastAsiaTheme="majorEastAsia" w:cstheme="majorBidi"/>
      <w:color w:val="272727" w:themeColor="text1" w:themeTint="D8"/>
    </w:rPr>
  </w:style>
  <w:style w:type="paragraph" w:styleId="Title">
    <w:name w:val="Title"/>
    <w:basedOn w:val="Normal"/>
    <w:next w:val="Normal"/>
    <w:link w:val="TitleChar"/>
    <w:uiPriority w:val="10"/>
    <w:qFormat/>
    <w:rsid w:val="00B93BD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93BD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93BD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93BD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93BDF"/>
    <w:pPr>
      <w:spacing w:before="160"/>
      <w:jc w:val="center"/>
    </w:pPr>
    <w:rPr>
      <w:i/>
      <w:iCs/>
      <w:color w:val="404040" w:themeColor="text1" w:themeTint="BF"/>
    </w:rPr>
  </w:style>
  <w:style w:type="character" w:customStyle="1" w:styleId="QuoteChar">
    <w:name w:val="Quote Char"/>
    <w:basedOn w:val="DefaultParagraphFont"/>
    <w:link w:val="Quote"/>
    <w:uiPriority w:val="29"/>
    <w:rsid w:val="00B93BDF"/>
    <w:rPr>
      <w:i/>
      <w:iCs/>
      <w:color w:val="404040" w:themeColor="text1" w:themeTint="BF"/>
    </w:rPr>
  </w:style>
  <w:style w:type="paragraph" w:styleId="ListParagraph">
    <w:name w:val="List Paragraph"/>
    <w:basedOn w:val="Normal"/>
    <w:uiPriority w:val="34"/>
    <w:qFormat/>
    <w:rsid w:val="00B93BDF"/>
    <w:pPr>
      <w:ind w:left="720"/>
      <w:contextualSpacing/>
    </w:pPr>
  </w:style>
  <w:style w:type="character" w:styleId="IntenseEmphasis">
    <w:name w:val="Intense Emphasis"/>
    <w:basedOn w:val="DefaultParagraphFont"/>
    <w:uiPriority w:val="21"/>
    <w:qFormat/>
    <w:rsid w:val="00B93BDF"/>
    <w:rPr>
      <w:i/>
      <w:iCs/>
      <w:color w:val="0F4761" w:themeColor="accent1" w:themeShade="BF"/>
    </w:rPr>
  </w:style>
  <w:style w:type="paragraph" w:styleId="IntenseQuote">
    <w:name w:val="Intense Quote"/>
    <w:basedOn w:val="Normal"/>
    <w:next w:val="Normal"/>
    <w:link w:val="IntenseQuoteChar"/>
    <w:uiPriority w:val="30"/>
    <w:qFormat/>
    <w:rsid w:val="00B93BD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93BDF"/>
    <w:rPr>
      <w:i/>
      <w:iCs/>
      <w:color w:val="0F4761" w:themeColor="accent1" w:themeShade="BF"/>
    </w:rPr>
  </w:style>
  <w:style w:type="character" w:styleId="IntenseReference">
    <w:name w:val="Intense Reference"/>
    <w:basedOn w:val="DefaultParagraphFont"/>
    <w:uiPriority w:val="32"/>
    <w:qFormat/>
    <w:rsid w:val="00B93BDF"/>
    <w:rPr>
      <w:b/>
      <w:bCs/>
      <w:smallCaps/>
      <w:color w:val="0F4761" w:themeColor="accent1" w:themeShade="BF"/>
      <w:spacing w:val="5"/>
    </w:rPr>
  </w:style>
  <w:style w:type="paragraph" w:styleId="Header">
    <w:name w:val="header"/>
    <w:basedOn w:val="Normal"/>
    <w:link w:val="HeaderChar"/>
    <w:uiPriority w:val="99"/>
    <w:unhideWhenUsed/>
    <w:rsid w:val="00AC16DD"/>
    <w:pPr>
      <w:tabs>
        <w:tab w:val="center" w:pos="4513"/>
        <w:tab w:val="right" w:pos="9026"/>
      </w:tabs>
      <w:spacing w:after="0" w:line="240" w:lineRule="auto"/>
    </w:pPr>
  </w:style>
  <w:style w:type="character" w:customStyle="1" w:styleId="HeaderChar">
    <w:name w:val="Header Char"/>
    <w:basedOn w:val="DefaultParagraphFont"/>
    <w:link w:val="Header"/>
    <w:uiPriority w:val="99"/>
    <w:rsid w:val="00AC16DD"/>
  </w:style>
  <w:style w:type="paragraph" w:styleId="Footer">
    <w:name w:val="footer"/>
    <w:basedOn w:val="Normal"/>
    <w:link w:val="FooterChar"/>
    <w:uiPriority w:val="99"/>
    <w:unhideWhenUsed/>
    <w:rsid w:val="00AC16DD"/>
    <w:pPr>
      <w:tabs>
        <w:tab w:val="center" w:pos="4513"/>
        <w:tab w:val="right" w:pos="9026"/>
      </w:tabs>
      <w:spacing w:after="0" w:line="240" w:lineRule="auto"/>
    </w:pPr>
  </w:style>
  <w:style w:type="character" w:customStyle="1" w:styleId="FooterChar">
    <w:name w:val="Footer Char"/>
    <w:basedOn w:val="DefaultParagraphFont"/>
    <w:link w:val="Footer"/>
    <w:uiPriority w:val="99"/>
    <w:rsid w:val="00AC16DD"/>
  </w:style>
  <w:style w:type="paragraph" w:styleId="TOCHeading">
    <w:name w:val="TOC Heading"/>
    <w:basedOn w:val="Heading1"/>
    <w:next w:val="Normal"/>
    <w:uiPriority w:val="39"/>
    <w:unhideWhenUsed/>
    <w:qFormat/>
    <w:rsid w:val="00AC16DD"/>
    <w:pPr>
      <w:spacing w:before="240" w:after="0"/>
      <w:outlineLvl w:val="9"/>
    </w:pPr>
    <w:rPr>
      <w:kern w:val="0"/>
      <w:sz w:val="32"/>
      <w:szCs w:val="32"/>
      <w:lang w:eastAsia="en-GB"/>
      <w14:ligatures w14:val="none"/>
    </w:rPr>
  </w:style>
  <w:style w:type="paragraph" w:styleId="TOC1">
    <w:name w:val="toc 1"/>
    <w:basedOn w:val="Normal"/>
    <w:next w:val="Normal"/>
    <w:autoRedefine/>
    <w:uiPriority w:val="39"/>
    <w:unhideWhenUsed/>
    <w:rsid w:val="00C82D77"/>
    <w:pPr>
      <w:spacing w:after="100"/>
    </w:pPr>
  </w:style>
  <w:style w:type="character" w:styleId="Hyperlink">
    <w:name w:val="Hyperlink"/>
    <w:basedOn w:val="DefaultParagraphFont"/>
    <w:uiPriority w:val="99"/>
    <w:unhideWhenUsed/>
    <w:rsid w:val="00C82D77"/>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823768-29EC-4EF3-B2E8-79B176CB21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2503</Words>
  <Characters>14268</Characters>
  <Application>Microsoft Office Word</Application>
  <DocSecurity>0</DocSecurity>
  <Lines>118</Lines>
  <Paragraphs>33</Paragraphs>
  <ScaleCrop>false</ScaleCrop>
  <Company/>
  <LinksUpToDate>false</LinksUpToDate>
  <CharactersWithSpaces>16738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ataf r</dc:creator>
  <cp:keywords/>
  <dc:description/>
  <cp:lastModifiedBy>ataf r</cp:lastModifiedBy>
  <cp:revision>2</cp:revision>
  <dcterms:created xsi:type="dcterms:W3CDTF">2026-07-04T23:08:00Z</dcterms:created>
  <dcterms:modified xsi:type="dcterms:W3CDTF">2026-07-04T23:08:00Z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49a3a214-8988-49ef-b391-c4785217198a</vt:lpwstr>
  </property>
</Properties>
</file>