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FF16A7" w14:paraId="09A31735" wp14:textId="342BDFB0">
      <w:pPr>
        <w:pStyle w:val="Normal"/>
        <w:keepNext w:val="1"/>
        <w:keepLines w:val="1"/>
        <w:jc w:val="center"/>
        <w:rPr>
          <w:noProof w:val="0"/>
          <w:sz w:val="72"/>
          <w:szCs w:val="72"/>
          <w:lang w:val="en-GB"/>
        </w:rPr>
      </w:pPr>
    </w:p>
    <w:p xmlns:wp14="http://schemas.microsoft.com/office/word/2010/wordml" w:rsidP="43FF16A7" w14:paraId="4C971C56" wp14:textId="1AB18AA9">
      <w:pPr>
        <w:pStyle w:val="Normal"/>
        <w:keepNext w:val="1"/>
        <w:keepLines w:val="1"/>
        <w:jc w:val="center"/>
        <w:rPr>
          <w:noProof w:val="0"/>
          <w:sz w:val="72"/>
          <w:szCs w:val="72"/>
          <w:lang w:val="en-GB"/>
        </w:rPr>
      </w:pPr>
    </w:p>
    <w:p xmlns:wp14="http://schemas.microsoft.com/office/word/2010/wordml" w:rsidP="43FF16A7" w14:paraId="07BF5DA9" wp14:textId="28B1BD49">
      <w:pPr>
        <w:pStyle w:val="Normal"/>
        <w:keepNext w:val="1"/>
        <w:keepLines w:val="1"/>
        <w:jc w:val="center"/>
        <w:rPr>
          <w:noProof w:val="0"/>
          <w:sz w:val="96"/>
          <w:szCs w:val="96"/>
          <w:lang w:val="en-GB"/>
        </w:rPr>
      </w:pPr>
      <w:r w:rsidRPr="43FF16A7" w:rsidR="6FD4B50E">
        <w:rPr>
          <w:noProof w:val="0"/>
          <w:sz w:val="72"/>
          <w:szCs w:val="72"/>
          <w:lang w:val="en-GB"/>
        </w:rPr>
        <w:t>Destination Management of Edinburgh</w:t>
      </w:r>
    </w:p>
    <w:p xmlns:wp14="http://schemas.microsoft.com/office/word/2010/wordml" w:rsidP="43FF16A7" w14:paraId="1CAF8304" wp14:textId="01FCDD84">
      <w:pPr>
        <w:pStyle w:val="Normal"/>
        <w:jc w:val="center"/>
        <w:rPr>
          <w:sz w:val="72"/>
          <w:szCs w:val="72"/>
        </w:rPr>
      </w:pPr>
    </w:p>
    <w:p xmlns:wp14="http://schemas.microsoft.com/office/word/2010/wordml" w:rsidP="43FF16A7" w14:paraId="5DE53430" wp14:textId="4E8C92D2">
      <w:pPr>
        <w:jc w:val="left"/>
        <w:rPr>
          <w:sz w:val="36"/>
          <w:szCs w:val="36"/>
        </w:rPr>
      </w:pPr>
    </w:p>
    <w:p xmlns:wp14="http://schemas.microsoft.com/office/word/2010/wordml" w:rsidP="43FF16A7" w14:paraId="23FD355E" wp14:textId="1F999E2C">
      <w:pPr>
        <w:jc w:val="left"/>
        <w:rPr>
          <w:sz w:val="36"/>
          <w:szCs w:val="36"/>
        </w:rPr>
      </w:pPr>
    </w:p>
    <w:p xmlns:wp14="http://schemas.microsoft.com/office/word/2010/wordml" w:rsidP="43FF16A7" w14:paraId="781B716F" wp14:textId="11737A4C">
      <w:pPr>
        <w:pStyle w:val="Normal"/>
        <w:jc w:val="left"/>
        <w:rPr>
          <w:sz w:val="36"/>
          <w:szCs w:val="36"/>
        </w:rPr>
      </w:pPr>
    </w:p>
    <w:p xmlns:wp14="http://schemas.microsoft.com/office/word/2010/wordml" w:rsidP="43FF16A7" w14:paraId="48AA153A" wp14:textId="594FA6EB">
      <w:pPr>
        <w:jc w:val="left"/>
        <w:rPr>
          <w:sz w:val="36"/>
          <w:szCs w:val="36"/>
        </w:rPr>
      </w:pPr>
    </w:p>
    <w:p xmlns:wp14="http://schemas.microsoft.com/office/word/2010/wordml" w:rsidP="43FF16A7" w14:paraId="690E0C43" wp14:textId="3F6C99ED">
      <w:pPr>
        <w:jc w:val="left"/>
        <w:rPr>
          <w:sz w:val="36"/>
          <w:szCs w:val="36"/>
        </w:rPr>
      </w:pPr>
    </w:p>
    <w:p xmlns:wp14="http://schemas.microsoft.com/office/word/2010/wordml" w:rsidP="43FF16A7" w14:paraId="6EF385E5" wp14:textId="738AD29E">
      <w:pPr>
        <w:jc w:val="left"/>
        <w:rPr>
          <w:sz w:val="36"/>
          <w:szCs w:val="36"/>
        </w:rPr>
      </w:pPr>
    </w:p>
    <w:p xmlns:wp14="http://schemas.microsoft.com/office/word/2010/wordml" w:rsidP="43FF16A7" w14:paraId="4F27A2F4" wp14:textId="48C2C7A5">
      <w:pPr>
        <w:jc w:val="left"/>
        <w:rPr>
          <w:sz w:val="36"/>
          <w:szCs w:val="36"/>
        </w:rPr>
      </w:pPr>
    </w:p>
    <w:p xmlns:wp14="http://schemas.microsoft.com/office/word/2010/wordml" w:rsidP="43FF16A7" w14:paraId="4B03239B" wp14:textId="6F0C2B4C">
      <w:pPr>
        <w:jc w:val="left"/>
        <w:rPr>
          <w:sz w:val="32"/>
          <w:szCs w:val="32"/>
        </w:rPr>
      </w:pPr>
      <w:r w:rsidRPr="43FF16A7" w:rsidR="64E24B69">
        <w:rPr>
          <w:sz w:val="36"/>
          <w:szCs w:val="36"/>
        </w:rPr>
        <w:t>Student</w:t>
      </w:r>
      <w:r w:rsidRPr="43FF16A7" w:rsidR="64E24B69">
        <w:rPr>
          <w:sz w:val="36"/>
          <w:szCs w:val="36"/>
        </w:rPr>
        <w:t>: Adriana Elena Dascalu (2011303)</w:t>
      </w:r>
    </w:p>
    <w:p xmlns:wp14="http://schemas.microsoft.com/office/word/2010/wordml" w:rsidP="43FF16A7" w14:paraId="64A01E0C" wp14:textId="41D42504">
      <w:pPr>
        <w:pStyle w:val="Normal"/>
        <w:jc w:val="left"/>
        <w:rPr>
          <w:sz w:val="32"/>
          <w:szCs w:val="32"/>
        </w:rPr>
      </w:pPr>
      <w:r w:rsidRPr="43FF16A7" w:rsidR="64E24B69">
        <w:rPr>
          <w:sz w:val="36"/>
          <w:szCs w:val="36"/>
        </w:rPr>
        <w:t xml:space="preserve">Module: Sustainable </w:t>
      </w:r>
      <w:r w:rsidRPr="43FF16A7" w:rsidR="51DD5D44">
        <w:rPr>
          <w:sz w:val="36"/>
          <w:szCs w:val="36"/>
        </w:rPr>
        <w:t>Hospitality</w:t>
      </w:r>
      <w:r w:rsidRPr="43FF16A7" w:rsidR="64E24B69">
        <w:rPr>
          <w:sz w:val="36"/>
          <w:szCs w:val="36"/>
        </w:rPr>
        <w:t xml:space="preserve"> and </w:t>
      </w:r>
      <w:r w:rsidRPr="43FF16A7" w:rsidR="7758EA54">
        <w:rPr>
          <w:sz w:val="36"/>
          <w:szCs w:val="36"/>
        </w:rPr>
        <w:t>Tourism Management (BMIH5006)</w:t>
      </w:r>
    </w:p>
    <w:p xmlns:wp14="http://schemas.microsoft.com/office/word/2010/wordml" w:rsidP="43FF16A7" w14:paraId="1E8F8C66" wp14:textId="6C3A5C8A">
      <w:pPr>
        <w:pStyle w:val="Normal"/>
        <w:jc w:val="left"/>
        <w:rPr>
          <w:sz w:val="32"/>
          <w:szCs w:val="32"/>
        </w:rPr>
      </w:pPr>
      <w:r w:rsidRPr="43FF16A7" w:rsidR="7758EA54">
        <w:rPr>
          <w:sz w:val="36"/>
          <w:szCs w:val="36"/>
        </w:rPr>
        <w:t>Lecturer: Ruth Taylor Davies</w:t>
      </w:r>
    </w:p>
    <w:p xmlns:wp14="http://schemas.microsoft.com/office/word/2010/wordml" w:rsidP="43FF16A7" w14:paraId="30791091" wp14:textId="2A1284CF">
      <w:pPr>
        <w:pStyle w:val="Normal"/>
      </w:pPr>
    </w:p>
    <w:p xmlns:wp14="http://schemas.microsoft.com/office/word/2010/wordml" w:rsidP="43FF16A7" w14:paraId="4B95DA8F" wp14:textId="71DB94C7">
      <w:pPr>
        <w:jc w:val="center"/>
        <w:rPr>
          <w:sz w:val="52"/>
          <w:szCs w:val="52"/>
        </w:rPr>
      </w:pPr>
    </w:p>
    <w:p xmlns:wp14="http://schemas.microsoft.com/office/word/2010/wordml" w:rsidP="43FF16A7" w14:paraId="7BFE55F8" wp14:textId="1189DF6B">
      <w:pPr>
        <w:pStyle w:val="Normal"/>
      </w:pPr>
    </w:p>
    <w:sdt>
      <w:sdtPr>
        <w:id w:val="2043834198"/>
        <w:docPartObj>
          <w:docPartGallery w:val="Table of Contents"/>
          <w:docPartUnique/>
        </w:docPartObj>
      </w:sdtPr>
      <w:sdtContent>
        <w:p xmlns:wp14="http://schemas.microsoft.com/office/word/2010/wordml" w:rsidP="43FF16A7" w14:paraId="5386EC64" wp14:textId="6C4DBBFF">
          <w:pPr>
            <w:pStyle w:val="TOC1"/>
            <w:tabs>
              <w:tab w:val="right" w:leader="dot" w:pos="9360"/>
            </w:tabs>
            <w:bidi w:val="0"/>
            <w:rPr>
              <w:sz w:val="28"/>
              <w:szCs w:val="28"/>
            </w:rPr>
          </w:pPr>
          <w:r w:rsidRPr="43FF16A7" w:rsidR="40845D3B">
            <w:rPr>
              <w:sz w:val="28"/>
              <w:szCs w:val="28"/>
            </w:rPr>
            <w:t>Table of Contents</w:t>
          </w:r>
        </w:p>
        <w:p xmlns:wp14="http://schemas.microsoft.com/office/word/2010/wordml" w:rsidP="43FF16A7" w14:paraId="5C65E4D5" wp14:textId="34E996F9">
          <w:pPr>
            <w:pStyle w:val="TOC1"/>
            <w:tabs>
              <w:tab w:val="right" w:leader="dot" w:pos="9360"/>
            </w:tabs>
            <w:bidi w:val="0"/>
          </w:pPr>
        </w:p>
        <w:p xmlns:wp14="http://schemas.microsoft.com/office/word/2010/wordml" w:rsidP="43FF16A7" w14:paraId="548884E0" wp14:textId="081D4942">
          <w:pPr>
            <w:pStyle w:val="TOC1"/>
            <w:tabs>
              <w:tab w:val="right" w:leader="dot" w:pos="9360"/>
            </w:tabs>
            <w:bidi w:val="0"/>
          </w:pPr>
        </w:p>
        <w:p xmlns:wp14="http://schemas.microsoft.com/office/word/2010/wordml" w:rsidP="43FF16A7" w14:paraId="64DBCE44" wp14:textId="73AF736E">
          <w:pPr>
            <w:pStyle w:val="TOC1"/>
            <w:tabs>
              <w:tab w:val="right" w:leader="dot" w:pos="9360"/>
            </w:tabs>
            <w:bidi w:val="0"/>
            <w:rPr>
              <w:rStyle w:val="Hyperlink"/>
            </w:rPr>
          </w:pPr>
          <w:r>
            <w:fldChar w:fldCharType="begin"/>
          </w:r>
          <w:r>
            <w:instrText xml:space="preserve">TOC \o \z \u \h</w:instrText>
          </w:r>
          <w:r>
            <w:fldChar w:fldCharType="separate"/>
          </w:r>
          <w:hyperlink w:anchor="_Toc2081322029">
            <w:r w:rsidRPr="43FF16A7" w:rsidR="43FF16A7">
              <w:rPr>
                <w:rStyle w:val="Hyperlink"/>
              </w:rPr>
              <w:t>Introduction</w:t>
            </w:r>
            <w:r>
              <w:tab/>
            </w:r>
            <w:r>
              <w:fldChar w:fldCharType="begin"/>
            </w:r>
            <w:r>
              <w:instrText xml:space="preserve">PAGEREF _Toc2081322029 \h</w:instrText>
            </w:r>
            <w:r>
              <w:fldChar w:fldCharType="separate"/>
            </w:r>
            <w:r w:rsidRPr="43FF16A7" w:rsidR="43FF16A7">
              <w:rPr>
                <w:rStyle w:val="Hyperlink"/>
              </w:rPr>
              <w:t>2</w:t>
            </w:r>
            <w:r>
              <w:fldChar w:fldCharType="end"/>
            </w:r>
          </w:hyperlink>
        </w:p>
        <w:p xmlns:wp14="http://schemas.microsoft.com/office/word/2010/wordml" w:rsidP="43FF16A7" w14:paraId="324B2F22" wp14:textId="383D1219">
          <w:pPr>
            <w:pStyle w:val="TOC1"/>
            <w:tabs>
              <w:tab w:val="right" w:leader="dot" w:pos="9360"/>
            </w:tabs>
            <w:bidi w:val="0"/>
            <w:rPr>
              <w:rStyle w:val="Hyperlink"/>
            </w:rPr>
          </w:pPr>
          <w:hyperlink w:anchor="_Toc385769320">
            <w:r w:rsidRPr="43FF16A7" w:rsidR="43FF16A7">
              <w:rPr>
                <w:rStyle w:val="Hyperlink"/>
              </w:rPr>
              <w:t>Sustainability</w:t>
            </w:r>
            <w:r>
              <w:tab/>
            </w:r>
            <w:r>
              <w:fldChar w:fldCharType="begin"/>
            </w:r>
            <w:r>
              <w:instrText xml:space="preserve">PAGEREF _Toc385769320 \h</w:instrText>
            </w:r>
            <w:r>
              <w:fldChar w:fldCharType="separate"/>
            </w:r>
            <w:r w:rsidRPr="43FF16A7" w:rsidR="43FF16A7">
              <w:rPr>
                <w:rStyle w:val="Hyperlink"/>
              </w:rPr>
              <w:t>3</w:t>
            </w:r>
            <w:r>
              <w:fldChar w:fldCharType="end"/>
            </w:r>
          </w:hyperlink>
        </w:p>
        <w:p xmlns:wp14="http://schemas.microsoft.com/office/word/2010/wordml" w:rsidP="43FF16A7" w14:paraId="682A26C0" wp14:textId="67D3CBB1">
          <w:pPr>
            <w:pStyle w:val="TOC1"/>
            <w:tabs>
              <w:tab w:val="right" w:leader="dot" w:pos="9360"/>
            </w:tabs>
            <w:bidi w:val="0"/>
            <w:rPr>
              <w:rStyle w:val="Hyperlink"/>
            </w:rPr>
          </w:pPr>
          <w:hyperlink w:anchor="_Toc712432601">
            <w:r w:rsidRPr="43FF16A7" w:rsidR="43FF16A7">
              <w:rPr>
                <w:rStyle w:val="Hyperlink"/>
              </w:rPr>
              <w:t>The role of residents in sustainable tourism and city development</w:t>
            </w:r>
            <w:r>
              <w:tab/>
            </w:r>
            <w:r>
              <w:fldChar w:fldCharType="begin"/>
            </w:r>
            <w:r>
              <w:instrText xml:space="preserve">PAGEREF _Toc712432601 \h</w:instrText>
            </w:r>
            <w:r>
              <w:fldChar w:fldCharType="separate"/>
            </w:r>
            <w:r w:rsidRPr="43FF16A7" w:rsidR="43FF16A7">
              <w:rPr>
                <w:rStyle w:val="Hyperlink"/>
              </w:rPr>
              <w:t>7</w:t>
            </w:r>
            <w:r>
              <w:fldChar w:fldCharType="end"/>
            </w:r>
          </w:hyperlink>
        </w:p>
        <w:p xmlns:wp14="http://schemas.microsoft.com/office/word/2010/wordml" w:rsidP="43FF16A7" w14:paraId="63D75DC7" wp14:textId="5844A5F0">
          <w:pPr>
            <w:pStyle w:val="TOC1"/>
            <w:tabs>
              <w:tab w:val="right" w:leader="dot" w:pos="9360"/>
            </w:tabs>
            <w:bidi w:val="0"/>
            <w:rPr>
              <w:rStyle w:val="Hyperlink"/>
            </w:rPr>
          </w:pPr>
          <w:hyperlink w:anchor="_Toc542711586">
            <w:r w:rsidRPr="43FF16A7" w:rsidR="43FF16A7">
              <w:rPr>
                <w:rStyle w:val="Hyperlink"/>
              </w:rPr>
              <w:t>Conclusion</w:t>
            </w:r>
            <w:r>
              <w:tab/>
            </w:r>
            <w:r>
              <w:fldChar w:fldCharType="begin"/>
            </w:r>
            <w:r>
              <w:instrText xml:space="preserve">PAGEREF _Toc542711586 \h</w:instrText>
            </w:r>
            <w:r>
              <w:fldChar w:fldCharType="separate"/>
            </w:r>
            <w:r w:rsidRPr="43FF16A7" w:rsidR="43FF16A7">
              <w:rPr>
                <w:rStyle w:val="Hyperlink"/>
              </w:rPr>
              <w:t>8</w:t>
            </w:r>
            <w:r>
              <w:fldChar w:fldCharType="end"/>
            </w:r>
          </w:hyperlink>
        </w:p>
        <w:p xmlns:wp14="http://schemas.microsoft.com/office/word/2010/wordml" w:rsidP="43FF16A7" w14:paraId="54CA78F6" wp14:textId="290F7BA1">
          <w:pPr>
            <w:pStyle w:val="TOC1"/>
            <w:tabs>
              <w:tab w:val="right" w:leader="dot" w:pos="9360"/>
            </w:tabs>
            <w:bidi w:val="0"/>
            <w:rPr>
              <w:rStyle w:val="Hyperlink"/>
            </w:rPr>
          </w:pPr>
          <w:hyperlink w:anchor="_Toc1028175869">
            <w:r w:rsidRPr="43FF16A7" w:rsidR="43FF16A7">
              <w:rPr>
                <w:rStyle w:val="Hyperlink"/>
              </w:rPr>
              <w:t>Reference List</w:t>
            </w:r>
            <w:r>
              <w:tab/>
            </w:r>
            <w:r>
              <w:fldChar w:fldCharType="begin"/>
            </w:r>
            <w:r>
              <w:instrText xml:space="preserve">PAGEREF _Toc1028175869 \h</w:instrText>
            </w:r>
            <w:r>
              <w:fldChar w:fldCharType="separate"/>
            </w:r>
            <w:r w:rsidRPr="43FF16A7" w:rsidR="43FF16A7">
              <w:rPr>
                <w:rStyle w:val="Hyperlink"/>
              </w:rPr>
              <w:t>9</w:t>
            </w:r>
            <w:r>
              <w:fldChar w:fldCharType="end"/>
            </w:r>
          </w:hyperlink>
          <w:r>
            <w:fldChar w:fldCharType="end"/>
          </w:r>
        </w:p>
      </w:sdtContent>
    </w:sdt>
    <w:p xmlns:wp14="http://schemas.microsoft.com/office/word/2010/wordml" w:rsidP="43FF16A7" w14:paraId="1DF30DA4" wp14:textId="680228BC">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48AF7297" wp14:textId="437047C0">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1A437848" wp14:textId="5ADC6CBE">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081ECE30" wp14:textId="163FBB63">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62D3636E" wp14:textId="51DDF334">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5FB21738" wp14:textId="581EF3BA">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14:paraId="34A560CE" wp14:textId="0AD51F24">
      <w:r>
        <w:br w:type="page"/>
      </w:r>
    </w:p>
    <w:p xmlns:wp14="http://schemas.microsoft.com/office/word/2010/wordml" w:rsidP="43FF16A7" w14:paraId="51E6680F" wp14:textId="3653E98C">
      <w:pPr>
        <w:pStyle w:val="Heading1"/>
        <w:keepNext w:val="1"/>
        <w:keepLines w:val="1"/>
        <w:rPr>
          <w:noProof w:val="0"/>
          <w:lang w:val="en-GB"/>
        </w:rPr>
      </w:pPr>
      <w:bookmarkStart w:name="_Toc2081322029" w:id="1497819253"/>
      <w:r w:rsidRPr="43FF16A7" w:rsidR="263D6638">
        <w:rPr>
          <w:noProof w:val="0"/>
          <w:lang w:val="en-GB"/>
        </w:rPr>
        <w:t>Introduction</w:t>
      </w:r>
      <w:bookmarkEnd w:id="1497819253"/>
    </w:p>
    <w:p xmlns:wp14="http://schemas.microsoft.com/office/word/2010/wordml" w:rsidP="43FF16A7" w14:paraId="41B645D3" wp14:textId="7AE2E3CC">
      <w:pPr>
        <w:pStyle w:val="Heading1"/>
        <w:keepNext w:val="1"/>
        <w:keepLines w:val="1"/>
        <w:spacing w:before="240" w:after="0" w:line="360" w:lineRule="auto"/>
        <w:jc w:val="both"/>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p>
    <w:p xmlns:wp14="http://schemas.microsoft.com/office/word/2010/wordml" w:rsidP="43FF16A7" w14:paraId="42F1C80E" wp14:textId="37D9A588">
      <w:pPr>
        <w:pStyle w:val="Normal"/>
        <w:keepNext w:val="1"/>
        <w:keepLines w:val="1"/>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noProof w:val="0"/>
          <w:sz w:val="24"/>
          <w:szCs w:val="24"/>
          <w:lang w:val="en-GB"/>
        </w:rPr>
        <w:t>Edinburgh is the capital city of Scotland, ranked as the second most popular Scottish location after Glasgow and the seventh in United Kingdom’s most populous cities. Widely known for its cultural and historical attractions, Edinburgh was rated as the best city in the world in 2022 (Wilkinson, 2022).</w:t>
      </w:r>
      <w:r w:rsidRPr="43FF16A7" w:rsidR="5F61BF37">
        <w:rPr>
          <w:rFonts w:ascii="Arial" w:hAnsi="Arial" w:eastAsia="Arial" w:cs="Arial"/>
          <w:noProof w:val="0"/>
          <w:sz w:val="24"/>
          <w:szCs w:val="24"/>
          <w:lang w:val="en-GB"/>
        </w:rPr>
        <w:t xml:space="preserve"> </w:t>
      </w:r>
    </w:p>
    <w:p xmlns:wp14="http://schemas.microsoft.com/office/word/2010/wordml" w:rsidP="43FF16A7" w14:paraId="523E3A1C" wp14:textId="6A09FCEB">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According to Elliards (2023), approximately 16.1 million people visited Edinburgh in 2022, which reflects a significant tourism level. However, it has been reported that increasing travelling activities are correlated with negative effects upon environment (Oad and Memon, 2021) such as high amounts of resources consumption, pollution, waste, and congestion.  Considering the post-pandemic continuous growth of travelling, the Edinburgh authorities and stakeholders need to ensure that its impact is monitored and under control through implementing proper strategies for environmental protection.</w:t>
      </w:r>
    </w:p>
    <w:p xmlns:wp14="http://schemas.microsoft.com/office/word/2010/wordml" w:rsidP="43FF16A7" w14:paraId="5FF2A411" wp14:textId="67CE3454">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The purpose of this report is to explore the level of sustainability considerations in Edinburgh’s Development Plan (Edinburgh DMP, 2020), along with the authorities’ objectives for the city’s development. Also, it will identify which is the current state of sustainability practices and what recommendations for future improvements can be implemented. The report will assess the local community’s attitude towards tourism along with the present phase of the destination’s lifecycle. </w:t>
      </w:r>
    </w:p>
    <w:p xmlns:wp14="http://schemas.microsoft.com/office/word/2010/wordml" w:rsidP="43FF16A7" w14:paraId="06802443" wp14:textId="5849AC17">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43FF16A7" w14:paraId="2B51AB81" wp14:textId="22A055EC">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bookmarkStart w:name="_Toc385769320" w:id="1356105279"/>
      <w:r w:rsidRPr="43FF16A7" w:rsidR="5F61BF37">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Sustainability</w:t>
      </w:r>
      <w:bookmarkEnd w:id="1356105279"/>
      <w:r w:rsidRPr="43FF16A7" w:rsidR="5F61BF37">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w:t>
      </w:r>
    </w:p>
    <w:p xmlns:wp14="http://schemas.microsoft.com/office/word/2010/wordml" w:rsidP="43FF16A7" w14:paraId="5CFB6124" wp14:textId="5F0D3C89">
      <w:pPr>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43FF16A7" w14:paraId="1DF47B3B" wp14:textId="577E8706">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Whilst Nelson and Shilling (2018) view sustainability as an emerging concept which aims for long-term ecological balance, Ukko et al. (2019) added that it stands for offering a good quality of life for all planet’s residents. It can be agreed that a good quality of life includes a focus on improving the environment since its condition significantly impacts human well-being. Also, sustainability targets the economic fluidity between communities since finances are fundamental for living in the present days. Therefore, according to the Brundtland (1985), the pillars of sustainability are represented by environmental, social, and economic dimensions. Since the tourism industry exudes a significant influence on these dimensions, the Edinburgh authorities must consider proper strategies for each one of them to facilitate sustainable tourism and further, positively impact the citizens’ quality of life.</w:t>
      </w:r>
    </w:p>
    <w:p xmlns:wp14="http://schemas.microsoft.com/office/word/2010/wordml" w:rsidP="43FF16A7" w14:paraId="7E665AD3" wp14:textId="1F9A0093">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Tourism’s effect on the environment is reflected in various issues such as carbon emissions, energy consumption, congestion, and degradation of ecosystems. An increasing number of individuals in a specific place can lead to higher levels of environmental damage if proper measures are not implemented. However, it has been reported that Edinburgh declared a “climate emergency” in 2019 (Edinburgh DMP, 2020) and it established the target of reducing carbon emissions to zero by 2030. The authorities strongly believe that the tourism sector, both visitors and stakeholders, can contribute to making more eco-friendly choices. Therefore, they aim to improve the air quality through addressing the transport objectives (e.g. ensuring the transport sites are connected to public transport, travel distances minimising). Also, they flagged the waste issue and raised the necessity of introducing more circular economy based systems. Pamfilie et al. (2018) explained circular economy as a regenerative cycle that optimise resources effectiveness and preserves natural assets. Hospitality venues play a significant role in sustainable tourism by introducing circular economy in their operations. The United Nations World Tourism Organisation (UNWTO, n.d.) reported that sustainable cuisine production and consumption are fundamental in protecting people and the environment. For example, the restaurants can contribute through a food waste management system or source their ingredients from local suppliers. </w:t>
      </w:r>
    </w:p>
    <w:p xmlns:wp14="http://schemas.microsoft.com/office/word/2010/wordml" w:rsidP="43FF16A7" w14:paraId="2F3E1ED5" wp14:textId="5871F1B0">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In the context of tourism, inbound, outbound and local travelling is essential for visitors. Since the city of Edinburgh owns various attractions and hospitality venues, a huge number of journeys with auto vehicles (e.g., taxis, buses, personal cars) may be expected. Further, it results in increased pollution and congestion. Therefore, eco-friendly initiatives are required to be implemented and then made accessible and convenient for visitors such as electric small vehicles (e-bikes, e-scooters), electric public transport, and hybrid vehicles (Hopkins, 2019). The costs of these alternatives should be more attractive for consumers than the conventional options, but also to enable them to reach their destinations safely. Also, as part of this strategy, the Edinburgh authorities should consider proper infrastructure, policies and administrative operations (e.g., planning routes, terminals, collecting data) as a pathway to consistent sustainable mobility. </w:t>
      </w:r>
    </w:p>
    <w:p xmlns:wp14="http://schemas.microsoft.com/office/word/2010/wordml" w:rsidP="43FF16A7" w14:paraId="7C20952C" wp14:textId="355EAF1B">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There is widely accepted that tourism contributes to community’s economic growth (Calero and Turner, 2020). According to Edinburgh Tourism Strategy (2020), the industry supports over 6,43% of the city residents through creating workplaces, attracting and strengthening a skilled workforce. Also, it enables various supply chains activity across Scotland. Although the city enjoys an increasing number of visitors, seasonality remains a concern that impacts the firms’ viability and the chance to create more stable, full-time jobs (Edinburgh Tourism Strategy, 2020). Martin-Martin et al. (2020) explained seasonality as being a temporary imbalance where the commercialisation of products or services is concentrated in single or several periods. In the context of business, service quality may be affected in peak periods or enterprises can close in quiet seasons (Glowka and Zehrer, 2019). Also, the social dimension can be impacted due to instability and people must find ways to compensate for reduced income.</w:t>
      </w:r>
    </w:p>
    <w:p xmlns:wp14="http://schemas.microsoft.com/office/word/2010/wordml" w:rsidP="43FF16A7" w14:paraId="7B314D9C" wp14:textId="594C4398">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To overcome seasonality, the authorities aim for alternatives (Edinburgh Tourism Strategy, 2020) such as targeting different marketing segments and organise specific events for them (e.g. business meetings, festivals). Thus, they can diversify their spectrum of visitors and offer seasonal types of services. Also, different types of guests can discover Edinburgh’s attractions through a one-time event. </w:t>
      </w:r>
    </w:p>
    <w:p xmlns:wp14="http://schemas.microsoft.com/office/word/2010/wordml" w:rsidP="43FF16A7" w14:paraId="3B731EFC" wp14:textId="71490D9A">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Barros and Sousa (2019) identified designing tours for a specific niche (e.g. senior travellers, couples, families with children) in off-seasons or during a festive time of the year as a solution to overcome this phenomenon. Also, using different promotional mixes such as creating special offerings, discounts, holiday packages can be appealing for low budget tourists. By adopting diverse strategies, the city of Edinburgh can compensate the quiet periods of the year with smaller, but frequent attractive offerings, leading to more sustainable tourism. </w:t>
      </w:r>
    </w:p>
    <w:p xmlns:wp14="http://schemas.microsoft.com/office/word/2010/wordml" w:rsidP="43FF16A7" w14:paraId="46505551" wp14:textId="1591487B">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Lastly, the social pillar of sustainability is significantly influenced by tourism. Due to the increasing number of travellers, Edinburgh’s popularity and attractiveness grows and consequently, enriches the resident's life through strong financial contributions, investors, suppliers, and initiatives for development. Also, the stunning cultural and historical heritage creates a unique international profile for the city and country. It has been reported that local authorities aim to make Edinburgh a thriving location where all individuals can enjoy its resources and to nurture it to be an excellent place for living and working (Edinburgh DMP, 2020). Therefore, building a good reputation will stimulate tourists to recommend Edinburgh to others and consider future returns to the city (Jojic, 2018). </w:t>
      </w:r>
    </w:p>
    <w:p xmlns:wp14="http://schemas.microsoft.com/office/word/2010/wordml" w:rsidP="43FF16A7" w14:paraId="20E542A1" wp14:textId="59163333">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Edinburgh Tourism Strategy (2020), skilled tourism workforce and inclusive jobs in the sector stand as future goals for development, despite the lack of strategies in this direction in Edinburgh DMP (2020). </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Waqanimaravu and Aransami (2020)</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 emphasised that service quality plays a critical role in a hospitality business’ success. Thus, improving the employees’ abilities, knowledge, and attitudes is required to ensure better performance and enhance the brand image. Since they stand as the ambassadors of their organisation, the guests will perceive the business through their acts. If the employees are under continuous development, there are increasing chances to be able to deliver high quality services, which are correlated with guest satisfaction (Padlee, Thaw, and </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Zulkiffli, 2019</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More satisfied visitors equal a stronger, positive brand image. Therefore, the Edinburgh’s local authorities, in partnership with tourism and hospitality sectors stakeholders, should provide learning opportunities for workers. Consequently, consistent tourism satisfaction will trace the pathway to sustainable visits on long term. Also, regular training opportunities and career development will contribute to employees’ professional satisfaction which is in relationship with retention at the workplace and personal wellbeing (</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Murtiningsih, 2020</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43FF16A7" w14:paraId="0512DA6A" wp14:textId="4B9FCAAA">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Aspects such as inclusion, diversity and ethics at work are fundamental to social sustainability (Brundtland, 1985). Since tourism has been reported as a job generator for 6.43% of Edinburgh’s residents (Edinburgh Tourism Strategy, 2020), the local authorities need to elaborate proper strategies to encourage inclusion. For example, they can ensure accessibility for residents to jobs in all city’s areas, encourage small businesses to flourish by promotion and support, recognise and celebrate diversion in the city, promote cultural aspects of minorities. Also, they can cooperate with businesses leaders for delivering awareness programmes to facilitate the organisations adherence to social sustainability (Scottish Tourism Alliance, 2020).</w:t>
      </w:r>
    </w:p>
    <w:p xmlns:wp14="http://schemas.microsoft.com/office/word/2010/wordml" w:rsidP="43FF16A7" w14:paraId="47D4A663" wp14:textId="0EC239BC">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43FF16A7" w14:paraId="140426FB" wp14:textId="39798B9F">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bookmarkStart w:name="_Toc712432601" w:id="451167169"/>
      <w:r w:rsidRPr="43FF16A7" w:rsidR="5F61BF37">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The role of residents in sustainable tourism and city development</w:t>
      </w:r>
      <w:bookmarkEnd w:id="451167169"/>
    </w:p>
    <w:p xmlns:wp14="http://schemas.microsoft.com/office/word/2010/wordml" w:rsidP="43FF16A7" w14:paraId="7E047C20" wp14:textId="57169A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FF16A7" w14:paraId="78CC1482" wp14:textId="58A182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FF16A7" w14:paraId="575E3802" wp14:textId="277F5BD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GB"/>
        </w:rPr>
        <w:t xml:space="preserve">Edinburgh Tourism Strategy (2020) highlighted that residents’s well-being and opinions are an important part of the local development and tourism. </w:t>
      </w:r>
    </w:p>
    <w:p xmlns:wp14="http://schemas.microsoft.com/office/word/2010/wordml" w:rsidP="43FF16A7" w14:paraId="531F0717" wp14:textId="45D31CB1">
      <w:pPr>
        <w:spacing w:after="160" w:line="360" w:lineRule="auto"/>
        <w:ind w:firstLine="720"/>
        <w:jc w:val="both"/>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López et al. (2018) agreed that citizens’ support is a precondition for sustainable tourism since the visitors’ activity impacts their daily lives and quality of life. Both tourists and residents should benefit from these interactions since their levels of satisfaction depend on each other. Also, Nunkoo and So (2016) reported that local people perceive the tourism benefits in terms of socio-economic advantages (employment and enterprise creation, infrastructure improvement) and cultural opportunities (cultural exchange with guests, develop cultural activities).</w:t>
      </w:r>
    </w:p>
    <w:p xmlns:wp14="http://schemas.microsoft.com/office/word/2010/wordml" w:rsidP="43FF16A7" w14:paraId="6A47E3EB" wp14:textId="6635C61D">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 xml:space="preserve">According to Doxey (1975), the attitudes of residents towards tourism can change from positive (in initial phase) to negative after attaining a threshold. In 2019, Edinburgh has been listed among the worst spots of overtourism (Ferguson, 2020). Considering the Edinburgh’s descriptions such as “the tension” and “the annoyed residents” (EOTCC, 2019), it indicates that the residents’ attitudes corresponded with the Annoyance stage of Doxey’s (1975) model. This could discourage the citizens from displaying their support for tourism development since it affected their quality of life. However, the local authorities committed to take proper measures and proposed a tourist tax for each visitor (Edinburgh Live, 2023). Although the idea has not been implemented yet, Edinburgh would be the first city in the UK that would introduce a visitor overnight tax. The authorities foresee it as a huge contribution to local economy, but it is not certain if the city would be constant in its popularity after implementing the tax. The guests may choose to stay less, especially groups and families. Currently, due to the tourism drop during pandemic, it has been reported that the tourism waves are manageable </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(Swanson, 2023)</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 Thus, the residents attitude could return to a neutral to positive, the Apathy stage, since the numbers of tourists start to grow back gradually.</w:t>
      </w:r>
    </w:p>
    <w:p xmlns:wp14="http://schemas.microsoft.com/office/word/2010/wordml" w:rsidP="43FF16A7" w14:paraId="3B3B871E" wp14:textId="5E227076">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According to Butler (1980), a destination’s tourism development goes through a cycle of several phases, where the effects of tourism influence the level of location’s sustainability. Since Edinburgh is one of the most visited locations in the UK, it is rich in facilities and well consolidated in terms of providing entertainment and culture sharing. However, the local community has been affected by overtourism (EOTCC, 2019) which caused tension and dissatisfaction among residents. Thus, according to Butler’s (1980) model, Edinburgh would be placed into the “Stagnation” phase. Also, the pandemic caused a tourism drop which attenuated the overtourism effects. After stagnation, there are two options, either declining (tourists orientate to other locations) or rejuvenation (location enjoys new development initiatives).  Considering the Edinburgh Tourism Strategy (2020) and Edinburgh DMP (2020), the city of Edinburgh will enjoy a rejuvenation stage.</w:t>
      </w:r>
    </w:p>
    <w:p xmlns:wp14="http://schemas.microsoft.com/office/word/2010/wordml" w:rsidP="43FF16A7" w14:paraId="5EC87838" wp14:textId="60EABD6A">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For future development, Edinburgh’s authorities may consider investing in more green public spaces and trees planted, following the model of other popular locations such as London and Vienna (</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Eurocities</w:t>
      </w:r>
      <w:r w:rsidRPr="43FF16A7" w:rsidR="5F61BF37">
        <w:rPr>
          <w:rFonts w:ascii="Arial" w:hAnsi="Arial" w:eastAsia="Arial" w:cs="Arial"/>
          <w:b w:val="0"/>
          <w:bCs w:val="0"/>
          <w:i w:val="0"/>
          <w:iCs w:val="0"/>
          <w:caps w:val="0"/>
          <w:smallCaps w:val="0"/>
          <w:strike w:val="0"/>
          <w:dstrike w:val="0"/>
          <w:noProof w:val="0"/>
          <w:color w:val="222222"/>
          <w:sz w:val="24"/>
          <w:szCs w:val="24"/>
          <w:u w:val="none"/>
          <w:lang w:val="en-US"/>
        </w:rPr>
        <w:t xml:space="preserve">, 2021a; 2021b) Thus, it will improve the air quality, people’s well-being, the state of the environment, and the city’s aesthetics. Also, the green spaces can be a contribution to future green infrastructure projects which would ease congestion and reduce pollution. </w:t>
      </w:r>
    </w:p>
    <w:p xmlns:wp14="http://schemas.microsoft.com/office/word/2010/wordml" w:rsidP="43FF16A7" w14:paraId="65B735BA" wp14:textId="1CF43736">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US"/>
        </w:rPr>
      </w:pPr>
    </w:p>
    <w:p xmlns:wp14="http://schemas.microsoft.com/office/word/2010/wordml" w:rsidP="43FF16A7" w14:paraId="0308C1DD" wp14:textId="6F468336">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US"/>
        </w:rPr>
      </w:pPr>
    </w:p>
    <w:p xmlns:wp14="http://schemas.microsoft.com/office/word/2010/wordml" w:rsidP="43FF16A7" w14:paraId="033864C9" wp14:textId="4790FF9B">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US"/>
        </w:rPr>
      </w:pPr>
    </w:p>
    <w:p xmlns:wp14="http://schemas.microsoft.com/office/word/2010/wordml" w:rsidP="43FF16A7" w14:paraId="7F1D0DB0" wp14:textId="03B8E34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US"/>
        </w:rPr>
      </w:pPr>
    </w:p>
    <w:p xmlns:wp14="http://schemas.microsoft.com/office/word/2010/wordml" w:rsidP="43FF16A7" w14:paraId="78E3B43C" wp14:textId="762F5F07">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6C333094" wp14:textId="701D50A2">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6A9D2C70" wp14:textId="1B0017CD">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bookmarkStart w:name="_Toc542711586" w:id="1665381300"/>
      <w:r w:rsidRPr="43FF16A7" w:rsidR="5F61BF37">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Conclusion</w:t>
      </w:r>
      <w:bookmarkEnd w:id="1665381300"/>
    </w:p>
    <w:p xmlns:wp14="http://schemas.microsoft.com/office/word/2010/wordml" w:rsidP="43FF16A7" w14:paraId="375C2CEA" wp14:textId="7300CF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FF16A7" w14:paraId="79376C68" wp14:textId="0CE534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FF16A7" w14:paraId="1255E6AC" wp14:textId="2A7C709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since the city of Edinburgh continues to attract visitors from the UK and abroad, the local communities must continuously focus on implementing sustainability strategies. For maintaining long-term tourism, these need to address the three dimensions of sustainability: economic, social, and environmental. </w:t>
      </w:r>
    </w:p>
    <w:p xmlns:wp14="http://schemas.microsoft.com/office/word/2010/wordml" w:rsidP="43FF16A7" w14:paraId="15655523" wp14:textId="5FCB294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It has been shown that tourism provides consistent finances to the community due to various attractions, but also creates work opportunities for residents and businesses. Before the pandemic, the city was confronted with overtourism which led it to a stagnation phase, in addition to citizens’ negative emotions. </w:t>
      </w:r>
    </w:p>
    <w:p xmlns:wp14="http://schemas.microsoft.com/office/word/2010/wordml" w:rsidP="43FF16A7" w14:paraId="00AE66FC" wp14:textId="0FA1C2F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Despite this, the city of Edinburgh has tremendous potential to develop new facilities and become a sustainable location for its residents and tourists.</w:t>
      </w:r>
    </w:p>
    <w:p xmlns:wp14="http://schemas.microsoft.com/office/word/2010/wordml" w:rsidP="43FF16A7" w14:paraId="68A8A1AB" wp14:textId="3F79DE40">
      <w:pPr>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5D27EDBD" wp14:textId="5C01297C">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052228ED" wp14:textId="2ADA41F0">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5A877D48" wp14:textId="54EFC8E6">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00B392B2" wp14:textId="7FA78A38">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2F97EC18" wp14:textId="10377F53">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43B1070A" wp14:textId="639DA1B1">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690FCDEA" wp14:textId="44CAEDBD">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494760D5" wp14:textId="469DB57C">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43BC6FFE" wp14:textId="08E7278D">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4B2262F2" wp14:textId="13778350">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6B995A1F" wp14:textId="7C2F4B48">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6C7BC52C" wp14:textId="41B5E1C8">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385222A8" wp14:textId="54CDEE57">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7E0D18F4" wp14:textId="6D239927">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2F119536" wp14:textId="1C4CD7BC">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07969FC6" wp14:textId="5C92D071">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14F2E7D1" wp14:textId="7907B2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FF16A7" w14:paraId="7BC13F18" wp14:textId="1FAA87F9">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bookmarkStart w:name="_Toc1028175869" w:id="1330234402"/>
      <w:r w:rsidRPr="43FF16A7" w:rsidR="5F61BF37">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Reference List</w:t>
      </w:r>
      <w:bookmarkEnd w:id="1330234402"/>
    </w:p>
    <w:p xmlns:wp14="http://schemas.microsoft.com/office/word/2010/wordml" w:rsidP="43FF16A7" w14:paraId="645D3F76" wp14:textId="07AA472A">
      <w:pPr>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5D463949" wp14:textId="0ABB16F9">
      <w:pPr>
        <w:spacing w:after="160" w:line="259"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3B006B41" wp14:textId="2834A9A6">
      <w:pPr>
        <w:spacing w:after="160" w:line="259" w:lineRule="auto"/>
        <w:ind w:left="0" w:hanging="0" w:firstLine="72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Barros, C.L. and Sousa, B.M., (2019). Price and Marketing Strategy in Tourism Contexts: A preliminary study to mitigating seasonality. </w:t>
      </w:r>
      <w:r w:rsidRPr="43FF16A7" w:rsidR="5F61BF37">
        <w:rPr>
          <w:rFonts w:ascii="Arial" w:hAnsi="Arial" w:eastAsia="Arial" w:cs="Arial"/>
          <w:b w:val="0"/>
          <w:bCs w:val="0"/>
          <w:i w:val="1"/>
          <w:iCs w:val="1"/>
          <w:caps w:val="0"/>
          <w:smallCaps w:val="0"/>
          <w:noProof w:val="0"/>
          <w:color w:val="222222"/>
          <w:sz w:val="24"/>
          <w:szCs w:val="24"/>
          <w:lang w:val="en-US"/>
        </w:rPr>
        <w:t>International journal of marketing, communication and new media</w:t>
      </w:r>
      <w:r w:rsidRPr="43FF16A7" w:rsidR="5F61BF37">
        <w:rPr>
          <w:rFonts w:ascii="Arial" w:hAnsi="Arial" w:eastAsia="Arial" w:cs="Arial"/>
          <w:b w:val="0"/>
          <w:bCs w:val="0"/>
          <w:i w:val="0"/>
          <w:iCs w:val="0"/>
          <w:caps w:val="0"/>
          <w:smallCaps w:val="0"/>
          <w:noProof w:val="0"/>
          <w:color w:val="222222"/>
          <w:sz w:val="24"/>
          <w:szCs w:val="24"/>
          <w:lang w:val="en-US"/>
        </w:rPr>
        <w:t>, Volume 7, No. 12.</w:t>
      </w:r>
    </w:p>
    <w:p xmlns:wp14="http://schemas.microsoft.com/office/word/2010/wordml" w:rsidP="43FF16A7" w14:paraId="363FBB24" wp14:textId="48F22B5F">
      <w:pPr>
        <w:spacing w:after="160" w:line="259" w:lineRule="auto"/>
        <w:ind w:left="0" w:hanging="0" w:firstLine="72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Brundtland, G.H., (1985). World commission on environment and development. </w:t>
      </w:r>
      <w:r w:rsidRPr="43FF16A7" w:rsidR="5F61BF37">
        <w:rPr>
          <w:rFonts w:ascii="Arial" w:hAnsi="Arial" w:eastAsia="Arial" w:cs="Arial"/>
          <w:b w:val="0"/>
          <w:bCs w:val="0"/>
          <w:i w:val="1"/>
          <w:iCs w:val="1"/>
          <w:caps w:val="0"/>
          <w:smallCaps w:val="0"/>
          <w:noProof w:val="0"/>
          <w:color w:val="222222"/>
          <w:sz w:val="24"/>
          <w:szCs w:val="24"/>
          <w:lang w:val="en-US"/>
        </w:rPr>
        <w:t>Environmental policy and law</w:t>
      </w:r>
      <w:r w:rsidRPr="43FF16A7" w:rsidR="5F61BF37">
        <w:rPr>
          <w:rFonts w:ascii="Arial" w:hAnsi="Arial" w:eastAsia="Arial" w:cs="Arial"/>
          <w:b w:val="0"/>
          <w:bCs w:val="0"/>
          <w:i w:val="0"/>
          <w:iCs w:val="0"/>
          <w:caps w:val="0"/>
          <w:smallCaps w:val="0"/>
          <w:noProof w:val="0"/>
          <w:color w:val="222222"/>
          <w:sz w:val="24"/>
          <w:szCs w:val="24"/>
          <w:lang w:val="en-US"/>
        </w:rPr>
        <w:t>, Volume 14, No. 1, pp.26-30.</w:t>
      </w:r>
    </w:p>
    <w:p xmlns:wp14="http://schemas.microsoft.com/office/word/2010/wordml" w:rsidP="43FF16A7" w14:paraId="40036A01" wp14:textId="68BEBD27">
      <w:pPr>
        <w:spacing w:after="160" w:line="259" w:lineRule="auto"/>
        <w:ind w:left="0" w:hanging="0" w:firstLine="72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Butler, R.W., (1980). The concept of a tourist area cycle of evolution: Implications for management of resources. </w:t>
      </w:r>
      <w:r w:rsidRPr="43FF16A7" w:rsidR="5F61BF37">
        <w:rPr>
          <w:rFonts w:ascii="Arial" w:hAnsi="Arial" w:eastAsia="Arial" w:cs="Arial"/>
          <w:b w:val="0"/>
          <w:bCs w:val="0"/>
          <w:i w:val="1"/>
          <w:iCs w:val="1"/>
          <w:caps w:val="0"/>
          <w:smallCaps w:val="0"/>
          <w:noProof w:val="0"/>
          <w:color w:val="222222"/>
          <w:sz w:val="24"/>
          <w:szCs w:val="24"/>
          <w:lang w:val="en-US"/>
        </w:rPr>
        <w:t>Canadian Geographer/Le Géographe canadien</w:t>
      </w:r>
      <w:r w:rsidRPr="43FF16A7" w:rsidR="5F61BF37">
        <w:rPr>
          <w:rFonts w:ascii="Arial" w:hAnsi="Arial" w:eastAsia="Arial" w:cs="Arial"/>
          <w:b w:val="0"/>
          <w:bCs w:val="0"/>
          <w:i w:val="0"/>
          <w:iCs w:val="0"/>
          <w:caps w:val="0"/>
          <w:smallCaps w:val="0"/>
          <w:noProof w:val="0"/>
          <w:color w:val="222222"/>
          <w:sz w:val="24"/>
          <w:szCs w:val="24"/>
          <w:lang w:val="en-US"/>
        </w:rPr>
        <w:t>, Volume 24, No. 1, pp.5-12.</w:t>
      </w:r>
    </w:p>
    <w:p xmlns:wp14="http://schemas.microsoft.com/office/word/2010/wordml" w:rsidP="43FF16A7" w14:paraId="432E8BF9" wp14:textId="0624A389">
      <w:pPr>
        <w:spacing w:after="160" w:line="259" w:lineRule="auto"/>
        <w:ind w:left="0" w:hanging="0" w:firstLine="72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Calero, C. and Turner, L.W., (2020). Regional economic development and tourism: A literature review to highlight future directions for regional tourism research. </w:t>
      </w:r>
      <w:r w:rsidRPr="43FF16A7" w:rsidR="5F61BF37">
        <w:rPr>
          <w:rFonts w:ascii="Arial" w:hAnsi="Arial" w:eastAsia="Arial" w:cs="Arial"/>
          <w:b w:val="0"/>
          <w:bCs w:val="0"/>
          <w:i w:val="1"/>
          <w:iCs w:val="1"/>
          <w:caps w:val="0"/>
          <w:smallCaps w:val="0"/>
          <w:noProof w:val="0"/>
          <w:color w:val="222222"/>
          <w:sz w:val="24"/>
          <w:szCs w:val="24"/>
          <w:lang w:val="en-US"/>
        </w:rPr>
        <w:t>Tourism Economics</w:t>
      </w:r>
      <w:r w:rsidRPr="43FF16A7" w:rsidR="5F61BF37">
        <w:rPr>
          <w:rFonts w:ascii="Arial" w:hAnsi="Arial" w:eastAsia="Arial" w:cs="Arial"/>
          <w:b w:val="0"/>
          <w:bCs w:val="0"/>
          <w:i w:val="0"/>
          <w:iCs w:val="0"/>
          <w:caps w:val="0"/>
          <w:smallCaps w:val="0"/>
          <w:noProof w:val="0"/>
          <w:color w:val="222222"/>
          <w:sz w:val="24"/>
          <w:szCs w:val="24"/>
          <w:lang w:val="en-US"/>
        </w:rPr>
        <w:t>, Volume 26, No. 1, pp.3-26.</w:t>
      </w:r>
    </w:p>
    <w:p xmlns:wp14="http://schemas.microsoft.com/office/word/2010/wordml" w:rsidP="43FF16A7" w14:paraId="53526CEE" wp14:textId="45FD66BD">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Cheng, L. and Liu, L., 2022. Exploring posttraumatic growth after the COVID-19 pandemic. </w:t>
      </w:r>
      <w:r w:rsidRPr="43FF16A7" w:rsidR="5F61BF37">
        <w:rPr>
          <w:rFonts w:ascii="Arial" w:hAnsi="Arial" w:eastAsia="Arial" w:cs="Arial"/>
          <w:b w:val="0"/>
          <w:bCs w:val="0"/>
          <w:i w:val="1"/>
          <w:iCs w:val="1"/>
          <w:caps w:val="0"/>
          <w:smallCaps w:val="0"/>
          <w:noProof w:val="0"/>
          <w:color w:val="222222"/>
          <w:sz w:val="24"/>
          <w:szCs w:val="24"/>
          <w:lang w:val="en-US"/>
        </w:rPr>
        <w:t>Tourism management</w:t>
      </w:r>
      <w:r w:rsidRPr="43FF16A7" w:rsidR="5F61BF37">
        <w:rPr>
          <w:rFonts w:ascii="Arial" w:hAnsi="Arial" w:eastAsia="Arial" w:cs="Arial"/>
          <w:b w:val="0"/>
          <w:bCs w:val="0"/>
          <w:i w:val="0"/>
          <w:iCs w:val="0"/>
          <w:caps w:val="0"/>
          <w:smallCaps w:val="0"/>
          <w:noProof w:val="0"/>
          <w:color w:val="222222"/>
          <w:sz w:val="24"/>
          <w:szCs w:val="24"/>
          <w:lang w:val="en-US"/>
        </w:rPr>
        <w:t>, Volume 90, p.104474.</w:t>
      </w:r>
    </w:p>
    <w:p xmlns:wp14="http://schemas.microsoft.com/office/word/2010/wordml" w:rsidP="43FF16A7" w14:paraId="76C61016" wp14:textId="0D2EE7B4">
      <w:pPr>
        <w:spacing w:after="16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Doxey, G. (1975) A Causation Theory of Visitor–Resident Irritants: Methodology and Research Inferences. The Impact of Tourism.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In</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the Sixth Annual Conference Proceedings, pp.195-198. San Diego: The Travel Research Association.</w:t>
      </w:r>
    </w:p>
    <w:p xmlns:wp14="http://schemas.microsoft.com/office/word/2010/wordml" w:rsidP="43FF16A7" w14:paraId="12DEBD74" wp14:textId="3CF2E30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Edinburgh Live (2023)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Council push for powers to bring in tourist tax which could raise £35m</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EdinburghLive</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https://www.edinburghlive.co.uk/news/edinburgh-news/edinburgh-council-push-powers-bring-26846961</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5603790D" wp14:textId="0C0D64C3">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Edinburgh DMP (2020)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 xml:space="preserve">Edinburgh 2030 tourism strategy -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etag</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https://www.edinburgh.gov.uk/localdevelopmentplan</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2023).</w:t>
      </w:r>
    </w:p>
    <w:p xmlns:wp14="http://schemas.microsoft.com/office/word/2010/wordml" w:rsidP="43FF16A7" w14:paraId="2CA002A1" wp14:textId="3DEC5421">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Edinburgh Tourism Strategy (2020)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 xml:space="preserve">Edinburgh 2030 tourism strategy -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etag</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https://www.etag.org.uk/wp-content/uploads/2014/01/Final-Draft-Edinburghs-Tourism-Strategy-2030.pdf</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June 2023).</w:t>
      </w:r>
    </w:p>
    <w:p xmlns:wp14="http://schemas.microsoft.com/office/word/2010/wordml" w:rsidP="43FF16A7" w14:paraId="663D4FFF" wp14:textId="61467705">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Elliards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X. (2023)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Tourism Data reveals how many overseas visitors came to Scotland in 2022</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The National</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https://www.thenational.scot/news/23549218.edinburgh-second-most-visited-uk-city-2022-tourism-data-shows/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2023).</w:t>
      </w:r>
    </w:p>
    <w:p xmlns:wp14="http://schemas.microsoft.com/office/word/2010/wordml" w:rsidP="43FF16A7" w14:paraId="0D9520CB" wp14:textId="32511A78">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EOTCC (2019)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Residents feature in 80% of Edinburgh Tourism Strategy 2030 Risks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Old Town Community Council</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http://edinburgholdtowncc.org.uk/residents-feature-in-80-of-edinburgh-tourism-strategy-2030-risks/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24BD0D3C" wp14:textId="075417F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Eurocities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(2021a)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Beating the heat in Vienna</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Eurocities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https://eurocities.eu/stories/beating-the-heat-in-vienna/</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7D86346B" wp14:textId="6DDEC3E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Eurocities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(2021b)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London invests in green space for climate and Equality</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Eurocities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https://eurocities.eu/latest/london-invests-in-green-space-for-climate-and-equality/</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7C710F0B" wp14:textId="6B4B93AA">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Ferguson, B. (2020)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Radical rethink on future of Edinburgh tourism will give residents more of a say amid growing concerns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News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https://www.edinburghnews.scotsman.com/news/politics/radical-rethink-future-edinburgh-tourism-will-give-residents-more-say-amid-growing-concerns-1365390</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5B96479C" wp14:textId="2DED4D4D">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Glowka, G. and Zehrer, A., (2019). Tourism family-business owners’ risk perception: Its impact on destination development. </w:t>
      </w:r>
      <w:r w:rsidRPr="43FF16A7" w:rsidR="5F61BF37">
        <w:rPr>
          <w:rFonts w:ascii="Arial" w:hAnsi="Arial" w:eastAsia="Arial" w:cs="Arial"/>
          <w:b w:val="0"/>
          <w:bCs w:val="0"/>
          <w:i w:val="1"/>
          <w:iCs w:val="1"/>
          <w:caps w:val="0"/>
          <w:smallCaps w:val="0"/>
          <w:noProof w:val="0"/>
          <w:color w:val="222222"/>
          <w:sz w:val="24"/>
          <w:szCs w:val="24"/>
          <w:lang w:val="en-US"/>
        </w:rPr>
        <w:t>Sustainability</w:t>
      </w:r>
      <w:r w:rsidRPr="43FF16A7" w:rsidR="5F61BF37">
        <w:rPr>
          <w:rFonts w:ascii="Arial" w:hAnsi="Arial" w:eastAsia="Arial" w:cs="Arial"/>
          <w:b w:val="0"/>
          <w:bCs w:val="0"/>
          <w:i w:val="0"/>
          <w:iCs w:val="0"/>
          <w:caps w:val="0"/>
          <w:smallCaps w:val="0"/>
          <w:noProof w:val="0"/>
          <w:color w:val="222222"/>
          <w:sz w:val="24"/>
          <w:szCs w:val="24"/>
          <w:lang w:val="en-US"/>
        </w:rPr>
        <w:t>, Volume 11, No. 24, p.6992</w:t>
      </w:r>
    </w:p>
    <w:p xmlns:wp14="http://schemas.microsoft.com/office/word/2010/wordml" w:rsidP="43FF16A7" w14:paraId="62D9E3D4" wp14:textId="13E5D170">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Hopkins, D. (2019) ‘Sustainable mobility at the interface of transport and tourism’,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Journal of Sustainable Tourism</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Volume 28, No. 2, pp. 129–143. doi:10.1080/09669582.2019.1691800.</w:t>
      </w:r>
    </w:p>
    <w:p xmlns:wp14="http://schemas.microsoft.com/office/word/2010/wordml" w:rsidP="43FF16A7" w14:paraId="27228C6F" wp14:textId="56D8546A">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López, M.F.B., et al. (2018). Residents' attitude as determinant of tourism sustainability: The case of Trujillo. </w:t>
      </w:r>
      <w:r w:rsidRPr="43FF16A7" w:rsidR="5F61BF37">
        <w:rPr>
          <w:rFonts w:ascii="Arial" w:hAnsi="Arial" w:eastAsia="Arial" w:cs="Arial"/>
          <w:b w:val="0"/>
          <w:bCs w:val="0"/>
          <w:i w:val="1"/>
          <w:iCs w:val="1"/>
          <w:caps w:val="0"/>
          <w:smallCaps w:val="0"/>
          <w:noProof w:val="0"/>
          <w:color w:val="222222"/>
          <w:sz w:val="24"/>
          <w:szCs w:val="24"/>
          <w:lang w:val="en-US"/>
        </w:rPr>
        <w:t>Journal of Hospitality and Tourism Management</w:t>
      </w:r>
      <w:r w:rsidRPr="43FF16A7" w:rsidR="5F61BF37">
        <w:rPr>
          <w:rFonts w:ascii="Arial" w:hAnsi="Arial" w:eastAsia="Arial" w:cs="Arial"/>
          <w:b w:val="0"/>
          <w:bCs w:val="0"/>
          <w:i w:val="0"/>
          <w:iCs w:val="0"/>
          <w:caps w:val="0"/>
          <w:smallCaps w:val="0"/>
          <w:noProof w:val="0"/>
          <w:color w:val="222222"/>
          <w:sz w:val="24"/>
          <w:szCs w:val="24"/>
          <w:lang w:val="en-US"/>
        </w:rPr>
        <w:t>, Volume 35, pp.36-45.</w:t>
      </w:r>
    </w:p>
    <w:p xmlns:wp14="http://schemas.microsoft.com/office/word/2010/wordml" w:rsidP="43FF16A7" w14:paraId="592CFA38" wp14:textId="6975EB3E">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Martín Martín, J.M., et al. (2020). Analysis of tourism seasonality as a factor limiting the sustainable development of rural areas. </w:t>
      </w:r>
      <w:r w:rsidRPr="43FF16A7" w:rsidR="5F61BF37">
        <w:rPr>
          <w:rFonts w:ascii="Arial" w:hAnsi="Arial" w:eastAsia="Arial" w:cs="Arial"/>
          <w:b w:val="0"/>
          <w:bCs w:val="0"/>
          <w:i w:val="1"/>
          <w:iCs w:val="1"/>
          <w:caps w:val="0"/>
          <w:smallCaps w:val="0"/>
          <w:noProof w:val="0"/>
          <w:color w:val="222222"/>
          <w:sz w:val="24"/>
          <w:szCs w:val="24"/>
          <w:lang w:val="en-US"/>
        </w:rPr>
        <w:t>Journal of Hospitality &amp; Tourism Research</w:t>
      </w:r>
      <w:r w:rsidRPr="43FF16A7" w:rsidR="5F61BF37">
        <w:rPr>
          <w:rFonts w:ascii="Arial" w:hAnsi="Arial" w:eastAsia="Arial" w:cs="Arial"/>
          <w:b w:val="0"/>
          <w:bCs w:val="0"/>
          <w:i w:val="0"/>
          <w:iCs w:val="0"/>
          <w:caps w:val="0"/>
          <w:smallCaps w:val="0"/>
          <w:noProof w:val="0"/>
          <w:color w:val="222222"/>
          <w:sz w:val="24"/>
          <w:szCs w:val="24"/>
          <w:lang w:val="en-US"/>
        </w:rPr>
        <w:t>, Volume 44, No. 1, pp.45-75.</w:t>
      </w:r>
    </w:p>
    <w:p xmlns:wp14="http://schemas.microsoft.com/office/word/2010/wordml" w:rsidP="43FF16A7" w14:paraId="697400BA" wp14:textId="2D63E7E8">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Murtiningsih, R.S., 2020. The Impact of Compensation, Training &amp; Development, and Organizational Culture on Job Satisfaction and employee Retention. </w:t>
      </w:r>
      <w:r w:rsidRPr="43FF16A7" w:rsidR="5F61BF37">
        <w:rPr>
          <w:rFonts w:ascii="Arial" w:hAnsi="Arial" w:eastAsia="Arial" w:cs="Arial"/>
          <w:b w:val="0"/>
          <w:bCs w:val="0"/>
          <w:i w:val="1"/>
          <w:iCs w:val="1"/>
          <w:caps w:val="0"/>
          <w:smallCaps w:val="0"/>
          <w:noProof w:val="0"/>
          <w:color w:val="222222"/>
          <w:sz w:val="24"/>
          <w:szCs w:val="24"/>
          <w:lang w:val="en-US"/>
        </w:rPr>
        <w:t>Indonesian Management and Accounting Research</w:t>
      </w:r>
      <w:r w:rsidRPr="43FF16A7" w:rsidR="5F61BF37">
        <w:rPr>
          <w:rFonts w:ascii="Arial" w:hAnsi="Arial" w:eastAsia="Arial" w:cs="Arial"/>
          <w:b w:val="0"/>
          <w:bCs w:val="0"/>
          <w:i w:val="0"/>
          <w:iCs w:val="0"/>
          <w:caps w:val="0"/>
          <w:smallCaps w:val="0"/>
          <w:noProof w:val="0"/>
          <w:color w:val="222222"/>
          <w:sz w:val="24"/>
          <w:szCs w:val="24"/>
          <w:lang w:val="en-US"/>
        </w:rPr>
        <w:t xml:space="preserve">, </w:t>
      </w:r>
      <w:r w:rsidRPr="43FF16A7" w:rsidR="5F61BF37">
        <w:rPr>
          <w:rFonts w:ascii="Arial" w:hAnsi="Arial" w:eastAsia="Arial" w:cs="Arial"/>
          <w:b w:val="0"/>
          <w:bCs w:val="0"/>
          <w:i w:val="1"/>
          <w:iCs w:val="1"/>
          <w:caps w:val="0"/>
          <w:smallCaps w:val="0"/>
          <w:noProof w:val="0"/>
          <w:color w:val="222222"/>
          <w:sz w:val="24"/>
          <w:szCs w:val="24"/>
          <w:lang w:val="en-US"/>
        </w:rPr>
        <w:t>19</w:t>
      </w:r>
      <w:r w:rsidRPr="43FF16A7" w:rsidR="5F61BF37">
        <w:rPr>
          <w:rFonts w:ascii="Arial" w:hAnsi="Arial" w:eastAsia="Arial" w:cs="Arial"/>
          <w:b w:val="0"/>
          <w:bCs w:val="0"/>
          <w:i w:val="0"/>
          <w:iCs w:val="0"/>
          <w:caps w:val="0"/>
          <w:smallCaps w:val="0"/>
          <w:noProof w:val="0"/>
          <w:color w:val="222222"/>
          <w:sz w:val="24"/>
          <w:szCs w:val="24"/>
          <w:lang w:val="en-US"/>
        </w:rPr>
        <w:t>(1), pp.33-50.</w:t>
      </w:r>
    </w:p>
    <w:p xmlns:wp14="http://schemas.microsoft.com/office/word/2010/wordml" w:rsidP="43FF16A7" w14:paraId="29820916" wp14:textId="07F2A5C8">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Nelson, M.K. and Shilling, D. eds., (2018). </w:t>
      </w:r>
      <w:r w:rsidRPr="43FF16A7" w:rsidR="5F61BF37">
        <w:rPr>
          <w:rFonts w:ascii="Arial" w:hAnsi="Arial" w:eastAsia="Arial" w:cs="Arial"/>
          <w:b w:val="0"/>
          <w:bCs w:val="0"/>
          <w:i w:val="1"/>
          <w:iCs w:val="1"/>
          <w:caps w:val="0"/>
          <w:smallCaps w:val="0"/>
          <w:noProof w:val="0"/>
          <w:color w:val="222222"/>
          <w:sz w:val="24"/>
          <w:szCs w:val="24"/>
          <w:lang w:val="en-US"/>
        </w:rPr>
        <w:t>Traditional ecological knowledge: Learning from Indigenous practices for environmental sustainability</w:t>
      </w:r>
      <w:r w:rsidRPr="43FF16A7" w:rsidR="5F61BF37">
        <w:rPr>
          <w:rFonts w:ascii="Arial" w:hAnsi="Arial" w:eastAsia="Arial" w:cs="Arial"/>
          <w:b w:val="0"/>
          <w:bCs w:val="0"/>
          <w:i w:val="0"/>
          <w:iCs w:val="0"/>
          <w:caps w:val="0"/>
          <w:smallCaps w:val="0"/>
          <w:noProof w:val="0"/>
          <w:color w:val="222222"/>
          <w:sz w:val="24"/>
          <w:szCs w:val="24"/>
          <w:lang w:val="en-US"/>
        </w:rPr>
        <w:t>. Cambridge University Press.</w:t>
      </w:r>
    </w:p>
    <w:p xmlns:wp14="http://schemas.microsoft.com/office/word/2010/wordml" w:rsidP="43FF16A7" w14:paraId="527B3815" wp14:textId="62AD9635">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Nunkoo, R. and So, K.K.F., (2016). Residents’ support for tourism: Testing alternative structural models. </w:t>
      </w:r>
      <w:r w:rsidRPr="43FF16A7" w:rsidR="5F61BF37">
        <w:rPr>
          <w:rFonts w:ascii="Arial" w:hAnsi="Arial" w:eastAsia="Arial" w:cs="Arial"/>
          <w:b w:val="0"/>
          <w:bCs w:val="0"/>
          <w:i w:val="1"/>
          <w:iCs w:val="1"/>
          <w:caps w:val="0"/>
          <w:smallCaps w:val="0"/>
          <w:noProof w:val="0"/>
          <w:color w:val="222222"/>
          <w:sz w:val="24"/>
          <w:szCs w:val="24"/>
          <w:lang w:val="en-US"/>
        </w:rPr>
        <w:t>Journal of travel research</w:t>
      </w:r>
      <w:r w:rsidRPr="43FF16A7" w:rsidR="5F61BF37">
        <w:rPr>
          <w:rFonts w:ascii="Arial" w:hAnsi="Arial" w:eastAsia="Arial" w:cs="Arial"/>
          <w:b w:val="0"/>
          <w:bCs w:val="0"/>
          <w:i w:val="0"/>
          <w:iCs w:val="0"/>
          <w:caps w:val="0"/>
          <w:smallCaps w:val="0"/>
          <w:noProof w:val="0"/>
          <w:color w:val="222222"/>
          <w:sz w:val="24"/>
          <w:szCs w:val="24"/>
          <w:lang w:val="en-US"/>
        </w:rPr>
        <w:t>, Volume 55, No. 7, pp.847-861.</w:t>
      </w:r>
    </w:p>
    <w:p xmlns:wp14="http://schemas.microsoft.com/office/word/2010/wordml" w:rsidP="43FF16A7" w14:paraId="453A8D8D" wp14:textId="1138C590">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Oad, S. and Memon, R.M., (2021). Cultural resources: tourism and its impact on environment. </w:t>
      </w:r>
      <w:r w:rsidRPr="43FF16A7" w:rsidR="5F61BF37">
        <w:rPr>
          <w:rFonts w:ascii="Arial" w:hAnsi="Arial" w:eastAsia="Arial" w:cs="Arial"/>
          <w:b w:val="0"/>
          <w:bCs w:val="0"/>
          <w:i w:val="1"/>
          <w:iCs w:val="1"/>
          <w:caps w:val="0"/>
          <w:smallCaps w:val="0"/>
          <w:noProof w:val="0"/>
          <w:color w:val="222222"/>
          <w:sz w:val="24"/>
          <w:szCs w:val="24"/>
          <w:lang w:val="en-US"/>
        </w:rPr>
        <w:t>Pakistan Journal of Agricultural Sciences</w:t>
      </w:r>
      <w:r w:rsidRPr="43FF16A7" w:rsidR="5F61BF37">
        <w:rPr>
          <w:rFonts w:ascii="Arial" w:hAnsi="Arial" w:eastAsia="Arial" w:cs="Arial"/>
          <w:b w:val="0"/>
          <w:bCs w:val="0"/>
          <w:i w:val="0"/>
          <w:iCs w:val="0"/>
          <w:caps w:val="0"/>
          <w:smallCaps w:val="0"/>
          <w:noProof w:val="0"/>
          <w:color w:val="222222"/>
          <w:sz w:val="24"/>
          <w:szCs w:val="24"/>
          <w:lang w:val="en-US"/>
        </w:rPr>
        <w:t>, Volume 58, No. 6.</w:t>
      </w:r>
    </w:p>
    <w:p xmlns:wp14="http://schemas.microsoft.com/office/word/2010/wordml" w:rsidP="43FF16A7" w14:paraId="7BBE8AD6" wp14:textId="0153B308">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Padlee, S.F., Thaw, C.Y. and Zulkiffli, S.N.A., (2019). The relationship between service quality, customer satisfaction and behavioural intentions. </w:t>
      </w:r>
      <w:r w:rsidRPr="43FF16A7" w:rsidR="5F61BF37">
        <w:rPr>
          <w:rFonts w:ascii="Arial" w:hAnsi="Arial" w:eastAsia="Arial" w:cs="Arial"/>
          <w:b w:val="0"/>
          <w:bCs w:val="0"/>
          <w:i w:val="1"/>
          <w:iCs w:val="1"/>
          <w:caps w:val="0"/>
          <w:smallCaps w:val="0"/>
          <w:noProof w:val="0"/>
          <w:color w:val="222222"/>
          <w:sz w:val="24"/>
          <w:szCs w:val="24"/>
          <w:lang w:val="en-US"/>
        </w:rPr>
        <w:t>Tourism and hospitality management</w:t>
      </w:r>
      <w:r w:rsidRPr="43FF16A7" w:rsidR="5F61BF37">
        <w:rPr>
          <w:rFonts w:ascii="Arial" w:hAnsi="Arial" w:eastAsia="Arial" w:cs="Arial"/>
          <w:b w:val="0"/>
          <w:bCs w:val="0"/>
          <w:i w:val="0"/>
          <w:iCs w:val="0"/>
          <w:caps w:val="0"/>
          <w:smallCaps w:val="0"/>
          <w:noProof w:val="0"/>
          <w:color w:val="222222"/>
          <w:sz w:val="24"/>
          <w:szCs w:val="24"/>
          <w:lang w:val="en-US"/>
        </w:rPr>
        <w:t>, Volume 25, No. 1, pp.121-139.</w:t>
      </w:r>
    </w:p>
    <w:p xmlns:wp14="http://schemas.microsoft.com/office/word/2010/wordml" w:rsidP="43FF16A7" w14:paraId="60388525" wp14:textId="543239A9">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Pamfilie, R., et al. (2018). Circular economy–A new direction for the sustainability of the hotel industry in Romania. </w:t>
      </w:r>
      <w:r w:rsidRPr="43FF16A7" w:rsidR="5F61BF37">
        <w:rPr>
          <w:rFonts w:ascii="Arial" w:hAnsi="Arial" w:eastAsia="Arial" w:cs="Arial"/>
          <w:b w:val="0"/>
          <w:bCs w:val="0"/>
          <w:i w:val="1"/>
          <w:iCs w:val="1"/>
          <w:caps w:val="0"/>
          <w:smallCaps w:val="0"/>
          <w:noProof w:val="0"/>
          <w:color w:val="222222"/>
          <w:sz w:val="24"/>
          <w:szCs w:val="24"/>
          <w:lang w:val="en-US"/>
        </w:rPr>
        <w:t>Amfiteatru Economic</w:t>
      </w:r>
      <w:r w:rsidRPr="43FF16A7" w:rsidR="5F61BF37">
        <w:rPr>
          <w:rFonts w:ascii="Arial" w:hAnsi="Arial" w:eastAsia="Arial" w:cs="Arial"/>
          <w:b w:val="0"/>
          <w:bCs w:val="0"/>
          <w:i w:val="0"/>
          <w:iCs w:val="0"/>
          <w:caps w:val="0"/>
          <w:smallCaps w:val="0"/>
          <w:noProof w:val="0"/>
          <w:color w:val="222222"/>
          <w:sz w:val="24"/>
          <w:szCs w:val="24"/>
          <w:lang w:val="en-US"/>
        </w:rPr>
        <w:t>, Volume 20, No. 48, pp.388-404.</w:t>
      </w:r>
    </w:p>
    <w:p xmlns:wp14="http://schemas.microsoft.com/office/word/2010/wordml" w:rsidP="43FF16A7" w14:paraId="6BD1F0BA" wp14:textId="7F7F79C4">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p>
    <w:p xmlns:wp14="http://schemas.microsoft.com/office/word/2010/wordml" w:rsidP="43FF16A7" w14:paraId="06F3E9F2" wp14:textId="1226A828">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Scottish Tourism Alliance (2020)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Scotland Outlook 2030 - Scottish tourism alliance</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https://scottishtourismalliance.co.uk/wp-content/uploads/2020/03/Scotland-Outlook-2030.pdf</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53CBB341" wp14:textId="044E8721">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Swanson, I. (2023)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urged to copy Amsterdam’s ‘stay away’ campaign to discourage unwanted tourists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News</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https://www.edinburghnews.scotsman.com/news/politics/council/edinburgh-urged-to-adopt-amsterdam-style-stay-away-campaign-to-discourage-unwanted-tourists-3983398</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2023).</w:t>
      </w:r>
    </w:p>
    <w:p xmlns:wp14="http://schemas.microsoft.com/office/word/2010/wordml" w:rsidP="43FF16A7" w14:paraId="6E0F0E94" wp14:textId="58935151">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UNWTO (no date)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UN World Tourism Organization</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Circular Economy: Integrating Circular Economy Principles in Tourism</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https://www.unwto.org/sustainable-development/circular-economy</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2023).</w:t>
      </w:r>
    </w:p>
    <w:p xmlns:wp14="http://schemas.microsoft.com/office/word/2010/wordml" w:rsidP="43FF16A7" w14:paraId="2F243E33" wp14:textId="70760701">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Ukko, J.et al., (2019). Sustainable development: Implications and definition for open sustainability. </w:t>
      </w:r>
      <w:r w:rsidRPr="43FF16A7" w:rsidR="5F61BF37">
        <w:rPr>
          <w:rFonts w:ascii="Arial" w:hAnsi="Arial" w:eastAsia="Arial" w:cs="Arial"/>
          <w:b w:val="0"/>
          <w:bCs w:val="0"/>
          <w:i w:val="1"/>
          <w:iCs w:val="1"/>
          <w:caps w:val="0"/>
          <w:smallCaps w:val="0"/>
          <w:noProof w:val="0"/>
          <w:color w:val="222222"/>
          <w:sz w:val="24"/>
          <w:szCs w:val="24"/>
          <w:lang w:val="en-US"/>
        </w:rPr>
        <w:t>Sustainable Development</w:t>
      </w:r>
      <w:r w:rsidRPr="43FF16A7" w:rsidR="5F61BF37">
        <w:rPr>
          <w:rFonts w:ascii="Arial" w:hAnsi="Arial" w:eastAsia="Arial" w:cs="Arial"/>
          <w:b w:val="0"/>
          <w:bCs w:val="0"/>
          <w:i w:val="0"/>
          <w:iCs w:val="0"/>
          <w:caps w:val="0"/>
          <w:smallCaps w:val="0"/>
          <w:noProof w:val="0"/>
          <w:color w:val="222222"/>
          <w:sz w:val="24"/>
          <w:szCs w:val="24"/>
          <w:lang w:val="en-US"/>
        </w:rPr>
        <w:t>, Volume 27, No. 3, pp.321-336.</w:t>
      </w:r>
    </w:p>
    <w:p xmlns:wp14="http://schemas.microsoft.com/office/word/2010/wordml" w:rsidP="43FF16A7" w14:paraId="61464650" wp14:textId="13FFFC16">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43FF16A7" w:rsidR="5F61BF37">
        <w:rPr>
          <w:rFonts w:ascii="Arial" w:hAnsi="Arial" w:eastAsia="Arial" w:cs="Arial"/>
          <w:b w:val="0"/>
          <w:bCs w:val="0"/>
          <w:i w:val="0"/>
          <w:iCs w:val="0"/>
          <w:caps w:val="0"/>
          <w:smallCaps w:val="0"/>
          <w:noProof w:val="0"/>
          <w:color w:val="222222"/>
          <w:sz w:val="24"/>
          <w:szCs w:val="24"/>
          <w:lang w:val="en-US"/>
        </w:rPr>
        <w:t xml:space="preserve">Waqanimaravu, M. and Arasanmi, C.N., (2020). Employee training and service quality in the hospitality industry. </w:t>
      </w:r>
      <w:r w:rsidRPr="43FF16A7" w:rsidR="5F61BF37">
        <w:rPr>
          <w:rFonts w:ascii="Arial" w:hAnsi="Arial" w:eastAsia="Arial" w:cs="Arial"/>
          <w:b w:val="0"/>
          <w:bCs w:val="0"/>
          <w:i w:val="1"/>
          <w:iCs w:val="1"/>
          <w:caps w:val="0"/>
          <w:smallCaps w:val="0"/>
          <w:noProof w:val="0"/>
          <w:color w:val="222222"/>
          <w:sz w:val="24"/>
          <w:szCs w:val="24"/>
          <w:lang w:val="en-US"/>
        </w:rPr>
        <w:t>Journal of Foodservice Business Research</w:t>
      </w:r>
      <w:r w:rsidRPr="43FF16A7" w:rsidR="5F61BF37">
        <w:rPr>
          <w:rFonts w:ascii="Arial" w:hAnsi="Arial" w:eastAsia="Arial" w:cs="Arial"/>
          <w:b w:val="0"/>
          <w:bCs w:val="0"/>
          <w:i w:val="0"/>
          <w:iCs w:val="0"/>
          <w:caps w:val="0"/>
          <w:smallCaps w:val="0"/>
          <w:noProof w:val="0"/>
          <w:color w:val="222222"/>
          <w:sz w:val="24"/>
          <w:szCs w:val="24"/>
          <w:lang w:val="en-US"/>
        </w:rPr>
        <w:t>, Volume 23, No. 3, pp.216-227.</w:t>
      </w:r>
    </w:p>
    <w:p xmlns:wp14="http://schemas.microsoft.com/office/word/2010/wordml" w:rsidP="43FF16A7" w14:paraId="2AD3511C" wp14:textId="7F72DC15">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Wilkinson, C. (2022)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Edinburgh is officially the Best City in the world in 2022</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3FF16A7" w:rsidR="5F61BF37">
        <w:rPr>
          <w:rFonts w:ascii="Arial" w:hAnsi="Arial" w:eastAsia="Arial" w:cs="Arial"/>
          <w:b w:val="0"/>
          <w:bCs w:val="0"/>
          <w:i w:val="1"/>
          <w:iCs w:val="1"/>
          <w:caps w:val="0"/>
          <w:smallCaps w:val="0"/>
          <w:noProof w:val="0"/>
          <w:color w:val="000000" w:themeColor="text1" w:themeTint="FF" w:themeShade="FF"/>
          <w:sz w:val="24"/>
          <w:szCs w:val="24"/>
          <w:lang w:val="en-US"/>
        </w:rPr>
        <w:t>Time Out Worldwide</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43FF16A7" w:rsidR="5F61BF37">
        <w:rPr>
          <w:rFonts w:ascii="Arial" w:hAnsi="Arial" w:eastAsia="Arial" w:cs="Arial"/>
          <w:b w:val="0"/>
          <w:bCs w:val="0"/>
          <w:i w:val="0"/>
          <w:iCs w:val="0"/>
          <w:caps w:val="0"/>
          <w:smallCaps w:val="0"/>
          <w:noProof w:val="0"/>
          <w:sz w:val="24"/>
          <w:szCs w:val="24"/>
          <w:lang w:val="en-US"/>
        </w:rPr>
        <w:t>https://www.timeout.com/news/edinburgh-is-officially-the-best-city-in-the-world-in-2022-071222</w:t>
      </w:r>
      <w:r w:rsidRPr="43FF16A7" w:rsidR="5F61BF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2023).</w:t>
      </w:r>
    </w:p>
    <w:p xmlns:wp14="http://schemas.microsoft.com/office/word/2010/wordml" w:rsidP="43FF16A7" w14:paraId="4A39D400" wp14:textId="2186F13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43FF16A7" w14:paraId="2C078E63" wp14:textId="55D58B77">
      <w:pPr>
        <w:pStyle w:val="Normal"/>
        <w:spacing w:after="160" w:line="259" w:lineRule="auto"/>
        <w:rPr>
          <w:rFonts w:ascii="Arial" w:hAnsi="Arial" w:eastAsia="Arial" w:cs="Arial"/>
          <w:b w:val="0"/>
          <w:bCs w:val="0"/>
          <w:i w:val="0"/>
          <w:iCs w:val="0"/>
          <w:caps w:val="0"/>
          <w:smallCaps w:val="0"/>
          <w:noProof w:val="0"/>
          <w:color w:val="222222"/>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661DAC"/>
    <w:rsid w:val="022D2CCC"/>
    <w:rsid w:val="0FA2826B"/>
    <w:rsid w:val="19297EB9"/>
    <w:rsid w:val="1AC54F1A"/>
    <w:rsid w:val="1AC54F1A"/>
    <w:rsid w:val="1DFCEFDC"/>
    <w:rsid w:val="2134909E"/>
    <w:rsid w:val="21E4A02F"/>
    <w:rsid w:val="263D6638"/>
    <w:rsid w:val="2A3A2311"/>
    <w:rsid w:val="3BF404C2"/>
    <w:rsid w:val="40845D3B"/>
    <w:rsid w:val="40C775E5"/>
    <w:rsid w:val="43DF30AF"/>
    <w:rsid w:val="43FF16A7"/>
    <w:rsid w:val="457B0110"/>
    <w:rsid w:val="4A4E7233"/>
    <w:rsid w:val="4D8612F5"/>
    <w:rsid w:val="50BDB3B7"/>
    <w:rsid w:val="51DD5D44"/>
    <w:rsid w:val="5E7BB505"/>
    <w:rsid w:val="5F61BF37"/>
    <w:rsid w:val="6131EAA2"/>
    <w:rsid w:val="64E24B69"/>
    <w:rsid w:val="68661DAC"/>
    <w:rsid w:val="6FD4B50E"/>
    <w:rsid w:val="7758E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61DAC"/>
  <w15:chartTrackingRefBased/>
  <w15:docId w15:val="{17C025AD-1F8A-4EAC-814B-C3F5C31752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51c0b483f11544c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010a6ba-3027-470f-9690-3bec148f9cf8}"/>
      </w:docPartPr>
      <w:docPartBody>
        <w:p w14:paraId="1CE11FD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2023-06-15T05:45:02.1632102Z</dcterms:created>
  <dcterms:modified xsi:type="dcterms:W3CDTF">2023-06-15T05:55:46.0834939Z</dcterms:modified>
  <dc:creator>Adriana Dascalu (2011303)</dc:creator>
  <lastModifiedBy>Adriana Dascalu (2011303)</lastModifiedBy>
</coreProperties>
</file>