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56B067" w14:textId="52F83508" w:rsidR="00561949" w:rsidRPr="00751FCD" w:rsidRDefault="00561949">
      <w:pPr>
        <w:rPr>
          <w:rFonts w:ascii="Arial" w:hAnsi="Arial" w:cs="Arial"/>
          <w:sz w:val="48"/>
          <w:szCs w:val="48"/>
        </w:rPr>
      </w:pPr>
      <w:r w:rsidRPr="00751FCD">
        <w:rPr>
          <w:rFonts w:ascii="Arial" w:hAnsi="Arial" w:cs="Arial"/>
          <w:sz w:val="48"/>
          <w:szCs w:val="48"/>
        </w:rPr>
        <w:t>Reform of Non-Fatal Offences Against the Person</w:t>
      </w:r>
    </w:p>
    <w:p w14:paraId="17174CC6" w14:textId="73E90BBD" w:rsidR="00411614" w:rsidRPr="00751FCD" w:rsidRDefault="00411614">
      <w:pPr>
        <w:rPr>
          <w:rFonts w:ascii="Arial" w:hAnsi="Arial" w:cs="Arial"/>
          <w:sz w:val="48"/>
          <w:szCs w:val="48"/>
        </w:rPr>
      </w:pPr>
    </w:p>
    <w:p w14:paraId="4E743A42" w14:textId="5BEBE5B1" w:rsidR="00411614" w:rsidRPr="00751FCD" w:rsidRDefault="00411614">
      <w:pPr>
        <w:rPr>
          <w:rFonts w:ascii="Arial" w:hAnsi="Arial" w:cs="Arial"/>
          <w:sz w:val="48"/>
          <w:szCs w:val="48"/>
        </w:rPr>
      </w:pPr>
    </w:p>
    <w:p w14:paraId="03D7B0D7" w14:textId="04A7CD0D" w:rsidR="00411614" w:rsidRPr="00751FCD" w:rsidRDefault="00411614">
      <w:pPr>
        <w:rPr>
          <w:rFonts w:ascii="Arial" w:hAnsi="Arial" w:cs="Arial"/>
          <w:sz w:val="48"/>
          <w:szCs w:val="48"/>
        </w:rPr>
      </w:pPr>
    </w:p>
    <w:p w14:paraId="34720DE4" w14:textId="168BB714" w:rsidR="00411614" w:rsidRPr="00751FCD" w:rsidRDefault="00411614">
      <w:pPr>
        <w:rPr>
          <w:rFonts w:ascii="Arial" w:hAnsi="Arial" w:cs="Arial"/>
          <w:sz w:val="48"/>
          <w:szCs w:val="48"/>
        </w:rPr>
      </w:pPr>
    </w:p>
    <w:p w14:paraId="08FB262D" w14:textId="25F450C2" w:rsidR="00411614" w:rsidRPr="00751FCD" w:rsidRDefault="00411614">
      <w:pPr>
        <w:rPr>
          <w:rFonts w:ascii="Arial" w:hAnsi="Arial" w:cs="Arial"/>
          <w:sz w:val="48"/>
          <w:szCs w:val="48"/>
        </w:rPr>
      </w:pPr>
    </w:p>
    <w:p w14:paraId="28CAF619" w14:textId="0D4FEBD6" w:rsidR="00411614" w:rsidRPr="00751FCD" w:rsidRDefault="00411614">
      <w:pPr>
        <w:rPr>
          <w:rFonts w:ascii="Arial" w:hAnsi="Arial" w:cs="Arial"/>
          <w:sz w:val="48"/>
          <w:szCs w:val="48"/>
        </w:rPr>
      </w:pPr>
    </w:p>
    <w:p w14:paraId="4E17208C" w14:textId="6848705A" w:rsidR="00411614" w:rsidRPr="00751FCD" w:rsidRDefault="00411614">
      <w:pPr>
        <w:rPr>
          <w:rFonts w:ascii="Arial" w:hAnsi="Arial" w:cs="Arial"/>
          <w:sz w:val="48"/>
          <w:szCs w:val="48"/>
        </w:rPr>
      </w:pPr>
    </w:p>
    <w:p w14:paraId="3E0B1033" w14:textId="497956C2" w:rsidR="00411614" w:rsidRPr="00751FCD" w:rsidRDefault="00411614">
      <w:pPr>
        <w:rPr>
          <w:rFonts w:ascii="Arial" w:hAnsi="Arial" w:cs="Arial"/>
          <w:sz w:val="48"/>
          <w:szCs w:val="48"/>
        </w:rPr>
      </w:pPr>
    </w:p>
    <w:p w14:paraId="4F022F56" w14:textId="21DECE6F" w:rsidR="00411614" w:rsidRPr="00751FCD" w:rsidRDefault="00411614">
      <w:pPr>
        <w:rPr>
          <w:rFonts w:ascii="Arial" w:hAnsi="Arial" w:cs="Arial"/>
          <w:sz w:val="48"/>
          <w:szCs w:val="48"/>
        </w:rPr>
      </w:pPr>
    </w:p>
    <w:p w14:paraId="7BA24A25" w14:textId="1C0354C5" w:rsidR="00411614" w:rsidRPr="00751FCD" w:rsidRDefault="00411614">
      <w:pPr>
        <w:rPr>
          <w:rFonts w:ascii="Arial" w:hAnsi="Arial" w:cs="Arial"/>
          <w:sz w:val="48"/>
          <w:szCs w:val="48"/>
        </w:rPr>
      </w:pPr>
    </w:p>
    <w:p w14:paraId="46D7CFA0" w14:textId="60450098" w:rsidR="00411614" w:rsidRPr="00751FCD" w:rsidRDefault="00411614">
      <w:pPr>
        <w:rPr>
          <w:rFonts w:ascii="Arial" w:hAnsi="Arial" w:cs="Arial"/>
          <w:sz w:val="48"/>
          <w:szCs w:val="48"/>
        </w:rPr>
      </w:pPr>
    </w:p>
    <w:p w14:paraId="5234AE65" w14:textId="4A13371A" w:rsidR="00411614" w:rsidRPr="00751FCD" w:rsidRDefault="00411614">
      <w:pPr>
        <w:rPr>
          <w:rFonts w:ascii="Arial" w:hAnsi="Arial" w:cs="Arial"/>
          <w:sz w:val="48"/>
          <w:szCs w:val="48"/>
        </w:rPr>
      </w:pPr>
    </w:p>
    <w:p w14:paraId="5E35B530" w14:textId="4D74DCFC" w:rsidR="00411614" w:rsidRPr="00751FCD" w:rsidRDefault="00411614">
      <w:pPr>
        <w:rPr>
          <w:rFonts w:ascii="Arial" w:hAnsi="Arial" w:cs="Arial"/>
          <w:sz w:val="48"/>
          <w:szCs w:val="48"/>
        </w:rPr>
      </w:pPr>
    </w:p>
    <w:p w14:paraId="174E94A1" w14:textId="3CA8993D" w:rsidR="00411614" w:rsidRPr="00751FCD" w:rsidRDefault="00411614">
      <w:pPr>
        <w:rPr>
          <w:rFonts w:ascii="Arial" w:hAnsi="Arial" w:cs="Arial"/>
          <w:sz w:val="48"/>
          <w:szCs w:val="48"/>
        </w:rPr>
      </w:pPr>
    </w:p>
    <w:p w14:paraId="2B0B8E35" w14:textId="755B40F2" w:rsidR="00411614" w:rsidRPr="00751FCD" w:rsidRDefault="00411614">
      <w:pPr>
        <w:rPr>
          <w:rFonts w:ascii="Arial" w:hAnsi="Arial" w:cs="Arial"/>
          <w:sz w:val="48"/>
          <w:szCs w:val="48"/>
        </w:rPr>
      </w:pPr>
    </w:p>
    <w:p w14:paraId="6480A990" w14:textId="03BB9130" w:rsidR="00411614" w:rsidRPr="00751FCD" w:rsidRDefault="00411614">
      <w:pPr>
        <w:rPr>
          <w:rFonts w:ascii="Arial" w:hAnsi="Arial" w:cs="Arial"/>
          <w:sz w:val="28"/>
          <w:szCs w:val="28"/>
        </w:rPr>
      </w:pPr>
    </w:p>
    <w:p w14:paraId="53709E80" w14:textId="2F8D060A" w:rsidR="00411614" w:rsidRPr="00751FCD" w:rsidRDefault="00411614">
      <w:pPr>
        <w:rPr>
          <w:rFonts w:ascii="Arial" w:hAnsi="Arial" w:cs="Arial"/>
          <w:sz w:val="24"/>
          <w:szCs w:val="24"/>
        </w:rPr>
      </w:pPr>
    </w:p>
    <w:p w14:paraId="2415D60B" w14:textId="37368223" w:rsidR="00411614" w:rsidRPr="00751FCD" w:rsidRDefault="00411614">
      <w:pPr>
        <w:rPr>
          <w:rFonts w:ascii="Arial" w:hAnsi="Arial" w:cs="Arial"/>
          <w:sz w:val="24"/>
          <w:szCs w:val="24"/>
        </w:rPr>
      </w:pPr>
      <w:r w:rsidRPr="00751FCD">
        <w:rPr>
          <w:rFonts w:ascii="Arial" w:hAnsi="Arial" w:cs="Arial"/>
          <w:sz w:val="24"/>
          <w:szCs w:val="24"/>
        </w:rPr>
        <w:t>Robert Jones (2004654)</w:t>
      </w:r>
    </w:p>
    <w:p w14:paraId="55DB5292" w14:textId="55C96E1A" w:rsidR="00535974" w:rsidRDefault="00535974">
      <w:pPr>
        <w:rPr>
          <w:rFonts w:ascii="Arial" w:hAnsi="Arial" w:cs="Arial"/>
          <w:sz w:val="24"/>
          <w:szCs w:val="24"/>
        </w:rPr>
      </w:pPr>
      <w:r w:rsidRPr="00751FCD">
        <w:rPr>
          <w:rFonts w:ascii="Arial" w:hAnsi="Arial" w:cs="Arial"/>
          <w:sz w:val="24"/>
          <w:szCs w:val="24"/>
        </w:rPr>
        <w:lastRenderedPageBreak/>
        <w:t xml:space="preserve">The Offences </w:t>
      </w:r>
      <w:r w:rsidR="003710B6" w:rsidRPr="00751FCD">
        <w:rPr>
          <w:rFonts w:ascii="Arial" w:hAnsi="Arial" w:cs="Arial"/>
          <w:sz w:val="24"/>
          <w:szCs w:val="24"/>
        </w:rPr>
        <w:t>a</w:t>
      </w:r>
      <w:r w:rsidRPr="00751FCD">
        <w:rPr>
          <w:rFonts w:ascii="Arial" w:hAnsi="Arial" w:cs="Arial"/>
          <w:sz w:val="24"/>
          <w:szCs w:val="24"/>
        </w:rPr>
        <w:t xml:space="preserve">gainst the Person Act 1861 is Act that was passed by Parliament in 1861 which blended supplies related to offences against a person from a myriad of various  “statutes into a single Act.”  </w:t>
      </w:r>
      <w:sdt>
        <w:sdtPr>
          <w:rPr>
            <w:rFonts w:ascii="Arial" w:hAnsi="Arial" w:cs="Arial"/>
            <w:sz w:val="24"/>
            <w:szCs w:val="24"/>
          </w:rPr>
          <w:id w:val="1349906338"/>
          <w:citation/>
        </w:sdtPr>
        <w:sdtEndPr/>
        <w:sdtContent>
          <w:r w:rsidRPr="00751FCD">
            <w:rPr>
              <w:rFonts w:ascii="Arial" w:hAnsi="Arial" w:cs="Arial"/>
              <w:sz w:val="24"/>
              <w:szCs w:val="24"/>
            </w:rPr>
            <w:fldChar w:fldCharType="begin"/>
          </w:r>
          <w:r w:rsidRPr="00751FCD">
            <w:rPr>
              <w:rFonts w:ascii="Arial" w:hAnsi="Arial" w:cs="Arial"/>
              <w:sz w:val="24"/>
              <w:szCs w:val="24"/>
            </w:rPr>
            <w:instrText xml:space="preserve"> CITATION Leg21 \l 2057 </w:instrText>
          </w:r>
          <w:r w:rsidRPr="00751FCD">
            <w:rPr>
              <w:rFonts w:ascii="Arial" w:hAnsi="Arial" w:cs="Arial"/>
              <w:sz w:val="24"/>
              <w:szCs w:val="24"/>
            </w:rPr>
            <w:fldChar w:fldCharType="separate"/>
          </w:r>
          <w:r w:rsidRPr="00751FCD">
            <w:rPr>
              <w:rFonts w:ascii="Arial" w:hAnsi="Arial" w:cs="Arial"/>
              <w:noProof/>
              <w:sz w:val="24"/>
              <w:szCs w:val="24"/>
            </w:rPr>
            <w:t>(Legislation.GOV.UK, 2021)</w:t>
          </w:r>
          <w:r w:rsidRPr="00751FCD">
            <w:rPr>
              <w:rFonts w:ascii="Arial" w:hAnsi="Arial" w:cs="Arial"/>
              <w:sz w:val="24"/>
              <w:szCs w:val="24"/>
            </w:rPr>
            <w:fldChar w:fldCharType="end"/>
          </w:r>
        </w:sdtContent>
      </w:sdt>
      <w:r w:rsidR="005504CB" w:rsidRPr="00751FCD">
        <w:rPr>
          <w:rFonts w:ascii="Arial" w:hAnsi="Arial" w:cs="Arial"/>
          <w:sz w:val="24"/>
          <w:szCs w:val="24"/>
        </w:rPr>
        <w:t xml:space="preserve"> The Act was passed with the intention of simplifying the law</w:t>
      </w:r>
      <w:r w:rsidR="008C290E" w:rsidRPr="00751FCD">
        <w:rPr>
          <w:rFonts w:ascii="Arial" w:hAnsi="Arial" w:cs="Arial"/>
          <w:sz w:val="24"/>
          <w:szCs w:val="24"/>
        </w:rPr>
        <w:t xml:space="preserve">, however many of the elements and aspects of the now generalised Act are overdue for change or are simply outdated and require change or removal. </w:t>
      </w:r>
      <w:r w:rsidR="00F65537">
        <w:rPr>
          <w:rFonts w:ascii="Arial" w:hAnsi="Arial" w:cs="Arial"/>
          <w:sz w:val="24"/>
          <w:szCs w:val="24"/>
        </w:rPr>
        <w:t xml:space="preserve">A generalised overlook of the areas in which need </w:t>
      </w:r>
      <w:r w:rsidR="00EF690B">
        <w:rPr>
          <w:rFonts w:ascii="Arial" w:hAnsi="Arial" w:cs="Arial"/>
          <w:sz w:val="24"/>
          <w:szCs w:val="24"/>
        </w:rPr>
        <w:t>modernisation,</w:t>
      </w:r>
      <w:r w:rsidR="00F65537">
        <w:rPr>
          <w:rFonts w:ascii="Arial" w:hAnsi="Arial" w:cs="Arial"/>
          <w:sz w:val="24"/>
          <w:szCs w:val="24"/>
        </w:rPr>
        <w:t xml:space="preserve"> or a direct change are as follows</w:t>
      </w:r>
      <w:r w:rsidR="00EF690B">
        <w:rPr>
          <w:rFonts w:ascii="Arial" w:hAnsi="Arial" w:cs="Arial"/>
          <w:sz w:val="24"/>
          <w:szCs w:val="24"/>
        </w:rPr>
        <w:t xml:space="preserve">: </w:t>
      </w:r>
    </w:p>
    <w:p w14:paraId="5566215E" w14:textId="5AC1584C" w:rsidR="00EF690B" w:rsidRPr="00EF690B" w:rsidRDefault="00EF690B" w:rsidP="00EF690B">
      <w:pPr>
        <w:numPr>
          <w:ilvl w:val="0"/>
          <w:numId w:val="2"/>
        </w:num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T</w:t>
      </w:r>
      <w:r w:rsidRPr="00EF690B">
        <w:rPr>
          <w:rFonts w:ascii="Arial" w:eastAsia="Times New Roman" w:hAnsi="Arial" w:cs="Arial"/>
          <w:sz w:val="24"/>
          <w:szCs w:val="24"/>
          <w:lang w:eastAsia="en-GB"/>
        </w:rPr>
        <w:t>he offences are not clearly classified in order of seriousness</w:t>
      </w:r>
    </w:p>
    <w:p w14:paraId="4A1AFD79" w14:textId="3710484D" w:rsidR="00EF690B" w:rsidRPr="00EF690B" w:rsidRDefault="00EF690B" w:rsidP="00EF690B">
      <w:pPr>
        <w:numPr>
          <w:ilvl w:val="0"/>
          <w:numId w:val="2"/>
        </w:num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S</w:t>
      </w:r>
      <w:r w:rsidRPr="00EF690B">
        <w:rPr>
          <w:rFonts w:ascii="Arial" w:eastAsia="Times New Roman" w:hAnsi="Arial" w:cs="Arial"/>
          <w:sz w:val="24"/>
          <w:szCs w:val="24"/>
          <w:lang w:eastAsia="en-GB"/>
        </w:rPr>
        <w:t>ome offences relate to narrowly specialised situations, or include complex lists of situations, rather than setting out a clear principle</w:t>
      </w:r>
    </w:p>
    <w:p w14:paraId="087ADB22" w14:textId="06A28AAB" w:rsidR="00EF690B" w:rsidRPr="00EF690B" w:rsidRDefault="00EF690B" w:rsidP="00EF690B">
      <w:pPr>
        <w:numPr>
          <w:ilvl w:val="0"/>
          <w:numId w:val="2"/>
        </w:num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T</w:t>
      </w:r>
      <w:r w:rsidRPr="00EF690B">
        <w:rPr>
          <w:rFonts w:ascii="Arial" w:eastAsia="Times New Roman" w:hAnsi="Arial" w:cs="Arial"/>
          <w:sz w:val="24"/>
          <w:szCs w:val="24"/>
          <w:lang w:eastAsia="en-GB"/>
        </w:rPr>
        <w:t>he mental element of some offences is not clearly expressed, and does not reflect the external elements of those offences</w:t>
      </w:r>
    </w:p>
    <w:p w14:paraId="6C356876" w14:textId="514FFDDE" w:rsidR="00EF690B" w:rsidRPr="00EF690B" w:rsidRDefault="00EF690B" w:rsidP="00EF690B">
      <w:pPr>
        <w:numPr>
          <w:ilvl w:val="0"/>
          <w:numId w:val="2"/>
        </w:num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T</w:t>
      </w:r>
      <w:r w:rsidRPr="00EF690B">
        <w:rPr>
          <w:rFonts w:ascii="Arial" w:eastAsia="Times New Roman" w:hAnsi="Arial" w:cs="Arial"/>
          <w:sz w:val="24"/>
          <w:szCs w:val="24"/>
          <w:lang w:eastAsia="en-GB"/>
        </w:rPr>
        <w:t>he language is often archaic and obscure</w:t>
      </w:r>
    </w:p>
    <w:p w14:paraId="57F57126" w14:textId="2DD2381C" w:rsidR="00EF690B" w:rsidRDefault="00EF690B" w:rsidP="00EF690B">
      <w:pPr>
        <w:numPr>
          <w:ilvl w:val="0"/>
          <w:numId w:val="2"/>
        </w:num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T</w:t>
      </w:r>
      <w:r w:rsidRPr="00EF690B">
        <w:rPr>
          <w:rFonts w:ascii="Arial" w:eastAsia="Times New Roman" w:hAnsi="Arial" w:cs="Arial"/>
          <w:sz w:val="24"/>
          <w:szCs w:val="24"/>
          <w:lang w:eastAsia="en-GB"/>
        </w:rPr>
        <w:t>here are references to obsolete legal concepts and procedures, which are only resolved by interpretation provisions in other statutes.</w:t>
      </w:r>
    </w:p>
    <w:p w14:paraId="06FB43B8" w14:textId="28732C06" w:rsidR="00EF690B" w:rsidRPr="00EF690B" w:rsidRDefault="00EF690B" w:rsidP="00EF690B">
      <w:pPr>
        <w:pStyle w:val="NormalWeb"/>
        <w:shd w:val="clear" w:color="auto" w:fill="FFFFFF"/>
        <w:spacing w:before="0" w:beforeAutospacing="0" w:after="150" w:afterAutospacing="0"/>
        <w:rPr>
          <w:rFonts w:ascii="Arial" w:hAnsi="Arial" w:cs="Arial"/>
        </w:rPr>
      </w:pPr>
      <w:r w:rsidRPr="00EF690B">
        <w:rPr>
          <w:rFonts w:ascii="Arial" w:hAnsi="Arial" w:cs="Arial"/>
        </w:rPr>
        <w:t>This shows that the f</w:t>
      </w:r>
      <w:r w:rsidRPr="00EF690B">
        <w:rPr>
          <w:rFonts w:ascii="Arial" w:hAnsi="Arial" w:cs="Arial"/>
        </w:rPr>
        <w:t xml:space="preserve">requent changes </w:t>
      </w:r>
      <w:r w:rsidRPr="00EF690B">
        <w:rPr>
          <w:rFonts w:ascii="Arial" w:hAnsi="Arial" w:cs="Arial"/>
        </w:rPr>
        <w:t xml:space="preserve">that have been applied </w:t>
      </w:r>
      <w:r w:rsidRPr="00EF690B">
        <w:rPr>
          <w:rFonts w:ascii="Arial" w:hAnsi="Arial" w:cs="Arial"/>
        </w:rPr>
        <w:t xml:space="preserve">to the law </w:t>
      </w:r>
      <w:r w:rsidRPr="00EF690B">
        <w:rPr>
          <w:rFonts w:ascii="Arial" w:hAnsi="Arial" w:cs="Arial"/>
        </w:rPr>
        <w:t>has</w:t>
      </w:r>
      <w:r w:rsidRPr="00EF690B">
        <w:rPr>
          <w:rFonts w:ascii="Arial" w:hAnsi="Arial" w:cs="Arial"/>
        </w:rPr>
        <w:t xml:space="preserve"> left it in an </w:t>
      </w:r>
      <w:r w:rsidRPr="00EF690B">
        <w:rPr>
          <w:rFonts w:ascii="Arial" w:hAnsi="Arial" w:cs="Arial"/>
        </w:rPr>
        <w:t>“</w:t>
      </w:r>
      <w:r w:rsidRPr="00EF690B">
        <w:rPr>
          <w:rFonts w:ascii="Arial" w:hAnsi="Arial" w:cs="Arial"/>
        </w:rPr>
        <w:t>incoherent and confusing</w:t>
      </w:r>
      <w:r w:rsidRPr="00EF690B">
        <w:rPr>
          <w:rFonts w:ascii="Arial" w:hAnsi="Arial" w:cs="Arial"/>
        </w:rPr>
        <w:t>”</w:t>
      </w:r>
      <w:r w:rsidRPr="00EF690B">
        <w:rPr>
          <w:rFonts w:ascii="Arial" w:hAnsi="Arial" w:cs="Arial"/>
        </w:rPr>
        <w:t xml:space="preserve"> </w:t>
      </w:r>
      <w:r w:rsidRPr="00EF690B">
        <w:rPr>
          <w:rFonts w:ascii="Arial" w:hAnsi="Arial" w:cs="Arial"/>
        </w:rPr>
        <w:t xml:space="preserve">state and leaving it </w:t>
      </w:r>
      <w:r w:rsidRPr="00EF690B">
        <w:rPr>
          <w:rFonts w:ascii="Arial" w:hAnsi="Arial" w:cs="Arial"/>
        </w:rPr>
        <w:t>with more provisions repealed than currently in force.</w:t>
      </w:r>
      <w:r>
        <w:rPr>
          <w:rFonts w:ascii="Arial" w:hAnsi="Arial" w:cs="Arial"/>
        </w:rPr>
        <w:t xml:space="preserve"> </w:t>
      </w:r>
      <w:r w:rsidRPr="00EF690B">
        <w:rPr>
          <w:rFonts w:ascii="Arial" w:hAnsi="Arial" w:cs="Arial"/>
        </w:rPr>
        <w:t>With s</w:t>
      </w:r>
      <w:r w:rsidRPr="00EF690B">
        <w:rPr>
          <w:rFonts w:ascii="Arial" w:hAnsi="Arial" w:cs="Arial"/>
        </w:rPr>
        <w:t xml:space="preserve">uch </w:t>
      </w:r>
      <w:r w:rsidRPr="00EF690B">
        <w:rPr>
          <w:rFonts w:ascii="Arial" w:hAnsi="Arial" w:cs="Arial"/>
        </w:rPr>
        <w:t>unneeded and unwanted</w:t>
      </w:r>
      <w:r w:rsidRPr="00EF690B">
        <w:rPr>
          <w:rFonts w:ascii="Arial" w:hAnsi="Arial" w:cs="Arial"/>
        </w:rPr>
        <w:t xml:space="preserve"> complexity</w:t>
      </w:r>
      <w:r w:rsidRPr="00EF690B">
        <w:rPr>
          <w:rFonts w:ascii="Arial" w:hAnsi="Arial" w:cs="Arial"/>
        </w:rPr>
        <w:t>,</w:t>
      </w:r>
      <w:r w:rsidRPr="00EF690B">
        <w:rPr>
          <w:rFonts w:ascii="Arial" w:hAnsi="Arial" w:cs="Arial"/>
        </w:rPr>
        <w:t xml:space="preserve"> the law</w:t>
      </w:r>
      <w:r w:rsidRPr="00EF690B">
        <w:rPr>
          <w:rFonts w:ascii="Arial" w:hAnsi="Arial" w:cs="Arial"/>
        </w:rPr>
        <w:t xml:space="preserve"> has become</w:t>
      </w:r>
      <w:r w:rsidRPr="00EF690B">
        <w:rPr>
          <w:rFonts w:ascii="Arial" w:hAnsi="Arial" w:cs="Arial"/>
        </w:rPr>
        <w:t xml:space="preserve"> difficult to apply</w:t>
      </w:r>
      <w:r w:rsidRPr="00EF690B">
        <w:rPr>
          <w:rFonts w:ascii="Arial" w:hAnsi="Arial" w:cs="Arial"/>
        </w:rPr>
        <w:t xml:space="preserve">. This then </w:t>
      </w:r>
      <w:r w:rsidRPr="00EF690B">
        <w:rPr>
          <w:rFonts w:ascii="Arial" w:hAnsi="Arial" w:cs="Arial"/>
        </w:rPr>
        <w:t xml:space="preserve">reduces accessibility </w:t>
      </w:r>
      <w:r w:rsidRPr="00EF690B">
        <w:rPr>
          <w:rFonts w:ascii="Arial" w:hAnsi="Arial" w:cs="Arial"/>
        </w:rPr>
        <w:t>which makes a knock on with</w:t>
      </w:r>
      <w:r w:rsidRPr="00EF690B">
        <w:rPr>
          <w:rFonts w:ascii="Arial" w:hAnsi="Arial" w:cs="Arial"/>
        </w:rPr>
        <w:t xml:space="preserve"> fair labelling and </w:t>
      </w:r>
      <w:r w:rsidRPr="00EF690B">
        <w:rPr>
          <w:rFonts w:ascii="Arial" w:hAnsi="Arial" w:cs="Arial"/>
        </w:rPr>
        <w:t>that itself has gone</w:t>
      </w:r>
      <w:r w:rsidRPr="00EF690B">
        <w:rPr>
          <w:rFonts w:ascii="Arial" w:hAnsi="Arial" w:cs="Arial"/>
        </w:rPr>
        <w:t xml:space="preserve"> at odds with the rule of law.</w:t>
      </w:r>
    </w:p>
    <w:p w14:paraId="74BF5639" w14:textId="7061A6D5" w:rsidR="00EF690B" w:rsidRPr="00EF690B" w:rsidRDefault="00EF690B" w:rsidP="00EF690B">
      <w:pPr>
        <w:shd w:val="clear" w:color="auto" w:fill="FFFFFF"/>
        <w:spacing w:before="100" w:beforeAutospacing="1" w:after="100" w:afterAutospacing="1" w:line="240" w:lineRule="auto"/>
        <w:ind w:left="720"/>
        <w:rPr>
          <w:rFonts w:ascii="Arial" w:eastAsia="Times New Roman" w:hAnsi="Arial" w:cs="Arial"/>
          <w:sz w:val="24"/>
          <w:szCs w:val="24"/>
          <w:lang w:eastAsia="en-GB"/>
        </w:rPr>
      </w:pPr>
      <w:sdt>
        <w:sdtPr>
          <w:rPr>
            <w:rFonts w:ascii="Arial" w:eastAsia="Times New Roman" w:hAnsi="Arial" w:cs="Arial"/>
            <w:sz w:val="24"/>
            <w:szCs w:val="24"/>
            <w:lang w:eastAsia="en-GB"/>
          </w:rPr>
          <w:id w:val="-1352488627"/>
          <w:citation/>
        </w:sdtPr>
        <w:sdtContent>
          <w:r>
            <w:rPr>
              <w:rFonts w:ascii="Arial" w:eastAsia="Times New Roman" w:hAnsi="Arial" w:cs="Arial"/>
              <w:sz w:val="24"/>
              <w:szCs w:val="24"/>
              <w:lang w:eastAsia="en-GB"/>
            </w:rPr>
            <w:fldChar w:fldCharType="begin"/>
          </w:r>
          <w:r>
            <w:rPr>
              <w:rFonts w:ascii="Arial" w:eastAsia="Times New Roman" w:hAnsi="Arial" w:cs="Arial"/>
              <w:sz w:val="24"/>
              <w:szCs w:val="24"/>
              <w:lang w:eastAsia="en-GB"/>
            </w:rPr>
            <w:instrText xml:space="preserve"> CITATION Law21 \l 2057 </w:instrText>
          </w:r>
          <w:r>
            <w:rPr>
              <w:rFonts w:ascii="Arial" w:eastAsia="Times New Roman" w:hAnsi="Arial" w:cs="Arial"/>
              <w:sz w:val="24"/>
              <w:szCs w:val="24"/>
              <w:lang w:eastAsia="en-GB"/>
            </w:rPr>
            <w:fldChar w:fldCharType="separate"/>
          </w:r>
          <w:r w:rsidRPr="00EF690B">
            <w:rPr>
              <w:rFonts w:ascii="Arial" w:eastAsia="Times New Roman" w:hAnsi="Arial" w:cs="Arial"/>
              <w:noProof/>
              <w:sz w:val="24"/>
              <w:szCs w:val="24"/>
              <w:lang w:eastAsia="en-GB"/>
            </w:rPr>
            <w:t>(Law Commission, 2021)</w:t>
          </w:r>
          <w:r>
            <w:rPr>
              <w:rFonts w:ascii="Arial" w:eastAsia="Times New Roman" w:hAnsi="Arial" w:cs="Arial"/>
              <w:sz w:val="24"/>
              <w:szCs w:val="24"/>
              <w:lang w:eastAsia="en-GB"/>
            </w:rPr>
            <w:fldChar w:fldCharType="end"/>
          </w:r>
        </w:sdtContent>
      </w:sdt>
    </w:p>
    <w:p w14:paraId="16CF7E9D" w14:textId="77777777" w:rsidR="00EF690B" w:rsidRPr="00EF690B" w:rsidRDefault="00EF690B" w:rsidP="00EF690B">
      <w:pPr>
        <w:pStyle w:val="ListParagraph"/>
        <w:rPr>
          <w:rFonts w:ascii="Arial" w:hAnsi="Arial" w:cs="Arial"/>
          <w:sz w:val="24"/>
          <w:szCs w:val="24"/>
        </w:rPr>
      </w:pPr>
    </w:p>
    <w:p w14:paraId="39284B53" w14:textId="34939784" w:rsidR="008C290E" w:rsidRPr="00751FCD" w:rsidRDefault="008C290E">
      <w:pPr>
        <w:rPr>
          <w:rFonts w:ascii="Arial" w:hAnsi="Arial" w:cs="Arial"/>
          <w:color w:val="000000" w:themeColor="text1"/>
          <w:sz w:val="24"/>
          <w:szCs w:val="24"/>
          <w:shd w:val="clear" w:color="auto" w:fill="FFFFFF"/>
        </w:rPr>
      </w:pPr>
      <w:r w:rsidRPr="00751FCD">
        <w:rPr>
          <w:rFonts w:ascii="Arial" w:hAnsi="Arial" w:cs="Arial"/>
          <w:color w:val="000000" w:themeColor="text1"/>
          <w:sz w:val="24"/>
          <w:szCs w:val="24"/>
        </w:rPr>
        <w:t xml:space="preserve">The Act is still regarded as an official means for </w:t>
      </w:r>
      <w:r w:rsidRPr="00751FCD">
        <w:rPr>
          <w:rFonts w:ascii="Arial" w:hAnsi="Arial" w:cs="Arial"/>
          <w:color w:val="000000" w:themeColor="text1"/>
          <w:sz w:val="24"/>
          <w:szCs w:val="24"/>
          <w:shd w:val="clear" w:color="auto" w:fill="FFFFFF"/>
        </w:rPr>
        <w:t>prosecuting personal injury, short of murder, in the courts of </w:t>
      </w:r>
      <w:hyperlink r:id="rId8" w:history="1">
        <w:r w:rsidRPr="00751FCD">
          <w:rPr>
            <w:rStyle w:val="Hyperlink"/>
            <w:rFonts w:ascii="Arial" w:hAnsi="Arial" w:cs="Arial"/>
            <w:color w:val="000000" w:themeColor="text1"/>
            <w:sz w:val="24"/>
            <w:szCs w:val="24"/>
            <w:u w:val="none"/>
            <w:shd w:val="clear" w:color="auto" w:fill="FFFFFF"/>
          </w:rPr>
          <w:t>England and Wales</w:t>
        </w:r>
      </w:hyperlink>
      <w:r w:rsidR="00A522DC" w:rsidRPr="00751FCD">
        <w:rPr>
          <w:rFonts w:ascii="Arial" w:hAnsi="Arial" w:cs="Arial"/>
          <w:color w:val="000000" w:themeColor="text1"/>
          <w:sz w:val="24"/>
          <w:szCs w:val="24"/>
          <w:shd w:val="clear" w:color="auto" w:fill="FFFFFF"/>
        </w:rPr>
        <w:t xml:space="preserve"> though it has received amendment from time to time. </w:t>
      </w:r>
      <w:r w:rsidR="003710B6" w:rsidRPr="00751FCD">
        <w:rPr>
          <w:rFonts w:ascii="Arial" w:hAnsi="Arial" w:cs="Arial"/>
          <w:color w:val="000000" w:themeColor="text1"/>
          <w:sz w:val="24"/>
          <w:szCs w:val="24"/>
          <w:shd w:val="clear" w:color="auto" w:fill="FFFFFF"/>
        </w:rPr>
        <w:t>The Offences against the Person Act 1861 has gained notoriety and heavy criticism for being outdated. The argument for the Act to receive reform</w:t>
      </w:r>
      <w:r w:rsidR="00882870" w:rsidRPr="00751FCD">
        <w:rPr>
          <w:rFonts w:ascii="Arial" w:hAnsi="Arial" w:cs="Arial"/>
          <w:color w:val="000000" w:themeColor="text1"/>
          <w:sz w:val="24"/>
          <w:szCs w:val="24"/>
          <w:shd w:val="clear" w:color="auto" w:fill="FFFFFF"/>
        </w:rPr>
        <w:t xml:space="preserve">. Professor Sir John Cyril Smith has made regular comments and considerable solutions for the Act stating that it is a “rag bag of offences brought together” from a variety of sources. </w:t>
      </w:r>
      <w:sdt>
        <w:sdtPr>
          <w:rPr>
            <w:rFonts w:ascii="Arial" w:hAnsi="Arial" w:cs="Arial"/>
            <w:color w:val="000000" w:themeColor="text1"/>
            <w:sz w:val="24"/>
            <w:szCs w:val="24"/>
            <w:shd w:val="clear" w:color="auto" w:fill="FFFFFF"/>
          </w:rPr>
          <w:id w:val="179163903"/>
          <w:citation/>
        </w:sdtPr>
        <w:sdtEndPr/>
        <w:sdtContent>
          <w:r w:rsidR="00882870" w:rsidRPr="00751FCD">
            <w:rPr>
              <w:rFonts w:ascii="Arial" w:hAnsi="Arial" w:cs="Arial"/>
              <w:color w:val="000000" w:themeColor="text1"/>
              <w:sz w:val="24"/>
              <w:szCs w:val="24"/>
              <w:shd w:val="clear" w:color="auto" w:fill="FFFFFF"/>
            </w:rPr>
            <w:fldChar w:fldCharType="begin"/>
          </w:r>
          <w:r w:rsidR="00882870" w:rsidRPr="00751FCD">
            <w:rPr>
              <w:rFonts w:ascii="Arial" w:hAnsi="Arial" w:cs="Arial"/>
              <w:color w:val="000000" w:themeColor="text1"/>
              <w:sz w:val="24"/>
              <w:szCs w:val="24"/>
              <w:shd w:val="clear" w:color="auto" w:fill="FFFFFF"/>
            </w:rPr>
            <w:instrText xml:space="preserve"> CITATION Uni18 \l 2057 </w:instrText>
          </w:r>
          <w:r w:rsidR="00882870" w:rsidRPr="00751FCD">
            <w:rPr>
              <w:rFonts w:ascii="Arial" w:hAnsi="Arial" w:cs="Arial"/>
              <w:color w:val="000000" w:themeColor="text1"/>
              <w:sz w:val="24"/>
              <w:szCs w:val="24"/>
              <w:shd w:val="clear" w:color="auto" w:fill="FFFFFF"/>
            </w:rPr>
            <w:fldChar w:fldCharType="separate"/>
          </w:r>
          <w:r w:rsidR="00882870" w:rsidRPr="00751FCD">
            <w:rPr>
              <w:rFonts w:ascii="Arial" w:hAnsi="Arial" w:cs="Arial"/>
              <w:noProof/>
              <w:color w:val="000000" w:themeColor="text1"/>
              <w:sz w:val="24"/>
              <w:szCs w:val="24"/>
              <w:shd w:val="clear" w:color="auto" w:fill="FFFFFF"/>
            </w:rPr>
            <w:t>(University of Nottingham, 2018)</w:t>
          </w:r>
          <w:r w:rsidR="00882870" w:rsidRPr="00751FCD">
            <w:rPr>
              <w:rFonts w:ascii="Arial" w:hAnsi="Arial" w:cs="Arial"/>
              <w:color w:val="000000" w:themeColor="text1"/>
              <w:sz w:val="24"/>
              <w:szCs w:val="24"/>
              <w:shd w:val="clear" w:color="auto" w:fill="FFFFFF"/>
            </w:rPr>
            <w:fldChar w:fldCharType="end"/>
          </w:r>
        </w:sdtContent>
      </w:sdt>
      <w:r w:rsidR="006556D8" w:rsidRPr="00751FCD">
        <w:rPr>
          <w:rFonts w:ascii="Arial" w:hAnsi="Arial" w:cs="Arial"/>
          <w:color w:val="000000" w:themeColor="text1"/>
          <w:sz w:val="24"/>
          <w:szCs w:val="24"/>
          <w:shd w:val="clear" w:color="auto" w:fill="FFFFFF"/>
        </w:rPr>
        <w:t xml:space="preserve"> Even with this in mind, there is still enough opposition to the claims that keep the current law as is has been, as though there are those who seem as satisfied with the results.</w:t>
      </w:r>
    </w:p>
    <w:p w14:paraId="67177317" w14:textId="77777777" w:rsidR="007D0F6C" w:rsidRPr="00751FCD" w:rsidRDefault="001175F9">
      <w:pPr>
        <w:rPr>
          <w:rFonts w:ascii="Arial" w:hAnsi="Arial" w:cs="Arial"/>
          <w:color w:val="000000" w:themeColor="text1"/>
          <w:sz w:val="24"/>
          <w:szCs w:val="24"/>
          <w:shd w:val="clear" w:color="auto" w:fill="FFFFFF"/>
        </w:rPr>
      </w:pPr>
      <w:r w:rsidRPr="00751FCD">
        <w:rPr>
          <w:rFonts w:ascii="Arial" w:hAnsi="Arial" w:cs="Arial"/>
          <w:color w:val="000000" w:themeColor="text1"/>
          <w:sz w:val="24"/>
          <w:szCs w:val="24"/>
          <w:shd w:val="clear" w:color="auto" w:fill="FFFFFF"/>
        </w:rPr>
        <w:t>In the case of non-fatal offences, this is under the classification of assault which is a common law offence which can be a multitude of Acts in which can or may cause someone to receive sudden violence</w:t>
      </w:r>
      <w:r w:rsidR="0002362C" w:rsidRPr="00751FCD">
        <w:rPr>
          <w:rFonts w:ascii="Arial" w:hAnsi="Arial" w:cs="Arial"/>
          <w:color w:val="000000" w:themeColor="text1"/>
          <w:sz w:val="24"/>
          <w:szCs w:val="24"/>
          <w:shd w:val="clear" w:color="auto" w:fill="FFFFFF"/>
        </w:rPr>
        <w:t xml:space="preserve">. An offence is considered assault if it has been  committed by someone who performs an act by which they intentionally or recklessly inflict another person to receive unlawful violence. </w:t>
      </w:r>
      <w:sdt>
        <w:sdtPr>
          <w:rPr>
            <w:rFonts w:ascii="Arial" w:hAnsi="Arial" w:cs="Arial"/>
            <w:color w:val="000000" w:themeColor="text1"/>
            <w:sz w:val="24"/>
            <w:szCs w:val="24"/>
            <w:shd w:val="clear" w:color="auto" w:fill="FFFFFF"/>
          </w:rPr>
          <w:id w:val="2022424837"/>
          <w:citation/>
        </w:sdtPr>
        <w:sdtEndPr/>
        <w:sdtContent>
          <w:r w:rsidR="0002362C" w:rsidRPr="00751FCD">
            <w:rPr>
              <w:rFonts w:ascii="Arial" w:hAnsi="Arial" w:cs="Arial"/>
              <w:color w:val="000000" w:themeColor="text1"/>
              <w:sz w:val="24"/>
              <w:szCs w:val="24"/>
              <w:shd w:val="clear" w:color="auto" w:fill="FFFFFF"/>
            </w:rPr>
            <w:fldChar w:fldCharType="begin"/>
          </w:r>
          <w:r w:rsidR="0002362C" w:rsidRPr="00751FCD">
            <w:rPr>
              <w:rFonts w:ascii="Arial" w:hAnsi="Arial" w:cs="Arial"/>
              <w:color w:val="000000" w:themeColor="text1"/>
              <w:sz w:val="24"/>
              <w:szCs w:val="24"/>
              <w:shd w:val="clear" w:color="auto" w:fill="FFFFFF"/>
            </w:rPr>
            <w:instrText xml:space="preserve"> CITATION Law192 \l 2057 </w:instrText>
          </w:r>
          <w:r w:rsidR="0002362C" w:rsidRPr="00751FCD">
            <w:rPr>
              <w:rFonts w:ascii="Arial" w:hAnsi="Arial" w:cs="Arial"/>
              <w:color w:val="000000" w:themeColor="text1"/>
              <w:sz w:val="24"/>
              <w:szCs w:val="24"/>
              <w:shd w:val="clear" w:color="auto" w:fill="FFFFFF"/>
            </w:rPr>
            <w:fldChar w:fldCharType="separate"/>
          </w:r>
          <w:r w:rsidR="0002362C" w:rsidRPr="00751FCD">
            <w:rPr>
              <w:rFonts w:ascii="Arial" w:hAnsi="Arial" w:cs="Arial"/>
              <w:noProof/>
              <w:color w:val="000000" w:themeColor="text1"/>
              <w:sz w:val="24"/>
              <w:szCs w:val="24"/>
              <w:shd w:val="clear" w:color="auto" w:fill="FFFFFF"/>
            </w:rPr>
            <w:t>(Law Trove, 2019)</w:t>
          </w:r>
          <w:r w:rsidR="0002362C" w:rsidRPr="00751FCD">
            <w:rPr>
              <w:rFonts w:ascii="Arial" w:hAnsi="Arial" w:cs="Arial"/>
              <w:color w:val="000000" w:themeColor="text1"/>
              <w:sz w:val="24"/>
              <w:szCs w:val="24"/>
              <w:shd w:val="clear" w:color="auto" w:fill="FFFFFF"/>
            </w:rPr>
            <w:fldChar w:fldCharType="end"/>
          </w:r>
        </w:sdtContent>
      </w:sdt>
      <w:r w:rsidR="0002362C" w:rsidRPr="00751FCD">
        <w:rPr>
          <w:rFonts w:ascii="Arial" w:hAnsi="Arial" w:cs="Arial"/>
          <w:color w:val="000000" w:themeColor="text1"/>
          <w:sz w:val="24"/>
          <w:szCs w:val="24"/>
          <w:shd w:val="clear" w:color="auto" w:fill="FFFFFF"/>
        </w:rPr>
        <w:t xml:space="preserve"> Though this is generalised as the least-severe form of a non-fatal offence as no physical disruption has occurred between the defendant and victim.</w:t>
      </w:r>
      <w:r w:rsidR="007D0F6C" w:rsidRPr="00751FCD">
        <w:rPr>
          <w:rFonts w:ascii="Arial" w:hAnsi="Arial" w:cs="Arial"/>
          <w:color w:val="000000" w:themeColor="text1"/>
          <w:sz w:val="24"/>
          <w:szCs w:val="24"/>
          <w:shd w:val="clear" w:color="auto" w:fill="FFFFFF"/>
        </w:rPr>
        <w:t xml:space="preserve"> </w:t>
      </w:r>
    </w:p>
    <w:p w14:paraId="1D2884BD" w14:textId="09A735D1" w:rsidR="001175F9" w:rsidRPr="00751FCD" w:rsidRDefault="007D0F6C">
      <w:pPr>
        <w:rPr>
          <w:rFonts w:ascii="Arial" w:hAnsi="Arial" w:cs="Arial"/>
          <w:color w:val="000000"/>
          <w:sz w:val="24"/>
          <w:szCs w:val="24"/>
          <w:shd w:val="clear" w:color="auto" w:fill="FFFFFF"/>
        </w:rPr>
      </w:pPr>
      <w:r w:rsidRPr="00751FCD">
        <w:rPr>
          <w:rFonts w:ascii="Arial" w:hAnsi="Arial" w:cs="Arial"/>
          <w:color w:val="000000" w:themeColor="text1"/>
          <w:sz w:val="24"/>
          <w:szCs w:val="24"/>
          <w:shd w:val="clear" w:color="auto" w:fill="FFFFFF"/>
        </w:rPr>
        <w:t xml:space="preserve">A case law where this form of incident is relevant is </w:t>
      </w:r>
      <w:r w:rsidRPr="00751FCD">
        <w:rPr>
          <w:rStyle w:val="Emphasis"/>
          <w:rFonts w:ascii="Arial" w:hAnsi="Arial" w:cs="Arial"/>
          <w:i w:val="0"/>
          <w:iCs w:val="0"/>
          <w:color w:val="000000" w:themeColor="text1"/>
          <w:sz w:val="24"/>
          <w:szCs w:val="24"/>
          <w:shd w:val="clear" w:color="auto" w:fill="FFFFFF"/>
        </w:rPr>
        <w:t xml:space="preserve">Logdon v DPP. In this case, </w:t>
      </w:r>
      <w:r w:rsidRPr="00751FCD">
        <w:rPr>
          <w:rFonts w:ascii="Arial" w:hAnsi="Arial" w:cs="Arial"/>
          <w:color w:val="000000" w:themeColor="text1"/>
          <w:sz w:val="24"/>
          <w:szCs w:val="24"/>
          <w:shd w:val="clear" w:color="auto" w:fill="FFFFFF"/>
        </w:rPr>
        <w:t xml:space="preserve">The  defendant in question had pointed an imitation gun at a woman as a joke. At this time, the woman was not aware that the firearm was fake and therefore, She was terrified. The defendant then told her it was not real. The conclusion that the court </w:t>
      </w:r>
      <w:r w:rsidRPr="00751FCD">
        <w:rPr>
          <w:rFonts w:ascii="Arial" w:hAnsi="Arial" w:cs="Arial"/>
          <w:color w:val="000000" w:themeColor="text1"/>
          <w:sz w:val="24"/>
          <w:szCs w:val="24"/>
          <w:shd w:val="clear" w:color="auto" w:fill="FFFFFF"/>
        </w:rPr>
        <w:lastRenderedPageBreak/>
        <w:t xml:space="preserve">came to was that </w:t>
      </w:r>
      <w:r w:rsidRPr="00751FCD">
        <w:rPr>
          <w:rFonts w:ascii="Arial" w:hAnsi="Arial" w:cs="Arial"/>
          <w:color w:val="000000"/>
          <w:sz w:val="24"/>
          <w:szCs w:val="24"/>
          <w:shd w:val="clear" w:color="auto" w:fill="FFFFFF"/>
        </w:rPr>
        <w:t>An assault had been committed as the victim had displayed “immediate unlawful personal violence” and the defendant in question was reckless as to whether she would apprehend such violence.</w:t>
      </w:r>
      <w:sdt>
        <w:sdtPr>
          <w:rPr>
            <w:rFonts w:ascii="Arial" w:hAnsi="Arial" w:cs="Arial"/>
            <w:color w:val="000000"/>
            <w:sz w:val="24"/>
            <w:szCs w:val="24"/>
            <w:shd w:val="clear" w:color="auto" w:fill="FFFFFF"/>
          </w:rPr>
          <w:id w:val="523368588"/>
          <w:citation/>
        </w:sdtPr>
        <w:sdtEndPr/>
        <w:sdtContent>
          <w:r w:rsidRPr="00751FCD">
            <w:rPr>
              <w:rFonts w:ascii="Arial" w:hAnsi="Arial" w:cs="Arial"/>
              <w:color w:val="000000"/>
              <w:sz w:val="24"/>
              <w:szCs w:val="24"/>
              <w:shd w:val="clear" w:color="auto" w:fill="FFFFFF"/>
            </w:rPr>
            <w:fldChar w:fldCharType="begin"/>
          </w:r>
          <w:r w:rsidRPr="00751FCD">
            <w:rPr>
              <w:rFonts w:ascii="Arial" w:hAnsi="Arial" w:cs="Arial"/>
              <w:color w:val="000000"/>
              <w:sz w:val="24"/>
              <w:szCs w:val="24"/>
              <w:shd w:val="clear" w:color="auto" w:fill="FFFFFF"/>
            </w:rPr>
            <w:instrText xml:space="preserve"> CITATION Ela76 \l 2057 </w:instrText>
          </w:r>
          <w:r w:rsidRPr="00751FCD">
            <w:rPr>
              <w:rFonts w:ascii="Arial" w:hAnsi="Arial" w:cs="Arial"/>
              <w:color w:val="000000"/>
              <w:sz w:val="24"/>
              <w:szCs w:val="24"/>
              <w:shd w:val="clear" w:color="auto" w:fill="FFFFFF"/>
            </w:rPr>
            <w:fldChar w:fldCharType="separate"/>
          </w:r>
          <w:r w:rsidRPr="00751FCD">
            <w:rPr>
              <w:rFonts w:ascii="Arial" w:hAnsi="Arial" w:cs="Arial"/>
              <w:noProof/>
              <w:color w:val="000000"/>
              <w:sz w:val="24"/>
              <w:szCs w:val="24"/>
              <w:shd w:val="clear" w:color="auto" w:fill="FFFFFF"/>
            </w:rPr>
            <w:t xml:space="preserve"> (E-lawresources.co.uk, 1976)</w:t>
          </w:r>
          <w:r w:rsidRPr="00751FCD">
            <w:rPr>
              <w:rFonts w:ascii="Arial" w:hAnsi="Arial" w:cs="Arial"/>
              <w:color w:val="000000"/>
              <w:sz w:val="24"/>
              <w:szCs w:val="24"/>
              <w:shd w:val="clear" w:color="auto" w:fill="FFFFFF"/>
            </w:rPr>
            <w:fldChar w:fldCharType="end"/>
          </w:r>
        </w:sdtContent>
      </w:sdt>
    </w:p>
    <w:p w14:paraId="6EC83B16" w14:textId="76DE4A09" w:rsidR="007D0F6C" w:rsidRPr="00751FCD" w:rsidRDefault="006B6F95">
      <w:pPr>
        <w:rPr>
          <w:rFonts w:ascii="Arial" w:hAnsi="Arial" w:cs="Arial"/>
          <w:color w:val="000000" w:themeColor="text1"/>
          <w:sz w:val="24"/>
          <w:szCs w:val="24"/>
          <w:shd w:val="clear" w:color="auto" w:fill="FFFFFF"/>
        </w:rPr>
      </w:pPr>
      <w:r w:rsidRPr="00751FCD">
        <w:rPr>
          <w:rFonts w:ascii="Arial" w:hAnsi="Arial" w:cs="Arial"/>
          <w:color w:val="000000" w:themeColor="text1"/>
          <w:sz w:val="24"/>
          <w:szCs w:val="24"/>
          <w:shd w:val="clear" w:color="auto" w:fill="FFFFFF"/>
        </w:rPr>
        <w:t xml:space="preserve">Another regularly common law offence is battery which unlike assault, actual physical contact is a required criteria to be met between the defendant and victim for this offence to occur. It should be mentioned however that  there is no injury. This law has also been referred to as unlawful touching, however both offences can only fetch a maximum sentence of six months </w:t>
      </w:r>
      <w:r w:rsidR="00A77C53" w:rsidRPr="00751FCD">
        <w:rPr>
          <w:rFonts w:ascii="Arial" w:hAnsi="Arial" w:cs="Arial"/>
          <w:color w:val="000000" w:themeColor="text1"/>
          <w:sz w:val="24"/>
          <w:szCs w:val="24"/>
          <w:shd w:val="clear" w:color="auto" w:fill="FFFFFF"/>
        </w:rPr>
        <w:t>from</w:t>
      </w:r>
      <w:r w:rsidRPr="00751FCD">
        <w:rPr>
          <w:rFonts w:ascii="Arial" w:hAnsi="Arial" w:cs="Arial"/>
          <w:color w:val="000000" w:themeColor="text1"/>
          <w:sz w:val="24"/>
          <w:szCs w:val="24"/>
          <w:shd w:val="clear" w:color="auto" w:fill="FFFFFF"/>
        </w:rPr>
        <w:t xml:space="preserve"> court</w:t>
      </w:r>
      <w:r w:rsidR="00A77C53" w:rsidRPr="00751FCD">
        <w:rPr>
          <w:rFonts w:ascii="Arial" w:hAnsi="Arial" w:cs="Arial"/>
          <w:color w:val="000000" w:themeColor="text1"/>
          <w:sz w:val="24"/>
          <w:szCs w:val="24"/>
          <w:shd w:val="clear" w:color="auto" w:fill="FFFFFF"/>
        </w:rPr>
        <w:t xml:space="preserve">. </w:t>
      </w:r>
      <w:sdt>
        <w:sdtPr>
          <w:rPr>
            <w:rFonts w:ascii="Arial" w:hAnsi="Arial" w:cs="Arial"/>
            <w:color w:val="000000" w:themeColor="text1"/>
            <w:sz w:val="24"/>
            <w:szCs w:val="24"/>
            <w:shd w:val="clear" w:color="auto" w:fill="FFFFFF"/>
          </w:rPr>
          <w:id w:val="587354786"/>
          <w:citation/>
        </w:sdtPr>
        <w:sdtEndPr/>
        <w:sdtContent>
          <w:r w:rsidR="00A77C53" w:rsidRPr="00751FCD">
            <w:rPr>
              <w:rFonts w:ascii="Arial" w:hAnsi="Arial" w:cs="Arial"/>
              <w:color w:val="000000" w:themeColor="text1"/>
              <w:sz w:val="24"/>
              <w:szCs w:val="24"/>
              <w:shd w:val="clear" w:color="auto" w:fill="FFFFFF"/>
            </w:rPr>
            <w:fldChar w:fldCharType="begin"/>
          </w:r>
          <w:r w:rsidR="00A77C53" w:rsidRPr="00751FCD">
            <w:rPr>
              <w:rFonts w:ascii="Arial" w:hAnsi="Arial" w:cs="Arial"/>
              <w:color w:val="000000" w:themeColor="text1"/>
              <w:sz w:val="24"/>
              <w:szCs w:val="24"/>
              <w:shd w:val="clear" w:color="auto" w:fill="FFFFFF"/>
            </w:rPr>
            <w:instrText xml:space="preserve"> CITATION Leg18 \l 2057 </w:instrText>
          </w:r>
          <w:r w:rsidR="00A77C53" w:rsidRPr="00751FCD">
            <w:rPr>
              <w:rFonts w:ascii="Arial" w:hAnsi="Arial" w:cs="Arial"/>
              <w:color w:val="000000" w:themeColor="text1"/>
              <w:sz w:val="24"/>
              <w:szCs w:val="24"/>
              <w:shd w:val="clear" w:color="auto" w:fill="FFFFFF"/>
            </w:rPr>
            <w:fldChar w:fldCharType="separate"/>
          </w:r>
          <w:r w:rsidR="00A77C53" w:rsidRPr="00751FCD">
            <w:rPr>
              <w:rFonts w:ascii="Arial" w:hAnsi="Arial" w:cs="Arial"/>
              <w:noProof/>
              <w:color w:val="000000" w:themeColor="text1"/>
              <w:sz w:val="24"/>
              <w:szCs w:val="24"/>
              <w:shd w:val="clear" w:color="auto" w:fill="FFFFFF"/>
            </w:rPr>
            <w:t>(Legal Match, 2018)</w:t>
          </w:r>
          <w:r w:rsidR="00A77C53" w:rsidRPr="00751FCD">
            <w:rPr>
              <w:rFonts w:ascii="Arial" w:hAnsi="Arial" w:cs="Arial"/>
              <w:color w:val="000000" w:themeColor="text1"/>
              <w:sz w:val="24"/>
              <w:szCs w:val="24"/>
              <w:shd w:val="clear" w:color="auto" w:fill="FFFFFF"/>
            </w:rPr>
            <w:fldChar w:fldCharType="end"/>
          </w:r>
        </w:sdtContent>
      </w:sdt>
    </w:p>
    <w:p w14:paraId="1DB7B699" w14:textId="1960C646" w:rsidR="00A77C53" w:rsidRPr="00751FCD" w:rsidRDefault="00FF5551">
      <w:pPr>
        <w:rPr>
          <w:rFonts w:ascii="Arial" w:hAnsi="Arial" w:cs="Arial"/>
          <w:color w:val="000000" w:themeColor="text1"/>
          <w:sz w:val="24"/>
          <w:szCs w:val="24"/>
          <w:shd w:val="clear" w:color="auto" w:fill="FFFFFF"/>
        </w:rPr>
      </w:pPr>
      <w:r w:rsidRPr="00751FCD">
        <w:rPr>
          <w:rFonts w:ascii="Arial" w:hAnsi="Arial" w:cs="Arial"/>
          <w:color w:val="000000" w:themeColor="text1"/>
          <w:sz w:val="24"/>
          <w:szCs w:val="24"/>
          <w:shd w:val="clear" w:color="auto" w:fill="FFFFFF"/>
        </w:rPr>
        <w:t>Now to progress to more serious and severe case laws, there is Actual Bodily Harm or (ABH) which as the name implies, it is an offence which is committed when a person intentionally or recklessly assaults another, thereby causing Actual Bodily Harm. </w:t>
      </w:r>
      <w:r w:rsidR="00F235FF" w:rsidRPr="00751FCD">
        <w:rPr>
          <w:rFonts w:ascii="Arial" w:hAnsi="Arial" w:cs="Arial"/>
          <w:color w:val="000000" w:themeColor="text1"/>
          <w:sz w:val="24"/>
          <w:szCs w:val="24"/>
          <w:shd w:val="clear" w:color="auto" w:fill="FFFFFF"/>
        </w:rPr>
        <w:t>Bodily harm has its traditional meaning while also including any injury including calculated to interfere with the comfort and or health of the victim in question.</w:t>
      </w:r>
      <w:r w:rsidR="00C227E0" w:rsidRPr="00751FCD">
        <w:rPr>
          <w:rFonts w:ascii="Arial" w:hAnsi="Arial" w:cs="Arial"/>
          <w:color w:val="000000" w:themeColor="text1"/>
          <w:sz w:val="24"/>
          <w:szCs w:val="24"/>
          <w:shd w:val="clear" w:color="auto" w:fill="FFFFFF"/>
        </w:rPr>
        <w:t xml:space="preserve"> The maximum sentence that someone can serve at this tier of criminal act is 5 years.</w:t>
      </w:r>
      <w:r w:rsidR="00484DDC" w:rsidRPr="00751FCD">
        <w:rPr>
          <w:rFonts w:ascii="Arial" w:hAnsi="Arial" w:cs="Arial"/>
          <w:color w:val="000000" w:themeColor="text1"/>
          <w:sz w:val="24"/>
          <w:szCs w:val="24"/>
          <w:shd w:val="clear" w:color="auto" w:fill="FFFFFF"/>
        </w:rPr>
        <w:t xml:space="preserve"> In contrast with this this, the most serious offences discussed so far has been wounding or for someone to cause grievous bodily harm (GBH) with intent  which comes under section 18. This means that the defendant either wounds or causes the victim serious “physical and psychiatric harm.” The defendant must have intended to cause serious harm to the victim. If this is the case then the new maximum sentence for this offence is life imprisonment.</w:t>
      </w:r>
      <w:sdt>
        <w:sdtPr>
          <w:rPr>
            <w:rFonts w:ascii="Arial" w:hAnsi="Arial" w:cs="Arial"/>
            <w:color w:val="000000" w:themeColor="text1"/>
            <w:sz w:val="24"/>
            <w:szCs w:val="24"/>
            <w:shd w:val="clear" w:color="auto" w:fill="FFFFFF"/>
          </w:rPr>
          <w:id w:val="-1627465643"/>
          <w:citation/>
        </w:sdtPr>
        <w:sdtEndPr/>
        <w:sdtContent>
          <w:r w:rsidR="00F235FF" w:rsidRPr="00751FCD">
            <w:rPr>
              <w:rFonts w:ascii="Arial" w:hAnsi="Arial" w:cs="Arial"/>
              <w:color w:val="000000" w:themeColor="text1"/>
              <w:sz w:val="24"/>
              <w:szCs w:val="24"/>
              <w:shd w:val="clear" w:color="auto" w:fill="FFFFFF"/>
            </w:rPr>
            <w:fldChar w:fldCharType="begin"/>
          </w:r>
          <w:r w:rsidR="00F235FF" w:rsidRPr="00751FCD">
            <w:rPr>
              <w:rFonts w:ascii="Arial" w:hAnsi="Arial" w:cs="Arial"/>
              <w:color w:val="000000" w:themeColor="text1"/>
              <w:sz w:val="24"/>
              <w:szCs w:val="24"/>
              <w:shd w:val="clear" w:color="auto" w:fill="FFFFFF"/>
            </w:rPr>
            <w:instrText xml:space="preserve"> CITATION Off20 \l 2057 </w:instrText>
          </w:r>
          <w:r w:rsidR="00F235FF" w:rsidRPr="00751FCD">
            <w:rPr>
              <w:rFonts w:ascii="Arial" w:hAnsi="Arial" w:cs="Arial"/>
              <w:color w:val="000000" w:themeColor="text1"/>
              <w:sz w:val="24"/>
              <w:szCs w:val="24"/>
              <w:shd w:val="clear" w:color="auto" w:fill="FFFFFF"/>
            </w:rPr>
            <w:fldChar w:fldCharType="separate"/>
          </w:r>
          <w:r w:rsidR="00F235FF" w:rsidRPr="00751FCD">
            <w:rPr>
              <w:rFonts w:ascii="Arial" w:hAnsi="Arial" w:cs="Arial"/>
              <w:noProof/>
              <w:color w:val="000000" w:themeColor="text1"/>
              <w:sz w:val="24"/>
              <w:szCs w:val="24"/>
              <w:shd w:val="clear" w:color="auto" w:fill="FFFFFF"/>
            </w:rPr>
            <w:t xml:space="preserve"> (Offences against the Person, incorporating the Charging Standard, 2020)</w:t>
          </w:r>
          <w:r w:rsidR="00F235FF" w:rsidRPr="00751FCD">
            <w:rPr>
              <w:rFonts w:ascii="Arial" w:hAnsi="Arial" w:cs="Arial"/>
              <w:color w:val="000000" w:themeColor="text1"/>
              <w:sz w:val="24"/>
              <w:szCs w:val="24"/>
              <w:shd w:val="clear" w:color="auto" w:fill="FFFFFF"/>
            </w:rPr>
            <w:fldChar w:fldCharType="end"/>
          </w:r>
        </w:sdtContent>
      </w:sdt>
      <w:r w:rsidR="00F235FF" w:rsidRPr="00751FCD">
        <w:rPr>
          <w:rFonts w:ascii="Arial" w:hAnsi="Arial" w:cs="Arial"/>
          <w:color w:val="000000" w:themeColor="text1"/>
          <w:sz w:val="24"/>
          <w:szCs w:val="24"/>
          <w:shd w:val="clear" w:color="auto" w:fill="FFFFFF"/>
        </w:rPr>
        <w:t xml:space="preserve">      </w:t>
      </w:r>
    </w:p>
    <w:p w14:paraId="252B88D2" w14:textId="4DE7A725" w:rsidR="00093F42" w:rsidRPr="00751FCD" w:rsidRDefault="00A71FC8" w:rsidP="00093F42">
      <w:pPr>
        <w:rPr>
          <w:rFonts w:ascii="Arial" w:hAnsi="Arial" w:cs="Arial"/>
          <w:color w:val="000000" w:themeColor="text1"/>
          <w:sz w:val="24"/>
          <w:szCs w:val="24"/>
          <w:shd w:val="clear" w:color="auto" w:fill="FFFFFF"/>
        </w:rPr>
      </w:pPr>
      <w:r w:rsidRPr="00751FCD">
        <w:rPr>
          <w:rFonts w:ascii="Arial" w:hAnsi="Arial" w:cs="Arial"/>
          <w:color w:val="000000" w:themeColor="text1"/>
          <w:sz w:val="24"/>
          <w:szCs w:val="24"/>
          <w:shd w:val="clear" w:color="auto" w:fill="FFFFFF"/>
        </w:rPr>
        <w:t>An instance of when a case would come under Actual Bodily Harm but could be argued that a need for change and or modernisation could be the case law of DPP V</w:t>
      </w:r>
      <w:r w:rsidR="00093F42" w:rsidRPr="00751FCD">
        <w:rPr>
          <w:rFonts w:ascii="Arial" w:hAnsi="Arial" w:cs="Arial"/>
          <w:color w:val="000000" w:themeColor="text1"/>
          <w:sz w:val="24"/>
          <w:szCs w:val="24"/>
          <w:shd w:val="clear" w:color="auto" w:fill="FFFFFF"/>
        </w:rPr>
        <w:t xml:space="preserve">. Smith. In this case, Jim Smith was driving with stolen goods in his car and was ordered by a Police constable to pull over and stop his car. Instead, Jim opted to speed up away from the officer as to flee the Law. However, he was not expecting for the constable in question to jump on Smiths car in a rash attempt to have the car stop. In an attempt to lose the officer, Jim swerved his car which threw the officer off and into the path of oncoming traffic, killing him. In court, Jim attempted to appeal to the judge that he could not and should not be convicted of murder as he did not have the “requisite mens rea” of intention to kill or intent to cause grievous bodily harm.  In the end, the court ruled the case as a murder conviction after being passed through the House of Lords. </w:t>
      </w:r>
      <w:sdt>
        <w:sdtPr>
          <w:rPr>
            <w:rFonts w:ascii="Arial" w:hAnsi="Arial" w:cs="Arial"/>
            <w:color w:val="000000" w:themeColor="text1"/>
            <w:sz w:val="24"/>
            <w:szCs w:val="24"/>
            <w:shd w:val="clear" w:color="auto" w:fill="FFFFFF"/>
          </w:rPr>
          <w:id w:val="1885602677"/>
          <w:citation/>
        </w:sdtPr>
        <w:sdtEndPr/>
        <w:sdtContent>
          <w:r w:rsidR="00093F42" w:rsidRPr="00751FCD">
            <w:rPr>
              <w:rFonts w:ascii="Arial" w:hAnsi="Arial" w:cs="Arial"/>
              <w:color w:val="000000" w:themeColor="text1"/>
              <w:sz w:val="24"/>
              <w:szCs w:val="24"/>
              <w:shd w:val="clear" w:color="auto" w:fill="FFFFFF"/>
            </w:rPr>
            <w:fldChar w:fldCharType="begin"/>
          </w:r>
          <w:r w:rsidR="00093F42" w:rsidRPr="00751FCD">
            <w:rPr>
              <w:rFonts w:ascii="Arial" w:hAnsi="Arial" w:cs="Arial"/>
              <w:color w:val="000000" w:themeColor="text1"/>
              <w:sz w:val="24"/>
              <w:szCs w:val="24"/>
              <w:shd w:val="clear" w:color="auto" w:fill="FFFFFF"/>
            </w:rPr>
            <w:instrText xml:space="preserve"> CITATION Law20 \l 2057 </w:instrText>
          </w:r>
          <w:r w:rsidR="00093F42" w:rsidRPr="00751FCD">
            <w:rPr>
              <w:rFonts w:ascii="Arial" w:hAnsi="Arial" w:cs="Arial"/>
              <w:color w:val="000000" w:themeColor="text1"/>
              <w:sz w:val="24"/>
              <w:szCs w:val="24"/>
              <w:shd w:val="clear" w:color="auto" w:fill="FFFFFF"/>
            </w:rPr>
            <w:fldChar w:fldCharType="separate"/>
          </w:r>
          <w:r w:rsidR="00093F42" w:rsidRPr="00751FCD">
            <w:rPr>
              <w:rFonts w:ascii="Arial" w:hAnsi="Arial" w:cs="Arial"/>
              <w:noProof/>
              <w:color w:val="000000" w:themeColor="text1"/>
              <w:sz w:val="24"/>
              <w:szCs w:val="24"/>
              <w:shd w:val="clear" w:color="auto" w:fill="FFFFFF"/>
            </w:rPr>
            <w:t>(Law Teacher, 2020)</w:t>
          </w:r>
          <w:r w:rsidR="00093F42" w:rsidRPr="00751FCD">
            <w:rPr>
              <w:rFonts w:ascii="Arial" w:hAnsi="Arial" w:cs="Arial"/>
              <w:color w:val="000000" w:themeColor="text1"/>
              <w:sz w:val="24"/>
              <w:szCs w:val="24"/>
              <w:shd w:val="clear" w:color="auto" w:fill="FFFFFF"/>
            </w:rPr>
            <w:fldChar w:fldCharType="end"/>
          </w:r>
        </w:sdtContent>
      </w:sdt>
    </w:p>
    <w:p w14:paraId="3786E8B4" w14:textId="77777777" w:rsidR="00F748B2" w:rsidRPr="00751FCD" w:rsidRDefault="004C48B4" w:rsidP="00093F42">
      <w:pPr>
        <w:rPr>
          <w:rFonts w:ascii="Arial" w:hAnsi="Arial" w:cs="Arial"/>
          <w:color w:val="000000" w:themeColor="text1"/>
          <w:sz w:val="24"/>
          <w:szCs w:val="24"/>
        </w:rPr>
      </w:pPr>
      <w:r w:rsidRPr="00751FCD">
        <w:rPr>
          <w:rFonts w:ascii="Arial" w:hAnsi="Arial" w:cs="Arial"/>
          <w:color w:val="000000" w:themeColor="text1"/>
          <w:sz w:val="24"/>
          <w:szCs w:val="24"/>
          <w:shd w:val="clear" w:color="auto" w:fill="FFFFFF"/>
        </w:rPr>
        <w:t>With these laws in mind, it is important to consider that fact that the Act which binds the law together is 160 years old as of 2021. the Offence against the Persons Act 1861, or OATP being incredibly old in terms of origins makes it be a law that uses and covers uses archaic and outdated language.</w:t>
      </w:r>
      <w:r w:rsidRPr="00751FCD">
        <w:rPr>
          <w:rFonts w:ascii="Arial" w:hAnsi="Arial" w:cs="Arial"/>
          <w:color w:val="000000" w:themeColor="text1"/>
          <w:shd w:val="clear" w:color="auto" w:fill="FFFFFF"/>
        </w:rPr>
        <w:t xml:space="preserve"> </w:t>
      </w:r>
      <w:r w:rsidR="00F748B2" w:rsidRPr="00751FCD">
        <w:rPr>
          <w:rFonts w:ascii="Arial" w:hAnsi="Arial" w:cs="Arial"/>
          <w:color w:val="000000" w:themeColor="text1"/>
          <w:sz w:val="24"/>
          <w:szCs w:val="24"/>
          <w:shd w:val="clear" w:color="auto" w:fill="FFFFFF"/>
        </w:rPr>
        <w:t>Seeing that</w:t>
      </w:r>
      <w:r w:rsidRPr="00751FCD">
        <w:rPr>
          <w:rFonts w:ascii="Arial" w:hAnsi="Arial" w:cs="Arial"/>
          <w:color w:val="000000" w:themeColor="text1"/>
          <w:sz w:val="24"/>
          <w:szCs w:val="24"/>
          <w:shd w:val="clear" w:color="auto" w:fill="FFFFFF"/>
        </w:rPr>
        <w:t xml:space="preserve"> this legislation was enacted in 1861, it is obvious that</w:t>
      </w:r>
      <w:r w:rsidR="00F748B2" w:rsidRPr="00751FCD">
        <w:rPr>
          <w:rFonts w:ascii="Arial" w:hAnsi="Arial" w:cs="Arial"/>
          <w:color w:val="000000" w:themeColor="text1"/>
          <w:sz w:val="24"/>
          <w:szCs w:val="24"/>
          <w:shd w:val="clear" w:color="auto" w:fill="FFFFFF"/>
        </w:rPr>
        <w:t xml:space="preserve"> there is older terminology</w:t>
      </w:r>
      <w:r w:rsidRPr="00751FCD">
        <w:rPr>
          <w:rFonts w:ascii="Arial" w:hAnsi="Arial" w:cs="Arial"/>
          <w:color w:val="000000" w:themeColor="text1"/>
          <w:sz w:val="24"/>
          <w:szCs w:val="24"/>
          <w:shd w:val="clear" w:color="auto" w:fill="FFFFFF"/>
        </w:rPr>
        <w:t xml:space="preserve"> </w:t>
      </w:r>
      <w:r w:rsidR="00F748B2" w:rsidRPr="00751FCD">
        <w:rPr>
          <w:rFonts w:ascii="Arial" w:hAnsi="Arial" w:cs="Arial"/>
          <w:color w:val="000000" w:themeColor="text1"/>
          <w:sz w:val="24"/>
          <w:szCs w:val="24"/>
          <w:shd w:val="clear" w:color="auto" w:fill="FFFFFF"/>
        </w:rPr>
        <w:t xml:space="preserve">used and also how </w:t>
      </w:r>
      <w:r w:rsidRPr="00751FCD">
        <w:rPr>
          <w:rFonts w:ascii="Arial" w:hAnsi="Arial" w:cs="Arial"/>
          <w:color w:val="000000" w:themeColor="text1"/>
          <w:sz w:val="24"/>
          <w:szCs w:val="24"/>
          <w:shd w:val="clear" w:color="auto" w:fill="FFFFFF"/>
        </w:rPr>
        <w:t>the definitions used within the act are old and may be inapplicable.</w:t>
      </w:r>
      <w:r w:rsidR="00F748B2" w:rsidRPr="00751FCD">
        <w:rPr>
          <w:rFonts w:ascii="Arial" w:hAnsi="Arial" w:cs="Arial"/>
          <w:color w:val="000000" w:themeColor="text1"/>
          <w:sz w:val="24"/>
          <w:szCs w:val="24"/>
          <w:shd w:val="clear" w:color="auto" w:fill="FFFFFF"/>
        </w:rPr>
        <w:t xml:space="preserve"> </w:t>
      </w:r>
      <w:sdt>
        <w:sdtPr>
          <w:rPr>
            <w:rFonts w:ascii="Arial" w:hAnsi="Arial" w:cs="Arial"/>
            <w:color w:val="000000" w:themeColor="text1"/>
            <w:sz w:val="24"/>
            <w:szCs w:val="24"/>
            <w:shd w:val="clear" w:color="auto" w:fill="FFFFFF"/>
          </w:rPr>
          <w:id w:val="1070918606"/>
          <w:citation/>
        </w:sdtPr>
        <w:sdtEndPr/>
        <w:sdtContent>
          <w:r w:rsidR="00F748B2" w:rsidRPr="00751FCD">
            <w:rPr>
              <w:rFonts w:ascii="Arial" w:hAnsi="Arial" w:cs="Arial"/>
              <w:color w:val="000000" w:themeColor="text1"/>
              <w:sz w:val="24"/>
              <w:szCs w:val="24"/>
              <w:shd w:val="clear" w:color="auto" w:fill="FFFFFF"/>
            </w:rPr>
            <w:fldChar w:fldCharType="begin"/>
          </w:r>
          <w:r w:rsidR="00F748B2" w:rsidRPr="00751FCD">
            <w:rPr>
              <w:rFonts w:ascii="Arial" w:hAnsi="Arial" w:cs="Arial"/>
              <w:color w:val="000000" w:themeColor="text1"/>
              <w:sz w:val="24"/>
              <w:szCs w:val="24"/>
              <w:shd w:val="clear" w:color="auto" w:fill="FFFFFF"/>
            </w:rPr>
            <w:instrText xml:space="preserve"> CITATION Oxf201 \l 2057 </w:instrText>
          </w:r>
          <w:r w:rsidR="00F748B2" w:rsidRPr="00751FCD">
            <w:rPr>
              <w:rFonts w:ascii="Arial" w:hAnsi="Arial" w:cs="Arial"/>
              <w:color w:val="000000" w:themeColor="text1"/>
              <w:sz w:val="24"/>
              <w:szCs w:val="24"/>
              <w:shd w:val="clear" w:color="auto" w:fill="FFFFFF"/>
            </w:rPr>
            <w:fldChar w:fldCharType="separate"/>
          </w:r>
          <w:r w:rsidR="00F748B2" w:rsidRPr="00751FCD">
            <w:rPr>
              <w:rFonts w:ascii="Arial" w:hAnsi="Arial" w:cs="Arial"/>
              <w:noProof/>
              <w:color w:val="000000" w:themeColor="text1"/>
              <w:sz w:val="24"/>
              <w:szCs w:val="24"/>
              <w:shd w:val="clear" w:color="auto" w:fill="FFFFFF"/>
            </w:rPr>
            <w:t>(Oxford Royale Academy, 2020)</w:t>
          </w:r>
          <w:r w:rsidR="00F748B2" w:rsidRPr="00751FCD">
            <w:rPr>
              <w:rFonts w:ascii="Arial" w:hAnsi="Arial" w:cs="Arial"/>
              <w:color w:val="000000" w:themeColor="text1"/>
              <w:sz w:val="24"/>
              <w:szCs w:val="24"/>
              <w:shd w:val="clear" w:color="auto" w:fill="FFFFFF"/>
            </w:rPr>
            <w:fldChar w:fldCharType="end"/>
          </w:r>
        </w:sdtContent>
      </w:sdt>
      <w:r w:rsidRPr="00751FCD">
        <w:rPr>
          <w:rFonts w:ascii="Arial" w:hAnsi="Arial" w:cs="Arial"/>
          <w:color w:val="000000" w:themeColor="text1"/>
          <w:sz w:val="24"/>
          <w:szCs w:val="24"/>
          <w:shd w:val="clear" w:color="auto" w:fill="FFFFFF"/>
        </w:rPr>
        <w:t xml:space="preserve"> </w:t>
      </w:r>
      <w:r w:rsidR="00F748B2" w:rsidRPr="00751FCD">
        <w:rPr>
          <w:rFonts w:ascii="Arial" w:hAnsi="Arial" w:cs="Arial"/>
          <w:color w:val="000000" w:themeColor="text1"/>
          <w:sz w:val="24"/>
          <w:szCs w:val="24"/>
          <w:shd w:val="clear" w:color="auto" w:fill="FFFFFF"/>
        </w:rPr>
        <w:t>A real</w:t>
      </w:r>
      <w:r w:rsidRPr="00751FCD">
        <w:rPr>
          <w:rFonts w:ascii="Arial" w:hAnsi="Arial" w:cs="Arial"/>
          <w:color w:val="000000" w:themeColor="text1"/>
          <w:sz w:val="24"/>
          <w:szCs w:val="24"/>
          <w:shd w:val="clear" w:color="auto" w:fill="FFFFFF"/>
        </w:rPr>
        <w:t xml:space="preserve"> instance</w:t>
      </w:r>
      <w:r w:rsidR="00F748B2" w:rsidRPr="00751FCD">
        <w:rPr>
          <w:rFonts w:ascii="Arial" w:hAnsi="Arial" w:cs="Arial"/>
          <w:color w:val="000000" w:themeColor="text1"/>
          <w:sz w:val="24"/>
          <w:szCs w:val="24"/>
          <w:shd w:val="clear" w:color="auto" w:fill="FFFFFF"/>
        </w:rPr>
        <w:t xml:space="preserve"> in which this is present could be taken from</w:t>
      </w:r>
      <w:r w:rsidRPr="00751FCD">
        <w:rPr>
          <w:rFonts w:ascii="Arial" w:hAnsi="Arial" w:cs="Arial"/>
          <w:color w:val="000000" w:themeColor="text1"/>
          <w:sz w:val="24"/>
          <w:szCs w:val="24"/>
          <w:shd w:val="clear" w:color="auto" w:fill="FFFFFF"/>
        </w:rPr>
        <w:t xml:space="preserve"> the term ‘bodily’ </w:t>
      </w:r>
      <w:r w:rsidR="00F748B2" w:rsidRPr="00751FCD">
        <w:rPr>
          <w:rFonts w:ascii="Arial" w:hAnsi="Arial" w:cs="Arial"/>
          <w:color w:val="000000" w:themeColor="text1"/>
          <w:sz w:val="24"/>
          <w:szCs w:val="24"/>
          <w:shd w:val="clear" w:color="auto" w:fill="FFFFFF"/>
        </w:rPr>
        <w:t xml:space="preserve"> which </w:t>
      </w:r>
      <w:r w:rsidRPr="00751FCD">
        <w:rPr>
          <w:rFonts w:ascii="Arial" w:hAnsi="Arial" w:cs="Arial"/>
          <w:color w:val="000000" w:themeColor="text1"/>
          <w:sz w:val="24"/>
          <w:szCs w:val="24"/>
          <w:shd w:val="clear" w:color="auto" w:fill="FFFFFF"/>
        </w:rPr>
        <w:t xml:space="preserve">has been </w:t>
      </w:r>
      <w:r w:rsidR="00F748B2" w:rsidRPr="00751FCD">
        <w:rPr>
          <w:rFonts w:ascii="Arial" w:hAnsi="Arial" w:cs="Arial"/>
          <w:color w:val="000000" w:themeColor="text1"/>
          <w:sz w:val="24"/>
          <w:szCs w:val="24"/>
          <w:shd w:val="clear" w:color="auto" w:fill="FFFFFF"/>
        </w:rPr>
        <w:t xml:space="preserve">implied as dated terminology </w:t>
      </w:r>
      <w:r w:rsidRPr="00751FCD">
        <w:rPr>
          <w:rFonts w:ascii="Arial" w:hAnsi="Arial" w:cs="Arial"/>
          <w:color w:val="000000" w:themeColor="text1"/>
          <w:sz w:val="24"/>
          <w:szCs w:val="24"/>
          <w:shd w:val="clear" w:color="auto" w:fill="FFFFFF"/>
        </w:rPr>
        <w:t>by the Law Commission Report.</w:t>
      </w:r>
    </w:p>
    <w:p w14:paraId="4B040890" w14:textId="1BFA36DC" w:rsidR="0087653D" w:rsidRPr="00F65537" w:rsidRDefault="004C48B4" w:rsidP="00F65537">
      <w:pPr>
        <w:pStyle w:val="NormalWeb"/>
        <w:spacing w:before="75" w:beforeAutospacing="0" w:after="105" w:afterAutospacing="0" w:line="315" w:lineRule="atLeast"/>
        <w:textAlignment w:val="baseline"/>
        <w:rPr>
          <w:rFonts w:ascii="Arial" w:hAnsi="Arial" w:cs="Arial"/>
        </w:rPr>
      </w:pPr>
      <w:r w:rsidRPr="00F65537">
        <w:rPr>
          <w:rFonts w:ascii="Arial" w:hAnsi="Arial" w:cs="Arial"/>
          <w:shd w:val="clear" w:color="auto" w:fill="FFFFFF"/>
        </w:rPr>
        <w:t>To further support this argument, in </w:t>
      </w:r>
      <w:r w:rsidRPr="00F65537">
        <w:rPr>
          <w:rStyle w:val="Emphasis"/>
          <w:rFonts w:ascii="Arial" w:hAnsi="Arial" w:cs="Arial"/>
          <w:i w:val="0"/>
          <w:iCs w:val="0"/>
          <w:shd w:val="clear" w:color="auto" w:fill="FFFFFF"/>
        </w:rPr>
        <w:t>Bursto</w:t>
      </w:r>
      <w:r w:rsidR="00FA28F7" w:rsidRPr="00F65537">
        <w:rPr>
          <w:rStyle w:val="Emphasis"/>
          <w:rFonts w:ascii="Arial" w:hAnsi="Arial" w:cs="Arial"/>
          <w:i w:val="0"/>
          <w:iCs w:val="0"/>
          <w:shd w:val="clear" w:color="auto" w:fill="FFFFFF"/>
        </w:rPr>
        <w:t>w</w:t>
      </w:r>
      <w:r w:rsidRPr="00F65537">
        <w:rPr>
          <w:rFonts w:ascii="Arial" w:hAnsi="Arial" w:cs="Arial"/>
          <w:shd w:val="clear" w:color="auto" w:fill="FFFFFF"/>
        </w:rPr>
        <w:t>,</w:t>
      </w:r>
      <w:r w:rsidR="00FA28F7" w:rsidRPr="00F65537">
        <w:rPr>
          <w:rFonts w:ascii="Arial" w:hAnsi="Arial" w:cs="Arial"/>
          <w:shd w:val="clear" w:color="auto" w:fill="FFFFFF"/>
        </w:rPr>
        <w:t xml:space="preserve"> Surrey,</w:t>
      </w:r>
      <w:r w:rsidRPr="00F65537">
        <w:rPr>
          <w:rFonts w:ascii="Arial" w:hAnsi="Arial" w:cs="Arial"/>
          <w:shd w:val="clear" w:color="auto" w:fill="FFFFFF"/>
        </w:rPr>
        <w:t xml:space="preserve"> Lord Steyn </w:t>
      </w:r>
      <w:r w:rsidR="00FA28F7" w:rsidRPr="00F65537">
        <w:rPr>
          <w:rFonts w:ascii="Arial" w:hAnsi="Arial" w:cs="Arial"/>
          <w:shd w:val="clear" w:color="auto" w:fill="FFFFFF"/>
        </w:rPr>
        <w:t xml:space="preserve">who was a former member of the lords has previously </w:t>
      </w:r>
      <w:r w:rsidRPr="00F65537">
        <w:rPr>
          <w:rFonts w:ascii="Arial" w:hAnsi="Arial" w:cs="Arial"/>
          <w:shd w:val="clear" w:color="auto" w:fill="FFFFFF"/>
        </w:rPr>
        <w:t xml:space="preserve">raised </w:t>
      </w:r>
      <w:r w:rsidR="00FA28F7" w:rsidRPr="00F65537">
        <w:rPr>
          <w:rFonts w:ascii="Arial" w:hAnsi="Arial" w:cs="Arial"/>
          <w:shd w:val="clear" w:color="auto" w:fill="FFFFFF"/>
        </w:rPr>
        <w:t xml:space="preserve"> concern on </w:t>
      </w:r>
      <w:r w:rsidR="00096CB4" w:rsidRPr="00F65537">
        <w:rPr>
          <w:rFonts w:ascii="Arial" w:hAnsi="Arial" w:cs="Arial"/>
          <w:shd w:val="clear" w:color="auto" w:fill="FFFFFF"/>
        </w:rPr>
        <w:t xml:space="preserve">the issue </w:t>
      </w:r>
      <w:r w:rsidRPr="00F65537">
        <w:rPr>
          <w:rFonts w:ascii="Arial" w:hAnsi="Arial" w:cs="Arial"/>
          <w:shd w:val="clear" w:color="auto" w:fill="FFFFFF"/>
        </w:rPr>
        <w:t xml:space="preserve">that </w:t>
      </w:r>
      <w:r w:rsidR="00096CB4" w:rsidRPr="00F65537">
        <w:rPr>
          <w:rFonts w:ascii="Arial" w:hAnsi="Arial" w:cs="Arial"/>
          <w:shd w:val="clear" w:color="auto" w:fill="FFFFFF"/>
        </w:rPr>
        <w:t>“</w:t>
      </w:r>
      <w:r w:rsidRPr="00F65537">
        <w:rPr>
          <w:rFonts w:ascii="Arial" w:hAnsi="Arial" w:cs="Arial"/>
          <w:shd w:val="clear" w:color="auto" w:fill="FFFFFF"/>
        </w:rPr>
        <w:t xml:space="preserve">the Victorian </w:t>
      </w:r>
      <w:r w:rsidRPr="00F65537">
        <w:rPr>
          <w:rFonts w:ascii="Arial" w:hAnsi="Arial" w:cs="Arial"/>
          <w:shd w:val="clear" w:color="auto" w:fill="FFFFFF"/>
        </w:rPr>
        <w:lastRenderedPageBreak/>
        <w:t>legislator would not have in mind psychiatric illness</w:t>
      </w:r>
      <w:r w:rsidR="00096CB4" w:rsidRPr="00F65537">
        <w:rPr>
          <w:rFonts w:ascii="Arial" w:hAnsi="Arial" w:cs="Arial"/>
          <w:shd w:val="clear" w:color="auto" w:fill="FFFFFF"/>
        </w:rPr>
        <w:t>”</w:t>
      </w:r>
      <w:r w:rsidRPr="00F65537">
        <w:rPr>
          <w:rFonts w:ascii="Arial" w:hAnsi="Arial" w:cs="Arial"/>
          <w:shd w:val="clear" w:color="auto" w:fill="FFFFFF"/>
        </w:rPr>
        <w:t xml:space="preserve">. </w:t>
      </w:r>
      <w:sdt>
        <w:sdtPr>
          <w:rPr>
            <w:rFonts w:ascii="Arial" w:hAnsi="Arial" w:cs="Arial"/>
            <w:shd w:val="clear" w:color="auto" w:fill="FFFFFF"/>
          </w:rPr>
          <w:id w:val="617725731"/>
          <w:citation/>
        </w:sdtPr>
        <w:sdtContent>
          <w:r w:rsidR="00096CB4" w:rsidRPr="00F65537">
            <w:rPr>
              <w:rFonts w:ascii="Arial" w:hAnsi="Arial" w:cs="Arial"/>
              <w:shd w:val="clear" w:color="auto" w:fill="FFFFFF"/>
            </w:rPr>
            <w:fldChar w:fldCharType="begin"/>
          </w:r>
          <w:r w:rsidR="00096CB4" w:rsidRPr="00F65537">
            <w:rPr>
              <w:rFonts w:ascii="Arial" w:hAnsi="Arial" w:cs="Arial"/>
              <w:shd w:val="clear" w:color="auto" w:fill="FFFFFF"/>
            </w:rPr>
            <w:instrText xml:space="preserve"> CITATION UKP21 \l 2057 </w:instrText>
          </w:r>
          <w:r w:rsidR="00096CB4" w:rsidRPr="00F65537">
            <w:rPr>
              <w:rFonts w:ascii="Arial" w:hAnsi="Arial" w:cs="Arial"/>
              <w:shd w:val="clear" w:color="auto" w:fill="FFFFFF"/>
            </w:rPr>
            <w:fldChar w:fldCharType="separate"/>
          </w:r>
          <w:r w:rsidR="00096CB4" w:rsidRPr="00F65537">
            <w:rPr>
              <w:rFonts w:ascii="Arial" w:hAnsi="Arial" w:cs="Arial"/>
              <w:noProof/>
              <w:shd w:val="clear" w:color="auto" w:fill="FFFFFF"/>
            </w:rPr>
            <w:t>(UK Parliament, 2021)</w:t>
          </w:r>
          <w:r w:rsidR="00096CB4" w:rsidRPr="00F65537">
            <w:rPr>
              <w:rFonts w:ascii="Arial" w:hAnsi="Arial" w:cs="Arial"/>
              <w:shd w:val="clear" w:color="auto" w:fill="FFFFFF"/>
            </w:rPr>
            <w:fldChar w:fldCharType="end"/>
          </w:r>
        </w:sdtContent>
      </w:sdt>
      <w:r w:rsidRPr="00F65537">
        <w:rPr>
          <w:rFonts w:ascii="Arial" w:hAnsi="Arial" w:cs="Arial"/>
          <w:shd w:val="clear" w:color="auto" w:fill="FFFFFF"/>
        </w:rPr>
        <w:t xml:space="preserve">This </w:t>
      </w:r>
      <w:r w:rsidR="00096CB4" w:rsidRPr="00F65537">
        <w:rPr>
          <w:rFonts w:ascii="Arial" w:hAnsi="Arial" w:cs="Arial"/>
          <w:shd w:val="clear" w:color="auto" w:fill="FFFFFF"/>
        </w:rPr>
        <w:t>heavily implies</w:t>
      </w:r>
      <w:r w:rsidRPr="00F65537">
        <w:rPr>
          <w:rFonts w:ascii="Arial" w:hAnsi="Arial" w:cs="Arial"/>
          <w:shd w:val="clear" w:color="auto" w:fill="FFFFFF"/>
        </w:rPr>
        <w:t xml:space="preserve"> that the law does</w:t>
      </w:r>
      <w:r w:rsidR="005B55B8" w:rsidRPr="00F65537">
        <w:rPr>
          <w:rFonts w:ascii="Arial" w:hAnsi="Arial" w:cs="Arial"/>
          <w:shd w:val="clear" w:color="auto" w:fill="FFFFFF"/>
        </w:rPr>
        <w:t xml:space="preserve"> has not and still does</w:t>
      </w:r>
      <w:r w:rsidRPr="00F65537">
        <w:rPr>
          <w:rFonts w:ascii="Arial" w:hAnsi="Arial" w:cs="Arial"/>
          <w:shd w:val="clear" w:color="auto" w:fill="FFFFFF"/>
        </w:rPr>
        <w:t xml:space="preserve"> not reflect mental health issues that have developed within</w:t>
      </w:r>
      <w:r w:rsidR="005B55B8" w:rsidRPr="00F65537">
        <w:rPr>
          <w:rFonts w:ascii="Arial" w:hAnsi="Arial" w:cs="Arial"/>
          <w:shd w:val="clear" w:color="auto" w:fill="FFFFFF"/>
        </w:rPr>
        <w:t xml:space="preserve"> the modern</w:t>
      </w:r>
      <w:r w:rsidRPr="00F65537">
        <w:rPr>
          <w:rFonts w:ascii="Arial" w:hAnsi="Arial" w:cs="Arial"/>
          <w:shd w:val="clear" w:color="auto" w:fill="FFFFFF"/>
        </w:rPr>
        <w:t xml:space="preserve"> society</w:t>
      </w:r>
      <w:r w:rsidR="005B55B8" w:rsidRPr="00F65537">
        <w:rPr>
          <w:rFonts w:ascii="Arial" w:hAnsi="Arial" w:cs="Arial"/>
          <w:shd w:val="clear" w:color="auto" w:fill="FFFFFF"/>
        </w:rPr>
        <w:t>. This blatantly shows that</w:t>
      </w:r>
      <w:r w:rsidRPr="00F65537">
        <w:rPr>
          <w:rFonts w:ascii="Arial" w:hAnsi="Arial" w:cs="Arial"/>
          <w:shd w:val="clear" w:color="auto" w:fill="FFFFFF"/>
        </w:rPr>
        <w:t xml:space="preserve"> the Victorian approach is no longer </w:t>
      </w:r>
      <w:r w:rsidR="005B55B8" w:rsidRPr="00F65537">
        <w:rPr>
          <w:rFonts w:ascii="Arial" w:hAnsi="Arial" w:cs="Arial"/>
          <w:shd w:val="clear" w:color="auto" w:fill="FFFFFF"/>
        </w:rPr>
        <w:t xml:space="preserve">viable. </w:t>
      </w:r>
      <w:r w:rsidRPr="00F65537">
        <w:rPr>
          <w:rFonts w:ascii="Arial" w:hAnsi="Arial" w:cs="Arial"/>
          <w:shd w:val="clear" w:color="auto" w:fill="FFFFFF"/>
        </w:rPr>
        <w:t>Furthermore, this</w:t>
      </w:r>
      <w:r w:rsidR="005B55B8" w:rsidRPr="00F65537">
        <w:rPr>
          <w:rFonts w:ascii="Arial" w:hAnsi="Arial" w:cs="Arial"/>
          <w:shd w:val="clear" w:color="auto" w:fill="FFFFFF"/>
        </w:rPr>
        <w:t xml:space="preserve"> aged legislation</w:t>
      </w:r>
      <w:r w:rsidRPr="00F65537">
        <w:rPr>
          <w:rFonts w:ascii="Arial" w:hAnsi="Arial" w:cs="Arial"/>
          <w:shd w:val="clear" w:color="auto" w:fill="FFFFFF"/>
        </w:rPr>
        <w:t> </w:t>
      </w:r>
      <w:r w:rsidR="005B55B8" w:rsidRPr="00F65537">
        <w:rPr>
          <w:rFonts w:ascii="Arial" w:hAnsi="Arial" w:cs="Arial"/>
          <w:shd w:val="clear" w:color="auto" w:fill="FFFFFF"/>
        </w:rPr>
        <w:t xml:space="preserve">refers to </w:t>
      </w:r>
      <w:r w:rsidRPr="00F65537">
        <w:rPr>
          <w:rFonts w:ascii="Arial" w:hAnsi="Arial" w:cs="Arial"/>
          <w:shd w:val="clear" w:color="auto" w:fill="FFFFFF"/>
        </w:rPr>
        <w:t xml:space="preserve"> language that </w:t>
      </w:r>
      <w:r w:rsidR="007C0A55" w:rsidRPr="00F65537">
        <w:rPr>
          <w:rFonts w:ascii="Arial" w:hAnsi="Arial" w:cs="Arial"/>
          <w:shd w:val="clear" w:color="auto" w:fill="FFFFFF"/>
        </w:rPr>
        <w:t>cannot</w:t>
      </w:r>
      <w:r w:rsidRPr="00F65537">
        <w:rPr>
          <w:rFonts w:ascii="Arial" w:hAnsi="Arial" w:cs="Arial"/>
          <w:shd w:val="clear" w:color="auto" w:fill="FFFFFF"/>
        </w:rPr>
        <w:t xml:space="preserve"> be applicable </w:t>
      </w:r>
      <w:r w:rsidR="007C0A55" w:rsidRPr="00F65537">
        <w:rPr>
          <w:rFonts w:ascii="Arial" w:hAnsi="Arial" w:cs="Arial"/>
          <w:shd w:val="clear" w:color="auto" w:fill="FFFFFF"/>
        </w:rPr>
        <w:t>in a</w:t>
      </w:r>
      <w:r w:rsidRPr="00F65537">
        <w:rPr>
          <w:rFonts w:ascii="Arial" w:hAnsi="Arial" w:cs="Arial"/>
          <w:shd w:val="clear" w:color="auto" w:fill="FFFFFF"/>
        </w:rPr>
        <w:t xml:space="preserve"> modern </w:t>
      </w:r>
      <w:r w:rsidR="007C0A55" w:rsidRPr="00F65537">
        <w:rPr>
          <w:rFonts w:ascii="Arial" w:hAnsi="Arial" w:cs="Arial"/>
          <w:shd w:val="clear" w:color="auto" w:fill="FFFFFF"/>
        </w:rPr>
        <w:t>society</w:t>
      </w:r>
      <w:r w:rsidRPr="00F65537">
        <w:rPr>
          <w:rFonts w:ascii="Arial" w:hAnsi="Arial" w:cs="Arial"/>
          <w:shd w:val="clear" w:color="auto" w:fill="FFFFFF"/>
        </w:rPr>
        <w:t xml:space="preserve">. </w:t>
      </w:r>
      <w:sdt>
        <w:sdtPr>
          <w:rPr>
            <w:rFonts w:ascii="Arial" w:hAnsi="Arial" w:cs="Arial"/>
            <w:shd w:val="clear" w:color="auto" w:fill="FFFFFF"/>
          </w:rPr>
          <w:id w:val="-321040855"/>
          <w:citation/>
        </w:sdtPr>
        <w:sdtContent>
          <w:r w:rsidR="007C0A55" w:rsidRPr="00F65537">
            <w:rPr>
              <w:rFonts w:ascii="Arial" w:hAnsi="Arial" w:cs="Arial"/>
              <w:shd w:val="clear" w:color="auto" w:fill="FFFFFF"/>
            </w:rPr>
            <w:fldChar w:fldCharType="begin"/>
          </w:r>
          <w:r w:rsidR="007C0A55" w:rsidRPr="00F65537">
            <w:rPr>
              <w:rFonts w:ascii="Arial" w:hAnsi="Arial" w:cs="Arial"/>
              <w:shd w:val="clear" w:color="auto" w:fill="FFFFFF"/>
            </w:rPr>
            <w:instrText xml:space="preserve"> CITATION Sag17 \l 2057 </w:instrText>
          </w:r>
          <w:r w:rsidR="007C0A55" w:rsidRPr="00F65537">
            <w:rPr>
              <w:rFonts w:ascii="Arial" w:hAnsi="Arial" w:cs="Arial"/>
              <w:shd w:val="clear" w:color="auto" w:fill="FFFFFF"/>
            </w:rPr>
            <w:fldChar w:fldCharType="separate"/>
          </w:r>
          <w:r w:rsidR="007C0A55" w:rsidRPr="00F65537">
            <w:rPr>
              <w:rFonts w:ascii="Arial" w:hAnsi="Arial" w:cs="Arial"/>
              <w:noProof/>
              <w:shd w:val="clear" w:color="auto" w:fill="FFFFFF"/>
            </w:rPr>
            <w:t>(Sage Journals, 2017)</w:t>
          </w:r>
          <w:r w:rsidR="007C0A55" w:rsidRPr="00F65537">
            <w:rPr>
              <w:rFonts w:ascii="Arial" w:hAnsi="Arial" w:cs="Arial"/>
              <w:shd w:val="clear" w:color="auto" w:fill="FFFFFF"/>
            </w:rPr>
            <w:fldChar w:fldCharType="end"/>
          </w:r>
        </w:sdtContent>
      </w:sdt>
      <w:r w:rsidR="00F65537" w:rsidRPr="00F65537">
        <w:rPr>
          <w:rFonts w:ascii="Arial" w:hAnsi="Arial" w:cs="Arial"/>
          <w:shd w:val="clear" w:color="auto" w:fill="FFFFFF"/>
        </w:rPr>
        <w:t xml:space="preserve"> On top of this, from an assault perspective, </w:t>
      </w:r>
      <w:r w:rsidR="00F65537" w:rsidRPr="00F65537">
        <w:rPr>
          <w:rFonts w:ascii="Arial" w:hAnsi="Arial" w:cs="Arial"/>
        </w:rPr>
        <w:t xml:space="preserve">The definition of the offences of assault and battery are </w:t>
      </w:r>
      <w:r w:rsidR="00F65537" w:rsidRPr="00F65537">
        <w:rPr>
          <w:rFonts w:ascii="Arial" w:hAnsi="Arial" w:cs="Arial"/>
        </w:rPr>
        <w:t>considerably vital</w:t>
      </w:r>
      <w:r w:rsidR="00F65537" w:rsidRPr="00F65537">
        <w:rPr>
          <w:rFonts w:ascii="Arial" w:hAnsi="Arial" w:cs="Arial"/>
        </w:rPr>
        <w:t xml:space="preserve"> as</w:t>
      </w:r>
      <w:r w:rsidR="00F65537" w:rsidRPr="00F65537">
        <w:rPr>
          <w:rFonts w:ascii="Arial" w:hAnsi="Arial" w:cs="Arial"/>
        </w:rPr>
        <w:t xml:space="preserve"> they are</w:t>
      </w:r>
      <w:r w:rsidR="00F65537" w:rsidRPr="00F65537">
        <w:rPr>
          <w:rFonts w:ascii="Arial" w:hAnsi="Arial" w:cs="Arial"/>
        </w:rPr>
        <w:t xml:space="preserve"> used as elements of other offences.</w:t>
      </w:r>
      <w:r w:rsidR="00F65537" w:rsidRPr="00F65537">
        <w:rPr>
          <w:rFonts w:ascii="Arial" w:hAnsi="Arial" w:cs="Arial"/>
        </w:rPr>
        <w:t xml:space="preserve"> With this noted, the term ‘</w:t>
      </w:r>
      <w:r w:rsidR="00F65537" w:rsidRPr="00F65537">
        <w:rPr>
          <w:rFonts w:ascii="Arial" w:hAnsi="Arial" w:cs="Arial"/>
        </w:rPr>
        <w:t>assault</w:t>
      </w:r>
      <w:r w:rsidR="00F65537" w:rsidRPr="00F65537">
        <w:rPr>
          <w:rFonts w:ascii="Arial" w:hAnsi="Arial" w:cs="Arial"/>
        </w:rPr>
        <w:t>’</w:t>
      </w:r>
      <w:r w:rsidR="00F65537" w:rsidRPr="00F65537">
        <w:rPr>
          <w:rFonts w:ascii="Arial" w:hAnsi="Arial" w:cs="Arial"/>
        </w:rPr>
        <w:t> has been used in different ways in different statutes, even within the same statute</w:t>
      </w:r>
      <w:r w:rsidR="00F65537">
        <w:rPr>
          <w:rFonts w:ascii="Arial" w:hAnsi="Arial" w:cs="Arial"/>
        </w:rPr>
        <w:t>, which causes unwanted but</w:t>
      </w:r>
      <w:r w:rsidR="00F65537">
        <w:rPr>
          <w:rFonts w:ascii="Arial" w:hAnsi="Arial" w:cs="Arial"/>
          <w:shd w:val="clear" w:color="auto" w:fill="FFFFFF"/>
        </w:rPr>
        <w:t xml:space="preserve"> blatant inconsistency.</w:t>
      </w:r>
      <w:sdt>
        <w:sdtPr>
          <w:rPr>
            <w:rFonts w:ascii="Arial" w:hAnsi="Arial" w:cs="Arial"/>
            <w:shd w:val="clear" w:color="auto" w:fill="FFFFFF"/>
          </w:rPr>
          <w:id w:val="928080453"/>
          <w:citation/>
        </w:sdtPr>
        <w:sdtContent>
          <w:r w:rsidR="00F65537">
            <w:rPr>
              <w:rFonts w:ascii="Arial" w:hAnsi="Arial" w:cs="Arial"/>
              <w:shd w:val="clear" w:color="auto" w:fill="FFFFFF"/>
            </w:rPr>
            <w:fldChar w:fldCharType="begin"/>
          </w:r>
          <w:r w:rsidR="00F65537">
            <w:rPr>
              <w:rFonts w:ascii="Arial" w:hAnsi="Arial" w:cs="Arial"/>
              <w:shd w:val="clear" w:color="auto" w:fill="FFFFFF"/>
            </w:rPr>
            <w:instrText xml:space="preserve"> CITATION Bit11 \l 2057 </w:instrText>
          </w:r>
          <w:r w:rsidR="00F65537">
            <w:rPr>
              <w:rFonts w:ascii="Arial" w:hAnsi="Arial" w:cs="Arial"/>
              <w:shd w:val="clear" w:color="auto" w:fill="FFFFFF"/>
            </w:rPr>
            <w:fldChar w:fldCharType="separate"/>
          </w:r>
          <w:r w:rsidR="00F65537">
            <w:rPr>
              <w:rFonts w:ascii="Arial" w:hAnsi="Arial" w:cs="Arial"/>
              <w:noProof/>
              <w:shd w:val="clear" w:color="auto" w:fill="FFFFFF"/>
            </w:rPr>
            <w:t xml:space="preserve"> </w:t>
          </w:r>
          <w:r w:rsidR="00F65537" w:rsidRPr="00F65537">
            <w:rPr>
              <w:rFonts w:ascii="Arial" w:hAnsi="Arial" w:cs="Arial"/>
              <w:noProof/>
              <w:shd w:val="clear" w:color="auto" w:fill="FFFFFF"/>
            </w:rPr>
            <w:t>(Bits of Law, 2011)</w:t>
          </w:r>
          <w:r w:rsidR="00F65537">
            <w:rPr>
              <w:rFonts w:ascii="Arial" w:hAnsi="Arial" w:cs="Arial"/>
              <w:shd w:val="clear" w:color="auto" w:fill="FFFFFF"/>
            </w:rPr>
            <w:fldChar w:fldCharType="end"/>
          </w:r>
        </w:sdtContent>
      </w:sdt>
    </w:p>
    <w:p w14:paraId="1C0BA3F3" w14:textId="6F1D8CBE" w:rsidR="00751FCD" w:rsidRPr="00751FCD" w:rsidRDefault="00751FCD" w:rsidP="00093F42">
      <w:pPr>
        <w:rPr>
          <w:rFonts w:ascii="Arial" w:hAnsi="Arial" w:cs="Arial"/>
          <w:sz w:val="24"/>
          <w:szCs w:val="24"/>
          <w:shd w:val="clear" w:color="auto" w:fill="FFFFFF"/>
        </w:rPr>
      </w:pPr>
    </w:p>
    <w:p w14:paraId="569C6FD5" w14:textId="77777777" w:rsidR="00557A04" w:rsidRDefault="00251F6E" w:rsidP="005002E0">
      <w:pPr>
        <w:rPr>
          <w:rFonts w:ascii="Arial" w:hAnsi="Arial" w:cs="Arial"/>
          <w:sz w:val="24"/>
          <w:szCs w:val="24"/>
          <w:shd w:val="clear" w:color="auto" w:fill="F2F2F2"/>
        </w:rPr>
      </w:pPr>
      <w:r w:rsidRPr="00251F6E">
        <w:rPr>
          <w:rFonts w:ascii="Arial" w:hAnsi="Arial" w:cs="Arial"/>
          <w:sz w:val="24"/>
          <w:szCs w:val="24"/>
        </w:rPr>
        <w:t xml:space="preserve">The biggest issue presented from the Offences against the People Act 1861 in a modern setting is that it </w:t>
      </w:r>
      <w:r w:rsidRPr="00251F6E">
        <w:rPr>
          <w:rFonts w:ascii="Arial" w:hAnsi="Arial" w:cs="Arial"/>
          <w:sz w:val="24"/>
          <w:szCs w:val="24"/>
          <w:shd w:val="clear" w:color="auto" w:fill="F2F2F2"/>
        </w:rPr>
        <w:t>was meant as a consolidation device and it no longer performs that function</w:t>
      </w:r>
      <w:r w:rsidRPr="00C4501A">
        <w:rPr>
          <w:rFonts w:ascii="Arial" w:hAnsi="Arial" w:cs="Arial"/>
          <w:sz w:val="24"/>
          <w:szCs w:val="24"/>
          <w:shd w:val="clear" w:color="auto" w:fill="F2F2F2"/>
        </w:rPr>
        <w:t>.</w:t>
      </w:r>
      <w:r w:rsidRPr="00C4501A">
        <w:rPr>
          <w:rFonts w:ascii="Arial" w:hAnsi="Arial" w:cs="Arial"/>
          <w:sz w:val="24"/>
          <w:szCs w:val="24"/>
        </w:rPr>
        <w:t xml:space="preserve"> </w:t>
      </w:r>
      <w:r w:rsidRPr="00C4501A">
        <w:rPr>
          <w:rFonts w:ascii="Arial" w:hAnsi="Arial" w:cs="Arial"/>
          <w:sz w:val="24"/>
          <w:szCs w:val="24"/>
          <w:shd w:val="clear" w:color="auto" w:fill="F2F2F2"/>
        </w:rPr>
        <w:t>Even when excluding the major prospect</w:t>
      </w:r>
      <w:r w:rsidRPr="00C4501A">
        <w:rPr>
          <w:rFonts w:ascii="Arial" w:hAnsi="Arial" w:cs="Arial"/>
          <w:sz w:val="24"/>
          <w:szCs w:val="24"/>
          <w:shd w:val="clear" w:color="auto" w:fill="F2F2F2"/>
        </w:rPr>
        <w:t xml:space="preserve"> </w:t>
      </w:r>
      <w:r w:rsidRPr="00C4501A">
        <w:rPr>
          <w:rFonts w:ascii="Arial" w:hAnsi="Arial" w:cs="Arial"/>
          <w:sz w:val="24"/>
          <w:szCs w:val="24"/>
          <w:shd w:val="clear" w:color="auto" w:fill="F2F2F2"/>
        </w:rPr>
        <w:t xml:space="preserve">that </w:t>
      </w:r>
      <w:r w:rsidRPr="00C4501A">
        <w:rPr>
          <w:rFonts w:ascii="Arial" w:hAnsi="Arial" w:cs="Arial"/>
          <w:sz w:val="24"/>
          <w:szCs w:val="24"/>
          <w:shd w:val="clear" w:color="auto" w:fill="F2F2F2"/>
        </w:rPr>
        <w:t>the legislation is </w:t>
      </w:r>
      <w:r w:rsidRPr="00557A04">
        <w:rPr>
          <w:rFonts w:ascii="Arial" w:hAnsi="Arial" w:cs="Arial"/>
          <w:sz w:val="24"/>
          <w:szCs w:val="24"/>
          <w:shd w:val="clear" w:color="auto" w:fill="F2F2F2"/>
        </w:rPr>
        <w:t>old,</w:t>
      </w:r>
      <w:r w:rsidRPr="00C4501A">
        <w:rPr>
          <w:rFonts w:ascii="Arial" w:hAnsi="Arial" w:cs="Arial"/>
          <w:i/>
          <w:iCs/>
          <w:sz w:val="24"/>
          <w:szCs w:val="24"/>
          <w:shd w:val="clear" w:color="auto" w:fill="F2F2F2"/>
        </w:rPr>
        <w:t> </w:t>
      </w:r>
      <w:r w:rsidRPr="00C4501A">
        <w:rPr>
          <w:rFonts w:ascii="Arial" w:hAnsi="Arial" w:cs="Arial"/>
          <w:sz w:val="24"/>
          <w:szCs w:val="24"/>
          <w:shd w:val="clear" w:color="auto" w:fill="F2F2F2"/>
        </w:rPr>
        <w:t xml:space="preserve">and it </w:t>
      </w:r>
      <w:r w:rsidR="00C4501A" w:rsidRPr="00C4501A">
        <w:rPr>
          <w:rFonts w:ascii="Arial" w:hAnsi="Arial" w:cs="Arial"/>
          <w:sz w:val="24"/>
          <w:szCs w:val="24"/>
          <w:shd w:val="clear" w:color="auto" w:fill="F2F2F2"/>
        </w:rPr>
        <w:t>does not</w:t>
      </w:r>
      <w:r w:rsidRPr="00C4501A">
        <w:rPr>
          <w:rFonts w:ascii="Arial" w:hAnsi="Arial" w:cs="Arial"/>
          <w:sz w:val="24"/>
          <w:szCs w:val="24"/>
          <w:shd w:val="clear" w:color="auto" w:fill="F2F2F2"/>
        </w:rPr>
        <w:t xml:space="preserve"> fully reflect the principles of the criminal law which we consider significant today. </w:t>
      </w:r>
      <w:r w:rsidRPr="00C4501A">
        <w:rPr>
          <w:rFonts w:ascii="Arial" w:hAnsi="Arial" w:cs="Arial"/>
          <w:sz w:val="24"/>
          <w:szCs w:val="24"/>
          <w:shd w:val="clear" w:color="auto" w:fill="F2F2F2"/>
        </w:rPr>
        <w:t xml:space="preserve">How can one feel safely covered </w:t>
      </w:r>
      <w:r w:rsidRPr="00C4501A">
        <w:rPr>
          <w:rFonts w:ascii="Arial" w:hAnsi="Arial" w:cs="Arial"/>
          <w:sz w:val="24"/>
          <w:szCs w:val="24"/>
          <w:shd w:val="clear" w:color="auto" w:fill="F2F2F2"/>
        </w:rPr>
        <w:t xml:space="preserve"> </w:t>
      </w:r>
      <w:r w:rsidRPr="00C4501A">
        <w:rPr>
          <w:rFonts w:ascii="Arial" w:hAnsi="Arial" w:cs="Arial"/>
          <w:sz w:val="24"/>
          <w:szCs w:val="24"/>
          <w:shd w:val="clear" w:color="auto" w:fill="F2F2F2"/>
        </w:rPr>
        <w:t>if you would find yourself asking for where</w:t>
      </w:r>
      <w:r w:rsidRPr="00C4501A">
        <w:rPr>
          <w:rFonts w:ascii="Arial" w:hAnsi="Arial" w:cs="Arial"/>
          <w:sz w:val="24"/>
          <w:szCs w:val="24"/>
          <w:shd w:val="clear" w:color="auto" w:fill="F2F2F2"/>
        </w:rPr>
        <w:t xml:space="preserve"> would one expect to find a </w:t>
      </w:r>
      <w:r w:rsidRPr="00C4501A">
        <w:rPr>
          <w:rFonts w:ascii="Arial" w:hAnsi="Arial" w:cs="Arial"/>
          <w:sz w:val="24"/>
          <w:szCs w:val="24"/>
          <w:shd w:val="clear" w:color="auto" w:fill="F2F2F2"/>
        </w:rPr>
        <w:t>“</w:t>
      </w:r>
      <w:r w:rsidRPr="00C4501A">
        <w:rPr>
          <w:rFonts w:ascii="Arial" w:hAnsi="Arial" w:cs="Arial"/>
          <w:sz w:val="24"/>
          <w:szCs w:val="24"/>
          <w:shd w:val="clear" w:color="auto" w:fill="F2F2F2"/>
        </w:rPr>
        <w:t>statute of offences against the person which doesn’t include murder</w:t>
      </w:r>
      <w:r w:rsidRPr="00C4501A">
        <w:rPr>
          <w:rFonts w:ascii="Arial" w:hAnsi="Arial" w:cs="Arial"/>
          <w:sz w:val="24"/>
          <w:szCs w:val="24"/>
          <w:shd w:val="clear" w:color="auto" w:fill="F2F2F2"/>
        </w:rPr>
        <w:t>”</w:t>
      </w:r>
      <w:r w:rsidRPr="00C4501A">
        <w:rPr>
          <w:rFonts w:ascii="Arial" w:hAnsi="Arial" w:cs="Arial"/>
          <w:sz w:val="24"/>
          <w:szCs w:val="24"/>
          <w:shd w:val="clear" w:color="auto" w:fill="F2F2F2"/>
        </w:rPr>
        <w:t xml:space="preserve"> </w:t>
      </w:r>
      <w:r w:rsidRPr="00C4501A">
        <w:rPr>
          <w:rFonts w:ascii="Arial" w:hAnsi="Arial" w:cs="Arial"/>
          <w:sz w:val="24"/>
          <w:szCs w:val="24"/>
          <w:shd w:val="clear" w:color="auto" w:fill="F2F2F2"/>
        </w:rPr>
        <w:t>however there are at least three sections alo</w:t>
      </w:r>
      <w:r w:rsidR="00C4501A" w:rsidRPr="00C4501A">
        <w:rPr>
          <w:rFonts w:ascii="Arial" w:hAnsi="Arial" w:cs="Arial"/>
          <w:sz w:val="24"/>
          <w:szCs w:val="24"/>
          <w:shd w:val="clear" w:color="auto" w:fill="F2F2F2"/>
        </w:rPr>
        <w:t>n</w:t>
      </w:r>
      <w:r w:rsidRPr="00C4501A">
        <w:rPr>
          <w:rFonts w:ascii="Arial" w:hAnsi="Arial" w:cs="Arial"/>
          <w:sz w:val="24"/>
          <w:szCs w:val="24"/>
          <w:shd w:val="clear" w:color="auto" w:fill="F2F2F2"/>
        </w:rPr>
        <w:t>e for the use of gunpowder</w:t>
      </w:r>
      <w:r w:rsidR="00C4501A" w:rsidRPr="00C4501A">
        <w:rPr>
          <w:rFonts w:ascii="Arial" w:hAnsi="Arial" w:cs="Arial"/>
          <w:sz w:val="24"/>
          <w:szCs w:val="24"/>
          <w:shd w:val="clear" w:color="auto" w:fill="F2F2F2"/>
        </w:rPr>
        <w:t>, a substance used almost exclusively for quarry work nowadays</w:t>
      </w:r>
      <w:r w:rsidR="006023B1">
        <w:rPr>
          <w:rFonts w:ascii="Arial" w:hAnsi="Arial" w:cs="Arial"/>
          <w:sz w:val="24"/>
          <w:szCs w:val="24"/>
          <w:shd w:val="clear" w:color="auto" w:fill="F2F2F2"/>
        </w:rPr>
        <w:t>.</w:t>
      </w:r>
      <w:r w:rsidR="004C76C1">
        <w:rPr>
          <w:rFonts w:ascii="Arial" w:hAnsi="Arial" w:cs="Arial"/>
          <w:sz w:val="24"/>
          <w:szCs w:val="24"/>
          <w:shd w:val="clear" w:color="auto" w:fill="F2F2F2"/>
        </w:rPr>
        <w:t xml:space="preserve"> </w:t>
      </w:r>
      <w:sdt>
        <w:sdtPr>
          <w:rPr>
            <w:rFonts w:ascii="Arial" w:hAnsi="Arial" w:cs="Arial"/>
            <w:sz w:val="24"/>
            <w:szCs w:val="24"/>
            <w:shd w:val="clear" w:color="auto" w:fill="F2F2F2"/>
          </w:rPr>
          <w:id w:val="430625409"/>
          <w:citation/>
        </w:sdtPr>
        <w:sdtContent>
          <w:r w:rsidR="004C76C1">
            <w:rPr>
              <w:rFonts w:ascii="Arial" w:hAnsi="Arial" w:cs="Arial"/>
              <w:sz w:val="24"/>
              <w:szCs w:val="24"/>
              <w:shd w:val="clear" w:color="auto" w:fill="F2F2F2"/>
            </w:rPr>
            <w:fldChar w:fldCharType="begin"/>
          </w:r>
          <w:r w:rsidR="004C76C1">
            <w:rPr>
              <w:rFonts w:ascii="Arial" w:hAnsi="Arial" w:cs="Arial"/>
              <w:sz w:val="24"/>
              <w:szCs w:val="24"/>
              <w:shd w:val="clear" w:color="auto" w:fill="F2F2F2"/>
            </w:rPr>
            <w:instrText xml:space="preserve"> CITATION Law201 \l 2057 </w:instrText>
          </w:r>
          <w:r w:rsidR="004C76C1">
            <w:rPr>
              <w:rFonts w:ascii="Arial" w:hAnsi="Arial" w:cs="Arial"/>
              <w:sz w:val="24"/>
              <w:szCs w:val="24"/>
              <w:shd w:val="clear" w:color="auto" w:fill="F2F2F2"/>
            </w:rPr>
            <w:fldChar w:fldCharType="separate"/>
          </w:r>
          <w:r w:rsidR="004C76C1" w:rsidRPr="004C76C1">
            <w:rPr>
              <w:rFonts w:ascii="Arial" w:hAnsi="Arial" w:cs="Arial"/>
              <w:noProof/>
              <w:sz w:val="24"/>
              <w:szCs w:val="24"/>
              <w:shd w:val="clear" w:color="auto" w:fill="F2F2F2"/>
            </w:rPr>
            <w:t>(Law Teacher, 2020)</w:t>
          </w:r>
          <w:r w:rsidR="004C76C1">
            <w:rPr>
              <w:rFonts w:ascii="Arial" w:hAnsi="Arial" w:cs="Arial"/>
              <w:sz w:val="24"/>
              <w:szCs w:val="24"/>
              <w:shd w:val="clear" w:color="auto" w:fill="F2F2F2"/>
            </w:rPr>
            <w:fldChar w:fldCharType="end"/>
          </w:r>
        </w:sdtContent>
      </w:sdt>
      <w:r w:rsidR="006023B1">
        <w:rPr>
          <w:rFonts w:ascii="Arial" w:hAnsi="Arial" w:cs="Arial"/>
          <w:sz w:val="24"/>
          <w:szCs w:val="24"/>
          <w:shd w:val="clear" w:color="auto" w:fill="F2F2F2"/>
        </w:rPr>
        <w:t xml:space="preserve"> </w:t>
      </w:r>
    </w:p>
    <w:p w14:paraId="3084BDBD" w14:textId="5AFE09B7" w:rsidR="00251F6E" w:rsidRPr="00C4501A" w:rsidRDefault="006023B1" w:rsidP="005002E0">
      <w:pPr>
        <w:rPr>
          <w:rFonts w:ascii="Arial" w:hAnsi="Arial" w:cs="Arial"/>
          <w:sz w:val="24"/>
          <w:szCs w:val="24"/>
        </w:rPr>
      </w:pPr>
      <w:r>
        <w:rPr>
          <w:rFonts w:ascii="Arial" w:hAnsi="Arial" w:cs="Arial"/>
          <w:sz w:val="24"/>
          <w:szCs w:val="24"/>
          <w:shd w:val="clear" w:color="auto" w:fill="F2F2F2"/>
        </w:rPr>
        <w:t xml:space="preserve">This clearly demonstrates that the law is in urgent need for reform as to clarify what is still in regard of relevance and what can be safely discarded from use. This will quite easily drastically improve the wellbeing of the </w:t>
      </w:r>
      <w:r w:rsidR="001768E9">
        <w:rPr>
          <w:rFonts w:ascii="Arial" w:hAnsi="Arial" w:cs="Arial"/>
          <w:sz w:val="24"/>
          <w:szCs w:val="24"/>
          <w:shd w:val="clear" w:color="auto" w:fill="F2F2F2"/>
        </w:rPr>
        <w:t>law and improve the function for the relevant practitioners who are already having issues with other outdated laws and Acts. The issue with archaic language is that it leaves potentially vital questions that need answers up to the interpretation</w:t>
      </w:r>
      <w:r w:rsidR="00557A04">
        <w:rPr>
          <w:rFonts w:ascii="Arial" w:hAnsi="Arial" w:cs="Arial"/>
          <w:sz w:val="24"/>
          <w:szCs w:val="24"/>
          <w:shd w:val="clear" w:color="auto" w:fill="F2F2F2"/>
        </w:rPr>
        <w:t xml:space="preserve"> and therefore decision of those in question</w:t>
      </w:r>
      <w:r w:rsidR="00D349CB">
        <w:rPr>
          <w:rFonts w:ascii="Arial" w:hAnsi="Arial" w:cs="Arial"/>
          <w:sz w:val="24"/>
          <w:szCs w:val="24"/>
          <w:shd w:val="clear" w:color="auto" w:fill="F2F2F2"/>
        </w:rPr>
        <w:t>. This will then lead to different precedents set in different regions which also causes concern as the longer that this problem goes on, the harder it is for the legal process to decide on a definitive and staple role.</w:t>
      </w:r>
    </w:p>
    <w:p w14:paraId="51181659" w14:textId="3CB6C0D5" w:rsidR="00751FCD" w:rsidRPr="00751FCD" w:rsidRDefault="00751FCD" w:rsidP="00751FCD">
      <w:pPr>
        <w:rPr>
          <w:rFonts w:ascii="Arial" w:hAnsi="Arial" w:cs="Arial"/>
          <w:b/>
          <w:bCs/>
          <w:sz w:val="24"/>
          <w:szCs w:val="24"/>
        </w:rPr>
      </w:pPr>
    </w:p>
    <w:p w14:paraId="2270B508" w14:textId="2AAC4370" w:rsidR="00751FCD" w:rsidRPr="006B103C" w:rsidRDefault="00751FCD" w:rsidP="00751FCD">
      <w:pPr>
        <w:pStyle w:val="NormalWeb"/>
        <w:shd w:val="clear" w:color="auto" w:fill="FFFFFF"/>
        <w:spacing w:before="0" w:beforeAutospacing="0"/>
        <w:rPr>
          <w:rFonts w:ascii="Arial" w:hAnsi="Arial" w:cs="Arial"/>
        </w:rPr>
      </w:pPr>
      <w:r w:rsidRPr="00751FCD">
        <w:rPr>
          <w:rFonts w:ascii="Arial" w:hAnsi="Arial" w:cs="Arial"/>
        </w:rPr>
        <w:t xml:space="preserve">Finally, </w:t>
      </w:r>
      <w:r w:rsidRPr="00751FCD">
        <w:rPr>
          <w:rFonts w:ascii="Arial" w:hAnsi="Arial" w:cs="Arial"/>
        </w:rPr>
        <w:t xml:space="preserve"> this act </w:t>
      </w:r>
      <w:r w:rsidRPr="00751FCD">
        <w:rPr>
          <w:rFonts w:ascii="Arial" w:hAnsi="Arial" w:cs="Arial"/>
        </w:rPr>
        <w:t>suffers from being unnecessarily unclear</w:t>
      </w:r>
      <w:r w:rsidRPr="00751FCD">
        <w:rPr>
          <w:rFonts w:ascii="Arial" w:hAnsi="Arial" w:cs="Arial"/>
        </w:rPr>
        <w:t xml:space="preserve"> due to its </w:t>
      </w:r>
      <w:r w:rsidRPr="00751FCD">
        <w:rPr>
          <w:rFonts w:ascii="Arial" w:hAnsi="Arial" w:cs="Arial"/>
        </w:rPr>
        <w:t>cluttered</w:t>
      </w:r>
      <w:r w:rsidRPr="00751FCD">
        <w:rPr>
          <w:rFonts w:ascii="Arial" w:hAnsi="Arial" w:cs="Arial"/>
        </w:rPr>
        <w:t xml:space="preserve"> structure. </w:t>
      </w:r>
      <w:r w:rsidRPr="00751FCD">
        <w:rPr>
          <w:rFonts w:ascii="Arial" w:hAnsi="Arial" w:cs="Arial"/>
        </w:rPr>
        <w:t>For context</w:t>
      </w:r>
      <w:r w:rsidRPr="00751FCD">
        <w:rPr>
          <w:rFonts w:ascii="Arial" w:hAnsi="Arial" w:cs="Arial"/>
        </w:rPr>
        <w:t xml:space="preserve">, </w:t>
      </w:r>
      <w:r w:rsidRPr="00751FCD">
        <w:rPr>
          <w:rFonts w:ascii="Arial" w:hAnsi="Arial" w:cs="Arial"/>
        </w:rPr>
        <w:t xml:space="preserve">there is not one single statutory definition when looking at </w:t>
      </w:r>
      <w:r w:rsidRPr="00751FCD">
        <w:rPr>
          <w:rFonts w:ascii="Arial" w:hAnsi="Arial" w:cs="Arial"/>
        </w:rPr>
        <w:t xml:space="preserve">assault or battery </w:t>
      </w:r>
      <w:r w:rsidRPr="00751FCD">
        <w:rPr>
          <w:rFonts w:ascii="Arial" w:hAnsi="Arial" w:cs="Arial"/>
        </w:rPr>
        <w:t xml:space="preserve">and </w:t>
      </w:r>
      <w:r w:rsidRPr="00751FCD">
        <w:rPr>
          <w:rFonts w:ascii="Arial" w:hAnsi="Arial" w:cs="Arial"/>
        </w:rPr>
        <w:t xml:space="preserve">so there is a lack of </w:t>
      </w:r>
      <w:r w:rsidRPr="00751FCD">
        <w:rPr>
          <w:rFonts w:ascii="Arial" w:hAnsi="Arial" w:cs="Arial"/>
        </w:rPr>
        <w:t>‘</w:t>
      </w:r>
      <w:r w:rsidRPr="00751FCD">
        <w:rPr>
          <w:rFonts w:ascii="Arial" w:hAnsi="Arial" w:cs="Arial"/>
        </w:rPr>
        <w:t>codification.</w:t>
      </w:r>
      <w:r w:rsidRPr="00751FCD">
        <w:rPr>
          <w:rFonts w:ascii="Arial" w:hAnsi="Arial" w:cs="Arial"/>
        </w:rPr>
        <w:t>’</w:t>
      </w:r>
      <w:r w:rsidRPr="00751FCD">
        <w:rPr>
          <w:rFonts w:ascii="Arial" w:hAnsi="Arial" w:cs="Arial"/>
        </w:rPr>
        <w:t xml:space="preserve"> </w:t>
      </w:r>
      <w:r w:rsidR="004742F6">
        <w:rPr>
          <w:rFonts w:ascii="Arial" w:hAnsi="Arial" w:cs="Arial"/>
        </w:rPr>
        <w:t xml:space="preserve">A standout law case for this issue can </w:t>
      </w:r>
      <w:r w:rsidR="004742F6" w:rsidRPr="006B103C">
        <w:rPr>
          <w:rFonts w:ascii="Arial" w:hAnsi="Arial" w:cs="Arial"/>
        </w:rPr>
        <w:t xml:space="preserve">be R v Lynsey 1995. In this case, a gentleman named </w:t>
      </w:r>
      <w:r w:rsidR="004742F6" w:rsidRPr="006B103C">
        <w:rPr>
          <w:rFonts w:ascii="Arial" w:hAnsi="Arial" w:cs="Arial"/>
          <w:shd w:val="clear" w:color="auto" w:fill="F7F3ED"/>
        </w:rPr>
        <w:t>Charles Saatchi</w:t>
      </w:r>
      <w:r w:rsidR="004742F6" w:rsidRPr="006B103C">
        <w:rPr>
          <w:rFonts w:ascii="Arial" w:hAnsi="Arial" w:cs="Arial"/>
          <w:shd w:val="clear" w:color="auto" w:fill="F7F3ED"/>
        </w:rPr>
        <w:t xml:space="preserve"> was depicted with his </w:t>
      </w:r>
      <w:r w:rsidR="004742F6" w:rsidRPr="006B103C">
        <w:rPr>
          <w:rFonts w:ascii="Arial" w:hAnsi="Arial" w:cs="Arial"/>
          <w:shd w:val="clear" w:color="auto" w:fill="F7F3ED"/>
        </w:rPr>
        <w:t xml:space="preserve">hand around his wife Nigella Lawson’s neck. </w:t>
      </w:r>
      <w:r w:rsidR="004742F6" w:rsidRPr="006B103C">
        <w:rPr>
          <w:rFonts w:ascii="Arial" w:hAnsi="Arial" w:cs="Arial"/>
          <w:shd w:val="clear" w:color="auto" w:fill="F7F3ED"/>
        </w:rPr>
        <w:t>With this, h</w:t>
      </w:r>
      <w:r w:rsidR="004742F6" w:rsidRPr="006B103C">
        <w:rPr>
          <w:rFonts w:ascii="Arial" w:hAnsi="Arial" w:cs="Arial"/>
          <w:shd w:val="clear" w:color="auto" w:fill="F7F3ED"/>
        </w:rPr>
        <w:t>e ha</w:t>
      </w:r>
      <w:r w:rsidR="004742F6" w:rsidRPr="006B103C">
        <w:rPr>
          <w:rFonts w:ascii="Arial" w:hAnsi="Arial" w:cs="Arial"/>
          <w:shd w:val="clear" w:color="auto" w:fill="F7F3ED"/>
        </w:rPr>
        <w:t>d</w:t>
      </w:r>
      <w:r w:rsidR="004742F6" w:rsidRPr="006B103C">
        <w:rPr>
          <w:rFonts w:ascii="Arial" w:hAnsi="Arial" w:cs="Arial"/>
          <w:shd w:val="clear" w:color="auto" w:fill="F7F3ED"/>
        </w:rPr>
        <w:t xml:space="preserve"> accepted a caution for common assault, but </w:t>
      </w:r>
      <w:r w:rsidR="004742F6" w:rsidRPr="006B103C">
        <w:rPr>
          <w:rFonts w:ascii="Arial" w:hAnsi="Arial" w:cs="Arial"/>
          <w:shd w:val="clear" w:color="auto" w:fill="F7F3ED"/>
        </w:rPr>
        <w:t xml:space="preserve">it </w:t>
      </w:r>
      <w:r w:rsidR="004742F6" w:rsidRPr="006B103C">
        <w:rPr>
          <w:rFonts w:ascii="Arial" w:hAnsi="Arial" w:cs="Arial"/>
          <w:shd w:val="clear" w:color="auto" w:fill="F7F3ED"/>
        </w:rPr>
        <w:t>w</w:t>
      </w:r>
      <w:r w:rsidR="004742F6" w:rsidRPr="006B103C">
        <w:rPr>
          <w:rFonts w:ascii="Arial" w:hAnsi="Arial" w:cs="Arial"/>
          <w:shd w:val="clear" w:color="auto" w:fill="F7F3ED"/>
        </w:rPr>
        <w:t>as</w:t>
      </w:r>
      <w:r w:rsidR="004742F6" w:rsidRPr="006B103C">
        <w:rPr>
          <w:rFonts w:ascii="Arial" w:hAnsi="Arial" w:cs="Arial"/>
          <w:shd w:val="clear" w:color="auto" w:fill="F7F3ED"/>
        </w:rPr>
        <w:t xml:space="preserve"> exactly </w:t>
      </w:r>
      <w:r w:rsidR="004742F6" w:rsidRPr="006B103C">
        <w:rPr>
          <w:rFonts w:ascii="Arial" w:hAnsi="Arial" w:cs="Arial"/>
          <w:shd w:val="clear" w:color="auto" w:fill="F7F3ED"/>
        </w:rPr>
        <w:t>uncertain for what</w:t>
      </w:r>
      <w:r w:rsidR="004742F6" w:rsidRPr="006B103C">
        <w:rPr>
          <w:rFonts w:ascii="Arial" w:hAnsi="Arial" w:cs="Arial"/>
          <w:shd w:val="clear" w:color="auto" w:fill="F7F3ED"/>
        </w:rPr>
        <w:t xml:space="preserve"> Saatchi </w:t>
      </w:r>
      <w:r w:rsidR="004742F6" w:rsidRPr="006B103C">
        <w:rPr>
          <w:rFonts w:ascii="Arial" w:hAnsi="Arial" w:cs="Arial"/>
          <w:shd w:val="clear" w:color="auto" w:fill="F7F3ED"/>
        </w:rPr>
        <w:t xml:space="preserve">had </w:t>
      </w:r>
      <w:r w:rsidR="004742F6" w:rsidRPr="006B103C">
        <w:rPr>
          <w:rFonts w:ascii="Arial" w:hAnsi="Arial" w:cs="Arial"/>
          <w:shd w:val="clear" w:color="auto" w:fill="F7F3ED"/>
        </w:rPr>
        <w:t>actually admitted to</w:t>
      </w:r>
      <w:r w:rsidR="004742F6" w:rsidRPr="006B103C">
        <w:rPr>
          <w:rFonts w:ascii="Arial" w:hAnsi="Arial" w:cs="Arial"/>
          <w:shd w:val="clear" w:color="auto" w:fill="F7F3ED"/>
        </w:rPr>
        <w:t xml:space="preserve">. In this </w:t>
      </w:r>
      <w:r w:rsidR="006B103C" w:rsidRPr="006B103C">
        <w:rPr>
          <w:rFonts w:ascii="Arial" w:hAnsi="Arial" w:cs="Arial"/>
          <w:shd w:val="clear" w:color="auto" w:fill="F7F3ED"/>
        </w:rPr>
        <w:t>case, The</w:t>
      </w:r>
      <w:r w:rsidR="004742F6" w:rsidRPr="006B103C">
        <w:rPr>
          <w:rFonts w:ascii="Arial" w:hAnsi="Arial" w:cs="Arial"/>
          <w:shd w:val="clear" w:color="auto" w:fill="F7F3ED"/>
        </w:rPr>
        <w:t xml:space="preserve"> textbook</w:t>
      </w:r>
      <w:r w:rsidR="004742F6" w:rsidRPr="006B103C">
        <w:rPr>
          <w:rFonts w:ascii="Arial" w:hAnsi="Arial" w:cs="Arial"/>
          <w:shd w:val="clear" w:color="auto" w:fill="F7F3ED"/>
        </w:rPr>
        <w:t xml:space="preserve"> definition</w:t>
      </w:r>
      <w:r w:rsidR="004742F6" w:rsidRPr="006B103C">
        <w:rPr>
          <w:rFonts w:ascii="Arial" w:hAnsi="Arial" w:cs="Arial"/>
          <w:shd w:val="clear" w:color="auto" w:fill="F7F3ED"/>
        </w:rPr>
        <w:t xml:space="preserve"> </w:t>
      </w:r>
      <w:r w:rsidR="004742F6" w:rsidRPr="006B103C">
        <w:rPr>
          <w:rFonts w:ascii="Arial" w:hAnsi="Arial" w:cs="Arial"/>
          <w:shd w:val="clear" w:color="auto" w:fill="F7F3ED"/>
        </w:rPr>
        <w:t>is</w:t>
      </w:r>
      <w:r w:rsidR="004742F6" w:rsidRPr="006B103C">
        <w:rPr>
          <w:rFonts w:ascii="Arial" w:hAnsi="Arial" w:cs="Arial"/>
          <w:shd w:val="clear" w:color="auto" w:fill="F7F3ED"/>
        </w:rPr>
        <w:t xml:space="preserve"> clear</w:t>
      </w:r>
      <w:r w:rsidR="004742F6" w:rsidRPr="006B103C">
        <w:rPr>
          <w:rFonts w:ascii="Arial" w:hAnsi="Arial" w:cs="Arial"/>
          <w:shd w:val="clear" w:color="auto" w:fill="F7F3ED"/>
        </w:rPr>
        <w:t>, being that</w:t>
      </w:r>
      <w:r w:rsidR="004742F6" w:rsidRPr="006B103C">
        <w:rPr>
          <w:rFonts w:ascii="Arial" w:hAnsi="Arial" w:cs="Arial"/>
          <w:shd w:val="clear" w:color="auto" w:fill="F7F3ED"/>
        </w:rPr>
        <w:t xml:space="preserve"> assault, in law, is not an offence that involves any physical attack on a person or even physical contact. It is </w:t>
      </w:r>
      <w:r w:rsidR="004742F6" w:rsidRPr="006B103C">
        <w:rPr>
          <w:rFonts w:ascii="Arial" w:hAnsi="Arial" w:cs="Arial"/>
          <w:shd w:val="clear" w:color="auto" w:fill="F7F3ED"/>
        </w:rPr>
        <w:t xml:space="preserve">hailed as </w:t>
      </w:r>
      <w:r w:rsidR="004742F6" w:rsidRPr="006B103C">
        <w:rPr>
          <w:rFonts w:ascii="Arial" w:hAnsi="Arial" w:cs="Arial"/>
          <w:shd w:val="clear" w:color="auto" w:fill="F7F3ED"/>
        </w:rPr>
        <w:t>a common law offence</w:t>
      </w:r>
      <w:r w:rsidR="004742F6" w:rsidRPr="006B103C">
        <w:rPr>
          <w:rFonts w:ascii="Arial" w:hAnsi="Arial" w:cs="Arial"/>
          <w:shd w:val="clear" w:color="auto" w:fill="F7F3ED"/>
        </w:rPr>
        <w:t xml:space="preserve"> which</w:t>
      </w:r>
      <w:r w:rsidR="004742F6" w:rsidRPr="006B103C">
        <w:rPr>
          <w:rFonts w:ascii="Arial" w:hAnsi="Arial" w:cs="Arial"/>
          <w:shd w:val="clear" w:color="auto" w:fill="F7F3ED"/>
        </w:rPr>
        <w:t xml:space="preserve"> sometimes</w:t>
      </w:r>
      <w:r w:rsidR="004742F6" w:rsidRPr="006B103C">
        <w:rPr>
          <w:rFonts w:ascii="Arial" w:hAnsi="Arial" w:cs="Arial"/>
          <w:shd w:val="clear" w:color="auto" w:fill="F7F3ED"/>
        </w:rPr>
        <w:t xml:space="preserve"> gets</w:t>
      </w:r>
      <w:r w:rsidR="004742F6" w:rsidRPr="006B103C">
        <w:rPr>
          <w:rFonts w:ascii="Arial" w:hAnsi="Arial" w:cs="Arial"/>
          <w:shd w:val="clear" w:color="auto" w:fill="F7F3ED"/>
        </w:rPr>
        <w:t xml:space="preserve"> called “psychic assault”, </w:t>
      </w:r>
      <w:r w:rsidR="004742F6" w:rsidRPr="006B103C">
        <w:rPr>
          <w:rFonts w:ascii="Arial" w:hAnsi="Arial" w:cs="Arial"/>
          <w:shd w:val="clear" w:color="auto" w:fill="F7F3ED"/>
        </w:rPr>
        <w:t xml:space="preserve">with this </w:t>
      </w:r>
      <w:r w:rsidR="004742F6" w:rsidRPr="006B103C">
        <w:rPr>
          <w:rFonts w:ascii="Arial" w:hAnsi="Arial" w:cs="Arial"/>
          <w:shd w:val="clear" w:color="auto" w:fill="F7F3ED"/>
        </w:rPr>
        <w:t xml:space="preserve">consisting of an act which causes another person to </w:t>
      </w:r>
      <w:r w:rsidR="004742F6" w:rsidRPr="006B103C">
        <w:rPr>
          <w:rFonts w:ascii="Arial" w:hAnsi="Arial" w:cs="Arial"/>
          <w:shd w:val="clear" w:color="auto" w:fill="F7F3ED"/>
        </w:rPr>
        <w:t>“</w:t>
      </w:r>
      <w:r w:rsidR="004742F6" w:rsidRPr="006B103C">
        <w:rPr>
          <w:rFonts w:ascii="Arial" w:hAnsi="Arial" w:cs="Arial"/>
          <w:shd w:val="clear" w:color="auto" w:fill="F7F3ED"/>
        </w:rPr>
        <w:t>apprehend the infliction of immediate, unlawful force on his person; a battery is the actual infliction of unlawful force on another person”</w:t>
      </w:r>
      <w:r w:rsidR="006B103C">
        <w:rPr>
          <w:rFonts w:ascii="Arial" w:hAnsi="Arial" w:cs="Arial"/>
          <w:shd w:val="clear" w:color="auto" w:fill="F7F3ED"/>
        </w:rPr>
        <w:t xml:space="preserve"> </w:t>
      </w:r>
      <w:sdt>
        <w:sdtPr>
          <w:rPr>
            <w:rFonts w:ascii="Arial" w:hAnsi="Arial" w:cs="Arial"/>
            <w:shd w:val="clear" w:color="auto" w:fill="F7F3ED"/>
          </w:rPr>
          <w:id w:val="228574612"/>
          <w:citation/>
        </w:sdtPr>
        <w:sdtContent>
          <w:r w:rsidR="006B103C">
            <w:rPr>
              <w:rFonts w:ascii="Arial" w:hAnsi="Arial" w:cs="Arial"/>
              <w:shd w:val="clear" w:color="auto" w:fill="F7F3ED"/>
            </w:rPr>
            <w:fldChar w:fldCharType="begin"/>
          </w:r>
          <w:r w:rsidR="006B103C">
            <w:rPr>
              <w:rFonts w:ascii="Arial" w:hAnsi="Arial" w:cs="Arial"/>
              <w:shd w:val="clear" w:color="auto" w:fill="F7F3ED"/>
            </w:rPr>
            <w:instrText xml:space="preserve"> CITATION Als13 \l 2057 </w:instrText>
          </w:r>
          <w:r w:rsidR="006B103C">
            <w:rPr>
              <w:rFonts w:ascii="Arial" w:hAnsi="Arial" w:cs="Arial"/>
              <w:shd w:val="clear" w:color="auto" w:fill="F7F3ED"/>
            </w:rPr>
            <w:fldChar w:fldCharType="separate"/>
          </w:r>
          <w:r w:rsidR="006B103C" w:rsidRPr="006B103C">
            <w:rPr>
              <w:rFonts w:ascii="Arial" w:hAnsi="Arial" w:cs="Arial"/>
              <w:noProof/>
              <w:shd w:val="clear" w:color="auto" w:fill="F7F3ED"/>
            </w:rPr>
            <w:t>(Al's Law, 2013)</w:t>
          </w:r>
          <w:r w:rsidR="006B103C">
            <w:rPr>
              <w:rFonts w:ascii="Arial" w:hAnsi="Arial" w:cs="Arial"/>
              <w:shd w:val="clear" w:color="auto" w:fill="F7F3ED"/>
            </w:rPr>
            <w:fldChar w:fldCharType="end"/>
          </w:r>
        </w:sdtContent>
      </w:sdt>
    </w:p>
    <w:p w14:paraId="3E20E9A7" w14:textId="77777777" w:rsidR="00751FCD" w:rsidRDefault="00751FCD" w:rsidP="00751FCD">
      <w:pPr>
        <w:pStyle w:val="NormalWeb"/>
        <w:shd w:val="clear" w:color="auto" w:fill="FFFFFF"/>
        <w:spacing w:before="0" w:beforeAutospacing="0"/>
        <w:rPr>
          <w:rFonts w:ascii="Segoe UI" w:hAnsi="Segoe UI" w:cs="Segoe UI"/>
          <w:color w:val="212529"/>
        </w:rPr>
      </w:pPr>
    </w:p>
    <w:p w14:paraId="46D0CA36" w14:textId="163AB5B6" w:rsidR="005A3EA9" w:rsidRDefault="005A3EA9" w:rsidP="00751FCD">
      <w:pPr>
        <w:pStyle w:val="NormalWeb"/>
        <w:shd w:val="clear" w:color="auto" w:fill="FFFFFF"/>
        <w:spacing w:before="0" w:beforeAutospacing="0"/>
        <w:rPr>
          <w:rFonts w:ascii="Arial" w:hAnsi="Arial" w:cs="Arial"/>
        </w:rPr>
      </w:pPr>
      <w:r>
        <w:rPr>
          <w:rFonts w:ascii="Arial" w:hAnsi="Arial" w:cs="Arial"/>
        </w:rPr>
        <w:lastRenderedPageBreak/>
        <w:t xml:space="preserve">In conclusion, the Offences against the Person Act 1861 has been about for 160 years and there has been an ongoing issue for the legal system with them attempting to combat the archaic language. The Act needs to be modernised so it can become far more relevant in a more modern-legal world. It also </w:t>
      </w:r>
      <w:r w:rsidR="004D321C">
        <w:rPr>
          <w:rFonts w:ascii="Arial" w:hAnsi="Arial" w:cs="Arial"/>
        </w:rPr>
        <w:t>needs</w:t>
      </w:r>
      <w:r>
        <w:rPr>
          <w:rFonts w:ascii="Arial" w:hAnsi="Arial" w:cs="Arial"/>
        </w:rPr>
        <w:t xml:space="preserve"> to revaluate how the Act specialises and focuses on particular elements that are more akin to modern day </w:t>
      </w:r>
      <w:r w:rsidR="004D321C">
        <w:rPr>
          <w:rFonts w:ascii="Arial" w:hAnsi="Arial" w:cs="Arial"/>
        </w:rPr>
        <w:t xml:space="preserve">crimes and newly established definitions. Finally, it is needed to be </w:t>
      </w:r>
      <w:r w:rsidR="005002E0">
        <w:rPr>
          <w:rFonts w:ascii="Arial" w:hAnsi="Arial" w:cs="Arial"/>
        </w:rPr>
        <w:t xml:space="preserve">acknowledged that there are many outdated and overlooked elements directly related to or tied with the Offences against the Person Act 1861 and so it should be entirely reconsidered before being reissued. It is potentially likely that if given another review and having received positive change, the Offence against the Person Act 1861, the is fair potential that it could easily become </w:t>
      </w:r>
      <w:proofErr w:type="gramStart"/>
      <w:r w:rsidR="005002E0">
        <w:rPr>
          <w:rFonts w:ascii="Arial" w:hAnsi="Arial" w:cs="Arial"/>
        </w:rPr>
        <w:t>a</w:t>
      </w:r>
      <w:proofErr w:type="gramEnd"/>
      <w:r w:rsidR="005002E0">
        <w:rPr>
          <w:rFonts w:ascii="Arial" w:hAnsi="Arial" w:cs="Arial"/>
        </w:rPr>
        <w:t xml:space="preserve"> Act that maintains its large and generalised power while showing modernisation.</w:t>
      </w:r>
    </w:p>
    <w:sdt>
      <w:sdtPr>
        <w:id w:val="-1187132787"/>
        <w:docPartObj>
          <w:docPartGallery w:val="Bibliographies"/>
          <w:docPartUnique/>
        </w:docPartObj>
      </w:sdtPr>
      <w:sdtEndPr>
        <w:rPr>
          <w:rFonts w:ascii="Arial" w:eastAsiaTheme="minorHAnsi" w:hAnsi="Arial" w:cs="Arial"/>
          <w:color w:val="auto"/>
          <w:sz w:val="24"/>
          <w:szCs w:val="24"/>
          <w:lang w:val="en-GB"/>
        </w:rPr>
      </w:sdtEndPr>
      <w:sdtContent>
        <w:p w14:paraId="240E1111" w14:textId="2B7FB068" w:rsidR="005002E0" w:rsidRPr="005002E0" w:rsidRDefault="005002E0">
          <w:pPr>
            <w:pStyle w:val="Heading1"/>
            <w:rPr>
              <w:rFonts w:ascii="Arial" w:hAnsi="Arial" w:cs="Arial"/>
              <w:color w:val="auto"/>
              <w:sz w:val="28"/>
              <w:szCs w:val="28"/>
            </w:rPr>
          </w:pPr>
          <w:r w:rsidRPr="005002E0">
            <w:rPr>
              <w:rFonts w:ascii="Arial" w:hAnsi="Arial" w:cs="Arial"/>
              <w:color w:val="auto"/>
              <w:sz w:val="28"/>
              <w:szCs w:val="28"/>
            </w:rPr>
            <w:t>References</w:t>
          </w:r>
        </w:p>
        <w:sdt>
          <w:sdtPr>
            <w:rPr>
              <w:rFonts w:ascii="Arial" w:hAnsi="Arial" w:cs="Arial"/>
              <w:sz w:val="24"/>
              <w:szCs w:val="24"/>
            </w:rPr>
            <w:id w:val="-573587230"/>
            <w:bibliography/>
          </w:sdtPr>
          <w:sdtContent>
            <w:p w14:paraId="128F7EAA" w14:textId="77777777" w:rsidR="005002E0" w:rsidRPr="005002E0" w:rsidRDefault="005002E0" w:rsidP="005002E0">
              <w:pPr>
                <w:pStyle w:val="Bibliography"/>
                <w:ind w:left="720" w:hanging="720"/>
                <w:rPr>
                  <w:rFonts w:ascii="Arial" w:hAnsi="Arial" w:cs="Arial"/>
                  <w:noProof/>
                  <w:sz w:val="24"/>
                  <w:szCs w:val="24"/>
                  <w:lang w:val="en-US"/>
                </w:rPr>
              </w:pPr>
              <w:r w:rsidRPr="005002E0">
                <w:rPr>
                  <w:rFonts w:ascii="Arial" w:hAnsi="Arial" w:cs="Arial"/>
                  <w:sz w:val="24"/>
                  <w:szCs w:val="24"/>
                </w:rPr>
                <w:fldChar w:fldCharType="begin"/>
              </w:r>
              <w:r w:rsidRPr="005002E0">
                <w:rPr>
                  <w:rFonts w:ascii="Arial" w:hAnsi="Arial" w:cs="Arial"/>
                  <w:sz w:val="24"/>
                  <w:szCs w:val="24"/>
                </w:rPr>
                <w:instrText xml:space="preserve"> BIBLIOGRAPHY </w:instrText>
              </w:r>
              <w:r w:rsidRPr="005002E0">
                <w:rPr>
                  <w:rFonts w:ascii="Arial" w:hAnsi="Arial" w:cs="Arial"/>
                  <w:sz w:val="24"/>
                  <w:szCs w:val="24"/>
                </w:rPr>
                <w:fldChar w:fldCharType="separate"/>
              </w:r>
              <w:r w:rsidRPr="005002E0">
                <w:rPr>
                  <w:rFonts w:ascii="Arial" w:hAnsi="Arial" w:cs="Arial"/>
                  <w:noProof/>
                  <w:sz w:val="24"/>
                  <w:szCs w:val="24"/>
                  <w:lang w:val="en-US"/>
                </w:rPr>
                <w:t xml:space="preserve">Al's Law. (2013, June 25). </w:t>
              </w:r>
              <w:r w:rsidRPr="005002E0">
                <w:rPr>
                  <w:rFonts w:ascii="Arial" w:hAnsi="Arial" w:cs="Arial"/>
                  <w:i/>
                  <w:iCs/>
                  <w:noProof/>
                  <w:sz w:val="24"/>
                  <w:szCs w:val="24"/>
                  <w:lang w:val="en-US"/>
                </w:rPr>
                <w:t>Taking a Legal View</w:t>
              </w:r>
              <w:r w:rsidRPr="005002E0">
                <w:rPr>
                  <w:rFonts w:ascii="Arial" w:hAnsi="Arial" w:cs="Arial"/>
                  <w:noProof/>
                  <w:sz w:val="24"/>
                  <w:szCs w:val="24"/>
                  <w:lang w:val="en-US"/>
                </w:rPr>
                <w:t>. Retrieved Feburary 25, 2021, from Al's Law: https://alrich.wordpress.com/tag/r-v-lynsey-1995/</w:t>
              </w:r>
            </w:p>
            <w:p w14:paraId="25FAEBBE" w14:textId="77777777" w:rsidR="005002E0" w:rsidRPr="005002E0" w:rsidRDefault="005002E0" w:rsidP="005002E0">
              <w:pPr>
                <w:pStyle w:val="Bibliography"/>
                <w:ind w:left="720" w:hanging="720"/>
                <w:rPr>
                  <w:rFonts w:ascii="Arial" w:hAnsi="Arial" w:cs="Arial"/>
                  <w:noProof/>
                  <w:sz w:val="24"/>
                  <w:szCs w:val="24"/>
                  <w:lang w:val="en-US"/>
                </w:rPr>
              </w:pPr>
              <w:r w:rsidRPr="005002E0">
                <w:rPr>
                  <w:rFonts w:ascii="Arial" w:hAnsi="Arial" w:cs="Arial"/>
                  <w:noProof/>
                  <w:sz w:val="24"/>
                  <w:szCs w:val="24"/>
                  <w:lang w:val="en-US"/>
                </w:rPr>
                <w:t xml:space="preserve">Bits of Law. (2011, November 16). </w:t>
              </w:r>
              <w:r w:rsidRPr="005002E0">
                <w:rPr>
                  <w:rFonts w:ascii="Arial" w:hAnsi="Arial" w:cs="Arial"/>
                  <w:i/>
                  <w:iCs/>
                  <w:noProof/>
                  <w:sz w:val="24"/>
                  <w:szCs w:val="24"/>
                  <w:lang w:val="en-US"/>
                </w:rPr>
                <w:t>Non-Fatal Offences: Evaluation and Reform</w:t>
              </w:r>
              <w:r w:rsidRPr="005002E0">
                <w:rPr>
                  <w:rFonts w:ascii="Arial" w:hAnsi="Arial" w:cs="Arial"/>
                  <w:noProof/>
                  <w:sz w:val="24"/>
                  <w:szCs w:val="24"/>
                  <w:lang w:val="en-US"/>
                </w:rPr>
                <w:t>. Retrieved Feburary 25, 2021, from Bits of Law: http://www.bitsoflaw.org/criminal/offences-against-the-person/model-answer/a-level/non-fatal-evaluation-reform</w:t>
              </w:r>
            </w:p>
            <w:p w14:paraId="2632A367" w14:textId="77777777" w:rsidR="005002E0" w:rsidRPr="005002E0" w:rsidRDefault="005002E0" w:rsidP="005002E0">
              <w:pPr>
                <w:pStyle w:val="Bibliography"/>
                <w:ind w:left="720" w:hanging="720"/>
                <w:rPr>
                  <w:rFonts w:ascii="Arial" w:hAnsi="Arial" w:cs="Arial"/>
                  <w:noProof/>
                  <w:sz w:val="24"/>
                  <w:szCs w:val="24"/>
                  <w:lang w:val="en-US"/>
                </w:rPr>
              </w:pPr>
              <w:r w:rsidRPr="005002E0">
                <w:rPr>
                  <w:rFonts w:ascii="Arial" w:hAnsi="Arial" w:cs="Arial"/>
                  <w:noProof/>
                  <w:sz w:val="24"/>
                  <w:szCs w:val="24"/>
                  <w:lang w:val="en-US"/>
                </w:rPr>
                <w:t xml:space="preserve">E-lawresources.co.uk. (1976). </w:t>
              </w:r>
              <w:r w:rsidRPr="005002E0">
                <w:rPr>
                  <w:rFonts w:ascii="Arial" w:hAnsi="Arial" w:cs="Arial"/>
                  <w:i/>
                  <w:iCs/>
                  <w:noProof/>
                  <w:sz w:val="24"/>
                  <w:szCs w:val="24"/>
                  <w:lang w:val="en-US"/>
                </w:rPr>
                <w:t>Logdon v DPP [1976] Crim LR 121</w:t>
              </w:r>
              <w:r w:rsidRPr="005002E0">
                <w:rPr>
                  <w:rFonts w:ascii="Arial" w:hAnsi="Arial" w:cs="Arial"/>
                  <w:noProof/>
                  <w:sz w:val="24"/>
                  <w:szCs w:val="24"/>
                  <w:lang w:val="en-US"/>
                </w:rPr>
                <w:t>. Retrieved Feburary 20, 2021, from E-lawresources.co.uk: https://www.e-lawresources.co.uk/Logdon-v-DPP.php</w:t>
              </w:r>
            </w:p>
            <w:p w14:paraId="7FB375EA" w14:textId="77777777" w:rsidR="005002E0" w:rsidRPr="005002E0" w:rsidRDefault="005002E0" w:rsidP="005002E0">
              <w:pPr>
                <w:pStyle w:val="Bibliography"/>
                <w:ind w:left="720" w:hanging="720"/>
                <w:rPr>
                  <w:rFonts w:ascii="Arial" w:hAnsi="Arial" w:cs="Arial"/>
                  <w:noProof/>
                  <w:sz w:val="24"/>
                  <w:szCs w:val="24"/>
                  <w:lang w:val="en-US"/>
                </w:rPr>
              </w:pPr>
              <w:r w:rsidRPr="005002E0">
                <w:rPr>
                  <w:rFonts w:ascii="Arial" w:hAnsi="Arial" w:cs="Arial"/>
                  <w:noProof/>
                  <w:sz w:val="24"/>
                  <w:szCs w:val="24"/>
                  <w:lang w:val="en-US"/>
                </w:rPr>
                <w:t xml:space="preserve">Law Commission. (2021). </w:t>
              </w:r>
              <w:r w:rsidRPr="005002E0">
                <w:rPr>
                  <w:rFonts w:ascii="Arial" w:hAnsi="Arial" w:cs="Arial"/>
                  <w:i/>
                  <w:iCs/>
                  <w:noProof/>
                  <w:sz w:val="24"/>
                  <w:szCs w:val="24"/>
                  <w:lang w:val="en-US"/>
                </w:rPr>
                <w:t>Offences against the Person</w:t>
              </w:r>
              <w:r w:rsidRPr="005002E0">
                <w:rPr>
                  <w:rFonts w:ascii="Arial" w:hAnsi="Arial" w:cs="Arial"/>
                  <w:noProof/>
                  <w:sz w:val="24"/>
                  <w:szCs w:val="24"/>
                  <w:lang w:val="en-US"/>
                </w:rPr>
                <w:t>. Retrieved Feburary 20, 2021, from Law Commission: https://www.lawcom.gov.uk/project/offences-against-the-person/</w:t>
              </w:r>
            </w:p>
            <w:p w14:paraId="22BF877F" w14:textId="77777777" w:rsidR="005002E0" w:rsidRPr="005002E0" w:rsidRDefault="005002E0" w:rsidP="005002E0">
              <w:pPr>
                <w:pStyle w:val="Bibliography"/>
                <w:ind w:left="720" w:hanging="720"/>
                <w:rPr>
                  <w:rFonts w:ascii="Arial" w:hAnsi="Arial" w:cs="Arial"/>
                  <w:noProof/>
                  <w:sz w:val="24"/>
                  <w:szCs w:val="24"/>
                  <w:lang w:val="en-US"/>
                </w:rPr>
              </w:pPr>
              <w:r w:rsidRPr="005002E0">
                <w:rPr>
                  <w:rFonts w:ascii="Arial" w:hAnsi="Arial" w:cs="Arial"/>
                  <w:noProof/>
                  <w:sz w:val="24"/>
                  <w:szCs w:val="24"/>
                  <w:lang w:val="en-US"/>
                </w:rPr>
                <w:t xml:space="preserve">Law Teacher. (2020, December 29). </w:t>
              </w:r>
              <w:r w:rsidRPr="005002E0">
                <w:rPr>
                  <w:rFonts w:ascii="Arial" w:hAnsi="Arial" w:cs="Arial"/>
                  <w:i/>
                  <w:iCs/>
                  <w:noProof/>
                  <w:sz w:val="24"/>
                  <w:szCs w:val="24"/>
                  <w:lang w:val="en-US"/>
                </w:rPr>
                <w:t>DPP v Smith - 1961</w:t>
              </w:r>
              <w:r w:rsidRPr="005002E0">
                <w:rPr>
                  <w:rFonts w:ascii="Arial" w:hAnsi="Arial" w:cs="Arial"/>
                  <w:noProof/>
                  <w:sz w:val="24"/>
                  <w:szCs w:val="24"/>
                  <w:lang w:val="en-US"/>
                </w:rPr>
                <w:t>. Retrieved Feburary 20, 2021, from Law Teacher: https://www.lawteacher.net/cases/dpp-v-smith.php</w:t>
              </w:r>
            </w:p>
            <w:p w14:paraId="28BDE5C9" w14:textId="77777777" w:rsidR="005002E0" w:rsidRPr="005002E0" w:rsidRDefault="005002E0" w:rsidP="005002E0">
              <w:pPr>
                <w:pStyle w:val="Bibliography"/>
                <w:ind w:left="720" w:hanging="720"/>
                <w:rPr>
                  <w:rFonts w:ascii="Arial" w:hAnsi="Arial" w:cs="Arial"/>
                  <w:noProof/>
                  <w:sz w:val="24"/>
                  <w:szCs w:val="24"/>
                  <w:lang w:val="en-US"/>
                </w:rPr>
              </w:pPr>
              <w:r w:rsidRPr="005002E0">
                <w:rPr>
                  <w:rFonts w:ascii="Arial" w:hAnsi="Arial" w:cs="Arial"/>
                  <w:noProof/>
                  <w:sz w:val="24"/>
                  <w:szCs w:val="24"/>
                  <w:lang w:val="en-US"/>
                </w:rPr>
                <w:t xml:space="preserve">Law Teacher. (2020, December 14). </w:t>
              </w:r>
              <w:r w:rsidRPr="005002E0">
                <w:rPr>
                  <w:rFonts w:ascii="Arial" w:hAnsi="Arial" w:cs="Arial"/>
                  <w:i/>
                  <w:iCs/>
                  <w:noProof/>
                  <w:sz w:val="24"/>
                  <w:szCs w:val="24"/>
                  <w:lang w:val="en-US"/>
                </w:rPr>
                <w:t>Offences Against the Person Act 1861 | Critique</w:t>
              </w:r>
              <w:r w:rsidRPr="005002E0">
                <w:rPr>
                  <w:rFonts w:ascii="Arial" w:hAnsi="Arial" w:cs="Arial"/>
                  <w:noProof/>
                  <w:sz w:val="24"/>
                  <w:szCs w:val="24"/>
                  <w:lang w:val="en-US"/>
                </w:rPr>
                <w:t>. Retrieved Feburary 27, 2021, from Law Teacher: https://www.lawteacher.net/free-law-essays/criminal-law/offences-against-person-act-critique-9856.php#_ftn20</w:t>
              </w:r>
            </w:p>
            <w:p w14:paraId="182510E9" w14:textId="77777777" w:rsidR="005002E0" w:rsidRPr="005002E0" w:rsidRDefault="005002E0" w:rsidP="005002E0">
              <w:pPr>
                <w:pStyle w:val="Bibliography"/>
                <w:ind w:left="720" w:hanging="720"/>
                <w:rPr>
                  <w:rFonts w:ascii="Arial" w:hAnsi="Arial" w:cs="Arial"/>
                  <w:noProof/>
                  <w:sz w:val="24"/>
                  <w:szCs w:val="24"/>
                  <w:lang w:val="en-US"/>
                </w:rPr>
              </w:pPr>
              <w:r w:rsidRPr="005002E0">
                <w:rPr>
                  <w:rFonts w:ascii="Arial" w:hAnsi="Arial" w:cs="Arial"/>
                  <w:noProof/>
                  <w:sz w:val="24"/>
                  <w:szCs w:val="24"/>
                  <w:lang w:val="en-US"/>
                </w:rPr>
                <w:t xml:space="preserve">Law Trove. (2019). </w:t>
              </w:r>
              <w:r w:rsidRPr="005002E0">
                <w:rPr>
                  <w:rFonts w:ascii="Arial" w:hAnsi="Arial" w:cs="Arial"/>
                  <w:i/>
                  <w:iCs/>
                  <w:noProof/>
                  <w:sz w:val="24"/>
                  <w:szCs w:val="24"/>
                  <w:lang w:val="en-US"/>
                </w:rPr>
                <w:t>Non fatal offences against the person</w:t>
              </w:r>
              <w:r w:rsidRPr="005002E0">
                <w:rPr>
                  <w:rFonts w:ascii="Arial" w:hAnsi="Arial" w:cs="Arial"/>
                  <w:noProof/>
                  <w:sz w:val="24"/>
                  <w:szCs w:val="24"/>
                  <w:lang w:val="en-US"/>
                </w:rPr>
                <w:t>. Retrieved Feburary 20, 2021, from Law Trove: https://www.oxfordlawtrove.com/view/10.1093/he/9780198831938.001.0001/he-9780198831938-chapter-10#:~:text=Non-fatal%20offences%20include%20assault,offences%20related%20to%20%27acid%20attacks</w:t>
              </w:r>
            </w:p>
            <w:p w14:paraId="610679A8" w14:textId="77777777" w:rsidR="005002E0" w:rsidRPr="005002E0" w:rsidRDefault="005002E0" w:rsidP="005002E0">
              <w:pPr>
                <w:pStyle w:val="Bibliography"/>
                <w:ind w:left="720" w:hanging="720"/>
                <w:rPr>
                  <w:rFonts w:ascii="Arial" w:hAnsi="Arial" w:cs="Arial"/>
                  <w:noProof/>
                  <w:sz w:val="24"/>
                  <w:szCs w:val="24"/>
                  <w:lang w:val="en-US"/>
                </w:rPr>
              </w:pPr>
              <w:r w:rsidRPr="005002E0">
                <w:rPr>
                  <w:rFonts w:ascii="Arial" w:hAnsi="Arial" w:cs="Arial"/>
                  <w:noProof/>
                  <w:sz w:val="24"/>
                  <w:szCs w:val="24"/>
                  <w:lang w:val="en-US"/>
                </w:rPr>
                <w:t xml:space="preserve">Legal Match. (2018, June 26). </w:t>
              </w:r>
              <w:r w:rsidRPr="005002E0">
                <w:rPr>
                  <w:rFonts w:ascii="Arial" w:hAnsi="Arial" w:cs="Arial"/>
                  <w:i/>
                  <w:iCs/>
                  <w:noProof/>
                  <w:sz w:val="24"/>
                  <w:szCs w:val="24"/>
                  <w:lang w:val="en-US"/>
                </w:rPr>
                <w:t>What is Battery</w:t>
              </w:r>
              <w:r w:rsidRPr="005002E0">
                <w:rPr>
                  <w:rFonts w:ascii="Arial" w:hAnsi="Arial" w:cs="Arial"/>
                  <w:noProof/>
                  <w:sz w:val="24"/>
                  <w:szCs w:val="24"/>
                  <w:lang w:val="en-US"/>
                </w:rPr>
                <w:t>. Retrieved Feburary 20, 2021, from Legal Match: https://www.legalmatch.com/law-library/article/what-is-battery.html#:~:text=Battery%20is%20a%20type%20of,touching%20or%20actual%20physical%20injury.&amp;text=This%20means%20that%20battery%20is,usually%20less%20than%20one%20year).</w:t>
              </w:r>
            </w:p>
            <w:p w14:paraId="50761904" w14:textId="77777777" w:rsidR="005002E0" w:rsidRPr="005002E0" w:rsidRDefault="005002E0" w:rsidP="005002E0">
              <w:pPr>
                <w:pStyle w:val="Bibliography"/>
                <w:ind w:left="720" w:hanging="720"/>
                <w:rPr>
                  <w:rFonts w:ascii="Arial" w:hAnsi="Arial" w:cs="Arial"/>
                  <w:noProof/>
                  <w:sz w:val="24"/>
                  <w:szCs w:val="24"/>
                  <w:lang w:val="en-US"/>
                </w:rPr>
              </w:pPr>
              <w:r w:rsidRPr="005002E0">
                <w:rPr>
                  <w:rFonts w:ascii="Arial" w:hAnsi="Arial" w:cs="Arial"/>
                  <w:noProof/>
                  <w:sz w:val="24"/>
                  <w:szCs w:val="24"/>
                  <w:lang w:val="en-US"/>
                </w:rPr>
                <w:lastRenderedPageBreak/>
                <w:t xml:space="preserve">Legislation.GOV.UK. (2021). </w:t>
              </w:r>
              <w:r w:rsidRPr="005002E0">
                <w:rPr>
                  <w:rFonts w:ascii="Arial" w:hAnsi="Arial" w:cs="Arial"/>
                  <w:i/>
                  <w:iCs/>
                  <w:noProof/>
                  <w:sz w:val="24"/>
                  <w:szCs w:val="24"/>
                  <w:lang w:val="en-US"/>
                </w:rPr>
                <w:t>Offences against the Person Act 1861</w:t>
              </w:r>
              <w:r w:rsidRPr="005002E0">
                <w:rPr>
                  <w:rFonts w:ascii="Arial" w:hAnsi="Arial" w:cs="Arial"/>
                  <w:noProof/>
                  <w:sz w:val="24"/>
                  <w:szCs w:val="24"/>
                  <w:lang w:val="en-US"/>
                </w:rPr>
                <w:t>. Retrieved Feburary 6, 2021, from Legislation.GOV.UK: https://www.legislation.gov.uk/ukpga/Vict/24-25/100/contents</w:t>
              </w:r>
            </w:p>
            <w:p w14:paraId="5DAA9960" w14:textId="77777777" w:rsidR="005002E0" w:rsidRPr="005002E0" w:rsidRDefault="005002E0" w:rsidP="005002E0">
              <w:pPr>
                <w:pStyle w:val="Bibliography"/>
                <w:ind w:left="720" w:hanging="720"/>
                <w:rPr>
                  <w:rFonts w:ascii="Arial" w:hAnsi="Arial" w:cs="Arial"/>
                  <w:noProof/>
                  <w:sz w:val="24"/>
                  <w:szCs w:val="24"/>
                  <w:lang w:val="en-US"/>
                </w:rPr>
              </w:pPr>
              <w:r w:rsidRPr="005002E0">
                <w:rPr>
                  <w:rFonts w:ascii="Arial" w:hAnsi="Arial" w:cs="Arial"/>
                  <w:i/>
                  <w:iCs/>
                  <w:noProof/>
                  <w:sz w:val="24"/>
                  <w:szCs w:val="24"/>
                  <w:lang w:val="en-US"/>
                </w:rPr>
                <w:t>Offences against the Person, incorporating the Charging Standard</w:t>
              </w:r>
              <w:r w:rsidRPr="005002E0">
                <w:rPr>
                  <w:rFonts w:ascii="Arial" w:hAnsi="Arial" w:cs="Arial"/>
                  <w:noProof/>
                  <w:sz w:val="24"/>
                  <w:szCs w:val="24"/>
                  <w:lang w:val="en-US"/>
                </w:rPr>
                <w:t>. (2020, January 6). Retrieved Feburary 20, 2021, from CPS: https://www.cps.gov.uk/legal-guidance/offences-against-person-incorporating-charging-standard</w:t>
              </w:r>
            </w:p>
            <w:p w14:paraId="74CAD96E" w14:textId="77777777" w:rsidR="005002E0" w:rsidRPr="005002E0" w:rsidRDefault="005002E0" w:rsidP="005002E0">
              <w:pPr>
                <w:pStyle w:val="Bibliography"/>
                <w:ind w:left="720" w:hanging="720"/>
                <w:rPr>
                  <w:rFonts w:ascii="Arial" w:hAnsi="Arial" w:cs="Arial"/>
                  <w:noProof/>
                  <w:sz w:val="24"/>
                  <w:szCs w:val="24"/>
                  <w:lang w:val="en-US"/>
                </w:rPr>
              </w:pPr>
              <w:r w:rsidRPr="005002E0">
                <w:rPr>
                  <w:rFonts w:ascii="Arial" w:hAnsi="Arial" w:cs="Arial"/>
                  <w:noProof/>
                  <w:sz w:val="24"/>
                  <w:szCs w:val="24"/>
                  <w:lang w:val="en-US"/>
                </w:rPr>
                <w:t xml:space="preserve">Oxford Royale Academy. (2020). </w:t>
              </w:r>
              <w:r w:rsidRPr="005002E0">
                <w:rPr>
                  <w:rFonts w:ascii="Arial" w:hAnsi="Arial" w:cs="Arial"/>
                  <w:i/>
                  <w:iCs/>
                  <w:noProof/>
                  <w:sz w:val="24"/>
                  <w:szCs w:val="24"/>
                  <w:lang w:val="en-US"/>
                </w:rPr>
                <w:t>The Massively Outdated Offences Against the Person Act 1861 Shows How Well the Common Law System Works</w:t>
              </w:r>
              <w:r w:rsidRPr="005002E0">
                <w:rPr>
                  <w:rFonts w:ascii="Arial" w:hAnsi="Arial" w:cs="Arial"/>
                  <w:noProof/>
                  <w:sz w:val="24"/>
                  <w:szCs w:val="24"/>
                  <w:lang w:val="en-US"/>
                </w:rPr>
                <w:t>. Retrieved Feburary 20, 2021, from Oxford Royale Academy: https://www.oxford-royale.com/articles/offences-against-the-person-act-1861-needs-reform/</w:t>
              </w:r>
            </w:p>
            <w:p w14:paraId="25043DD5" w14:textId="77777777" w:rsidR="005002E0" w:rsidRPr="005002E0" w:rsidRDefault="005002E0" w:rsidP="005002E0">
              <w:pPr>
                <w:pStyle w:val="Bibliography"/>
                <w:ind w:left="720" w:hanging="720"/>
                <w:rPr>
                  <w:rFonts w:ascii="Arial" w:hAnsi="Arial" w:cs="Arial"/>
                  <w:noProof/>
                  <w:sz w:val="24"/>
                  <w:szCs w:val="24"/>
                  <w:lang w:val="en-US"/>
                </w:rPr>
              </w:pPr>
              <w:r w:rsidRPr="005002E0">
                <w:rPr>
                  <w:rFonts w:ascii="Arial" w:hAnsi="Arial" w:cs="Arial"/>
                  <w:noProof/>
                  <w:sz w:val="24"/>
                  <w:szCs w:val="24"/>
                  <w:lang w:val="en-US"/>
                </w:rPr>
                <w:t xml:space="preserve">Sage Journals. (2017, Feburary 1). </w:t>
              </w:r>
              <w:r w:rsidRPr="005002E0">
                <w:rPr>
                  <w:rFonts w:ascii="Arial" w:hAnsi="Arial" w:cs="Arial"/>
                  <w:i/>
                  <w:iCs/>
                  <w:noProof/>
                  <w:sz w:val="24"/>
                  <w:szCs w:val="24"/>
                  <w:lang w:val="en-US"/>
                </w:rPr>
                <w:t>Should We Reform the Offences Against the Person Act 1861?</w:t>
              </w:r>
              <w:r w:rsidRPr="005002E0">
                <w:rPr>
                  <w:rFonts w:ascii="Arial" w:hAnsi="Arial" w:cs="Arial"/>
                  <w:noProof/>
                  <w:sz w:val="24"/>
                  <w:szCs w:val="24"/>
                  <w:lang w:val="en-US"/>
                </w:rPr>
                <w:t xml:space="preserve"> Retrieved Feburary 21, 2021, from Sage Journals: https://journals.sagepub.com/doi/abs/10.1177/0022018316685478?journalCode=clja</w:t>
              </w:r>
            </w:p>
            <w:p w14:paraId="2EC4EB5F" w14:textId="77777777" w:rsidR="005002E0" w:rsidRPr="005002E0" w:rsidRDefault="005002E0" w:rsidP="005002E0">
              <w:pPr>
                <w:pStyle w:val="Bibliography"/>
                <w:ind w:left="720" w:hanging="720"/>
                <w:rPr>
                  <w:rFonts w:ascii="Arial" w:hAnsi="Arial" w:cs="Arial"/>
                  <w:noProof/>
                  <w:sz w:val="24"/>
                  <w:szCs w:val="24"/>
                  <w:lang w:val="en-US"/>
                </w:rPr>
              </w:pPr>
              <w:r w:rsidRPr="005002E0">
                <w:rPr>
                  <w:rFonts w:ascii="Arial" w:hAnsi="Arial" w:cs="Arial"/>
                  <w:noProof/>
                  <w:sz w:val="24"/>
                  <w:szCs w:val="24"/>
                  <w:lang w:val="en-US"/>
                </w:rPr>
                <w:t xml:space="preserve">UK Parliament. (2021). </w:t>
              </w:r>
              <w:r w:rsidRPr="005002E0">
                <w:rPr>
                  <w:rFonts w:ascii="Arial" w:hAnsi="Arial" w:cs="Arial"/>
                  <w:i/>
                  <w:iCs/>
                  <w:noProof/>
                  <w:sz w:val="24"/>
                  <w:szCs w:val="24"/>
                  <w:lang w:val="en-US"/>
                </w:rPr>
                <w:t>Lord Steyn</w:t>
              </w:r>
              <w:r w:rsidRPr="005002E0">
                <w:rPr>
                  <w:rFonts w:ascii="Arial" w:hAnsi="Arial" w:cs="Arial"/>
                  <w:noProof/>
                  <w:sz w:val="24"/>
                  <w:szCs w:val="24"/>
                  <w:lang w:val="en-US"/>
                </w:rPr>
                <w:t>. Retrieved Feburary 21, 2021, from UK Parliament: https://members.parliament.uk/member/2226/career</w:t>
              </w:r>
            </w:p>
            <w:p w14:paraId="538670EE" w14:textId="77777777" w:rsidR="005002E0" w:rsidRPr="005002E0" w:rsidRDefault="005002E0" w:rsidP="005002E0">
              <w:pPr>
                <w:pStyle w:val="Bibliography"/>
                <w:ind w:left="720" w:hanging="720"/>
                <w:rPr>
                  <w:rFonts w:ascii="Arial" w:hAnsi="Arial" w:cs="Arial"/>
                  <w:noProof/>
                  <w:sz w:val="24"/>
                  <w:szCs w:val="24"/>
                  <w:lang w:val="en-US"/>
                </w:rPr>
              </w:pPr>
              <w:r w:rsidRPr="005002E0">
                <w:rPr>
                  <w:rFonts w:ascii="Arial" w:hAnsi="Arial" w:cs="Arial"/>
                  <w:noProof/>
                  <w:sz w:val="24"/>
                  <w:szCs w:val="24"/>
                  <w:lang w:val="en-US"/>
                </w:rPr>
                <w:t xml:space="preserve">University of Nottingham. (2018). </w:t>
              </w:r>
              <w:r w:rsidRPr="005002E0">
                <w:rPr>
                  <w:rFonts w:ascii="Arial" w:hAnsi="Arial" w:cs="Arial"/>
                  <w:i/>
                  <w:iCs/>
                  <w:noProof/>
                  <w:sz w:val="24"/>
                  <w:szCs w:val="24"/>
                  <w:lang w:val="en-US"/>
                </w:rPr>
                <w:t>Criminal Justice Research Centre</w:t>
              </w:r>
              <w:r w:rsidRPr="005002E0">
                <w:rPr>
                  <w:rFonts w:ascii="Arial" w:hAnsi="Arial" w:cs="Arial"/>
                  <w:noProof/>
                  <w:sz w:val="24"/>
                  <w:szCs w:val="24"/>
                  <w:lang w:val="en-US"/>
                </w:rPr>
                <w:t>. Retrieved Feburary 20, 2021, from University of Nottingham: https://www.nottingham.ac.uk/research/groups/criminal-justice-research-centre/events/sir-jc-smith-lecture-2018.aspx</w:t>
              </w:r>
            </w:p>
            <w:p w14:paraId="4AB17CD6" w14:textId="32135A65" w:rsidR="005002E0" w:rsidRPr="005002E0" w:rsidRDefault="005002E0" w:rsidP="005002E0">
              <w:pPr>
                <w:rPr>
                  <w:rFonts w:ascii="Arial" w:hAnsi="Arial" w:cs="Arial"/>
                  <w:sz w:val="24"/>
                  <w:szCs w:val="24"/>
                </w:rPr>
              </w:pPr>
              <w:r w:rsidRPr="005002E0">
                <w:rPr>
                  <w:rFonts w:ascii="Arial" w:hAnsi="Arial" w:cs="Arial"/>
                  <w:b/>
                  <w:bCs/>
                  <w:noProof/>
                  <w:sz w:val="24"/>
                  <w:szCs w:val="24"/>
                </w:rPr>
                <w:fldChar w:fldCharType="end"/>
              </w:r>
            </w:p>
          </w:sdtContent>
        </w:sdt>
      </w:sdtContent>
    </w:sdt>
    <w:p w14:paraId="4296D244" w14:textId="77777777" w:rsidR="005002E0" w:rsidRPr="005002E0" w:rsidRDefault="005002E0" w:rsidP="00751FCD">
      <w:pPr>
        <w:pStyle w:val="NormalWeb"/>
        <w:shd w:val="clear" w:color="auto" w:fill="FFFFFF"/>
        <w:spacing w:before="0" w:beforeAutospacing="0"/>
        <w:rPr>
          <w:rFonts w:ascii="Arial" w:hAnsi="Arial" w:cs="Arial"/>
          <w:color w:val="212529"/>
        </w:rPr>
      </w:pPr>
    </w:p>
    <w:p w14:paraId="1F8AAFCD" w14:textId="77777777" w:rsidR="00F235FF" w:rsidRPr="005002E0" w:rsidRDefault="00F235FF" w:rsidP="00F235FF">
      <w:pPr>
        <w:pStyle w:val="ListParagraph"/>
        <w:rPr>
          <w:rFonts w:ascii="Arial" w:hAnsi="Arial" w:cs="Arial"/>
          <w:sz w:val="24"/>
          <w:szCs w:val="24"/>
        </w:rPr>
      </w:pPr>
    </w:p>
    <w:p w14:paraId="1BFEF85C" w14:textId="77777777" w:rsidR="00F235FF" w:rsidRPr="005002E0" w:rsidRDefault="00F235FF" w:rsidP="00F235FF">
      <w:pPr>
        <w:rPr>
          <w:rFonts w:ascii="Arial" w:hAnsi="Arial" w:cs="Arial"/>
          <w:sz w:val="24"/>
          <w:szCs w:val="24"/>
        </w:rPr>
      </w:pPr>
    </w:p>
    <w:p w14:paraId="496863DB" w14:textId="77777777" w:rsidR="007C2FE1" w:rsidRPr="005002E0" w:rsidRDefault="007C2FE1" w:rsidP="007C2FE1">
      <w:pPr>
        <w:pStyle w:val="ListParagraph"/>
        <w:rPr>
          <w:rFonts w:ascii="Arial" w:hAnsi="Arial" w:cs="Arial"/>
          <w:sz w:val="24"/>
          <w:szCs w:val="24"/>
        </w:rPr>
      </w:pPr>
    </w:p>
    <w:p w14:paraId="5193A942" w14:textId="77777777" w:rsidR="00561949" w:rsidRPr="005002E0" w:rsidRDefault="00561949">
      <w:pPr>
        <w:rPr>
          <w:rFonts w:ascii="Arial" w:hAnsi="Arial" w:cs="Arial"/>
          <w:sz w:val="24"/>
          <w:szCs w:val="24"/>
        </w:rPr>
      </w:pPr>
    </w:p>
    <w:sectPr w:rsidR="00561949" w:rsidRPr="005002E0">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166E4F" w14:textId="77777777" w:rsidR="00561949" w:rsidRDefault="00561949" w:rsidP="00561949">
      <w:pPr>
        <w:spacing w:after="0" w:line="240" w:lineRule="auto"/>
      </w:pPr>
      <w:r>
        <w:separator/>
      </w:r>
    </w:p>
  </w:endnote>
  <w:endnote w:type="continuationSeparator" w:id="0">
    <w:p w14:paraId="23214933" w14:textId="77777777" w:rsidR="00561949" w:rsidRDefault="00561949" w:rsidP="005619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147DDA" w14:textId="77777777" w:rsidR="00561949" w:rsidRDefault="00561949" w:rsidP="00561949">
      <w:pPr>
        <w:spacing w:after="0" w:line="240" w:lineRule="auto"/>
      </w:pPr>
      <w:r>
        <w:separator/>
      </w:r>
    </w:p>
  </w:footnote>
  <w:footnote w:type="continuationSeparator" w:id="0">
    <w:p w14:paraId="78F12E95" w14:textId="77777777" w:rsidR="00561949" w:rsidRDefault="00561949" w:rsidP="005619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5002E9" w14:textId="0DB705C8" w:rsidR="00561949" w:rsidRPr="00561949" w:rsidRDefault="00561949" w:rsidP="00561949">
    <w:pPr>
      <w:pStyle w:val="Header"/>
      <w:jc w:val="right"/>
      <w:rPr>
        <w:rFonts w:ascii="Arial" w:hAnsi="Arial" w:cs="Arial"/>
        <w:sz w:val="24"/>
        <w:szCs w:val="24"/>
      </w:rPr>
    </w:pPr>
    <w:r w:rsidRPr="00561949">
      <w:rPr>
        <w:rFonts w:ascii="Arial" w:hAnsi="Arial" w:cs="Arial"/>
        <w:sz w:val="24"/>
        <w:szCs w:val="24"/>
      </w:rPr>
      <w:t>Rob Jones (2004654)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AA4500"/>
    <w:multiLevelType w:val="multilevel"/>
    <w:tmpl w:val="C93A7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DB19A1"/>
    <w:multiLevelType w:val="hybridMultilevel"/>
    <w:tmpl w:val="FC504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E67F0B"/>
    <w:multiLevelType w:val="hybridMultilevel"/>
    <w:tmpl w:val="1BF63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949"/>
    <w:rsid w:val="0002362C"/>
    <w:rsid w:val="00093F42"/>
    <w:rsid w:val="00096CB4"/>
    <w:rsid w:val="000C54DE"/>
    <w:rsid w:val="001175F9"/>
    <w:rsid w:val="001768E9"/>
    <w:rsid w:val="00251F6E"/>
    <w:rsid w:val="003710B6"/>
    <w:rsid w:val="00411614"/>
    <w:rsid w:val="0041747A"/>
    <w:rsid w:val="004742F6"/>
    <w:rsid w:val="004832C9"/>
    <w:rsid w:val="00484DDC"/>
    <w:rsid w:val="004C48B4"/>
    <w:rsid w:val="004C76C1"/>
    <w:rsid w:val="004D321C"/>
    <w:rsid w:val="005002E0"/>
    <w:rsid w:val="00515374"/>
    <w:rsid w:val="00535974"/>
    <w:rsid w:val="005504CB"/>
    <w:rsid w:val="00557A04"/>
    <w:rsid w:val="00561949"/>
    <w:rsid w:val="00584EAB"/>
    <w:rsid w:val="005A3EA9"/>
    <w:rsid w:val="005B55B8"/>
    <w:rsid w:val="006023B1"/>
    <w:rsid w:val="006556D8"/>
    <w:rsid w:val="006B103C"/>
    <w:rsid w:val="006B6F95"/>
    <w:rsid w:val="006C2805"/>
    <w:rsid w:val="00751FCD"/>
    <w:rsid w:val="007C0A55"/>
    <w:rsid w:val="007C2FE1"/>
    <w:rsid w:val="007D0F6C"/>
    <w:rsid w:val="0087653D"/>
    <w:rsid w:val="00882870"/>
    <w:rsid w:val="008C290E"/>
    <w:rsid w:val="00A03E81"/>
    <w:rsid w:val="00A15FB5"/>
    <w:rsid w:val="00A522DC"/>
    <w:rsid w:val="00A71FC8"/>
    <w:rsid w:val="00A77C53"/>
    <w:rsid w:val="00C227E0"/>
    <w:rsid w:val="00C4501A"/>
    <w:rsid w:val="00C90F92"/>
    <w:rsid w:val="00CC1A1C"/>
    <w:rsid w:val="00D059D3"/>
    <w:rsid w:val="00D349CB"/>
    <w:rsid w:val="00DD261A"/>
    <w:rsid w:val="00EF690B"/>
    <w:rsid w:val="00F235FF"/>
    <w:rsid w:val="00F65537"/>
    <w:rsid w:val="00F748B2"/>
    <w:rsid w:val="00FA28F7"/>
    <w:rsid w:val="00FF55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DA921"/>
  <w15:chartTrackingRefBased/>
  <w15:docId w15:val="{13BE49F4-8C61-4837-A580-40E577FDF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02E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19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1949"/>
  </w:style>
  <w:style w:type="paragraph" w:styleId="Footer">
    <w:name w:val="footer"/>
    <w:basedOn w:val="Normal"/>
    <w:link w:val="FooterChar"/>
    <w:uiPriority w:val="99"/>
    <w:unhideWhenUsed/>
    <w:rsid w:val="005619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1949"/>
  </w:style>
  <w:style w:type="paragraph" w:styleId="ListParagraph">
    <w:name w:val="List Paragraph"/>
    <w:basedOn w:val="Normal"/>
    <w:uiPriority w:val="34"/>
    <w:qFormat/>
    <w:rsid w:val="00561949"/>
    <w:pPr>
      <w:ind w:left="720"/>
      <w:contextualSpacing/>
    </w:pPr>
  </w:style>
  <w:style w:type="character" w:styleId="Hyperlink">
    <w:name w:val="Hyperlink"/>
    <w:basedOn w:val="DefaultParagraphFont"/>
    <w:uiPriority w:val="99"/>
    <w:semiHidden/>
    <w:unhideWhenUsed/>
    <w:rsid w:val="008C290E"/>
    <w:rPr>
      <w:color w:val="0000FF"/>
      <w:u w:val="single"/>
    </w:rPr>
  </w:style>
  <w:style w:type="character" w:styleId="Emphasis">
    <w:name w:val="Emphasis"/>
    <w:basedOn w:val="DefaultParagraphFont"/>
    <w:uiPriority w:val="20"/>
    <w:qFormat/>
    <w:rsid w:val="007D0F6C"/>
    <w:rPr>
      <w:i/>
      <w:iCs/>
    </w:rPr>
  </w:style>
  <w:style w:type="paragraph" w:styleId="NormalWeb">
    <w:name w:val="Normal (Web)"/>
    <w:basedOn w:val="Normal"/>
    <w:uiPriority w:val="99"/>
    <w:unhideWhenUsed/>
    <w:rsid w:val="00751F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5002E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002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928405">
      <w:bodyDiv w:val="1"/>
      <w:marLeft w:val="0"/>
      <w:marRight w:val="0"/>
      <w:marTop w:val="0"/>
      <w:marBottom w:val="0"/>
      <w:divBdr>
        <w:top w:val="none" w:sz="0" w:space="0" w:color="auto"/>
        <w:left w:val="none" w:sz="0" w:space="0" w:color="auto"/>
        <w:bottom w:val="none" w:sz="0" w:space="0" w:color="auto"/>
        <w:right w:val="none" w:sz="0" w:space="0" w:color="auto"/>
      </w:divBdr>
    </w:div>
    <w:div w:id="362829212">
      <w:bodyDiv w:val="1"/>
      <w:marLeft w:val="0"/>
      <w:marRight w:val="0"/>
      <w:marTop w:val="0"/>
      <w:marBottom w:val="0"/>
      <w:divBdr>
        <w:top w:val="none" w:sz="0" w:space="0" w:color="auto"/>
        <w:left w:val="none" w:sz="0" w:space="0" w:color="auto"/>
        <w:bottom w:val="none" w:sz="0" w:space="0" w:color="auto"/>
        <w:right w:val="none" w:sz="0" w:space="0" w:color="auto"/>
      </w:divBdr>
    </w:div>
    <w:div w:id="370038620">
      <w:bodyDiv w:val="1"/>
      <w:marLeft w:val="0"/>
      <w:marRight w:val="0"/>
      <w:marTop w:val="0"/>
      <w:marBottom w:val="0"/>
      <w:divBdr>
        <w:top w:val="none" w:sz="0" w:space="0" w:color="auto"/>
        <w:left w:val="none" w:sz="0" w:space="0" w:color="auto"/>
        <w:bottom w:val="none" w:sz="0" w:space="0" w:color="auto"/>
        <w:right w:val="none" w:sz="0" w:space="0" w:color="auto"/>
      </w:divBdr>
    </w:div>
    <w:div w:id="635454696">
      <w:bodyDiv w:val="1"/>
      <w:marLeft w:val="0"/>
      <w:marRight w:val="0"/>
      <w:marTop w:val="0"/>
      <w:marBottom w:val="0"/>
      <w:divBdr>
        <w:top w:val="none" w:sz="0" w:space="0" w:color="auto"/>
        <w:left w:val="none" w:sz="0" w:space="0" w:color="auto"/>
        <w:bottom w:val="none" w:sz="0" w:space="0" w:color="auto"/>
        <w:right w:val="none" w:sz="0" w:space="0" w:color="auto"/>
      </w:divBdr>
    </w:div>
    <w:div w:id="997030972">
      <w:bodyDiv w:val="1"/>
      <w:marLeft w:val="0"/>
      <w:marRight w:val="0"/>
      <w:marTop w:val="0"/>
      <w:marBottom w:val="0"/>
      <w:divBdr>
        <w:top w:val="none" w:sz="0" w:space="0" w:color="auto"/>
        <w:left w:val="none" w:sz="0" w:space="0" w:color="auto"/>
        <w:bottom w:val="none" w:sz="0" w:space="0" w:color="auto"/>
        <w:right w:val="none" w:sz="0" w:space="0" w:color="auto"/>
      </w:divBdr>
    </w:div>
    <w:div w:id="1185249658">
      <w:bodyDiv w:val="1"/>
      <w:marLeft w:val="0"/>
      <w:marRight w:val="0"/>
      <w:marTop w:val="0"/>
      <w:marBottom w:val="0"/>
      <w:divBdr>
        <w:top w:val="none" w:sz="0" w:space="0" w:color="auto"/>
        <w:left w:val="none" w:sz="0" w:space="0" w:color="auto"/>
        <w:bottom w:val="none" w:sz="0" w:space="0" w:color="auto"/>
        <w:right w:val="none" w:sz="0" w:space="0" w:color="auto"/>
      </w:divBdr>
    </w:div>
    <w:div w:id="1229535508">
      <w:bodyDiv w:val="1"/>
      <w:marLeft w:val="0"/>
      <w:marRight w:val="0"/>
      <w:marTop w:val="0"/>
      <w:marBottom w:val="0"/>
      <w:divBdr>
        <w:top w:val="none" w:sz="0" w:space="0" w:color="auto"/>
        <w:left w:val="none" w:sz="0" w:space="0" w:color="auto"/>
        <w:bottom w:val="none" w:sz="0" w:space="0" w:color="auto"/>
        <w:right w:val="none" w:sz="0" w:space="0" w:color="auto"/>
      </w:divBdr>
    </w:div>
    <w:div w:id="1484934880">
      <w:bodyDiv w:val="1"/>
      <w:marLeft w:val="0"/>
      <w:marRight w:val="0"/>
      <w:marTop w:val="0"/>
      <w:marBottom w:val="0"/>
      <w:divBdr>
        <w:top w:val="none" w:sz="0" w:space="0" w:color="auto"/>
        <w:left w:val="none" w:sz="0" w:space="0" w:color="auto"/>
        <w:bottom w:val="none" w:sz="0" w:space="0" w:color="auto"/>
        <w:right w:val="none" w:sz="0" w:space="0" w:color="auto"/>
      </w:divBdr>
    </w:div>
    <w:div w:id="1490242656">
      <w:bodyDiv w:val="1"/>
      <w:marLeft w:val="0"/>
      <w:marRight w:val="0"/>
      <w:marTop w:val="0"/>
      <w:marBottom w:val="0"/>
      <w:divBdr>
        <w:top w:val="none" w:sz="0" w:space="0" w:color="auto"/>
        <w:left w:val="none" w:sz="0" w:space="0" w:color="auto"/>
        <w:bottom w:val="none" w:sz="0" w:space="0" w:color="auto"/>
        <w:right w:val="none" w:sz="0" w:space="0" w:color="auto"/>
      </w:divBdr>
    </w:div>
    <w:div w:id="1560552623">
      <w:bodyDiv w:val="1"/>
      <w:marLeft w:val="0"/>
      <w:marRight w:val="0"/>
      <w:marTop w:val="0"/>
      <w:marBottom w:val="0"/>
      <w:divBdr>
        <w:top w:val="none" w:sz="0" w:space="0" w:color="auto"/>
        <w:left w:val="none" w:sz="0" w:space="0" w:color="auto"/>
        <w:bottom w:val="none" w:sz="0" w:space="0" w:color="auto"/>
        <w:right w:val="none" w:sz="0" w:space="0" w:color="auto"/>
      </w:divBdr>
    </w:div>
    <w:div w:id="1588924023">
      <w:bodyDiv w:val="1"/>
      <w:marLeft w:val="0"/>
      <w:marRight w:val="0"/>
      <w:marTop w:val="0"/>
      <w:marBottom w:val="0"/>
      <w:divBdr>
        <w:top w:val="none" w:sz="0" w:space="0" w:color="auto"/>
        <w:left w:val="none" w:sz="0" w:space="0" w:color="auto"/>
        <w:bottom w:val="none" w:sz="0" w:space="0" w:color="auto"/>
        <w:right w:val="none" w:sz="0" w:space="0" w:color="auto"/>
      </w:divBdr>
    </w:div>
    <w:div w:id="1624573447">
      <w:bodyDiv w:val="1"/>
      <w:marLeft w:val="0"/>
      <w:marRight w:val="0"/>
      <w:marTop w:val="0"/>
      <w:marBottom w:val="0"/>
      <w:divBdr>
        <w:top w:val="none" w:sz="0" w:space="0" w:color="auto"/>
        <w:left w:val="none" w:sz="0" w:space="0" w:color="auto"/>
        <w:bottom w:val="none" w:sz="0" w:space="0" w:color="auto"/>
        <w:right w:val="none" w:sz="0" w:space="0" w:color="auto"/>
      </w:divBdr>
    </w:div>
    <w:div w:id="1863277989">
      <w:bodyDiv w:val="1"/>
      <w:marLeft w:val="0"/>
      <w:marRight w:val="0"/>
      <w:marTop w:val="0"/>
      <w:marBottom w:val="0"/>
      <w:divBdr>
        <w:top w:val="none" w:sz="0" w:space="0" w:color="auto"/>
        <w:left w:val="none" w:sz="0" w:space="0" w:color="auto"/>
        <w:bottom w:val="none" w:sz="0" w:space="0" w:color="auto"/>
        <w:right w:val="none" w:sz="0" w:space="0" w:color="auto"/>
      </w:divBdr>
    </w:div>
    <w:div w:id="1920022215">
      <w:bodyDiv w:val="1"/>
      <w:marLeft w:val="0"/>
      <w:marRight w:val="0"/>
      <w:marTop w:val="0"/>
      <w:marBottom w:val="0"/>
      <w:divBdr>
        <w:top w:val="none" w:sz="0" w:space="0" w:color="auto"/>
        <w:left w:val="none" w:sz="0" w:space="0" w:color="auto"/>
        <w:bottom w:val="none" w:sz="0" w:space="0" w:color="auto"/>
        <w:right w:val="none" w:sz="0" w:space="0" w:color="auto"/>
      </w:divBdr>
    </w:div>
    <w:div w:id="1921911534">
      <w:bodyDiv w:val="1"/>
      <w:marLeft w:val="0"/>
      <w:marRight w:val="0"/>
      <w:marTop w:val="0"/>
      <w:marBottom w:val="0"/>
      <w:divBdr>
        <w:top w:val="none" w:sz="0" w:space="0" w:color="auto"/>
        <w:left w:val="none" w:sz="0" w:space="0" w:color="auto"/>
        <w:bottom w:val="none" w:sz="0" w:space="0" w:color="auto"/>
        <w:right w:val="none" w:sz="0" w:space="0" w:color="auto"/>
      </w:divBdr>
    </w:div>
    <w:div w:id="1942225646">
      <w:bodyDiv w:val="1"/>
      <w:marLeft w:val="0"/>
      <w:marRight w:val="0"/>
      <w:marTop w:val="0"/>
      <w:marBottom w:val="0"/>
      <w:divBdr>
        <w:top w:val="none" w:sz="0" w:space="0" w:color="auto"/>
        <w:left w:val="none" w:sz="0" w:space="0" w:color="auto"/>
        <w:bottom w:val="none" w:sz="0" w:space="0" w:color="auto"/>
        <w:right w:val="none" w:sz="0" w:space="0" w:color="auto"/>
      </w:divBdr>
    </w:div>
    <w:div w:id="1944073890">
      <w:bodyDiv w:val="1"/>
      <w:marLeft w:val="0"/>
      <w:marRight w:val="0"/>
      <w:marTop w:val="0"/>
      <w:marBottom w:val="0"/>
      <w:divBdr>
        <w:top w:val="none" w:sz="0" w:space="0" w:color="auto"/>
        <w:left w:val="none" w:sz="0" w:space="0" w:color="auto"/>
        <w:bottom w:val="none" w:sz="0" w:space="0" w:color="auto"/>
        <w:right w:val="none" w:sz="0" w:space="0" w:color="auto"/>
      </w:divBdr>
    </w:div>
    <w:div w:id="2050567189">
      <w:bodyDiv w:val="1"/>
      <w:marLeft w:val="0"/>
      <w:marRight w:val="0"/>
      <w:marTop w:val="0"/>
      <w:marBottom w:val="0"/>
      <w:divBdr>
        <w:top w:val="none" w:sz="0" w:space="0" w:color="auto"/>
        <w:left w:val="none" w:sz="0" w:space="0" w:color="auto"/>
        <w:bottom w:val="none" w:sz="0" w:space="0" w:color="auto"/>
        <w:right w:val="none" w:sz="0" w:space="0" w:color="auto"/>
      </w:divBdr>
    </w:div>
    <w:div w:id="212179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England_and_Wale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Leg21</b:Tag>
    <b:SourceType>InternetSite</b:SourceType>
    <b:Guid>{66BF094A-7432-4CD3-AEC2-5EE8D1BF1CE3}</b:Guid>
    <b:Author>
      <b:Author>
        <b:Corporate>Legislation.GOV.UK</b:Corporate>
      </b:Author>
    </b:Author>
    <b:Title>Offences against the Person Act 1861</b:Title>
    <b:InternetSiteTitle>Legislation.GOV.UK</b:InternetSiteTitle>
    <b:Year>2021</b:Year>
    <b:URL>https://www.legislation.gov.uk/ukpga/Vict/24-25/100/contents</b:URL>
    <b:YearAccessed>2021</b:YearAccessed>
    <b:MonthAccessed>Feburary</b:MonthAccessed>
    <b:DayAccessed>6</b:DayAccessed>
    <b:RefOrder>1</b:RefOrder>
  </b:Source>
  <b:Source>
    <b:Tag>Uni18</b:Tag>
    <b:SourceType>InternetSite</b:SourceType>
    <b:Guid>{82644870-3445-476E-A352-0D42B11F12CA}</b:Guid>
    <b:Author>
      <b:Author>
        <b:Corporate>University of Nottingham</b:Corporate>
      </b:Author>
    </b:Author>
    <b:Title>Criminal Justice Research Centre</b:Title>
    <b:InternetSiteTitle>University of Nottingham</b:InternetSiteTitle>
    <b:Year>2018</b:Year>
    <b:URL>https://www.nottingham.ac.uk/research/groups/criminal-justice-research-centre/events/sir-jc-smith-lecture-2018.aspx</b:URL>
    <b:YearAccessed>2021</b:YearAccessed>
    <b:MonthAccessed>Feburary</b:MonthAccessed>
    <b:DayAccessed>20</b:DayAccessed>
    <b:RefOrder>3</b:RefOrder>
  </b:Source>
  <b:Source>
    <b:Tag>Law192</b:Tag>
    <b:SourceType>InternetSite</b:SourceType>
    <b:Guid>{BD50474C-CC34-4EA2-B9BD-A90B529B0B54}</b:Guid>
    <b:Author>
      <b:Author>
        <b:Corporate>Law Trove</b:Corporate>
      </b:Author>
    </b:Author>
    <b:Title>Non fatal offences against the person</b:Title>
    <b:InternetSiteTitle>Law Trove</b:InternetSiteTitle>
    <b:Year>2019</b:Year>
    <b:URL>https://www.oxfordlawtrove.com/view/10.1093/he/9780198831938.001.0001/he-9780198831938-chapter-10#:~:text=Non-fatal%20offences%20include%20assault,offences%20related%20to%20%27acid%20attacks</b:URL>
    <b:YearAccessed>2021</b:YearAccessed>
    <b:MonthAccessed>Feburary</b:MonthAccessed>
    <b:DayAccessed>20</b:DayAccessed>
    <b:RefOrder>4</b:RefOrder>
  </b:Source>
  <b:Source>
    <b:Tag>Ela76</b:Tag>
    <b:SourceType>InternetSite</b:SourceType>
    <b:Guid>{8F4CE299-E8CF-4E76-9813-3D7B93434E62}</b:Guid>
    <b:Author>
      <b:Author>
        <b:Corporate>E-lawresources.co.uk</b:Corporate>
      </b:Author>
    </b:Author>
    <b:Title>Logdon v DPP [1976] Crim LR 121</b:Title>
    <b:InternetSiteTitle>E-lawresources.co.uk</b:InternetSiteTitle>
    <b:Year>1976</b:Year>
    <b:URL>https://www.e-lawresources.co.uk/Logdon-v-DPP.php</b:URL>
    <b:YearAccessed>2021</b:YearAccessed>
    <b:MonthAccessed>Feburary</b:MonthAccessed>
    <b:DayAccessed>20</b:DayAccessed>
    <b:RefOrder>5</b:RefOrder>
  </b:Source>
  <b:Source>
    <b:Tag>Leg18</b:Tag>
    <b:SourceType>InternetSite</b:SourceType>
    <b:Guid>{EEA2E7E7-9AE6-4160-92D7-D5D9ABEE3F69}</b:Guid>
    <b:Author>
      <b:Author>
        <b:Corporate>Legal Match</b:Corporate>
      </b:Author>
    </b:Author>
    <b:Title>What is Battery</b:Title>
    <b:InternetSiteTitle>Legal Match</b:InternetSiteTitle>
    <b:Year>2018</b:Year>
    <b:Month>June</b:Month>
    <b:Day>26</b:Day>
    <b:URL>https://www.legalmatch.com/law-library/article/what-is-battery.html#:~:text=Battery%20is%20a%20type%20of,touching%20or%20actual%20physical%20injury.&amp;text=This%20means%20that%20battery%20is,usually%20less%20than%20one%20year).</b:URL>
    <b:YearAccessed>2021</b:YearAccessed>
    <b:MonthAccessed>Feburary</b:MonthAccessed>
    <b:DayAccessed>20</b:DayAccessed>
    <b:RefOrder>6</b:RefOrder>
  </b:Source>
  <b:Source>
    <b:Tag>Off20</b:Tag>
    <b:SourceType>InternetSite</b:SourceType>
    <b:Guid>{37EC4095-4CD5-4133-80EA-68D237B25081}</b:Guid>
    <b:Title>Offences against the Person, incorporating the Charging Standard</b:Title>
    <b:InternetSiteTitle>CPS</b:InternetSiteTitle>
    <b:Year>2020</b:Year>
    <b:Month>January</b:Month>
    <b:Day>6</b:Day>
    <b:URL>https://www.cps.gov.uk/legal-guidance/offences-against-person-incorporating-charging-standard</b:URL>
    <b:YearAccessed>2021</b:YearAccessed>
    <b:MonthAccessed>Feburary</b:MonthAccessed>
    <b:DayAccessed>20</b:DayAccessed>
    <b:RefOrder>7</b:RefOrder>
  </b:Source>
  <b:Source>
    <b:Tag>Law20</b:Tag>
    <b:SourceType>InternetSite</b:SourceType>
    <b:Guid>{8303A921-1099-4062-9DB5-62E73B21ECF1}</b:Guid>
    <b:Author>
      <b:Author>
        <b:Corporate>Law Teacher</b:Corporate>
      </b:Author>
    </b:Author>
    <b:Title>DPP v Smith - 1961</b:Title>
    <b:InternetSiteTitle>Law Teacher</b:InternetSiteTitle>
    <b:Year>2020</b:Year>
    <b:Month>December</b:Month>
    <b:Day>29</b:Day>
    <b:URL>https://www.lawteacher.net/cases/dpp-v-smith.php</b:URL>
    <b:YearAccessed>2021</b:YearAccessed>
    <b:MonthAccessed>Feburary</b:MonthAccessed>
    <b:DayAccessed>20</b:DayAccessed>
    <b:RefOrder>8</b:RefOrder>
  </b:Source>
  <b:Source>
    <b:Tag>Oxf201</b:Tag>
    <b:SourceType>InternetSite</b:SourceType>
    <b:Guid>{E59F81D5-74A9-4394-A6BA-8BC21397638E}</b:Guid>
    <b:Author>
      <b:Author>
        <b:Corporate>Oxford Royale Academy</b:Corporate>
      </b:Author>
    </b:Author>
    <b:Title>The Massively Outdated Offences Against the Person Act 1861 Shows How Well the Common Law System Works</b:Title>
    <b:InternetSiteTitle>Oxford Royale Academy</b:InternetSiteTitle>
    <b:Year>2020</b:Year>
    <b:URL>https://www.oxford-royale.com/articles/offences-against-the-person-act-1861-needs-reform/</b:URL>
    <b:YearAccessed>2021</b:YearAccessed>
    <b:MonthAccessed>Feburary</b:MonthAccessed>
    <b:DayAccessed>20</b:DayAccessed>
    <b:RefOrder>9</b:RefOrder>
  </b:Source>
  <b:Source>
    <b:Tag>UKP21</b:Tag>
    <b:SourceType>InternetSite</b:SourceType>
    <b:Guid>{E2F3E743-15E0-46EC-B342-39DB6B87E2A3}</b:Guid>
    <b:Author>
      <b:Author>
        <b:Corporate>UK Parliament</b:Corporate>
      </b:Author>
    </b:Author>
    <b:Title>Lord Steyn</b:Title>
    <b:InternetSiteTitle>UK Parliament</b:InternetSiteTitle>
    <b:Year>2021</b:Year>
    <b:URL>https://members.parliament.uk/member/2226/career</b:URL>
    <b:YearAccessed>2021</b:YearAccessed>
    <b:MonthAccessed>Feburary</b:MonthAccessed>
    <b:DayAccessed>21</b:DayAccessed>
    <b:RefOrder>10</b:RefOrder>
  </b:Source>
  <b:Source>
    <b:Tag>Sag17</b:Tag>
    <b:SourceType>InternetSite</b:SourceType>
    <b:Guid>{39869FFB-2A08-4916-AF0F-2DC3FC102452}</b:Guid>
    <b:Author>
      <b:Author>
        <b:Corporate>Sage Journals</b:Corporate>
      </b:Author>
    </b:Author>
    <b:Title>Should We Reform the Offences Against the Person Act 1861?</b:Title>
    <b:InternetSiteTitle>Sage Journals</b:InternetSiteTitle>
    <b:Year>2017</b:Year>
    <b:Month>Feburary</b:Month>
    <b:Day>1</b:Day>
    <b:URL>https://journals.sagepub.com/doi/abs/10.1177/0022018316685478?journalCode=clja</b:URL>
    <b:YearAccessed>2021</b:YearAccessed>
    <b:MonthAccessed>Feburary</b:MonthAccessed>
    <b:DayAccessed>21</b:DayAccessed>
    <b:RefOrder>11</b:RefOrder>
  </b:Source>
  <b:Source>
    <b:Tag>Bit11</b:Tag>
    <b:SourceType>InternetSite</b:SourceType>
    <b:Guid>{B32291DF-B4A3-48EF-8FD4-6BD0F3712337}</b:Guid>
    <b:Author>
      <b:Author>
        <b:Corporate>Bits of Law</b:Corporate>
      </b:Author>
    </b:Author>
    <b:Title>Non-Fatal Offences: Evaluation and Reform</b:Title>
    <b:InternetSiteTitle>Bits of Law</b:InternetSiteTitle>
    <b:Year>2011</b:Year>
    <b:Month>November</b:Month>
    <b:Day>16</b:Day>
    <b:URL>http://www.bitsoflaw.org/criminal/offences-against-the-person/model-answer/a-level/non-fatal-evaluation-reform</b:URL>
    <b:YearAccessed>2021</b:YearAccessed>
    <b:MonthAccessed>Feburary</b:MonthAccessed>
    <b:DayAccessed>25</b:DayAccessed>
    <b:RefOrder>12</b:RefOrder>
  </b:Source>
  <b:Source>
    <b:Tag>Law21</b:Tag>
    <b:SourceType>InternetSite</b:SourceType>
    <b:Guid>{21BDE71A-3053-448A-A2CA-23BAC41DEBDB}</b:Guid>
    <b:Author>
      <b:Author>
        <b:Corporate>Law Commission</b:Corporate>
      </b:Author>
    </b:Author>
    <b:Title>Offences against the Person</b:Title>
    <b:InternetSiteTitle>Law Commission</b:InternetSiteTitle>
    <b:Year>2021</b:Year>
    <b:URL>https://www.lawcom.gov.uk/project/offences-against-the-person/</b:URL>
    <b:YearAccessed>2021</b:YearAccessed>
    <b:MonthAccessed>Feburary</b:MonthAccessed>
    <b:DayAccessed>20</b:DayAccessed>
    <b:RefOrder>2</b:RefOrder>
  </b:Source>
  <b:Source>
    <b:Tag>Als13</b:Tag>
    <b:SourceType>InternetSite</b:SourceType>
    <b:Guid>{10827E48-F9A6-4D27-A16F-850735291FF9}</b:Guid>
    <b:Author>
      <b:Author>
        <b:Corporate>Al's Law</b:Corporate>
      </b:Author>
    </b:Author>
    <b:Title>Taking a Legal View</b:Title>
    <b:InternetSiteTitle>Al's Law</b:InternetSiteTitle>
    <b:Year>2013</b:Year>
    <b:Month>June</b:Month>
    <b:Day>25</b:Day>
    <b:URL>https://alrich.wordpress.com/tag/r-v-lynsey-1995/</b:URL>
    <b:YearAccessed>2021</b:YearAccessed>
    <b:MonthAccessed>Feburary</b:MonthAccessed>
    <b:DayAccessed>25</b:DayAccessed>
    <b:RefOrder>14</b:RefOrder>
  </b:Source>
  <b:Source>
    <b:Tag>Law201</b:Tag>
    <b:SourceType>InternetSite</b:SourceType>
    <b:Guid>{E415126A-80AA-4511-9D80-ABFC48871104}</b:Guid>
    <b:Author>
      <b:Author>
        <b:Corporate>Law Teacher</b:Corporate>
      </b:Author>
    </b:Author>
    <b:Title>Offences Against the Person Act 1861 | Critique</b:Title>
    <b:InternetSiteTitle>Law Teacher</b:InternetSiteTitle>
    <b:Year>2020</b:Year>
    <b:Month>December</b:Month>
    <b:Day>14</b:Day>
    <b:URL>https://www.lawteacher.net/free-law-essays/criminal-law/offences-against-person-act-critique-9856.php#_ftn20</b:URL>
    <b:YearAccessed>2021</b:YearAccessed>
    <b:MonthAccessed>Feburary</b:MonthAccessed>
    <b:DayAccessed>27</b:DayAccessed>
    <b:RefOrder>13</b:RefOrder>
  </b:Source>
</b:Sources>
</file>

<file path=customXml/itemProps1.xml><?xml version="1.0" encoding="utf-8"?>
<ds:datastoreItem xmlns:ds="http://schemas.openxmlformats.org/officeDocument/2006/customXml" ds:itemID="{1F379105-6AA8-434B-B021-48B5A7B9C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2445</TotalTime>
  <Pages>6</Pages>
  <Words>2132</Words>
  <Characters>12153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Jones</dc:creator>
  <cp:keywords/>
  <dc:description/>
  <cp:lastModifiedBy>Rob Jones</cp:lastModifiedBy>
  <cp:revision>15</cp:revision>
  <dcterms:created xsi:type="dcterms:W3CDTF">2021-02-06T16:47:00Z</dcterms:created>
  <dcterms:modified xsi:type="dcterms:W3CDTF">2021-03-03T19:14:00Z</dcterms:modified>
</cp:coreProperties>
</file>