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36"/>
              <w:szCs w:val="36"/>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14:paraId="14F2F2DB" w14:textId="69D72AD9" w:rsidR="007D1947" w:rsidRDefault="00C648FE">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C648FE">
                <w:rPr>
                  <w:rFonts w:asciiTheme="majorHAnsi" w:eastAsiaTheme="majorEastAsia" w:hAnsiTheme="majorHAnsi" w:cstheme="majorBidi"/>
                  <w:caps/>
                  <w:color w:val="5B9BD5" w:themeColor="accent1"/>
                  <w:sz w:val="36"/>
                  <w:szCs w:val="36"/>
                </w:rPr>
                <w:t xml:space="preserve">budgeting principles and approaches edward </w:t>
              </w:r>
            </w:p>
          </w:sdtContent>
        </w:sdt>
        <w:p w14:paraId="1ADC1124" w14:textId="0CFF3949" w:rsidR="007D1947" w:rsidRPr="00C648FE" w:rsidRDefault="007D1947" w:rsidP="00C648FE">
          <w:pPr>
            <w:pStyle w:val="NoSpacing"/>
            <w:jc w:val="center"/>
            <w:rPr>
              <w:color w:val="5B9BD5" w:themeColor="accent1"/>
              <w:sz w:val="28"/>
              <w:szCs w:val="28"/>
            </w:rPr>
          </w:pPr>
          <w:r>
            <w:rPr>
              <w:noProof/>
              <w:color w:val="5B9BD5" w:themeColor="accent1"/>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4-01T00:00:00Z">
                                    <w:dateFormat w:val="MMMM d, yyyy"/>
                                    <w:lid w:val="en-US"/>
                                    <w:storeMappedDataAs w:val="dateTime"/>
                                    <w:calendar w:val="gregorian"/>
                                  </w:date>
                                </w:sdtPr>
                                <w:sdtContent>
                                  <w:p w14:paraId="52BAF8D9" w14:textId="48ECD10F" w:rsidR="00B0557A" w:rsidRDefault="00C648FE">
                                    <w:pPr>
                                      <w:pStyle w:val="NoSpacing"/>
                                      <w:spacing w:after="40"/>
                                      <w:jc w:val="center"/>
                                      <w:rPr>
                                        <w:caps/>
                                        <w:color w:val="5B9BD5" w:themeColor="accent1"/>
                                        <w:sz w:val="28"/>
                                        <w:szCs w:val="28"/>
                                      </w:rPr>
                                    </w:pPr>
                                    <w:r>
                                      <w:rPr>
                                        <w:caps/>
                                        <w:color w:val="5B9BD5" w:themeColor="accent1"/>
                                        <w:sz w:val="28"/>
                                        <w:szCs w:val="28"/>
                                      </w:rPr>
                                      <w:t>15th apr,2024</w:t>
                                    </w:r>
                                  </w:p>
                                </w:sdtContent>
                              </w:sdt>
                              <w:p w14:paraId="3FC79022" w14:textId="77777777" w:rsidR="00B0557A"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B0557A">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4-01T00:00:00Z">
                              <w:dateFormat w:val="MMMM d, yyyy"/>
                              <w:lid w:val="en-US"/>
                              <w:storeMappedDataAs w:val="dateTime"/>
                              <w:calendar w:val="gregorian"/>
                            </w:date>
                          </w:sdtPr>
                          <w:sdtContent>
                            <w:p w14:paraId="52BAF8D9" w14:textId="48ECD10F" w:rsidR="00B0557A" w:rsidRDefault="00C648FE">
                              <w:pPr>
                                <w:pStyle w:val="NoSpacing"/>
                                <w:spacing w:after="40"/>
                                <w:jc w:val="center"/>
                                <w:rPr>
                                  <w:caps/>
                                  <w:color w:val="5B9BD5" w:themeColor="accent1"/>
                                  <w:sz w:val="28"/>
                                  <w:szCs w:val="28"/>
                                </w:rPr>
                              </w:pPr>
                              <w:r>
                                <w:rPr>
                                  <w:caps/>
                                  <w:color w:val="5B9BD5" w:themeColor="accent1"/>
                                  <w:sz w:val="28"/>
                                  <w:szCs w:val="28"/>
                                </w:rPr>
                                <w:t>15th apr,2024</w:t>
                              </w:r>
                            </w:p>
                          </w:sdtContent>
                        </w:sdt>
                        <w:p w14:paraId="3FC79022" w14:textId="77777777" w:rsidR="00B0557A"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B0557A">
                                <w:rPr>
                                  <w:color w:val="5B9BD5" w:themeColor="accent1"/>
                                </w:rPr>
                                <w:t xml:space="preserve">     </w:t>
                              </w:r>
                            </w:sdtContent>
                          </w:sdt>
                        </w:p>
                      </w:txbxContent>
                    </v:textbox>
                    <w10:wrap anchorx="margin" anchory="page"/>
                  </v:shape>
                </w:pict>
              </mc:Fallback>
            </mc:AlternateContent>
          </w:r>
          <w:r>
            <w:rPr>
              <w:noProof/>
              <w:color w:val="5B9BD5" w:themeColor="accent1"/>
            </w:rPr>
            <w:drawing>
              <wp:inline distT="0" distB="0" distL="0" distR="0" wp14:anchorId="4157B111" wp14:editId="135DF5F9">
                <wp:extent cx="3153410" cy="640080"/>
                <wp:effectExtent l="0" t="0" r="8890" b="762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flipV="1">
                          <a:off x="0" y="0"/>
                          <a:ext cx="3194770" cy="648475"/>
                        </a:xfrm>
                        <a:prstGeom prst="rect">
                          <a:avLst/>
                        </a:prstGeom>
                      </pic:spPr>
                    </pic:pic>
                  </a:graphicData>
                </a:graphic>
              </wp:inline>
            </w:drawing>
          </w:r>
        </w:p>
        <w:p w14:paraId="078A531F" w14:textId="77777777" w:rsidR="007D1947" w:rsidRDefault="007D1947" w:rsidP="007D1947">
          <w:pPr>
            <w:pStyle w:val="Heading1"/>
          </w:pPr>
          <w:r>
            <w:br w:type="page"/>
          </w:r>
          <w:bookmarkStart w:id="0" w:name="_Toc163571961"/>
          <w:r>
            <w:lastRenderedPageBreak/>
            <w:t>Executive Summary</w:t>
          </w:r>
          <w:bookmarkEnd w:id="0"/>
        </w:p>
        <w:p w14:paraId="077F48DE" w14:textId="77777777" w:rsidR="00F506AD" w:rsidRDefault="00F506AD" w:rsidP="00F506AD">
          <w:r>
            <w:t>This report details all the critical issues regarding budgeting within the context of Edwards, a hypothetical company facing financial distress. The same is introduced in the background section with a summary as to the purpose and scope of the analysis to be done, re-emphasizing the importance of theory with practical application. The very gist of the story of the report revolves around such key components of budgeting as stock budgets, cash budgets, and Profit &amp; Loss Accounts.</w:t>
          </w:r>
        </w:p>
        <w:p w14:paraId="391B109D" w14:textId="77777777" w:rsidR="00F506AD" w:rsidRDefault="00F506AD" w:rsidP="00F506AD">
          <w:r>
            <w:t>The "Main Findings" section below will continue to provide detailed assessments of the Stock Budget, Cash Budget, and the Budgeted Profit &amp; Loss Account for Edwards over the next six months. It is after this that the budgets reveal potential pitfalls in the form of cash flow deficits, overstocking, and insufficient profit margins. The study proposes that the issues can be checked through measures such as management strategies for cash inflow, optimization of inventories, and control of costs. It further suggests the diversification of revenue sources and continuous monitoring and evaluation.</w:t>
          </w:r>
        </w:p>
        <w:p w14:paraId="5E593811" w14:textId="77777777" w:rsidR="00F506AD" w:rsidRDefault="00F506AD" w:rsidP="00F506AD">
          <w:r>
            <w:t>The report goes on to critically look at traditional approaches to budgeting, hence reflecting their inherent limits in the wake of a very fast-moving business landscape. Incremental, fixed, and top-down approaches to budgeting are questioned for the room they give to complacency, killing agility and ignoring invaluable insights. New approached like Beyond Budgeting, Activity-Based Budgeting (ABB), and Rolling Forecasts are recommended as creative solutions that would overcome the bounds of the old.</w:t>
          </w:r>
        </w:p>
        <w:p w14:paraId="62AB7F7D" w14:textId="067B8DB4" w:rsidR="007D1947" w:rsidRDefault="007D1947"/>
        <w:p w14:paraId="6846CF66" w14:textId="77777777" w:rsidR="007D1947" w:rsidRDefault="007D1947"/>
        <w:p w14:paraId="7F8F78F5" w14:textId="77777777" w:rsidR="007D1947" w:rsidRDefault="007D1947"/>
        <w:p w14:paraId="3E204757" w14:textId="77777777" w:rsidR="007D1947" w:rsidRDefault="007D1947"/>
        <w:p w14:paraId="775DA3A7" w14:textId="77777777" w:rsidR="007D1947" w:rsidRDefault="007D1947"/>
        <w:p w14:paraId="5E5C2FB5" w14:textId="77777777" w:rsidR="007D1947" w:rsidRDefault="007D1947"/>
        <w:p w14:paraId="119F1E47" w14:textId="77777777" w:rsidR="007D1947" w:rsidRDefault="007D1947"/>
        <w:p w14:paraId="2059565F" w14:textId="77777777" w:rsidR="007D1947" w:rsidRDefault="007D1947"/>
        <w:p w14:paraId="1E53466B" w14:textId="77777777" w:rsidR="007D1947" w:rsidRDefault="007D1947"/>
        <w:p w14:paraId="7BC12A6B" w14:textId="77777777" w:rsidR="007D1947" w:rsidRDefault="007D1947"/>
        <w:p w14:paraId="3C8549E0" w14:textId="77777777" w:rsidR="007D1947" w:rsidRDefault="007D1947"/>
        <w:p w14:paraId="606FEBB7" w14:textId="77777777" w:rsidR="007D1947" w:rsidRDefault="007D1947"/>
        <w:p w14:paraId="40B2C76A" w14:textId="77777777" w:rsidR="007D1947" w:rsidRDefault="007D1947"/>
        <w:p w14:paraId="2598F19F" w14:textId="77777777" w:rsidR="007D1947" w:rsidRDefault="007D1947"/>
        <w:p w14:paraId="777A1881" w14:textId="77777777" w:rsidR="007D1947" w:rsidRDefault="007D1947"/>
        <w:p w14:paraId="220B1276" w14:textId="77777777" w:rsidR="007D1947" w:rsidRDefault="007D1947"/>
        <w:p w14:paraId="50292428" w14:textId="30208C53" w:rsidR="007D1947" w:rsidRDefault="007D1947"/>
        <w:p w14:paraId="0EAD00A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17C372C3" w14:textId="37981621" w:rsidR="00B33817" w:rsidRDefault="007D1947">
              <w:pPr>
                <w:pStyle w:val="TOC1"/>
                <w:tabs>
                  <w:tab w:val="right" w:leader="dot" w:pos="9016"/>
                </w:tabs>
                <w:rPr>
                  <w:rFonts w:eastAsiaTheme="minorEastAsia"/>
                  <w:noProof/>
                  <w:lang w:val="en-US"/>
                </w:rPr>
              </w:pPr>
              <w:r>
                <w:fldChar w:fldCharType="begin"/>
              </w:r>
              <w:r>
                <w:instrText xml:space="preserve"> TOC \o "1-3" \h \z \u </w:instrText>
              </w:r>
              <w:r>
                <w:fldChar w:fldCharType="separate"/>
              </w:r>
              <w:hyperlink w:anchor="_Toc163571961" w:history="1">
                <w:r w:rsidR="00B33817" w:rsidRPr="009C5FC3">
                  <w:rPr>
                    <w:rStyle w:val="Hyperlink"/>
                    <w:noProof/>
                  </w:rPr>
                  <w:t>Executive Summary</w:t>
                </w:r>
                <w:r w:rsidR="00B33817">
                  <w:rPr>
                    <w:noProof/>
                    <w:webHidden/>
                  </w:rPr>
                  <w:tab/>
                </w:r>
                <w:r w:rsidR="00B33817">
                  <w:rPr>
                    <w:noProof/>
                    <w:webHidden/>
                  </w:rPr>
                  <w:fldChar w:fldCharType="begin"/>
                </w:r>
                <w:r w:rsidR="00B33817">
                  <w:rPr>
                    <w:noProof/>
                    <w:webHidden/>
                  </w:rPr>
                  <w:instrText xml:space="preserve"> PAGEREF _Toc163571961 \h </w:instrText>
                </w:r>
                <w:r w:rsidR="00B33817">
                  <w:rPr>
                    <w:noProof/>
                    <w:webHidden/>
                  </w:rPr>
                </w:r>
                <w:r w:rsidR="00B33817">
                  <w:rPr>
                    <w:noProof/>
                    <w:webHidden/>
                  </w:rPr>
                  <w:fldChar w:fldCharType="separate"/>
                </w:r>
                <w:r w:rsidR="00B33817">
                  <w:rPr>
                    <w:noProof/>
                    <w:webHidden/>
                  </w:rPr>
                  <w:t>1</w:t>
                </w:r>
                <w:r w:rsidR="00B33817">
                  <w:rPr>
                    <w:noProof/>
                    <w:webHidden/>
                  </w:rPr>
                  <w:fldChar w:fldCharType="end"/>
                </w:r>
              </w:hyperlink>
            </w:p>
            <w:p w14:paraId="40166BE5" w14:textId="0524673F" w:rsidR="00B33817" w:rsidRDefault="00000000">
              <w:pPr>
                <w:pStyle w:val="TOC1"/>
                <w:tabs>
                  <w:tab w:val="right" w:leader="dot" w:pos="9016"/>
                </w:tabs>
                <w:rPr>
                  <w:rFonts w:eastAsiaTheme="minorEastAsia"/>
                  <w:noProof/>
                  <w:lang w:val="en-US"/>
                </w:rPr>
              </w:pPr>
              <w:hyperlink w:anchor="_Toc163571962" w:history="1">
                <w:r w:rsidR="00B33817" w:rsidRPr="009C5FC3">
                  <w:rPr>
                    <w:rStyle w:val="Hyperlink"/>
                    <w:noProof/>
                  </w:rPr>
                  <w:t>Introduction</w:t>
                </w:r>
                <w:r w:rsidR="00B33817">
                  <w:rPr>
                    <w:noProof/>
                    <w:webHidden/>
                  </w:rPr>
                  <w:tab/>
                </w:r>
                <w:r w:rsidR="00B33817">
                  <w:rPr>
                    <w:noProof/>
                    <w:webHidden/>
                  </w:rPr>
                  <w:fldChar w:fldCharType="begin"/>
                </w:r>
                <w:r w:rsidR="00B33817">
                  <w:rPr>
                    <w:noProof/>
                    <w:webHidden/>
                  </w:rPr>
                  <w:instrText xml:space="preserve"> PAGEREF _Toc163571962 \h </w:instrText>
                </w:r>
                <w:r w:rsidR="00B33817">
                  <w:rPr>
                    <w:noProof/>
                    <w:webHidden/>
                  </w:rPr>
                </w:r>
                <w:r w:rsidR="00B33817">
                  <w:rPr>
                    <w:noProof/>
                    <w:webHidden/>
                  </w:rPr>
                  <w:fldChar w:fldCharType="separate"/>
                </w:r>
                <w:r w:rsidR="00B33817">
                  <w:rPr>
                    <w:noProof/>
                    <w:webHidden/>
                  </w:rPr>
                  <w:t>3</w:t>
                </w:r>
                <w:r w:rsidR="00B33817">
                  <w:rPr>
                    <w:noProof/>
                    <w:webHidden/>
                  </w:rPr>
                  <w:fldChar w:fldCharType="end"/>
                </w:r>
              </w:hyperlink>
            </w:p>
            <w:p w14:paraId="37360DDA" w14:textId="77AC4607" w:rsidR="00B33817" w:rsidRDefault="00000000">
              <w:pPr>
                <w:pStyle w:val="TOC1"/>
                <w:tabs>
                  <w:tab w:val="right" w:leader="dot" w:pos="9016"/>
                </w:tabs>
                <w:rPr>
                  <w:rFonts w:eastAsiaTheme="minorEastAsia"/>
                  <w:noProof/>
                  <w:lang w:val="en-US"/>
                </w:rPr>
              </w:pPr>
              <w:hyperlink w:anchor="_Toc163571963" w:history="1">
                <w:r w:rsidR="00B33817" w:rsidRPr="009C5FC3">
                  <w:rPr>
                    <w:rStyle w:val="Hyperlink"/>
                    <w:noProof/>
                  </w:rPr>
                  <w:t>Main Findings</w:t>
                </w:r>
                <w:r w:rsidR="00B33817">
                  <w:rPr>
                    <w:noProof/>
                    <w:webHidden/>
                  </w:rPr>
                  <w:tab/>
                </w:r>
                <w:r w:rsidR="00B33817">
                  <w:rPr>
                    <w:noProof/>
                    <w:webHidden/>
                  </w:rPr>
                  <w:fldChar w:fldCharType="begin"/>
                </w:r>
                <w:r w:rsidR="00B33817">
                  <w:rPr>
                    <w:noProof/>
                    <w:webHidden/>
                  </w:rPr>
                  <w:instrText xml:space="preserve"> PAGEREF _Toc163571963 \h </w:instrText>
                </w:r>
                <w:r w:rsidR="00B33817">
                  <w:rPr>
                    <w:noProof/>
                    <w:webHidden/>
                  </w:rPr>
                </w:r>
                <w:r w:rsidR="00B33817">
                  <w:rPr>
                    <w:noProof/>
                    <w:webHidden/>
                  </w:rPr>
                  <w:fldChar w:fldCharType="separate"/>
                </w:r>
                <w:r w:rsidR="00B33817">
                  <w:rPr>
                    <w:noProof/>
                    <w:webHidden/>
                  </w:rPr>
                  <w:t>4</w:t>
                </w:r>
                <w:r w:rsidR="00B33817">
                  <w:rPr>
                    <w:noProof/>
                    <w:webHidden/>
                  </w:rPr>
                  <w:fldChar w:fldCharType="end"/>
                </w:r>
              </w:hyperlink>
            </w:p>
            <w:p w14:paraId="2FBE3FFC" w14:textId="0C8C23BE" w:rsidR="00B33817" w:rsidRDefault="00000000">
              <w:pPr>
                <w:pStyle w:val="TOC1"/>
                <w:tabs>
                  <w:tab w:val="right" w:leader="dot" w:pos="9016"/>
                </w:tabs>
                <w:rPr>
                  <w:rFonts w:eastAsiaTheme="minorEastAsia"/>
                  <w:noProof/>
                  <w:lang w:val="en-US"/>
                </w:rPr>
              </w:pPr>
              <w:hyperlink w:anchor="_Toc163571964" w:history="1">
                <w:r w:rsidR="00B33817" w:rsidRPr="009C5FC3">
                  <w:rPr>
                    <w:rStyle w:val="Hyperlink"/>
                    <w:noProof/>
                    <w:lang w:val="en-US"/>
                  </w:rPr>
                  <w:t>Analysis of Financial Projections</w:t>
                </w:r>
                <w:r w:rsidR="00B33817">
                  <w:rPr>
                    <w:noProof/>
                    <w:webHidden/>
                  </w:rPr>
                  <w:tab/>
                </w:r>
                <w:r w:rsidR="00B33817">
                  <w:rPr>
                    <w:noProof/>
                    <w:webHidden/>
                  </w:rPr>
                  <w:fldChar w:fldCharType="begin"/>
                </w:r>
                <w:r w:rsidR="00B33817">
                  <w:rPr>
                    <w:noProof/>
                    <w:webHidden/>
                  </w:rPr>
                  <w:instrText xml:space="preserve"> PAGEREF _Toc163571964 \h </w:instrText>
                </w:r>
                <w:r w:rsidR="00B33817">
                  <w:rPr>
                    <w:noProof/>
                    <w:webHidden/>
                  </w:rPr>
                </w:r>
                <w:r w:rsidR="00B33817">
                  <w:rPr>
                    <w:noProof/>
                    <w:webHidden/>
                  </w:rPr>
                  <w:fldChar w:fldCharType="separate"/>
                </w:r>
                <w:r w:rsidR="00B33817">
                  <w:rPr>
                    <w:noProof/>
                    <w:webHidden/>
                  </w:rPr>
                  <w:t>5</w:t>
                </w:r>
                <w:r w:rsidR="00B33817">
                  <w:rPr>
                    <w:noProof/>
                    <w:webHidden/>
                  </w:rPr>
                  <w:fldChar w:fldCharType="end"/>
                </w:r>
              </w:hyperlink>
            </w:p>
            <w:p w14:paraId="30A96D95" w14:textId="3CC24434" w:rsidR="00B33817" w:rsidRDefault="00000000">
              <w:pPr>
                <w:pStyle w:val="TOC2"/>
                <w:tabs>
                  <w:tab w:val="right" w:leader="dot" w:pos="9016"/>
                </w:tabs>
                <w:rPr>
                  <w:rFonts w:eastAsiaTheme="minorEastAsia"/>
                  <w:noProof/>
                  <w:lang w:val="en-US"/>
                </w:rPr>
              </w:pPr>
              <w:hyperlink w:anchor="_Toc163571965" w:history="1">
                <w:r w:rsidR="00B33817" w:rsidRPr="009C5FC3">
                  <w:rPr>
                    <w:rStyle w:val="Hyperlink"/>
                    <w:noProof/>
                    <w:lang w:val="en-US"/>
                  </w:rPr>
                  <w:t>Question (a): Stock Budget</w:t>
                </w:r>
                <w:r w:rsidR="00B33817">
                  <w:rPr>
                    <w:noProof/>
                    <w:webHidden/>
                  </w:rPr>
                  <w:tab/>
                </w:r>
                <w:r w:rsidR="00B33817">
                  <w:rPr>
                    <w:noProof/>
                    <w:webHidden/>
                  </w:rPr>
                  <w:fldChar w:fldCharType="begin"/>
                </w:r>
                <w:r w:rsidR="00B33817">
                  <w:rPr>
                    <w:noProof/>
                    <w:webHidden/>
                  </w:rPr>
                  <w:instrText xml:space="preserve"> PAGEREF _Toc163571965 \h </w:instrText>
                </w:r>
                <w:r w:rsidR="00B33817">
                  <w:rPr>
                    <w:noProof/>
                    <w:webHidden/>
                  </w:rPr>
                </w:r>
                <w:r w:rsidR="00B33817">
                  <w:rPr>
                    <w:noProof/>
                    <w:webHidden/>
                  </w:rPr>
                  <w:fldChar w:fldCharType="separate"/>
                </w:r>
                <w:r w:rsidR="00B33817">
                  <w:rPr>
                    <w:noProof/>
                    <w:webHidden/>
                  </w:rPr>
                  <w:t>5</w:t>
                </w:r>
                <w:r w:rsidR="00B33817">
                  <w:rPr>
                    <w:noProof/>
                    <w:webHidden/>
                  </w:rPr>
                  <w:fldChar w:fldCharType="end"/>
                </w:r>
              </w:hyperlink>
            </w:p>
            <w:p w14:paraId="6EDDA818" w14:textId="746517CB" w:rsidR="00B33817" w:rsidRDefault="00000000">
              <w:pPr>
                <w:pStyle w:val="TOC2"/>
                <w:tabs>
                  <w:tab w:val="right" w:leader="dot" w:pos="9016"/>
                </w:tabs>
                <w:rPr>
                  <w:rFonts w:eastAsiaTheme="minorEastAsia"/>
                  <w:noProof/>
                  <w:lang w:val="en-US"/>
                </w:rPr>
              </w:pPr>
              <w:hyperlink w:anchor="_Toc163571966" w:history="1">
                <w:r w:rsidR="00B33817" w:rsidRPr="009C5FC3">
                  <w:rPr>
                    <w:rStyle w:val="Hyperlink"/>
                    <w:noProof/>
                    <w:lang w:val="en-US"/>
                  </w:rPr>
                  <w:t>Question (a): Cash Budget</w:t>
                </w:r>
                <w:r w:rsidR="00B33817">
                  <w:rPr>
                    <w:noProof/>
                    <w:webHidden/>
                  </w:rPr>
                  <w:tab/>
                </w:r>
                <w:r w:rsidR="00B33817">
                  <w:rPr>
                    <w:noProof/>
                    <w:webHidden/>
                  </w:rPr>
                  <w:fldChar w:fldCharType="begin"/>
                </w:r>
                <w:r w:rsidR="00B33817">
                  <w:rPr>
                    <w:noProof/>
                    <w:webHidden/>
                  </w:rPr>
                  <w:instrText xml:space="preserve"> PAGEREF _Toc163571966 \h </w:instrText>
                </w:r>
                <w:r w:rsidR="00B33817">
                  <w:rPr>
                    <w:noProof/>
                    <w:webHidden/>
                  </w:rPr>
                </w:r>
                <w:r w:rsidR="00B33817">
                  <w:rPr>
                    <w:noProof/>
                    <w:webHidden/>
                  </w:rPr>
                  <w:fldChar w:fldCharType="separate"/>
                </w:r>
                <w:r w:rsidR="00B33817">
                  <w:rPr>
                    <w:noProof/>
                    <w:webHidden/>
                  </w:rPr>
                  <w:t>5</w:t>
                </w:r>
                <w:r w:rsidR="00B33817">
                  <w:rPr>
                    <w:noProof/>
                    <w:webHidden/>
                  </w:rPr>
                  <w:fldChar w:fldCharType="end"/>
                </w:r>
              </w:hyperlink>
            </w:p>
            <w:p w14:paraId="48869F0C" w14:textId="5A71210E" w:rsidR="00B33817" w:rsidRDefault="00000000">
              <w:pPr>
                <w:pStyle w:val="TOC2"/>
                <w:tabs>
                  <w:tab w:val="right" w:leader="dot" w:pos="9016"/>
                </w:tabs>
                <w:rPr>
                  <w:rFonts w:eastAsiaTheme="minorEastAsia"/>
                  <w:noProof/>
                  <w:lang w:val="en-US"/>
                </w:rPr>
              </w:pPr>
              <w:hyperlink w:anchor="_Toc163571967" w:history="1">
                <w:r w:rsidR="00B33817" w:rsidRPr="009C5FC3">
                  <w:rPr>
                    <w:rStyle w:val="Hyperlink"/>
                    <w:noProof/>
                    <w:lang w:val="en-US"/>
                  </w:rPr>
                  <w:t>Question (a): Budgeted Profit &amp; Loss Account</w:t>
                </w:r>
                <w:r w:rsidR="00B33817">
                  <w:rPr>
                    <w:noProof/>
                    <w:webHidden/>
                  </w:rPr>
                  <w:tab/>
                </w:r>
                <w:r w:rsidR="00B33817">
                  <w:rPr>
                    <w:noProof/>
                    <w:webHidden/>
                  </w:rPr>
                  <w:fldChar w:fldCharType="begin"/>
                </w:r>
                <w:r w:rsidR="00B33817">
                  <w:rPr>
                    <w:noProof/>
                    <w:webHidden/>
                  </w:rPr>
                  <w:instrText xml:space="preserve"> PAGEREF _Toc163571967 \h </w:instrText>
                </w:r>
                <w:r w:rsidR="00B33817">
                  <w:rPr>
                    <w:noProof/>
                    <w:webHidden/>
                  </w:rPr>
                </w:r>
                <w:r w:rsidR="00B33817">
                  <w:rPr>
                    <w:noProof/>
                    <w:webHidden/>
                  </w:rPr>
                  <w:fldChar w:fldCharType="separate"/>
                </w:r>
                <w:r w:rsidR="00B33817">
                  <w:rPr>
                    <w:noProof/>
                    <w:webHidden/>
                  </w:rPr>
                  <w:t>6</w:t>
                </w:r>
                <w:r w:rsidR="00B33817">
                  <w:rPr>
                    <w:noProof/>
                    <w:webHidden/>
                  </w:rPr>
                  <w:fldChar w:fldCharType="end"/>
                </w:r>
              </w:hyperlink>
            </w:p>
            <w:p w14:paraId="6F9072C9" w14:textId="68619885" w:rsidR="00B33817" w:rsidRDefault="00000000">
              <w:pPr>
                <w:pStyle w:val="TOC1"/>
                <w:tabs>
                  <w:tab w:val="right" w:leader="dot" w:pos="9016"/>
                </w:tabs>
                <w:rPr>
                  <w:rFonts w:eastAsiaTheme="minorEastAsia"/>
                  <w:noProof/>
                  <w:lang w:val="en-US"/>
                </w:rPr>
              </w:pPr>
              <w:hyperlink w:anchor="_Toc163571968" w:history="1">
                <w:r w:rsidR="00B33817" w:rsidRPr="009C5FC3">
                  <w:rPr>
                    <w:rStyle w:val="Hyperlink"/>
                    <w:noProof/>
                    <w:lang w:val="en-US"/>
                  </w:rPr>
                  <w:t>Discussion on Potential Problems and Management Actions</w:t>
                </w:r>
                <w:r w:rsidR="00B33817">
                  <w:rPr>
                    <w:noProof/>
                    <w:webHidden/>
                  </w:rPr>
                  <w:tab/>
                </w:r>
                <w:r w:rsidR="00B33817">
                  <w:rPr>
                    <w:noProof/>
                    <w:webHidden/>
                  </w:rPr>
                  <w:fldChar w:fldCharType="begin"/>
                </w:r>
                <w:r w:rsidR="00B33817">
                  <w:rPr>
                    <w:noProof/>
                    <w:webHidden/>
                  </w:rPr>
                  <w:instrText xml:space="preserve"> PAGEREF _Toc163571968 \h </w:instrText>
                </w:r>
                <w:r w:rsidR="00B33817">
                  <w:rPr>
                    <w:noProof/>
                    <w:webHidden/>
                  </w:rPr>
                </w:r>
                <w:r w:rsidR="00B33817">
                  <w:rPr>
                    <w:noProof/>
                    <w:webHidden/>
                  </w:rPr>
                  <w:fldChar w:fldCharType="separate"/>
                </w:r>
                <w:r w:rsidR="00B33817">
                  <w:rPr>
                    <w:noProof/>
                    <w:webHidden/>
                  </w:rPr>
                  <w:t>6</w:t>
                </w:r>
                <w:r w:rsidR="00B33817">
                  <w:rPr>
                    <w:noProof/>
                    <w:webHidden/>
                  </w:rPr>
                  <w:fldChar w:fldCharType="end"/>
                </w:r>
              </w:hyperlink>
            </w:p>
            <w:p w14:paraId="13908AA6" w14:textId="43ABA7E4" w:rsidR="00B33817" w:rsidRDefault="00000000">
              <w:pPr>
                <w:pStyle w:val="TOC2"/>
                <w:tabs>
                  <w:tab w:val="right" w:leader="dot" w:pos="9016"/>
                </w:tabs>
                <w:rPr>
                  <w:rFonts w:eastAsiaTheme="minorEastAsia"/>
                  <w:noProof/>
                  <w:lang w:val="en-US"/>
                </w:rPr>
              </w:pPr>
              <w:hyperlink w:anchor="_Toc163571969" w:history="1">
                <w:r w:rsidR="00B33817" w:rsidRPr="009C5FC3">
                  <w:rPr>
                    <w:rStyle w:val="Hyperlink"/>
                    <w:noProof/>
                    <w:lang w:val="en-US"/>
                  </w:rPr>
                  <w:t>Identification of Potential Problems:</w:t>
                </w:r>
                <w:r w:rsidR="00B33817">
                  <w:rPr>
                    <w:noProof/>
                    <w:webHidden/>
                  </w:rPr>
                  <w:tab/>
                </w:r>
                <w:r w:rsidR="00B33817">
                  <w:rPr>
                    <w:noProof/>
                    <w:webHidden/>
                  </w:rPr>
                  <w:fldChar w:fldCharType="begin"/>
                </w:r>
                <w:r w:rsidR="00B33817">
                  <w:rPr>
                    <w:noProof/>
                    <w:webHidden/>
                  </w:rPr>
                  <w:instrText xml:space="preserve"> PAGEREF _Toc163571969 \h </w:instrText>
                </w:r>
                <w:r w:rsidR="00B33817">
                  <w:rPr>
                    <w:noProof/>
                    <w:webHidden/>
                  </w:rPr>
                </w:r>
                <w:r w:rsidR="00B33817">
                  <w:rPr>
                    <w:noProof/>
                    <w:webHidden/>
                  </w:rPr>
                  <w:fldChar w:fldCharType="separate"/>
                </w:r>
                <w:r w:rsidR="00B33817">
                  <w:rPr>
                    <w:noProof/>
                    <w:webHidden/>
                  </w:rPr>
                  <w:t>6</w:t>
                </w:r>
                <w:r w:rsidR="00B33817">
                  <w:rPr>
                    <w:noProof/>
                    <w:webHidden/>
                  </w:rPr>
                  <w:fldChar w:fldCharType="end"/>
                </w:r>
              </w:hyperlink>
            </w:p>
            <w:p w14:paraId="2B23BF13" w14:textId="5DC85637" w:rsidR="00B33817" w:rsidRDefault="00000000">
              <w:pPr>
                <w:pStyle w:val="TOC2"/>
                <w:tabs>
                  <w:tab w:val="right" w:leader="dot" w:pos="9016"/>
                </w:tabs>
                <w:rPr>
                  <w:rFonts w:eastAsiaTheme="minorEastAsia"/>
                  <w:noProof/>
                  <w:lang w:val="en-US"/>
                </w:rPr>
              </w:pPr>
              <w:hyperlink w:anchor="_Toc163571970" w:history="1">
                <w:r w:rsidR="00B33817" w:rsidRPr="009C5FC3">
                  <w:rPr>
                    <w:rStyle w:val="Hyperlink"/>
                    <w:noProof/>
                    <w:lang w:val="en-US"/>
                  </w:rPr>
                  <w:t>Proactive Management Actions:</w:t>
                </w:r>
                <w:r w:rsidR="00B33817">
                  <w:rPr>
                    <w:noProof/>
                    <w:webHidden/>
                  </w:rPr>
                  <w:tab/>
                </w:r>
                <w:r w:rsidR="00B33817">
                  <w:rPr>
                    <w:noProof/>
                    <w:webHidden/>
                  </w:rPr>
                  <w:fldChar w:fldCharType="begin"/>
                </w:r>
                <w:r w:rsidR="00B33817">
                  <w:rPr>
                    <w:noProof/>
                    <w:webHidden/>
                  </w:rPr>
                  <w:instrText xml:space="preserve"> PAGEREF _Toc163571970 \h </w:instrText>
                </w:r>
                <w:r w:rsidR="00B33817">
                  <w:rPr>
                    <w:noProof/>
                    <w:webHidden/>
                  </w:rPr>
                </w:r>
                <w:r w:rsidR="00B33817">
                  <w:rPr>
                    <w:noProof/>
                    <w:webHidden/>
                  </w:rPr>
                  <w:fldChar w:fldCharType="separate"/>
                </w:r>
                <w:r w:rsidR="00B33817">
                  <w:rPr>
                    <w:noProof/>
                    <w:webHidden/>
                  </w:rPr>
                  <w:t>7</w:t>
                </w:r>
                <w:r w:rsidR="00B33817">
                  <w:rPr>
                    <w:noProof/>
                    <w:webHidden/>
                  </w:rPr>
                  <w:fldChar w:fldCharType="end"/>
                </w:r>
              </w:hyperlink>
            </w:p>
            <w:p w14:paraId="1565FB4B" w14:textId="1EB41776" w:rsidR="00B33817" w:rsidRDefault="00000000">
              <w:pPr>
                <w:pStyle w:val="TOC1"/>
                <w:tabs>
                  <w:tab w:val="right" w:leader="dot" w:pos="9016"/>
                </w:tabs>
                <w:rPr>
                  <w:rFonts w:eastAsiaTheme="minorEastAsia"/>
                  <w:noProof/>
                  <w:lang w:val="en-US"/>
                </w:rPr>
              </w:pPr>
              <w:hyperlink w:anchor="_Toc163571971" w:history="1">
                <w:r w:rsidR="00B33817" w:rsidRPr="009C5FC3">
                  <w:rPr>
                    <w:rStyle w:val="Hyperlink"/>
                    <w:noProof/>
                    <w:lang w:val="en-US"/>
                  </w:rPr>
                  <w:t>Critical Discussion on Budgeting Conditions and Human Behavior</w:t>
                </w:r>
                <w:r w:rsidR="00B33817">
                  <w:rPr>
                    <w:noProof/>
                    <w:webHidden/>
                  </w:rPr>
                  <w:tab/>
                </w:r>
                <w:r w:rsidR="00B33817">
                  <w:rPr>
                    <w:noProof/>
                    <w:webHidden/>
                  </w:rPr>
                  <w:fldChar w:fldCharType="begin"/>
                </w:r>
                <w:r w:rsidR="00B33817">
                  <w:rPr>
                    <w:noProof/>
                    <w:webHidden/>
                  </w:rPr>
                  <w:instrText xml:space="preserve"> PAGEREF _Toc163571971 \h </w:instrText>
                </w:r>
                <w:r w:rsidR="00B33817">
                  <w:rPr>
                    <w:noProof/>
                    <w:webHidden/>
                  </w:rPr>
                </w:r>
                <w:r w:rsidR="00B33817">
                  <w:rPr>
                    <w:noProof/>
                    <w:webHidden/>
                  </w:rPr>
                  <w:fldChar w:fldCharType="separate"/>
                </w:r>
                <w:r w:rsidR="00B33817">
                  <w:rPr>
                    <w:noProof/>
                    <w:webHidden/>
                  </w:rPr>
                  <w:t>7</w:t>
                </w:r>
                <w:r w:rsidR="00B33817">
                  <w:rPr>
                    <w:noProof/>
                    <w:webHidden/>
                  </w:rPr>
                  <w:fldChar w:fldCharType="end"/>
                </w:r>
              </w:hyperlink>
            </w:p>
            <w:p w14:paraId="0466395A" w14:textId="2397546B" w:rsidR="00B33817" w:rsidRDefault="00000000">
              <w:pPr>
                <w:pStyle w:val="TOC2"/>
                <w:tabs>
                  <w:tab w:val="right" w:leader="dot" w:pos="9016"/>
                </w:tabs>
                <w:rPr>
                  <w:rFonts w:eastAsiaTheme="minorEastAsia"/>
                  <w:noProof/>
                  <w:lang w:val="en-US"/>
                </w:rPr>
              </w:pPr>
              <w:hyperlink w:anchor="_Toc163571972" w:history="1">
                <w:r w:rsidR="00B33817" w:rsidRPr="009C5FC3">
                  <w:rPr>
                    <w:rStyle w:val="Hyperlink"/>
                    <w:noProof/>
                    <w:lang w:val="en-US"/>
                  </w:rPr>
                  <w:t>Conditions for Successful Budgeting and Budgetary Control:</w:t>
                </w:r>
                <w:r w:rsidR="00B33817">
                  <w:rPr>
                    <w:noProof/>
                    <w:webHidden/>
                  </w:rPr>
                  <w:tab/>
                </w:r>
                <w:r w:rsidR="00B33817">
                  <w:rPr>
                    <w:noProof/>
                    <w:webHidden/>
                  </w:rPr>
                  <w:fldChar w:fldCharType="begin"/>
                </w:r>
                <w:r w:rsidR="00B33817">
                  <w:rPr>
                    <w:noProof/>
                    <w:webHidden/>
                  </w:rPr>
                  <w:instrText xml:space="preserve"> PAGEREF _Toc163571972 \h </w:instrText>
                </w:r>
                <w:r w:rsidR="00B33817">
                  <w:rPr>
                    <w:noProof/>
                    <w:webHidden/>
                  </w:rPr>
                </w:r>
                <w:r w:rsidR="00B33817">
                  <w:rPr>
                    <w:noProof/>
                    <w:webHidden/>
                  </w:rPr>
                  <w:fldChar w:fldCharType="separate"/>
                </w:r>
                <w:r w:rsidR="00B33817">
                  <w:rPr>
                    <w:noProof/>
                    <w:webHidden/>
                  </w:rPr>
                  <w:t>7</w:t>
                </w:r>
                <w:r w:rsidR="00B33817">
                  <w:rPr>
                    <w:noProof/>
                    <w:webHidden/>
                  </w:rPr>
                  <w:fldChar w:fldCharType="end"/>
                </w:r>
              </w:hyperlink>
            </w:p>
            <w:p w14:paraId="60B2E1A6" w14:textId="469B1CDC" w:rsidR="00B33817" w:rsidRDefault="00000000">
              <w:pPr>
                <w:pStyle w:val="TOC2"/>
                <w:tabs>
                  <w:tab w:val="right" w:leader="dot" w:pos="9016"/>
                </w:tabs>
                <w:rPr>
                  <w:rFonts w:eastAsiaTheme="minorEastAsia"/>
                  <w:noProof/>
                  <w:lang w:val="en-US"/>
                </w:rPr>
              </w:pPr>
              <w:hyperlink w:anchor="_Toc163571973" w:history="1">
                <w:r w:rsidR="00B33817" w:rsidRPr="009C5FC3">
                  <w:rPr>
                    <w:rStyle w:val="Hyperlink"/>
                    <w:noProof/>
                    <w:lang w:val="en-US"/>
                  </w:rPr>
                  <w:t>Key Points Related to Human Behavior in Budgeting Systems:</w:t>
                </w:r>
                <w:r w:rsidR="00B33817">
                  <w:rPr>
                    <w:noProof/>
                    <w:webHidden/>
                  </w:rPr>
                  <w:tab/>
                </w:r>
                <w:r w:rsidR="00B33817">
                  <w:rPr>
                    <w:noProof/>
                    <w:webHidden/>
                  </w:rPr>
                  <w:fldChar w:fldCharType="begin"/>
                </w:r>
                <w:r w:rsidR="00B33817">
                  <w:rPr>
                    <w:noProof/>
                    <w:webHidden/>
                  </w:rPr>
                  <w:instrText xml:space="preserve"> PAGEREF _Toc163571973 \h </w:instrText>
                </w:r>
                <w:r w:rsidR="00B33817">
                  <w:rPr>
                    <w:noProof/>
                    <w:webHidden/>
                  </w:rPr>
                </w:r>
                <w:r w:rsidR="00B33817">
                  <w:rPr>
                    <w:noProof/>
                    <w:webHidden/>
                  </w:rPr>
                  <w:fldChar w:fldCharType="separate"/>
                </w:r>
                <w:r w:rsidR="00B33817">
                  <w:rPr>
                    <w:noProof/>
                    <w:webHidden/>
                  </w:rPr>
                  <w:t>8</w:t>
                </w:r>
                <w:r w:rsidR="00B33817">
                  <w:rPr>
                    <w:noProof/>
                    <w:webHidden/>
                  </w:rPr>
                  <w:fldChar w:fldCharType="end"/>
                </w:r>
              </w:hyperlink>
            </w:p>
            <w:p w14:paraId="498780BC" w14:textId="4A75E7AC" w:rsidR="00B33817" w:rsidRDefault="00000000">
              <w:pPr>
                <w:pStyle w:val="TOC1"/>
                <w:tabs>
                  <w:tab w:val="right" w:leader="dot" w:pos="9016"/>
                </w:tabs>
                <w:rPr>
                  <w:rFonts w:eastAsiaTheme="minorEastAsia"/>
                  <w:noProof/>
                  <w:lang w:val="en-US"/>
                </w:rPr>
              </w:pPr>
              <w:hyperlink w:anchor="_Toc163571974" w:history="1">
                <w:r w:rsidR="00B33817" w:rsidRPr="009C5FC3">
                  <w:rPr>
                    <w:rStyle w:val="Hyperlink"/>
                    <w:noProof/>
                    <w:lang w:val="en-US"/>
                  </w:rPr>
                  <w:t>Critical Evaluation of Traditional Budgeting Approaches</w:t>
                </w:r>
                <w:r w:rsidR="00B33817">
                  <w:rPr>
                    <w:noProof/>
                    <w:webHidden/>
                  </w:rPr>
                  <w:tab/>
                </w:r>
                <w:r w:rsidR="00B33817">
                  <w:rPr>
                    <w:noProof/>
                    <w:webHidden/>
                  </w:rPr>
                  <w:fldChar w:fldCharType="begin"/>
                </w:r>
                <w:r w:rsidR="00B33817">
                  <w:rPr>
                    <w:noProof/>
                    <w:webHidden/>
                  </w:rPr>
                  <w:instrText xml:space="preserve"> PAGEREF _Toc163571974 \h </w:instrText>
                </w:r>
                <w:r w:rsidR="00B33817">
                  <w:rPr>
                    <w:noProof/>
                    <w:webHidden/>
                  </w:rPr>
                </w:r>
                <w:r w:rsidR="00B33817">
                  <w:rPr>
                    <w:noProof/>
                    <w:webHidden/>
                  </w:rPr>
                  <w:fldChar w:fldCharType="separate"/>
                </w:r>
                <w:r w:rsidR="00B33817">
                  <w:rPr>
                    <w:noProof/>
                    <w:webHidden/>
                  </w:rPr>
                  <w:t>9</w:t>
                </w:r>
                <w:r w:rsidR="00B33817">
                  <w:rPr>
                    <w:noProof/>
                    <w:webHidden/>
                  </w:rPr>
                  <w:fldChar w:fldCharType="end"/>
                </w:r>
              </w:hyperlink>
            </w:p>
            <w:p w14:paraId="6E62878F" w14:textId="46A7BBBE" w:rsidR="00B33817" w:rsidRDefault="00000000">
              <w:pPr>
                <w:pStyle w:val="TOC2"/>
                <w:tabs>
                  <w:tab w:val="right" w:leader="dot" w:pos="9016"/>
                </w:tabs>
                <w:rPr>
                  <w:rFonts w:eastAsiaTheme="minorEastAsia"/>
                  <w:noProof/>
                  <w:lang w:val="en-US"/>
                </w:rPr>
              </w:pPr>
              <w:hyperlink w:anchor="_Toc163571975" w:history="1">
                <w:r w:rsidR="00B33817" w:rsidRPr="009C5FC3">
                  <w:rPr>
                    <w:rStyle w:val="Hyperlink"/>
                    <w:noProof/>
                    <w:lang w:val="en-US"/>
                  </w:rPr>
                  <w:t>Assessment of Traditional Budgeting Approaches:</w:t>
                </w:r>
                <w:r w:rsidR="00B33817">
                  <w:rPr>
                    <w:noProof/>
                    <w:webHidden/>
                  </w:rPr>
                  <w:tab/>
                </w:r>
                <w:r w:rsidR="00B33817">
                  <w:rPr>
                    <w:noProof/>
                    <w:webHidden/>
                  </w:rPr>
                  <w:fldChar w:fldCharType="begin"/>
                </w:r>
                <w:r w:rsidR="00B33817">
                  <w:rPr>
                    <w:noProof/>
                    <w:webHidden/>
                  </w:rPr>
                  <w:instrText xml:space="preserve"> PAGEREF _Toc163571975 \h </w:instrText>
                </w:r>
                <w:r w:rsidR="00B33817">
                  <w:rPr>
                    <w:noProof/>
                    <w:webHidden/>
                  </w:rPr>
                </w:r>
                <w:r w:rsidR="00B33817">
                  <w:rPr>
                    <w:noProof/>
                    <w:webHidden/>
                  </w:rPr>
                  <w:fldChar w:fldCharType="separate"/>
                </w:r>
                <w:r w:rsidR="00B33817">
                  <w:rPr>
                    <w:noProof/>
                    <w:webHidden/>
                  </w:rPr>
                  <w:t>9</w:t>
                </w:r>
                <w:r w:rsidR="00B33817">
                  <w:rPr>
                    <w:noProof/>
                    <w:webHidden/>
                  </w:rPr>
                  <w:fldChar w:fldCharType="end"/>
                </w:r>
              </w:hyperlink>
            </w:p>
            <w:p w14:paraId="54F75BEE" w14:textId="23866552" w:rsidR="00B33817" w:rsidRDefault="00000000">
              <w:pPr>
                <w:pStyle w:val="TOC2"/>
                <w:tabs>
                  <w:tab w:val="right" w:leader="dot" w:pos="9016"/>
                </w:tabs>
                <w:rPr>
                  <w:rFonts w:eastAsiaTheme="minorEastAsia"/>
                  <w:noProof/>
                  <w:lang w:val="en-US"/>
                </w:rPr>
              </w:pPr>
              <w:hyperlink w:anchor="_Toc163571976" w:history="1">
                <w:r w:rsidR="00B33817" w:rsidRPr="009C5FC3">
                  <w:rPr>
                    <w:rStyle w:val="Hyperlink"/>
                    <w:noProof/>
                    <w:lang w:val="en-US"/>
                  </w:rPr>
                  <w:t>Inherent Flaws in Traditional Budgeting Methods:</w:t>
                </w:r>
                <w:r w:rsidR="00B33817">
                  <w:rPr>
                    <w:noProof/>
                    <w:webHidden/>
                  </w:rPr>
                  <w:tab/>
                </w:r>
                <w:r w:rsidR="00B33817">
                  <w:rPr>
                    <w:noProof/>
                    <w:webHidden/>
                  </w:rPr>
                  <w:fldChar w:fldCharType="begin"/>
                </w:r>
                <w:r w:rsidR="00B33817">
                  <w:rPr>
                    <w:noProof/>
                    <w:webHidden/>
                  </w:rPr>
                  <w:instrText xml:space="preserve"> PAGEREF _Toc163571976 \h </w:instrText>
                </w:r>
                <w:r w:rsidR="00B33817">
                  <w:rPr>
                    <w:noProof/>
                    <w:webHidden/>
                  </w:rPr>
                </w:r>
                <w:r w:rsidR="00B33817">
                  <w:rPr>
                    <w:noProof/>
                    <w:webHidden/>
                  </w:rPr>
                  <w:fldChar w:fldCharType="separate"/>
                </w:r>
                <w:r w:rsidR="00B33817">
                  <w:rPr>
                    <w:noProof/>
                    <w:webHidden/>
                  </w:rPr>
                  <w:t>10</w:t>
                </w:r>
                <w:r w:rsidR="00B33817">
                  <w:rPr>
                    <w:noProof/>
                    <w:webHidden/>
                  </w:rPr>
                  <w:fldChar w:fldCharType="end"/>
                </w:r>
              </w:hyperlink>
            </w:p>
            <w:p w14:paraId="308E915A" w14:textId="541F8346" w:rsidR="00B33817" w:rsidRDefault="00000000">
              <w:pPr>
                <w:pStyle w:val="TOC2"/>
                <w:tabs>
                  <w:tab w:val="right" w:leader="dot" w:pos="9016"/>
                </w:tabs>
                <w:rPr>
                  <w:rFonts w:eastAsiaTheme="minorEastAsia"/>
                  <w:noProof/>
                  <w:lang w:val="en-US"/>
                </w:rPr>
              </w:pPr>
              <w:hyperlink w:anchor="_Toc163571977" w:history="1">
                <w:r w:rsidR="00B33817" w:rsidRPr="009C5FC3">
                  <w:rPr>
                    <w:rStyle w:val="Hyperlink"/>
                    <w:noProof/>
                    <w:lang w:val="en-US"/>
                  </w:rPr>
                  <w:t>Potential Alternatives to Traditional Budgeting:</w:t>
                </w:r>
                <w:r w:rsidR="00B33817">
                  <w:rPr>
                    <w:noProof/>
                    <w:webHidden/>
                  </w:rPr>
                  <w:tab/>
                </w:r>
                <w:r w:rsidR="00B33817">
                  <w:rPr>
                    <w:noProof/>
                    <w:webHidden/>
                  </w:rPr>
                  <w:fldChar w:fldCharType="begin"/>
                </w:r>
                <w:r w:rsidR="00B33817">
                  <w:rPr>
                    <w:noProof/>
                    <w:webHidden/>
                  </w:rPr>
                  <w:instrText xml:space="preserve"> PAGEREF _Toc163571977 \h </w:instrText>
                </w:r>
                <w:r w:rsidR="00B33817">
                  <w:rPr>
                    <w:noProof/>
                    <w:webHidden/>
                  </w:rPr>
                </w:r>
                <w:r w:rsidR="00B33817">
                  <w:rPr>
                    <w:noProof/>
                    <w:webHidden/>
                  </w:rPr>
                  <w:fldChar w:fldCharType="separate"/>
                </w:r>
                <w:r w:rsidR="00B33817">
                  <w:rPr>
                    <w:noProof/>
                    <w:webHidden/>
                  </w:rPr>
                  <w:t>10</w:t>
                </w:r>
                <w:r w:rsidR="00B33817">
                  <w:rPr>
                    <w:noProof/>
                    <w:webHidden/>
                  </w:rPr>
                  <w:fldChar w:fldCharType="end"/>
                </w:r>
              </w:hyperlink>
            </w:p>
            <w:p w14:paraId="686B0601" w14:textId="10A2B1C1" w:rsidR="00B33817" w:rsidRDefault="00000000">
              <w:pPr>
                <w:pStyle w:val="TOC1"/>
                <w:tabs>
                  <w:tab w:val="right" w:leader="dot" w:pos="9016"/>
                </w:tabs>
                <w:rPr>
                  <w:rFonts w:eastAsiaTheme="minorEastAsia"/>
                  <w:noProof/>
                  <w:lang w:val="en-US"/>
                </w:rPr>
              </w:pPr>
              <w:hyperlink w:anchor="_Toc163571978" w:history="1">
                <w:r w:rsidR="00B33817" w:rsidRPr="009C5FC3">
                  <w:rPr>
                    <w:rStyle w:val="Hyperlink"/>
                    <w:noProof/>
                  </w:rPr>
                  <w:t>Conclusion</w:t>
                </w:r>
                <w:r w:rsidR="00B33817">
                  <w:rPr>
                    <w:noProof/>
                    <w:webHidden/>
                  </w:rPr>
                  <w:tab/>
                </w:r>
                <w:r w:rsidR="00B33817">
                  <w:rPr>
                    <w:noProof/>
                    <w:webHidden/>
                  </w:rPr>
                  <w:fldChar w:fldCharType="begin"/>
                </w:r>
                <w:r w:rsidR="00B33817">
                  <w:rPr>
                    <w:noProof/>
                    <w:webHidden/>
                  </w:rPr>
                  <w:instrText xml:space="preserve"> PAGEREF _Toc163571978 \h </w:instrText>
                </w:r>
                <w:r w:rsidR="00B33817">
                  <w:rPr>
                    <w:noProof/>
                    <w:webHidden/>
                  </w:rPr>
                </w:r>
                <w:r w:rsidR="00B33817">
                  <w:rPr>
                    <w:noProof/>
                    <w:webHidden/>
                  </w:rPr>
                  <w:fldChar w:fldCharType="separate"/>
                </w:r>
                <w:r w:rsidR="00B33817">
                  <w:rPr>
                    <w:noProof/>
                    <w:webHidden/>
                  </w:rPr>
                  <w:t>11</w:t>
                </w:r>
                <w:r w:rsidR="00B33817">
                  <w:rPr>
                    <w:noProof/>
                    <w:webHidden/>
                  </w:rPr>
                  <w:fldChar w:fldCharType="end"/>
                </w:r>
              </w:hyperlink>
            </w:p>
            <w:p w14:paraId="6CD24C2C" w14:textId="5C692783" w:rsidR="00B33817" w:rsidRDefault="00000000">
              <w:pPr>
                <w:pStyle w:val="TOC1"/>
                <w:tabs>
                  <w:tab w:val="right" w:leader="dot" w:pos="9016"/>
                </w:tabs>
                <w:rPr>
                  <w:rFonts w:eastAsiaTheme="minorEastAsia"/>
                  <w:noProof/>
                  <w:lang w:val="en-US"/>
                </w:rPr>
              </w:pPr>
              <w:hyperlink w:anchor="_Toc163571979" w:history="1">
                <w:r w:rsidR="00B33817" w:rsidRPr="009C5FC3">
                  <w:rPr>
                    <w:rStyle w:val="Hyperlink"/>
                    <w:noProof/>
                  </w:rPr>
                  <w:t>Bibliography</w:t>
                </w:r>
                <w:r w:rsidR="00B33817">
                  <w:rPr>
                    <w:noProof/>
                    <w:webHidden/>
                  </w:rPr>
                  <w:tab/>
                </w:r>
                <w:r w:rsidR="00B33817">
                  <w:rPr>
                    <w:noProof/>
                    <w:webHidden/>
                  </w:rPr>
                  <w:fldChar w:fldCharType="begin"/>
                </w:r>
                <w:r w:rsidR="00B33817">
                  <w:rPr>
                    <w:noProof/>
                    <w:webHidden/>
                  </w:rPr>
                  <w:instrText xml:space="preserve"> PAGEREF _Toc163571979 \h </w:instrText>
                </w:r>
                <w:r w:rsidR="00B33817">
                  <w:rPr>
                    <w:noProof/>
                    <w:webHidden/>
                  </w:rPr>
                </w:r>
                <w:r w:rsidR="00B33817">
                  <w:rPr>
                    <w:noProof/>
                    <w:webHidden/>
                  </w:rPr>
                  <w:fldChar w:fldCharType="separate"/>
                </w:r>
                <w:r w:rsidR="00B33817">
                  <w:rPr>
                    <w:noProof/>
                    <w:webHidden/>
                  </w:rPr>
                  <w:t>12</w:t>
                </w:r>
                <w:r w:rsidR="00B33817">
                  <w:rPr>
                    <w:noProof/>
                    <w:webHidden/>
                  </w:rPr>
                  <w:fldChar w:fldCharType="end"/>
                </w:r>
              </w:hyperlink>
            </w:p>
            <w:p w14:paraId="05194699" w14:textId="792EE992" w:rsidR="007D1947" w:rsidRDefault="007D1947">
              <w:r>
                <w:rPr>
                  <w:b/>
                  <w:bCs/>
                  <w:noProof/>
                </w:rPr>
                <w:fldChar w:fldCharType="end"/>
              </w:r>
              <w:r w:rsidR="00115B96">
                <w:rPr>
                  <w:b/>
                  <w:bCs/>
                  <w:noProof/>
                </w:rPr>
                <w:t>UPDATE TABLE FREQUENTLY – CHECK IT HAS BEEN UPDATED PRIOR TO SUBMISSION</w:t>
              </w:r>
            </w:p>
          </w:sdtContent>
        </w:sdt>
        <w:p w14:paraId="35B6052B" w14:textId="77777777" w:rsidR="007D1947" w:rsidRDefault="007D1947"/>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655F29CA" w14:textId="781CDA70" w:rsidR="007D1947" w:rsidRDefault="007D1947"/>
        <w:p w14:paraId="0ED321E6" w14:textId="67192670" w:rsidR="007D1947" w:rsidRDefault="007D1947" w:rsidP="00A12B58">
          <w:pPr>
            <w:pStyle w:val="Heading1"/>
          </w:pPr>
          <w:bookmarkStart w:id="1" w:name="_Toc163571962"/>
          <w:r>
            <w:lastRenderedPageBreak/>
            <w:t>Introduction</w:t>
          </w:r>
          <w:bookmarkEnd w:id="1"/>
          <w:r w:rsidR="00480872">
            <w:t xml:space="preserve"> </w:t>
          </w:r>
        </w:p>
        <w:p w14:paraId="1A667302" w14:textId="77777777" w:rsidR="00661337" w:rsidRPr="00661337" w:rsidRDefault="00661337" w:rsidP="00661337">
          <w:pPr>
            <w:rPr>
              <w:lang w:val="en-US"/>
            </w:rPr>
          </w:pPr>
          <w:r w:rsidRPr="00661337">
            <w:rPr>
              <w:lang w:val="en-US"/>
            </w:rPr>
            <w:t>Principles and approaches to budgeting are central in the organizational decision-making process, especially in dealing with the complexities attached to financial management. In this report, a critical review of budgeting practice within the context of Edwards—a hypothetical company that is at the verge of facing financial difficulties—will be undertaken. This paper looks at the financial outlook over the next six months for Edwards and recommends some strategic interventions that can assist the company in successfully maneuvering around possible pitfalls that may face it.</w:t>
          </w:r>
        </w:p>
        <w:p w14:paraId="0A0D7D13" w14:textId="77777777" w:rsidR="00661337" w:rsidRPr="00661337" w:rsidRDefault="00661337" w:rsidP="00661337">
          <w:pPr>
            <w:rPr>
              <w:lang w:val="en-US"/>
            </w:rPr>
          </w:pPr>
          <w:r w:rsidRPr="00661337">
            <w:rPr>
              <w:lang w:val="en-US"/>
            </w:rPr>
            <w:t>This report is going to give an outline of some key components of budgeting; it shall be inclusive of stock budgets, cash budgets, and profit and loss accounts. The report will criticize the forecasted budgets, where it challenges Edwards to face evidence-based solutions.</w:t>
          </w:r>
        </w:p>
        <w:p w14:paraId="4283F2AE" w14:textId="77777777" w:rsidR="00661337" w:rsidRPr="00661337" w:rsidRDefault="00661337" w:rsidP="00661337">
          <w:pPr>
            <w:rPr>
              <w:lang w:val="en-US"/>
            </w:rPr>
          </w:pPr>
          <w:r w:rsidRPr="00661337">
            <w:rPr>
              <w:lang w:val="en-US"/>
            </w:rPr>
            <w:t>More so, it would be within this report that one asserts a need to bridge theoretical knowledge with practical application, especially in the assessment of barriers and success factors to budgeting within organizational contexts. This report assesses critical thinking and problem-solving skills applied through the provision of practical answers supported by theory.</w:t>
          </w:r>
        </w:p>
        <w:p w14:paraId="5B01E091" w14:textId="77777777" w:rsidR="00661337" w:rsidRPr="00661337" w:rsidRDefault="00661337" w:rsidP="00661337">
          <w:pPr>
            <w:rPr>
              <w:lang w:val="en-US"/>
            </w:rPr>
          </w:pPr>
          <w:r w:rsidRPr="00661337">
            <w:rPr>
              <w:lang w:val="en-US"/>
            </w:rPr>
            <w:t>Effective communication sets up the basic structure of the report, following a clear and coherent way of putting across complex ideas. It also seeks to display the required characteristics for professional practice in regard to effective communication, leadership, and ability in making decisions but does not limit them to this.</w:t>
          </w:r>
        </w:p>
        <w:p w14:paraId="0D41E8BC" w14:textId="7210EEF8" w:rsidR="009A0999" w:rsidRPr="009A0999" w:rsidRDefault="00661337" w:rsidP="00661337">
          <w:pPr>
            <w:rPr>
              <w:lang w:val="en-US"/>
            </w:rPr>
          </w:pPr>
          <w:r w:rsidRPr="00661337">
            <w:rPr>
              <w:lang w:val="en-US"/>
            </w:rPr>
            <w:t>This paper will, therefore, attempt to give a critical, balanced perspective of the budgeting processes and their implication on organizational performance from a broad base. This paper thus opens the door for further, in-depth inquiry into the financial landscape of Edwards, providing a set of actionable insights that can be used in strategic decision-making.</w:t>
          </w:r>
        </w:p>
        <w:p w14:paraId="4AE483DC" w14:textId="77777777" w:rsidR="009A0999" w:rsidRPr="009A0999" w:rsidRDefault="009A0999" w:rsidP="009A0999">
          <w:pPr>
            <w:rPr>
              <w:lang w:val="en-US"/>
            </w:rPr>
          </w:pPr>
        </w:p>
        <w:p w14:paraId="5DBAD65B" w14:textId="6C698A74" w:rsidR="004A11F6" w:rsidRDefault="004A11F6" w:rsidP="007D1947"/>
        <w:p w14:paraId="63BE38B9" w14:textId="77777777" w:rsidR="004A11F6" w:rsidRDefault="004A11F6" w:rsidP="007D1947"/>
        <w:p w14:paraId="1392FEFB" w14:textId="77777777" w:rsidR="004A11F6" w:rsidRDefault="004A11F6" w:rsidP="007D1947"/>
        <w:p w14:paraId="094C9AA2" w14:textId="77777777" w:rsidR="004A11F6" w:rsidRDefault="004A11F6" w:rsidP="007D1947"/>
        <w:p w14:paraId="5AD4FC36" w14:textId="77777777" w:rsidR="004A11F6" w:rsidRDefault="004A11F6" w:rsidP="007D1947"/>
        <w:p w14:paraId="37DC88C5" w14:textId="77777777" w:rsidR="004A11F6" w:rsidRDefault="004A11F6" w:rsidP="007D1947"/>
        <w:p w14:paraId="2277CFA6" w14:textId="77777777" w:rsidR="004A11F6" w:rsidRDefault="004A11F6" w:rsidP="007D1947"/>
        <w:p w14:paraId="6965E43A" w14:textId="77777777" w:rsidR="004A11F6" w:rsidRDefault="004A11F6" w:rsidP="007D1947"/>
        <w:p w14:paraId="04F16582" w14:textId="6088CC4E" w:rsidR="004A11F6" w:rsidRDefault="004A11F6" w:rsidP="007D1947"/>
        <w:p w14:paraId="7B12C185" w14:textId="19970ED1" w:rsidR="000E4B2E" w:rsidRDefault="000E4B2E" w:rsidP="007D1947"/>
        <w:p w14:paraId="5320395F" w14:textId="1645DC5D" w:rsidR="000E4B2E" w:rsidRDefault="000E4B2E" w:rsidP="007D1947"/>
        <w:p w14:paraId="11239003" w14:textId="77777777" w:rsidR="000E4B2E" w:rsidRDefault="000E4B2E" w:rsidP="007D1947"/>
        <w:p w14:paraId="7C657C89" w14:textId="1A70F078" w:rsidR="00AA2A91" w:rsidRDefault="00AA2A91" w:rsidP="004D519C"/>
        <w:p w14:paraId="2E293EB9" w14:textId="13D59F1B" w:rsidR="00480872" w:rsidRDefault="00480872" w:rsidP="00AA2A91">
          <w:pPr>
            <w:pStyle w:val="Heading1"/>
          </w:pPr>
          <w:bookmarkStart w:id="2" w:name="_Toc163571963"/>
          <w:r>
            <w:lastRenderedPageBreak/>
            <w:t>Main Findings</w:t>
          </w:r>
          <w:bookmarkEnd w:id="2"/>
        </w:p>
        <w:p w14:paraId="054598CE" w14:textId="77777777" w:rsidR="008F4B79" w:rsidRPr="008F4B79" w:rsidRDefault="008F4B79" w:rsidP="008F4B79"/>
        <w:tbl>
          <w:tblPr>
            <w:tblStyle w:val="TableGrid"/>
            <w:tblW w:w="8476"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2551"/>
            <w:gridCol w:w="992"/>
            <w:gridCol w:w="992"/>
            <w:gridCol w:w="964"/>
            <w:gridCol w:w="993"/>
            <w:gridCol w:w="992"/>
            <w:gridCol w:w="992"/>
          </w:tblGrid>
          <w:tr w:rsidR="008F4B79" w14:paraId="1A4C0D6B" w14:textId="77777777" w:rsidTr="00B0557A">
            <w:tc>
              <w:tcPr>
                <w:tcW w:w="2551" w:type="dxa"/>
              </w:tcPr>
              <w:p w14:paraId="26293D64" w14:textId="77777777" w:rsidR="008F4B79" w:rsidRDefault="008F4B79" w:rsidP="00B0557A">
                <w:pPr>
                  <w:rPr>
                    <w:rFonts w:ascii="Arial" w:hAnsi="Arial" w:cs="Arial"/>
                  </w:rPr>
                </w:pPr>
                <w:r>
                  <w:rPr>
                    <w:rFonts w:ascii="Arial" w:hAnsi="Arial" w:cs="Arial"/>
                  </w:rPr>
                  <w:t>Therefore Closing stock</w:t>
                </w:r>
              </w:p>
            </w:tc>
            <w:tc>
              <w:tcPr>
                <w:tcW w:w="992" w:type="dxa"/>
              </w:tcPr>
              <w:p w14:paraId="1724EC96" w14:textId="77777777" w:rsidR="008F4B79" w:rsidRPr="00BC19FF" w:rsidRDefault="008F4B79" w:rsidP="00B0557A">
                <w:pPr>
                  <w:jc w:val="right"/>
                  <w:rPr>
                    <w:rFonts w:ascii="Arial" w:hAnsi="Arial" w:cs="Arial"/>
                    <w:u w:val="single"/>
                  </w:rPr>
                </w:pPr>
                <w:r>
                  <w:rPr>
                    <w:rFonts w:ascii="Arial" w:hAnsi="Arial" w:cs="Arial"/>
                    <w:u w:val="single"/>
                  </w:rPr>
                  <w:t xml:space="preserve">   </w:t>
                </w:r>
              </w:p>
            </w:tc>
            <w:tc>
              <w:tcPr>
                <w:tcW w:w="992" w:type="dxa"/>
              </w:tcPr>
              <w:p w14:paraId="7E95065D" w14:textId="77777777" w:rsidR="008F4B79" w:rsidRPr="00BC19FF" w:rsidRDefault="008F4B79" w:rsidP="00B0557A">
                <w:pPr>
                  <w:jc w:val="right"/>
                  <w:rPr>
                    <w:rFonts w:ascii="Arial" w:hAnsi="Arial" w:cs="Arial"/>
                    <w:u w:val="single"/>
                  </w:rPr>
                </w:pPr>
                <w:r>
                  <w:rPr>
                    <w:rFonts w:ascii="Arial" w:hAnsi="Arial" w:cs="Arial"/>
                    <w:u w:val="single"/>
                  </w:rPr>
                  <w:t xml:space="preserve">   </w:t>
                </w:r>
              </w:p>
            </w:tc>
            <w:tc>
              <w:tcPr>
                <w:tcW w:w="964" w:type="dxa"/>
              </w:tcPr>
              <w:p w14:paraId="36220FC1" w14:textId="77777777" w:rsidR="008F4B79" w:rsidRPr="00BC19FF" w:rsidRDefault="008F4B79" w:rsidP="00B0557A">
                <w:pPr>
                  <w:jc w:val="right"/>
                  <w:rPr>
                    <w:rFonts w:ascii="Arial" w:hAnsi="Arial" w:cs="Arial"/>
                    <w:u w:val="single"/>
                  </w:rPr>
                </w:pPr>
                <w:r>
                  <w:rPr>
                    <w:rFonts w:ascii="Arial" w:hAnsi="Arial" w:cs="Arial"/>
                    <w:u w:val="single"/>
                  </w:rPr>
                  <w:t xml:space="preserve">     </w:t>
                </w:r>
              </w:p>
            </w:tc>
            <w:tc>
              <w:tcPr>
                <w:tcW w:w="993" w:type="dxa"/>
              </w:tcPr>
              <w:p w14:paraId="53C31D3A" w14:textId="77777777" w:rsidR="008F4B79" w:rsidRPr="00BC19FF" w:rsidRDefault="008F4B79" w:rsidP="00B0557A">
                <w:pPr>
                  <w:jc w:val="right"/>
                  <w:rPr>
                    <w:rFonts w:ascii="Arial" w:hAnsi="Arial" w:cs="Arial"/>
                    <w:u w:val="single"/>
                  </w:rPr>
                </w:pPr>
                <w:r>
                  <w:rPr>
                    <w:rFonts w:ascii="Arial" w:hAnsi="Arial" w:cs="Arial"/>
                    <w:u w:val="single"/>
                  </w:rPr>
                  <w:t xml:space="preserve"> </w:t>
                </w:r>
              </w:p>
            </w:tc>
            <w:tc>
              <w:tcPr>
                <w:tcW w:w="992" w:type="dxa"/>
              </w:tcPr>
              <w:p w14:paraId="7F452A29" w14:textId="77777777" w:rsidR="008F4B79" w:rsidRPr="00BC19FF" w:rsidRDefault="008F4B79" w:rsidP="00B0557A">
                <w:pPr>
                  <w:jc w:val="right"/>
                  <w:rPr>
                    <w:rFonts w:ascii="Arial" w:hAnsi="Arial" w:cs="Arial"/>
                    <w:u w:val="single"/>
                  </w:rPr>
                </w:pPr>
                <w:r>
                  <w:rPr>
                    <w:rFonts w:ascii="Arial" w:hAnsi="Arial" w:cs="Arial"/>
                    <w:u w:val="single"/>
                  </w:rPr>
                  <w:t xml:space="preserve"> </w:t>
                </w:r>
              </w:p>
            </w:tc>
            <w:tc>
              <w:tcPr>
                <w:tcW w:w="992" w:type="dxa"/>
              </w:tcPr>
              <w:p w14:paraId="1B6F5CE9" w14:textId="77777777" w:rsidR="008F4B79" w:rsidRPr="00BC19FF" w:rsidRDefault="008F4B79" w:rsidP="00B0557A">
                <w:pPr>
                  <w:jc w:val="right"/>
                  <w:rPr>
                    <w:rFonts w:ascii="Arial" w:hAnsi="Arial" w:cs="Arial"/>
                    <w:u w:val="single"/>
                  </w:rPr>
                </w:pPr>
                <w:r>
                  <w:rPr>
                    <w:rFonts w:ascii="Arial" w:hAnsi="Arial" w:cs="Arial"/>
                    <w:u w:val="single"/>
                  </w:rPr>
                  <w:t xml:space="preserve"> </w:t>
                </w:r>
              </w:p>
            </w:tc>
          </w:tr>
        </w:tbl>
        <w:p w14:paraId="0106A2BB" w14:textId="77777777" w:rsidR="00106D38" w:rsidRPr="003B62C4" w:rsidRDefault="00106D38" w:rsidP="00106D38">
          <w:pPr>
            <w:pStyle w:val="ListParagraph"/>
            <w:numPr>
              <w:ilvl w:val="0"/>
              <w:numId w:val="1"/>
            </w:numPr>
            <w:ind w:left="851"/>
            <w:jc w:val="both"/>
            <w:rPr>
              <w:rFonts w:ascii="Arial" w:hAnsi="Arial" w:cs="Arial"/>
            </w:rPr>
          </w:pPr>
          <w:r>
            <w:rPr>
              <w:rFonts w:ascii="Arial" w:hAnsi="Arial" w:cs="Arial"/>
            </w:rPr>
            <w:t>The stock budget for the six months to 30 November is:</w:t>
          </w:r>
        </w:p>
        <w:tbl>
          <w:tblPr>
            <w:tblStyle w:val="TableGrid"/>
            <w:tblW w:w="8476"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2551"/>
            <w:gridCol w:w="992"/>
            <w:gridCol w:w="992"/>
            <w:gridCol w:w="964"/>
            <w:gridCol w:w="993"/>
            <w:gridCol w:w="992"/>
            <w:gridCol w:w="992"/>
          </w:tblGrid>
          <w:tr w:rsidR="00106D38" w14:paraId="6EC547BF" w14:textId="77777777" w:rsidTr="00B0557A">
            <w:tc>
              <w:tcPr>
                <w:tcW w:w="2551" w:type="dxa"/>
              </w:tcPr>
              <w:p w14:paraId="769D9714" w14:textId="77777777" w:rsidR="00106D38" w:rsidRDefault="00106D38" w:rsidP="00B0557A">
                <w:pPr>
                  <w:jc w:val="center"/>
                  <w:rPr>
                    <w:rFonts w:ascii="Arial" w:hAnsi="Arial" w:cs="Arial"/>
                  </w:rPr>
                </w:pPr>
              </w:p>
            </w:tc>
            <w:tc>
              <w:tcPr>
                <w:tcW w:w="992" w:type="dxa"/>
              </w:tcPr>
              <w:p w14:paraId="16B9CE7C" w14:textId="77777777" w:rsidR="00106D38" w:rsidRPr="004D6C12" w:rsidRDefault="00106D38" w:rsidP="00B0557A">
                <w:pPr>
                  <w:jc w:val="right"/>
                  <w:rPr>
                    <w:rFonts w:ascii="Arial" w:hAnsi="Arial" w:cs="Arial"/>
                    <w:b/>
                  </w:rPr>
                </w:pPr>
                <w:r w:rsidRPr="004D6C12">
                  <w:rPr>
                    <w:rFonts w:ascii="Arial" w:hAnsi="Arial" w:cs="Arial"/>
                    <w:b/>
                  </w:rPr>
                  <w:t>June</w:t>
                </w:r>
              </w:p>
            </w:tc>
            <w:tc>
              <w:tcPr>
                <w:tcW w:w="992" w:type="dxa"/>
              </w:tcPr>
              <w:p w14:paraId="71331F92" w14:textId="77777777" w:rsidR="00106D38" w:rsidRPr="004D6C12" w:rsidRDefault="00106D38" w:rsidP="00B0557A">
                <w:pPr>
                  <w:jc w:val="right"/>
                  <w:rPr>
                    <w:rFonts w:ascii="Arial" w:hAnsi="Arial" w:cs="Arial"/>
                    <w:b/>
                  </w:rPr>
                </w:pPr>
                <w:r w:rsidRPr="004D6C12">
                  <w:rPr>
                    <w:rFonts w:ascii="Arial" w:hAnsi="Arial" w:cs="Arial"/>
                    <w:b/>
                  </w:rPr>
                  <w:t>July</w:t>
                </w:r>
              </w:p>
            </w:tc>
            <w:tc>
              <w:tcPr>
                <w:tcW w:w="964" w:type="dxa"/>
              </w:tcPr>
              <w:p w14:paraId="514F0A8A" w14:textId="77777777" w:rsidR="00106D38" w:rsidRPr="004D6C12" w:rsidRDefault="00106D38" w:rsidP="00B0557A">
                <w:pPr>
                  <w:jc w:val="right"/>
                  <w:rPr>
                    <w:rFonts w:ascii="Arial" w:hAnsi="Arial" w:cs="Arial"/>
                    <w:b/>
                  </w:rPr>
                </w:pPr>
                <w:r w:rsidRPr="004D6C12">
                  <w:rPr>
                    <w:rFonts w:ascii="Arial" w:hAnsi="Arial" w:cs="Arial"/>
                    <w:b/>
                  </w:rPr>
                  <w:t>Aug</w:t>
                </w:r>
              </w:p>
            </w:tc>
            <w:tc>
              <w:tcPr>
                <w:tcW w:w="993" w:type="dxa"/>
              </w:tcPr>
              <w:p w14:paraId="60543C8D" w14:textId="77777777" w:rsidR="00106D38" w:rsidRPr="004D6C12" w:rsidRDefault="00106D38" w:rsidP="00B0557A">
                <w:pPr>
                  <w:jc w:val="right"/>
                  <w:rPr>
                    <w:rFonts w:ascii="Arial" w:hAnsi="Arial" w:cs="Arial"/>
                    <w:b/>
                  </w:rPr>
                </w:pPr>
                <w:r w:rsidRPr="004D6C12">
                  <w:rPr>
                    <w:rFonts w:ascii="Arial" w:hAnsi="Arial" w:cs="Arial"/>
                    <w:b/>
                  </w:rPr>
                  <w:t>Sept</w:t>
                </w:r>
              </w:p>
            </w:tc>
            <w:tc>
              <w:tcPr>
                <w:tcW w:w="992" w:type="dxa"/>
              </w:tcPr>
              <w:p w14:paraId="1AA3E70F" w14:textId="77777777" w:rsidR="00106D38" w:rsidRPr="004D6C12" w:rsidRDefault="00106D38" w:rsidP="00B0557A">
                <w:pPr>
                  <w:jc w:val="right"/>
                  <w:rPr>
                    <w:rFonts w:ascii="Arial" w:hAnsi="Arial" w:cs="Arial"/>
                    <w:b/>
                  </w:rPr>
                </w:pPr>
                <w:r w:rsidRPr="004D6C12">
                  <w:rPr>
                    <w:rFonts w:ascii="Arial" w:hAnsi="Arial" w:cs="Arial"/>
                    <w:b/>
                  </w:rPr>
                  <w:t>Oct</w:t>
                </w:r>
              </w:p>
            </w:tc>
            <w:tc>
              <w:tcPr>
                <w:tcW w:w="992" w:type="dxa"/>
              </w:tcPr>
              <w:p w14:paraId="1CE3EB44" w14:textId="77777777" w:rsidR="00106D38" w:rsidRPr="004D6C12" w:rsidRDefault="00106D38" w:rsidP="00B0557A">
                <w:pPr>
                  <w:jc w:val="right"/>
                  <w:rPr>
                    <w:rFonts w:ascii="Arial" w:hAnsi="Arial" w:cs="Arial"/>
                    <w:b/>
                  </w:rPr>
                </w:pPr>
                <w:r w:rsidRPr="004D6C12">
                  <w:rPr>
                    <w:rFonts w:ascii="Arial" w:hAnsi="Arial" w:cs="Arial"/>
                    <w:b/>
                  </w:rPr>
                  <w:t>Nov</w:t>
                </w:r>
              </w:p>
            </w:tc>
          </w:tr>
          <w:tr w:rsidR="00106D38" w14:paraId="424AA661" w14:textId="77777777" w:rsidTr="00B0557A">
            <w:trPr>
              <w:trHeight w:val="281"/>
            </w:trPr>
            <w:tc>
              <w:tcPr>
                <w:tcW w:w="2551" w:type="dxa"/>
              </w:tcPr>
              <w:p w14:paraId="215E657F" w14:textId="77777777" w:rsidR="00106D38" w:rsidRDefault="00106D38" w:rsidP="00B0557A">
                <w:pPr>
                  <w:rPr>
                    <w:rFonts w:ascii="Arial" w:hAnsi="Arial" w:cs="Arial"/>
                  </w:rPr>
                </w:pPr>
              </w:p>
            </w:tc>
            <w:tc>
              <w:tcPr>
                <w:tcW w:w="992" w:type="dxa"/>
              </w:tcPr>
              <w:p w14:paraId="3D687D66" w14:textId="77777777" w:rsidR="00106D38" w:rsidRPr="004D6C12" w:rsidRDefault="00106D38" w:rsidP="00B0557A">
                <w:pPr>
                  <w:jc w:val="right"/>
                  <w:rPr>
                    <w:rFonts w:ascii="Arial" w:hAnsi="Arial" w:cs="Arial"/>
                    <w:sz w:val="20"/>
                    <w:szCs w:val="20"/>
                  </w:rPr>
                </w:pPr>
                <w:r w:rsidRPr="004D6C12">
                  <w:rPr>
                    <w:rFonts w:ascii="Arial" w:hAnsi="Arial" w:cs="Arial"/>
                    <w:sz w:val="20"/>
                    <w:szCs w:val="20"/>
                  </w:rPr>
                  <w:t>£000</w:t>
                </w:r>
              </w:p>
            </w:tc>
            <w:tc>
              <w:tcPr>
                <w:tcW w:w="992" w:type="dxa"/>
              </w:tcPr>
              <w:p w14:paraId="6C9F77BC" w14:textId="77777777" w:rsidR="00106D38" w:rsidRPr="004D6C12" w:rsidRDefault="00106D38" w:rsidP="00B0557A">
                <w:pPr>
                  <w:jc w:val="right"/>
                  <w:rPr>
                    <w:rFonts w:ascii="Arial" w:hAnsi="Arial" w:cs="Arial"/>
                    <w:sz w:val="20"/>
                    <w:szCs w:val="20"/>
                  </w:rPr>
                </w:pPr>
                <w:r w:rsidRPr="004D6C12">
                  <w:rPr>
                    <w:rFonts w:ascii="Arial" w:hAnsi="Arial" w:cs="Arial"/>
                    <w:sz w:val="20"/>
                    <w:szCs w:val="20"/>
                  </w:rPr>
                  <w:t>£000</w:t>
                </w:r>
              </w:p>
            </w:tc>
            <w:tc>
              <w:tcPr>
                <w:tcW w:w="964" w:type="dxa"/>
              </w:tcPr>
              <w:p w14:paraId="3CC164A7" w14:textId="77777777" w:rsidR="00106D38" w:rsidRPr="004D6C12" w:rsidRDefault="00106D38" w:rsidP="00B0557A">
                <w:pPr>
                  <w:jc w:val="right"/>
                  <w:rPr>
                    <w:rFonts w:ascii="Arial" w:hAnsi="Arial" w:cs="Arial"/>
                    <w:sz w:val="20"/>
                    <w:szCs w:val="20"/>
                  </w:rPr>
                </w:pPr>
                <w:r w:rsidRPr="004D6C12">
                  <w:rPr>
                    <w:rFonts w:ascii="Arial" w:hAnsi="Arial" w:cs="Arial"/>
                    <w:sz w:val="20"/>
                    <w:szCs w:val="20"/>
                  </w:rPr>
                  <w:t>£000</w:t>
                </w:r>
              </w:p>
            </w:tc>
            <w:tc>
              <w:tcPr>
                <w:tcW w:w="993" w:type="dxa"/>
              </w:tcPr>
              <w:p w14:paraId="623F3029" w14:textId="77777777" w:rsidR="00106D38" w:rsidRPr="004D6C12" w:rsidRDefault="00106D38" w:rsidP="00B0557A">
                <w:pPr>
                  <w:jc w:val="right"/>
                  <w:rPr>
                    <w:rFonts w:ascii="Arial" w:hAnsi="Arial" w:cs="Arial"/>
                    <w:sz w:val="20"/>
                    <w:szCs w:val="20"/>
                  </w:rPr>
                </w:pPr>
                <w:r w:rsidRPr="004D6C12">
                  <w:rPr>
                    <w:rFonts w:ascii="Arial" w:hAnsi="Arial" w:cs="Arial"/>
                    <w:sz w:val="20"/>
                    <w:szCs w:val="20"/>
                  </w:rPr>
                  <w:t>£000</w:t>
                </w:r>
              </w:p>
            </w:tc>
            <w:tc>
              <w:tcPr>
                <w:tcW w:w="992" w:type="dxa"/>
              </w:tcPr>
              <w:p w14:paraId="2D277867" w14:textId="77777777" w:rsidR="00106D38" w:rsidRPr="004D6C12" w:rsidRDefault="00106D38" w:rsidP="00B0557A">
                <w:pPr>
                  <w:jc w:val="right"/>
                  <w:rPr>
                    <w:rFonts w:ascii="Arial" w:hAnsi="Arial" w:cs="Arial"/>
                    <w:sz w:val="20"/>
                    <w:szCs w:val="20"/>
                  </w:rPr>
                </w:pPr>
                <w:r w:rsidRPr="004D6C12">
                  <w:rPr>
                    <w:rFonts w:ascii="Arial" w:hAnsi="Arial" w:cs="Arial"/>
                    <w:sz w:val="20"/>
                    <w:szCs w:val="20"/>
                  </w:rPr>
                  <w:t>£000</w:t>
                </w:r>
              </w:p>
            </w:tc>
            <w:tc>
              <w:tcPr>
                <w:tcW w:w="992" w:type="dxa"/>
              </w:tcPr>
              <w:p w14:paraId="5E42C349" w14:textId="77777777" w:rsidR="00106D38" w:rsidRPr="004D6C12" w:rsidRDefault="00106D38" w:rsidP="00B0557A">
                <w:pPr>
                  <w:jc w:val="right"/>
                  <w:rPr>
                    <w:rFonts w:ascii="Arial" w:hAnsi="Arial" w:cs="Arial"/>
                    <w:sz w:val="20"/>
                    <w:szCs w:val="20"/>
                  </w:rPr>
                </w:pPr>
                <w:r w:rsidRPr="004D6C12">
                  <w:rPr>
                    <w:rFonts w:ascii="Arial" w:hAnsi="Arial" w:cs="Arial"/>
                    <w:sz w:val="20"/>
                    <w:szCs w:val="20"/>
                  </w:rPr>
                  <w:t>£000</w:t>
                </w:r>
              </w:p>
            </w:tc>
          </w:tr>
          <w:tr w:rsidR="00106D38" w14:paraId="22B26DA2" w14:textId="77777777" w:rsidTr="00B0557A">
            <w:tc>
              <w:tcPr>
                <w:tcW w:w="2551" w:type="dxa"/>
              </w:tcPr>
              <w:p w14:paraId="44DDAF6E" w14:textId="77777777" w:rsidR="00106D38" w:rsidRDefault="00106D38" w:rsidP="00B0557A">
                <w:pPr>
                  <w:rPr>
                    <w:rFonts w:ascii="Arial" w:hAnsi="Arial" w:cs="Arial"/>
                  </w:rPr>
                </w:pPr>
                <w:r>
                  <w:rPr>
                    <w:rFonts w:ascii="Arial" w:hAnsi="Arial" w:cs="Arial"/>
                  </w:rPr>
                  <w:t>Opening balance</w:t>
                </w:r>
              </w:p>
            </w:tc>
            <w:tc>
              <w:tcPr>
                <w:tcW w:w="992" w:type="dxa"/>
              </w:tcPr>
              <w:p w14:paraId="079FE0C9" w14:textId="67E2DFDC" w:rsidR="00106D38" w:rsidRPr="00106D38" w:rsidRDefault="00106D38" w:rsidP="00B0557A">
                <w:pPr>
                  <w:jc w:val="right"/>
                  <w:rPr>
                    <w:rFonts w:ascii="Arial" w:hAnsi="Arial" w:cs="Arial"/>
                    <w:color w:val="000000" w:themeColor="text1"/>
                  </w:rPr>
                </w:pPr>
                <w:r w:rsidRPr="00106D38">
                  <w:rPr>
                    <w:rFonts w:ascii="Arial" w:hAnsi="Arial" w:cs="Arial"/>
                    <w:color w:val="000000" w:themeColor="text1"/>
                  </w:rPr>
                  <w:t xml:space="preserve">125 </w:t>
                </w:r>
              </w:p>
            </w:tc>
            <w:tc>
              <w:tcPr>
                <w:tcW w:w="992" w:type="dxa"/>
              </w:tcPr>
              <w:p w14:paraId="1B7F3FFC" w14:textId="265290C5" w:rsidR="00106D38" w:rsidRDefault="00D77276" w:rsidP="00B0557A">
                <w:pPr>
                  <w:jc w:val="right"/>
                  <w:rPr>
                    <w:rFonts w:ascii="Arial" w:hAnsi="Arial" w:cs="Arial"/>
                  </w:rPr>
                </w:pPr>
                <w:r>
                  <w:rPr>
                    <w:rFonts w:ascii="Arial" w:hAnsi="Arial" w:cs="Arial"/>
                  </w:rPr>
                  <w:t>123</w:t>
                </w:r>
                <w:r w:rsidR="00106D38">
                  <w:rPr>
                    <w:rFonts w:ascii="Arial" w:hAnsi="Arial" w:cs="Arial"/>
                  </w:rPr>
                  <w:t xml:space="preserve"> </w:t>
                </w:r>
              </w:p>
            </w:tc>
            <w:tc>
              <w:tcPr>
                <w:tcW w:w="964" w:type="dxa"/>
              </w:tcPr>
              <w:p w14:paraId="7BC66C87" w14:textId="62CA07C0" w:rsidR="00106D38" w:rsidRDefault="00D77276" w:rsidP="00B0557A">
                <w:pPr>
                  <w:jc w:val="right"/>
                  <w:rPr>
                    <w:rFonts w:ascii="Arial" w:hAnsi="Arial" w:cs="Arial"/>
                  </w:rPr>
                </w:pPr>
                <w:r>
                  <w:rPr>
                    <w:rFonts w:ascii="Arial" w:hAnsi="Arial" w:cs="Arial"/>
                  </w:rPr>
                  <w:t>104</w:t>
                </w:r>
                <w:r w:rsidR="00106D38">
                  <w:rPr>
                    <w:rFonts w:ascii="Arial" w:hAnsi="Arial" w:cs="Arial"/>
                  </w:rPr>
                  <w:t xml:space="preserve"> </w:t>
                </w:r>
              </w:p>
            </w:tc>
            <w:tc>
              <w:tcPr>
                <w:tcW w:w="993" w:type="dxa"/>
              </w:tcPr>
              <w:p w14:paraId="063E69E9" w14:textId="53E31EAD" w:rsidR="00106D38" w:rsidRDefault="00D77276" w:rsidP="00B0557A">
                <w:pPr>
                  <w:jc w:val="right"/>
                  <w:rPr>
                    <w:rFonts w:ascii="Arial" w:hAnsi="Arial" w:cs="Arial"/>
                  </w:rPr>
                </w:pPr>
                <w:r>
                  <w:rPr>
                    <w:rFonts w:ascii="Arial" w:hAnsi="Arial" w:cs="Arial"/>
                  </w:rPr>
                  <w:t>118</w:t>
                </w:r>
                <w:r w:rsidR="00106D38">
                  <w:rPr>
                    <w:rFonts w:ascii="Arial" w:hAnsi="Arial" w:cs="Arial"/>
                  </w:rPr>
                  <w:t xml:space="preserve"> </w:t>
                </w:r>
              </w:p>
            </w:tc>
            <w:tc>
              <w:tcPr>
                <w:tcW w:w="992" w:type="dxa"/>
              </w:tcPr>
              <w:p w14:paraId="2371D4A8" w14:textId="2E475EAD" w:rsidR="00106D38" w:rsidRDefault="00D77276" w:rsidP="00B0557A">
                <w:pPr>
                  <w:jc w:val="right"/>
                  <w:rPr>
                    <w:rFonts w:ascii="Arial" w:hAnsi="Arial" w:cs="Arial"/>
                  </w:rPr>
                </w:pPr>
                <w:r>
                  <w:rPr>
                    <w:rFonts w:ascii="Arial" w:hAnsi="Arial" w:cs="Arial"/>
                  </w:rPr>
                  <w:t>164</w:t>
                </w:r>
                <w:r w:rsidR="00106D38">
                  <w:rPr>
                    <w:rFonts w:ascii="Arial" w:hAnsi="Arial" w:cs="Arial"/>
                  </w:rPr>
                  <w:t xml:space="preserve"> </w:t>
                </w:r>
              </w:p>
            </w:tc>
            <w:tc>
              <w:tcPr>
                <w:tcW w:w="992" w:type="dxa"/>
              </w:tcPr>
              <w:p w14:paraId="60F7EFAB" w14:textId="7EE2227C" w:rsidR="00106D38" w:rsidRDefault="00D77276" w:rsidP="00B0557A">
                <w:pPr>
                  <w:jc w:val="right"/>
                  <w:rPr>
                    <w:rFonts w:ascii="Arial" w:hAnsi="Arial" w:cs="Arial"/>
                  </w:rPr>
                </w:pPr>
                <w:r>
                  <w:rPr>
                    <w:rFonts w:ascii="Arial" w:hAnsi="Arial" w:cs="Arial"/>
                  </w:rPr>
                  <w:t>197</w:t>
                </w:r>
                <w:r w:rsidR="00106D38">
                  <w:rPr>
                    <w:rFonts w:ascii="Arial" w:hAnsi="Arial" w:cs="Arial"/>
                  </w:rPr>
                  <w:t xml:space="preserve"> </w:t>
                </w:r>
              </w:p>
            </w:tc>
          </w:tr>
          <w:tr w:rsidR="00106D38" w14:paraId="3ADA295B" w14:textId="77777777" w:rsidTr="00B0557A">
            <w:tc>
              <w:tcPr>
                <w:tcW w:w="2551" w:type="dxa"/>
              </w:tcPr>
              <w:p w14:paraId="322492A7" w14:textId="77777777" w:rsidR="00106D38" w:rsidRDefault="00106D38" w:rsidP="00B0557A">
                <w:pPr>
                  <w:ind w:left="-675" w:firstLine="675"/>
                  <w:rPr>
                    <w:rFonts w:ascii="Arial" w:hAnsi="Arial" w:cs="Arial"/>
                  </w:rPr>
                </w:pPr>
                <w:r>
                  <w:rPr>
                    <w:rFonts w:ascii="Arial" w:hAnsi="Arial" w:cs="Arial"/>
                  </w:rPr>
                  <w:t>Stock purchased</w:t>
                </w:r>
              </w:p>
            </w:tc>
            <w:tc>
              <w:tcPr>
                <w:tcW w:w="992" w:type="dxa"/>
              </w:tcPr>
              <w:p w14:paraId="401AF05A" w14:textId="17A16F15" w:rsidR="00106D38" w:rsidRPr="00BC19FF" w:rsidRDefault="00106D38" w:rsidP="00B0557A">
                <w:pPr>
                  <w:jc w:val="right"/>
                  <w:rPr>
                    <w:rFonts w:ascii="Arial" w:hAnsi="Arial" w:cs="Arial"/>
                    <w:u w:val="single"/>
                  </w:rPr>
                </w:pPr>
                <w:r>
                  <w:rPr>
                    <w:rFonts w:ascii="Arial" w:hAnsi="Arial" w:cs="Arial"/>
                    <w:u w:val="single"/>
                  </w:rPr>
                  <w:t xml:space="preserve">180 </w:t>
                </w:r>
              </w:p>
            </w:tc>
            <w:tc>
              <w:tcPr>
                <w:tcW w:w="992" w:type="dxa"/>
              </w:tcPr>
              <w:p w14:paraId="648384CF" w14:textId="446A2C21" w:rsidR="00106D38" w:rsidRPr="00BC19FF" w:rsidRDefault="00106D38" w:rsidP="00B0557A">
                <w:pPr>
                  <w:jc w:val="right"/>
                  <w:rPr>
                    <w:rFonts w:ascii="Arial" w:hAnsi="Arial" w:cs="Arial"/>
                    <w:u w:val="single"/>
                  </w:rPr>
                </w:pPr>
                <w:r>
                  <w:rPr>
                    <w:rFonts w:ascii="Arial" w:hAnsi="Arial" w:cs="Arial"/>
                    <w:u w:val="single"/>
                  </w:rPr>
                  <w:t xml:space="preserve">170  </w:t>
                </w:r>
              </w:p>
            </w:tc>
            <w:tc>
              <w:tcPr>
                <w:tcW w:w="964" w:type="dxa"/>
              </w:tcPr>
              <w:p w14:paraId="248AEA6B" w14:textId="26D19486" w:rsidR="00106D38" w:rsidRPr="00BC19FF" w:rsidRDefault="00106D38" w:rsidP="00B0557A">
                <w:pPr>
                  <w:jc w:val="right"/>
                  <w:rPr>
                    <w:rFonts w:ascii="Arial" w:hAnsi="Arial" w:cs="Arial"/>
                    <w:u w:val="single"/>
                  </w:rPr>
                </w:pPr>
                <w:r>
                  <w:rPr>
                    <w:rFonts w:ascii="Arial" w:hAnsi="Arial" w:cs="Arial"/>
                    <w:u w:val="single"/>
                  </w:rPr>
                  <w:t xml:space="preserve">203 </w:t>
                </w:r>
              </w:p>
            </w:tc>
            <w:tc>
              <w:tcPr>
                <w:tcW w:w="993" w:type="dxa"/>
              </w:tcPr>
              <w:p w14:paraId="004FCFF6" w14:textId="69015230" w:rsidR="00106D38" w:rsidRPr="00BC19FF" w:rsidRDefault="00106D38" w:rsidP="00B0557A">
                <w:pPr>
                  <w:jc w:val="right"/>
                  <w:rPr>
                    <w:rFonts w:ascii="Arial" w:hAnsi="Arial" w:cs="Arial"/>
                    <w:u w:val="single"/>
                  </w:rPr>
                </w:pPr>
                <w:r>
                  <w:rPr>
                    <w:rFonts w:ascii="Arial" w:hAnsi="Arial" w:cs="Arial"/>
                    <w:u w:val="single"/>
                  </w:rPr>
                  <w:t xml:space="preserve">200 </w:t>
                </w:r>
              </w:p>
            </w:tc>
            <w:tc>
              <w:tcPr>
                <w:tcW w:w="992" w:type="dxa"/>
              </w:tcPr>
              <w:p w14:paraId="10E9AF9E" w14:textId="2912FCF9" w:rsidR="00106D38" w:rsidRPr="00BC19FF" w:rsidRDefault="00106D38" w:rsidP="00B0557A">
                <w:pPr>
                  <w:jc w:val="right"/>
                  <w:rPr>
                    <w:rFonts w:ascii="Arial" w:hAnsi="Arial" w:cs="Arial"/>
                    <w:u w:val="single"/>
                  </w:rPr>
                </w:pPr>
                <w:r>
                  <w:rPr>
                    <w:rFonts w:ascii="Arial" w:hAnsi="Arial" w:cs="Arial"/>
                    <w:u w:val="single"/>
                  </w:rPr>
                  <w:t xml:space="preserve">180 </w:t>
                </w:r>
              </w:p>
            </w:tc>
            <w:tc>
              <w:tcPr>
                <w:tcW w:w="992" w:type="dxa"/>
              </w:tcPr>
              <w:p w14:paraId="7002EA0F" w14:textId="3E354E16" w:rsidR="00106D38" w:rsidRPr="00BC19FF" w:rsidRDefault="00106D38" w:rsidP="00B0557A">
                <w:pPr>
                  <w:jc w:val="right"/>
                  <w:rPr>
                    <w:rFonts w:ascii="Arial" w:hAnsi="Arial" w:cs="Arial"/>
                    <w:u w:val="single"/>
                  </w:rPr>
                </w:pPr>
                <w:r>
                  <w:rPr>
                    <w:rFonts w:ascii="Arial" w:hAnsi="Arial" w:cs="Arial"/>
                    <w:u w:val="single"/>
                  </w:rPr>
                  <w:t xml:space="preserve">195 </w:t>
                </w:r>
              </w:p>
            </w:tc>
          </w:tr>
          <w:tr w:rsidR="00106D38" w14:paraId="7BE19179" w14:textId="77777777" w:rsidTr="00B0557A">
            <w:tc>
              <w:tcPr>
                <w:tcW w:w="2551" w:type="dxa"/>
              </w:tcPr>
              <w:p w14:paraId="5E71674A" w14:textId="77777777" w:rsidR="00106D38" w:rsidRDefault="00106D38" w:rsidP="00B0557A">
                <w:pPr>
                  <w:rPr>
                    <w:rFonts w:ascii="Arial" w:hAnsi="Arial" w:cs="Arial"/>
                  </w:rPr>
                </w:pPr>
              </w:p>
            </w:tc>
            <w:tc>
              <w:tcPr>
                <w:tcW w:w="992" w:type="dxa"/>
              </w:tcPr>
              <w:p w14:paraId="3F947CEA" w14:textId="77777777" w:rsidR="00106D38" w:rsidRDefault="00106D38" w:rsidP="00B0557A">
                <w:pPr>
                  <w:jc w:val="right"/>
                  <w:rPr>
                    <w:rFonts w:ascii="Arial" w:hAnsi="Arial" w:cs="Arial"/>
                  </w:rPr>
                </w:pPr>
                <w:r>
                  <w:rPr>
                    <w:rFonts w:ascii="Arial" w:hAnsi="Arial" w:cs="Arial"/>
                  </w:rPr>
                  <w:t xml:space="preserve"> </w:t>
                </w:r>
              </w:p>
            </w:tc>
            <w:tc>
              <w:tcPr>
                <w:tcW w:w="992" w:type="dxa"/>
              </w:tcPr>
              <w:p w14:paraId="3E890097" w14:textId="77777777" w:rsidR="00106D38" w:rsidRDefault="00106D38" w:rsidP="00B0557A">
                <w:pPr>
                  <w:jc w:val="right"/>
                  <w:rPr>
                    <w:rFonts w:ascii="Arial" w:hAnsi="Arial" w:cs="Arial"/>
                  </w:rPr>
                </w:pPr>
                <w:r>
                  <w:rPr>
                    <w:rFonts w:ascii="Arial" w:hAnsi="Arial" w:cs="Arial"/>
                  </w:rPr>
                  <w:t xml:space="preserve">  </w:t>
                </w:r>
              </w:p>
            </w:tc>
            <w:tc>
              <w:tcPr>
                <w:tcW w:w="964" w:type="dxa"/>
              </w:tcPr>
              <w:p w14:paraId="28E863B1" w14:textId="77777777" w:rsidR="00106D38" w:rsidRDefault="00106D38" w:rsidP="00B0557A">
                <w:pPr>
                  <w:jc w:val="right"/>
                  <w:rPr>
                    <w:rFonts w:ascii="Arial" w:hAnsi="Arial" w:cs="Arial"/>
                  </w:rPr>
                </w:pPr>
                <w:r>
                  <w:rPr>
                    <w:rFonts w:ascii="Arial" w:hAnsi="Arial" w:cs="Arial"/>
                  </w:rPr>
                  <w:t xml:space="preserve"> </w:t>
                </w:r>
              </w:p>
            </w:tc>
            <w:tc>
              <w:tcPr>
                <w:tcW w:w="993" w:type="dxa"/>
              </w:tcPr>
              <w:p w14:paraId="76455809" w14:textId="77777777" w:rsidR="00106D38" w:rsidRDefault="00106D38" w:rsidP="00B0557A">
                <w:pPr>
                  <w:jc w:val="right"/>
                  <w:rPr>
                    <w:rFonts w:ascii="Arial" w:hAnsi="Arial" w:cs="Arial"/>
                  </w:rPr>
                </w:pPr>
                <w:r>
                  <w:rPr>
                    <w:rFonts w:ascii="Arial" w:hAnsi="Arial" w:cs="Arial"/>
                  </w:rPr>
                  <w:t xml:space="preserve"> </w:t>
                </w:r>
              </w:p>
            </w:tc>
            <w:tc>
              <w:tcPr>
                <w:tcW w:w="992" w:type="dxa"/>
              </w:tcPr>
              <w:p w14:paraId="5D4F5032" w14:textId="77777777" w:rsidR="00106D38" w:rsidRDefault="00106D38" w:rsidP="00B0557A">
                <w:pPr>
                  <w:jc w:val="right"/>
                  <w:rPr>
                    <w:rFonts w:ascii="Arial" w:hAnsi="Arial" w:cs="Arial"/>
                  </w:rPr>
                </w:pPr>
                <w:r>
                  <w:rPr>
                    <w:rFonts w:ascii="Arial" w:hAnsi="Arial" w:cs="Arial"/>
                  </w:rPr>
                  <w:t xml:space="preserve"> </w:t>
                </w:r>
              </w:p>
            </w:tc>
            <w:tc>
              <w:tcPr>
                <w:tcW w:w="992" w:type="dxa"/>
              </w:tcPr>
              <w:p w14:paraId="46C482FA" w14:textId="77777777" w:rsidR="00106D38" w:rsidRDefault="00106D38" w:rsidP="00B0557A">
                <w:pPr>
                  <w:jc w:val="right"/>
                  <w:rPr>
                    <w:rFonts w:ascii="Arial" w:hAnsi="Arial" w:cs="Arial"/>
                  </w:rPr>
                </w:pPr>
                <w:r>
                  <w:rPr>
                    <w:rFonts w:ascii="Arial" w:hAnsi="Arial" w:cs="Arial"/>
                  </w:rPr>
                  <w:t xml:space="preserve"> </w:t>
                </w:r>
              </w:p>
            </w:tc>
          </w:tr>
          <w:tr w:rsidR="00106D38" w14:paraId="73BD0077" w14:textId="77777777" w:rsidTr="00B0557A">
            <w:tc>
              <w:tcPr>
                <w:tcW w:w="2551" w:type="dxa"/>
              </w:tcPr>
              <w:p w14:paraId="1796DB4D" w14:textId="77777777" w:rsidR="00106D38" w:rsidRDefault="00106D38" w:rsidP="00B0557A">
                <w:pPr>
                  <w:rPr>
                    <w:rFonts w:ascii="Arial" w:hAnsi="Arial" w:cs="Arial"/>
                  </w:rPr>
                </w:pPr>
                <w:r>
                  <w:rPr>
                    <w:rFonts w:ascii="Arial" w:hAnsi="Arial" w:cs="Arial"/>
                  </w:rPr>
                  <w:t>Cost of Stock sold</w:t>
                </w:r>
              </w:p>
            </w:tc>
            <w:tc>
              <w:tcPr>
                <w:tcW w:w="992" w:type="dxa"/>
              </w:tcPr>
              <w:p w14:paraId="1167D4B2" w14:textId="4E6BDEDA" w:rsidR="00106D38" w:rsidRDefault="00D77276" w:rsidP="00B0557A">
                <w:pPr>
                  <w:jc w:val="right"/>
                  <w:rPr>
                    <w:rFonts w:ascii="Arial" w:hAnsi="Arial" w:cs="Arial"/>
                  </w:rPr>
                </w:pPr>
                <w:r>
                  <w:rPr>
                    <w:rFonts w:ascii="Arial" w:hAnsi="Arial" w:cs="Arial"/>
                  </w:rPr>
                  <w:t>182</w:t>
                </w:r>
              </w:p>
            </w:tc>
            <w:tc>
              <w:tcPr>
                <w:tcW w:w="992" w:type="dxa"/>
              </w:tcPr>
              <w:p w14:paraId="57575B39" w14:textId="5261ADEE" w:rsidR="00106D38" w:rsidRDefault="00D77276" w:rsidP="00B0557A">
                <w:pPr>
                  <w:jc w:val="right"/>
                  <w:rPr>
                    <w:rFonts w:ascii="Arial" w:hAnsi="Arial" w:cs="Arial"/>
                  </w:rPr>
                </w:pPr>
                <w:r>
                  <w:rPr>
                    <w:rFonts w:ascii="Arial" w:hAnsi="Arial" w:cs="Arial"/>
                  </w:rPr>
                  <w:t>189</w:t>
                </w:r>
              </w:p>
            </w:tc>
            <w:tc>
              <w:tcPr>
                <w:tcW w:w="964" w:type="dxa"/>
              </w:tcPr>
              <w:p w14:paraId="4D537A24" w14:textId="0FEFB217" w:rsidR="00106D38" w:rsidRDefault="00D77276" w:rsidP="00B0557A">
                <w:pPr>
                  <w:jc w:val="right"/>
                  <w:rPr>
                    <w:rFonts w:ascii="Arial" w:hAnsi="Arial" w:cs="Arial"/>
                  </w:rPr>
                </w:pPr>
                <w:r>
                  <w:rPr>
                    <w:rFonts w:ascii="Arial" w:hAnsi="Arial" w:cs="Arial"/>
                  </w:rPr>
                  <w:t>189</w:t>
                </w:r>
              </w:p>
            </w:tc>
            <w:tc>
              <w:tcPr>
                <w:tcW w:w="993" w:type="dxa"/>
              </w:tcPr>
              <w:p w14:paraId="16818827" w14:textId="0B53D70F" w:rsidR="00106D38" w:rsidRDefault="00D77276" w:rsidP="00B0557A">
                <w:pPr>
                  <w:jc w:val="right"/>
                  <w:rPr>
                    <w:rFonts w:ascii="Arial" w:hAnsi="Arial" w:cs="Arial"/>
                  </w:rPr>
                </w:pPr>
                <w:r>
                  <w:rPr>
                    <w:rFonts w:ascii="Arial" w:hAnsi="Arial" w:cs="Arial"/>
                  </w:rPr>
                  <w:t>154</w:t>
                </w:r>
              </w:p>
            </w:tc>
            <w:tc>
              <w:tcPr>
                <w:tcW w:w="992" w:type="dxa"/>
              </w:tcPr>
              <w:p w14:paraId="0251082E" w14:textId="16E73637" w:rsidR="00106D38" w:rsidRDefault="00D77276" w:rsidP="00B0557A">
                <w:pPr>
                  <w:jc w:val="right"/>
                  <w:rPr>
                    <w:rFonts w:ascii="Arial" w:hAnsi="Arial" w:cs="Arial"/>
                  </w:rPr>
                </w:pPr>
                <w:r>
                  <w:rPr>
                    <w:rFonts w:ascii="Arial" w:hAnsi="Arial" w:cs="Arial"/>
                  </w:rPr>
                  <w:t>147</w:t>
                </w:r>
              </w:p>
            </w:tc>
            <w:tc>
              <w:tcPr>
                <w:tcW w:w="992" w:type="dxa"/>
              </w:tcPr>
              <w:p w14:paraId="79B36F2D" w14:textId="7338ED4C" w:rsidR="00106D38" w:rsidRDefault="00D77276" w:rsidP="00B0557A">
                <w:pPr>
                  <w:jc w:val="right"/>
                  <w:rPr>
                    <w:rFonts w:ascii="Arial" w:hAnsi="Arial" w:cs="Arial"/>
                  </w:rPr>
                </w:pPr>
                <w:r>
                  <w:rPr>
                    <w:rFonts w:ascii="Arial" w:hAnsi="Arial" w:cs="Arial"/>
                  </w:rPr>
                  <w:t>133</w:t>
                </w:r>
              </w:p>
            </w:tc>
          </w:tr>
          <w:tr w:rsidR="00106D38" w14:paraId="37EB3BBE" w14:textId="77777777" w:rsidTr="00214F6C">
            <w:trPr>
              <w:trHeight w:val="882"/>
            </w:trPr>
            <w:tc>
              <w:tcPr>
                <w:tcW w:w="2551" w:type="dxa"/>
              </w:tcPr>
              <w:p w14:paraId="533640A7" w14:textId="77777777" w:rsidR="00106D38" w:rsidRDefault="00106D38" w:rsidP="00B0557A">
                <w:pPr>
                  <w:rPr>
                    <w:rFonts w:ascii="Arial" w:hAnsi="Arial" w:cs="Arial"/>
                  </w:rPr>
                </w:pPr>
                <w:r>
                  <w:rPr>
                    <w:rFonts w:ascii="Arial" w:hAnsi="Arial" w:cs="Arial"/>
                  </w:rPr>
                  <w:t>(60% of sales)</w:t>
                </w:r>
              </w:p>
              <w:p w14:paraId="34C7D463" w14:textId="2F440AE1" w:rsidR="00214F6C" w:rsidRDefault="00214F6C" w:rsidP="00B0557A">
                <w:pPr>
                  <w:rPr>
                    <w:rFonts w:ascii="Arial" w:hAnsi="Arial" w:cs="Arial"/>
                  </w:rPr>
                </w:pPr>
                <w:r>
                  <w:rPr>
                    <w:rFonts w:ascii="Arial" w:hAnsi="Arial" w:cs="Arial"/>
                  </w:rPr>
                  <w:t>Closing Stock</w:t>
                </w:r>
              </w:p>
            </w:tc>
            <w:tc>
              <w:tcPr>
                <w:tcW w:w="992" w:type="dxa"/>
              </w:tcPr>
              <w:p w14:paraId="0814E94F" w14:textId="77777777" w:rsidR="00214F6C" w:rsidRDefault="00214F6C" w:rsidP="00B0557A">
                <w:pPr>
                  <w:jc w:val="right"/>
                  <w:rPr>
                    <w:rFonts w:ascii="Arial" w:hAnsi="Arial" w:cs="Arial"/>
                    <w:u w:val="single"/>
                  </w:rPr>
                </w:pPr>
              </w:p>
              <w:p w14:paraId="712B96E1" w14:textId="11411024" w:rsidR="00106D38" w:rsidRPr="00BC19FF" w:rsidRDefault="00C570B9" w:rsidP="00B0557A">
                <w:pPr>
                  <w:jc w:val="right"/>
                  <w:rPr>
                    <w:rFonts w:ascii="Arial" w:hAnsi="Arial" w:cs="Arial"/>
                    <w:u w:val="single"/>
                  </w:rPr>
                </w:pPr>
                <w:r>
                  <w:rPr>
                    <w:rFonts w:ascii="Arial" w:hAnsi="Arial" w:cs="Arial"/>
                    <w:u w:val="single"/>
                  </w:rPr>
                  <w:t>(</w:t>
                </w:r>
                <w:r w:rsidR="00214F6C">
                  <w:rPr>
                    <w:rFonts w:ascii="Arial" w:hAnsi="Arial" w:cs="Arial"/>
                    <w:u w:val="single"/>
                  </w:rPr>
                  <w:t>123</w:t>
                </w:r>
                <w:r w:rsidR="00106D38">
                  <w:rPr>
                    <w:rFonts w:ascii="Arial" w:hAnsi="Arial" w:cs="Arial"/>
                    <w:u w:val="single"/>
                  </w:rPr>
                  <w:t>)</w:t>
                </w:r>
              </w:p>
            </w:tc>
            <w:tc>
              <w:tcPr>
                <w:tcW w:w="992" w:type="dxa"/>
              </w:tcPr>
              <w:p w14:paraId="34A21D46" w14:textId="77777777" w:rsidR="00214F6C" w:rsidRDefault="00214F6C" w:rsidP="00B0557A">
                <w:pPr>
                  <w:jc w:val="right"/>
                  <w:rPr>
                    <w:rFonts w:ascii="Arial" w:hAnsi="Arial" w:cs="Arial"/>
                    <w:u w:val="single"/>
                  </w:rPr>
                </w:pPr>
              </w:p>
              <w:p w14:paraId="3048296E" w14:textId="25471FF7" w:rsidR="00106D38" w:rsidRPr="00BC19FF" w:rsidRDefault="00106D38" w:rsidP="00B0557A">
                <w:pPr>
                  <w:jc w:val="right"/>
                  <w:rPr>
                    <w:rFonts w:ascii="Arial" w:hAnsi="Arial" w:cs="Arial"/>
                    <w:u w:val="single"/>
                  </w:rPr>
                </w:pPr>
                <w:r>
                  <w:rPr>
                    <w:rFonts w:ascii="Arial" w:hAnsi="Arial" w:cs="Arial"/>
                    <w:u w:val="single"/>
                  </w:rPr>
                  <w:t>(</w:t>
                </w:r>
                <w:r w:rsidR="00214F6C">
                  <w:rPr>
                    <w:rFonts w:ascii="Arial" w:hAnsi="Arial" w:cs="Arial"/>
                    <w:u w:val="single"/>
                  </w:rPr>
                  <w:t>104</w:t>
                </w:r>
                <w:r>
                  <w:rPr>
                    <w:rFonts w:ascii="Arial" w:hAnsi="Arial" w:cs="Arial"/>
                    <w:u w:val="single"/>
                  </w:rPr>
                  <w:t>)</w:t>
                </w:r>
              </w:p>
            </w:tc>
            <w:tc>
              <w:tcPr>
                <w:tcW w:w="964" w:type="dxa"/>
              </w:tcPr>
              <w:p w14:paraId="0DFFB652" w14:textId="77777777" w:rsidR="00214F6C" w:rsidRDefault="00214F6C" w:rsidP="00B0557A">
                <w:pPr>
                  <w:jc w:val="right"/>
                  <w:rPr>
                    <w:rFonts w:ascii="Arial" w:hAnsi="Arial" w:cs="Arial"/>
                    <w:u w:val="single"/>
                  </w:rPr>
                </w:pPr>
              </w:p>
              <w:p w14:paraId="5B6A25D2" w14:textId="4A49D867" w:rsidR="00106D38" w:rsidRPr="00BC19FF" w:rsidRDefault="00106D38" w:rsidP="00B0557A">
                <w:pPr>
                  <w:jc w:val="right"/>
                  <w:rPr>
                    <w:rFonts w:ascii="Arial" w:hAnsi="Arial" w:cs="Arial"/>
                    <w:u w:val="single"/>
                  </w:rPr>
                </w:pPr>
                <w:r>
                  <w:rPr>
                    <w:rFonts w:ascii="Arial" w:hAnsi="Arial" w:cs="Arial"/>
                    <w:u w:val="single"/>
                  </w:rPr>
                  <w:t>(</w:t>
                </w:r>
                <w:r w:rsidR="00214F6C">
                  <w:rPr>
                    <w:rFonts w:ascii="Arial" w:hAnsi="Arial" w:cs="Arial"/>
                    <w:u w:val="single"/>
                  </w:rPr>
                  <w:t>118</w:t>
                </w:r>
                <w:r>
                  <w:rPr>
                    <w:rFonts w:ascii="Arial" w:hAnsi="Arial" w:cs="Arial"/>
                    <w:u w:val="single"/>
                  </w:rPr>
                  <w:t>)</w:t>
                </w:r>
              </w:p>
            </w:tc>
            <w:tc>
              <w:tcPr>
                <w:tcW w:w="993" w:type="dxa"/>
              </w:tcPr>
              <w:p w14:paraId="3B669FA8" w14:textId="77777777" w:rsidR="00214F6C" w:rsidRDefault="00214F6C" w:rsidP="00B0557A">
                <w:pPr>
                  <w:jc w:val="right"/>
                  <w:rPr>
                    <w:rFonts w:ascii="Arial" w:hAnsi="Arial" w:cs="Arial"/>
                    <w:u w:val="single"/>
                  </w:rPr>
                </w:pPr>
              </w:p>
              <w:p w14:paraId="1239C05C" w14:textId="26022588" w:rsidR="00106D38" w:rsidRPr="00BC19FF" w:rsidRDefault="00C570B9" w:rsidP="00B0557A">
                <w:pPr>
                  <w:jc w:val="right"/>
                  <w:rPr>
                    <w:rFonts w:ascii="Arial" w:hAnsi="Arial" w:cs="Arial"/>
                    <w:u w:val="single"/>
                  </w:rPr>
                </w:pPr>
                <w:r>
                  <w:rPr>
                    <w:rFonts w:ascii="Arial" w:hAnsi="Arial" w:cs="Arial"/>
                    <w:u w:val="single"/>
                  </w:rPr>
                  <w:t>(</w:t>
                </w:r>
                <w:r w:rsidR="00214F6C">
                  <w:rPr>
                    <w:rFonts w:ascii="Arial" w:hAnsi="Arial" w:cs="Arial"/>
                    <w:u w:val="single"/>
                  </w:rPr>
                  <w:t>164</w:t>
                </w:r>
                <w:r w:rsidR="00106D38">
                  <w:rPr>
                    <w:rFonts w:ascii="Arial" w:hAnsi="Arial" w:cs="Arial"/>
                    <w:u w:val="single"/>
                  </w:rPr>
                  <w:t>)</w:t>
                </w:r>
              </w:p>
            </w:tc>
            <w:tc>
              <w:tcPr>
                <w:tcW w:w="992" w:type="dxa"/>
              </w:tcPr>
              <w:p w14:paraId="2667CFB6" w14:textId="77777777" w:rsidR="00214F6C" w:rsidRDefault="00214F6C" w:rsidP="00B0557A">
                <w:pPr>
                  <w:jc w:val="right"/>
                  <w:rPr>
                    <w:rFonts w:ascii="Arial" w:hAnsi="Arial" w:cs="Arial"/>
                    <w:u w:val="single"/>
                  </w:rPr>
                </w:pPr>
              </w:p>
              <w:p w14:paraId="4C953F72" w14:textId="6B07D448" w:rsidR="00106D38" w:rsidRPr="00BC19FF" w:rsidRDefault="00106D38" w:rsidP="00B0557A">
                <w:pPr>
                  <w:jc w:val="right"/>
                  <w:rPr>
                    <w:rFonts w:ascii="Arial" w:hAnsi="Arial" w:cs="Arial"/>
                    <w:u w:val="single"/>
                  </w:rPr>
                </w:pPr>
                <w:r>
                  <w:rPr>
                    <w:rFonts w:ascii="Arial" w:hAnsi="Arial" w:cs="Arial"/>
                    <w:u w:val="single"/>
                  </w:rPr>
                  <w:t>(</w:t>
                </w:r>
                <w:r w:rsidR="00214F6C">
                  <w:rPr>
                    <w:rFonts w:ascii="Arial" w:hAnsi="Arial" w:cs="Arial"/>
                    <w:u w:val="single"/>
                  </w:rPr>
                  <w:t>197</w:t>
                </w:r>
                <w:r>
                  <w:rPr>
                    <w:rFonts w:ascii="Arial" w:hAnsi="Arial" w:cs="Arial"/>
                    <w:u w:val="single"/>
                  </w:rPr>
                  <w:t>)</w:t>
                </w:r>
              </w:p>
            </w:tc>
            <w:tc>
              <w:tcPr>
                <w:tcW w:w="992" w:type="dxa"/>
              </w:tcPr>
              <w:p w14:paraId="2449D103" w14:textId="77777777" w:rsidR="00214F6C" w:rsidRDefault="00214F6C" w:rsidP="00B0557A">
                <w:pPr>
                  <w:jc w:val="right"/>
                  <w:rPr>
                    <w:rFonts w:ascii="Arial" w:hAnsi="Arial" w:cs="Arial"/>
                    <w:u w:val="single"/>
                  </w:rPr>
                </w:pPr>
              </w:p>
              <w:p w14:paraId="14AFD0D5" w14:textId="77982ED6" w:rsidR="00106D38" w:rsidRPr="00BC19FF" w:rsidRDefault="00106D38" w:rsidP="00B0557A">
                <w:pPr>
                  <w:jc w:val="right"/>
                  <w:rPr>
                    <w:rFonts w:ascii="Arial" w:hAnsi="Arial" w:cs="Arial"/>
                    <w:u w:val="single"/>
                  </w:rPr>
                </w:pPr>
                <w:r>
                  <w:rPr>
                    <w:rFonts w:ascii="Arial" w:hAnsi="Arial" w:cs="Arial"/>
                    <w:u w:val="single"/>
                  </w:rPr>
                  <w:t>(</w:t>
                </w:r>
                <w:r w:rsidR="00214F6C">
                  <w:rPr>
                    <w:rFonts w:ascii="Arial" w:hAnsi="Arial" w:cs="Arial"/>
                    <w:u w:val="single"/>
                  </w:rPr>
                  <w:t>259</w:t>
                </w:r>
                <w:r>
                  <w:rPr>
                    <w:rFonts w:ascii="Arial" w:hAnsi="Arial" w:cs="Arial"/>
                    <w:u w:val="single"/>
                  </w:rPr>
                  <w:t>)</w:t>
                </w:r>
              </w:p>
            </w:tc>
          </w:tr>
        </w:tbl>
        <w:p w14:paraId="72AB933E" w14:textId="77777777" w:rsidR="008F4B79" w:rsidRDefault="008F4B79" w:rsidP="008F4B79">
          <w:pPr>
            <w:spacing w:line="240" w:lineRule="auto"/>
            <w:ind w:left="360" w:firstLine="360"/>
            <w:rPr>
              <w:rFonts w:ascii="Arial" w:hAnsi="Arial" w:cs="Arial"/>
            </w:rPr>
          </w:pPr>
        </w:p>
        <w:p w14:paraId="3B3C9567" w14:textId="77777777" w:rsidR="008F4B79" w:rsidRPr="003B62C4" w:rsidRDefault="008F4B79" w:rsidP="008F4B79">
          <w:pPr>
            <w:pStyle w:val="ListParagraph"/>
            <w:numPr>
              <w:ilvl w:val="0"/>
              <w:numId w:val="1"/>
            </w:numPr>
            <w:ind w:left="851"/>
            <w:jc w:val="both"/>
            <w:rPr>
              <w:rFonts w:ascii="Arial" w:hAnsi="Arial" w:cs="Arial"/>
            </w:rPr>
          </w:pPr>
          <w:r>
            <w:rPr>
              <w:rFonts w:ascii="Arial" w:hAnsi="Arial" w:cs="Arial"/>
            </w:rPr>
            <w:t>The cash budget for the period to 30 November is:</w:t>
          </w:r>
        </w:p>
        <w:tbl>
          <w:tblPr>
            <w:tblStyle w:val="TableGrid"/>
            <w:tblW w:w="9213"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3260"/>
            <w:gridCol w:w="992"/>
            <w:gridCol w:w="992"/>
            <w:gridCol w:w="993"/>
            <w:gridCol w:w="992"/>
            <w:gridCol w:w="992"/>
            <w:gridCol w:w="992"/>
          </w:tblGrid>
          <w:tr w:rsidR="008F4B79" w14:paraId="06B9D7C0" w14:textId="77777777" w:rsidTr="00B0557A">
            <w:tc>
              <w:tcPr>
                <w:tcW w:w="3260" w:type="dxa"/>
              </w:tcPr>
              <w:p w14:paraId="1E3C6F34" w14:textId="77777777" w:rsidR="008F4B79" w:rsidRDefault="008F4B79" w:rsidP="00B0557A">
                <w:pPr>
                  <w:jc w:val="center"/>
                  <w:rPr>
                    <w:rFonts w:ascii="Arial" w:hAnsi="Arial" w:cs="Arial"/>
                  </w:rPr>
                </w:pPr>
              </w:p>
            </w:tc>
            <w:tc>
              <w:tcPr>
                <w:tcW w:w="992" w:type="dxa"/>
              </w:tcPr>
              <w:p w14:paraId="0F82EF1E" w14:textId="77777777" w:rsidR="008F4B79" w:rsidRPr="004D6C12" w:rsidRDefault="008F4B79" w:rsidP="00B0557A">
                <w:pPr>
                  <w:jc w:val="center"/>
                  <w:rPr>
                    <w:rFonts w:ascii="Arial" w:hAnsi="Arial" w:cs="Arial"/>
                    <w:b/>
                  </w:rPr>
                </w:pPr>
                <w:r w:rsidRPr="004D6C12">
                  <w:rPr>
                    <w:rFonts w:ascii="Arial" w:hAnsi="Arial" w:cs="Arial"/>
                    <w:b/>
                  </w:rPr>
                  <w:t>June</w:t>
                </w:r>
              </w:p>
            </w:tc>
            <w:tc>
              <w:tcPr>
                <w:tcW w:w="992" w:type="dxa"/>
              </w:tcPr>
              <w:p w14:paraId="2D1C017B" w14:textId="77777777" w:rsidR="008F4B79" w:rsidRPr="004D6C12" w:rsidRDefault="008F4B79" w:rsidP="00B0557A">
                <w:pPr>
                  <w:jc w:val="center"/>
                  <w:rPr>
                    <w:rFonts w:ascii="Arial" w:hAnsi="Arial" w:cs="Arial"/>
                    <w:b/>
                  </w:rPr>
                </w:pPr>
                <w:r w:rsidRPr="004D6C12">
                  <w:rPr>
                    <w:rFonts w:ascii="Arial" w:hAnsi="Arial" w:cs="Arial"/>
                    <w:b/>
                  </w:rPr>
                  <w:t>July</w:t>
                </w:r>
              </w:p>
            </w:tc>
            <w:tc>
              <w:tcPr>
                <w:tcW w:w="993" w:type="dxa"/>
              </w:tcPr>
              <w:p w14:paraId="26718C46" w14:textId="77777777" w:rsidR="008F4B79" w:rsidRPr="004D6C12" w:rsidRDefault="008F4B79" w:rsidP="00B0557A">
                <w:pPr>
                  <w:jc w:val="center"/>
                  <w:rPr>
                    <w:rFonts w:ascii="Arial" w:hAnsi="Arial" w:cs="Arial"/>
                    <w:b/>
                  </w:rPr>
                </w:pPr>
                <w:r w:rsidRPr="004D6C12">
                  <w:rPr>
                    <w:rFonts w:ascii="Arial" w:hAnsi="Arial" w:cs="Arial"/>
                    <w:b/>
                  </w:rPr>
                  <w:t>Aug</w:t>
                </w:r>
              </w:p>
            </w:tc>
            <w:tc>
              <w:tcPr>
                <w:tcW w:w="992" w:type="dxa"/>
              </w:tcPr>
              <w:p w14:paraId="6D1F22EF" w14:textId="77777777" w:rsidR="008F4B79" w:rsidRPr="004D6C12" w:rsidRDefault="008F4B79" w:rsidP="00B0557A">
                <w:pPr>
                  <w:jc w:val="center"/>
                  <w:rPr>
                    <w:rFonts w:ascii="Arial" w:hAnsi="Arial" w:cs="Arial"/>
                    <w:b/>
                  </w:rPr>
                </w:pPr>
                <w:r w:rsidRPr="004D6C12">
                  <w:rPr>
                    <w:rFonts w:ascii="Arial" w:hAnsi="Arial" w:cs="Arial"/>
                    <w:b/>
                  </w:rPr>
                  <w:t>Sept</w:t>
                </w:r>
              </w:p>
            </w:tc>
            <w:tc>
              <w:tcPr>
                <w:tcW w:w="992" w:type="dxa"/>
              </w:tcPr>
              <w:p w14:paraId="5E8C0BEE" w14:textId="77777777" w:rsidR="008F4B79" w:rsidRPr="004D6C12" w:rsidRDefault="008F4B79" w:rsidP="00B0557A">
                <w:pPr>
                  <w:jc w:val="center"/>
                  <w:rPr>
                    <w:rFonts w:ascii="Arial" w:hAnsi="Arial" w:cs="Arial"/>
                    <w:b/>
                  </w:rPr>
                </w:pPr>
                <w:r w:rsidRPr="004D6C12">
                  <w:rPr>
                    <w:rFonts w:ascii="Arial" w:hAnsi="Arial" w:cs="Arial"/>
                    <w:b/>
                  </w:rPr>
                  <w:t>Oct</w:t>
                </w:r>
              </w:p>
            </w:tc>
            <w:tc>
              <w:tcPr>
                <w:tcW w:w="992" w:type="dxa"/>
              </w:tcPr>
              <w:p w14:paraId="3DB292E3" w14:textId="77777777" w:rsidR="008F4B79" w:rsidRPr="004D6C12" w:rsidRDefault="008F4B79" w:rsidP="00B0557A">
                <w:pPr>
                  <w:jc w:val="center"/>
                  <w:rPr>
                    <w:rFonts w:ascii="Arial" w:hAnsi="Arial" w:cs="Arial"/>
                    <w:b/>
                  </w:rPr>
                </w:pPr>
                <w:r w:rsidRPr="004D6C12">
                  <w:rPr>
                    <w:rFonts w:ascii="Arial" w:hAnsi="Arial" w:cs="Arial"/>
                    <w:b/>
                  </w:rPr>
                  <w:t>Nov</w:t>
                </w:r>
              </w:p>
            </w:tc>
          </w:tr>
          <w:tr w:rsidR="008F4B79" w14:paraId="387BECA4" w14:textId="77777777" w:rsidTr="00B0557A">
            <w:tc>
              <w:tcPr>
                <w:tcW w:w="3260" w:type="dxa"/>
              </w:tcPr>
              <w:p w14:paraId="22968697" w14:textId="77777777" w:rsidR="008F4B79" w:rsidRDefault="008F4B79" w:rsidP="00B0557A">
                <w:pPr>
                  <w:rPr>
                    <w:rFonts w:ascii="Arial" w:hAnsi="Arial" w:cs="Arial"/>
                  </w:rPr>
                </w:pPr>
              </w:p>
            </w:tc>
            <w:tc>
              <w:tcPr>
                <w:tcW w:w="992" w:type="dxa"/>
              </w:tcPr>
              <w:p w14:paraId="03B61E49" w14:textId="77777777" w:rsidR="008F4B79" w:rsidRPr="004D6C12" w:rsidRDefault="008F4B79" w:rsidP="00B0557A">
                <w:pPr>
                  <w:jc w:val="center"/>
                  <w:rPr>
                    <w:rFonts w:ascii="Arial" w:hAnsi="Arial" w:cs="Arial"/>
                    <w:sz w:val="20"/>
                    <w:szCs w:val="20"/>
                  </w:rPr>
                </w:pPr>
                <w:r w:rsidRPr="004D6C12">
                  <w:rPr>
                    <w:rFonts w:ascii="Arial" w:hAnsi="Arial" w:cs="Arial"/>
                    <w:sz w:val="20"/>
                    <w:szCs w:val="20"/>
                  </w:rPr>
                  <w:t>£000</w:t>
                </w:r>
              </w:p>
            </w:tc>
            <w:tc>
              <w:tcPr>
                <w:tcW w:w="992" w:type="dxa"/>
              </w:tcPr>
              <w:p w14:paraId="7CB4784F" w14:textId="77777777" w:rsidR="008F4B79" w:rsidRPr="004D6C12" w:rsidRDefault="008F4B79" w:rsidP="00B0557A">
                <w:pPr>
                  <w:jc w:val="center"/>
                  <w:rPr>
                    <w:rFonts w:ascii="Arial" w:hAnsi="Arial" w:cs="Arial"/>
                    <w:sz w:val="20"/>
                    <w:szCs w:val="20"/>
                  </w:rPr>
                </w:pPr>
                <w:r w:rsidRPr="004D6C12">
                  <w:rPr>
                    <w:rFonts w:ascii="Arial" w:hAnsi="Arial" w:cs="Arial"/>
                    <w:sz w:val="20"/>
                    <w:szCs w:val="20"/>
                  </w:rPr>
                  <w:t>£000</w:t>
                </w:r>
              </w:p>
            </w:tc>
            <w:tc>
              <w:tcPr>
                <w:tcW w:w="993" w:type="dxa"/>
              </w:tcPr>
              <w:p w14:paraId="32786BD5" w14:textId="77777777" w:rsidR="008F4B79" w:rsidRPr="004D6C12" w:rsidRDefault="008F4B79" w:rsidP="00B0557A">
                <w:pPr>
                  <w:jc w:val="center"/>
                  <w:rPr>
                    <w:rFonts w:ascii="Arial" w:hAnsi="Arial" w:cs="Arial"/>
                    <w:sz w:val="20"/>
                    <w:szCs w:val="20"/>
                  </w:rPr>
                </w:pPr>
                <w:r w:rsidRPr="004D6C12">
                  <w:rPr>
                    <w:rFonts w:ascii="Arial" w:hAnsi="Arial" w:cs="Arial"/>
                    <w:sz w:val="20"/>
                    <w:szCs w:val="20"/>
                  </w:rPr>
                  <w:t>£000</w:t>
                </w:r>
              </w:p>
            </w:tc>
            <w:tc>
              <w:tcPr>
                <w:tcW w:w="992" w:type="dxa"/>
              </w:tcPr>
              <w:p w14:paraId="50CD8B0B" w14:textId="77777777" w:rsidR="008F4B79" w:rsidRPr="004D6C12" w:rsidRDefault="008F4B79" w:rsidP="00B0557A">
                <w:pPr>
                  <w:jc w:val="center"/>
                  <w:rPr>
                    <w:rFonts w:ascii="Arial" w:hAnsi="Arial" w:cs="Arial"/>
                    <w:sz w:val="20"/>
                    <w:szCs w:val="20"/>
                  </w:rPr>
                </w:pPr>
                <w:r w:rsidRPr="004D6C12">
                  <w:rPr>
                    <w:rFonts w:ascii="Arial" w:hAnsi="Arial" w:cs="Arial"/>
                    <w:sz w:val="20"/>
                    <w:szCs w:val="20"/>
                  </w:rPr>
                  <w:t>£000</w:t>
                </w:r>
              </w:p>
            </w:tc>
            <w:tc>
              <w:tcPr>
                <w:tcW w:w="992" w:type="dxa"/>
              </w:tcPr>
              <w:p w14:paraId="785BF577" w14:textId="77777777" w:rsidR="008F4B79" w:rsidRPr="004D6C12" w:rsidRDefault="008F4B79" w:rsidP="00B0557A">
                <w:pPr>
                  <w:jc w:val="center"/>
                  <w:rPr>
                    <w:rFonts w:ascii="Arial" w:hAnsi="Arial" w:cs="Arial"/>
                    <w:sz w:val="20"/>
                    <w:szCs w:val="20"/>
                  </w:rPr>
                </w:pPr>
                <w:r w:rsidRPr="004D6C12">
                  <w:rPr>
                    <w:rFonts w:ascii="Arial" w:hAnsi="Arial" w:cs="Arial"/>
                    <w:sz w:val="20"/>
                    <w:szCs w:val="20"/>
                  </w:rPr>
                  <w:t>£000</w:t>
                </w:r>
              </w:p>
            </w:tc>
            <w:tc>
              <w:tcPr>
                <w:tcW w:w="992" w:type="dxa"/>
              </w:tcPr>
              <w:p w14:paraId="7AE4D994" w14:textId="77777777" w:rsidR="008F4B79" w:rsidRPr="004D6C12" w:rsidRDefault="008F4B79" w:rsidP="00B0557A">
                <w:pPr>
                  <w:jc w:val="center"/>
                  <w:rPr>
                    <w:rFonts w:ascii="Arial" w:hAnsi="Arial" w:cs="Arial"/>
                    <w:sz w:val="20"/>
                    <w:szCs w:val="20"/>
                  </w:rPr>
                </w:pPr>
                <w:r w:rsidRPr="004D6C12">
                  <w:rPr>
                    <w:rFonts w:ascii="Arial" w:hAnsi="Arial" w:cs="Arial"/>
                    <w:sz w:val="20"/>
                    <w:szCs w:val="20"/>
                  </w:rPr>
                  <w:t>£000</w:t>
                </w:r>
              </w:p>
            </w:tc>
          </w:tr>
          <w:tr w:rsidR="008F4B79" w14:paraId="7E9282B2" w14:textId="77777777" w:rsidTr="00B0557A">
            <w:tc>
              <w:tcPr>
                <w:tcW w:w="3260" w:type="dxa"/>
              </w:tcPr>
              <w:p w14:paraId="05321C62" w14:textId="77777777" w:rsidR="008F4B79" w:rsidRDefault="008F4B79" w:rsidP="00B0557A">
                <w:pPr>
                  <w:rPr>
                    <w:rFonts w:ascii="Arial" w:hAnsi="Arial" w:cs="Arial"/>
                    <w:b/>
                  </w:rPr>
                </w:pPr>
                <w:r w:rsidRPr="00493559">
                  <w:rPr>
                    <w:rFonts w:ascii="Arial" w:hAnsi="Arial" w:cs="Arial"/>
                    <w:b/>
                  </w:rPr>
                  <w:t>Cash receipts</w:t>
                </w:r>
                <w:r>
                  <w:rPr>
                    <w:rFonts w:ascii="Arial" w:hAnsi="Arial" w:cs="Arial"/>
                    <w:b/>
                  </w:rPr>
                  <w:t xml:space="preserve"> </w:t>
                </w:r>
              </w:p>
              <w:p w14:paraId="6E77960B" w14:textId="678E6E04" w:rsidR="008F4B79" w:rsidRDefault="008F4B79" w:rsidP="00B0557A">
                <w:pPr>
                  <w:rPr>
                    <w:rFonts w:ascii="Arial" w:hAnsi="Arial" w:cs="Arial"/>
                  </w:rPr>
                </w:pPr>
                <w:r>
                  <w:rPr>
                    <w:rFonts w:ascii="Arial" w:hAnsi="Arial" w:cs="Arial"/>
                  </w:rPr>
                  <w:t xml:space="preserve">Sales net of  </w:t>
                </w:r>
              </w:p>
            </w:tc>
            <w:tc>
              <w:tcPr>
                <w:tcW w:w="992" w:type="dxa"/>
              </w:tcPr>
              <w:p w14:paraId="7CC417E8" w14:textId="77777777" w:rsidR="008F4B79" w:rsidRDefault="008F4B79" w:rsidP="00B0557A">
                <w:pPr>
                  <w:jc w:val="center"/>
                  <w:rPr>
                    <w:rFonts w:ascii="Arial" w:hAnsi="Arial" w:cs="Arial"/>
                  </w:rPr>
                </w:pPr>
              </w:p>
              <w:p w14:paraId="09D61F7D" w14:textId="079F204D" w:rsidR="008F4B79" w:rsidRDefault="00603448" w:rsidP="00B0557A">
                <w:pPr>
                  <w:jc w:val="center"/>
                  <w:rPr>
                    <w:rFonts w:ascii="Arial" w:hAnsi="Arial" w:cs="Arial"/>
                  </w:rPr>
                </w:pPr>
                <w:r>
                  <w:rPr>
                    <w:rFonts w:ascii="Arial" w:hAnsi="Arial" w:cs="Arial"/>
                  </w:rPr>
                  <w:t>250</w:t>
                </w:r>
                <w:r w:rsidR="008F4B79">
                  <w:rPr>
                    <w:rFonts w:ascii="Arial" w:hAnsi="Arial" w:cs="Arial"/>
                  </w:rPr>
                  <w:t xml:space="preserve"> </w:t>
                </w:r>
              </w:p>
            </w:tc>
            <w:tc>
              <w:tcPr>
                <w:tcW w:w="992" w:type="dxa"/>
              </w:tcPr>
              <w:p w14:paraId="7682A9CA" w14:textId="77777777" w:rsidR="008F4B79" w:rsidRDefault="008F4B79" w:rsidP="00B0557A">
                <w:pPr>
                  <w:jc w:val="center"/>
                  <w:rPr>
                    <w:rFonts w:ascii="Arial" w:hAnsi="Arial" w:cs="Arial"/>
                  </w:rPr>
                </w:pPr>
              </w:p>
              <w:p w14:paraId="0DB8B11B" w14:textId="721F2F6E" w:rsidR="008F4B79" w:rsidRDefault="00603448" w:rsidP="00B0557A">
                <w:pPr>
                  <w:jc w:val="center"/>
                  <w:rPr>
                    <w:rFonts w:ascii="Arial" w:hAnsi="Arial" w:cs="Arial"/>
                  </w:rPr>
                </w:pPr>
                <w:r>
                  <w:rPr>
                    <w:rFonts w:ascii="Arial" w:hAnsi="Arial" w:cs="Arial"/>
                  </w:rPr>
                  <w:t>270</w:t>
                </w:r>
              </w:p>
            </w:tc>
            <w:tc>
              <w:tcPr>
                <w:tcW w:w="993" w:type="dxa"/>
              </w:tcPr>
              <w:p w14:paraId="016F2311" w14:textId="77777777" w:rsidR="008F4B79" w:rsidRDefault="008F4B79" w:rsidP="00B0557A">
                <w:pPr>
                  <w:jc w:val="center"/>
                  <w:rPr>
                    <w:rFonts w:ascii="Arial" w:hAnsi="Arial" w:cs="Arial"/>
                  </w:rPr>
                </w:pPr>
              </w:p>
              <w:p w14:paraId="1FA0F6E1" w14:textId="099B3799" w:rsidR="008F4B79" w:rsidRDefault="00603448" w:rsidP="00B0557A">
                <w:pPr>
                  <w:jc w:val="center"/>
                  <w:rPr>
                    <w:rFonts w:ascii="Arial" w:hAnsi="Arial" w:cs="Arial"/>
                  </w:rPr>
                </w:pPr>
                <w:r>
                  <w:rPr>
                    <w:rFonts w:ascii="Arial" w:hAnsi="Arial" w:cs="Arial"/>
                  </w:rPr>
                  <w:t>270</w:t>
                </w:r>
              </w:p>
            </w:tc>
            <w:tc>
              <w:tcPr>
                <w:tcW w:w="992" w:type="dxa"/>
              </w:tcPr>
              <w:p w14:paraId="7D2BD5F3" w14:textId="77777777" w:rsidR="008F4B79" w:rsidRDefault="008F4B79" w:rsidP="00B0557A">
                <w:pPr>
                  <w:jc w:val="center"/>
                  <w:rPr>
                    <w:rFonts w:ascii="Arial" w:hAnsi="Arial" w:cs="Arial"/>
                  </w:rPr>
                </w:pPr>
              </w:p>
              <w:p w14:paraId="15BBCA2C" w14:textId="06271A11" w:rsidR="008F4B79" w:rsidRDefault="00603448" w:rsidP="00B0557A">
                <w:pPr>
                  <w:jc w:val="center"/>
                  <w:rPr>
                    <w:rFonts w:ascii="Arial" w:hAnsi="Arial" w:cs="Arial"/>
                  </w:rPr>
                </w:pPr>
                <w:r>
                  <w:rPr>
                    <w:rFonts w:ascii="Arial" w:hAnsi="Arial" w:cs="Arial"/>
                  </w:rPr>
                  <w:t>220</w:t>
                </w:r>
                <w:r w:rsidR="008F4B79">
                  <w:rPr>
                    <w:rFonts w:ascii="Arial" w:hAnsi="Arial" w:cs="Arial"/>
                  </w:rPr>
                  <w:t xml:space="preserve"> </w:t>
                </w:r>
              </w:p>
            </w:tc>
            <w:tc>
              <w:tcPr>
                <w:tcW w:w="992" w:type="dxa"/>
              </w:tcPr>
              <w:p w14:paraId="6047B1A8" w14:textId="77777777" w:rsidR="008F4B79" w:rsidRDefault="008F4B79" w:rsidP="00B0557A">
                <w:pPr>
                  <w:jc w:val="center"/>
                  <w:rPr>
                    <w:rFonts w:ascii="Arial" w:hAnsi="Arial" w:cs="Arial"/>
                  </w:rPr>
                </w:pPr>
              </w:p>
              <w:p w14:paraId="3977524C" w14:textId="30FF1369" w:rsidR="008F4B79" w:rsidRDefault="00603448" w:rsidP="00B0557A">
                <w:pPr>
                  <w:jc w:val="center"/>
                  <w:rPr>
                    <w:rFonts w:ascii="Arial" w:hAnsi="Arial" w:cs="Arial"/>
                  </w:rPr>
                </w:pPr>
                <w:r>
                  <w:rPr>
                    <w:rFonts w:ascii="Arial" w:hAnsi="Arial" w:cs="Arial"/>
                  </w:rPr>
                  <w:t>210</w:t>
                </w:r>
                <w:r w:rsidR="008F4B79">
                  <w:rPr>
                    <w:rFonts w:ascii="Arial" w:hAnsi="Arial" w:cs="Arial"/>
                  </w:rPr>
                  <w:t xml:space="preserve"> </w:t>
                </w:r>
              </w:p>
            </w:tc>
            <w:tc>
              <w:tcPr>
                <w:tcW w:w="992" w:type="dxa"/>
              </w:tcPr>
              <w:p w14:paraId="319D0667" w14:textId="77777777" w:rsidR="008F4B79" w:rsidRDefault="008F4B79" w:rsidP="00B0557A">
                <w:pPr>
                  <w:jc w:val="center"/>
                  <w:rPr>
                    <w:rFonts w:ascii="Arial" w:hAnsi="Arial" w:cs="Arial"/>
                  </w:rPr>
                </w:pPr>
              </w:p>
              <w:p w14:paraId="700B5A42" w14:textId="5F5B89BA" w:rsidR="008F4B79" w:rsidRDefault="00603448" w:rsidP="00B0557A">
                <w:pPr>
                  <w:jc w:val="center"/>
                  <w:rPr>
                    <w:rFonts w:ascii="Arial" w:hAnsi="Arial" w:cs="Arial"/>
                  </w:rPr>
                </w:pPr>
                <w:r>
                  <w:rPr>
                    <w:rFonts w:ascii="Arial" w:hAnsi="Arial" w:cs="Arial"/>
                  </w:rPr>
                  <w:t>190</w:t>
                </w:r>
                <w:r w:rsidR="008F4B79">
                  <w:rPr>
                    <w:rFonts w:ascii="Arial" w:hAnsi="Arial" w:cs="Arial"/>
                  </w:rPr>
                  <w:t xml:space="preserve"> </w:t>
                </w:r>
              </w:p>
            </w:tc>
          </w:tr>
          <w:tr w:rsidR="008F4B79" w14:paraId="3FCE4A4B" w14:textId="77777777" w:rsidTr="00B0557A">
            <w:tc>
              <w:tcPr>
                <w:tcW w:w="3260" w:type="dxa"/>
              </w:tcPr>
              <w:p w14:paraId="55ACD615" w14:textId="77777777" w:rsidR="008F4B79" w:rsidRPr="00493559" w:rsidRDefault="008F4B79" w:rsidP="00B0557A">
                <w:pPr>
                  <w:rPr>
                    <w:rFonts w:ascii="Arial" w:hAnsi="Arial" w:cs="Arial"/>
                    <w:b/>
                  </w:rPr>
                </w:pPr>
                <w:r w:rsidRPr="00493559">
                  <w:rPr>
                    <w:rFonts w:ascii="Arial" w:hAnsi="Arial" w:cs="Arial"/>
                    <w:b/>
                  </w:rPr>
                  <w:t>Cash payments</w:t>
                </w:r>
              </w:p>
              <w:p w14:paraId="629DC15D" w14:textId="7B8C3510" w:rsidR="008F4B79" w:rsidRDefault="008F4B79" w:rsidP="00B0557A">
                <w:pPr>
                  <w:rPr>
                    <w:rFonts w:ascii="Arial" w:hAnsi="Arial" w:cs="Arial"/>
                  </w:rPr>
                </w:pPr>
                <w:r>
                  <w:rPr>
                    <w:rFonts w:ascii="Arial" w:hAnsi="Arial" w:cs="Arial"/>
                  </w:rPr>
                  <w:t xml:space="preserve">Administration  </w:t>
                </w:r>
              </w:p>
            </w:tc>
            <w:tc>
              <w:tcPr>
                <w:tcW w:w="992" w:type="dxa"/>
                <w:vAlign w:val="center"/>
              </w:tcPr>
              <w:p w14:paraId="590FEF8A" w14:textId="6030F5FD" w:rsidR="008F4B79" w:rsidRDefault="008F4B79" w:rsidP="00B0557A">
                <w:pPr>
                  <w:jc w:val="center"/>
                  <w:rPr>
                    <w:rFonts w:ascii="Arial" w:hAnsi="Arial" w:cs="Arial"/>
                  </w:rPr>
                </w:pPr>
                <w:r>
                  <w:rPr>
                    <w:rFonts w:ascii="Arial" w:hAnsi="Arial" w:cs="Arial"/>
                  </w:rPr>
                  <w:t>(</w:t>
                </w:r>
                <w:r w:rsidR="00690813">
                  <w:rPr>
                    <w:rFonts w:ascii="Arial" w:hAnsi="Arial" w:cs="Arial"/>
                  </w:rPr>
                  <w:t>26</w:t>
                </w:r>
                <w:r>
                  <w:rPr>
                    <w:rFonts w:ascii="Arial" w:hAnsi="Arial" w:cs="Arial"/>
                  </w:rPr>
                  <w:t>)</w:t>
                </w:r>
              </w:p>
            </w:tc>
            <w:tc>
              <w:tcPr>
                <w:tcW w:w="992" w:type="dxa"/>
                <w:vAlign w:val="center"/>
              </w:tcPr>
              <w:p w14:paraId="53656A68" w14:textId="60ED477D" w:rsidR="008F4B79" w:rsidRDefault="008F4B79" w:rsidP="00B0557A">
                <w:pPr>
                  <w:jc w:val="center"/>
                  <w:rPr>
                    <w:rFonts w:ascii="Arial" w:hAnsi="Arial" w:cs="Arial"/>
                  </w:rPr>
                </w:pPr>
                <w:r>
                  <w:rPr>
                    <w:rFonts w:ascii="Arial" w:hAnsi="Arial" w:cs="Arial"/>
                  </w:rPr>
                  <w:t>(</w:t>
                </w:r>
                <w:r w:rsidR="00690813">
                  <w:rPr>
                    <w:rFonts w:ascii="Arial" w:hAnsi="Arial" w:cs="Arial"/>
                  </w:rPr>
                  <w:t>25</w:t>
                </w:r>
                <w:r>
                  <w:rPr>
                    <w:rFonts w:ascii="Arial" w:hAnsi="Arial" w:cs="Arial"/>
                  </w:rPr>
                  <w:t>)</w:t>
                </w:r>
              </w:p>
            </w:tc>
            <w:tc>
              <w:tcPr>
                <w:tcW w:w="993" w:type="dxa"/>
                <w:vAlign w:val="center"/>
              </w:tcPr>
              <w:p w14:paraId="74AFF97C" w14:textId="0CF014BF" w:rsidR="008F4B79" w:rsidRDefault="008F4B79" w:rsidP="00B0557A">
                <w:pPr>
                  <w:jc w:val="center"/>
                  <w:rPr>
                    <w:rFonts w:ascii="Arial" w:hAnsi="Arial" w:cs="Arial"/>
                  </w:rPr>
                </w:pPr>
                <w:r>
                  <w:rPr>
                    <w:rFonts w:ascii="Arial" w:hAnsi="Arial" w:cs="Arial"/>
                  </w:rPr>
                  <w:t>(</w:t>
                </w:r>
                <w:r w:rsidR="00690813">
                  <w:rPr>
                    <w:rFonts w:ascii="Arial" w:hAnsi="Arial" w:cs="Arial"/>
                  </w:rPr>
                  <w:t>23</w:t>
                </w:r>
                <w:r>
                  <w:rPr>
                    <w:rFonts w:ascii="Arial" w:hAnsi="Arial" w:cs="Arial"/>
                  </w:rPr>
                  <w:t>)</w:t>
                </w:r>
              </w:p>
            </w:tc>
            <w:tc>
              <w:tcPr>
                <w:tcW w:w="992" w:type="dxa"/>
                <w:vAlign w:val="center"/>
              </w:tcPr>
              <w:p w14:paraId="1E0304DB" w14:textId="1EC405C9" w:rsidR="008F4B79" w:rsidRDefault="008F4B79" w:rsidP="00B0557A">
                <w:pPr>
                  <w:jc w:val="center"/>
                  <w:rPr>
                    <w:rFonts w:ascii="Arial" w:hAnsi="Arial" w:cs="Arial"/>
                  </w:rPr>
                </w:pPr>
                <w:r>
                  <w:rPr>
                    <w:rFonts w:ascii="Arial" w:hAnsi="Arial" w:cs="Arial"/>
                  </w:rPr>
                  <w:t>(</w:t>
                </w:r>
                <w:r w:rsidR="00806FAB">
                  <w:rPr>
                    <w:rFonts w:ascii="Arial" w:hAnsi="Arial" w:cs="Arial"/>
                  </w:rPr>
                  <w:t>24</w:t>
                </w:r>
                <w:r>
                  <w:rPr>
                    <w:rFonts w:ascii="Arial" w:hAnsi="Arial" w:cs="Arial"/>
                  </w:rPr>
                  <w:t>)</w:t>
                </w:r>
              </w:p>
            </w:tc>
            <w:tc>
              <w:tcPr>
                <w:tcW w:w="992" w:type="dxa"/>
                <w:vAlign w:val="center"/>
              </w:tcPr>
              <w:p w14:paraId="74DE144E" w14:textId="777F0E8C" w:rsidR="008F4B79" w:rsidRDefault="008F4B79" w:rsidP="00B0557A">
                <w:pPr>
                  <w:jc w:val="center"/>
                  <w:rPr>
                    <w:rFonts w:ascii="Arial" w:hAnsi="Arial" w:cs="Arial"/>
                  </w:rPr>
                </w:pPr>
                <w:r>
                  <w:rPr>
                    <w:rFonts w:ascii="Arial" w:hAnsi="Arial" w:cs="Arial"/>
                  </w:rPr>
                  <w:t>(</w:t>
                </w:r>
                <w:r w:rsidR="00690813">
                  <w:rPr>
                    <w:rFonts w:ascii="Arial" w:hAnsi="Arial" w:cs="Arial"/>
                  </w:rPr>
                  <w:t>24</w:t>
                </w:r>
                <w:r>
                  <w:rPr>
                    <w:rFonts w:ascii="Arial" w:hAnsi="Arial" w:cs="Arial"/>
                  </w:rPr>
                  <w:t>)</w:t>
                </w:r>
              </w:p>
            </w:tc>
            <w:tc>
              <w:tcPr>
                <w:tcW w:w="992" w:type="dxa"/>
                <w:vAlign w:val="center"/>
              </w:tcPr>
              <w:p w14:paraId="06BDF0DF" w14:textId="0CA068D1" w:rsidR="008F4B79" w:rsidRDefault="008F4B79" w:rsidP="00B0557A">
                <w:pPr>
                  <w:jc w:val="center"/>
                  <w:rPr>
                    <w:rFonts w:ascii="Arial" w:hAnsi="Arial" w:cs="Arial"/>
                  </w:rPr>
                </w:pPr>
                <w:r>
                  <w:rPr>
                    <w:rFonts w:ascii="Arial" w:hAnsi="Arial" w:cs="Arial"/>
                  </w:rPr>
                  <w:t>(</w:t>
                </w:r>
                <w:r w:rsidR="00690813">
                  <w:rPr>
                    <w:rFonts w:ascii="Arial" w:hAnsi="Arial" w:cs="Arial"/>
                  </w:rPr>
                  <w:t>22</w:t>
                </w:r>
                <w:r>
                  <w:rPr>
                    <w:rFonts w:ascii="Arial" w:hAnsi="Arial" w:cs="Arial"/>
                  </w:rPr>
                  <w:t>)</w:t>
                </w:r>
              </w:p>
            </w:tc>
          </w:tr>
          <w:tr w:rsidR="008F4B79" w14:paraId="3926545C" w14:textId="77777777" w:rsidTr="00B0557A">
            <w:trPr>
              <w:trHeight w:val="400"/>
            </w:trPr>
            <w:tc>
              <w:tcPr>
                <w:tcW w:w="3260" w:type="dxa"/>
              </w:tcPr>
              <w:p w14:paraId="6804EA52" w14:textId="46BE24AF" w:rsidR="008F4B79" w:rsidRDefault="008F4B79" w:rsidP="00B0557A">
                <w:pPr>
                  <w:rPr>
                    <w:rFonts w:ascii="Arial" w:hAnsi="Arial" w:cs="Arial"/>
                  </w:rPr>
                </w:pPr>
                <w:r>
                  <w:rPr>
                    <w:rFonts w:ascii="Arial" w:hAnsi="Arial" w:cs="Arial"/>
                  </w:rPr>
                  <w:t xml:space="preserve">Stock purchased  </w:t>
                </w:r>
              </w:p>
            </w:tc>
            <w:tc>
              <w:tcPr>
                <w:tcW w:w="992" w:type="dxa"/>
              </w:tcPr>
              <w:p w14:paraId="1F9E4C25" w14:textId="090B27C7" w:rsidR="008F4B79" w:rsidRDefault="008F4B79" w:rsidP="00B0557A">
                <w:pPr>
                  <w:jc w:val="center"/>
                  <w:rPr>
                    <w:rFonts w:ascii="Arial" w:hAnsi="Arial" w:cs="Arial"/>
                  </w:rPr>
                </w:pPr>
                <w:r>
                  <w:rPr>
                    <w:rFonts w:ascii="Arial" w:hAnsi="Arial" w:cs="Arial"/>
                  </w:rPr>
                  <w:t>(</w:t>
                </w:r>
                <w:r w:rsidR="008F2E1A">
                  <w:rPr>
                    <w:rFonts w:ascii="Arial" w:hAnsi="Arial" w:cs="Arial"/>
                  </w:rPr>
                  <w:t>180</w:t>
                </w:r>
                <w:r>
                  <w:rPr>
                    <w:rFonts w:ascii="Arial" w:hAnsi="Arial" w:cs="Arial"/>
                  </w:rPr>
                  <w:t>)</w:t>
                </w:r>
              </w:p>
            </w:tc>
            <w:tc>
              <w:tcPr>
                <w:tcW w:w="992" w:type="dxa"/>
              </w:tcPr>
              <w:p w14:paraId="16DBE0B1" w14:textId="763C933F" w:rsidR="008F4B79" w:rsidRDefault="008F4B79" w:rsidP="00B0557A">
                <w:pPr>
                  <w:jc w:val="center"/>
                  <w:rPr>
                    <w:rFonts w:ascii="Arial" w:hAnsi="Arial" w:cs="Arial"/>
                  </w:rPr>
                </w:pPr>
                <w:r>
                  <w:rPr>
                    <w:rFonts w:ascii="Arial" w:hAnsi="Arial" w:cs="Arial"/>
                  </w:rPr>
                  <w:t>(</w:t>
                </w:r>
                <w:r w:rsidR="008F2E1A">
                  <w:rPr>
                    <w:rFonts w:ascii="Arial" w:hAnsi="Arial" w:cs="Arial"/>
                  </w:rPr>
                  <w:t>170</w:t>
                </w:r>
                <w:r>
                  <w:rPr>
                    <w:rFonts w:ascii="Arial" w:hAnsi="Arial" w:cs="Arial"/>
                  </w:rPr>
                  <w:t>)</w:t>
                </w:r>
              </w:p>
            </w:tc>
            <w:tc>
              <w:tcPr>
                <w:tcW w:w="993" w:type="dxa"/>
              </w:tcPr>
              <w:p w14:paraId="0C479117" w14:textId="48C83127" w:rsidR="008F4B79" w:rsidRDefault="00690813" w:rsidP="00B0557A">
                <w:pPr>
                  <w:jc w:val="center"/>
                  <w:rPr>
                    <w:rFonts w:ascii="Arial" w:hAnsi="Arial" w:cs="Arial"/>
                  </w:rPr>
                </w:pPr>
                <w:r>
                  <w:rPr>
                    <w:rFonts w:ascii="Arial" w:hAnsi="Arial" w:cs="Arial"/>
                  </w:rPr>
                  <w:t>(203</w:t>
                </w:r>
                <w:r w:rsidR="008F4B79">
                  <w:rPr>
                    <w:rFonts w:ascii="Arial" w:hAnsi="Arial" w:cs="Arial"/>
                  </w:rPr>
                  <w:t>)</w:t>
                </w:r>
              </w:p>
            </w:tc>
            <w:tc>
              <w:tcPr>
                <w:tcW w:w="992" w:type="dxa"/>
              </w:tcPr>
              <w:p w14:paraId="3095C7F8" w14:textId="16CD3562" w:rsidR="008F4B79" w:rsidRDefault="008F4B79" w:rsidP="00B0557A">
                <w:pPr>
                  <w:jc w:val="center"/>
                  <w:rPr>
                    <w:rFonts w:ascii="Arial" w:hAnsi="Arial" w:cs="Arial"/>
                  </w:rPr>
                </w:pPr>
                <w:r>
                  <w:rPr>
                    <w:rFonts w:ascii="Arial" w:hAnsi="Arial" w:cs="Arial"/>
                  </w:rPr>
                  <w:t>(</w:t>
                </w:r>
                <w:r w:rsidR="00690813">
                  <w:rPr>
                    <w:rFonts w:ascii="Arial" w:hAnsi="Arial" w:cs="Arial"/>
                  </w:rPr>
                  <w:t>200</w:t>
                </w:r>
                <w:r>
                  <w:rPr>
                    <w:rFonts w:ascii="Arial" w:hAnsi="Arial" w:cs="Arial"/>
                  </w:rPr>
                  <w:t>)</w:t>
                </w:r>
              </w:p>
            </w:tc>
            <w:tc>
              <w:tcPr>
                <w:tcW w:w="992" w:type="dxa"/>
              </w:tcPr>
              <w:p w14:paraId="7D2539CD" w14:textId="4C9C132F" w:rsidR="008F4B79" w:rsidRDefault="008F4B79" w:rsidP="00B0557A">
                <w:pPr>
                  <w:jc w:val="center"/>
                  <w:rPr>
                    <w:rFonts w:ascii="Arial" w:hAnsi="Arial" w:cs="Arial"/>
                  </w:rPr>
                </w:pPr>
                <w:r>
                  <w:rPr>
                    <w:rFonts w:ascii="Arial" w:hAnsi="Arial" w:cs="Arial"/>
                  </w:rPr>
                  <w:t>(</w:t>
                </w:r>
                <w:r w:rsidR="00690813">
                  <w:rPr>
                    <w:rFonts w:ascii="Arial" w:hAnsi="Arial" w:cs="Arial"/>
                  </w:rPr>
                  <w:t>180</w:t>
                </w:r>
                <w:r>
                  <w:rPr>
                    <w:rFonts w:ascii="Arial" w:hAnsi="Arial" w:cs="Arial"/>
                  </w:rPr>
                  <w:t>)</w:t>
                </w:r>
              </w:p>
            </w:tc>
            <w:tc>
              <w:tcPr>
                <w:tcW w:w="992" w:type="dxa"/>
              </w:tcPr>
              <w:p w14:paraId="18275CF8" w14:textId="6098815E" w:rsidR="008F4B79" w:rsidRDefault="008F4B79" w:rsidP="00B0557A">
                <w:pPr>
                  <w:jc w:val="center"/>
                  <w:rPr>
                    <w:rFonts w:ascii="Arial" w:hAnsi="Arial" w:cs="Arial"/>
                  </w:rPr>
                </w:pPr>
                <w:r>
                  <w:rPr>
                    <w:rFonts w:ascii="Arial" w:hAnsi="Arial" w:cs="Arial"/>
                  </w:rPr>
                  <w:t>(</w:t>
                </w:r>
                <w:r w:rsidR="00690813">
                  <w:rPr>
                    <w:rFonts w:ascii="Arial" w:hAnsi="Arial" w:cs="Arial"/>
                  </w:rPr>
                  <w:t>195</w:t>
                </w:r>
                <w:r>
                  <w:rPr>
                    <w:rFonts w:ascii="Arial" w:hAnsi="Arial" w:cs="Arial"/>
                  </w:rPr>
                  <w:t>)</w:t>
                </w:r>
              </w:p>
            </w:tc>
          </w:tr>
          <w:tr w:rsidR="008F4B79" w14:paraId="23357C22" w14:textId="77777777" w:rsidTr="00B0557A">
            <w:trPr>
              <w:trHeight w:val="421"/>
            </w:trPr>
            <w:tc>
              <w:tcPr>
                <w:tcW w:w="3260" w:type="dxa"/>
              </w:tcPr>
              <w:p w14:paraId="0E7F2517" w14:textId="0E26F1DD" w:rsidR="008F4B79" w:rsidRDefault="008F4B79" w:rsidP="00B0557A">
                <w:pPr>
                  <w:rPr>
                    <w:rFonts w:ascii="Arial" w:hAnsi="Arial" w:cs="Arial"/>
                  </w:rPr>
                </w:pPr>
                <w:r>
                  <w:rPr>
                    <w:rFonts w:ascii="Arial" w:hAnsi="Arial" w:cs="Arial"/>
                  </w:rPr>
                  <w:t xml:space="preserve">Repayments of loan  </w:t>
                </w:r>
              </w:p>
            </w:tc>
            <w:tc>
              <w:tcPr>
                <w:tcW w:w="992" w:type="dxa"/>
              </w:tcPr>
              <w:p w14:paraId="3EBEAAC3" w14:textId="1A7907B6" w:rsidR="008F4B79" w:rsidRDefault="00BD2FD3" w:rsidP="00B0557A">
                <w:pPr>
                  <w:jc w:val="center"/>
                  <w:rPr>
                    <w:rFonts w:ascii="Arial" w:hAnsi="Arial" w:cs="Arial"/>
                  </w:rPr>
                </w:pPr>
                <w:r>
                  <w:rPr>
                    <w:rFonts w:ascii="Arial" w:hAnsi="Arial" w:cs="Arial"/>
                  </w:rPr>
                  <w:t>(7</w:t>
                </w:r>
                <w:r w:rsidR="008F4B79">
                  <w:rPr>
                    <w:rFonts w:ascii="Arial" w:hAnsi="Arial" w:cs="Arial"/>
                  </w:rPr>
                  <w:t>)</w:t>
                </w:r>
              </w:p>
            </w:tc>
            <w:tc>
              <w:tcPr>
                <w:tcW w:w="992" w:type="dxa"/>
              </w:tcPr>
              <w:p w14:paraId="33A9D8A7" w14:textId="1303231F" w:rsidR="008F4B79" w:rsidRDefault="008F4B79" w:rsidP="00B0557A">
                <w:pPr>
                  <w:jc w:val="center"/>
                  <w:rPr>
                    <w:rFonts w:ascii="Arial" w:hAnsi="Arial" w:cs="Arial"/>
                  </w:rPr>
                </w:pPr>
                <w:r>
                  <w:rPr>
                    <w:rFonts w:ascii="Arial" w:hAnsi="Arial" w:cs="Arial"/>
                  </w:rPr>
                  <w:t>(</w:t>
                </w:r>
                <w:r w:rsidR="00BD2FD3">
                  <w:rPr>
                    <w:rFonts w:ascii="Arial" w:hAnsi="Arial" w:cs="Arial"/>
                  </w:rPr>
                  <w:t>7</w:t>
                </w:r>
                <w:r>
                  <w:rPr>
                    <w:rFonts w:ascii="Arial" w:hAnsi="Arial" w:cs="Arial"/>
                  </w:rPr>
                  <w:t>)</w:t>
                </w:r>
              </w:p>
            </w:tc>
            <w:tc>
              <w:tcPr>
                <w:tcW w:w="993" w:type="dxa"/>
              </w:tcPr>
              <w:p w14:paraId="15E94208" w14:textId="3150C5E5" w:rsidR="008F4B79" w:rsidRDefault="008F4B79" w:rsidP="00B0557A">
                <w:pPr>
                  <w:jc w:val="center"/>
                  <w:rPr>
                    <w:rFonts w:ascii="Arial" w:hAnsi="Arial" w:cs="Arial"/>
                  </w:rPr>
                </w:pPr>
                <w:r>
                  <w:rPr>
                    <w:rFonts w:ascii="Arial" w:hAnsi="Arial" w:cs="Arial"/>
                  </w:rPr>
                  <w:t>(</w:t>
                </w:r>
                <w:r w:rsidR="00BD2FD3">
                  <w:rPr>
                    <w:rFonts w:ascii="Arial" w:hAnsi="Arial" w:cs="Arial"/>
                  </w:rPr>
                  <w:t>7</w:t>
                </w:r>
                <w:r>
                  <w:rPr>
                    <w:rFonts w:ascii="Arial" w:hAnsi="Arial" w:cs="Arial"/>
                  </w:rPr>
                  <w:t>)</w:t>
                </w:r>
              </w:p>
            </w:tc>
            <w:tc>
              <w:tcPr>
                <w:tcW w:w="992" w:type="dxa"/>
              </w:tcPr>
              <w:p w14:paraId="3096EBB3" w14:textId="15CEDB06" w:rsidR="008F4B79" w:rsidRDefault="008F4B79" w:rsidP="00B0557A">
                <w:pPr>
                  <w:jc w:val="center"/>
                  <w:rPr>
                    <w:rFonts w:ascii="Arial" w:hAnsi="Arial" w:cs="Arial"/>
                  </w:rPr>
                </w:pPr>
                <w:r>
                  <w:rPr>
                    <w:rFonts w:ascii="Arial" w:hAnsi="Arial" w:cs="Arial"/>
                  </w:rPr>
                  <w:t>(</w:t>
                </w:r>
                <w:r w:rsidR="00BD2FD3">
                  <w:rPr>
                    <w:rFonts w:ascii="Arial" w:hAnsi="Arial" w:cs="Arial"/>
                  </w:rPr>
                  <w:t>7</w:t>
                </w:r>
                <w:r>
                  <w:rPr>
                    <w:rFonts w:ascii="Arial" w:hAnsi="Arial" w:cs="Arial"/>
                  </w:rPr>
                  <w:t>)</w:t>
                </w:r>
              </w:p>
            </w:tc>
            <w:tc>
              <w:tcPr>
                <w:tcW w:w="992" w:type="dxa"/>
              </w:tcPr>
              <w:p w14:paraId="28DCEDBF" w14:textId="0558B3CF" w:rsidR="008F4B79" w:rsidRDefault="008F4B79" w:rsidP="00B0557A">
                <w:pPr>
                  <w:jc w:val="center"/>
                  <w:rPr>
                    <w:rFonts w:ascii="Arial" w:hAnsi="Arial" w:cs="Arial"/>
                  </w:rPr>
                </w:pPr>
                <w:r>
                  <w:rPr>
                    <w:rFonts w:ascii="Arial" w:hAnsi="Arial" w:cs="Arial"/>
                  </w:rPr>
                  <w:t>(</w:t>
                </w:r>
                <w:r w:rsidR="00BD2FD3">
                  <w:rPr>
                    <w:rFonts w:ascii="Arial" w:hAnsi="Arial" w:cs="Arial"/>
                  </w:rPr>
                  <w:t>7</w:t>
                </w:r>
                <w:r>
                  <w:rPr>
                    <w:rFonts w:ascii="Arial" w:hAnsi="Arial" w:cs="Arial"/>
                  </w:rPr>
                  <w:t>)</w:t>
                </w:r>
              </w:p>
            </w:tc>
            <w:tc>
              <w:tcPr>
                <w:tcW w:w="992" w:type="dxa"/>
              </w:tcPr>
              <w:p w14:paraId="3E99894F" w14:textId="772E5DAF" w:rsidR="008F4B79" w:rsidRDefault="008F4B79" w:rsidP="00B0557A">
                <w:pPr>
                  <w:jc w:val="center"/>
                  <w:rPr>
                    <w:rFonts w:ascii="Arial" w:hAnsi="Arial" w:cs="Arial"/>
                  </w:rPr>
                </w:pPr>
                <w:r>
                  <w:rPr>
                    <w:rFonts w:ascii="Arial" w:hAnsi="Arial" w:cs="Arial"/>
                  </w:rPr>
                  <w:t>(</w:t>
                </w:r>
                <w:r w:rsidR="00BD2FD3">
                  <w:rPr>
                    <w:rFonts w:ascii="Arial" w:hAnsi="Arial" w:cs="Arial"/>
                  </w:rPr>
                  <w:t>7</w:t>
                </w:r>
                <w:r>
                  <w:rPr>
                    <w:rFonts w:ascii="Arial" w:hAnsi="Arial" w:cs="Arial"/>
                  </w:rPr>
                  <w:t>)</w:t>
                </w:r>
              </w:p>
            </w:tc>
          </w:tr>
          <w:tr w:rsidR="008F4B79" w14:paraId="20BF1E6D" w14:textId="77777777" w:rsidTr="00B0557A">
            <w:trPr>
              <w:trHeight w:val="413"/>
            </w:trPr>
            <w:tc>
              <w:tcPr>
                <w:tcW w:w="3260" w:type="dxa"/>
              </w:tcPr>
              <w:p w14:paraId="55E7F56C" w14:textId="72E5158D" w:rsidR="008F4B79" w:rsidRDefault="008F4B79" w:rsidP="00B0557A">
                <w:pPr>
                  <w:rPr>
                    <w:rFonts w:ascii="Arial" w:hAnsi="Arial" w:cs="Arial"/>
                  </w:rPr>
                </w:pPr>
                <w:r>
                  <w:rPr>
                    <w:rFonts w:ascii="Arial" w:hAnsi="Arial" w:cs="Arial"/>
                  </w:rPr>
                  <w:t xml:space="preserve">Selling expenses  </w:t>
                </w:r>
              </w:p>
            </w:tc>
            <w:tc>
              <w:tcPr>
                <w:tcW w:w="992" w:type="dxa"/>
              </w:tcPr>
              <w:p w14:paraId="3EBF1E9B" w14:textId="6920EA05" w:rsidR="008F4B79" w:rsidRDefault="00907330" w:rsidP="00B0557A">
                <w:pPr>
                  <w:jc w:val="center"/>
                  <w:rPr>
                    <w:rFonts w:ascii="Arial" w:hAnsi="Arial" w:cs="Arial"/>
                  </w:rPr>
                </w:pPr>
                <w:r>
                  <w:rPr>
                    <w:rFonts w:ascii="Arial" w:hAnsi="Arial" w:cs="Arial"/>
                  </w:rPr>
                  <w:t>(8</w:t>
                </w:r>
                <w:r w:rsidR="008F4B79">
                  <w:rPr>
                    <w:rFonts w:ascii="Arial" w:hAnsi="Arial" w:cs="Arial"/>
                  </w:rPr>
                  <w:t>)</w:t>
                </w:r>
              </w:p>
            </w:tc>
            <w:tc>
              <w:tcPr>
                <w:tcW w:w="992" w:type="dxa"/>
              </w:tcPr>
              <w:p w14:paraId="4505E924" w14:textId="371937B5" w:rsidR="008F4B79" w:rsidRDefault="008F4B79" w:rsidP="00B0557A">
                <w:pPr>
                  <w:jc w:val="center"/>
                  <w:rPr>
                    <w:rFonts w:ascii="Arial" w:hAnsi="Arial" w:cs="Arial"/>
                  </w:rPr>
                </w:pPr>
                <w:r>
                  <w:rPr>
                    <w:rFonts w:ascii="Arial" w:hAnsi="Arial" w:cs="Arial"/>
                  </w:rPr>
                  <w:t>(</w:t>
                </w:r>
                <w:r w:rsidR="00907330">
                  <w:rPr>
                    <w:rFonts w:ascii="Arial" w:hAnsi="Arial" w:cs="Arial"/>
                  </w:rPr>
                  <w:t>8</w:t>
                </w:r>
                <w:r>
                  <w:rPr>
                    <w:rFonts w:ascii="Arial" w:hAnsi="Arial" w:cs="Arial"/>
                  </w:rPr>
                  <w:t>)</w:t>
                </w:r>
              </w:p>
            </w:tc>
            <w:tc>
              <w:tcPr>
                <w:tcW w:w="993" w:type="dxa"/>
              </w:tcPr>
              <w:p w14:paraId="0ECDD2D6" w14:textId="7233124F" w:rsidR="008F4B79" w:rsidRDefault="008F4B79" w:rsidP="00B0557A">
                <w:pPr>
                  <w:jc w:val="center"/>
                  <w:rPr>
                    <w:rFonts w:ascii="Arial" w:hAnsi="Arial" w:cs="Arial"/>
                  </w:rPr>
                </w:pPr>
                <w:r>
                  <w:rPr>
                    <w:rFonts w:ascii="Arial" w:hAnsi="Arial" w:cs="Arial"/>
                  </w:rPr>
                  <w:t>(</w:t>
                </w:r>
                <w:r w:rsidR="00907330">
                  <w:rPr>
                    <w:rFonts w:ascii="Arial" w:hAnsi="Arial" w:cs="Arial"/>
                  </w:rPr>
                  <w:t>7</w:t>
                </w:r>
                <w:r>
                  <w:rPr>
                    <w:rFonts w:ascii="Arial" w:hAnsi="Arial" w:cs="Arial"/>
                  </w:rPr>
                  <w:t>)</w:t>
                </w:r>
              </w:p>
            </w:tc>
            <w:tc>
              <w:tcPr>
                <w:tcW w:w="992" w:type="dxa"/>
              </w:tcPr>
              <w:p w14:paraId="091E1D88" w14:textId="430ED033" w:rsidR="008F4B79" w:rsidRDefault="008F4B79" w:rsidP="00B0557A">
                <w:pPr>
                  <w:jc w:val="center"/>
                  <w:rPr>
                    <w:rFonts w:ascii="Arial" w:hAnsi="Arial" w:cs="Arial"/>
                  </w:rPr>
                </w:pPr>
                <w:r>
                  <w:rPr>
                    <w:rFonts w:ascii="Arial" w:hAnsi="Arial" w:cs="Arial"/>
                  </w:rPr>
                  <w:t>(</w:t>
                </w:r>
                <w:r w:rsidR="00907330">
                  <w:rPr>
                    <w:rFonts w:ascii="Arial" w:hAnsi="Arial" w:cs="Arial"/>
                  </w:rPr>
                  <w:t>6</w:t>
                </w:r>
                <w:r>
                  <w:rPr>
                    <w:rFonts w:ascii="Arial" w:hAnsi="Arial" w:cs="Arial"/>
                  </w:rPr>
                  <w:t>)</w:t>
                </w:r>
              </w:p>
            </w:tc>
            <w:tc>
              <w:tcPr>
                <w:tcW w:w="992" w:type="dxa"/>
              </w:tcPr>
              <w:p w14:paraId="635FB050" w14:textId="182B167D" w:rsidR="008F4B79" w:rsidRDefault="008F4B79" w:rsidP="00B0557A">
                <w:pPr>
                  <w:jc w:val="center"/>
                  <w:rPr>
                    <w:rFonts w:ascii="Arial" w:hAnsi="Arial" w:cs="Arial"/>
                  </w:rPr>
                </w:pPr>
                <w:r>
                  <w:rPr>
                    <w:rFonts w:ascii="Arial" w:hAnsi="Arial" w:cs="Arial"/>
                  </w:rPr>
                  <w:t>(</w:t>
                </w:r>
                <w:r w:rsidR="00907330">
                  <w:rPr>
                    <w:rFonts w:ascii="Arial" w:hAnsi="Arial" w:cs="Arial"/>
                  </w:rPr>
                  <w:t>6</w:t>
                </w:r>
                <w:r>
                  <w:rPr>
                    <w:rFonts w:ascii="Arial" w:hAnsi="Arial" w:cs="Arial"/>
                  </w:rPr>
                  <w:t>)</w:t>
                </w:r>
              </w:p>
            </w:tc>
            <w:tc>
              <w:tcPr>
                <w:tcW w:w="992" w:type="dxa"/>
              </w:tcPr>
              <w:p w14:paraId="68FBD8F5" w14:textId="200DB9E2" w:rsidR="008F4B79" w:rsidRDefault="008F4B79" w:rsidP="00B0557A">
                <w:pPr>
                  <w:jc w:val="center"/>
                  <w:rPr>
                    <w:rFonts w:ascii="Arial" w:hAnsi="Arial" w:cs="Arial"/>
                  </w:rPr>
                </w:pPr>
                <w:r>
                  <w:rPr>
                    <w:rFonts w:ascii="Arial" w:hAnsi="Arial" w:cs="Arial"/>
                  </w:rPr>
                  <w:t>(</w:t>
                </w:r>
                <w:r w:rsidR="00907330">
                  <w:rPr>
                    <w:rFonts w:ascii="Arial" w:hAnsi="Arial" w:cs="Arial"/>
                  </w:rPr>
                  <w:t>6</w:t>
                </w:r>
                <w:r>
                  <w:rPr>
                    <w:rFonts w:ascii="Arial" w:hAnsi="Arial" w:cs="Arial"/>
                  </w:rPr>
                  <w:t>)</w:t>
                </w:r>
              </w:p>
            </w:tc>
          </w:tr>
          <w:tr w:rsidR="008F4B79" w14:paraId="35CCEDD3" w14:textId="77777777" w:rsidTr="00B0557A">
            <w:trPr>
              <w:trHeight w:val="419"/>
            </w:trPr>
            <w:tc>
              <w:tcPr>
                <w:tcW w:w="3260" w:type="dxa"/>
              </w:tcPr>
              <w:p w14:paraId="5EFEF2E5" w14:textId="77777777" w:rsidR="008F4B79" w:rsidRDefault="008F4B79" w:rsidP="00B0557A">
                <w:pPr>
                  <w:rPr>
                    <w:rFonts w:ascii="Arial" w:hAnsi="Arial" w:cs="Arial"/>
                  </w:rPr>
                </w:pPr>
                <w:r>
                  <w:rPr>
                    <w:rFonts w:ascii="Arial" w:hAnsi="Arial" w:cs="Arial"/>
                  </w:rPr>
                  <w:t>Taxation paid</w:t>
                </w:r>
              </w:p>
            </w:tc>
            <w:tc>
              <w:tcPr>
                <w:tcW w:w="992" w:type="dxa"/>
              </w:tcPr>
              <w:p w14:paraId="75B916FA" w14:textId="77777777" w:rsidR="008F4B79" w:rsidRDefault="008F4B79" w:rsidP="00B0557A">
                <w:pPr>
                  <w:jc w:val="center"/>
                  <w:rPr>
                    <w:rFonts w:ascii="Arial" w:hAnsi="Arial" w:cs="Arial"/>
                  </w:rPr>
                </w:pPr>
                <w:r>
                  <w:rPr>
                    <w:rFonts w:ascii="Arial" w:hAnsi="Arial" w:cs="Arial"/>
                  </w:rPr>
                  <w:t>-</w:t>
                </w:r>
              </w:p>
            </w:tc>
            <w:tc>
              <w:tcPr>
                <w:tcW w:w="992" w:type="dxa"/>
              </w:tcPr>
              <w:p w14:paraId="58B36237" w14:textId="77777777" w:rsidR="008F4B79" w:rsidRDefault="008F4B79" w:rsidP="00B0557A">
                <w:pPr>
                  <w:jc w:val="center"/>
                  <w:rPr>
                    <w:rFonts w:ascii="Arial" w:hAnsi="Arial" w:cs="Arial"/>
                  </w:rPr>
                </w:pPr>
                <w:r>
                  <w:rPr>
                    <w:rFonts w:ascii="Arial" w:hAnsi="Arial" w:cs="Arial"/>
                  </w:rPr>
                  <w:t>-</w:t>
                </w:r>
              </w:p>
            </w:tc>
            <w:tc>
              <w:tcPr>
                <w:tcW w:w="993" w:type="dxa"/>
              </w:tcPr>
              <w:p w14:paraId="74CBB94F" w14:textId="0EB2CF9A" w:rsidR="008F4B79" w:rsidRDefault="006970C7" w:rsidP="00B0557A">
                <w:pPr>
                  <w:jc w:val="center"/>
                  <w:rPr>
                    <w:rFonts w:ascii="Arial" w:hAnsi="Arial" w:cs="Arial"/>
                  </w:rPr>
                </w:pPr>
                <w:r>
                  <w:rPr>
                    <w:rFonts w:ascii="Arial" w:hAnsi="Arial" w:cs="Arial"/>
                  </w:rPr>
                  <w:t>(20</w:t>
                </w:r>
                <w:r w:rsidR="008F4B79">
                  <w:rPr>
                    <w:rFonts w:ascii="Arial" w:hAnsi="Arial" w:cs="Arial"/>
                  </w:rPr>
                  <w:t>)</w:t>
                </w:r>
              </w:p>
            </w:tc>
            <w:tc>
              <w:tcPr>
                <w:tcW w:w="992" w:type="dxa"/>
              </w:tcPr>
              <w:p w14:paraId="46910A07" w14:textId="77777777" w:rsidR="008F4B79" w:rsidRDefault="008F4B79" w:rsidP="00B0557A">
                <w:pPr>
                  <w:jc w:val="center"/>
                  <w:rPr>
                    <w:rFonts w:ascii="Arial" w:hAnsi="Arial" w:cs="Arial"/>
                  </w:rPr>
                </w:pPr>
                <w:r>
                  <w:rPr>
                    <w:rFonts w:ascii="Arial" w:hAnsi="Arial" w:cs="Arial"/>
                  </w:rPr>
                  <w:t>-</w:t>
                </w:r>
              </w:p>
            </w:tc>
            <w:tc>
              <w:tcPr>
                <w:tcW w:w="992" w:type="dxa"/>
              </w:tcPr>
              <w:p w14:paraId="453A91F9" w14:textId="77777777" w:rsidR="008F4B79" w:rsidRDefault="008F4B79" w:rsidP="00B0557A">
                <w:pPr>
                  <w:jc w:val="center"/>
                  <w:rPr>
                    <w:rFonts w:ascii="Arial" w:hAnsi="Arial" w:cs="Arial"/>
                  </w:rPr>
                </w:pPr>
                <w:r>
                  <w:rPr>
                    <w:rFonts w:ascii="Arial" w:hAnsi="Arial" w:cs="Arial"/>
                  </w:rPr>
                  <w:t>-</w:t>
                </w:r>
              </w:p>
            </w:tc>
            <w:tc>
              <w:tcPr>
                <w:tcW w:w="992" w:type="dxa"/>
              </w:tcPr>
              <w:p w14:paraId="72FED8B8" w14:textId="77777777" w:rsidR="008F4B79" w:rsidRDefault="008F4B79" w:rsidP="00B0557A">
                <w:pPr>
                  <w:jc w:val="center"/>
                  <w:rPr>
                    <w:rFonts w:ascii="Arial" w:hAnsi="Arial" w:cs="Arial"/>
                  </w:rPr>
                </w:pPr>
                <w:r>
                  <w:rPr>
                    <w:rFonts w:ascii="Arial" w:hAnsi="Arial" w:cs="Arial"/>
                  </w:rPr>
                  <w:t>-</w:t>
                </w:r>
              </w:p>
            </w:tc>
          </w:tr>
          <w:tr w:rsidR="008F4B79" w14:paraId="213419E5" w14:textId="77777777" w:rsidTr="00B0557A">
            <w:trPr>
              <w:trHeight w:val="419"/>
            </w:trPr>
            <w:tc>
              <w:tcPr>
                <w:tcW w:w="3260" w:type="dxa"/>
              </w:tcPr>
              <w:p w14:paraId="11CC8F8C" w14:textId="77777777" w:rsidR="008F4B79" w:rsidRDefault="008F4B79" w:rsidP="00B0557A">
                <w:pPr>
                  <w:rPr>
                    <w:rFonts w:ascii="Arial" w:hAnsi="Arial" w:cs="Arial"/>
                  </w:rPr>
                </w:pPr>
                <w:r>
                  <w:rPr>
                    <w:rFonts w:ascii="Arial" w:hAnsi="Arial" w:cs="Arial"/>
                  </w:rPr>
                  <w:t>Interest payments</w:t>
                </w:r>
              </w:p>
            </w:tc>
            <w:tc>
              <w:tcPr>
                <w:tcW w:w="992" w:type="dxa"/>
              </w:tcPr>
              <w:p w14:paraId="6FABA3CE" w14:textId="6C4BC7B8" w:rsidR="008F4B79" w:rsidRDefault="00D56C61" w:rsidP="00B0557A">
                <w:pPr>
                  <w:jc w:val="center"/>
                  <w:rPr>
                    <w:rFonts w:ascii="Arial" w:hAnsi="Arial" w:cs="Arial"/>
                  </w:rPr>
                </w:pPr>
                <w:r>
                  <w:rPr>
                    <w:rFonts w:ascii="Arial" w:hAnsi="Arial" w:cs="Arial"/>
                  </w:rPr>
                  <w:t>(</w:t>
                </w:r>
                <w:r w:rsidR="003A676C">
                  <w:rPr>
                    <w:rFonts w:ascii="Arial" w:hAnsi="Arial" w:cs="Arial"/>
                  </w:rPr>
                  <w:t>1.4</w:t>
                </w:r>
                <w:r w:rsidR="008F4B79">
                  <w:rPr>
                    <w:rFonts w:ascii="Arial" w:hAnsi="Arial" w:cs="Arial"/>
                  </w:rPr>
                  <w:t>)</w:t>
                </w:r>
              </w:p>
            </w:tc>
            <w:tc>
              <w:tcPr>
                <w:tcW w:w="992" w:type="dxa"/>
              </w:tcPr>
              <w:p w14:paraId="26B80DA6" w14:textId="6FEE9AAB" w:rsidR="008F4B79" w:rsidRDefault="008F4B79" w:rsidP="00B0557A">
                <w:pPr>
                  <w:jc w:val="center"/>
                  <w:rPr>
                    <w:rFonts w:ascii="Arial" w:hAnsi="Arial" w:cs="Arial"/>
                  </w:rPr>
                </w:pPr>
                <w:r>
                  <w:rPr>
                    <w:rFonts w:ascii="Arial" w:hAnsi="Arial" w:cs="Arial"/>
                  </w:rPr>
                  <w:t>(</w:t>
                </w:r>
                <w:r w:rsidR="003A676C">
                  <w:rPr>
                    <w:rFonts w:ascii="Arial" w:hAnsi="Arial" w:cs="Arial"/>
                  </w:rPr>
                  <w:t>1.4</w:t>
                </w:r>
                <w:r>
                  <w:rPr>
                    <w:rFonts w:ascii="Arial" w:hAnsi="Arial" w:cs="Arial"/>
                  </w:rPr>
                  <w:t>)</w:t>
                </w:r>
              </w:p>
            </w:tc>
            <w:tc>
              <w:tcPr>
                <w:tcW w:w="993" w:type="dxa"/>
              </w:tcPr>
              <w:p w14:paraId="7DF05DDC" w14:textId="3DB1B9FB" w:rsidR="008F4B79" w:rsidRDefault="008F4B79" w:rsidP="00B0557A">
                <w:pPr>
                  <w:jc w:val="center"/>
                  <w:rPr>
                    <w:rFonts w:ascii="Arial" w:hAnsi="Arial" w:cs="Arial"/>
                  </w:rPr>
                </w:pPr>
                <w:r>
                  <w:rPr>
                    <w:rFonts w:ascii="Arial" w:hAnsi="Arial" w:cs="Arial"/>
                  </w:rPr>
                  <w:t>(</w:t>
                </w:r>
                <w:r w:rsidR="003A676C">
                  <w:rPr>
                    <w:rFonts w:ascii="Arial" w:hAnsi="Arial" w:cs="Arial"/>
                  </w:rPr>
                  <w:t>1.4</w:t>
                </w:r>
                <w:r>
                  <w:rPr>
                    <w:rFonts w:ascii="Arial" w:hAnsi="Arial" w:cs="Arial"/>
                  </w:rPr>
                  <w:t>)</w:t>
                </w:r>
              </w:p>
            </w:tc>
            <w:tc>
              <w:tcPr>
                <w:tcW w:w="992" w:type="dxa"/>
              </w:tcPr>
              <w:p w14:paraId="094DC8D8" w14:textId="7A90C886" w:rsidR="008F4B79" w:rsidRDefault="008F4B79" w:rsidP="00B0557A">
                <w:pPr>
                  <w:jc w:val="center"/>
                  <w:rPr>
                    <w:rFonts w:ascii="Arial" w:hAnsi="Arial" w:cs="Arial"/>
                  </w:rPr>
                </w:pPr>
                <w:r>
                  <w:rPr>
                    <w:rFonts w:ascii="Arial" w:hAnsi="Arial" w:cs="Arial"/>
                  </w:rPr>
                  <w:t>(</w:t>
                </w:r>
                <w:r w:rsidR="003A676C">
                  <w:rPr>
                    <w:rFonts w:ascii="Arial" w:hAnsi="Arial" w:cs="Arial"/>
                  </w:rPr>
                  <w:t>1.4</w:t>
                </w:r>
                <w:r>
                  <w:rPr>
                    <w:rFonts w:ascii="Arial" w:hAnsi="Arial" w:cs="Arial"/>
                  </w:rPr>
                  <w:t>)</w:t>
                </w:r>
              </w:p>
            </w:tc>
            <w:tc>
              <w:tcPr>
                <w:tcW w:w="992" w:type="dxa"/>
              </w:tcPr>
              <w:p w14:paraId="081ECD21" w14:textId="010D56E9" w:rsidR="008F4B79" w:rsidRDefault="008F4B79" w:rsidP="00B0557A">
                <w:pPr>
                  <w:jc w:val="center"/>
                  <w:rPr>
                    <w:rFonts w:ascii="Arial" w:hAnsi="Arial" w:cs="Arial"/>
                  </w:rPr>
                </w:pPr>
                <w:r>
                  <w:rPr>
                    <w:rFonts w:ascii="Arial" w:hAnsi="Arial" w:cs="Arial"/>
                  </w:rPr>
                  <w:t>(</w:t>
                </w:r>
                <w:r w:rsidR="003A676C">
                  <w:rPr>
                    <w:rFonts w:ascii="Arial" w:hAnsi="Arial" w:cs="Arial"/>
                  </w:rPr>
                  <w:t>1.4</w:t>
                </w:r>
                <w:r>
                  <w:rPr>
                    <w:rFonts w:ascii="Arial" w:hAnsi="Arial" w:cs="Arial"/>
                  </w:rPr>
                  <w:t>)</w:t>
                </w:r>
              </w:p>
            </w:tc>
            <w:tc>
              <w:tcPr>
                <w:tcW w:w="992" w:type="dxa"/>
              </w:tcPr>
              <w:p w14:paraId="20B0297B" w14:textId="216A2BEF" w:rsidR="008F4B79" w:rsidRDefault="008F4B79" w:rsidP="00B0557A">
                <w:pPr>
                  <w:jc w:val="center"/>
                  <w:rPr>
                    <w:rFonts w:ascii="Arial" w:hAnsi="Arial" w:cs="Arial"/>
                  </w:rPr>
                </w:pPr>
                <w:r>
                  <w:rPr>
                    <w:rFonts w:ascii="Arial" w:hAnsi="Arial" w:cs="Arial"/>
                  </w:rPr>
                  <w:t>(</w:t>
                </w:r>
                <w:r w:rsidR="003A676C">
                  <w:rPr>
                    <w:rFonts w:ascii="Arial" w:hAnsi="Arial" w:cs="Arial"/>
                  </w:rPr>
                  <w:t>1.4</w:t>
                </w:r>
                <w:r>
                  <w:rPr>
                    <w:rFonts w:ascii="Arial" w:hAnsi="Arial" w:cs="Arial"/>
                  </w:rPr>
                  <w:t>)</w:t>
                </w:r>
              </w:p>
            </w:tc>
          </w:tr>
          <w:tr w:rsidR="008F4B79" w14:paraId="74C746AA" w14:textId="77777777" w:rsidTr="00B0557A">
            <w:trPr>
              <w:trHeight w:val="410"/>
            </w:trPr>
            <w:tc>
              <w:tcPr>
                <w:tcW w:w="3260" w:type="dxa"/>
              </w:tcPr>
              <w:p w14:paraId="66D2213C" w14:textId="77777777" w:rsidR="008F4B79" w:rsidRDefault="008F4B79" w:rsidP="00B0557A">
                <w:pPr>
                  <w:rPr>
                    <w:rFonts w:ascii="Arial" w:hAnsi="Arial" w:cs="Arial"/>
                  </w:rPr>
                </w:pPr>
                <w:r>
                  <w:rPr>
                    <w:rFonts w:ascii="Arial" w:hAnsi="Arial" w:cs="Arial"/>
                  </w:rPr>
                  <w:t>Shop refurbishment</w:t>
                </w:r>
              </w:p>
            </w:tc>
            <w:tc>
              <w:tcPr>
                <w:tcW w:w="992" w:type="dxa"/>
              </w:tcPr>
              <w:p w14:paraId="2651D9BC" w14:textId="77777777" w:rsidR="008F4B79" w:rsidRPr="007A65C7" w:rsidRDefault="008F4B79" w:rsidP="00B0557A">
                <w:pPr>
                  <w:jc w:val="center"/>
                  <w:rPr>
                    <w:rFonts w:ascii="Arial" w:hAnsi="Arial" w:cs="Arial"/>
                    <w:u w:val="single"/>
                  </w:rPr>
                </w:pPr>
                <w:r w:rsidRPr="007A65C7">
                  <w:rPr>
                    <w:rFonts w:ascii="Arial" w:hAnsi="Arial" w:cs="Arial"/>
                    <w:u w:val="single"/>
                  </w:rPr>
                  <w:t xml:space="preserve">       -</w:t>
                </w:r>
              </w:p>
            </w:tc>
            <w:tc>
              <w:tcPr>
                <w:tcW w:w="992" w:type="dxa"/>
              </w:tcPr>
              <w:p w14:paraId="2D1ABA18" w14:textId="5C97E59F" w:rsidR="008F4B79" w:rsidRPr="007A65C7" w:rsidRDefault="008F4B79" w:rsidP="00B0557A">
                <w:pPr>
                  <w:jc w:val="center"/>
                  <w:rPr>
                    <w:rFonts w:ascii="Arial" w:hAnsi="Arial" w:cs="Arial"/>
                    <w:u w:val="single"/>
                  </w:rPr>
                </w:pPr>
                <w:r w:rsidRPr="007A65C7">
                  <w:rPr>
                    <w:rFonts w:ascii="Arial" w:hAnsi="Arial" w:cs="Arial"/>
                    <w:u w:val="single"/>
                  </w:rPr>
                  <w:t>(</w:t>
                </w:r>
                <w:r w:rsidR="00A64652">
                  <w:rPr>
                    <w:rFonts w:ascii="Arial" w:hAnsi="Arial" w:cs="Arial"/>
                    <w:u w:val="single"/>
                  </w:rPr>
                  <w:t>34</w:t>
                </w:r>
                <w:r w:rsidRPr="007A65C7">
                  <w:rPr>
                    <w:rFonts w:ascii="Arial" w:hAnsi="Arial" w:cs="Arial"/>
                    <w:u w:val="single"/>
                  </w:rPr>
                  <w:t>)</w:t>
                </w:r>
              </w:p>
            </w:tc>
            <w:tc>
              <w:tcPr>
                <w:tcW w:w="993" w:type="dxa"/>
              </w:tcPr>
              <w:p w14:paraId="7561F86B" w14:textId="3EE80954" w:rsidR="008F4B79" w:rsidRPr="007A65C7" w:rsidRDefault="008F4B79" w:rsidP="00B0557A">
                <w:pPr>
                  <w:jc w:val="center"/>
                  <w:rPr>
                    <w:rFonts w:ascii="Arial" w:hAnsi="Arial" w:cs="Arial"/>
                    <w:u w:val="single"/>
                  </w:rPr>
                </w:pPr>
                <w:r w:rsidRPr="007A65C7">
                  <w:rPr>
                    <w:rFonts w:ascii="Arial" w:hAnsi="Arial" w:cs="Arial"/>
                    <w:u w:val="single"/>
                  </w:rPr>
                  <w:t>(</w:t>
                </w:r>
                <w:r w:rsidR="00A64652">
                  <w:rPr>
                    <w:rFonts w:ascii="Arial" w:hAnsi="Arial" w:cs="Arial"/>
                    <w:u w:val="single"/>
                  </w:rPr>
                  <w:t>26</w:t>
                </w:r>
                <w:r w:rsidRPr="007A65C7">
                  <w:rPr>
                    <w:rFonts w:ascii="Arial" w:hAnsi="Arial" w:cs="Arial"/>
                    <w:u w:val="single"/>
                  </w:rPr>
                  <w:t>)</w:t>
                </w:r>
              </w:p>
            </w:tc>
            <w:tc>
              <w:tcPr>
                <w:tcW w:w="992" w:type="dxa"/>
              </w:tcPr>
              <w:p w14:paraId="4A840892" w14:textId="0ED55796" w:rsidR="008F4B79" w:rsidRPr="007A65C7" w:rsidRDefault="008F4B79" w:rsidP="00B0557A">
                <w:pPr>
                  <w:jc w:val="center"/>
                  <w:rPr>
                    <w:rFonts w:ascii="Arial" w:hAnsi="Arial" w:cs="Arial"/>
                    <w:u w:val="single"/>
                  </w:rPr>
                </w:pPr>
                <w:r w:rsidRPr="007A65C7">
                  <w:rPr>
                    <w:rFonts w:ascii="Arial" w:hAnsi="Arial" w:cs="Arial"/>
                    <w:u w:val="single"/>
                  </w:rPr>
                  <w:t>(</w:t>
                </w:r>
                <w:r w:rsidR="00A64652">
                  <w:rPr>
                    <w:rFonts w:ascii="Arial" w:hAnsi="Arial" w:cs="Arial"/>
                    <w:u w:val="single"/>
                  </w:rPr>
                  <w:t>18</w:t>
                </w:r>
                <w:r w:rsidRPr="007A65C7">
                  <w:rPr>
                    <w:rFonts w:ascii="Arial" w:hAnsi="Arial" w:cs="Arial"/>
                    <w:u w:val="single"/>
                  </w:rPr>
                  <w:t>)</w:t>
                </w:r>
              </w:p>
            </w:tc>
            <w:tc>
              <w:tcPr>
                <w:tcW w:w="992" w:type="dxa"/>
              </w:tcPr>
              <w:p w14:paraId="4649B1DD" w14:textId="77777777" w:rsidR="008F4B79" w:rsidRPr="007A65C7" w:rsidRDefault="008F4B79" w:rsidP="00B0557A">
                <w:pPr>
                  <w:jc w:val="center"/>
                  <w:rPr>
                    <w:rFonts w:ascii="Arial" w:hAnsi="Arial" w:cs="Arial"/>
                    <w:u w:val="single"/>
                  </w:rPr>
                </w:pPr>
                <w:r w:rsidRPr="007A65C7">
                  <w:rPr>
                    <w:rFonts w:ascii="Arial" w:hAnsi="Arial" w:cs="Arial"/>
                    <w:u w:val="single"/>
                  </w:rPr>
                  <w:t xml:space="preserve">       -</w:t>
                </w:r>
              </w:p>
            </w:tc>
            <w:tc>
              <w:tcPr>
                <w:tcW w:w="992" w:type="dxa"/>
              </w:tcPr>
              <w:p w14:paraId="1439498C" w14:textId="77777777" w:rsidR="008F4B79" w:rsidRPr="007A65C7" w:rsidRDefault="008F4B79" w:rsidP="00B0557A">
                <w:pPr>
                  <w:jc w:val="center"/>
                  <w:rPr>
                    <w:rFonts w:ascii="Arial" w:hAnsi="Arial" w:cs="Arial"/>
                    <w:u w:val="single"/>
                  </w:rPr>
                </w:pPr>
                <w:r w:rsidRPr="007A65C7">
                  <w:rPr>
                    <w:rFonts w:ascii="Arial" w:hAnsi="Arial" w:cs="Arial"/>
                    <w:u w:val="single"/>
                  </w:rPr>
                  <w:t xml:space="preserve">       -</w:t>
                </w:r>
              </w:p>
            </w:tc>
          </w:tr>
          <w:tr w:rsidR="008F4B79" w14:paraId="432B1539" w14:textId="77777777" w:rsidTr="00B0557A">
            <w:trPr>
              <w:trHeight w:val="423"/>
            </w:trPr>
            <w:tc>
              <w:tcPr>
                <w:tcW w:w="3260" w:type="dxa"/>
              </w:tcPr>
              <w:p w14:paraId="1BEEDA8D" w14:textId="77777777" w:rsidR="008F4B79" w:rsidRDefault="008F4B79" w:rsidP="00B0557A">
                <w:pPr>
                  <w:rPr>
                    <w:rFonts w:ascii="Arial" w:hAnsi="Arial" w:cs="Arial"/>
                  </w:rPr>
                </w:pPr>
                <w:r>
                  <w:rPr>
                    <w:rFonts w:ascii="Arial" w:hAnsi="Arial" w:cs="Arial"/>
                  </w:rPr>
                  <w:t>Cash surplus (deficit)</w:t>
                </w:r>
              </w:p>
            </w:tc>
            <w:tc>
              <w:tcPr>
                <w:tcW w:w="992" w:type="dxa"/>
              </w:tcPr>
              <w:p w14:paraId="35431130" w14:textId="3476DB37" w:rsidR="008F4B79" w:rsidRDefault="003C6F44" w:rsidP="00B0557A">
                <w:pPr>
                  <w:jc w:val="center"/>
                  <w:rPr>
                    <w:rFonts w:ascii="Arial" w:hAnsi="Arial" w:cs="Arial"/>
                  </w:rPr>
                </w:pPr>
                <w:r>
                  <w:rPr>
                    <w:rFonts w:ascii="Arial" w:hAnsi="Arial" w:cs="Arial"/>
                  </w:rPr>
                  <w:t>27.6</w:t>
                </w:r>
                <w:r w:rsidR="008F4B79">
                  <w:rPr>
                    <w:rFonts w:ascii="Arial" w:hAnsi="Arial" w:cs="Arial"/>
                  </w:rPr>
                  <w:t xml:space="preserve"> </w:t>
                </w:r>
              </w:p>
            </w:tc>
            <w:tc>
              <w:tcPr>
                <w:tcW w:w="992" w:type="dxa"/>
              </w:tcPr>
              <w:p w14:paraId="68F74097" w14:textId="564D7629" w:rsidR="008F4B79" w:rsidRDefault="003C6F44" w:rsidP="00B0557A">
                <w:pPr>
                  <w:jc w:val="center"/>
                  <w:rPr>
                    <w:rFonts w:ascii="Arial" w:hAnsi="Arial" w:cs="Arial"/>
                  </w:rPr>
                </w:pPr>
                <w:r>
                  <w:rPr>
                    <w:rFonts w:ascii="Arial" w:hAnsi="Arial" w:cs="Arial"/>
                  </w:rPr>
                  <w:t>24.6</w:t>
                </w:r>
                <w:r w:rsidR="008F4B79">
                  <w:rPr>
                    <w:rFonts w:ascii="Arial" w:hAnsi="Arial" w:cs="Arial"/>
                  </w:rPr>
                  <w:t xml:space="preserve"> </w:t>
                </w:r>
              </w:p>
            </w:tc>
            <w:tc>
              <w:tcPr>
                <w:tcW w:w="993" w:type="dxa"/>
              </w:tcPr>
              <w:p w14:paraId="7075DF1B" w14:textId="1602C187" w:rsidR="008F4B79" w:rsidRDefault="003C6F44" w:rsidP="003C6F44">
                <w:pPr>
                  <w:rPr>
                    <w:rFonts w:ascii="Arial" w:hAnsi="Arial" w:cs="Arial"/>
                  </w:rPr>
                </w:pPr>
                <w:r>
                  <w:rPr>
                    <w:rFonts w:ascii="Arial" w:hAnsi="Arial" w:cs="Arial"/>
                  </w:rPr>
                  <w:t>(17.4)</w:t>
                </w:r>
                <w:r w:rsidR="008F4B79">
                  <w:rPr>
                    <w:rFonts w:ascii="Arial" w:hAnsi="Arial" w:cs="Arial"/>
                  </w:rPr>
                  <w:t xml:space="preserve"> </w:t>
                </w:r>
              </w:p>
            </w:tc>
            <w:tc>
              <w:tcPr>
                <w:tcW w:w="992" w:type="dxa"/>
              </w:tcPr>
              <w:p w14:paraId="74FD117B" w14:textId="05638BA2" w:rsidR="008F4B79" w:rsidRDefault="003C6F44" w:rsidP="00B0557A">
                <w:pPr>
                  <w:jc w:val="center"/>
                  <w:rPr>
                    <w:rFonts w:ascii="Arial" w:hAnsi="Arial" w:cs="Arial"/>
                  </w:rPr>
                </w:pPr>
                <w:r>
                  <w:rPr>
                    <w:rFonts w:ascii="Arial" w:hAnsi="Arial" w:cs="Arial"/>
                  </w:rPr>
                  <w:t>(36.4)</w:t>
                </w:r>
              </w:p>
            </w:tc>
            <w:tc>
              <w:tcPr>
                <w:tcW w:w="992" w:type="dxa"/>
              </w:tcPr>
              <w:p w14:paraId="2B94937F" w14:textId="17A7FADD" w:rsidR="008F4B79" w:rsidRDefault="003C6F44" w:rsidP="00B0557A">
                <w:pPr>
                  <w:jc w:val="center"/>
                  <w:rPr>
                    <w:rFonts w:ascii="Arial" w:hAnsi="Arial" w:cs="Arial"/>
                  </w:rPr>
                </w:pPr>
                <w:r>
                  <w:rPr>
                    <w:rFonts w:ascii="Arial" w:hAnsi="Arial" w:cs="Arial"/>
                  </w:rPr>
                  <w:t>(8.4)</w:t>
                </w:r>
                <w:r w:rsidR="008F4B79">
                  <w:rPr>
                    <w:rFonts w:ascii="Arial" w:hAnsi="Arial" w:cs="Arial"/>
                  </w:rPr>
                  <w:t xml:space="preserve"> </w:t>
                </w:r>
              </w:p>
            </w:tc>
            <w:tc>
              <w:tcPr>
                <w:tcW w:w="992" w:type="dxa"/>
              </w:tcPr>
              <w:p w14:paraId="7DEB33B1" w14:textId="61332713" w:rsidR="008F4B79" w:rsidRDefault="008F4B79" w:rsidP="00B0557A">
                <w:pPr>
                  <w:jc w:val="center"/>
                  <w:rPr>
                    <w:rFonts w:ascii="Arial" w:hAnsi="Arial" w:cs="Arial"/>
                  </w:rPr>
                </w:pPr>
                <w:r>
                  <w:rPr>
                    <w:rFonts w:ascii="Arial" w:hAnsi="Arial" w:cs="Arial"/>
                  </w:rPr>
                  <w:t xml:space="preserve"> </w:t>
                </w:r>
                <w:r w:rsidR="003C6F44">
                  <w:rPr>
                    <w:rFonts w:ascii="Arial" w:hAnsi="Arial" w:cs="Arial"/>
                  </w:rPr>
                  <w:t>(41.4)</w:t>
                </w:r>
              </w:p>
            </w:tc>
          </w:tr>
          <w:tr w:rsidR="008F4B79" w14:paraId="374E61E0" w14:textId="77777777" w:rsidTr="00B0557A">
            <w:trPr>
              <w:trHeight w:val="407"/>
            </w:trPr>
            <w:tc>
              <w:tcPr>
                <w:tcW w:w="3260" w:type="dxa"/>
              </w:tcPr>
              <w:p w14:paraId="66D9F25D" w14:textId="77777777" w:rsidR="008F4B79" w:rsidRDefault="008F4B79" w:rsidP="00B0557A">
                <w:pPr>
                  <w:rPr>
                    <w:rFonts w:ascii="Arial" w:hAnsi="Arial" w:cs="Arial"/>
                  </w:rPr>
                </w:pPr>
                <w:r>
                  <w:rPr>
                    <w:rFonts w:ascii="Arial" w:hAnsi="Arial" w:cs="Arial"/>
                  </w:rPr>
                  <w:t>Opening balance</w:t>
                </w:r>
              </w:p>
            </w:tc>
            <w:tc>
              <w:tcPr>
                <w:tcW w:w="992" w:type="dxa"/>
              </w:tcPr>
              <w:p w14:paraId="5233BEA3" w14:textId="78871AA3" w:rsidR="008F4B79" w:rsidRPr="007A65C7" w:rsidRDefault="00F66EDF" w:rsidP="00B0557A">
                <w:pPr>
                  <w:jc w:val="center"/>
                  <w:rPr>
                    <w:rFonts w:ascii="Arial" w:hAnsi="Arial" w:cs="Arial"/>
                    <w:u w:val="single"/>
                  </w:rPr>
                </w:pPr>
                <w:r>
                  <w:rPr>
                    <w:rFonts w:ascii="Arial" w:hAnsi="Arial" w:cs="Arial"/>
                    <w:u w:val="single"/>
                  </w:rPr>
                  <w:t>(25)</w:t>
                </w:r>
              </w:p>
            </w:tc>
            <w:tc>
              <w:tcPr>
                <w:tcW w:w="992" w:type="dxa"/>
              </w:tcPr>
              <w:p w14:paraId="26255FCA" w14:textId="502A5E21" w:rsidR="008F4B79" w:rsidRPr="007A65C7" w:rsidRDefault="00F66EDF" w:rsidP="00B0557A">
                <w:pPr>
                  <w:jc w:val="center"/>
                  <w:rPr>
                    <w:rFonts w:ascii="Arial" w:hAnsi="Arial" w:cs="Arial"/>
                    <w:u w:val="single"/>
                  </w:rPr>
                </w:pPr>
                <w:r>
                  <w:rPr>
                    <w:rFonts w:ascii="Arial" w:hAnsi="Arial" w:cs="Arial"/>
                    <w:u w:val="single"/>
                  </w:rPr>
                  <w:t>(46.68)</w:t>
                </w:r>
                <w:r w:rsidR="008F4B79">
                  <w:rPr>
                    <w:rFonts w:ascii="Arial" w:hAnsi="Arial" w:cs="Arial"/>
                    <w:u w:val="single"/>
                  </w:rPr>
                  <w:t xml:space="preserve"> </w:t>
                </w:r>
              </w:p>
            </w:tc>
            <w:tc>
              <w:tcPr>
                <w:tcW w:w="993" w:type="dxa"/>
              </w:tcPr>
              <w:p w14:paraId="02D8836E" w14:textId="2A8FF555" w:rsidR="008F4B79" w:rsidRPr="007A65C7" w:rsidRDefault="00F66EDF" w:rsidP="00B0557A">
                <w:pPr>
                  <w:jc w:val="center"/>
                  <w:rPr>
                    <w:rFonts w:ascii="Arial" w:hAnsi="Arial" w:cs="Arial"/>
                    <w:u w:val="single"/>
                  </w:rPr>
                </w:pPr>
                <w:r>
                  <w:rPr>
                    <w:rFonts w:ascii="Arial" w:hAnsi="Arial" w:cs="Arial"/>
                    <w:u w:val="single"/>
                  </w:rPr>
                  <w:t>(23.54)</w:t>
                </w:r>
                <w:r w:rsidR="008F4B79">
                  <w:rPr>
                    <w:rFonts w:ascii="Arial" w:hAnsi="Arial" w:cs="Arial"/>
                    <w:u w:val="single"/>
                  </w:rPr>
                  <w:t xml:space="preserve"> </w:t>
                </w:r>
              </w:p>
            </w:tc>
            <w:tc>
              <w:tcPr>
                <w:tcW w:w="992" w:type="dxa"/>
              </w:tcPr>
              <w:p w14:paraId="4736CB88" w14:textId="2DC98771" w:rsidR="008F4B79" w:rsidRPr="007A65C7" w:rsidRDefault="00F66EDF" w:rsidP="00B0557A">
                <w:pPr>
                  <w:jc w:val="center"/>
                  <w:rPr>
                    <w:rFonts w:ascii="Arial" w:hAnsi="Arial" w:cs="Arial"/>
                    <w:u w:val="single"/>
                  </w:rPr>
                </w:pPr>
                <w:r>
                  <w:rPr>
                    <w:rFonts w:ascii="Arial" w:hAnsi="Arial" w:cs="Arial"/>
                    <w:u w:val="single"/>
                  </w:rPr>
                  <w:t>(0.4)</w:t>
                </w:r>
                <w:r w:rsidR="008F4B79">
                  <w:rPr>
                    <w:rFonts w:ascii="Arial" w:hAnsi="Arial" w:cs="Arial"/>
                    <w:u w:val="single"/>
                  </w:rPr>
                  <w:t xml:space="preserve"> </w:t>
                </w:r>
              </w:p>
            </w:tc>
            <w:tc>
              <w:tcPr>
                <w:tcW w:w="992" w:type="dxa"/>
              </w:tcPr>
              <w:p w14:paraId="1C2AFF92" w14:textId="279AA871" w:rsidR="008F4B79" w:rsidRPr="007A65C7" w:rsidRDefault="00F66EDF" w:rsidP="00B0557A">
                <w:pPr>
                  <w:jc w:val="center"/>
                  <w:rPr>
                    <w:rFonts w:ascii="Arial" w:hAnsi="Arial" w:cs="Arial"/>
                    <w:u w:val="single"/>
                  </w:rPr>
                </w:pPr>
                <w:r>
                  <w:rPr>
                    <w:rFonts w:ascii="Arial" w:hAnsi="Arial" w:cs="Arial"/>
                    <w:u w:val="single"/>
                  </w:rPr>
                  <w:t>(21.36)</w:t>
                </w:r>
                <w:r w:rsidR="008F4B79">
                  <w:rPr>
                    <w:rFonts w:ascii="Arial" w:hAnsi="Arial" w:cs="Arial"/>
                    <w:u w:val="single"/>
                  </w:rPr>
                  <w:t xml:space="preserve"> </w:t>
                </w:r>
              </w:p>
            </w:tc>
            <w:tc>
              <w:tcPr>
                <w:tcW w:w="992" w:type="dxa"/>
              </w:tcPr>
              <w:p w14:paraId="389B4261" w14:textId="2F761550" w:rsidR="008F4B79" w:rsidRPr="007A65C7" w:rsidRDefault="00F66EDF" w:rsidP="00B0557A">
                <w:pPr>
                  <w:jc w:val="center"/>
                  <w:rPr>
                    <w:rFonts w:ascii="Arial" w:hAnsi="Arial" w:cs="Arial"/>
                    <w:u w:val="single"/>
                  </w:rPr>
                </w:pPr>
                <w:r>
                  <w:rPr>
                    <w:rFonts w:ascii="Arial" w:hAnsi="Arial" w:cs="Arial"/>
                    <w:u w:val="single"/>
                  </w:rPr>
                  <w:t>(48.14)</w:t>
                </w:r>
                <w:r w:rsidR="008F4B79">
                  <w:rPr>
                    <w:rFonts w:ascii="Arial" w:hAnsi="Arial" w:cs="Arial"/>
                    <w:u w:val="single"/>
                  </w:rPr>
                  <w:t xml:space="preserve"> </w:t>
                </w:r>
              </w:p>
            </w:tc>
          </w:tr>
          <w:tr w:rsidR="008F4B79" w14:paraId="3409A111" w14:textId="77777777" w:rsidTr="00B0557A">
            <w:trPr>
              <w:trHeight w:val="426"/>
            </w:trPr>
            <w:tc>
              <w:tcPr>
                <w:tcW w:w="3260" w:type="dxa"/>
              </w:tcPr>
              <w:p w14:paraId="550D91A9" w14:textId="77777777" w:rsidR="008F4B79" w:rsidRDefault="008F4B79" w:rsidP="00B0557A">
                <w:pPr>
                  <w:rPr>
                    <w:rFonts w:ascii="Arial" w:hAnsi="Arial" w:cs="Arial"/>
                  </w:rPr>
                </w:pPr>
                <w:r>
                  <w:rPr>
                    <w:rFonts w:ascii="Arial" w:hAnsi="Arial" w:cs="Arial"/>
                  </w:rPr>
                  <w:t>Closing balance</w:t>
                </w:r>
              </w:p>
            </w:tc>
            <w:tc>
              <w:tcPr>
                <w:tcW w:w="992" w:type="dxa"/>
              </w:tcPr>
              <w:p w14:paraId="0499DE95" w14:textId="59E8E19F" w:rsidR="008F4B79" w:rsidRPr="007A65C7" w:rsidRDefault="001A356E" w:rsidP="00B0557A">
                <w:pPr>
                  <w:jc w:val="center"/>
                  <w:rPr>
                    <w:rFonts w:ascii="Arial" w:hAnsi="Arial" w:cs="Arial"/>
                  </w:rPr>
                </w:pPr>
                <w:r>
                  <w:rPr>
                    <w:rFonts w:ascii="Arial" w:hAnsi="Arial" w:cs="Arial"/>
                  </w:rPr>
                  <w:t>(46.68)</w:t>
                </w:r>
                <w:r w:rsidR="008F4B79">
                  <w:rPr>
                    <w:rFonts w:ascii="Arial" w:hAnsi="Arial" w:cs="Arial"/>
                  </w:rPr>
                  <w:t xml:space="preserve"> </w:t>
                </w:r>
              </w:p>
            </w:tc>
            <w:tc>
              <w:tcPr>
                <w:tcW w:w="992" w:type="dxa"/>
              </w:tcPr>
              <w:p w14:paraId="1DFCB9F8" w14:textId="0660DF58" w:rsidR="008F4B79" w:rsidRPr="007A65C7" w:rsidRDefault="001A356E" w:rsidP="00B0557A">
                <w:pPr>
                  <w:jc w:val="center"/>
                  <w:rPr>
                    <w:rFonts w:ascii="Arial" w:hAnsi="Arial" w:cs="Arial"/>
                  </w:rPr>
                </w:pPr>
                <w:r>
                  <w:rPr>
                    <w:rFonts w:ascii="Arial" w:hAnsi="Arial" w:cs="Arial"/>
                  </w:rPr>
                  <w:t>(23.54)</w:t>
                </w:r>
                <w:r w:rsidR="008F4B79">
                  <w:rPr>
                    <w:rFonts w:ascii="Arial" w:hAnsi="Arial" w:cs="Arial"/>
                  </w:rPr>
                  <w:t xml:space="preserve"> </w:t>
                </w:r>
              </w:p>
            </w:tc>
            <w:tc>
              <w:tcPr>
                <w:tcW w:w="993" w:type="dxa"/>
              </w:tcPr>
              <w:p w14:paraId="03772FA5" w14:textId="5DD4B17A" w:rsidR="008F4B79" w:rsidRPr="007A65C7" w:rsidRDefault="001A356E" w:rsidP="00B0557A">
                <w:pPr>
                  <w:jc w:val="center"/>
                  <w:rPr>
                    <w:rFonts w:ascii="Arial" w:hAnsi="Arial" w:cs="Arial"/>
                  </w:rPr>
                </w:pPr>
                <w:r>
                  <w:rPr>
                    <w:rFonts w:ascii="Arial" w:hAnsi="Arial" w:cs="Arial"/>
                  </w:rPr>
                  <w:t>(0.4)</w:t>
                </w:r>
                <w:r w:rsidR="008F4B79">
                  <w:rPr>
                    <w:rFonts w:ascii="Arial" w:hAnsi="Arial" w:cs="Arial"/>
                  </w:rPr>
                  <w:t xml:space="preserve"> </w:t>
                </w:r>
              </w:p>
            </w:tc>
            <w:tc>
              <w:tcPr>
                <w:tcW w:w="992" w:type="dxa"/>
              </w:tcPr>
              <w:p w14:paraId="0E6B8A89" w14:textId="164B7846" w:rsidR="008F4B79" w:rsidRPr="007A65C7" w:rsidRDefault="001A356E" w:rsidP="00B0557A">
                <w:pPr>
                  <w:jc w:val="center"/>
                  <w:rPr>
                    <w:rFonts w:ascii="Arial" w:hAnsi="Arial" w:cs="Arial"/>
                  </w:rPr>
                </w:pPr>
                <w:r>
                  <w:rPr>
                    <w:rFonts w:ascii="Arial" w:hAnsi="Arial" w:cs="Arial"/>
                  </w:rPr>
                  <w:t>(21.36)</w:t>
                </w:r>
                <w:r w:rsidR="008F4B79">
                  <w:rPr>
                    <w:rFonts w:ascii="Arial" w:hAnsi="Arial" w:cs="Arial"/>
                  </w:rPr>
                  <w:t xml:space="preserve"> </w:t>
                </w:r>
              </w:p>
            </w:tc>
            <w:tc>
              <w:tcPr>
                <w:tcW w:w="992" w:type="dxa"/>
              </w:tcPr>
              <w:p w14:paraId="4EAE6915" w14:textId="3BCC9C5B" w:rsidR="008F4B79" w:rsidRPr="007A65C7" w:rsidRDefault="001A356E" w:rsidP="00B0557A">
                <w:pPr>
                  <w:jc w:val="center"/>
                  <w:rPr>
                    <w:rFonts w:ascii="Arial" w:hAnsi="Arial" w:cs="Arial"/>
                  </w:rPr>
                </w:pPr>
                <w:r>
                  <w:rPr>
                    <w:rFonts w:ascii="Arial" w:hAnsi="Arial" w:cs="Arial"/>
                  </w:rPr>
                  <w:t>(48.14)</w:t>
                </w:r>
                <w:r w:rsidR="008F4B79">
                  <w:rPr>
                    <w:rFonts w:ascii="Arial" w:hAnsi="Arial" w:cs="Arial"/>
                  </w:rPr>
                  <w:t xml:space="preserve"> </w:t>
                </w:r>
              </w:p>
            </w:tc>
            <w:tc>
              <w:tcPr>
                <w:tcW w:w="992" w:type="dxa"/>
              </w:tcPr>
              <w:p w14:paraId="14023721" w14:textId="4DEE98A6" w:rsidR="008F4B79" w:rsidRPr="007A65C7" w:rsidRDefault="001A356E" w:rsidP="00B0557A">
                <w:pPr>
                  <w:jc w:val="center"/>
                  <w:rPr>
                    <w:rFonts w:ascii="Arial" w:hAnsi="Arial" w:cs="Arial"/>
                  </w:rPr>
                </w:pPr>
                <w:r>
                  <w:rPr>
                    <w:rFonts w:ascii="Arial" w:hAnsi="Arial" w:cs="Arial"/>
                  </w:rPr>
                  <w:t>(72.56)</w:t>
                </w:r>
                <w:r w:rsidR="008F4B79">
                  <w:rPr>
                    <w:rFonts w:ascii="Arial" w:hAnsi="Arial" w:cs="Arial"/>
                  </w:rPr>
                  <w:t xml:space="preserve"> </w:t>
                </w:r>
              </w:p>
            </w:tc>
          </w:tr>
        </w:tbl>
        <w:p w14:paraId="7074C5DD" w14:textId="77777777" w:rsidR="008F4B79" w:rsidRDefault="008F4B79" w:rsidP="008F4B79">
          <w:pPr>
            <w:spacing w:line="240" w:lineRule="auto"/>
            <w:ind w:left="360" w:firstLine="360"/>
            <w:rPr>
              <w:rFonts w:ascii="Arial" w:hAnsi="Arial" w:cs="Arial"/>
            </w:rPr>
          </w:pPr>
        </w:p>
        <w:p w14:paraId="4AD7B46F" w14:textId="77777777" w:rsidR="008F4B79" w:rsidRPr="003B62C4" w:rsidRDefault="008F4B79" w:rsidP="008F4B79">
          <w:pPr>
            <w:pStyle w:val="ListParagraph"/>
            <w:numPr>
              <w:ilvl w:val="0"/>
              <w:numId w:val="1"/>
            </w:numPr>
            <w:ind w:left="851"/>
            <w:jc w:val="both"/>
            <w:rPr>
              <w:rFonts w:ascii="Arial" w:hAnsi="Arial" w:cs="Arial"/>
            </w:rPr>
          </w:pPr>
          <w:bookmarkStart w:id="3" w:name="OLE_LINK1"/>
          <w:bookmarkStart w:id="4" w:name="OLE_LINK2"/>
          <w:r>
            <w:rPr>
              <w:rFonts w:ascii="Arial" w:hAnsi="Arial" w:cs="Arial"/>
            </w:rPr>
            <w:t>The (</w:t>
          </w:r>
          <w:r w:rsidRPr="001174D4">
            <w:rPr>
              <w:rFonts w:ascii="Arial" w:hAnsi="Arial" w:cs="Arial"/>
              <w:i/>
            </w:rPr>
            <w:t>accruals-based)</w:t>
          </w:r>
          <w:r>
            <w:rPr>
              <w:rFonts w:ascii="Arial" w:hAnsi="Arial" w:cs="Arial"/>
            </w:rPr>
            <w:t xml:space="preserve"> budgeted Profit &amp; Loss Account for the six months ending 30 November is:</w:t>
          </w:r>
        </w:p>
        <w:bookmarkEnd w:id="3"/>
        <w:bookmarkEnd w:id="4"/>
        <w:tbl>
          <w:tblPr>
            <w:tblStyle w:val="TableGrid"/>
            <w:tblW w:w="0" w:type="auto"/>
            <w:tblInd w:w="110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409"/>
            <w:gridCol w:w="1134"/>
            <w:gridCol w:w="3544"/>
          </w:tblGrid>
          <w:tr w:rsidR="008F4B79" w14:paraId="20E9B54F" w14:textId="77777777" w:rsidTr="00B0557A">
            <w:tc>
              <w:tcPr>
                <w:tcW w:w="2409" w:type="dxa"/>
              </w:tcPr>
              <w:p w14:paraId="5031D79F" w14:textId="77777777" w:rsidR="008F4B79" w:rsidRDefault="008F4B79" w:rsidP="00B0557A">
                <w:pPr>
                  <w:rPr>
                    <w:rFonts w:ascii="Arial" w:hAnsi="Arial" w:cs="Arial"/>
                  </w:rPr>
                </w:pPr>
              </w:p>
            </w:tc>
            <w:tc>
              <w:tcPr>
                <w:tcW w:w="1134" w:type="dxa"/>
              </w:tcPr>
              <w:p w14:paraId="2329CBAD" w14:textId="77777777" w:rsidR="008F4B79" w:rsidRPr="004D6C12" w:rsidRDefault="008F4B79" w:rsidP="00B0557A">
                <w:pPr>
                  <w:jc w:val="right"/>
                  <w:rPr>
                    <w:rFonts w:ascii="Arial" w:hAnsi="Arial" w:cs="Arial"/>
                    <w:b/>
                  </w:rPr>
                </w:pPr>
                <w:r w:rsidRPr="004D6C12">
                  <w:rPr>
                    <w:rFonts w:ascii="Arial" w:hAnsi="Arial" w:cs="Arial"/>
                    <w:b/>
                  </w:rPr>
                  <w:t>£000</w:t>
                </w:r>
              </w:p>
            </w:tc>
            <w:tc>
              <w:tcPr>
                <w:tcW w:w="3544" w:type="dxa"/>
              </w:tcPr>
              <w:p w14:paraId="15776851" w14:textId="77777777" w:rsidR="008F4B79" w:rsidRPr="004D6C12" w:rsidRDefault="008F4B79" w:rsidP="00B0557A">
                <w:pPr>
                  <w:rPr>
                    <w:rFonts w:ascii="Arial" w:hAnsi="Arial" w:cs="Arial"/>
                    <w:b/>
                  </w:rPr>
                </w:pPr>
                <w:r w:rsidRPr="004D6C12">
                  <w:rPr>
                    <w:rFonts w:ascii="Arial" w:hAnsi="Arial" w:cs="Arial"/>
                    <w:b/>
                  </w:rPr>
                  <w:t>Calculation</w:t>
                </w:r>
              </w:p>
            </w:tc>
          </w:tr>
          <w:tr w:rsidR="008F4B79" w14:paraId="3439859E" w14:textId="77777777" w:rsidTr="00B0557A">
            <w:trPr>
              <w:trHeight w:val="439"/>
            </w:trPr>
            <w:tc>
              <w:tcPr>
                <w:tcW w:w="2409" w:type="dxa"/>
              </w:tcPr>
              <w:p w14:paraId="40DD4EEC" w14:textId="77777777" w:rsidR="008F4B79" w:rsidRDefault="008F4B79" w:rsidP="00B0557A">
                <w:pPr>
                  <w:rPr>
                    <w:rFonts w:ascii="Arial" w:hAnsi="Arial" w:cs="Arial"/>
                  </w:rPr>
                </w:pPr>
                <w:r>
                  <w:rPr>
                    <w:rFonts w:ascii="Arial" w:hAnsi="Arial" w:cs="Arial"/>
                  </w:rPr>
                  <w:t xml:space="preserve">Sales </w:t>
                </w:r>
              </w:p>
            </w:tc>
            <w:tc>
              <w:tcPr>
                <w:tcW w:w="1134" w:type="dxa"/>
              </w:tcPr>
              <w:p w14:paraId="0529888F" w14:textId="6780D36D" w:rsidR="008F4B79" w:rsidRDefault="007F5B21" w:rsidP="00B0557A">
                <w:pPr>
                  <w:jc w:val="right"/>
                  <w:rPr>
                    <w:rFonts w:ascii="Arial" w:hAnsi="Arial" w:cs="Arial"/>
                  </w:rPr>
                </w:pPr>
                <w:r>
                  <w:rPr>
                    <w:rFonts w:ascii="Arial" w:hAnsi="Arial" w:cs="Arial"/>
                  </w:rPr>
                  <w:t>1420</w:t>
                </w:r>
                <w:r w:rsidR="008F4B79">
                  <w:rPr>
                    <w:rFonts w:ascii="Arial" w:hAnsi="Arial" w:cs="Arial"/>
                  </w:rPr>
                  <w:t xml:space="preserve"> </w:t>
                </w:r>
              </w:p>
            </w:tc>
            <w:tc>
              <w:tcPr>
                <w:tcW w:w="3544" w:type="dxa"/>
              </w:tcPr>
              <w:p w14:paraId="25687ABE" w14:textId="77777777" w:rsidR="008F4B79" w:rsidRDefault="008F4B79" w:rsidP="00B0557A">
                <w:pPr>
                  <w:rPr>
                    <w:rFonts w:ascii="Arial" w:hAnsi="Arial" w:cs="Arial"/>
                  </w:rPr>
                </w:pPr>
                <w:r>
                  <w:rPr>
                    <w:rFonts w:ascii="Arial" w:hAnsi="Arial" w:cs="Arial"/>
                  </w:rPr>
                  <w:t xml:space="preserve"> </w:t>
                </w:r>
              </w:p>
            </w:tc>
          </w:tr>
          <w:tr w:rsidR="008F4B79" w14:paraId="6ADA0140" w14:textId="77777777" w:rsidTr="00B0557A">
            <w:trPr>
              <w:trHeight w:val="414"/>
            </w:trPr>
            <w:tc>
              <w:tcPr>
                <w:tcW w:w="2409" w:type="dxa"/>
              </w:tcPr>
              <w:p w14:paraId="1DC7D9E3" w14:textId="77777777" w:rsidR="008F4B79" w:rsidRDefault="008F4B79" w:rsidP="00B0557A">
                <w:pPr>
                  <w:rPr>
                    <w:rFonts w:ascii="Arial" w:hAnsi="Arial" w:cs="Arial"/>
                  </w:rPr>
                </w:pPr>
                <w:r>
                  <w:rPr>
                    <w:rFonts w:ascii="Arial" w:hAnsi="Arial" w:cs="Arial"/>
                  </w:rPr>
                  <w:t>Cost of goods sold</w:t>
                </w:r>
              </w:p>
            </w:tc>
            <w:tc>
              <w:tcPr>
                <w:tcW w:w="1134" w:type="dxa"/>
              </w:tcPr>
              <w:p w14:paraId="16FEAAFD" w14:textId="09950A09" w:rsidR="008F4B79" w:rsidRPr="00F71675" w:rsidRDefault="008F4B79" w:rsidP="00B0557A">
                <w:pPr>
                  <w:jc w:val="right"/>
                  <w:rPr>
                    <w:rFonts w:ascii="Arial" w:hAnsi="Arial" w:cs="Arial"/>
                    <w:u w:val="single"/>
                  </w:rPr>
                </w:pPr>
                <w:r w:rsidRPr="00F71675">
                  <w:rPr>
                    <w:rFonts w:ascii="Arial" w:hAnsi="Arial" w:cs="Arial"/>
                    <w:u w:val="single"/>
                  </w:rPr>
                  <w:t>(</w:t>
                </w:r>
                <w:r w:rsidR="007F5B21">
                  <w:rPr>
                    <w:rFonts w:ascii="Arial" w:hAnsi="Arial" w:cs="Arial"/>
                    <w:u w:val="single"/>
                  </w:rPr>
                  <w:t>994</w:t>
                </w:r>
                <w:r w:rsidRPr="00F71675">
                  <w:rPr>
                    <w:rFonts w:ascii="Arial" w:hAnsi="Arial" w:cs="Arial"/>
                    <w:u w:val="single"/>
                  </w:rPr>
                  <w:t>)</w:t>
                </w:r>
              </w:p>
            </w:tc>
            <w:tc>
              <w:tcPr>
                <w:tcW w:w="3544" w:type="dxa"/>
              </w:tcPr>
              <w:p w14:paraId="42F2775D" w14:textId="6DA8016E" w:rsidR="008F4B79" w:rsidRPr="00010117" w:rsidRDefault="008F4B79" w:rsidP="00B0557A">
                <w:pPr>
                  <w:rPr>
                    <w:rFonts w:ascii="Arial" w:hAnsi="Arial" w:cs="Arial"/>
                  </w:rPr>
                </w:pPr>
                <w:r>
                  <w:rPr>
                    <w:rFonts w:ascii="Arial" w:hAnsi="Arial" w:cs="Arial"/>
                  </w:rPr>
                  <w:t>t</w:t>
                </w:r>
                <w:r w:rsidRPr="00010117">
                  <w:rPr>
                    <w:rFonts w:ascii="Arial" w:hAnsi="Arial" w:cs="Arial"/>
                  </w:rPr>
                  <w:t>herefore</w:t>
                </w:r>
                <w:r>
                  <w:rPr>
                    <w:rFonts w:ascii="Arial" w:hAnsi="Arial" w:cs="Arial"/>
                  </w:rPr>
                  <w:t xml:space="preserve"> </w:t>
                </w:r>
                <w:r w:rsidR="00C85ECB">
                  <w:rPr>
                    <w:rFonts w:ascii="Arial" w:hAnsi="Arial" w:cs="Arial"/>
                  </w:rPr>
                  <w:t xml:space="preserve"> (Sales*0.7)</w:t>
                </w:r>
                <w:r>
                  <w:rPr>
                    <w:rFonts w:ascii="Arial" w:hAnsi="Arial" w:cs="Arial"/>
                  </w:rPr>
                  <w:t xml:space="preserve"> </w:t>
                </w:r>
              </w:p>
            </w:tc>
          </w:tr>
          <w:tr w:rsidR="008F4B79" w14:paraId="3C2F039C" w14:textId="77777777" w:rsidTr="00B0557A">
            <w:trPr>
              <w:trHeight w:val="407"/>
            </w:trPr>
            <w:tc>
              <w:tcPr>
                <w:tcW w:w="2409" w:type="dxa"/>
              </w:tcPr>
              <w:p w14:paraId="486EE59E" w14:textId="77777777" w:rsidR="008F4B79" w:rsidRDefault="008F4B79" w:rsidP="00B0557A">
                <w:pPr>
                  <w:rPr>
                    <w:rFonts w:ascii="Arial" w:hAnsi="Arial" w:cs="Arial"/>
                  </w:rPr>
                </w:pPr>
                <w:r>
                  <w:rPr>
                    <w:rFonts w:ascii="Arial" w:hAnsi="Arial" w:cs="Arial"/>
                  </w:rPr>
                  <w:t>Gross profit</w:t>
                </w:r>
              </w:p>
            </w:tc>
            <w:tc>
              <w:tcPr>
                <w:tcW w:w="1134" w:type="dxa"/>
              </w:tcPr>
              <w:p w14:paraId="616BB17E" w14:textId="4D0FDD61" w:rsidR="008F4B79" w:rsidRPr="0010425D" w:rsidRDefault="007F5B21" w:rsidP="00B0557A">
                <w:pPr>
                  <w:jc w:val="right"/>
                  <w:rPr>
                    <w:rFonts w:ascii="Arial" w:hAnsi="Arial" w:cs="Arial"/>
                    <w:b/>
                    <w:bCs/>
                  </w:rPr>
                </w:pPr>
                <w:r w:rsidRPr="0010425D">
                  <w:rPr>
                    <w:rFonts w:ascii="Arial" w:hAnsi="Arial" w:cs="Arial"/>
                    <w:b/>
                    <w:bCs/>
                  </w:rPr>
                  <w:t>426</w:t>
                </w:r>
                <w:r w:rsidR="008F4B79" w:rsidRPr="0010425D">
                  <w:rPr>
                    <w:rFonts w:ascii="Arial" w:hAnsi="Arial" w:cs="Arial"/>
                    <w:b/>
                    <w:bCs/>
                  </w:rPr>
                  <w:t xml:space="preserve"> </w:t>
                </w:r>
              </w:p>
            </w:tc>
            <w:tc>
              <w:tcPr>
                <w:tcW w:w="3544" w:type="dxa"/>
              </w:tcPr>
              <w:p w14:paraId="7B851978" w14:textId="09CD35A8" w:rsidR="008F4B79" w:rsidRDefault="008F4B79" w:rsidP="00B0557A">
                <w:pPr>
                  <w:rPr>
                    <w:rFonts w:ascii="Arial" w:hAnsi="Arial" w:cs="Arial"/>
                  </w:rPr>
                </w:pPr>
                <w:r>
                  <w:rPr>
                    <w:rFonts w:ascii="Arial" w:hAnsi="Arial" w:cs="Arial"/>
                  </w:rPr>
                  <w:t xml:space="preserve">                                       </w:t>
                </w:r>
              </w:p>
            </w:tc>
          </w:tr>
          <w:tr w:rsidR="008F4B79" w14:paraId="46C1183F" w14:textId="77777777" w:rsidTr="00B0557A">
            <w:trPr>
              <w:trHeight w:val="413"/>
            </w:trPr>
            <w:tc>
              <w:tcPr>
                <w:tcW w:w="2409" w:type="dxa"/>
              </w:tcPr>
              <w:p w14:paraId="72AA4A9D" w14:textId="77777777" w:rsidR="008F4B79" w:rsidRDefault="008F4B79" w:rsidP="00B0557A">
                <w:pPr>
                  <w:rPr>
                    <w:rFonts w:ascii="Arial" w:hAnsi="Arial" w:cs="Arial"/>
                  </w:rPr>
                </w:pPr>
                <w:r>
                  <w:rPr>
                    <w:rFonts w:ascii="Arial" w:hAnsi="Arial" w:cs="Arial"/>
                  </w:rPr>
                  <w:t>Selling expenses</w:t>
                </w:r>
              </w:p>
            </w:tc>
            <w:tc>
              <w:tcPr>
                <w:tcW w:w="1134" w:type="dxa"/>
              </w:tcPr>
              <w:p w14:paraId="09FD6C2A" w14:textId="61AB2B5F" w:rsidR="008F4B79" w:rsidRDefault="007F5B21" w:rsidP="00B0557A">
                <w:pPr>
                  <w:jc w:val="right"/>
                  <w:rPr>
                    <w:rFonts w:ascii="Arial" w:hAnsi="Arial" w:cs="Arial"/>
                  </w:rPr>
                </w:pPr>
                <w:r>
                  <w:rPr>
                    <w:rFonts w:ascii="Arial" w:hAnsi="Arial" w:cs="Arial"/>
                  </w:rPr>
                  <w:t>(41</w:t>
                </w:r>
                <w:r w:rsidR="008F4B79">
                  <w:rPr>
                    <w:rFonts w:ascii="Arial" w:hAnsi="Arial" w:cs="Arial"/>
                  </w:rPr>
                  <w:t>)</w:t>
                </w:r>
              </w:p>
            </w:tc>
            <w:tc>
              <w:tcPr>
                <w:tcW w:w="3544" w:type="dxa"/>
              </w:tcPr>
              <w:p w14:paraId="5A2B35F0" w14:textId="77777777" w:rsidR="008F4B79" w:rsidRDefault="008F4B79" w:rsidP="00B0557A">
                <w:pPr>
                  <w:rPr>
                    <w:rFonts w:ascii="Arial" w:hAnsi="Arial" w:cs="Arial"/>
                  </w:rPr>
                </w:pPr>
                <w:r>
                  <w:rPr>
                    <w:rFonts w:ascii="Arial" w:hAnsi="Arial" w:cs="Arial"/>
                  </w:rPr>
                  <w:t xml:space="preserve"> </w:t>
                </w:r>
              </w:p>
            </w:tc>
          </w:tr>
          <w:tr w:rsidR="008F4B79" w14:paraId="24BAAB0B" w14:textId="77777777" w:rsidTr="00B0557A">
            <w:trPr>
              <w:trHeight w:val="419"/>
            </w:trPr>
            <w:tc>
              <w:tcPr>
                <w:tcW w:w="2409" w:type="dxa"/>
              </w:tcPr>
              <w:p w14:paraId="78CBFD7A" w14:textId="77777777" w:rsidR="008F4B79" w:rsidRDefault="008F4B79" w:rsidP="00B0557A">
                <w:pPr>
                  <w:rPr>
                    <w:rFonts w:ascii="Arial" w:hAnsi="Arial" w:cs="Arial"/>
                  </w:rPr>
                </w:pPr>
                <w:r>
                  <w:rPr>
                    <w:rFonts w:ascii="Arial" w:hAnsi="Arial" w:cs="Arial"/>
                  </w:rPr>
                  <w:t>Admin Expenses</w:t>
                </w:r>
              </w:p>
            </w:tc>
            <w:tc>
              <w:tcPr>
                <w:tcW w:w="1134" w:type="dxa"/>
              </w:tcPr>
              <w:p w14:paraId="44C8344C" w14:textId="5B5C0BD4" w:rsidR="008F4B79" w:rsidRDefault="008F4B79" w:rsidP="00B0557A">
                <w:pPr>
                  <w:jc w:val="right"/>
                  <w:rPr>
                    <w:rFonts w:ascii="Arial" w:hAnsi="Arial" w:cs="Arial"/>
                  </w:rPr>
                </w:pPr>
                <w:r>
                  <w:rPr>
                    <w:rFonts w:ascii="Arial" w:hAnsi="Arial" w:cs="Arial"/>
                  </w:rPr>
                  <w:t>(</w:t>
                </w:r>
                <w:r w:rsidR="007F5B21">
                  <w:rPr>
                    <w:rFonts w:ascii="Arial" w:hAnsi="Arial" w:cs="Arial"/>
                  </w:rPr>
                  <w:t>144</w:t>
                </w:r>
                <w:r>
                  <w:rPr>
                    <w:rFonts w:ascii="Arial" w:hAnsi="Arial" w:cs="Arial"/>
                  </w:rPr>
                  <w:t>)</w:t>
                </w:r>
              </w:p>
            </w:tc>
            <w:tc>
              <w:tcPr>
                <w:tcW w:w="3544" w:type="dxa"/>
              </w:tcPr>
              <w:p w14:paraId="4F8B0E91" w14:textId="77777777" w:rsidR="008F4B79" w:rsidRDefault="008F4B79" w:rsidP="00B0557A">
                <w:pPr>
                  <w:rPr>
                    <w:rFonts w:ascii="Arial" w:hAnsi="Arial" w:cs="Arial"/>
                  </w:rPr>
                </w:pPr>
                <w:r>
                  <w:rPr>
                    <w:rFonts w:ascii="Arial" w:hAnsi="Arial" w:cs="Arial"/>
                  </w:rPr>
                  <w:t xml:space="preserve"> </w:t>
                </w:r>
              </w:p>
            </w:tc>
          </w:tr>
          <w:tr w:rsidR="008F4B79" w14:paraId="583A840C" w14:textId="77777777" w:rsidTr="00B0557A">
            <w:trPr>
              <w:trHeight w:val="424"/>
            </w:trPr>
            <w:tc>
              <w:tcPr>
                <w:tcW w:w="2409" w:type="dxa"/>
              </w:tcPr>
              <w:p w14:paraId="28407AB9" w14:textId="77777777" w:rsidR="008F4B79" w:rsidRDefault="008F4B79" w:rsidP="00B0557A">
                <w:pPr>
                  <w:rPr>
                    <w:rFonts w:ascii="Arial" w:hAnsi="Arial" w:cs="Arial"/>
                  </w:rPr>
                </w:pPr>
                <w:r>
                  <w:rPr>
                    <w:rFonts w:ascii="Arial" w:hAnsi="Arial" w:cs="Arial"/>
                  </w:rPr>
                  <w:lastRenderedPageBreak/>
                  <w:t>Credit card charges</w:t>
                </w:r>
              </w:p>
            </w:tc>
            <w:tc>
              <w:tcPr>
                <w:tcW w:w="1134" w:type="dxa"/>
              </w:tcPr>
              <w:p w14:paraId="4CB0C7C0" w14:textId="5DE908B6" w:rsidR="008F4B79" w:rsidRPr="00F71675" w:rsidRDefault="008F4B79" w:rsidP="00B0557A">
                <w:pPr>
                  <w:jc w:val="right"/>
                  <w:rPr>
                    <w:rFonts w:ascii="Arial" w:hAnsi="Arial" w:cs="Arial"/>
                    <w:u w:val="single"/>
                  </w:rPr>
                </w:pPr>
                <w:r>
                  <w:rPr>
                    <w:rFonts w:ascii="Arial" w:hAnsi="Arial" w:cs="Arial"/>
                    <w:u w:val="single"/>
                  </w:rPr>
                  <w:t xml:space="preserve"> </w:t>
                </w:r>
                <w:r w:rsidRPr="00F71675">
                  <w:rPr>
                    <w:rFonts w:ascii="Arial" w:hAnsi="Arial" w:cs="Arial"/>
                    <w:u w:val="single"/>
                  </w:rPr>
                  <w:t>(</w:t>
                </w:r>
                <w:r w:rsidR="007F5B21">
                  <w:rPr>
                    <w:rFonts w:ascii="Arial" w:hAnsi="Arial" w:cs="Arial"/>
                    <w:u w:val="single"/>
                  </w:rPr>
                  <w:t>25.56</w:t>
                </w:r>
                <w:r w:rsidRPr="00F71675">
                  <w:rPr>
                    <w:rFonts w:ascii="Arial" w:hAnsi="Arial" w:cs="Arial"/>
                    <w:u w:val="single"/>
                  </w:rPr>
                  <w:t>)</w:t>
                </w:r>
              </w:p>
            </w:tc>
            <w:tc>
              <w:tcPr>
                <w:tcW w:w="3544" w:type="dxa"/>
              </w:tcPr>
              <w:p w14:paraId="34EBE199" w14:textId="51F285F6" w:rsidR="008F4B79" w:rsidRPr="007A65C7" w:rsidRDefault="008F4B79" w:rsidP="00B0557A">
                <w:pPr>
                  <w:rPr>
                    <w:rFonts w:ascii="Arial" w:hAnsi="Arial" w:cs="Arial"/>
                  </w:rPr>
                </w:pPr>
                <w:r>
                  <w:rPr>
                    <w:rFonts w:ascii="Arial" w:hAnsi="Arial" w:cs="Arial"/>
                  </w:rPr>
                  <w:t xml:space="preserve">                                         </w:t>
                </w:r>
              </w:p>
            </w:tc>
          </w:tr>
          <w:tr w:rsidR="008F4B79" w14:paraId="75BDAA06" w14:textId="77777777" w:rsidTr="00B0557A">
            <w:trPr>
              <w:trHeight w:val="417"/>
            </w:trPr>
            <w:tc>
              <w:tcPr>
                <w:tcW w:w="2409" w:type="dxa"/>
              </w:tcPr>
              <w:p w14:paraId="57E8958D" w14:textId="77777777" w:rsidR="008F4B79" w:rsidRDefault="008F4B79" w:rsidP="00B0557A">
                <w:pPr>
                  <w:rPr>
                    <w:rFonts w:ascii="Arial" w:hAnsi="Arial" w:cs="Arial"/>
                  </w:rPr>
                </w:pPr>
                <w:r>
                  <w:rPr>
                    <w:rFonts w:ascii="Arial" w:hAnsi="Arial" w:cs="Arial"/>
                  </w:rPr>
                  <w:t>Operating profit</w:t>
                </w:r>
              </w:p>
            </w:tc>
            <w:tc>
              <w:tcPr>
                <w:tcW w:w="1134" w:type="dxa"/>
              </w:tcPr>
              <w:p w14:paraId="10BE3038" w14:textId="7A74C9C2" w:rsidR="008F4B79" w:rsidRDefault="007F5B21" w:rsidP="00B0557A">
                <w:pPr>
                  <w:jc w:val="right"/>
                  <w:rPr>
                    <w:rFonts w:ascii="Arial" w:hAnsi="Arial" w:cs="Arial"/>
                  </w:rPr>
                </w:pPr>
                <w:r>
                  <w:rPr>
                    <w:rFonts w:ascii="Arial" w:hAnsi="Arial" w:cs="Arial"/>
                  </w:rPr>
                  <w:t>215.44</w:t>
                </w:r>
                <w:r w:rsidR="008F4B79">
                  <w:rPr>
                    <w:rFonts w:ascii="Arial" w:hAnsi="Arial" w:cs="Arial"/>
                  </w:rPr>
                  <w:t xml:space="preserve"> </w:t>
                </w:r>
              </w:p>
            </w:tc>
            <w:tc>
              <w:tcPr>
                <w:tcW w:w="3544" w:type="dxa"/>
              </w:tcPr>
              <w:p w14:paraId="6B4CA0B2" w14:textId="77777777" w:rsidR="008F4B79" w:rsidRDefault="008F4B79" w:rsidP="00B0557A">
                <w:pPr>
                  <w:rPr>
                    <w:rFonts w:ascii="Arial" w:hAnsi="Arial" w:cs="Arial"/>
                  </w:rPr>
                </w:pPr>
              </w:p>
            </w:tc>
          </w:tr>
          <w:tr w:rsidR="008F4B79" w14:paraId="632DB9A7" w14:textId="77777777" w:rsidTr="00B0557A">
            <w:trPr>
              <w:trHeight w:val="409"/>
            </w:trPr>
            <w:tc>
              <w:tcPr>
                <w:tcW w:w="2409" w:type="dxa"/>
              </w:tcPr>
              <w:p w14:paraId="08308E9C" w14:textId="77777777" w:rsidR="008F4B79" w:rsidRDefault="008F4B79" w:rsidP="00B0557A">
                <w:pPr>
                  <w:rPr>
                    <w:rFonts w:ascii="Arial" w:hAnsi="Arial" w:cs="Arial"/>
                  </w:rPr>
                </w:pPr>
                <w:r>
                  <w:rPr>
                    <w:rFonts w:ascii="Arial" w:hAnsi="Arial" w:cs="Arial"/>
                  </w:rPr>
                  <w:t>Interest payable</w:t>
                </w:r>
              </w:p>
            </w:tc>
            <w:tc>
              <w:tcPr>
                <w:tcW w:w="1134" w:type="dxa"/>
              </w:tcPr>
              <w:p w14:paraId="49DBB5D6" w14:textId="0299443D" w:rsidR="008F4B79" w:rsidRPr="00F71675" w:rsidRDefault="008F4B79" w:rsidP="00B0557A">
                <w:pPr>
                  <w:jc w:val="right"/>
                  <w:rPr>
                    <w:rFonts w:ascii="Arial" w:hAnsi="Arial" w:cs="Arial"/>
                    <w:u w:val="single"/>
                  </w:rPr>
                </w:pPr>
                <w:r>
                  <w:rPr>
                    <w:rFonts w:ascii="Arial" w:hAnsi="Arial" w:cs="Arial"/>
                    <w:u w:val="single"/>
                  </w:rPr>
                  <w:t xml:space="preserve">   </w:t>
                </w:r>
                <w:r w:rsidRPr="00F71675">
                  <w:rPr>
                    <w:rFonts w:ascii="Arial" w:hAnsi="Arial" w:cs="Arial"/>
                    <w:u w:val="single"/>
                  </w:rPr>
                  <w:t>(</w:t>
                </w:r>
                <w:r w:rsidR="007F5B21">
                  <w:rPr>
                    <w:rFonts w:ascii="Arial" w:hAnsi="Arial" w:cs="Arial"/>
                    <w:u w:val="single"/>
                  </w:rPr>
                  <w:t>8.4</w:t>
                </w:r>
                <w:r w:rsidRPr="00F71675">
                  <w:rPr>
                    <w:rFonts w:ascii="Arial" w:hAnsi="Arial" w:cs="Arial"/>
                    <w:u w:val="single"/>
                  </w:rPr>
                  <w:t>)</w:t>
                </w:r>
              </w:p>
            </w:tc>
            <w:tc>
              <w:tcPr>
                <w:tcW w:w="3544" w:type="dxa"/>
              </w:tcPr>
              <w:p w14:paraId="0CDBB14E" w14:textId="2106136E" w:rsidR="008F4B79" w:rsidRPr="007A65C7" w:rsidRDefault="008F4B79" w:rsidP="00B0557A">
                <w:pPr>
                  <w:rPr>
                    <w:rFonts w:ascii="Arial" w:hAnsi="Arial" w:cs="Arial"/>
                  </w:rPr>
                </w:pPr>
                <w:r>
                  <w:rPr>
                    <w:rFonts w:ascii="Arial" w:hAnsi="Arial" w:cs="Arial"/>
                  </w:rPr>
                  <w:t xml:space="preserve"> </w:t>
                </w:r>
                <w:r w:rsidR="00A4086B">
                  <w:rPr>
                    <w:rFonts w:ascii="Arial" w:hAnsi="Arial" w:cs="Arial"/>
                  </w:rPr>
                  <w:t>Interest for each month 1.4*6</w:t>
                </w:r>
                <w:r>
                  <w:rPr>
                    <w:rFonts w:ascii="Arial" w:hAnsi="Arial" w:cs="Arial"/>
                  </w:rPr>
                  <w:t xml:space="preserve">                                        (Note 5)</w:t>
                </w:r>
              </w:p>
            </w:tc>
          </w:tr>
          <w:tr w:rsidR="008F4B79" w14:paraId="0AEB7DED" w14:textId="77777777" w:rsidTr="00B0557A">
            <w:trPr>
              <w:trHeight w:val="387"/>
            </w:trPr>
            <w:tc>
              <w:tcPr>
                <w:tcW w:w="2409" w:type="dxa"/>
              </w:tcPr>
              <w:p w14:paraId="6C381DF9" w14:textId="77777777" w:rsidR="008F4B79" w:rsidRDefault="008F4B79" w:rsidP="00B0557A">
                <w:pPr>
                  <w:rPr>
                    <w:rFonts w:ascii="Arial" w:hAnsi="Arial" w:cs="Arial"/>
                  </w:rPr>
                </w:pPr>
                <w:r>
                  <w:rPr>
                    <w:rFonts w:ascii="Arial" w:hAnsi="Arial" w:cs="Arial"/>
                  </w:rPr>
                  <w:t>Profit for the period</w:t>
                </w:r>
              </w:p>
            </w:tc>
            <w:tc>
              <w:tcPr>
                <w:tcW w:w="1134" w:type="dxa"/>
              </w:tcPr>
              <w:p w14:paraId="3FE2BF49" w14:textId="27E7778D" w:rsidR="008F4B79" w:rsidRPr="0010425D" w:rsidRDefault="007F5B21" w:rsidP="00B0557A">
                <w:pPr>
                  <w:jc w:val="right"/>
                  <w:rPr>
                    <w:rFonts w:ascii="Arial" w:hAnsi="Arial" w:cs="Arial"/>
                    <w:b/>
                    <w:bCs/>
                    <w:u w:val="single"/>
                  </w:rPr>
                </w:pPr>
                <w:r w:rsidRPr="0010425D">
                  <w:rPr>
                    <w:rFonts w:ascii="Arial" w:hAnsi="Arial" w:cs="Arial"/>
                    <w:b/>
                    <w:bCs/>
                    <w:u w:val="single"/>
                  </w:rPr>
                  <w:t>207.04</w:t>
                </w:r>
                <w:r w:rsidR="008F4B79" w:rsidRPr="0010425D">
                  <w:rPr>
                    <w:rFonts w:ascii="Arial" w:hAnsi="Arial" w:cs="Arial"/>
                    <w:b/>
                    <w:bCs/>
                    <w:u w:val="single"/>
                  </w:rPr>
                  <w:t xml:space="preserve"> </w:t>
                </w:r>
              </w:p>
            </w:tc>
            <w:tc>
              <w:tcPr>
                <w:tcW w:w="3544" w:type="dxa"/>
              </w:tcPr>
              <w:p w14:paraId="78D127A9" w14:textId="77777777" w:rsidR="008F4B79" w:rsidRDefault="008F4B79" w:rsidP="00B0557A">
                <w:pPr>
                  <w:rPr>
                    <w:rFonts w:ascii="Arial" w:hAnsi="Arial" w:cs="Arial"/>
                    <w:u w:val="single"/>
                  </w:rPr>
                </w:pPr>
              </w:p>
            </w:tc>
          </w:tr>
        </w:tbl>
        <w:p w14:paraId="7D4FC40A" w14:textId="28F5C5D5" w:rsidR="00480872" w:rsidRDefault="00480872" w:rsidP="00AA2A91">
          <w:pPr>
            <w:pStyle w:val="Heading1"/>
            <w:rPr>
              <w:lang w:val="en-US"/>
            </w:rPr>
          </w:pPr>
        </w:p>
        <w:p w14:paraId="2118E090" w14:textId="77777777" w:rsidR="0025176E" w:rsidRPr="0025176E" w:rsidRDefault="0025176E" w:rsidP="0025176E">
          <w:pPr>
            <w:pStyle w:val="Heading1"/>
            <w:rPr>
              <w:lang w:val="en-US"/>
            </w:rPr>
          </w:pPr>
          <w:bookmarkStart w:id="5" w:name="_Toc163571964"/>
          <w:r w:rsidRPr="0025176E">
            <w:rPr>
              <w:lang w:val="en-US"/>
            </w:rPr>
            <w:t>Analysis of Financial Projections</w:t>
          </w:r>
          <w:bookmarkEnd w:id="5"/>
        </w:p>
        <w:p w14:paraId="526BA983" w14:textId="77777777" w:rsidR="0025176E" w:rsidRPr="0025176E" w:rsidRDefault="0025176E" w:rsidP="004D49B1">
          <w:pPr>
            <w:pStyle w:val="Heading2"/>
            <w:rPr>
              <w:lang w:val="en-US"/>
            </w:rPr>
          </w:pPr>
          <w:bookmarkStart w:id="6" w:name="_Toc163571965"/>
          <w:r w:rsidRPr="0025176E">
            <w:rPr>
              <w:lang w:val="en-US"/>
            </w:rPr>
            <w:t>Question (a): Stock Budget</w:t>
          </w:r>
          <w:bookmarkEnd w:id="6"/>
        </w:p>
        <w:p w14:paraId="10AEB67B" w14:textId="77777777" w:rsidR="0050062D" w:rsidRPr="0050062D" w:rsidRDefault="0050062D" w:rsidP="0050062D">
          <w:pPr>
            <w:rPr>
              <w:lang w:val="en-US"/>
            </w:rPr>
          </w:pPr>
          <w:r w:rsidRPr="0050062D">
            <w:rPr>
              <w:lang w:val="en-US"/>
            </w:rPr>
            <w:t>The stock budget provides vital insights into Edwards' inventory management schemes and projected stocks for the next half-year. With due data analysis given and due calculations made, the expected changes in stock levels and how they would impact the financial performance of the firm could be derived.</w:t>
          </w:r>
        </w:p>
        <w:p w14:paraId="73697D08" w14:textId="251CFE98" w:rsidR="0050062D" w:rsidRPr="0050062D" w:rsidRDefault="0050062D" w:rsidP="0050062D">
          <w:pPr>
            <w:rPr>
              <w:lang w:val="en-US"/>
            </w:rPr>
          </w:pPr>
          <w:r w:rsidRPr="0050062D">
            <w:rPr>
              <w:lang w:val="en-US"/>
            </w:rPr>
            <w:t>The opening stock balance for June is at £125,000, thereafter influenced by purchases of stock and cost of goods sold. Notably, the closing stock balances for each month reflect a varying period between the months, with values between £123,000 in July and £259,000 in November.</w:t>
          </w:r>
        </w:p>
        <w:p w14:paraId="1144EFF7" w14:textId="4371D89E" w:rsidR="0025176E" w:rsidRPr="0025176E" w:rsidRDefault="0050062D" w:rsidP="0050062D">
          <w:pPr>
            <w:rPr>
              <w:lang w:val="en-US"/>
            </w:rPr>
          </w:pPr>
          <w:r w:rsidRPr="0050062D">
            <w:rPr>
              <w:lang w:val="en-US"/>
            </w:rPr>
            <w:t>The only variables that can possibly change are the variances in stock purchases and cost of goods sold, which would directly be a result of the sales volumes and gross profit margins</w:t>
          </w:r>
          <w:r w:rsidR="008277A9" w:rsidRPr="008277A9">
            <w:t xml:space="preserve"> </w:t>
          </w:r>
          <w:r w:rsidR="008277A9" w:rsidRPr="008277A9">
            <w:rPr>
              <w:lang w:val="en-US"/>
            </w:rPr>
            <w:t>(Song et al., 2020)</w:t>
          </w:r>
          <w:r w:rsidRPr="0050062D">
            <w:rPr>
              <w:lang w:val="en-US"/>
            </w:rPr>
            <w:t>. Edwards is supposed to be very watchful of these trends and make sure that the inventories match with the level of anticipated sales demand so that stock-out situation, which would result in loss of sales or carrying too much cost on inventory, does not arise.</w:t>
          </w:r>
        </w:p>
        <w:p w14:paraId="1CB68736" w14:textId="77777777" w:rsidR="0025176E" w:rsidRPr="0025176E" w:rsidRDefault="0025176E" w:rsidP="004D49B1">
          <w:pPr>
            <w:pStyle w:val="Heading2"/>
            <w:rPr>
              <w:lang w:val="en-US"/>
            </w:rPr>
          </w:pPr>
          <w:bookmarkStart w:id="7" w:name="_Toc163571966"/>
          <w:r w:rsidRPr="0025176E">
            <w:rPr>
              <w:lang w:val="en-US"/>
            </w:rPr>
            <w:t>Question (a): Cash Budget</w:t>
          </w:r>
          <w:bookmarkEnd w:id="7"/>
        </w:p>
        <w:p w14:paraId="12FF4363" w14:textId="319063A6" w:rsidR="00976C43" w:rsidRPr="00976C43" w:rsidRDefault="00976C43" w:rsidP="00976C43">
          <w:pPr>
            <w:rPr>
              <w:lang w:val="en-US"/>
            </w:rPr>
          </w:pPr>
          <w:r w:rsidRPr="00976C43">
            <w:rPr>
              <w:lang w:val="en-US"/>
            </w:rPr>
            <w:t>The cash budget enlightens Edwards' estimated inflows and outflows. With this, it gives a view of the company's position liquidity to take care of financial obligations</w:t>
          </w:r>
          <w:r w:rsidR="008277A9" w:rsidRPr="008277A9">
            <w:t xml:space="preserve"> </w:t>
          </w:r>
          <w:r w:rsidR="008277A9" w:rsidRPr="008277A9">
            <w:rPr>
              <w:lang w:val="en-US"/>
            </w:rPr>
            <w:t>(Robinson, Borio and Shin, 2022)</w:t>
          </w:r>
          <w:r w:rsidRPr="00976C43">
            <w:rPr>
              <w:lang w:val="en-US"/>
            </w:rPr>
            <w:t>. To calculate, we are reducing the monthly cash receipts and payments, including the relevant computation in order to make a judgment of the cash flows activities of the company and also computing the likely cash balances</w:t>
          </w:r>
          <w:r w:rsidR="008277A9" w:rsidRPr="008277A9">
            <w:t xml:space="preserve"> </w:t>
          </w:r>
          <w:r w:rsidR="008277A9" w:rsidRPr="008277A9">
            <w:rPr>
              <w:lang w:val="en-US"/>
            </w:rPr>
            <w:t>(Paolone, 2020)</w:t>
          </w:r>
          <w:r w:rsidRPr="00976C43">
            <w:rPr>
              <w:lang w:val="en-US"/>
            </w:rPr>
            <w:t>.</w:t>
          </w:r>
        </w:p>
        <w:p w14:paraId="65C8D6B3" w14:textId="77777777" w:rsidR="00976C43" w:rsidRPr="00976C43" w:rsidRDefault="00976C43" w:rsidP="00976C43">
          <w:pPr>
            <w:rPr>
              <w:lang w:val="en-US"/>
            </w:rPr>
          </w:pPr>
          <w:r w:rsidRPr="00976C43">
            <w:rPr>
              <w:lang w:val="en-US"/>
            </w:rPr>
            <w:t>The cash budget outlines a very cloudy picture for Edwards, as it depicts different levels of cash surplus and deficit within the six months. That said, robust sales receipts or not, the company does face from time to time, cash shortfalls that are very significant in some months, namely September and November more specifically, due to substantial cash outflows related to stock purchases, loan repayments, and shop refurbishments.</w:t>
          </w:r>
        </w:p>
        <w:p w14:paraId="10BAA5DD" w14:textId="64E18889" w:rsidR="0025176E" w:rsidRPr="0025176E" w:rsidRDefault="00976C43" w:rsidP="00976C43">
          <w:pPr>
            <w:rPr>
              <w:lang w:val="en-US"/>
            </w:rPr>
          </w:pPr>
          <w:r w:rsidRPr="00976C43">
            <w:rPr>
              <w:lang w:val="en-US"/>
            </w:rPr>
            <w:t>The findings of the report are that efficient financial management in cash flow is very vital, and Edwards should be looking at ways of improving liquidity: reconciliation of inventory, renegotiation of loan terms, or sourcing financing from elsewhere.</w:t>
          </w:r>
        </w:p>
        <w:p w14:paraId="6379CE86" w14:textId="77777777" w:rsidR="0025176E" w:rsidRPr="0025176E" w:rsidRDefault="0025176E" w:rsidP="004D49B1">
          <w:pPr>
            <w:pStyle w:val="Heading2"/>
            <w:rPr>
              <w:lang w:val="en-US"/>
            </w:rPr>
          </w:pPr>
          <w:bookmarkStart w:id="8" w:name="_Toc163571967"/>
          <w:r w:rsidRPr="0025176E">
            <w:rPr>
              <w:lang w:val="en-US"/>
            </w:rPr>
            <w:t>Question (a): Budgeted Profit &amp; Loss Account</w:t>
          </w:r>
          <w:bookmarkEnd w:id="8"/>
        </w:p>
        <w:p w14:paraId="6ABBBC1F" w14:textId="77777777" w:rsidR="00194B60" w:rsidRPr="00194B60" w:rsidRDefault="00194B60" w:rsidP="00194B60">
          <w:pPr>
            <w:rPr>
              <w:lang w:val="en-US"/>
            </w:rPr>
          </w:pPr>
          <w:r w:rsidRPr="00194B60">
            <w:rPr>
              <w:lang w:val="en-US"/>
            </w:rPr>
            <w:t>Herein is the elaborative budgeted Profit &amp; Loss Account showing the revenues, expenses, and eventually, the net profit expected to be achieved by Edwards within the period of six months. The essay will analyze the position for profitability of some key determining factors of the financial performance position of the organization through support from relevant calculations.</w:t>
          </w:r>
        </w:p>
        <w:p w14:paraId="3F2CF0F1" w14:textId="77777777" w:rsidR="00194B60" w:rsidRPr="00194B60" w:rsidRDefault="00194B60" w:rsidP="00194B60">
          <w:pPr>
            <w:rPr>
              <w:lang w:val="en-US"/>
            </w:rPr>
          </w:pPr>
          <w:r w:rsidRPr="00194B60">
            <w:rPr>
              <w:lang w:val="en-US"/>
            </w:rPr>
            <w:lastRenderedPageBreak/>
            <w:t>This projects its sales projection of £1,420,000, signifying its total revenues but is contingent on effective execution of sales and market demand. The cost of goods sold amounting to £994,000, however, is a huge obstacle—the erosion of a huge part of gross profit through it further emphasizing the need for costs management.</w:t>
          </w:r>
        </w:p>
        <w:p w14:paraId="3A2414CF" w14:textId="77777777" w:rsidR="00194B60" w:rsidRPr="00194B60" w:rsidRDefault="00194B60" w:rsidP="00194B60">
          <w:pPr>
            <w:rPr>
              <w:lang w:val="en-US"/>
            </w:rPr>
          </w:pPr>
          <w:r w:rsidRPr="00194B60">
            <w:rPr>
              <w:lang w:val="en-US"/>
            </w:rPr>
            <w:t>The operating expenses, to include the selling and administrative costs, remain points of concern in relation to prudent control measures for expenses. However, despite the same, an operating profit of £215,440 projected by Edwards is indicative of the company's ability to make positive returns out of the core business activities.</w:t>
          </w:r>
        </w:p>
        <w:p w14:paraId="153F1913" w14:textId="3F840EA1" w:rsidR="00194B60" w:rsidRPr="00194B60" w:rsidRDefault="00194B60" w:rsidP="00194B60">
          <w:pPr>
            <w:rPr>
              <w:lang w:val="en-US"/>
            </w:rPr>
          </w:pPr>
          <w:r w:rsidRPr="00194B60">
            <w:rPr>
              <w:lang w:val="en-US"/>
            </w:rPr>
            <w:t>Nonetheless, the net profit of £207,040, following the taking into account of the interest expense, reveals that the company is at the risk of external forces and urgently requires the strategic control of costs, at the same time enhancing revenue, in order to realize desirable profitability</w:t>
          </w:r>
          <w:r w:rsidR="00EB57B7" w:rsidRPr="00EB57B7">
            <w:t xml:space="preserve"> </w:t>
          </w:r>
          <w:r w:rsidR="00EB57B7" w:rsidRPr="00EB57B7">
            <w:rPr>
              <w:lang w:val="en-US"/>
            </w:rPr>
            <w:t>(Wahjudi, 2019)</w:t>
          </w:r>
          <w:r w:rsidRPr="00194B60">
            <w:rPr>
              <w:lang w:val="en-US"/>
            </w:rPr>
            <w:t>.</w:t>
          </w:r>
        </w:p>
        <w:p w14:paraId="14E45FD1" w14:textId="4CE04207" w:rsidR="0025176E" w:rsidRPr="0025176E" w:rsidRDefault="0025176E" w:rsidP="00244840">
          <w:pPr>
            <w:rPr>
              <w:lang w:val="en-US"/>
            </w:rPr>
          </w:pPr>
        </w:p>
        <w:p w14:paraId="183C913F" w14:textId="77777777" w:rsidR="0025176E" w:rsidRPr="0025176E" w:rsidRDefault="0025176E" w:rsidP="004D49B1">
          <w:pPr>
            <w:pStyle w:val="Heading1"/>
            <w:rPr>
              <w:lang w:val="en-US"/>
            </w:rPr>
          </w:pPr>
          <w:bookmarkStart w:id="9" w:name="_Toc163571968"/>
          <w:r w:rsidRPr="0025176E">
            <w:rPr>
              <w:lang w:val="en-US"/>
            </w:rPr>
            <w:t>Discussion on Potential Problems and Management Actions</w:t>
          </w:r>
          <w:bookmarkEnd w:id="9"/>
        </w:p>
        <w:p w14:paraId="6B5544BF" w14:textId="77777777" w:rsidR="006551C8" w:rsidRPr="006551C8" w:rsidRDefault="006551C8" w:rsidP="005D69CB">
          <w:pPr>
            <w:pStyle w:val="Heading2"/>
            <w:rPr>
              <w:lang w:val="en-US"/>
            </w:rPr>
          </w:pPr>
          <w:bookmarkStart w:id="10" w:name="_Toc163571969"/>
          <w:r w:rsidRPr="006551C8">
            <w:rPr>
              <w:lang w:val="en-US"/>
            </w:rPr>
            <w:t>Identification of Potential Problems:</w:t>
          </w:r>
          <w:bookmarkEnd w:id="10"/>
        </w:p>
        <w:p w14:paraId="4B2E04BF" w14:textId="6AAEA085" w:rsidR="00496D45" w:rsidRPr="00496D45" w:rsidRDefault="00496D45" w:rsidP="00EB57B7">
          <w:pPr>
            <w:pStyle w:val="ListParagraph"/>
            <w:numPr>
              <w:ilvl w:val="0"/>
              <w:numId w:val="15"/>
            </w:numPr>
            <w:rPr>
              <w:lang w:val="en-US"/>
            </w:rPr>
          </w:pPr>
          <w:r w:rsidRPr="00496D45">
            <w:rPr>
              <w:b/>
              <w:bCs/>
              <w:i/>
              <w:iCs/>
              <w:lang w:val="en-US"/>
            </w:rPr>
            <w:t>Cash Flow Deficits:</w:t>
          </w:r>
          <w:r w:rsidRPr="00496D45">
            <w:rPr>
              <w:lang w:val="en-US"/>
            </w:rPr>
            <w:t xml:space="preserve"> As demonstrated by the cash budget forecast, cash deficits are expected in both September and November. This would present Edwards with a huge dilemma. In this sense, the forecasted deficit of £36.4 thousand for September and £41.4 thousand for November may then prove threatening to the entity's ability to pay financial obligations on time, such as loan repayment and operating expenses. These can all be working capital shortfalls caused by high seasonality of sales, or delay in customer payments, or even sudden unforeseen expenses cropping up</w:t>
          </w:r>
          <w:r w:rsidR="00364AB3">
            <w:rPr>
              <w:lang w:val="en-US"/>
            </w:rPr>
            <w:t xml:space="preserve"> </w:t>
          </w:r>
          <w:r w:rsidR="00EB57B7" w:rsidRPr="00EB57B7">
            <w:rPr>
              <w:lang w:val="en-US"/>
            </w:rPr>
            <w:t>(Gupta, 2020)</w:t>
          </w:r>
          <w:r w:rsidRPr="00496D45">
            <w:rPr>
              <w:lang w:val="en-US"/>
            </w:rPr>
            <w:t>.</w:t>
          </w:r>
        </w:p>
        <w:p w14:paraId="3F78E835" w14:textId="4B4A79E6" w:rsidR="00496D45" w:rsidRPr="00496D45" w:rsidRDefault="00496D45" w:rsidP="008F2CA3">
          <w:pPr>
            <w:pStyle w:val="ListParagraph"/>
            <w:numPr>
              <w:ilvl w:val="0"/>
              <w:numId w:val="15"/>
            </w:numPr>
            <w:rPr>
              <w:lang w:val="en-US"/>
            </w:rPr>
          </w:pPr>
          <w:r w:rsidRPr="00496D45">
            <w:rPr>
              <w:b/>
              <w:bCs/>
              <w:i/>
              <w:iCs/>
              <w:lang w:val="en-US"/>
            </w:rPr>
            <w:t>Excessive Stock Levels.</w:t>
          </w:r>
          <w:r w:rsidRPr="00496D45">
            <w:rPr>
              <w:lang w:val="en-US"/>
            </w:rPr>
            <w:t xml:space="preserve"> It can be noted that all the efforts being put into holding stocks at a minimum level of £70,000, there is an element of excess stock likely in the stock budget, particularly in October and November. For example, the forecast closing stock in the month of October and November, amounting to £197 thousand and £259 thousand, is relatively high and in excess of what would be desired, thus tying up valuable capital, increasing storage costs. It is, however, high inventory levels that could mean a illiquidity loss, increase the risk of inventory obsolescence, therefore, increasing the risk for write-offs; hence, these pose a serious threat to Edwards' financial health</w:t>
          </w:r>
          <w:r w:rsidR="008F2CA3" w:rsidRPr="008F2CA3">
            <w:t xml:space="preserve"> </w:t>
          </w:r>
          <w:r w:rsidR="008F2CA3" w:rsidRPr="008F2CA3">
            <w:rPr>
              <w:lang w:val="en-US"/>
            </w:rPr>
            <w:t>(Wynn, 2021)</w:t>
          </w:r>
          <w:r w:rsidRPr="00496D45">
            <w:rPr>
              <w:lang w:val="en-US"/>
            </w:rPr>
            <w:t>.</w:t>
          </w:r>
        </w:p>
        <w:p w14:paraId="4686E808" w14:textId="3545822D" w:rsidR="006551C8" w:rsidRPr="00496D45" w:rsidRDefault="00496D45" w:rsidP="007847AD">
          <w:pPr>
            <w:pStyle w:val="ListParagraph"/>
            <w:numPr>
              <w:ilvl w:val="0"/>
              <w:numId w:val="15"/>
            </w:numPr>
            <w:rPr>
              <w:lang w:val="en-US"/>
            </w:rPr>
          </w:pPr>
          <w:r w:rsidRPr="00496D45">
            <w:rPr>
              <w:b/>
              <w:bCs/>
              <w:i/>
              <w:iCs/>
              <w:lang w:val="en-US"/>
            </w:rPr>
            <w:t>Inadequate Profit Margins:</w:t>
          </w:r>
          <w:r w:rsidRPr="00496D45">
            <w:rPr>
              <w:lang w:val="en-US"/>
            </w:rPr>
            <w:t xml:space="preserve"> A probable analysis of its budgeted Profit &amp; Loss Account points out to the fact that its gross profit margin of 30% may be found inadequate towards the effective meeting of all related operating expenses. This situation might prevent Edwards from reinvesting the growth initiatives of the company and living for economic downturns. Factors that have led to these weak margins may comprise high competition levels, the rising nature of cost of goods sold, and pricing pressures in the market</w:t>
          </w:r>
          <w:r w:rsidR="007847AD" w:rsidRPr="007847AD">
            <w:t xml:space="preserve"> </w:t>
          </w:r>
          <w:r w:rsidR="007847AD" w:rsidRPr="007847AD">
            <w:rPr>
              <w:lang w:val="en-US"/>
            </w:rPr>
            <w:t>(Weber and Wasner, 2023)</w:t>
          </w:r>
          <w:r w:rsidRPr="00496D45">
            <w:rPr>
              <w:lang w:val="en-US"/>
            </w:rPr>
            <w:t>.</w:t>
          </w:r>
        </w:p>
        <w:p w14:paraId="408048E8" w14:textId="77777777" w:rsidR="006551C8" w:rsidRPr="006551C8" w:rsidRDefault="006551C8" w:rsidP="005D69CB">
          <w:pPr>
            <w:pStyle w:val="Heading2"/>
            <w:rPr>
              <w:lang w:val="en-US"/>
            </w:rPr>
          </w:pPr>
          <w:bookmarkStart w:id="11" w:name="_Toc163571970"/>
          <w:r w:rsidRPr="006551C8">
            <w:rPr>
              <w:lang w:val="en-US"/>
            </w:rPr>
            <w:t>Proactive Management Actions:</w:t>
          </w:r>
          <w:bookmarkEnd w:id="11"/>
        </w:p>
        <w:p w14:paraId="4BC2FCF3" w14:textId="4B43AB9F" w:rsidR="007A6DEE" w:rsidRPr="007A6DEE" w:rsidRDefault="007A6DEE" w:rsidP="007847AD">
          <w:pPr>
            <w:pStyle w:val="ListParagraph"/>
            <w:numPr>
              <w:ilvl w:val="0"/>
              <w:numId w:val="16"/>
            </w:numPr>
            <w:rPr>
              <w:lang w:val="en-US"/>
            </w:rPr>
          </w:pPr>
          <w:r w:rsidRPr="007A6DEE">
            <w:rPr>
              <w:b/>
              <w:bCs/>
              <w:i/>
              <w:iCs/>
              <w:lang w:val="en-US"/>
            </w:rPr>
            <w:t>Management of Cash Flow:</w:t>
          </w:r>
          <w:r w:rsidRPr="007A6DEE">
            <w:rPr>
              <w:lang w:val="en-US"/>
            </w:rPr>
            <w:t xml:space="preserve"> This is one of the aspects whereby Edwards would be required to take an active role in the management of cash flows that can aid in solving likely cash flow shortages. For instance, among them, include negotiations for extended payment terms from suppliers and incentives for early payments from customers to hasten up cash inflows. </w:t>
          </w:r>
          <w:r w:rsidRPr="007A6DEE">
            <w:rPr>
              <w:lang w:val="en-US"/>
            </w:rPr>
            <w:lastRenderedPageBreak/>
            <w:t>This, therefore, would mean that close monitoring of cash flow forecasts, laying contingency plans such as enhancing access to other sources of finance, among others, would be very effective in reducing the liquidity risks</w:t>
          </w:r>
          <w:r w:rsidR="007847AD" w:rsidRPr="007847AD">
            <w:t xml:space="preserve"> </w:t>
          </w:r>
          <w:r w:rsidR="007847AD" w:rsidRPr="007847AD">
            <w:rPr>
              <w:lang w:val="en-US"/>
            </w:rPr>
            <w:t>(Ebeke et al., 2021)</w:t>
          </w:r>
          <w:r w:rsidRPr="007A6DEE">
            <w:rPr>
              <w:lang w:val="en-US"/>
            </w:rPr>
            <w:t>.</w:t>
          </w:r>
        </w:p>
        <w:p w14:paraId="126EE446" w14:textId="02F6F03F" w:rsidR="007A6DEE" w:rsidRPr="007A6DEE" w:rsidRDefault="007A6DEE" w:rsidP="008A24EF">
          <w:pPr>
            <w:pStyle w:val="ListParagraph"/>
            <w:numPr>
              <w:ilvl w:val="0"/>
              <w:numId w:val="16"/>
            </w:numPr>
            <w:rPr>
              <w:lang w:val="en-US"/>
            </w:rPr>
          </w:pPr>
          <w:r w:rsidRPr="007A6DEE">
            <w:rPr>
              <w:b/>
              <w:bCs/>
              <w:i/>
              <w:iCs/>
              <w:lang w:val="en-US"/>
            </w:rPr>
            <w:t>Inventory optimization:</w:t>
          </w:r>
          <w:r w:rsidRPr="007A6DEE">
            <w:rPr>
              <w:lang w:val="en-US"/>
            </w:rPr>
            <w:t xml:space="preserve"> Edwards has to focus on inventory optimization to avert the possibility of higher-level excess stock at ajson.com. The application of demand forecasting techniques, coupled with adapting just-in-time inventory management practices to manage carrying costs, will support the alignment of stock purchasing to the projected sales and reduce the incidence of obsolescence</w:t>
          </w:r>
          <w:r w:rsidR="002006B0" w:rsidRPr="002006B0">
            <w:t xml:space="preserve"> </w:t>
          </w:r>
          <w:r w:rsidR="002006B0" w:rsidRPr="002006B0">
            <w:rPr>
              <w:lang w:val="en-US"/>
            </w:rPr>
            <w:t>(Seyedan and Mafakheri, 2020)</w:t>
          </w:r>
          <w:r w:rsidRPr="007A6DEE">
            <w:rPr>
              <w:lang w:val="en-US"/>
            </w:rPr>
            <w:t>. Regular review of the stock level is assured by adjusting purchase decisions to ensure optimal management of the inventory and strengthening liquidity</w:t>
          </w:r>
          <w:r w:rsidR="008A24EF" w:rsidRPr="008A24EF">
            <w:t xml:space="preserve"> </w:t>
          </w:r>
          <w:r w:rsidR="008A24EF" w:rsidRPr="008A24EF">
            <w:rPr>
              <w:lang w:val="en-US"/>
            </w:rPr>
            <w:t>(DeYong, 2020)</w:t>
          </w:r>
          <w:r w:rsidRPr="007A6DEE">
            <w:rPr>
              <w:lang w:val="en-US"/>
            </w:rPr>
            <w:t>.</w:t>
          </w:r>
        </w:p>
        <w:p w14:paraId="43381DC8" w14:textId="7E14D564" w:rsidR="007A6DEE" w:rsidRPr="007A6DEE" w:rsidRDefault="007A6DEE" w:rsidP="00B0557A">
          <w:pPr>
            <w:pStyle w:val="ListParagraph"/>
            <w:numPr>
              <w:ilvl w:val="0"/>
              <w:numId w:val="16"/>
            </w:numPr>
            <w:rPr>
              <w:lang w:val="en-US"/>
            </w:rPr>
          </w:pPr>
          <w:r w:rsidRPr="007A6DEE">
            <w:rPr>
              <w:b/>
              <w:bCs/>
              <w:i/>
              <w:iCs/>
              <w:lang w:val="en-US"/>
            </w:rPr>
            <w:t>Cost control measures:</w:t>
          </w:r>
          <w:r w:rsidRPr="007A6DEE">
            <w:rPr>
              <w:lang w:val="en-US"/>
            </w:rPr>
            <w:t xml:space="preserve"> In order to improve the margin of profit and financial performance, proactive cost control measures shall be amongst the most requisite</w:t>
          </w:r>
          <w:r w:rsidR="0014639D" w:rsidRPr="0014639D">
            <w:t xml:space="preserve"> </w:t>
          </w:r>
          <w:r w:rsidR="0014639D" w:rsidRPr="0014639D">
            <w:rPr>
              <w:lang w:val="en-US"/>
            </w:rPr>
            <w:t>(Qing et al., 2022)</w:t>
          </w:r>
          <w:r w:rsidRPr="007A6DEE">
            <w:rPr>
              <w:lang w:val="en-US"/>
            </w:rPr>
            <w:t>. Edwards may need to explore where it has to go back for renegotiating supplier contracts, rationalizing operations, and implementing lean manufacturing principles to cut down inefficiencies and wastes. Centralized procurement, with strict monitoring mechanisms put in place, to be able to leverage economies of scale and therefore check rising expenses and its impact on profitability</w:t>
          </w:r>
          <w:r w:rsidR="00B0557A" w:rsidRPr="00B0557A">
            <w:t xml:space="preserve"> </w:t>
          </w:r>
          <w:r w:rsidR="00B0557A" w:rsidRPr="00B0557A">
            <w:rPr>
              <w:lang w:val="en-US"/>
            </w:rPr>
            <w:t>(Probst et al., 2021)</w:t>
          </w:r>
          <w:r w:rsidRPr="007A6DEE">
            <w:rPr>
              <w:lang w:val="en-US"/>
            </w:rPr>
            <w:t>.</w:t>
          </w:r>
        </w:p>
        <w:p w14:paraId="5ADB5F04" w14:textId="5D189650" w:rsidR="007A6DEE" w:rsidRPr="007A6DEE" w:rsidRDefault="007A6DEE" w:rsidP="00011164">
          <w:pPr>
            <w:pStyle w:val="ListParagraph"/>
            <w:numPr>
              <w:ilvl w:val="0"/>
              <w:numId w:val="16"/>
            </w:numPr>
            <w:rPr>
              <w:lang w:val="en-US"/>
            </w:rPr>
          </w:pPr>
          <w:r w:rsidRPr="007A6DEE">
            <w:rPr>
              <w:b/>
              <w:bCs/>
              <w:i/>
              <w:iCs/>
              <w:lang w:val="en-US"/>
            </w:rPr>
            <w:t>Diversification of Revenue Streams:</w:t>
          </w:r>
          <w:r w:rsidRPr="007A6DEE">
            <w:rPr>
              <w:lang w:val="en-US"/>
            </w:rPr>
            <w:t xml:space="preserve"> Edwards should launch some new products or enter new markets in order to reduce the dependency on a single revenue source. In that way, the company would be spreading risks and at the same time unlocking growth opportunities so as to explore diversification possibilities</w:t>
          </w:r>
          <w:r w:rsidR="00011164" w:rsidRPr="00011164">
            <w:t xml:space="preserve"> </w:t>
          </w:r>
          <w:r w:rsidR="00011164" w:rsidRPr="00011164">
            <w:rPr>
              <w:lang w:val="en-US"/>
            </w:rPr>
            <w:t>(Pedersen and Tallman, 2023)</w:t>
          </w:r>
          <w:r w:rsidRPr="007A6DEE">
            <w:rPr>
              <w:lang w:val="en-US"/>
            </w:rPr>
            <w:t>. These could relate to entering related industries or entering niche markets. Diversification will make Edwards more resilient to market fluctuations while enhancing its competitive position over the long run</w:t>
          </w:r>
          <w:r w:rsidR="00011164" w:rsidRPr="00011164">
            <w:t xml:space="preserve"> </w:t>
          </w:r>
          <w:r w:rsidR="00011164" w:rsidRPr="00011164">
            <w:rPr>
              <w:lang w:val="en-US"/>
            </w:rPr>
            <w:t>(Martin and Sunley, 2020)</w:t>
          </w:r>
          <w:r w:rsidRPr="007A6DEE">
            <w:rPr>
              <w:lang w:val="en-US"/>
            </w:rPr>
            <w:t>.</w:t>
          </w:r>
        </w:p>
        <w:p w14:paraId="2CD902BB" w14:textId="2B4CFA4A" w:rsidR="007A6DEE" w:rsidRPr="007A6DEE" w:rsidRDefault="007A6DEE" w:rsidP="00011164">
          <w:pPr>
            <w:pStyle w:val="ListParagraph"/>
            <w:numPr>
              <w:ilvl w:val="0"/>
              <w:numId w:val="16"/>
            </w:numPr>
            <w:rPr>
              <w:lang w:val="en-US"/>
            </w:rPr>
          </w:pPr>
          <w:r w:rsidRPr="007A6DEE">
            <w:rPr>
              <w:b/>
              <w:bCs/>
              <w:i/>
              <w:iCs/>
              <w:lang w:val="en-US"/>
            </w:rPr>
            <w:t>Continual Monitoring and Evaluation:</w:t>
          </w:r>
          <w:r w:rsidRPr="007A6DEE">
            <w:rPr>
              <w:lang w:val="en-US"/>
            </w:rPr>
            <w:t xml:space="preserve"> Edwards should establish a strong system for continual monitoring and evaluation of the financial performance metrics. This includes, specifically, regular review of cash flow statements, profit, and loss accounts and balance sheets in order to look for trends, opportunities, and potential risks. Inculcating an environment of accountability and transparency through all the employees will help make every work and encourage cross-functional collaboration between departments, which will enhance data-based decision-making and agility at the organization level</w:t>
          </w:r>
          <w:r w:rsidR="00011164">
            <w:rPr>
              <w:lang w:val="en-US"/>
            </w:rPr>
            <w:t xml:space="preserve"> </w:t>
          </w:r>
          <w:r w:rsidR="00011164" w:rsidRPr="00011164">
            <w:rPr>
              <w:lang w:val="en-US"/>
            </w:rPr>
            <w:t>(Fridson and Alvarez, 2022)</w:t>
          </w:r>
          <w:r w:rsidRPr="007A6DEE">
            <w:rPr>
              <w:lang w:val="en-US"/>
            </w:rPr>
            <w:t>.</w:t>
          </w:r>
        </w:p>
        <w:p w14:paraId="2A5D7FD8" w14:textId="1C4A9774" w:rsidR="0025176E" w:rsidRPr="0025176E" w:rsidRDefault="007A6DEE" w:rsidP="007A6DEE">
          <w:pPr>
            <w:rPr>
              <w:lang w:val="en-US"/>
            </w:rPr>
          </w:pPr>
          <w:r w:rsidRPr="007A6DEE">
            <w:rPr>
              <w:lang w:val="en-US"/>
            </w:rPr>
            <w:t>These proactive management actions and the data-driven approach in managing finances should help bring to the forefront potential challenges in Edwards Ltd. and address them well in time so that sustainable growth and success amidst the competitive marketplace is at least possible.</w:t>
          </w:r>
        </w:p>
        <w:p w14:paraId="5FFE5589" w14:textId="77777777" w:rsidR="0025176E" w:rsidRPr="0025176E" w:rsidRDefault="0025176E" w:rsidP="004D49B1">
          <w:pPr>
            <w:pStyle w:val="Heading1"/>
            <w:rPr>
              <w:lang w:val="en-US"/>
            </w:rPr>
          </w:pPr>
          <w:bookmarkStart w:id="12" w:name="_Toc163571971"/>
          <w:r w:rsidRPr="0025176E">
            <w:rPr>
              <w:lang w:val="en-US"/>
            </w:rPr>
            <w:t>Critical Discussion on Budgeting Conditions and Human Behavior</w:t>
          </w:r>
          <w:bookmarkEnd w:id="12"/>
        </w:p>
        <w:p w14:paraId="56B2584D" w14:textId="77777777" w:rsidR="005D69CB" w:rsidRPr="005D69CB" w:rsidRDefault="005D69CB" w:rsidP="00743966">
          <w:pPr>
            <w:pStyle w:val="Heading2"/>
            <w:rPr>
              <w:lang w:val="en-US"/>
            </w:rPr>
          </w:pPr>
          <w:bookmarkStart w:id="13" w:name="_Toc163571972"/>
          <w:r w:rsidRPr="005D69CB">
            <w:rPr>
              <w:lang w:val="en-US"/>
            </w:rPr>
            <w:t>Conditions for Successful Budgeting and Budgetary Control:</w:t>
          </w:r>
          <w:bookmarkEnd w:id="13"/>
        </w:p>
        <w:p w14:paraId="25326AA7" w14:textId="2028C73E" w:rsidR="00743966" w:rsidRPr="00AE75A6" w:rsidRDefault="00743966" w:rsidP="00A770FC">
          <w:pPr>
            <w:pStyle w:val="ListParagraph"/>
            <w:numPr>
              <w:ilvl w:val="0"/>
              <w:numId w:val="17"/>
            </w:numPr>
            <w:rPr>
              <w:lang w:val="en-US"/>
            </w:rPr>
          </w:pPr>
          <w:r w:rsidRPr="00AE75A6">
            <w:rPr>
              <w:b/>
              <w:bCs/>
              <w:i/>
              <w:iCs/>
              <w:lang w:val="en-US"/>
            </w:rPr>
            <w:t>Effective budgeting</w:t>
          </w:r>
          <w:r w:rsidR="00AE75A6" w:rsidRPr="00AE75A6">
            <w:rPr>
              <w:b/>
              <w:bCs/>
              <w:i/>
              <w:iCs/>
              <w:lang w:val="en-US"/>
            </w:rPr>
            <w:t>:</w:t>
          </w:r>
          <w:r w:rsidR="00AE75A6" w:rsidRPr="00AE75A6">
            <w:rPr>
              <w:lang w:val="en-US"/>
            </w:rPr>
            <w:t xml:space="preserve"> It</w:t>
          </w:r>
          <w:r w:rsidRPr="00AE75A6">
            <w:rPr>
              <w:lang w:val="en-US"/>
            </w:rPr>
            <w:t xml:space="preserve"> means that there should be clear alignment of goals and objectives of the organizational missions</w:t>
          </w:r>
          <w:r w:rsidR="00770F4C" w:rsidRPr="00770F4C">
            <w:t xml:space="preserve"> </w:t>
          </w:r>
          <w:r w:rsidR="00770F4C" w:rsidRPr="00770F4C">
            <w:rPr>
              <w:lang w:val="en-US"/>
            </w:rPr>
            <w:t>(Matshidza, no date)</w:t>
          </w:r>
          <w:r w:rsidRPr="00AE75A6">
            <w:rPr>
              <w:lang w:val="en-US"/>
            </w:rPr>
            <w:t>. This aligned ensures the disbursement of finances is done in a manner that either supports or congruently is aligned with the strategic direction of the organization. For instance, in a scenario where the gain of market share is the increase goal, then it becomes a priority of budget allocation towards marketing and sales initiatives</w:t>
          </w:r>
          <w:r w:rsidR="00770F4C" w:rsidRPr="00770F4C">
            <w:t xml:space="preserve"> </w:t>
          </w:r>
          <w:r w:rsidR="00770F4C" w:rsidRPr="00770F4C">
            <w:rPr>
              <w:lang w:val="en-US"/>
            </w:rPr>
            <w:t>(Grant, 2021)</w:t>
          </w:r>
          <w:r w:rsidRPr="00AE75A6">
            <w:rPr>
              <w:lang w:val="en-US"/>
            </w:rPr>
            <w:t xml:space="preserve">. The use of the budget intended for the same and, generally, </w:t>
          </w:r>
          <w:r w:rsidRPr="00AE75A6">
            <w:rPr>
              <w:lang w:val="en-US"/>
            </w:rPr>
            <w:lastRenderedPageBreak/>
            <w:t>as quantifiable metrics, revenue targets and percentages of growth in market share should be informed with clarity and used as a benchmark for measurement</w:t>
          </w:r>
          <w:r w:rsidR="00A770FC" w:rsidRPr="00A770FC">
            <w:t xml:space="preserve"> </w:t>
          </w:r>
          <w:r w:rsidR="00A770FC" w:rsidRPr="00A770FC">
            <w:rPr>
              <w:lang w:val="en-US"/>
            </w:rPr>
            <w:t>(Bendle et al., 2020)</w:t>
          </w:r>
          <w:r w:rsidRPr="00AE75A6">
            <w:rPr>
              <w:lang w:val="en-US"/>
            </w:rPr>
            <w:t>.</w:t>
          </w:r>
        </w:p>
        <w:p w14:paraId="1A325B2B" w14:textId="262C244F" w:rsidR="00743966" w:rsidRPr="00AE75A6" w:rsidRDefault="00743966" w:rsidP="00A770FC">
          <w:pPr>
            <w:pStyle w:val="ListParagraph"/>
            <w:numPr>
              <w:ilvl w:val="0"/>
              <w:numId w:val="17"/>
            </w:numPr>
            <w:rPr>
              <w:lang w:val="en-US"/>
            </w:rPr>
          </w:pPr>
          <w:r w:rsidRPr="00AE75A6">
            <w:rPr>
              <w:b/>
              <w:bCs/>
              <w:i/>
              <w:iCs/>
              <w:lang w:val="en-US"/>
            </w:rPr>
            <w:t xml:space="preserve">Accurate and Reliable Data: </w:t>
          </w:r>
          <w:r w:rsidRPr="00AE75A6">
            <w:rPr>
              <w:lang w:val="en-US"/>
            </w:rPr>
            <w:t>Decisions informed need the reliability of financial and operational data</w:t>
          </w:r>
          <w:r w:rsidR="00A770FC" w:rsidRPr="00A770FC">
            <w:t xml:space="preserve"> </w:t>
          </w:r>
          <w:r w:rsidR="00A770FC" w:rsidRPr="00A770FC">
            <w:rPr>
              <w:lang w:val="en-US"/>
            </w:rPr>
            <w:t>(Ionescu and Diaconita, 2023)</w:t>
          </w:r>
          <w:r w:rsidRPr="00AE75A6">
            <w:rPr>
              <w:lang w:val="en-US"/>
            </w:rPr>
            <w:t>. Organizations must invest in strong systems in data collection, analysis, and reporting to ensure integrity in data</w:t>
          </w:r>
          <w:r w:rsidR="00A770FC" w:rsidRPr="00A770FC">
            <w:t xml:space="preserve"> </w:t>
          </w:r>
          <w:r w:rsidR="00A770FC" w:rsidRPr="00A770FC">
            <w:rPr>
              <w:lang w:val="en-US"/>
            </w:rPr>
            <w:t>(Combita Niño, Cómbita Niño and Morales Ortega, 2020)</w:t>
          </w:r>
          <w:r w:rsidRPr="00AE75A6">
            <w:rPr>
              <w:lang w:val="en-US"/>
            </w:rPr>
            <w:t>. For example, in the preparation of budgets, historical financial data, findings of market research, and industry benchmarks are some of the inputs that could aid in budget preparation. Further, numerical accuracy to the effect that revenue projections, sales forecasts, and cost estimates, among other things, must be in agreement, is paramount to realizing credibility and effectiveness of the budget</w:t>
          </w:r>
          <w:r w:rsidR="00AB543E">
            <w:rPr>
              <w:lang w:val="en-US"/>
            </w:rPr>
            <w:t xml:space="preserve"> </w:t>
          </w:r>
          <w:r w:rsidR="00A770FC" w:rsidRPr="00A770FC">
            <w:rPr>
              <w:lang w:val="en-US"/>
            </w:rPr>
            <w:t>(Mancini and Tommasino, 2023)</w:t>
          </w:r>
          <w:r w:rsidRPr="00AE75A6">
            <w:rPr>
              <w:lang w:val="en-US"/>
            </w:rPr>
            <w:t>.</w:t>
          </w:r>
        </w:p>
        <w:p w14:paraId="18E03393" w14:textId="5755745E" w:rsidR="00743966" w:rsidRPr="00AE75A6" w:rsidRDefault="00743966" w:rsidP="0063114D">
          <w:pPr>
            <w:pStyle w:val="ListParagraph"/>
            <w:numPr>
              <w:ilvl w:val="0"/>
              <w:numId w:val="17"/>
            </w:numPr>
            <w:rPr>
              <w:lang w:val="en-US"/>
            </w:rPr>
          </w:pPr>
          <w:r w:rsidRPr="00AE75A6">
            <w:rPr>
              <w:b/>
              <w:bCs/>
              <w:i/>
              <w:iCs/>
              <w:lang w:val="en-US"/>
            </w:rPr>
            <w:t>Participative Approach:</w:t>
          </w:r>
          <w:r w:rsidRPr="00AE75A6">
            <w:rPr>
              <w:lang w:val="en-US"/>
            </w:rPr>
            <w:t xml:space="preserve"> Involving the relevant stakeholders in the budgeting process fosters ownership and commitment toward the set down budgetary targets, hence encouraging a sense of accountability among managers and departments of meeting the budget goals</w:t>
          </w:r>
          <w:r w:rsidR="00594DBE" w:rsidRPr="00594DBE">
            <w:t xml:space="preserve"> </w:t>
          </w:r>
          <w:r w:rsidR="00594DBE" w:rsidRPr="00594DBE">
            <w:rPr>
              <w:lang w:val="en-US"/>
            </w:rPr>
            <w:t>(Panday and Chowdhury, 2020)</w:t>
          </w:r>
          <w:r w:rsidRPr="00AE75A6">
            <w:rPr>
              <w:lang w:val="en-US"/>
            </w:rPr>
            <w:t>. To quantify, one can look at the level of participation in meetings for budget planning and the number of suggestions on the budget that employees may have and suggestions of revisions</w:t>
          </w:r>
          <w:r w:rsidR="0063114D">
            <w:rPr>
              <w:lang w:val="en-US"/>
            </w:rPr>
            <w:t xml:space="preserve"> </w:t>
          </w:r>
          <w:r w:rsidR="0063114D" w:rsidRPr="0063114D">
            <w:rPr>
              <w:lang w:val="en-US"/>
            </w:rPr>
            <w:t>(Fox and Bartholomae, 2020)</w:t>
          </w:r>
          <w:r w:rsidRPr="00AE75A6">
            <w:rPr>
              <w:lang w:val="en-US"/>
            </w:rPr>
            <w:t>.</w:t>
          </w:r>
        </w:p>
        <w:p w14:paraId="724FADAA" w14:textId="496637F2" w:rsidR="005D69CB" w:rsidRPr="00AE75A6" w:rsidRDefault="00743966" w:rsidP="00406896">
          <w:pPr>
            <w:pStyle w:val="ListParagraph"/>
            <w:numPr>
              <w:ilvl w:val="0"/>
              <w:numId w:val="17"/>
            </w:numPr>
            <w:rPr>
              <w:lang w:val="en-US"/>
            </w:rPr>
          </w:pPr>
          <w:r w:rsidRPr="00AE75A6">
            <w:rPr>
              <w:b/>
              <w:bCs/>
              <w:i/>
              <w:iCs/>
              <w:lang w:val="en-US"/>
            </w:rPr>
            <w:t>Flexible Budgeting Framework</w:t>
          </w:r>
          <w:r w:rsidRPr="00AE75A6">
            <w:rPr>
              <w:lang w:val="en-US"/>
            </w:rPr>
            <w:t>: The budget should be based on a flexible framework capable of accommodating changes taking place in the business environment</w:t>
          </w:r>
          <w:r w:rsidR="00820EEB" w:rsidRPr="00820EEB">
            <w:t xml:space="preserve"> </w:t>
          </w:r>
          <w:r w:rsidR="00820EEB" w:rsidRPr="00820EEB">
            <w:rPr>
              <w:lang w:val="en-US"/>
            </w:rPr>
            <w:t>(Deldjoo et al., 2021)</w:t>
          </w:r>
          <w:r w:rsidRPr="00AE75A6">
            <w:rPr>
              <w:lang w:val="en-US"/>
            </w:rPr>
            <w:t>. Organizational structures should change with the organization or institution either anticipating changes in market conditions, customer preferences, and internal dynamics, or reacting to these changes. Flexibility is a quantitative measure that considers the variances of the budgeted figures against actual figures and how well the adjustments in the budget respond to the changes in the external factor</w:t>
          </w:r>
          <w:r w:rsidR="00820EEB" w:rsidRPr="00820EEB">
            <w:t xml:space="preserve"> </w:t>
          </w:r>
          <w:r w:rsidR="00820EEB" w:rsidRPr="00820EEB">
            <w:rPr>
              <w:lang w:val="en-US"/>
            </w:rPr>
            <w:t>(Meyer, Gracht and Hartmann, 2022)</w:t>
          </w:r>
          <w:r w:rsidRPr="00AE75A6">
            <w:rPr>
              <w:lang w:val="en-US"/>
            </w:rPr>
            <w:t>. For instance, if there is a sudden cost jump in raw materials, revised cost projection and resource allocation should be done in acceptable time within a flexible budgeting framework</w:t>
          </w:r>
          <w:r w:rsidR="00406896" w:rsidRPr="00406896">
            <w:t xml:space="preserve"> </w:t>
          </w:r>
          <w:r w:rsidR="00406896" w:rsidRPr="00406896">
            <w:rPr>
              <w:lang w:val="en-US"/>
            </w:rPr>
            <w:t>(Uvarova et al., 2023)</w:t>
          </w:r>
          <w:r w:rsidRPr="00AE75A6">
            <w:rPr>
              <w:lang w:val="en-US"/>
            </w:rPr>
            <w:t>.</w:t>
          </w:r>
        </w:p>
        <w:p w14:paraId="75C65A3A" w14:textId="77777777" w:rsidR="005D69CB" w:rsidRPr="005D69CB" w:rsidRDefault="005D69CB" w:rsidP="00790726">
          <w:pPr>
            <w:pStyle w:val="Heading2"/>
            <w:rPr>
              <w:lang w:val="en-US"/>
            </w:rPr>
          </w:pPr>
          <w:bookmarkStart w:id="14" w:name="_Toc163571973"/>
          <w:r w:rsidRPr="005D69CB">
            <w:rPr>
              <w:lang w:val="en-US"/>
            </w:rPr>
            <w:t>Key Points Related to Human Behavior in Budgeting Systems:</w:t>
          </w:r>
          <w:bookmarkEnd w:id="14"/>
        </w:p>
        <w:p w14:paraId="0E8CC570" w14:textId="09D885CB" w:rsidR="00790726" w:rsidRPr="00790726" w:rsidRDefault="00790726" w:rsidP="00FE3878">
          <w:pPr>
            <w:pStyle w:val="ListParagraph"/>
            <w:numPr>
              <w:ilvl w:val="0"/>
              <w:numId w:val="18"/>
            </w:numPr>
            <w:rPr>
              <w:lang w:val="en-US"/>
            </w:rPr>
          </w:pPr>
          <w:r w:rsidRPr="00790726">
            <w:rPr>
              <w:b/>
              <w:bCs/>
              <w:i/>
              <w:iCs/>
              <w:lang w:val="en-US"/>
            </w:rPr>
            <w:t>Behavioral Biases:</w:t>
          </w:r>
          <w:r w:rsidRPr="00790726">
            <w:rPr>
              <w:lang w:val="en-US"/>
            </w:rPr>
            <w:t xml:space="preserve"> Human behavior is susceptible to cognitive biases, which may affect decisions on budgeting</w:t>
          </w:r>
          <w:r w:rsidR="00FE3878" w:rsidRPr="00FE3878">
            <w:t xml:space="preserve"> </w:t>
          </w:r>
          <w:r w:rsidR="00FE3878" w:rsidRPr="00FE3878">
            <w:rPr>
              <w:lang w:val="en-US"/>
            </w:rPr>
            <w:t>(Flyvbjerg, 2021)</w:t>
          </w:r>
          <w:r w:rsidRPr="00790726">
            <w:rPr>
              <w:lang w:val="en-US"/>
            </w:rPr>
            <w:t>. For example, managers are likely to exhibit a form of confirmation bias by selectively looking for information that supports their pre-set budget estimates, but they will tend to overlook the other side</w:t>
          </w:r>
          <w:r w:rsidR="00FE3878" w:rsidRPr="00FE3878">
            <w:t xml:space="preserve"> </w:t>
          </w:r>
          <w:r w:rsidR="00FE3878" w:rsidRPr="00FE3878">
            <w:rPr>
              <w:lang w:val="en-US"/>
            </w:rPr>
            <w:t>(Lee, no date)</w:t>
          </w:r>
          <w:r w:rsidRPr="00790726">
            <w:rPr>
              <w:lang w:val="en-US"/>
            </w:rPr>
            <w:t>. The influence that biases bring to the achievement of accurate budgets can be quantitatively appraised through comparing the real result with the budgeted one, detecting the situations in which, through biased decision-making, considerable differences have taken place</w:t>
          </w:r>
          <w:r w:rsidR="00FE3878" w:rsidRPr="00FE3878">
            <w:t xml:space="preserve"> </w:t>
          </w:r>
          <w:r w:rsidR="00FE3878" w:rsidRPr="00FE3878">
            <w:rPr>
              <w:lang w:val="en-US"/>
            </w:rPr>
            <w:t>(Valle-Cruz, Fernandez-Cortez and Gil-Garcia, 2022)</w:t>
          </w:r>
          <w:r w:rsidRPr="00790726">
            <w:rPr>
              <w:lang w:val="en-US"/>
            </w:rPr>
            <w:t>.</w:t>
          </w:r>
        </w:p>
        <w:p w14:paraId="497F0B11" w14:textId="67FC4EC1" w:rsidR="00790726" w:rsidRPr="00790726" w:rsidRDefault="00790726" w:rsidP="00587CFB">
          <w:pPr>
            <w:pStyle w:val="ListParagraph"/>
            <w:numPr>
              <w:ilvl w:val="0"/>
              <w:numId w:val="18"/>
            </w:numPr>
            <w:rPr>
              <w:lang w:val="en-US"/>
            </w:rPr>
          </w:pPr>
          <w:r w:rsidRPr="00790726">
            <w:rPr>
              <w:b/>
              <w:bCs/>
              <w:i/>
              <w:iCs/>
              <w:lang w:val="en-US"/>
            </w:rPr>
            <w:t>Motivation and Incentives:</w:t>
          </w:r>
          <w:r w:rsidRPr="00790726">
            <w:rPr>
              <w:lang w:val="en-US"/>
            </w:rPr>
            <w:t xml:space="preserve"> The type of the incentive system has a great impact on the motivational and shaping role of managerial behavior in the context of budgeting systems</w:t>
          </w:r>
          <w:r w:rsidR="00FE3878" w:rsidRPr="00FE3878">
            <w:t xml:space="preserve"> </w:t>
          </w:r>
          <w:r w:rsidR="00FE3878" w:rsidRPr="00FE3878">
            <w:rPr>
              <w:lang w:val="en-US"/>
            </w:rPr>
            <w:t>(Boruvka and Perry, 2020)</w:t>
          </w:r>
          <w:r w:rsidRPr="00790726">
            <w:rPr>
              <w:lang w:val="en-US"/>
            </w:rPr>
            <w:t xml:space="preserve">. Management may be motivated for achieving the targets outlined in the budget by financial incentives for budgetary performance, involving bonuses or profit-sharing arrangements. Excessive reliance on financial incentives, however, could yield to the production of immoral behavior, like budget padding or manipulation of financial data. A quantitative analysis of incentive structures could either measure the relationship between incentive payouts and budgetary performance in some manner or </w:t>
          </w:r>
          <w:r w:rsidRPr="00790726">
            <w:rPr>
              <w:lang w:val="en-US"/>
            </w:rPr>
            <w:lastRenderedPageBreak/>
            <w:t>examine the level to which budget-related types of bad behavior are incentivized</w:t>
          </w:r>
          <w:r w:rsidR="00587CFB" w:rsidRPr="00587CFB">
            <w:t xml:space="preserve"> </w:t>
          </w:r>
          <w:r w:rsidR="00587CFB" w:rsidRPr="00587CFB">
            <w:rPr>
              <w:lang w:val="en-US"/>
            </w:rPr>
            <w:t>(Locke and Pearce, 2023)</w:t>
          </w:r>
          <w:r w:rsidRPr="00790726">
            <w:rPr>
              <w:lang w:val="en-US"/>
            </w:rPr>
            <w:t>.</w:t>
          </w:r>
        </w:p>
        <w:p w14:paraId="29D8598D" w14:textId="1F7E44F3" w:rsidR="00790726" w:rsidRPr="00790726" w:rsidRDefault="00790726" w:rsidP="00B510AC">
          <w:pPr>
            <w:pStyle w:val="ListParagraph"/>
            <w:numPr>
              <w:ilvl w:val="0"/>
              <w:numId w:val="18"/>
            </w:numPr>
            <w:rPr>
              <w:lang w:val="en-US"/>
            </w:rPr>
          </w:pPr>
          <w:r w:rsidRPr="00790726">
            <w:rPr>
              <w:b/>
              <w:bCs/>
              <w:i/>
              <w:iCs/>
              <w:lang w:val="en-US"/>
            </w:rPr>
            <w:t xml:space="preserve">Organizational Culture: </w:t>
          </w:r>
          <w:r w:rsidRPr="00790726">
            <w:rPr>
              <w:lang w:val="en-US"/>
            </w:rPr>
            <w:t>Organizational culture influences from deep within the attitude and behavior of managers in relation to budgeting. In cultures that are innovative and risk-tolerant, managers may view budgets as flexible guidelines</w:t>
          </w:r>
          <w:r w:rsidR="00B510AC" w:rsidRPr="00B510AC">
            <w:t xml:space="preserve"> </w:t>
          </w:r>
          <w:r w:rsidR="00B510AC" w:rsidRPr="00B510AC">
            <w:rPr>
              <w:lang w:val="en-US"/>
            </w:rPr>
            <w:t>(Walker, no date)</w:t>
          </w:r>
          <w:r w:rsidRPr="00790726">
            <w:rPr>
              <w:lang w:val="en-US"/>
            </w:rPr>
            <w:t>. In cultures that are hierarchical and conformity-oriented, all sorts of variances from the budget are likely to be viewed in a negative light. Some other possible quantitative measures of organizational culture may consist of the surveying of employees on issues such regarding perceptions, for example, of budget flexibility, risk tolerance, and managerial autonomy</w:t>
          </w:r>
          <w:r w:rsidR="00B510AC" w:rsidRPr="00B510AC">
            <w:t xml:space="preserve"> </w:t>
          </w:r>
          <w:r w:rsidR="00B510AC" w:rsidRPr="00B510AC">
            <w:rPr>
              <w:lang w:val="en-US"/>
            </w:rPr>
            <w:t>(Phil-Thingvad and Klausen, 2020)</w:t>
          </w:r>
          <w:r w:rsidRPr="00790726">
            <w:rPr>
              <w:lang w:val="en-US"/>
            </w:rPr>
            <w:t>.</w:t>
          </w:r>
        </w:p>
        <w:p w14:paraId="6BF04FE9" w14:textId="0DF1A97D" w:rsidR="00790726" w:rsidRPr="00790726" w:rsidRDefault="00790726" w:rsidP="00A905FF">
          <w:pPr>
            <w:pStyle w:val="ListParagraph"/>
            <w:numPr>
              <w:ilvl w:val="0"/>
              <w:numId w:val="18"/>
            </w:numPr>
            <w:rPr>
              <w:lang w:val="en-US"/>
            </w:rPr>
          </w:pPr>
          <w:r w:rsidRPr="00790726">
            <w:rPr>
              <w:b/>
              <w:bCs/>
              <w:i/>
              <w:iCs/>
              <w:lang w:val="en-US"/>
            </w:rPr>
            <w:t xml:space="preserve">Communication and Transparency: </w:t>
          </w:r>
          <w:r w:rsidRPr="00790726">
            <w:rPr>
              <w:lang w:val="en-US"/>
            </w:rPr>
            <w:t>The real success of the communication and transparency approach has something to do with countering resistance in regard to changes in the budget outcomes and actually gaining the employees' buy-in</w:t>
          </w:r>
          <w:r w:rsidR="00A905FF" w:rsidRPr="00A905FF">
            <w:t xml:space="preserve"> </w:t>
          </w:r>
          <w:r w:rsidR="00A905FF" w:rsidRPr="00A905FF">
            <w:rPr>
              <w:lang w:val="en-US"/>
            </w:rPr>
            <w:t>(Bingham, Daniel Bureau and Duncan, 2023)</w:t>
          </w:r>
          <w:r w:rsidRPr="00790726">
            <w:rPr>
              <w:lang w:val="en-US"/>
            </w:rPr>
            <w:t>. In this regard, communication strategies can be measured quantitatively by surveys of staff satisfaction with the clarity and frequency of communications about budgets. These can also be through tracking how many questions or complaints related to the budget have been made and give more insights into the effectiveness of efforts to be transparent</w:t>
          </w:r>
          <w:r w:rsidR="00A905FF" w:rsidRPr="00A905FF">
            <w:t xml:space="preserve"> </w:t>
          </w:r>
          <w:r w:rsidR="00A905FF" w:rsidRPr="00A905FF">
            <w:rPr>
              <w:lang w:val="en-US"/>
            </w:rPr>
            <w:t>(Genrich et al., 2020)</w:t>
          </w:r>
          <w:r w:rsidRPr="00790726">
            <w:rPr>
              <w:lang w:val="en-US"/>
            </w:rPr>
            <w:t>.</w:t>
          </w:r>
        </w:p>
        <w:p w14:paraId="1AE4A89F" w14:textId="0564BBC3" w:rsidR="005D69CB" w:rsidRPr="0026587C" w:rsidRDefault="00790726" w:rsidP="0026587C">
          <w:pPr>
            <w:rPr>
              <w:lang w:val="en-US"/>
            </w:rPr>
          </w:pPr>
          <w:r w:rsidRPr="00790726">
            <w:rPr>
              <w:lang w:val="en-US"/>
            </w:rPr>
            <w:t>Essentially, effective budgeting requires paying much attention to both the quantitative and qualitative human behavior metrics. These efforts in budgeting are related to the goals of an organization, participation of stakeholders, data accuracy, and reliability, flexibility, and addressing behavioral biases that improve organizational effectiveness performance.</w:t>
          </w:r>
          <w:r w:rsidR="005D69CB" w:rsidRPr="005D69CB">
            <w:rPr>
              <w:vanish/>
              <w:lang w:val="en-US"/>
            </w:rPr>
            <w:t>Top of Form</w:t>
          </w:r>
        </w:p>
        <w:p w14:paraId="7DB6B751" w14:textId="041A50E7" w:rsidR="0025176E" w:rsidRPr="0025176E" w:rsidRDefault="0025176E" w:rsidP="005D69CB">
          <w:pPr>
            <w:rPr>
              <w:lang w:val="en-US"/>
            </w:rPr>
          </w:pPr>
        </w:p>
        <w:p w14:paraId="65A39C87" w14:textId="77777777" w:rsidR="0025176E" w:rsidRPr="0025176E" w:rsidRDefault="0025176E" w:rsidP="004D49B1">
          <w:pPr>
            <w:pStyle w:val="Heading1"/>
            <w:rPr>
              <w:lang w:val="en-US"/>
            </w:rPr>
          </w:pPr>
          <w:bookmarkStart w:id="15" w:name="_Toc163571974"/>
          <w:r w:rsidRPr="0025176E">
            <w:rPr>
              <w:lang w:val="en-US"/>
            </w:rPr>
            <w:t>Critical Evaluation of Traditional Budgeting Approaches</w:t>
          </w:r>
          <w:bookmarkEnd w:id="15"/>
        </w:p>
        <w:p w14:paraId="129E70FF" w14:textId="5F1E0DC1" w:rsidR="00536A75" w:rsidRPr="00536A75" w:rsidRDefault="00536A75" w:rsidP="00536A75">
          <w:pPr>
            <w:rPr>
              <w:lang w:val="en-US"/>
            </w:rPr>
          </w:pPr>
          <w:r w:rsidRPr="00536A75">
            <w:rPr>
              <w:lang w:val="en-US"/>
            </w:rPr>
            <w:t>Traditional budgeting approaches have, for long, been the hallmark of organizational financial planning and control</w:t>
          </w:r>
          <w:r w:rsidR="00A905FF">
            <w:rPr>
              <w:lang w:val="en-US"/>
            </w:rPr>
            <w:t xml:space="preserve"> </w:t>
          </w:r>
          <w:r w:rsidR="00A905FF" w:rsidRPr="00A905FF">
            <w:rPr>
              <w:lang w:val="en-US"/>
            </w:rPr>
            <w:t>(Dimes and de Villiers, 2024)</w:t>
          </w:r>
          <w:r w:rsidRPr="00536A75">
            <w:rPr>
              <w:lang w:val="en-US"/>
            </w:rPr>
            <w:t>. However, in the current business environment that is fast-shifting due to rapid changes in technology and changing consumer needs around the world, coupled with the global economic instability, this has brought into question the relevance of the classical methods of budgeting. This paper provides a judgmental picture of the traditional approaches of budgeting and further attempts to redress some of the potential alternatives that might suffice to redress these limitations.</w:t>
          </w:r>
        </w:p>
        <w:p w14:paraId="63619730" w14:textId="77777777" w:rsidR="00536A75" w:rsidRPr="00536A75" w:rsidRDefault="00536A75" w:rsidP="00536A75">
          <w:pPr>
            <w:pStyle w:val="Heading2"/>
            <w:rPr>
              <w:lang w:val="en-US"/>
            </w:rPr>
          </w:pPr>
          <w:bookmarkStart w:id="16" w:name="_Toc163571975"/>
          <w:r w:rsidRPr="00536A75">
            <w:rPr>
              <w:lang w:val="en-US"/>
            </w:rPr>
            <w:t>Assessment of Traditional Budgeting Approaches:</w:t>
          </w:r>
          <w:bookmarkEnd w:id="16"/>
        </w:p>
        <w:p w14:paraId="31F20140" w14:textId="337CB1F5" w:rsidR="00536A75" w:rsidRPr="00536A75" w:rsidRDefault="00536A75" w:rsidP="00536A75">
          <w:pPr>
            <w:rPr>
              <w:lang w:val="en-US"/>
            </w:rPr>
          </w:pPr>
          <w:r w:rsidRPr="00536A75">
            <w:rPr>
              <w:b/>
              <w:bCs/>
              <w:i/>
              <w:iCs/>
              <w:lang w:val="en-US"/>
            </w:rPr>
            <w:t>Incremental Budgeting:</w:t>
          </w:r>
          <w:r w:rsidRPr="00536A75">
            <w:rPr>
              <w:lang w:val="en-US"/>
            </w:rPr>
            <w:t xml:space="preserve"> The incremental budget, premised on the historical spending patterns, has usually propped up the perpetuation of inefficient resource allocation that does not change in conformity to the changing priorities within the business</w:t>
          </w:r>
          <w:r w:rsidR="00A905FF" w:rsidRPr="00A905FF">
            <w:t xml:space="preserve"> </w:t>
          </w:r>
          <w:r w:rsidR="00A905FF" w:rsidRPr="00A905FF">
            <w:rPr>
              <w:lang w:val="en-US"/>
            </w:rPr>
            <w:t>(Ortynsky, Marshall and Mou, 2021)</w:t>
          </w:r>
          <w:r w:rsidRPr="00536A75">
            <w:rPr>
              <w:lang w:val="en-US"/>
            </w:rPr>
            <w:t>. Assumed in such a model is perfect spending in the past, which completely overlooks the reallocation of resources in order to respond to the different market dynamics. Incremental budgeting further tends to breed 'budgetary gamesmanship,' where managers bloat their budgets to sizes large enough for them to bargain for resource allocations in future periods, hence leading to budgetary slack</w:t>
          </w:r>
          <w:r w:rsidR="00A905FF" w:rsidRPr="00A905FF">
            <w:t xml:space="preserve"> </w:t>
          </w:r>
          <w:r w:rsidR="00A905FF" w:rsidRPr="00A905FF">
            <w:rPr>
              <w:lang w:val="en-US"/>
            </w:rPr>
            <w:t>(Taylor, McDonnell and Duong, 2022)</w:t>
          </w:r>
          <w:r w:rsidRPr="00536A75">
            <w:rPr>
              <w:lang w:val="en-US"/>
            </w:rPr>
            <w:t>.</w:t>
          </w:r>
        </w:p>
        <w:p w14:paraId="2C26D4E9" w14:textId="26BE66FC" w:rsidR="00536A75" w:rsidRPr="00536A75" w:rsidRDefault="00536A75" w:rsidP="00536A75">
          <w:pPr>
            <w:rPr>
              <w:lang w:val="en-US"/>
            </w:rPr>
          </w:pPr>
          <w:r w:rsidRPr="00536A75">
            <w:rPr>
              <w:b/>
              <w:bCs/>
              <w:i/>
              <w:iCs/>
              <w:lang w:val="en-US"/>
            </w:rPr>
            <w:t>Fixed Budgeting:</w:t>
          </w:r>
          <w:r w:rsidRPr="00536A75">
            <w:rPr>
              <w:lang w:val="en-US"/>
            </w:rPr>
            <w:t xml:space="preserve"> Fixed budgeting is the orthodox budgeting method, used to fix a rigid limit on the expenses regardless of the change in business conditions, and hence its rigidness makes it unsuitable for dynamic business</w:t>
          </w:r>
          <w:r w:rsidR="00A905FF" w:rsidRPr="00A905FF">
            <w:t xml:space="preserve"> </w:t>
          </w:r>
          <w:r w:rsidR="00A905FF" w:rsidRPr="00A905FF">
            <w:rPr>
              <w:lang w:val="en-US"/>
            </w:rPr>
            <w:t>(Sabel and Victor, 2024)</w:t>
          </w:r>
          <w:r w:rsidRPr="00536A75">
            <w:rPr>
              <w:lang w:val="en-US"/>
            </w:rPr>
            <w:t xml:space="preserve">. In such industries where the pace of change is very </w:t>
          </w:r>
          <w:r w:rsidRPr="00536A75">
            <w:rPr>
              <w:lang w:val="en-US"/>
            </w:rPr>
            <w:lastRenderedPageBreak/>
            <w:t>high, like technology or fashion, fixed budgets are quickly outdated and make it even more difficult for the organization to seize emerging opportunities or mitigate unforeseen risks. Another related issue with fixed budgets is the fact that they rarely motivate managers for the cost-saving measures, for they have very little reason to spend less than the amount allocated</w:t>
          </w:r>
          <w:r w:rsidR="00A905FF" w:rsidRPr="00A905FF">
            <w:t xml:space="preserve"> </w:t>
          </w:r>
          <w:r w:rsidR="00A905FF" w:rsidRPr="00A905FF">
            <w:rPr>
              <w:lang w:val="en-US"/>
            </w:rPr>
            <w:t>(Musso and Weare, 2020)</w:t>
          </w:r>
          <w:r w:rsidRPr="00536A75">
            <w:rPr>
              <w:lang w:val="en-US"/>
            </w:rPr>
            <w:t>.</w:t>
          </w:r>
        </w:p>
        <w:p w14:paraId="68C2AE42" w14:textId="41713263" w:rsidR="00536A75" w:rsidRDefault="00536A75" w:rsidP="00536A75">
          <w:pPr>
            <w:rPr>
              <w:lang w:val="en-US"/>
            </w:rPr>
          </w:pPr>
          <w:r w:rsidRPr="00536A75">
            <w:rPr>
              <w:b/>
              <w:bCs/>
              <w:i/>
              <w:iCs/>
              <w:lang w:val="en-US"/>
            </w:rPr>
            <w:t>Top-down Budgeting:</w:t>
          </w:r>
          <w:r w:rsidRPr="00536A75">
            <w:rPr>
              <w:lang w:val="en-US"/>
            </w:rPr>
            <w:t xml:space="preserve"> Driven by the directions of top management, top-down budgeting very often bypasses the input of great knowledge and expertise of frontline employees, including detailed knowledge of operations</w:t>
          </w:r>
          <w:r w:rsidR="00F27FD3" w:rsidRPr="00F27FD3">
            <w:t xml:space="preserve"> </w:t>
          </w:r>
          <w:r w:rsidR="00F27FD3" w:rsidRPr="00F27FD3">
            <w:rPr>
              <w:lang w:val="en-US"/>
            </w:rPr>
            <w:t>(Hortovanyi, Szabo and Fuzes, 2021)</w:t>
          </w:r>
          <w:r w:rsidRPr="00536A75">
            <w:rPr>
              <w:lang w:val="en-US"/>
            </w:rPr>
            <w:t>. This approach is hierarchical in nature and thus suffocates most potential for innovation and creativity, as lower-level managers get a feeling of lack of empowerment and alienation from the budgeting process. Moreover, top-down budgets may lack buy-in from frontline staff, which may result in low morale and resistance to budgetary targets</w:t>
          </w:r>
          <w:r w:rsidR="00E80777" w:rsidRPr="00E80777">
            <w:t xml:space="preserve"> </w:t>
          </w:r>
          <w:r w:rsidR="00E80777" w:rsidRPr="00E80777">
            <w:rPr>
              <w:lang w:val="en-US"/>
            </w:rPr>
            <w:t>(Can you survive the wild alone?: The middle manager role in higher education institutions in Illinois, 2021)</w:t>
          </w:r>
          <w:r w:rsidRPr="00536A75">
            <w:rPr>
              <w:lang w:val="en-US"/>
            </w:rPr>
            <w:t>.</w:t>
          </w:r>
        </w:p>
        <w:p w14:paraId="3A80414D" w14:textId="77777777" w:rsidR="00536A75" w:rsidRPr="00536A75" w:rsidRDefault="00536A75" w:rsidP="00536A75">
          <w:pPr>
            <w:rPr>
              <w:lang w:val="en-US"/>
            </w:rPr>
          </w:pPr>
        </w:p>
        <w:p w14:paraId="0FA3FBFC" w14:textId="77777777" w:rsidR="00536A75" w:rsidRPr="00536A75" w:rsidRDefault="00536A75" w:rsidP="00536A75">
          <w:pPr>
            <w:pStyle w:val="Heading2"/>
            <w:rPr>
              <w:lang w:val="en-US"/>
            </w:rPr>
          </w:pPr>
          <w:bookmarkStart w:id="17" w:name="_Toc163571976"/>
          <w:r w:rsidRPr="00536A75">
            <w:rPr>
              <w:lang w:val="en-US"/>
            </w:rPr>
            <w:t>Inherent Flaws in Traditional Budgeting Methods:</w:t>
          </w:r>
          <w:bookmarkEnd w:id="17"/>
        </w:p>
        <w:p w14:paraId="2106BC81" w14:textId="21D76A20" w:rsidR="00536A75" w:rsidRPr="00536A75" w:rsidRDefault="00536A75" w:rsidP="00536A75">
          <w:pPr>
            <w:rPr>
              <w:lang w:val="en-US"/>
            </w:rPr>
          </w:pPr>
          <w:r w:rsidRPr="00536A75">
            <w:rPr>
              <w:b/>
              <w:bCs/>
              <w:i/>
              <w:iCs/>
              <w:lang w:val="en-US"/>
            </w:rPr>
            <w:t xml:space="preserve">Time-Consuming Process: </w:t>
          </w:r>
          <w:r w:rsidRPr="00536A75">
            <w:rPr>
              <w:lang w:val="en-US"/>
            </w:rPr>
            <w:t>The traditional budgeting approaches do happen to be most time- and resource-consuming since they do involve detailed data collection, analysis, and then negotiation. In such a speedy business environment of today, budgets can be rolling out after such a long time cycle before they are finally rolled out, making it an ineffective useful management tool</w:t>
          </w:r>
          <w:r w:rsidR="00343ACA" w:rsidRPr="00343ACA">
            <w:t xml:space="preserve"> </w:t>
          </w:r>
          <w:r w:rsidR="00343ACA" w:rsidRPr="00343ACA">
            <w:rPr>
              <w:lang w:val="en-US"/>
            </w:rPr>
            <w:t>(Codini, Abbate and Messeni Petruzzelli, 2023)</w:t>
          </w:r>
          <w:r w:rsidRPr="00536A75">
            <w:rPr>
              <w:lang w:val="en-US"/>
            </w:rPr>
            <w:t>.</w:t>
          </w:r>
        </w:p>
        <w:p w14:paraId="1A7A5F0E" w14:textId="48A4333D" w:rsidR="00536A75" w:rsidRPr="00536A75" w:rsidRDefault="00536A75" w:rsidP="00536A75">
          <w:pPr>
            <w:rPr>
              <w:lang w:val="en-US"/>
            </w:rPr>
          </w:pPr>
          <w:r>
            <w:rPr>
              <w:b/>
              <w:bCs/>
              <w:i/>
              <w:iCs/>
              <w:lang w:val="en-US"/>
            </w:rPr>
            <w:t>Focus on Short-Term Goals:</w:t>
          </w:r>
          <w:r w:rsidRPr="00536A75">
            <w:rPr>
              <w:lang w:val="en-US"/>
            </w:rPr>
            <w:t xml:space="preserve"> Traditional budgeting approaches tend to focus more on short-term financial targets at the cost of long-term strategic objectives. This myopic focus on the attainment of quarterly or annual budgetary goals may induce managerial behavior to sacrifice the long-term sustainability for short-term financial gains, like postponement of investments in innovation or employee development</w:t>
          </w:r>
          <w:r w:rsidR="004960AE" w:rsidRPr="004960AE">
            <w:t xml:space="preserve"> </w:t>
          </w:r>
          <w:r w:rsidR="004960AE" w:rsidRPr="004960AE">
            <w:rPr>
              <w:lang w:val="en-US"/>
            </w:rPr>
            <w:t>(Lassala, Orero-Blat and Ribeiro-Navarrete, 2021)</w:t>
          </w:r>
          <w:r w:rsidRPr="00536A75">
            <w:rPr>
              <w:lang w:val="en-US"/>
            </w:rPr>
            <w:t>.</w:t>
          </w:r>
        </w:p>
        <w:p w14:paraId="639D6CC8" w14:textId="1D993F30" w:rsidR="00536A75" w:rsidRPr="00536A75" w:rsidRDefault="00536A75" w:rsidP="00536A75">
          <w:pPr>
            <w:rPr>
              <w:lang w:val="en-US"/>
            </w:rPr>
          </w:pPr>
          <w:r w:rsidRPr="00536A75">
            <w:rPr>
              <w:b/>
              <w:bCs/>
              <w:i/>
              <w:iCs/>
              <w:lang w:val="en-US"/>
            </w:rPr>
            <w:t>Inflexibility:</w:t>
          </w:r>
          <w:r w:rsidRPr="00536A75">
            <w:rPr>
              <w:lang w:val="en-US"/>
            </w:rPr>
            <w:t xml:space="preserve"> Traditional budget methods have no flexibility in coping with any unforeseen change or disruption to be faced in the business environment. Deviating circumstances, therefore, make it hard for the organization to adjust spending priorities or shifting resources effectively, hence making a less optimal decision and performance outcomes against the laid down assumptions in the plan</w:t>
          </w:r>
          <w:r w:rsidR="004960AE" w:rsidRPr="004960AE">
            <w:rPr>
              <w:lang w:val="en-US"/>
            </w:rPr>
            <w:t>(Sánchez-Silva and Calderón-Guevara, 2022)</w:t>
          </w:r>
          <w:r w:rsidRPr="00536A75">
            <w:rPr>
              <w:lang w:val="en-US"/>
            </w:rPr>
            <w:t>.</w:t>
          </w:r>
        </w:p>
        <w:p w14:paraId="2963268D" w14:textId="77777777" w:rsidR="00536A75" w:rsidRPr="00536A75" w:rsidRDefault="00536A75" w:rsidP="00536A75">
          <w:pPr>
            <w:pStyle w:val="Heading2"/>
            <w:rPr>
              <w:lang w:val="en-US"/>
            </w:rPr>
          </w:pPr>
          <w:bookmarkStart w:id="18" w:name="_Toc163571977"/>
          <w:r w:rsidRPr="00536A75">
            <w:rPr>
              <w:lang w:val="en-US"/>
            </w:rPr>
            <w:t>Potential Alternatives to Traditional Budgeting:</w:t>
          </w:r>
          <w:bookmarkEnd w:id="18"/>
        </w:p>
        <w:p w14:paraId="5BCAA64B" w14:textId="7924710C" w:rsidR="00536A75" w:rsidRPr="00536A75" w:rsidRDefault="00536A75" w:rsidP="00536A75">
          <w:pPr>
            <w:rPr>
              <w:lang w:val="en-US"/>
            </w:rPr>
          </w:pPr>
          <w:r w:rsidRPr="00536A75">
            <w:rPr>
              <w:b/>
              <w:bCs/>
              <w:i/>
              <w:iCs/>
              <w:lang w:val="en-US"/>
            </w:rPr>
            <w:t xml:space="preserve">Beyond Budgeting: </w:t>
          </w:r>
          <w:r w:rsidRPr="00536A75">
            <w:rPr>
              <w:lang w:val="en-US"/>
            </w:rPr>
            <w:t>Beyond Budgeting philosophy encourages decentralized decision-making with dynamic resource allocation and flexible performance targets. Beyond Budgeting allows fast changes with strong financial control by empowering the front line to take real-time market feedback and effective strategic deployment in keeping with the company's strategic priorities</w:t>
          </w:r>
          <w:r w:rsidR="004960AE" w:rsidRPr="004960AE">
            <w:t xml:space="preserve"> </w:t>
          </w:r>
          <w:r w:rsidR="004960AE" w:rsidRPr="004960AE">
            <w:rPr>
              <w:lang w:val="en-US"/>
            </w:rPr>
            <w:t>(Aziz, 2023)</w:t>
          </w:r>
          <w:r w:rsidRPr="00536A75">
            <w:rPr>
              <w:lang w:val="en-US"/>
            </w:rPr>
            <w:t>.</w:t>
          </w:r>
        </w:p>
        <w:p w14:paraId="085A787F" w14:textId="2A5EFEF8" w:rsidR="00536A75" w:rsidRPr="00536A75" w:rsidRDefault="00536A75" w:rsidP="00536A75">
          <w:pPr>
            <w:rPr>
              <w:lang w:val="en-US"/>
            </w:rPr>
          </w:pPr>
          <w:r w:rsidRPr="00536A75">
            <w:rPr>
              <w:b/>
              <w:bCs/>
              <w:i/>
              <w:iCs/>
              <w:lang w:val="en-US"/>
            </w:rPr>
            <w:t>Activity-Based Budgeting (ABB):</w:t>
          </w:r>
          <w:r w:rsidRPr="00536A75">
            <w:rPr>
              <w:lang w:val="en-US"/>
            </w:rPr>
            <w:t xml:space="preserve"> </w:t>
          </w:r>
          <w:r>
            <w:rPr>
              <w:lang w:val="en-US"/>
            </w:rPr>
            <w:t>Activity</w:t>
          </w:r>
          <w:r w:rsidRPr="00536A75">
            <w:rPr>
              <w:lang w:val="en-US"/>
            </w:rPr>
            <w:t>-based budgeting, resource allocation is determined by an organization's activity and the process that influences cost. Through a direct relationship of resource allocation to operational activities, ABB has better visibility and responsibility, thus putting the manager at a better vantage point to easily slash waste and inefficiencies taking place on the ground</w:t>
          </w:r>
          <w:r w:rsidR="004960AE" w:rsidRPr="004960AE">
            <w:t xml:space="preserve"> </w:t>
          </w:r>
          <w:r w:rsidR="004960AE" w:rsidRPr="004960AE">
            <w:rPr>
              <w:lang w:val="en-US"/>
            </w:rPr>
            <w:t>(Unlocking the “black box” of hospital competition: Multiple case studies in government-funded and regulated health systems, 2021)</w:t>
          </w:r>
          <w:r w:rsidRPr="00536A75">
            <w:rPr>
              <w:lang w:val="en-US"/>
            </w:rPr>
            <w:t>.</w:t>
          </w:r>
        </w:p>
        <w:p w14:paraId="11CD4D2C" w14:textId="19EB8CD6" w:rsidR="00536A75" w:rsidRPr="00536A75" w:rsidRDefault="00536A75" w:rsidP="00536A75">
          <w:pPr>
            <w:rPr>
              <w:lang w:val="en-US"/>
            </w:rPr>
          </w:pPr>
          <w:r w:rsidRPr="00536A75">
            <w:rPr>
              <w:b/>
              <w:bCs/>
              <w:i/>
              <w:iCs/>
              <w:lang w:val="en-US"/>
            </w:rPr>
            <w:t>Rolling Forecasts:</w:t>
          </w:r>
          <w:r w:rsidRPr="00536A75">
            <w:rPr>
              <w:lang w:val="en-US"/>
            </w:rPr>
            <w:t xml:space="preserve"> Rolling forecasting updates traditional fixed budgets to continuously updated projections based on current market data and performance trends. Such an approach is what guarantees organizational operation in a rolling forecast way with improvements in agility and </w:t>
          </w:r>
          <w:r w:rsidRPr="00536A75">
            <w:rPr>
              <w:lang w:val="en-US"/>
            </w:rPr>
            <w:lastRenderedPageBreak/>
            <w:t>responsiveness that support making proactive decisions of resource reallocation congruently with the dynamics of its business</w:t>
          </w:r>
          <w:r w:rsidR="00E26CE2" w:rsidRPr="00E26CE2">
            <w:t xml:space="preserve"> </w:t>
          </w:r>
          <w:r w:rsidR="00E26CE2" w:rsidRPr="00E26CE2">
            <w:rPr>
              <w:lang w:val="en-US"/>
            </w:rPr>
            <w:t>(Nicoletti, 2020)</w:t>
          </w:r>
          <w:r w:rsidRPr="00536A75">
            <w:rPr>
              <w:lang w:val="en-US"/>
            </w:rPr>
            <w:t>.</w:t>
          </w:r>
        </w:p>
        <w:p w14:paraId="0A166B99" w14:textId="0C164AD5" w:rsidR="003E336D" w:rsidRPr="003E336D" w:rsidRDefault="00536A75" w:rsidP="00536A75">
          <w:pPr>
            <w:rPr>
              <w:lang w:val="en-US"/>
            </w:rPr>
          </w:pPr>
          <w:r w:rsidRPr="00536A75">
            <w:rPr>
              <w:lang w:val="en-US"/>
            </w:rPr>
            <w:t>In other words, traditional budgets are characterized by a range of limitations that are very manifest in the modern business dynamic environment, which carries with it volatility, uncertainty, complexity, and ambiguity (VUCA). That is, organizations are required to re-evaluate their budgeting process in the light of these and a different approach be adopted that would give great importance to flexibility, empowerment, and alignment with strategic objectives. With such innovative budgeting tools, organizations easily become able to engage in the environment full of uncertainties, harness the emerging opportunities, and attain their sustainable long-term success.</w:t>
          </w:r>
        </w:p>
        <w:p w14:paraId="192A72B9" w14:textId="77777777" w:rsidR="003E336D" w:rsidRPr="003E336D" w:rsidRDefault="003E336D" w:rsidP="003E336D">
          <w:pPr>
            <w:rPr>
              <w:vanish/>
              <w:lang w:val="en-US"/>
            </w:rPr>
          </w:pPr>
          <w:r w:rsidRPr="003E336D">
            <w:rPr>
              <w:vanish/>
              <w:lang w:val="en-US"/>
            </w:rPr>
            <w:t>Bottom of Form</w:t>
          </w:r>
        </w:p>
        <w:p w14:paraId="4F4AD546" w14:textId="5638E472" w:rsidR="00D97550" w:rsidRDefault="00D97550" w:rsidP="00D97550">
          <w:pPr>
            <w:rPr>
              <w:lang w:val="en-US"/>
            </w:rPr>
          </w:pPr>
        </w:p>
        <w:p w14:paraId="5FA0CB58" w14:textId="77777777" w:rsidR="004813D2" w:rsidRDefault="004813D2" w:rsidP="00D97550"/>
        <w:p w14:paraId="7EDBA97B" w14:textId="7C86B9F1" w:rsidR="00D97550" w:rsidRDefault="00D97550" w:rsidP="00D97550"/>
        <w:p w14:paraId="57984856" w14:textId="081BF9C4" w:rsidR="00E26CE2" w:rsidRDefault="00E26CE2" w:rsidP="00D97550"/>
        <w:p w14:paraId="3449849C" w14:textId="42CDF9AF" w:rsidR="00E26CE2" w:rsidRDefault="00E26CE2" w:rsidP="00D97550"/>
        <w:p w14:paraId="72F0979F" w14:textId="04572EB5" w:rsidR="00E26CE2" w:rsidRDefault="00E26CE2" w:rsidP="00D97550"/>
        <w:p w14:paraId="1FA78509" w14:textId="7E987678" w:rsidR="00E26CE2" w:rsidRDefault="00E26CE2" w:rsidP="00D97550"/>
        <w:p w14:paraId="3A05D813" w14:textId="51BAA7EC" w:rsidR="00E26CE2" w:rsidRDefault="00E26CE2" w:rsidP="00D97550"/>
        <w:p w14:paraId="00C8D8C3" w14:textId="3E388169" w:rsidR="00E26CE2" w:rsidRDefault="00E26CE2" w:rsidP="00D97550"/>
        <w:p w14:paraId="18C9748F" w14:textId="0EE7EEC9" w:rsidR="00E26CE2" w:rsidRDefault="00E26CE2" w:rsidP="00D97550"/>
        <w:p w14:paraId="72C03D2E" w14:textId="0793B8FB" w:rsidR="00E26CE2" w:rsidRDefault="00E26CE2" w:rsidP="00D97550"/>
        <w:p w14:paraId="492C33D3" w14:textId="1E83BD1E" w:rsidR="00DE32BC" w:rsidRDefault="00DE32BC" w:rsidP="00D97550"/>
        <w:p w14:paraId="3EFAD9A7" w14:textId="10BB4FD1" w:rsidR="00DE32BC" w:rsidRDefault="00DE32BC" w:rsidP="00D97550"/>
        <w:p w14:paraId="7CF1AE95" w14:textId="3FD122EC" w:rsidR="00DE32BC" w:rsidRDefault="00DE32BC" w:rsidP="00D97550"/>
        <w:p w14:paraId="55358057" w14:textId="438CDCD6" w:rsidR="00DE32BC" w:rsidRDefault="00DE32BC" w:rsidP="00D97550"/>
        <w:p w14:paraId="0E00D958" w14:textId="35116B39" w:rsidR="00DE32BC" w:rsidRDefault="00DE32BC" w:rsidP="00D97550"/>
        <w:p w14:paraId="784B2F9D" w14:textId="4B839779" w:rsidR="00DE32BC" w:rsidRDefault="00DE32BC" w:rsidP="00D97550"/>
        <w:p w14:paraId="1256DFB7" w14:textId="2C4C15B7" w:rsidR="00DE32BC" w:rsidRDefault="00DE32BC" w:rsidP="00D97550"/>
        <w:p w14:paraId="7DE9DC27" w14:textId="1DA501DD" w:rsidR="00DE32BC" w:rsidRDefault="00DE32BC" w:rsidP="00D97550"/>
        <w:p w14:paraId="5E45368D" w14:textId="3FC9127F" w:rsidR="00DE32BC" w:rsidRDefault="00DE32BC" w:rsidP="00D97550"/>
        <w:p w14:paraId="1FD76F46" w14:textId="09E97069" w:rsidR="00DE32BC" w:rsidRDefault="00DE32BC" w:rsidP="00D97550"/>
        <w:p w14:paraId="5B8A1009" w14:textId="5E9FE787" w:rsidR="00DE32BC" w:rsidRDefault="00DE32BC" w:rsidP="00D97550"/>
        <w:p w14:paraId="37821BC2" w14:textId="77777777" w:rsidR="00DE32BC" w:rsidRPr="00D97550" w:rsidRDefault="00DE32BC" w:rsidP="00D97550"/>
        <w:p w14:paraId="5C67928C" w14:textId="154F2133" w:rsidR="00AA2A91" w:rsidRDefault="00AA2A91" w:rsidP="00AA2A91">
          <w:pPr>
            <w:pStyle w:val="Heading1"/>
          </w:pPr>
          <w:bookmarkStart w:id="19" w:name="_Toc163571978"/>
          <w:r>
            <w:lastRenderedPageBreak/>
            <w:t>Conclusion</w:t>
          </w:r>
          <w:bookmarkEnd w:id="19"/>
          <w:r w:rsidR="00D854A5">
            <w:t xml:space="preserve"> </w:t>
          </w:r>
        </w:p>
        <w:p w14:paraId="31831CD1" w14:textId="77777777" w:rsidR="0052701D" w:rsidRPr="0052701D" w:rsidRDefault="0052701D" w:rsidP="0052701D">
          <w:pPr>
            <w:rPr>
              <w:lang w:val="en-US"/>
            </w:rPr>
          </w:pPr>
          <w:r w:rsidRPr="0052701D">
            <w:rPr>
              <w:lang w:val="en-US"/>
            </w:rPr>
            <w:t>Comparing with the ever-changing business environment, the traditional way of budgeting, it evidently is not well-placed to take care of the multidiscipline challenges modern business faces. Indeed, the limitations of incremental, fixed, and top-down budgeting—as this report expounds—give one reason to underline the need for a paradigm shift in the practices of financial management.</w:t>
          </w:r>
        </w:p>
        <w:p w14:paraId="0DF53DFE" w14:textId="77777777" w:rsidR="0052701D" w:rsidRPr="0052701D" w:rsidRDefault="0052701D" w:rsidP="0052701D">
          <w:pPr>
            <w:rPr>
              <w:lang w:val="en-US"/>
            </w:rPr>
          </w:pPr>
          <w:r w:rsidRPr="0052701D">
            <w:rPr>
              <w:lang w:val="en-US"/>
            </w:rPr>
            <w:t>Incremental budgeting based on historical precedent breeds complacency in responding to emerging trends, while fixed budgeting with its rigid constraints suppresses agility and hampers any change to the dynamic market scenario. Similarly, top-down budgeting neglects important insights with its hierarchical directives that do not result in grassroots innovation.</w:t>
          </w:r>
        </w:p>
        <w:p w14:paraId="1457F85E" w14:textId="77777777" w:rsidR="0052701D" w:rsidRPr="0052701D" w:rsidRDefault="0052701D" w:rsidP="0052701D">
          <w:pPr>
            <w:rPr>
              <w:lang w:val="en-US"/>
            </w:rPr>
          </w:pPr>
          <w:r w:rsidRPr="0052701D">
            <w:rPr>
              <w:lang w:val="en-US"/>
            </w:rPr>
            <w:t>However, some alternative approaches provide a ray of hope to the organizations desiring to break the limitations of the traditional way of budgeting. Beyond Budgeting proposes that the decentralization of organizational decision-making, through inclusion, is to build a culture of empowerment to enable quick responses to market dynamics. Activity-Based Budgeting (ABB) is a thoroughly meticulous model that allots resources to value addition activities to ensure efficiency and accountability remain in check. Rolling Forecasts, by their very iterative nature, therefore allow the organization to be proactive in new and emerging opportunities within an environment of uncertainty.</w:t>
          </w:r>
        </w:p>
        <w:p w14:paraId="4E2992B4" w14:textId="0DDFDF61" w:rsidR="00DA3F14" w:rsidRPr="00DA3F14" w:rsidRDefault="0052701D" w:rsidP="0052701D">
          <w:pPr>
            <w:rPr>
              <w:lang w:val="en-US"/>
            </w:rPr>
          </w:pPr>
          <w:r w:rsidRPr="0052701D">
            <w:rPr>
              <w:lang w:val="en-US"/>
            </w:rPr>
            <w:t>In conclusion, the imperative for organizations lies in embracing innovation and flexibility in budgeting practices. Overcoming the barriers of traditional methodologies and developing dynamic approaches that are customized as per VUCA world realities will really help the organization be resilient, innovative, and grow sustainably in the ever-changing business scenario. Organizations will master uncertainty and chart a course through the years with leading success by innovation and adaptability.</w:t>
          </w:r>
        </w:p>
        <w:p w14:paraId="64F97C7A" w14:textId="286003A5" w:rsidR="00DA3F14" w:rsidRPr="00DA3F14" w:rsidRDefault="00DA3F14" w:rsidP="00DA3F14">
          <w:pPr>
            <w:rPr>
              <w:lang w:val="en-US"/>
            </w:rPr>
          </w:pPr>
        </w:p>
        <w:p w14:paraId="0C6DEB97" w14:textId="77777777" w:rsidR="00AA2A91" w:rsidRPr="00DA3F14" w:rsidRDefault="00AA2A91" w:rsidP="00AA2A91">
          <w:pPr>
            <w:rPr>
              <w:lang w:val="en-US"/>
            </w:rPr>
          </w:pPr>
        </w:p>
        <w:p w14:paraId="6FF3B474" w14:textId="77777777" w:rsidR="00AA2A91" w:rsidRDefault="00AA2A91" w:rsidP="00AA2A91"/>
        <w:p w14:paraId="735EB39C" w14:textId="77777777" w:rsidR="00AA2A91" w:rsidRDefault="00AA2A91" w:rsidP="00AA2A91"/>
        <w:p w14:paraId="131D500D" w14:textId="77777777" w:rsidR="00AA2A91" w:rsidRDefault="00AA2A91" w:rsidP="00AA2A91"/>
        <w:p w14:paraId="6694B73F" w14:textId="77777777" w:rsidR="00AA2A91" w:rsidRDefault="00AA2A91" w:rsidP="00AA2A91"/>
        <w:p w14:paraId="7246D263" w14:textId="77777777" w:rsidR="00AA2A91" w:rsidRDefault="00AA2A91" w:rsidP="00AA2A91"/>
        <w:p w14:paraId="22020C63" w14:textId="77777777" w:rsidR="00AA2A91" w:rsidRDefault="00AA2A91" w:rsidP="00AA2A91"/>
        <w:p w14:paraId="43A20583" w14:textId="77777777" w:rsidR="00AA2A91" w:rsidRDefault="00AA2A91" w:rsidP="00AA2A91"/>
        <w:p w14:paraId="39BA3A5F" w14:textId="77777777" w:rsidR="00AA2A91" w:rsidRDefault="00AA2A91" w:rsidP="00AA2A91"/>
        <w:p w14:paraId="0ABC39D3" w14:textId="026BB920" w:rsidR="00AA2A91" w:rsidRDefault="00AA2A91" w:rsidP="00AA2A91"/>
        <w:p w14:paraId="79A9A94F" w14:textId="7CD12DBD" w:rsidR="00A83896" w:rsidRDefault="00A83896" w:rsidP="00AA2A91"/>
        <w:p w14:paraId="7FD4AE1B" w14:textId="4FFAEEC3" w:rsidR="00A83896" w:rsidRDefault="00A83896" w:rsidP="00AA2A91"/>
        <w:p w14:paraId="68A68049" w14:textId="77777777" w:rsidR="00A83896" w:rsidRDefault="00A83896" w:rsidP="00AA2A91"/>
        <w:p w14:paraId="7202FDFC" w14:textId="77777777" w:rsidR="00AA2A91" w:rsidRPr="00AA2A91" w:rsidRDefault="00AA2A91" w:rsidP="00AA2A91">
          <w:pPr>
            <w:pStyle w:val="Heading1"/>
          </w:pPr>
          <w:bookmarkStart w:id="20" w:name="_Toc163571979"/>
          <w:r>
            <w:lastRenderedPageBreak/>
            <w:t>Bibliography</w:t>
          </w:r>
          <w:bookmarkEnd w:id="20"/>
        </w:p>
        <w:p w14:paraId="20C2BDE2" w14:textId="69FB485D" w:rsidR="00FD3B5D" w:rsidRDefault="00000000" w:rsidP="00FD3B5D"/>
      </w:sdtContent>
    </w:sdt>
    <w:p w14:paraId="3E6917A3" w14:textId="77777777" w:rsidR="00FD3B5D" w:rsidRPr="00FD3B5D" w:rsidRDefault="00FD3B5D" w:rsidP="00FD3B5D">
      <w:pPr>
        <w:pStyle w:val="ListParagraph"/>
        <w:numPr>
          <w:ilvl w:val="0"/>
          <w:numId w:val="19"/>
        </w:numPr>
        <w:rPr>
          <w:lang w:val="en-US"/>
        </w:rPr>
      </w:pPr>
      <w:r w:rsidRPr="00FD3B5D">
        <w:rPr>
          <w:lang w:val="en-US"/>
        </w:rPr>
        <w:t>Aziz, A. (2023) “Beyond Budgeting: Embracing agility and resilience in performance management,” </w:t>
      </w:r>
      <w:r w:rsidRPr="00FD3B5D">
        <w:rPr>
          <w:i/>
          <w:iCs/>
          <w:lang w:val="en-US"/>
        </w:rPr>
        <w:t>Advance Social Science Archive Journal</w:t>
      </w:r>
      <w:r w:rsidRPr="00FD3B5D">
        <w:rPr>
          <w:lang w:val="en-US"/>
        </w:rPr>
        <w:t>, 1(01), pp. 1–9. Available at: https://www.assajournal.com/index.php/36/article/view/15 (Accessed: April 9, 2024).</w:t>
      </w:r>
    </w:p>
    <w:p w14:paraId="60BCA4F9" w14:textId="77777777" w:rsidR="00FD3B5D" w:rsidRPr="00FD3B5D" w:rsidRDefault="00FD3B5D" w:rsidP="00FD3B5D">
      <w:pPr>
        <w:rPr>
          <w:lang w:val="en-US"/>
        </w:rPr>
      </w:pPr>
    </w:p>
    <w:p w14:paraId="4011DFB7" w14:textId="77777777" w:rsidR="00FD3B5D" w:rsidRPr="00FD3B5D" w:rsidRDefault="00FD3B5D" w:rsidP="00FD3B5D">
      <w:pPr>
        <w:pStyle w:val="ListParagraph"/>
        <w:numPr>
          <w:ilvl w:val="0"/>
          <w:numId w:val="19"/>
        </w:numPr>
        <w:rPr>
          <w:lang w:val="en-US"/>
        </w:rPr>
      </w:pPr>
      <w:r w:rsidRPr="00FD3B5D">
        <w:rPr>
          <w:lang w:val="en-US"/>
        </w:rPr>
        <w:t>Bendle, N. </w:t>
      </w:r>
      <w:r w:rsidRPr="00FD3B5D">
        <w:rPr>
          <w:i/>
          <w:iCs/>
          <w:lang w:val="en-US"/>
        </w:rPr>
        <w:t>et al.</w:t>
      </w:r>
      <w:r w:rsidRPr="00FD3B5D">
        <w:rPr>
          <w:lang w:val="en-US"/>
        </w:rPr>
        <w:t> (2020) </w:t>
      </w:r>
      <w:r w:rsidRPr="00FD3B5D">
        <w:rPr>
          <w:i/>
          <w:iCs/>
          <w:lang w:val="en-US"/>
        </w:rPr>
        <w:t>Marketing Metrics</w:t>
      </w:r>
      <w:r w:rsidRPr="00FD3B5D">
        <w:rPr>
          <w:lang w:val="en-US"/>
        </w:rPr>
        <w:t>. FT Press.</w:t>
      </w:r>
    </w:p>
    <w:p w14:paraId="08C0419B" w14:textId="77777777" w:rsidR="00FD3B5D" w:rsidRPr="00FD3B5D" w:rsidRDefault="00FD3B5D" w:rsidP="00FD3B5D">
      <w:pPr>
        <w:rPr>
          <w:lang w:val="en-US"/>
        </w:rPr>
      </w:pPr>
    </w:p>
    <w:p w14:paraId="52A18DC8" w14:textId="77777777" w:rsidR="00FD3B5D" w:rsidRPr="00FD3B5D" w:rsidRDefault="00FD3B5D" w:rsidP="00FD3B5D">
      <w:pPr>
        <w:pStyle w:val="ListParagraph"/>
        <w:numPr>
          <w:ilvl w:val="0"/>
          <w:numId w:val="19"/>
        </w:numPr>
        <w:rPr>
          <w:lang w:val="en-US"/>
        </w:rPr>
      </w:pPr>
      <w:r w:rsidRPr="00FD3B5D">
        <w:rPr>
          <w:lang w:val="en-US"/>
        </w:rPr>
        <w:t>Bingham, R. P., Daniel Bureau and Duncan, A. G. (2023) </w:t>
      </w:r>
      <w:r w:rsidRPr="00FD3B5D">
        <w:rPr>
          <w:i/>
          <w:iCs/>
          <w:lang w:val="en-US"/>
        </w:rPr>
        <w:t>Leading assessment for student success: Ten tenets that change culture and practice in student affairs</w:t>
      </w:r>
      <w:r w:rsidRPr="00FD3B5D">
        <w:rPr>
          <w:lang w:val="en-US"/>
        </w:rPr>
        <w:t>. London, England: Taylor &amp; Francis.</w:t>
      </w:r>
    </w:p>
    <w:p w14:paraId="1AC90D85" w14:textId="77777777" w:rsidR="00FD3B5D" w:rsidRPr="00FD3B5D" w:rsidRDefault="00FD3B5D" w:rsidP="00FD3B5D">
      <w:pPr>
        <w:rPr>
          <w:lang w:val="en-US"/>
        </w:rPr>
      </w:pPr>
    </w:p>
    <w:p w14:paraId="2E187551" w14:textId="77777777" w:rsidR="00FD3B5D" w:rsidRPr="00FD3B5D" w:rsidRDefault="00FD3B5D" w:rsidP="00FD3B5D">
      <w:pPr>
        <w:pStyle w:val="ListParagraph"/>
        <w:numPr>
          <w:ilvl w:val="0"/>
          <w:numId w:val="19"/>
        </w:numPr>
        <w:rPr>
          <w:lang w:val="en-US"/>
        </w:rPr>
      </w:pPr>
      <w:r w:rsidRPr="00FD3B5D">
        <w:rPr>
          <w:lang w:val="en-US"/>
        </w:rPr>
        <w:t>Boruvka, E. and Perry, J. L. (2020) “Understanding evolving public motivational practices: An institutional analysis,” </w:t>
      </w:r>
      <w:r w:rsidRPr="00FD3B5D">
        <w:rPr>
          <w:i/>
          <w:iCs/>
          <w:lang w:val="en-US"/>
        </w:rPr>
        <w:t>Governance (Oxford, England)</w:t>
      </w:r>
      <w:r w:rsidRPr="00FD3B5D">
        <w:rPr>
          <w:lang w:val="en-US"/>
        </w:rPr>
        <w:t>, 33(3), pp. 565–584. doi: 10.1111/gove.12460.</w:t>
      </w:r>
    </w:p>
    <w:p w14:paraId="7B5981A2" w14:textId="77777777" w:rsidR="00FD3B5D" w:rsidRPr="00FD3B5D" w:rsidRDefault="00FD3B5D" w:rsidP="00FD3B5D">
      <w:pPr>
        <w:rPr>
          <w:lang w:val="en-US"/>
        </w:rPr>
      </w:pPr>
    </w:p>
    <w:p w14:paraId="33CF228E" w14:textId="77777777" w:rsidR="00FD3B5D" w:rsidRPr="00FD3B5D" w:rsidRDefault="00FD3B5D" w:rsidP="00FD3B5D">
      <w:pPr>
        <w:pStyle w:val="ListParagraph"/>
        <w:numPr>
          <w:ilvl w:val="0"/>
          <w:numId w:val="19"/>
        </w:numPr>
        <w:rPr>
          <w:lang w:val="en-US"/>
        </w:rPr>
      </w:pPr>
      <w:r w:rsidRPr="00FD3B5D">
        <w:rPr>
          <w:i/>
          <w:iCs/>
          <w:lang w:val="en-US"/>
        </w:rPr>
        <w:t>Can you survive the wild alone?: The middle manager role in higher education institutions in Illinois</w:t>
      </w:r>
      <w:r w:rsidRPr="00FD3B5D">
        <w:rPr>
          <w:lang w:val="en-US"/>
        </w:rPr>
        <w:t> (2021).</w:t>
      </w:r>
    </w:p>
    <w:p w14:paraId="2C6D816C" w14:textId="77777777" w:rsidR="00FD3B5D" w:rsidRPr="00FD3B5D" w:rsidRDefault="00FD3B5D" w:rsidP="00FD3B5D">
      <w:pPr>
        <w:rPr>
          <w:lang w:val="en-US"/>
        </w:rPr>
      </w:pPr>
    </w:p>
    <w:p w14:paraId="000ACBED" w14:textId="77777777" w:rsidR="00FD3B5D" w:rsidRPr="00FD3B5D" w:rsidRDefault="00FD3B5D" w:rsidP="00FD3B5D">
      <w:pPr>
        <w:pStyle w:val="ListParagraph"/>
        <w:numPr>
          <w:ilvl w:val="0"/>
          <w:numId w:val="19"/>
        </w:numPr>
        <w:rPr>
          <w:lang w:val="en-US"/>
        </w:rPr>
      </w:pPr>
      <w:r w:rsidRPr="00FD3B5D">
        <w:rPr>
          <w:lang w:val="en-US"/>
        </w:rPr>
        <w:t>Codini, A. P., Abbate, T. and Messeni Petruzzelli, A. (2023) “Business Model Innovation and exaptation: A new way of innovating in SMEs,” </w:t>
      </w:r>
      <w:r w:rsidRPr="00FD3B5D">
        <w:rPr>
          <w:i/>
          <w:iCs/>
          <w:lang w:val="en-US"/>
        </w:rPr>
        <w:t>Technovation</w:t>
      </w:r>
      <w:r w:rsidRPr="00FD3B5D">
        <w:rPr>
          <w:lang w:val="en-US"/>
        </w:rPr>
        <w:t>, 119(102548), p. 102548. doi: 10.1016/j.technovation.2022.102548.</w:t>
      </w:r>
    </w:p>
    <w:p w14:paraId="393E05B6" w14:textId="77777777" w:rsidR="00FD3B5D" w:rsidRPr="00FD3B5D" w:rsidRDefault="00FD3B5D" w:rsidP="00FD3B5D">
      <w:pPr>
        <w:rPr>
          <w:lang w:val="en-US"/>
        </w:rPr>
      </w:pPr>
    </w:p>
    <w:p w14:paraId="1B6DDCF4" w14:textId="77777777" w:rsidR="00FD3B5D" w:rsidRPr="00FD3B5D" w:rsidRDefault="00FD3B5D" w:rsidP="00FD3B5D">
      <w:pPr>
        <w:pStyle w:val="ListParagraph"/>
        <w:numPr>
          <w:ilvl w:val="0"/>
          <w:numId w:val="19"/>
        </w:numPr>
        <w:rPr>
          <w:lang w:val="en-US"/>
        </w:rPr>
      </w:pPr>
      <w:r w:rsidRPr="00FD3B5D">
        <w:rPr>
          <w:lang w:val="en-US"/>
        </w:rPr>
        <w:t>Combita Niño, H. A., Cómbita Niño, J. P. and Morales Ortega, R. (2020) “Business intelligence governance framework in a university: Universidad de la costa case study,” </w:t>
      </w:r>
      <w:r w:rsidRPr="00FD3B5D">
        <w:rPr>
          <w:i/>
          <w:iCs/>
          <w:lang w:val="en-US"/>
        </w:rPr>
        <w:t>International journal of information management</w:t>
      </w:r>
      <w:r w:rsidRPr="00FD3B5D">
        <w:rPr>
          <w:lang w:val="en-US"/>
        </w:rPr>
        <w:t>, 50, pp. 405–412. doi: 10.1016/j.ijinfomgt.2018.11.012.</w:t>
      </w:r>
    </w:p>
    <w:p w14:paraId="60C248D7" w14:textId="77777777" w:rsidR="00FD3B5D" w:rsidRPr="00FD3B5D" w:rsidRDefault="00FD3B5D" w:rsidP="00FD3B5D">
      <w:pPr>
        <w:rPr>
          <w:lang w:val="en-US"/>
        </w:rPr>
      </w:pPr>
    </w:p>
    <w:p w14:paraId="187155E5" w14:textId="77777777" w:rsidR="00FD3B5D" w:rsidRPr="00FD3B5D" w:rsidRDefault="00FD3B5D" w:rsidP="00FD3B5D">
      <w:pPr>
        <w:pStyle w:val="ListParagraph"/>
        <w:numPr>
          <w:ilvl w:val="0"/>
          <w:numId w:val="19"/>
        </w:numPr>
        <w:rPr>
          <w:lang w:val="en-US"/>
        </w:rPr>
      </w:pPr>
      <w:r w:rsidRPr="00FD3B5D">
        <w:rPr>
          <w:lang w:val="en-US"/>
        </w:rPr>
        <w:t>Deldjoo, Y. </w:t>
      </w:r>
      <w:r w:rsidRPr="00FD3B5D">
        <w:rPr>
          <w:i/>
          <w:iCs/>
          <w:lang w:val="en-US"/>
        </w:rPr>
        <w:t>et al.</w:t>
      </w:r>
      <w:r w:rsidRPr="00FD3B5D">
        <w:rPr>
          <w:lang w:val="en-US"/>
        </w:rPr>
        <w:t> (2021) “A flexible framework for evaluating user and item fairness in recommender systems,” </w:t>
      </w:r>
      <w:r w:rsidRPr="00FD3B5D">
        <w:rPr>
          <w:i/>
          <w:iCs/>
          <w:lang w:val="en-US"/>
        </w:rPr>
        <w:t>User modeling and user-adapted interaction</w:t>
      </w:r>
      <w:r w:rsidRPr="00FD3B5D">
        <w:rPr>
          <w:lang w:val="en-US"/>
        </w:rPr>
        <w:t>, 31(3), pp. 457–511. doi: 10.1007/s11257-020-09285-1.</w:t>
      </w:r>
    </w:p>
    <w:p w14:paraId="4EF8FA59" w14:textId="77777777" w:rsidR="00FD3B5D" w:rsidRPr="00FD3B5D" w:rsidRDefault="00FD3B5D" w:rsidP="00FD3B5D">
      <w:pPr>
        <w:rPr>
          <w:lang w:val="en-US"/>
        </w:rPr>
      </w:pPr>
    </w:p>
    <w:p w14:paraId="40A8FF19" w14:textId="77777777" w:rsidR="00FD3B5D" w:rsidRPr="00FD3B5D" w:rsidRDefault="00FD3B5D" w:rsidP="00FD3B5D">
      <w:pPr>
        <w:pStyle w:val="ListParagraph"/>
        <w:numPr>
          <w:ilvl w:val="0"/>
          <w:numId w:val="19"/>
        </w:numPr>
        <w:rPr>
          <w:lang w:val="en-US"/>
        </w:rPr>
      </w:pPr>
      <w:r w:rsidRPr="00FD3B5D">
        <w:rPr>
          <w:lang w:val="en-US"/>
        </w:rPr>
        <w:t>DeYong, G. D. (2020) “The price-setting newsvendor: review and extensions,” </w:t>
      </w:r>
      <w:r w:rsidRPr="00FD3B5D">
        <w:rPr>
          <w:i/>
          <w:iCs/>
          <w:lang w:val="en-US"/>
        </w:rPr>
        <w:t>International journal of production research</w:t>
      </w:r>
      <w:r w:rsidRPr="00FD3B5D">
        <w:rPr>
          <w:lang w:val="en-US"/>
        </w:rPr>
        <w:t>, 58(6), pp. 1776–1804. doi: 10.1080/00207543.2019.1671624.</w:t>
      </w:r>
    </w:p>
    <w:p w14:paraId="2E4F48F6" w14:textId="77777777" w:rsidR="00FD3B5D" w:rsidRPr="00FD3B5D" w:rsidRDefault="00FD3B5D" w:rsidP="00FD3B5D">
      <w:pPr>
        <w:rPr>
          <w:lang w:val="en-US"/>
        </w:rPr>
      </w:pPr>
    </w:p>
    <w:p w14:paraId="32AEC7E8" w14:textId="77777777" w:rsidR="00FD3B5D" w:rsidRPr="00FD3B5D" w:rsidRDefault="00FD3B5D" w:rsidP="00FD3B5D">
      <w:pPr>
        <w:pStyle w:val="ListParagraph"/>
        <w:numPr>
          <w:ilvl w:val="0"/>
          <w:numId w:val="19"/>
        </w:numPr>
        <w:rPr>
          <w:lang w:val="en-US"/>
        </w:rPr>
      </w:pPr>
      <w:r w:rsidRPr="00FD3B5D">
        <w:rPr>
          <w:lang w:val="en-US"/>
        </w:rPr>
        <w:lastRenderedPageBreak/>
        <w:t>Dimes, R. and de Villiers, C. (2024) “Hallmarks of integrated thinking,” </w:t>
      </w:r>
      <w:r w:rsidRPr="00FD3B5D">
        <w:rPr>
          <w:i/>
          <w:iCs/>
          <w:lang w:val="en-US"/>
        </w:rPr>
        <w:t>The British accounting review</w:t>
      </w:r>
      <w:r w:rsidRPr="00FD3B5D">
        <w:rPr>
          <w:lang w:val="en-US"/>
        </w:rPr>
        <w:t>, 56(1), p. 101281. doi: 10.1016/j.bar.2023.101281.</w:t>
      </w:r>
    </w:p>
    <w:p w14:paraId="7637CE25" w14:textId="77777777" w:rsidR="00FD3B5D" w:rsidRPr="00FD3B5D" w:rsidRDefault="00FD3B5D" w:rsidP="00FD3B5D">
      <w:pPr>
        <w:rPr>
          <w:lang w:val="en-US"/>
        </w:rPr>
      </w:pPr>
    </w:p>
    <w:p w14:paraId="55EC4A7D" w14:textId="77777777" w:rsidR="00FD3B5D" w:rsidRPr="00FD3B5D" w:rsidRDefault="00FD3B5D" w:rsidP="00FD3B5D">
      <w:pPr>
        <w:pStyle w:val="ListParagraph"/>
        <w:numPr>
          <w:ilvl w:val="0"/>
          <w:numId w:val="19"/>
        </w:numPr>
        <w:rPr>
          <w:lang w:val="en-US"/>
        </w:rPr>
      </w:pPr>
      <w:r w:rsidRPr="00FD3B5D">
        <w:rPr>
          <w:lang w:val="en-US"/>
        </w:rPr>
        <w:t>Ebeke, M. C. H. </w:t>
      </w:r>
      <w:r w:rsidRPr="00FD3B5D">
        <w:rPr>
          <w:i/>
          <w:iCs/>
          <w:lang w:val="en-US"/>
        </w:rPr>
        <w:t>et al.</w:t>
      </w:r>
      <w:r w:rsidRPr="00FD3B5D">
        <w:rPr>
          <w:lang w:val="en-US"/>
        </w:rPr>
        <w:t> (2021) </w:t>
      </w:r>
      <w:r w:rsidRPr="00FD3B5D">
        <w:rPr>
          <w:i/>
          <w:iCs/>
          <w:lang w:val="en-US"/>
        </w:rPr>
        <w:t>Corporate liquidity and solvency in Europe during COVID-19: The role of policies</w:t>
      </w:r>
      <w:r w:rsidRPr="00FD3B5D">
        <w:rPr>
          <w:lang w:val="en-US"/>
        </w:rPr>
        <w:t>. Washington, D.C., DC: International Monetary Fund.</w:t>
      </w:r>
    </w:p>
    <w:p w14:paraId="64F290B9" w14:textId="77777777" w:rsidR="00FD3B5D" w:rsidRPr="00FD3B5D" w:rsidRDefault="00FD3B5D" w:rsidP="00FD3B5D">
      <w:pPr>
        <w:rPr>
          <w:lang w:val="en-US"/>
        </w:rPr>
      </w:pPr>
    </w:p>
    <w:p w14:paraId="48A6F7F3" w14:textId="77777777" w:rsidR="00FD3B5D" w:rsidRPr="00FD3B5D" w:rsidRDefault="00FD3B5D" w:rsidP="00FD3B5D">
      <w:pPr>
        <w:pStyle w:val="ListParagraph"/>
        <w:numPr>
          <w:ilvl w:val="0"/>
          <w:numId w:val="19"/>
        </w:numPr>
        <w:rPr>
          <w:lang w:val="en-US"/>
        </w:rPr>
      </w:pPr>
      <w:r w:rsidRPr="00FD3B5D">
        <w:rPr>
          <w:lang w:val="en-US"/>
        </w:rPr>
        <w:t>Flyvbjerg, B. (2021) “Top ten behavioral biases in project management: An overview,” </w:t>
      </w:r>
      <w:r w:rsidRPr="00FD3B5D">
        <w:rPr>
          <w:i/>
          <w:iCs/>
          <w:lang w:val="en-US"/>
        </w:rPr>
        <w:t>Project management journal</w:t>
      </w:r>
      <w:r w:rsidRPr="00FD3B5D">
        <w:rPr>
          <w:lang w:val="en-US"/>
        </w:rPr>
        <w:t>, 52(6), pp. 531–546. doi: 10.1177/87569728211049046.</w:t>
      </w:r>
    </w:p>
    <w:p w14:paraId="488310F3" w14:textId="77777777" w:rsidR="00FD3B5D" w:rsidRPr="00FD3B5D" w:rsidRDefault="00FD3B5D" w:rsidP="00FD3B5D">
      <w:pPr>
        <w:rPr>
          <w:lang w:val="en-US"/>
        </w:rPr>
      </w:pPr>
    </w:p>
    <w:p w14:paraId="672E14CA" w14:textId="77777777" w:rsidR="00FD3B5D" w:rsidRPr="00FD3B5D" w:rsidRDefault="00FD3B5D" w:rsidP="00FD3B5D">
      <w:pPr>
        <w:pStyle w:val="ListParagraph"/>
        <w:numPr>
          <w:ilvl w:val="0"/>
          <w:numId w:val="19"/>
        </w:numPr>
        <w:rPr>
          <w:lang w:val="en-US"/>
        </w:rPr>
      </w:pPr>
      <w:r w:rsidRPr="00FD3B5D">
        <w:rPr>
          <w:lang w:val="en-US"/>
        </w:rPr>
        <w:t>Fox, J. and Bartholomae, S. (2020) “Household finances, financial planning, and COVID‐19,” </w:t>
      </w:r>
      <w:r w:rsidRPr="00FD3B5D">
        <w:rPr>
          <w:i/>
          <w:iCs/>
          <w:lang w:val="en-US"/>
        </w:rPr>
        <w:t>Financial planning review</w:t>
      </w:r>
      <w:r w:rsidRPr="00FD3B5D">
        <w:rPr>
          <w:lang w:val="en-US"/>
        </w:rPr>
        <w:t>, 3(4). doi: 10.1002/cfp2.1103.</w:t>
      </w:r>
    </w:p>
    <w:p w14:paraId="6DE07367" w14:textId="77777777" w:rsidR="00FD3B5D" w:rsidRPr="00FD3B5D" w:rsidRDefault="00FD3B5D" w:rsidP="00FD3B5D">
      <w:pPr>
        <w:rPr>
          <w:lang w:val="en-US"/>
        </w:rPr>
      </w:pPr>
    </w:p>
    <w:p w14:paraId="56B83772" w14:textId="77777777" w:rsidR="00FD3B5D" w:rsidRPr="00FD3B5D" w:rsidRDefault="00FD3B5D" w:rsidP="00FD3B5D">
      <w:pPr>
        <w:pStyle w:val="ListParagraph"/>
        <w:numPr>
          <w:ilvl w:val="0"/>
          <w:numId w:val="19"/>
        </w:numPr>
        <w:rPr>
          <w:lang w:val="en-US"/>
        </w:rPr>
      </w:pPr>
      <w:r w:rsidRPr="00FD3B5D">
        <w:rPr>
          <w:lang w:val="en-US"/>
        </w:rPr>
        <w:t>Fridson, M. S. and Alvarez, F. (2022) </w:t>
      </w:r>
      <w:r w:rsidRPr="00FD3B5D">
        <w:rPr>
          <w:i/>
          <w:iCs/>
          <w:lang w:val="en-US"/>
        </w:rPr>
        <w:t>Financial Statement Analysis: A practitioner’s guide</w:t>
      </w:r>
      <w:r w:rsidRPr="00FD3B5D">
        <w:rPr>
          <w:lang w:val="en-US"/>
        </w:rPr>
        <w:t>. John Wiley &amp; Sons.</w:t>
      </w:r>
    </w:p>
    <w:p w14:paraId="7433E228" w14:textId="77777777" w:rsidR="00FD3B5D" w:rsidRPr="00FD3B5D" w:rsidRDefault="00FD3B5D" w:rsidP="00FD3B5D">
      <w:pPr>
        <w:rPr>
          <w:lang w:val="en-US"/>
        </w:rPr>
      </w:pPr>
    </w:p>
    <w:p w14:paraId="05781F42" w14:textId="77777777" w:rsidR="00FD3B5D" w:rsidRPr="00FD3B5D" w:rsidRDefault="00FD3B5D" w:rsidP="00FD3B5D">
      <w:pPr>
        <w:pStyle w:val="ListParagraph"/>
        <w:numPr>
          <w:ilvl w:val="0"/>
          <w:numId w:val="19"/>
        </w:numPr>
        <w:rPr>
          <w:lang w:val="en-US"/>
        </w:rPr>
      </w:pPr>
      <w:r w:rsidRPr="00FD3B5D">
        <w:rPr>
          <w:lang w:val="en-US"/>
        </w:rPr>
        <w:t>Genrich, M. </w:t>
      </w:r>
      <w:r w:rsidRPr="00FD3B5D">
        <w:rPr>
          <w:i/>
          <w:iCs/>
          <w:lang w:val="en-US"/>
        </w:rPr>
        <w:t>et al.</w:t>
      </w:r>
      <w:r w:rsidRPr="00FD3B5D">
        <w:rPr>
          <w:lang w:val="en-US"/>
        </w:rPr>
        <w:t> (2020) “Hospital medical and nursing managers’ perspectives on health-related work design interventions. A qualitative study,” </w:t>
      </w:r>
      <w:r w:rsidRPr="00FD3B5D">
        <w:rPr>
          <w:i/>
          <w:iCs/>
          <w:lang w:val="en-US"/>
        </w:rPr>
        <w:t>Frontiers in psychology</w:t>
      </w:r>
      <w:r w:rsidRPr="00FD3B5D">
        <w:rPr>
          <w:lang w:val="en-US"/>
        </w:rPr>
        <w:t>, 11. doi: 10.3389/fpsyg.2020.00869.</w:t>
      </w:r>
    </w:p>
    <w:p w14:paraId="6C53CADD" w14:textId="77777777" w:rsidR="00FD3B5D" w:rsidRPr="00FD3B5D" w:rsidRDefault="00FD3B5D" w:rsidP="00FD3B5D">
      <w:pPr>
        <w:rPr>
          <w:lang w:val="en-US"/>
        </w:rPr>
      </w:pPr>
    </w:p>
    <w:p w14:paraId="659A80B6" w14:textId="77777777" w:rsidR="00FD3B5D" w:rsidRPr="00FD3B5D" w:rsidRDefault="00FD3B5D" w:rsidP="00FD3B5D">
      <w:pPr>
        <w:pStyle w:val="ListParagraph"/>
        <w:numPr>
          <w:ilvl w:val="0"/>
          <w:numId w:val="19"/>
        </w:numPr>
        <w:rPr>
          <w:lang w:val="en-US"/>
        </w:rPr>
      </w:pPr>
      <w:r w:rsidRPr="00FD3B5D">
        <w:rPr>
          <w:lang w:val="en-US"/>
        </w:rPr>
        <w:t>Grant, R. M. (2021) </w:t>
      </w:r>
      <w:r w:rsidRPr="00FD3B5D">
        <w:rPr>
          <w:i/>
          <w:iCs/>
          <w:lang w:val="en-US"/>
        </w:rPr>
        <w:t>Contemporary Strategy Analysis</w:t>
      </w:r>
      <w:r w:rsidRPr="00FD3B5D">
        <w:rPr>
          <w:lang w:val="en-US"/>
        </w:rPr>
        <w:t>. John Wiley &amp; Sons.</w:t>
      </w:r>
    </w:p>
    <w:p w14:paraId="7348ACD7" w14:textId="77777777" w:rsidR="00FD3B5D" w:rsidRPr="00FD3B5D" w:rsidRDefault="00FD3B5D" w:rsidP="00FD3B5D">
      <w:pPr>
        <w:rPr>
          <w:lang w:val="en-US"/>
        </w:rPr>
      </w:pPr>
    </w:p>
    <w:p w14:paraId="461BB56F" w14:textId="77777777" w:rsidR="00FD3B5D" w:rsidRPr="00FD3B5D" w:rsidRDefault="00FD3B5D" w:rsidP="00FD3B5D">
      <w:pPr>
        <w:pStyle w:val="ListParagraph"/>
        <w:numPr>
          <w:ilvl w:val="0"/>
          <w:numId w:val="19"/>
        </w:numPr>
        <w:rPr>
          <w:lang w:val="en-US"/>
        </w:rPr>
      </w:pPr>
      <w:r w:rsidRPr="00FD3B5D">
        <w:rPr>
          <w:lang w:val="en-US"/>
        </w:rPr>
        <w:t>Gupta, S. (2020) </w:t>
      </w:r>
      <w:r w:rsidRPr="00FD3B5D">
        <w:rPr>
          <w:i/>
          <w:iCs/>
          <w:lang w:val="en-US"/>
        </w:rPr>
        <w:t>Working capital management through inventory management techniques</w:t>
      </w:r>
      <w:r w:rsidRPr="00FD3B5D">
        <w:rPr>
          <w:lang w:val="en-US"/>
        </w:rPr>
        <w:t>. Ashok Yakkaldevi.</w:t>
      </w:r>
    </w:p>
    <w:p w14:paraId="300C2A95" w14:textId="77777777" w:rsidR="00FD3B5D" w:rsidRPr="00FD3B5D" w:rsidRDefault="00FD3B5D" w:rsidP="00FD3B5D">
      <w:pPr>
        <w:rPr>
          <w:lang w:val="en-US"/>
        </w:rPr>
      </w:pPr>
    </w:p>
    <w:p w14:paraId="5DCA6600" w14:textId="77777777" w:rsidR="00FD3B5D" w:rsidRPr="00FD3B5D" w:rsidRDefault="00FD3B5D" w:rsidP="00FD3B5D">
      <w:pPr>
        <w:pStyle w:val="ListParagraph"/>
        <w:numPr>
          <w:ilvl w:val="0"/>
          <w:numId w:val="19"/>
        </w:numPr>
        <w:rPr>
          <w:lang w:val="en-US"/>
        </w:rPr>
      </w:pPr>
      <w:r w:rsidRPr="00FD3B5D">
        <w:rPr>
          <w:lang w:val="en-US"/>
        </w:rPr>
        <w:t>Hortovanyi, L., Szabo, R. Z. and Fuzes, P. (2021) “Extension of the strategic renewal journey framework: The changing role of middle management,” </w:t>
      </w:r>
      <w:r w:rsidRPr="00FD3B5D">
        <w:rPr>
          <w:i/>
          <w:iCs/>
          <w:lang w:val="en-US"/>
        </w:rPr>
        <w:t>Technology in society</w:t>
      </w:r>
      <w:r w:rsidRPr="00FD3B5D">
        <w:rPr>
          <w:lang w:val="en-US"/>
        </w:rPr>
        <w:t>, 65(101540), p. 101540. doi: 10.1016/j.techsoc.2021.101540.</w:t>
      </w:r>
    </w:p>
    <w:p w14:paraId="38B7FFF7" w14:textId="77777777" w:rsidR="00FD3B5D" w:rsidRPr="00FD3B5D" w:rsidRDefault="00FD3B5D" w:rsidP="00FD3B5D">
      <w:pPr>
        <w:rPr>
          <w:lang w:val="en-US"/>
        </w:rPr>
      </w:pPr>
    </w:p>
    <w:p w14:paraId="05E38B23" w14:textId="77777777" w:rsidR="00FD3B5D" w:rsidRPr="00FD3B5D" w:rsidRDefault="00FD3B5D" w:rsidP="00FD3B5D">
      <w:pPr>
        <w:pStyle w:val="ListParagraph"/>
        <w:numPr>
          <w:ilvl w:val="0"/>
          <w:numId w:val="19"/>
        </w:numPr>
        <w:rPr>
          <w:lang w:val="en-US"/>
        </w:rPr>
      </w:pPr>
      <w:r w:rsidRPr="00FD3B5D">
        <w:rPr>
          <w:lang w:val="en-US"/>
        </w:rPr>
        <w:t>Ionescu, S.-A. and Diaconita, V. (2023) “Transforming financial decision-making: The interplay of AI, cloud computing and advanced data management technologies,” </w:t>
      </w:r>
      <w:r w:rsidRPr="00FD3B5D">
        <w:rPr>
          <w:i/>
          <w:iCs/>
          <w:lang w:val="en-US"/>
        </w:rPr>
        <w:t>International Journal of Computers Communications &amp; Control</w:t>
      </w:r>
      <w:r w:rsidRPr="00FD3B5D">
        <w:rPr>
          <w:lang w:val="en-US"/>
        </w:rPr>
        <w:t>, 18(6). doi: 10.15837/ijccc.2023.6.5735.</w:t>
      </w:r>
    </w:p>
    <w:p w14:paraId="055D807B" w14:textId="77777777" w:rsidR="00FD3B5D" w:rsidRPr="00FD3B5D" w:rsidRDefault="00FD3B5D" w:rsidP="00FD3B5D">
      <w:pPr>
        <w:rPr>
          <w:lang w:val="en-US"/>
        </w:rPr>
      </w:pPr>
    </w:p>
    <w:p w14:paraId="6F169C16" w14:textId="77777777" w:rsidR="00FD3B5D" w:rsidRPr="00FD3B5D" w:rsidRDefault="00FD3B5D" w:rsidP="00FD3B5D">
      <w:pPr>
        <w:pStyle w:val="ListParagraph"/>
        <w:numPr>
          <w:ilvl w:val="0"/>
          <w:numId w:val="19"/>
        </w:numPr>
        <w:rPr>
          <w:lang w:val="en-US"/>
        </w:rPr>
      </w:pPr>
      <w:r w:rsidRPr="00FD3B5D">
        <w:rPr>
          <w:lang w:val="en-US"/>
        </w:rPr>
        <w:lastRenderedPageBreak/>
        <w:t>Lassala, C., Orero-Blat, M. and Ribeiro-Navarrete, S. (2021) “The financial performance of listed companies in pursuit of the Sustainable Development Goals (SDG),” </w:t>
      </w:r>
      <w:r w:rsidRPr="00FD3B5D">
        <w:rPr>
          <w:i/>
          <w:iCs/>
          <w:lang w:val="en-US"/>
        </w:rPr>
        <w:t>Economic Research-Ekonomska Istraživanja</w:t>
      </w:r>
      <w:r w:rsidRPr="00FD3B5D">
        <w:rPr>
          <w:lang w:val="en-US"/>
        </w:rPr>
        <w:t>, 34(1), pp. 427–449. doi: 10.1080/1331677x.2021.1877167.</w:t>
      </w:r>
    </w:p>
    <w:p w14:paraId="516EFB0B" w14:textId="77777777" w:rsidR="00FD3B5D" w:rsidRPr="00FD3B5D" w:rsidRDefault="00FD3B5D" w:rsidP="00FD3B5D">
      <w:pPr>
        <w:rPr>
          <w:lang w:val="en-US"/>
        </w:rPr>
      </w:pPr>
    </w:p>
    <w:p w14:paraId="29A1A300" w14:textId="77777777" w:rsidR="00FD3B5D" w:rsidRPr="00FD3B5D" w:rsidRDefault="00FD3B5D" w:rsidP="00FD3B5D">
      <w:pPr>
        <w:pStyle w:val="ListParagraph"/>
        <w:numPr>
          <w:ilvl w:val="0"/>
          <w:numId w:val="19"/>
        </w:numPr>
        <w:rPr>
          <w:lang w:val="en-US"/>
        </w:rPr>
      </w:pPr>
      <w:r w:rsidRPr="00FD3B5D">
        <w:rPr>
          <w:lang w:val="en-US"/>
        </w:rPr>
        <w:t>Lee, A. (no date) </w:t>
      </w:r>
      <w:r w:rsidRPr="00FD3B5D">
        <w:rPr>
          <w:i/>
          <w:iCs/>
          <w:lang w:val="en-US"/>
        </w:rPr>
        <w:t>The library of babel: How (and how not) to use archival sources in political science</w:t>
      </w:r>
      <w:r w:rsidRPr="00FD3B5D">
        <w:rPr>
          <w:lang w:val="en-US"/>
        </w:rPr>
        <w:t>, </w:t>
      </w:r>
      <w:r w:rsidRPr="00FD3B5D">
        <w:rPr>
          <w:i/>
          <w:iCs/>
          <w:lang w:val="en-US"/>
        </w:rPr>
        <w:t>Rochester.edu</w:t>
      </w:r>
      <w:r w:rsidRPr="00FD3B5D">
        <w:rPr>
          <w:lang w:val="en-US"/>
        </w:rPr>
        <w:t>. Available at: http://www.rochester.edu/college/faculty/alexander_lee/wp-content/uploads/2022/07/archives5.pdf (Accessed: April 9, 2024).</w:t>
      </w:r>
    </w:p>
    <w:p w14:paraId="38F6EDD9" w14:textId="77777777" w:rsidR="00FD3B5D" w:rsidRPr="00FD3B5D" w:rsidRDefault="00FD3B5D" w:rsidP="00FD3B5D">
      <w:pPr>
        <w:rPr>
          <w:lang w:val="en-US"/>
        </w:rPr>
      </w:pPr>
    </w:p>
    <w:p w14:paraId="740F762B" w14:textId="77777777" w:rsidR="00FD3B5D" w:rsidRPr="00FD3B5D" w:rsidRDefault="00FD3B5D" w:rsidP="00FD3B5D">
      <w:pPr>
        <w:pStyle w:val="ListParagraph"/>
        <w:numPr>
          <w:ilvl w:val="0"/>
          <w:numId w:val="19"/>
        </w:numPr>
        <w:rPr>
          <w:lang w:val="en-US"/>
        </w:rPr>
      </w:pPr>
      <w:r w:rsidRPr="00FD3B5D">
        <w:rPr>
          <w:lang w:val="en-US"/>
        </w:rPr>
        <w:t>Locke, E. A. and Pearce, C. L. (2023) </w:t>
      </w:r>
      <w:r w:rsidRPr="00FD3B5D">
        <w:rPr>
          <w:i/>
          <w:iCs/>
          <w:lang w:val="en-US"/>
        </w:rPr>
        <w:t>Handbook of Principles of Organizational Behavior: Indispensable Knowledge for evidence-Based Management</w:t>
      </w:r>
      <w:r w:rsidRPr="00FD3B5D">
        <w:rPr>
          <w:lang w:val="en-US"/>
        </w:rPr>
        <w:t>. John Wiley &amp; Sons.</w:t>
      </w:r>
    </w:p>
    <w:p w14:paraId="103555BF" w14:textId="77777777" w:rsidR="00FD3B5D" w:rsidRPr="00FD3B5D" w:rsidRDefault="00FD3B5D" w:rsidP="00FD3B5D">
      <w:pPr>
        <w:rPr>
          <w:lang w:val="en-US"/>
        </w:rPr>
      </w:pPr>
    </w:p>
    <w:p w14:paraId="69273941" w14:textId="77777777" w:rsidR="00FD3B5D" w:rsidRPr="00FD3B5D" w:rsidRDefault="00FD3B5D" w:rsidP="00FD3B5D">
      <w:pPr>
        <w:pStyle w:val="ListParagraph"/>
        <w:numPr>
          <w:ilvl w:val="0"/>
          <w:numId w:val="19"/>
        </w:numPr>
        <w:rPr>
          <w:lang w:val="en-US"/>
        </w:rPr>
      </w:pPr>
      <w:r w:rsidRPr="00FD3B5D">
        <w:rPr>
          <w:lang w:val="en-US"/>
        </w:rPr>
        <w:t>Mancini, A. L. and Tommasino, P. (2023) “Fiscal rules and the reliability of public investment plans: Evidence from local governments,” </w:t>
      </w:r>
      <w:r w:rsidRPr="00FD3B5D">
        <w:rPr>
          <w:i/>
          <w:iCs/>
          <w:lang w:val="en-US"/>
        </w:rPr>
        <w:t>European journal of political economy</w:t>
      </w:r>
      <w:r w:rsidRPr="00FD3B5D">
        <w:rPr>
          <w:lang w:val="en-US"/>
        </w:rPr>
        <w:t>, 79(102415), p. 102415. doi: 10.1016/j.ejpoleco.2023.102415.</w:t>
      </w:r>
    </w:p>
    <w:p w14:paraId="20CC6DA6" w14:textId="77777777" w:rsidR="00FD3B5D" w:rsidRPr="00FD3B5D" w:rsidRDefault="00FD3B5D" w:rsidP="00FD3B5D">
      <w:pPr>
        <w:rPr>
          <w:lang w:val="en-US"/>
        </w:rPr>
      </w:pPr>
    </w:p>
    <w:p w14:paraId="5D973685" w14:textId="77777777" w:rsidR="00FD3B5D" w:rsidRPr="00FD3B5D" w:rsidRDefault="00FD3B5D" w:rsidP="00FD3B5D">
      <w:pPr>
        <w:pStyle w:val="ListParagraph"/>
        <w:numPr>
          <w:ilvl w:val="0"/>
          <w:numId w:val="19"/>
        </w:numPr>
        <w:rPr>
          <w:lang w:val="en-US"/>
        </w:rPr>
      </w:pPr>
      <w:r w:rsidRPr="00FD3B5D">
        <w:rPr>
          <w:lang w:val="en-US"/>
        </w:rPr>
        <w:t>Martin, R. and Sunley, P. (2020) “Regional economic resilience: evolution and evaluation,” in </w:t>
      </w:r>
      <w:r w:rsidRPr="00FD3B5D">
        <w:rPr>
          <w:i/>
          <w:iCs/>
          <w:lang w:val="en-US"/>
        </w:rPr>
        <w:t>Handbook on Regional Economic Resilience</w:t>
      </w:r>
      <w:r w:rsidRPr="00FD3B5D">
        <w:rPr>
          <w:lang w:val="en-US"/>
        </w:rPr>
        <w:t>. Cheltenham, England: Edward Elgar Publishing, pp. 10–35.</w:t>
      </w:r>
    </w:p>
    <w:p w14:paraId="0D137585" w14:textId="77777777" w:rsidR="00FD3B5D" w:rsidRPr="00FD3B5D" w:rsidRDefault="00FD3B5D" w:rsidP="00FD3B5D">
      <w:pPr>
        <w:rPr>
          <w:lang w:val="en-US"/>
        </w:rPr>
      </w:pPr>
    </w:p>
    <w:p w14:paraId="3E9023B1" w14:textId="77777777" w:rsidR="00FD3B5D" w:rsidRPr="00FD3B5D" w:rsidRDefault="00FD3B5D" w:rsidP="00FD3B5D">
      <w:pPr>
        <w:pStyle w:val="ListParagraph"/>
        <w:numPr>
          <w:ilvl w:val="0"/>
          <w:numId w:val="19"/>
        </w:numPr>
        <w:rPr>
          <w:lang w:val="en-US"/>
        </w:rPr>
      </w:pPr>
      <w:r w:rsidRPr="00FD3B5D">
        <w:rPr>
          <w:lang w:val="en-US"/>
        </w:rPr>
        <w:t>Matshidza, N. V. (no date) </w:t>
      </w:r>
      <w:r w:rsidRPr="00FD3B5D">
        <w:rPr>
          <w:i/>
          <w:iCs/>
          <w:lang w:val="en-US"/>
        </w:rPr>
        <w:t>Strategic planning and its alignment with the budgeting</w:t>
      </w:r>
      <w:r w:rsidRPr="00FD3B5D">
        <w:rPr>
          <w:lang w:val="en-US"/>
        </w:rPr>
        <w:t>, </w:t>
      </w:r>
      <w:r w:rsidRPr="00FD3B5D">
        <w:rPr>
          <w:i/>
          <w:iCs/>
          <w:lang w:val="en-US"/>
        </w:rPr>
        <w:t>Vut.ac.za</w:t>
      </w:r>
      <w:r w:rsidRPr="00FD3B5D">
        <w:rPr>
          <w:lang w:val="en-US"/>
        </w:rPr>
        <w:t>. Available at: http://digiresearch.vut.ac.za/bitstream/handle/10352/547/VIOLET%20FINAL%20DISSERTATION%20FOR%20EXAMINATION%20AND%20BINDING.pdf?sequence=1 (Accessed: April 9, 2024).</w:t>
      </w:r>
    </w:p>
    <w:p w14:paraId="3AB615DE" w14:textId="77777777" w:rsidR="00FD3B5D" w:rsidRPr="00FD3B5D" w:rsidRDefault="00FD3B5D" w:rsidP="00FD3B5D">
      <w:pPr>
        <w:rPr>
          <w:lang w:val="en-US"/>
        </w:rPr>
      </w:pPr>
    </w:p>
    <w:p w14:paraId="7671B3F2" w14:textId="77777777" w:rsidR="00FD3B5D" w:rsidRPr="00FD3B5D" w:rsidRDefault="00FD3B5D" w:rsidP="00FD3B5D">
      <w:pPr>
        <w:pStyle w:val="ListParagraph"/>
        <w:numPr>
          <w:ilvl w:val="0"/>
          <w:numId w:val="19"/>
        </w:numPr>
        <w:rPr>
          <w:lang w:val="en-US"/>
        </w:rPr>
      </w:pPr>
      <w:r w:rsidRPr="00FD3B5D">
        <w:rPr>
          <w:lang w:val="en-US"/>
        </w:rPr>
        <w:t>Meyer, T., Gracht, H. A. von der and Hartmann, E. (2022) “How organizations prepare for the future: A comparative study of firm size and industry,” </w:t>
      </w:r>
      <w:r w:rsidRPr="00FD3B5D">
        <w:rPr>
          <w:i/>
          <w:iCs/>
          <w:lang w:val="en-US"/>
        </w:rPr>
        <w:t>IEEE transactions on engineering management</w:t>
      </w:r>
      <w:r w:rsidRPr="00FD3B5D">
        <w:rPr>
          <w:lang w:val="en-US"/>
        </w:rPr>
        <w:t>, 69(2), pp. 511–523. doi: 10.1109/tem.2020.2992539.</w:t>
      </w:r>
    </w:p>
    <w:p w14:paraId="03114401" w14:textId="77777777" w:rsidR="00FD3B5D" w:rsidRPr="00FD3B5D" w:rsidRDefault="00FD3B5D" w:rsidP="00FD3B5D">
      <w:pPr>
        <w:rPr>
          <w:lang w:val="en-US"/>
        </w:rPr>
      </w:pPr>
    </w:p>
    <w:p w14:paraId="486A7BDB" w14:textId="77777777" w:rsidR="00FD3B5D" w:rsidRPr="00FD3B5D" w:rsidRDefault="00FD3B5D" w:rsidP="00FD3B5D">
      <w:pPr>
        <w:pStyle w:val="ListParagraph"/>
        <w:numPr>
          <w:ilvl w:val="0"/>
          <w:numId w:val="19"/>
        </w:numPr>
        <w:rPr>
          <w:lang w:val="en-US"/>
        </w:rPr>
      </w:pPr>
      <w:r w:rsidRPr="00FD3B5D">
        <w:rPr>
          <w:lang w:val="en-US"/>
        </w:rPr>
        <w:t>Musso, J. A. and Weare, C. (2020) “Performance management Goldilocks style: A transaction cost analysis of incentive intensity in performance regimes,” </w:t>
      </w:r>
      <w:r w:rsidRPr="00FD3B5D">
        <w:rPr>
          <w:i/>
          <w:iCs/>
          <w:lang w:val="en-US"/>
        </w:rPr>
        <w:t>Public performance &amp; management review</w:t>
      </w:r>
      <w:r w:rsidRPr="00FD3B5D">
        <w:rPr>
          <w:lang w:val="en-US"/>
        </w:rPr>
        <w:t>, 43(1), pp. 1–27. doi: 10.1080/15309576.2019.1677481.</w:t>
      </w:r>
    </w:p>
    <w:p w14:paraId="381E61D2" w14:textId="77777777" w:rsidR="00FD3B5D" w:rsidRPr="00FD3B5D" w:rsidRDefault="00FD3B5D" w:rsidP="00FD3B5D">
      <w:pPr>
        <w:rPr>
          <w:lang w:val="en-US"/>
        </w:rPr>
      </w:pPr>
    </w:p>
    <w:p w14:paraId="009B76EE" w14:textId="77777777" w:rsidR="00FD3B5D" w:rsidRPr="00FD3B5D" w:rsidRDefault="00FD3B5D" w:rsidP="00FD3B5D">
      <w:pPr>
        <w:pStyle w:val="ListParagraph"/>
        <w:numPr>
          <w:ilvl w:val="0"/>
          <w:numId w:val="19"/>
        </w:numPr>
        <w:rPr>
          <w:lang w:val="en-US"/>
        </w:rPr>
      </w:pPr>
      <w:r w:rsidRPr="00FD3B5D">
        <w:rPr>
          <w:lang w:val="en-US"/>
        </w:rPr>
        <w:lastRenderedPageBreak/>
        <w:t>Nicoletti, B. (2020) </w:t>
      </w:r>
      <w:r w:rsidRPr="00FD3B5D">
        <w:rPr>
          <w:i/>
          <w:iCs/>
          <w:lang w:val="en-US"/>
        </w:rPr>
        <w:t>Procurement 4.0 and the fourth industrial revolution: The opportunities and challenges of a digital world</w:t>
      </w:r>
      <w:r w:rsidRPr="00FD3B5D">
        <w:rPr>
          <w:lang w:val="en-US"/>
        </w:rPr>
        <w:t>. Cham: Springer International Publishing.</w:t>
      </w:r>
    </w:p>
    <w:p w14:paraId="672E406E" w14:textId="77777777" w:rsidR="00FD3B5D" w:rsidRPr="00FD3B5D" w:rsidRDefault="00FD3B5D" w:rsidP="00FD3B5D">
      <w:pPr>
        <w:rPr>
          <w:lang w:val="en-US"/>
        </w:rPr>
      </w:pPr>
    </w:p>
    <w:p w14:paraId="746AB019" w14:textId="77777777" w:rsidR="00FD3B5D" w:rsidRPr="00FD3B5D" w:rsidRDefault="00FD3B5D" w:rsidP="00FD3B5D">
      <w:pPr>
        <w:pStyle w:val="ListParagraph"/>
        <w:numPr>
          <w:ilvl w:val="0"/>
          <w:numId w:val="19"/>
        </w:numPr>
        <w:rPr>
          <w:lang w:val="en-US"/>
        </w:rPr>
      </w:pPr>
      <w:r w:rsidRPr="00FD3B5D">
        <w:rPr>
          <w:lang w:val="en-US"/>
        </w:rPr>
        <w:t>Ortynsky, S., Marshall, J. and Mou, H. (2021) “Budget practices in Canada’s K‐12 education sector: Incremental, performance, or productivity budgeting?,” </w:t>
      </w:r>
      <w:r w:rsidRPr="00FD3B5D">
        <w:rPr>
          <w:i/>
          <w:iCs/>
          <w:lang w:val="en-US"/>
        </w:rPr>
        <w:t>Canadian public administration: Administration publique du Canada</w:t>
      </w:r>
      <w:r w:rsidRPr="00FD3B5D">
        <w:rPr>
          <w:lang w:val="en-US"/>
        </w:rPr>
        <w:t>, 64(1), pp. 74–98. doi: 10.1111/capa.12402.</w:t>
      </w:r>
    </w:p>
    <w:p w14:paraId="3BF2A937" w14:textId="77777777" w:rsidR="00FD3B5D" w:rsidRPr="00FD3B5D" w:rsidRDefault="00FD3B5D" w:rsidP="00FD3B5D">
      <w:pPr>
        <w:rPr>
          <w:lang w:val="en-US"/>
        </w:rPr>
      </w:pPr>
    </w:p>
    <w:p w14:paraId="67527FD1" w14:textId="77777777" w:rsidR="00FD3B5D" w:rsidRPr="00FD3B5D" w:rsidRDefault="00FD3B5D" w:rsidP="00FD3B5D">
      <w:pPr>
        <w:pStyle w:val="ListParagraph"/>
        <w:numPr>
          <w:ilvl w:val="0"/>
          <w:numId w:val="19"/>
        </w:numPr>
        <w:rPr>
          <w:lang w:val="en-US"/>
        </w:rPr>
      </w:pPr>
      <w:r w:rsidRPr="00FD3B5D">
        <w:rPr>
          <w:lang w:val="en-US"/>
        </w:rPr>
        <w:t>Panday, P. K. and Chowdhury, S. (2020) “Responsiveness of local government officials: insights and lessons from participatory planning and budgeting,” </w:t>
      </w:r>
      <w:r w:rsidRPr="00FD3B5D">
        <w:rPr>
          <w:i/>
          <w:iCs/>
          <w:lang w:val="en-US"/>
        </w:rPr>
        <w:t>Asia Pacific journal of public administration</w:t>
      </w:r>
      <w:r w:rsidRPr="00FD3B5D">
        <w:rPr>
          <w:lang w:val="en-US"/>
        </w:rPr>
        <w:t>, 42(2), pp. 132–151. doi: 10.1080/23276665.2020.1742753.</w:t>
      </w:r>
    </w:p>
    <w:p w14:paraId="62FE50C9" w14:textId="77777777" w:rsidR="00FD3B5D" w:rsidRPr="00FD3B5D" w:rsidRDefault="00FD3B5D" w:rsidP="00FD3B5D">
      <w:pPr>
        <w:rPr>
          <w:lang w:val="en-US"/>
        </w:rPr>
      </w:pPr>
    </w:p>
    <w:p w14:paraId="516E2362" w14:textId="77777777" w:rsidR="00FD3B5D" w:rsidRPr="00FD3B5D" w:rsidRDefault="00FD3B5D" w:rsidP="00FD3B5D">
      <w:pPr>
        <w:pStyle w:val="ListParagraph"/>
        <w:numPr>
          <w:ilvl w:val="0"/>
          <w:numId w:val="19"/>
        </w:numPr>
        <w:rPr>
          <w:lang w:val="en-US"/>
        </w:rPr>
      </w:pPr>
      <w:r w:rsidRPr="00FD3B5D">
        <w:rPr>
          <w:lang w:val="en-US"/>
        </w:rPr>
        <w:t>Paolone, F. (2020) </w:t>
      </w:r>
      <w:r w:rsidRPr="00FD3B5D">
        <w:rPr>
          <w:i/>
          <w:iCs/>
          <w:lang w:val="en-US"/>
        </w:rPr>
        <w:t>Accounting, cash flow and value relevance</w:t>
      </w:r>
      <w:r w:rsidRPr="00FD3B5D">
        <w:rPr>
          <w:lang w:val="en-US"/>
        </w:rPr>
        <w:t>. Cham: Springer International Publishing.</w:t>
      </w:r>
    </w:p>
    <w:p w14:paraId="095043D1" w14:textId="77777777" w:rsidR="00FD3B5D" w:rsidRPr="00FD3B5D" w:rsidRDefault="00FD3B5D" w:rsidP="00FD3B5D">
      <w:pPr>
        <w:rPr>
          <w:lang w:val="en-US"/>
        </w:rPr>
      </w:pPr>
    </w:p>
    <w:p w14:paraId="67465AE7" w14:textId="77777777" w:rsidR="00FD3B5D" w:rsidRPr="00FD3B5D" w:rsidRDefault="00FD3B5D" w:rsidP="00FD3B5D">
      <w:pPr>
        <w:pStyle w:val="ListParagraph"/>
        <w:numPr>
          <w:ilvl w:val="0"/>
          <w:numId w:val="19"/>
        </w:numPr>
        <w:rPr>
          <w:lang w:val="en-US"/>
        </w:rPr>
      </w:pPr>
      <w:r w:rsidRPr="00FD3B5D">
        <w:rPr>
          <w:lang w:val="en-US"/>
        </w:rPr>
        <w:t>Pedersen, T. and Tallman, S. (2023) “Global strategy collections: Multinationality and performance,” </w:t>
      </w:r>
      <w:r w:rsidRPr="00FD3B5D">
        <w:rPr>
          <w:i/>
          <w:iCs/>
          <w:lang w:val="en-US"/>
        </w:rPr>
        <w:t>Global strategy journal</w:t>
      </w:r>
      <w:r w:rsidRPr="00FD3B5D">
        <w:rPr>
          <w:lang w:val="en-US"/>
        </w:rPr>
        <w:t>, 13(2), pp. 517–531. doi: 10.1002/gsj.1478.</w:t>
      </w:r>
    </w:p>
    <w:p w14:paraId="111A2FAE" w14:textId="77777777" w:rsidR="00FD3B5D" w:rsidRPr="00FD3B5D" w:rsidRDefault="00FD3B5D" w:rsidP="00FD3B5D">
      <w:pPr>
        <w:rPr>
          <w:lang w:val="en-US"/>
        </w:rPr>
      </w:pPr>
    </w:p>
    <w:p w14:paraId="34A3DEEF" w14:textId="77777777" w:rsidR="00FD3B5D" w:rsidRPr="00FD3B5D" w:rsidRDefault="00FD3B5D" w:rsidP="00FD3B5D">
      <w:pPr>
        <w:pStyle w:val="ListParagraph"/>
        <w:numPr>
          <w:ilvl w:val="0"/>
          <w:numId w:val="19"/>
        </w:numPr>
        <w:rPr>
          <w:lang w:val="en-US"/>
        </w:rPr>
      </w:pPr>
      <w:r w:rsidRPr="00FD3B5D">
        <w:rPr>
          <w:lang w:val="en-US"/>
        </w:rPr>
        <w:t>Phil-Thingvad, S. and Klausen, K. K. (2020) “Managing the implementation of innovation strategies in public service organisation — how managers may support employees innovative work behaviour,” </w:t>
      </w:r>
      <w:r w:rsidRPr="00FD3B5D">
        <w:rPr>
          <w:i/>
          <w:iCs/>
          <w:lang w:val="en-US"/>
        </w:rPr>
        <w:t>International journal of innovation management</w:t>
      </w:r>
      <w:r w:rsidRPr="00FD3B5D">
        <w:rPr>
          <w:lang w:val="en-US"/>
        </w:rPr>
        <w:t>, 24(04), p. 2050074. doi: 10.1142/s1363919620500747.</w:t>
      </w:r>
    </w:p>
    <w:p w14:paraId="0DAC3D8F" w14:textId="77777777" w:rsidR="00FD3B5D" w:rsidRPr="00FD3B5D" w:rsidRDefault="00FD3B5D" w:rsidP="00FD3B5D">
      <w:pPr>
        <w:rPr>
          <w:lang w:val="en-US"/>
        </w:rPr>
      </w:pPr>
    </w:p>
    <w:p w14:paraId="23C25C69" w14:textId="77777777" w:rsidR="00FD3B5D" w:rsidRPr="00FD3B5D" w:rsidRDefault="00FD3B5D" w:rsidP="00FD3B5D">
      <w:pPr>
        <w:pStyle w:val="ListParagraph"/>
        <w:numPr>
          <w:ilvl w:val="0"/>
          <w:numId w:val="19"/>
        </w:numPr>
        <w:rPr>
          <w:lang w:val="en-US"/>
        </w:rPr>
      </w:pPr>
      <w:r w:rsidRPr="00FD3B5D">
        <w:rPr>
          <w:lang w:val="en-US"/>
        </w:rPr>
        <w:t>Probst, B. </w:t>
      </w:r>
      <w:r w:rsidRPr="00FD3B5D">
        <w:rPr>
          <w:i/>
          <w:iCs/>
          <w:lang w:val="en-US"/>
        </w:rPr>
        <w:t>et al.</w:t>
      </w:r>
      <w:r w:rsidRPr="00FD3B5D">
        <w:rPr>
          <w:lang w:val="en-US"/>
        </w:rPr>
        <w:t> (2021) “Leveraging private investment to expand renewable power generation: Evidence on financial additionality and productivity gains from Uganda,” </w:t>
      </w:r>
      <w:r w:rsidRPr="00FD3B5D">
        <w:rPr>
          <w:i/>
          <w:iCs/>
          <w:lang w:val="en-US"/>
        </w:rPr>
        <w:t>World development</w:t>
      </w:r>
      <w:r w:rsidRPr="00FD3B5D">
        <w:rPr>
          <w:lang w:val="en-US"/>
        </w:rPr>
        <w:t>, 140(105347), p. 105347. doi: 10.1016/j.worlddev.2020.105347.</w:t>
      </w:r>
    </w:p>
    <w:p w14:paraId="725FEA3B" w14:textId="77777777" w:rsidR="00FD3B5D" w:rsidRPr="00FD3B5D" w:rsidRDefault="00FD3B5D" w:rsidP="00FD3B5D">
      <w:pPr>
        <w:rPr>
          <w:lang w:val="en-US"/>
        </w:rPr>
      </w:pPr>
    </w:p>
    <w:p w14:paraId="64A9BB37" w14:textId="77777777" w:rsidR="00FD3B5D" w:rsidRPr="00FD3B5D" w:rsidRDefault="00FD3B5D" w:rsidP="00FD3B5D">
      <w:pPr>
        <w:pStyle w:val="ListParagraph"/>
        <w:numPr>
          <w:ilvl w:val="0"/>
          <w:numId w:val="19"/>
        </w:numPr>
        <w:rPr>
          <w:lang w:val="en-US"/>
        </w:rPr>
      </w:pPr>
      <w:r w:rsidRPr="00FD3B5D">
        <w:rPr>
          <w:lang w:val="en-US"/>
        </w:rPr>
        <w:t>Qing, L. </w:t>
      </w:r>
      <w:r w:rsidRPr="00FD3B5D">
        <w:rPr>
          <w:i/>
          <w:iCs/>
          <w:lang w:val="en-US"/>
        </w:rPr>
        <w:t>et al.</w:t>
      </w:r>
      <w:r w:rsidRPr="00FD3B5D">
        <w:rPr>
          <w:lang w:val="en-US"/>
        </w:rPr>
        <w:t> (2022) “Does proactive green technology innovation improve financial performance? Evidence from listed companies with semiconductor concepts stock in China,” </w:t>
      </w:r>
      <w:r w:rsidRPr="00FD3B5D">
        <w:rPr>
          <w:i/>
          <w:iCs/>
          <w:lang w:val="en-US"/>
        </w:rPr>
        <w:t>Sustainability</w:t>
      </w:r>
      <w:r w:rsidRPr="00FD3B5D">
        <w:rPr>
          <w:lang w:val="en-US"/>
        </w:rPr>
        <w:t>, 14(8), p. 4600. doi: 10.3390/su14084600.</w:t>
      </w:r>
    </w:p>
    <w:p w14:paraId="5E800877" w14:textId="77777777" w:rsidR="00FD3B5D" w:rsidRPr="00FD3B5D" w:rsidRDefault="00FD3B5D" w:rsidP="00FD3B5D">
      <w:pPr>
        <w:rPr>
          <w:lang w:val="en-US"/>
        </w:rPr>
      </w:pPr>
    </w:p>
    <w:p w14:paraId="70D1B51D" w14:textId="77777777" w:rsidR="00FD3B5D" w:rsidRPr="00FD3B5D" w:rsidRDefault="00FD3B5D" w:rsidP="00FD3B5D">
      <w:pPr>
        <w:pStyle w:val="ListParagraph"/>
        <w:numPr>
          <w:ilvl w:val="0"/>
          <w:numId w:val="19"/>
        </w:numPr>
        <w:rPr>
          <w:lang w:val="en-US"/>
        </w:rPr>
      </w:pPr>
      <w:r w:rsidRPr="00FD3B5D">
        <w:rPr>
          <w:lang w:val="en-US"/>
        </w:rPr>
        <w:t>Robinson, E. S., Borio, C. and Shin, H. S. (2022) </w:t>
      </w:r>
      <w:r w:rsidRPr="00FD3B5D">
        <w:rPr>
          <w:i/>
          <w:iCs/>
          <w:lang w:val="en-US"/>
        </w:rPr>
        <w:t>Macro-financial stability policy in A globalised world: Lessons from international experience - selected papers from the Asian monetary policy forum 2021 special edition and mas-bis conference</w:t>
      </w:r>
      <w:r w:rsidRPr="00FD3B5D">
        <w:rPr>
          <w:lang w:val="en-US"/>
        </w:rPr>
        <w:t>. World Scientific.</w:t>
      </w:r>
    </w:p>
    <w:p w14:paraId="381E0B5A" w14:textId="77777777" w:rsidR="00FD3B5D" w:rsidRPr="00FD3B5D" w:rsidRDefault="00FD3B5D" w:rsidP="00FD3B5D">
      <w:pPr>
        <w:rPr>
          <w:lang w:val="en-US"/>
        </w:rPr>
      </w:pPr>
    </w:p>
    <w:p w14:paraId="73A6523C" w14:textId="77777777" w:rsidR="00FD3B5D" w:rsidRPr="00FD3B5D" w:rsidRDefault="00FD3B5D" w:rsidP="00FD3B5D">
      <w:pPr>
        <w:pStyle w:val="ListParagraph"/>
        <w:numPr>
          <w:ilvl w:val="0"/>
          <w:numId w:val="19"/>
        </w:numPr>
        <w:rPr>
          <w:lang w:val="en-US"/>
        </w:rPr>
      </w:pPr>
      <w:r w:rsidRPr="00FD3B5D">
        <w:rPr>
          <w:lang w:val="en-US"/>
        </w:rPr>
        <w:lastRenderedPageBreak/>
        <w:t>Sabel, C. F. and Victor, D. G. (2024) </w:t>
      </w:r>
      <w:r w:rsidRPr="00FD3B5D">
        <w:rPr>
          <w:i/>
          <w:iCs/>
          <w:lang w:val="en-US"/>
        </w:rPr>
        <w:t>Fixing the climate: Strategies for an uncertain world</w:t>
      </w:r>
      <w:r w:rsidRPr="00FD3B5D">
        <w:rPr>
          <w:lang w:val="en-US"/>
        </w:rPr>
        <w:t>. Princeton, NJ: Princeton University Press.</w:t>
      </w:r>
    </w:p>
    <w:p w14:paraId="4EADC022" w14:textId="77777777" w:rsidR="00FD3B5D" w:rsidRPr="00FD3B5D" w:rsidRDefault="00FD3B5D" w:rsidP="00FD3B5D">
      <w:pPr>
        <w:rPr>
          <w:lang w:val="en-US"/>
        </w:rPr>
      </w:pPr>
    </w:p>
    <w:p w14:paraId="7AB0A766" w14:textId="77777777" w:rsidR="00FD3B5D" w:rsidRPr="00FD3B5D" w:rsidRDefault="00FD3B5D" w:rsidP="00FD3B5D">
      <w:pPr>
        <w:pStyle w:val="ListParagraph"/>
        <w:numPr>
          <w:ilvl w:val="0"/>
          <w:numId w:val="19"/>
        </w:numPr>
        <w:rPr>
          <w:lang w:val="en-US"/>
        </w:rPr>
      </w:pPr>
      <w:r w:rsidRPr="00FD3B5D">
        <w:rPr>
          <w:lang w:val="en-US"/>
        </w:rPr>
        <w:t>Sánchez-Silva, M. and Calderón-Guevara, W. (2022) “Flexibility and adaptability within the context of decision-making in infrastructure management,” </w:t>
      </w:r>
      <w:r w:rsidRPr="00FD3B5D">
        <w:rPr>
          <w:i/>
          <w:iCs/>
          <w:lang w:val="en-US"/>
        </w:rPr>
        <w:t>Structure and Infrastructure Engineering: Maintenance, Management, Life-Cycle Design and Performance</w:t>
      </w:r>
      <w:r w:rsidRPr="00FD3B5D">
        <w:rPr>
          <w:lang w:val="en-US"/>
        </w:rPr>
        <w:t>, 18(7), pp. 950–966. doi: 10.1080/15732479.2022.2038642.</w:t>
      </w:r>
    </w:p>
    <w:p w14:paraId="6612E618" w14:textId="77777777" w:rsidR="00FD3B5D" w:rsidRPr="00FD3B5D" w:rsidRDefault="00FD3B5D" w:rsidP="00FD3B5D">
      <w:pPr>
        <w:rPr>
          <w:lang w:val="en-US"/>
        </w:rPr>
      </w:pPr>
    </w:p>
    <w:p w14:paraId="7E12123D" w14:textId="77777777" w:rsidR="00FD3B5D" w:rsidRPr="00FD3B5D" w:rsidRDefault="00FD3B5D" w:rsidP="00FD3B5D">
      <w:pPr>
        <w:pStyle w:val="ListParagraph"/>
        <w:numPr>
          <w:ilvl w:val="0"/>
          <w:numId w:val="19"/>
        </w:numPr>
        <w:rPr>
          <w:lang w:val="en-US"/>
        </w:rPr>
      </w:pPr>
      <w:r w:rsidRPr="00FD3B5D">
        <w:rPr>
          <w:lang w:val="en-US"/>
        </w:rPr>
        <w:t>Seyedan, M. and Mafakheri, F. (2020) “Predictive big data analytics for supply chain demand forecasting: methods, applications, and research opportunities,” </w:t>
      </w:r>
      <w:r w:rsidRPr="00FD3B5D">
        <w:rPr>
          <w:i/>
          <w:iCs/>
          <w:lang w:val="en-US"/>
        </w:rPr>
        <w:t>Journal of big data</w:t>
      </w:r>
      <w:r w:rsidRPr="00FD3B5D">
        <w:rPr>
          <w:lang w:val="en-US"/>
        </w:rPr>
        <w:t>, 7(1). doi: 10.1186/s40537-020-00329-2.</w:t>
      </w:r>
    </w:p>
    <w:p w14:paraId="1652A11A" w14:textId="77777777" w:rsidR="00FD3B5D" w:rsidRPr="00FD3B5D" w:rsidRDefault="00FD3B5D" w:rsidP="00FD3B5D">
      <w:pPr>
        <w:rPr>
          <w:lang w:val="en-US"/>
        </w:rPr>
      </w:pPr>
    </w:p>
    <w:p w14:paraId="7AFB2E7F" w14:textId="77777777" w:rsidR="00FD3B5D" w:rsidRPr="00FD3B5D" w:rsidRDefault="00FD3B5D" w:rsidP="00FD3B5D">
      <w:pPr>
        <w:pStyle w:val="ListParagraph"/>
        <w:numPr>
          <w:ilvl w:val="0"/>
          <w:numId w:val="19"/>
        </w:numPr>
        <w:rPr>
          <w:lang w:val="en-US"/>
        </w:rPr>
      </w:pPr>
      <w:r w:rsidRPr="00FD3B5D">
        <w:rPr>
          <w:lang w:val="en-US"/>
        </w:rPr>
        <w:t>Song, P. </w:t>
      </w:r>
      <w:r w:rsidRPr="00FD3B5D">
        <w:rPr>
          <w:i/>
          <w:iCs/>
          <w:lang w:val="en-US"/>
        </w:rPr>
        <w:t>et al.</w:t>
      </w:r>
      <w:r w:rsidRPr="00FD3B5D">
        <w:rPr>
          <w:lang w:val="en-US"/>
        </w:rPr>
        <w:t> (2020) “The value of buy‐online‐and‐pickup‐in‐store in Omni‐channel: Evidence from customer usage data,” </w:t>
      </w:r>
      <w:r w:rsidRPr="00FD3B5D">
        <w:rPr>
          <w:i/>
          <w:iCs/>
          <w:lang w:val="en-US"/>
        </w:rPr>
        <w:t>Production and operations management</w:t>
      </w:r>
      <w:r w:rsidRPr="00FD3B5D">
        <w:rPr>
          <w:lang w:val="en-US"/>
        </w:rPr>
        <w:t>, 29(4), pp. 995–1010. doi: 10.1111/poms.13146.</w:t>
      </w:r>
    </w:p>
    <w:p w14:paraId="1133A5FE" w14:textId="77777777" w:rsidR="00FD3B5D" w:rsidRPr="00FD3B5D" w:rsidRDefault="00FD3B5D" w:rsidP="00FD3B5D">
      <w:pPr>
        <w:rPr>
          <w:lang w:val="en-US"/>
        </w:rPr>
      </w:pPr>
    </w:p>
    <w:p w14:paraId="0573AB76" w14:textId="77777777" w:rsidR="00FD3B5D" w:rsidRPr="00FD3B5D" w:rsidRDefault="00FD3B5D" w:rsidP="00FD3B5D">
      <w:pPr>
        <w:pStyle w:val="ListParagraph"/>
        <w:numPr>
          <w:ilvl w:val="0"/>
          <w:numId w:val="19"/>
        </w:numPr>
        <w:rPr>
          <w:lang w:val="en-US"/>
        </w:rPr>
      </w:pPr>
      <w:r w:rsidRPr="00FD3B5D">
        <w:rPr>
          <w:lang w:val="en-US"/>
        </w:rPr>
        <w:t>Taylor, J., McDonnell, J. and Duong, H. (2022) “Bureaucratic gaming: causes and consequences for policy-making,” </w:t>
      </w:r>
      <w:r w:rsidRPr="00FD3B5D">
        <w:rPr>
          <w:i/>
          <w:iCs/>
          <w:lang w:val="en-US"/>
        </w:rPr>
        <w:t>International journal of public policy</w:t>
      </w:r>
      <w:r w:rsidRPr="00FD3B5D">
        <w:rPr>
          <w:lang w:val="en-US"/>
        </w:rPr>
        <w:t>, 16(5/6), p. 253. doi: 10.1504/ijpp.2022.127430.</w:t>
      </w:r>
    </w:p>
    <w:p w14:paraId="41858B75" w14:textId="77777777" w:rsidR="00FD3B5D" w:rsidRPr="00FD3B5D" w:rsidRDefault="00FD3B5D" w:rsidP="00FD3B5D">
      <w:pPr>
        <w:rPr>
          <w:lang w:val="en-US"/>
        </w:rPr>
      </w:pPr>
    </w:p>
    <w:p w14:paraId="3B43ED2F" w14:textId="77777777" w:rsidR="00FD3B5D" w:rsidRPr="00FD3B5D" w:rsidRDefault="00FD3B5D" w:rsidP="00FD3B5D">
      <w:pPr>
        <w:pStyle w:val="ListParagraph"/>
        <w:numPr>
          <w:ilvl w:val="0"/>
          <w:numId w:val="19"/>
        </w:numPr>
        <w:rPr>
          <w:lang w:val="en-US"/>
        </w:rPr>
      </w:pPr>
      <w:r w:rsidRPr="00FD3B5D">
        <w:rPr>
          <w:i/>
          <w:iCs/>
          <w:lang w:val="en-US"/>
        </w:rPr>
        <w:t>Unlocking the “black box” of hospital competition: Multiple case studies in government-funded and regulated health systems</w:t>
      </w:r>
      <w:r w:rsidRPr="00FD3B5D">
        <w:rPr>
          <w:lang w:val="en-US"/>
        </w:rPr>
        <w:t> (2021).</w:t>
      </w:r>
    </w:p>
    <w:p w14:paraId="37EEEA35" w14:textId="77777777" w:rsidR="00FD3B5D" w:rsidRPr="00FD3B5D" w:rsidRDefault="00FD3B5D" w:rsidP="00FD3B5D">
      <w:pPr>
        <w:rPr>
          <w:lang w:val="en-US"/>
        </w:rPr>
      </w:pPr>
    </w:p>
    <w:p w14:paraId="639BCDB1" w14:textId="77777777" w:rsidR="00FD3B5D" w:rsidRPr="00FD3B5D" w:rsidRDefault="00FD3B5D" w:rsidP="00FD3B5D">
      <w:pPr>
        <w:pStyle w:val="ListParagraph"/>
        <w:numPr>
          <w:ilvl w:val="0"/>
          <w:numId w:val="19"/>
        </w:numPr>
        <w:rPr>
          <w:lang w:val="en-US"/>
        </w:rPr>
      </w:pPr>
      <w:r w:rsidRPr="00FD3B5D">
        <w:rPr>
          <w:lang w:val="en-US"/>
        </w:rPr>
        <w:t>Uvarova, S. S. </w:t>
      </w:r>
      <w:r w:rsidRPr="00FD3B5D">
        <w:rPr>
          <w:i/>
          <w:iCs/>
          <w:lang w:val="en-US"/>
        </w:rPr>
        <w:t>et al.</w:t>
      </w:r>
      <w:r w:rsidRPr="00FD3B5D">
        <w:rPr>
          <w:lang w:val="en-US"/>
        </w:rPr>
        <w:t> (2023) “Cost forecasting for building materials under conditions of uncertainty: Methodology and practice,” </w:t>
      </w:r>
      <w:r w:rsidRPr="00FD3B5D">
        <w:rPr>
          <w:i/>
          <w:iCs/>
          <w:lang w:val="en-US"/>
        </w:rPr>
        <w:t>Buildings</w:t>
      </w:r>
      <w:r w:rsidRPr="00FD3B5D">
        <w:rPr>
          <w:lang w:val="en-US"/>
        </w:rPr>
        <w:t>, 13(9), p. 2371. doi: 10.3390/buildings13092371.</w:t>
      </w:r>
    </w:p>
    <w:p w14:paraId="6B2EE25B" w14:textId="77777777" w:rsidR="00FD3B5D" w:rsidRPr="00FD3B5D" w:rsidRDefault="00FD3B5D" w:rsidP="00FD3B5D">
      <w:pPr>
        <w:rPr>
          <w:lang w:val="en-US"/>
        </w:rPr>
      </w:pPr>
    </w:p>
    <w:p w14:paraId="00AE9BD9" w14:textId="77777777" w:rsidR="00FD3B5D" w:rsidRPr="00FD3B5D" w:rsidRDefault="00FD3B5D" w:rsidP="00FD3B5D">
      <w:pPr>
        <w:pStyle w:val="ListParagraph"/>
        <w:numPr>
          <w:ilvl w:val="0"/>
          <w:numId w:val="19"/>
        </w:numPr>
        <w:rPr>
          <w:lang w:val="en-US"/>
        </w:rPr>
      </w:pPr>
      <w:r w:rsidRPr="00FD3B5D">
        <w:rPr>
          <w:lang w:val="en-US"/>
        </w:rPr>
        <w:t>Valle-Cruz, D., Fernandez-Cortez, V. and Gil-Garcia, J. R. (2022) “From E-budgeting to smart budgeting: Exploring the potential of artificial intelligence in government decision-making for resource allocation,” </w:t>
      </w:r>
      <w:r w:rsidRPr="00FD3B5D">
        <w:rPr>
          <w:i/>
          <w:iCs/>
          <w:lang w:val="en-US"/>
        </w:rPr>
        <w:t>Government information quarterly</w:t>
      </w:r>
      <w:r w:rsidRPr="00FD3B5D">
        <w:rPr>
          <w:lang w:val="en-US"/>
        </w:rPr>
        <w:t>, 39(2), p. 101644. doi: 10.1016/j.giq.2021.101644.</w:t>
      </w:r>
    </w:p>
    <w:p w14:paraId="459D7EC4" w14:textId="77777777" w:rsidR="00FD3B5D" w:rsidRPr="00FD3B5D" w:rsidRDefault="00FD3B5D" w:rsidP="00FD3B5D">
      <w:pPr>
        <w:rPr>
          <w:lang w:val="en-US"/>
        </w:rPr>
      </w:pPr>
    </w:p>
    <w:p w14:paraId="4615021E" w14:textId="77777777" w:rsidR="00FD3B5D" w:rsidRPr="00FD3B5D" w:rsidRDefault="00FD3B5D" w:rsidP="00FD3B5D">
      <w:pPr>
        <w:pStyle w:val="ListParagraph"/>
        <w:numPr>
          <w:ilvl w:val="0"/>
          <w:numId w:val="19"/>
        </w:numPr>
        <w:rPr>
          <w:lang w:val="en-US"/>
        </w:rPr>
      </w:pPr>
      <w:r w:rsidRPr="00FD3B5D">
        <w:rPr>
          <w:lang w:val="en-US"/>
        </w:rPr>
        <w:t>Wahjudi, E. (2019) “Factors affecting dividend policy in manufacturing companies in Indonesia Stock Exchange,” </w:t>
      </w:r>
      <w:r w:rsidRPr="00FD3B5D">
        <w:rPr>
          <w:i/>
          <w:iCs/>
          <w:lang w:val="en-US"/>
        </w:rPr>
        <w:t>Journal of management development</w:t>
      </w:r>
      <w:r w:rsidRPr="00FD3B5D">
        <w:rPr>
          <w:lang w:val="en-US"/>
        </w:rPr>
        <w:t>, 39(1), pp. 4–17. doi: 10.1108/jmd-07-2018-0211.</w:t>
      </w:r>
    </w:p>
    <w:p w14:paraId="2EFF00D5" w14:textId="77777777" w:rsidR="00FD3B5D" w:rsidRPr="00FD3B5D" w:rsidRDefault="00FD3B5D" w:rsidP="00FD3B5D">
      <w:pPr>
        <w:rPr>
          <w:lang w:val="en-US"/>
        </w:rPr>
      </w:pPr>
    </w:p>
    <w:p w14:paraId="07CFAD3F" w14:textId="77777777" w:rsidR="00FD3B5D" w:rsidRPr="00FD3B5D" w:rsidRDefault="00FD3B5D" w:rsidP="00FD3B5D">
      <w:pPr>
        <w:pStyle w:val="ListParagraph"/>
        <w:numPr>
          <w:ilvl w:val="0"/>
          <w:numId w:val="19"/>
        </w:numPr>
        <w:rPr>
          <w:lang w:val="en-US"/>
        </w:rPr>
      </w:pPr>
      <w:r w:rsidRPr="00FD3B5D">
        <w:rPr>
          <w:lang w:val="en-US"/>
        </w:rPr>
        <w:t>Walker, P. R. (no date) </w:t>
      </w:r>
      <w:r w:rsidRPr="00FD3B5D">
        <w:rPr>
          <w:i/>
          <w:iCs/>
          <w:lang w:val="en-US"/>
        </w:rPr>
        <w:t>An exploration of features within organizational culture that promote risk acceptance in order to enable innovation within army acquisition</w:t>
      </w:r>
      <w:r w:rsidRPr="00FD3B5D">
        <w:rPr>
          <w:lang w:val="en-US"/>
        </w:rPr>
        <w:t>, </w:t>
      </w:r>
      <w:r w:rsidRPr="00FD3B5D">
        <w:rPr>
          <w:i/>
          <w:iCs/>
          <w:lang w:val="en-US"/>
        </w:rPr>
        <w:t>Dtic.mil</w:t>
      </w:r>
      <w:r w:rsidRPr="00FD3B5D">
        <w:rPr>
          <w:lang w:val="en-US"/>
        </w:rPr>
        <w:t>. Available at: https://apps.dtic.mil/sti/pdfs/AD1180893.pdf (Accessed: April 9, 2024).</w:t>
      </w:r>
    </w:p>
    <w:p w14:paraId="4535F066" w14:textId="77777777" w:rsidR="00FD3B5D" w:rsidRPr="00FD3B5D" w:rsidRDefault="00FD3B5D" w:rsidP="00FD3B5D">
      <w:pPr>
        <w:rPr>
          <w:lang w:val="en-US"/>
        </w:rPr>
      </w:pPr>
    </w:p>
    <w:p w14:paraId="415460D5" w14:textId="77777777" w:rsidR="00FD3B5D" w:rsidRPr="00FD3B5D" w:rsidRDefault="00FD3B5D" w:rsidP="00FD3B5D">
      <w:pPr>
        <w:pStyle w:val="ListParagraph"/>
        <w:numPr>
          <w:ilvl w:val="0"/>
          <w:numId w:val="19"/>
        </w:numPr>
        <w:rPr>
          <w:lang w:val="en-US"/>
        </w:rPr>
      </w:pPr>
      <w:r w:rsidRPr="00FD3B5D">
        <w:rPr>
          <w:lang w:val="en-US"/>
        </w:rPr>
        <w:t>Weber, I. M. and Wasner, E. (2023) “Sellers’ inflation, profits and conflict: why can large firms hike prices in an emergency?,” </w:t>
      </w:r>
      <w:r w:rsidRPr="00FD3B5D">
        <w:rPr>
          <w:i/>
          <w:iCs/>
          <w:lang w:val="en-US"/>
        </w:rPr>
        <w:t>Review of Keynesian economics</w:t>
      </w:r>
      <w:r w:rsidRPr="00FD3B5D">
        <w:rPr>
          <w:lang w:val="en-US"/>
        </w:rPr>
        <w:t>, 11(2), pp. 183–213. doi: 10.4337/roke.2023.02.05.</w:t>
      </w:r>
    </w:p>
    <w:p w14:paraId="5D1394CF" w14:textId="77777777" w:rsidR="00FD3B5D" w:rsidRPr="00FD3B5D" w:rsidRDefault="00FD3B5D" w:rsidP="00FD3B5D">
      <w:pPr>
        <w:rPr>
          <w:lang w:val="en-US"/>
        </w:rPr>
      </w:pPr>
    </w:p>
    <w:p w14:paraId="5340A356" w14:textId="77777777" w:rsidR="00FD3B5D" w:rsidRPr="00FD3B5D" w:rsidRDefault="00FD3B5D" w:rsidP="00FD3B5D">
      <w:pPr>
        <w:pStyle w:val="ListParagraph"/>
        <w:numPr>
          <w:ilvl w:val="0"/>
          <w:numId w:val="19"/>
        </w:numPr>
        <w:rPr>
          <w:lang w:val="en-US"/>
        </w:rPr>
      </w:pPr>
      <w:r w:rsidRPr="00FD3B5D">
        <w:rPr>
          <w:lang w:val="en-US"/>
        </w:rPr>
        <w:t>Wynn, S. (2021) “The financial impact of manual inventory record errors.” Available at: https://digitalcommons.liberty.edu/doctoral/3208/ (Accessed: April 9, 2024).</w:t>
      </w:r>
    </w:p>
    <w:p w14:paraId="7F890C1F" w14:textId="77777777" w:rsidR="00CA09F3" w:rsidRDefault="00CA09F3"/>
    <w:sectPr w:rsidR="00CA09F3" w:rsidSect="007342E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07A07"/>
    <w:multiLevelType w:val="hybridMultilevel"/>
    <w:tmpl w:val="8604C8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F9F7656"/>
    <w:multiLevelType w:val="multilevel"/>
    <w:tmpl w:val="00D66C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0A25B6"/>
    <w:multiLevelType w:val="multilevel"/>
    <w:tmpl w:val="F35EF1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C6E5F7C"/>
    <w:multiLevelType w:val="multilevel"/>
    <w:tmpl w:val="B51EC7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3703B5D"/>
    <w:multiLevelType w:val="multilevel"/>
    <w:tmpl w:val="35D0EE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FD40828"/>
    <w:multiLevelType w:val="hybridMultilevel"/>
    <w:tmpl w:val="3DC2A3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59D0BA2"/>
    <w:multiLevelType w:val="multilevel"/>
    <w:tmpl w:val="0EFC4C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8E8506C"/>
    <w:multiLevelType w:val="multilevel"/>
    <w:tmpl w:val="01DA85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9502430"/>
    <w:multiLevelType w:val="multilevel"/>
    <w:tmpl w:val="0ABAFC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C100CB6"/>
    <w:multiLevelType w:val="multilevel"/>
    <w:tmpl w:val="8AB85A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C6017DB"/>
    <w:multiLevelType w:val="multilevel"/>
    <w:tmpl w:val="BC08F6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CC965DF"/>
    <w:multiLevelType w:val="hybridMultilevel"/>
    <w:tmpl w:val="BE78AAA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62C97546"/>
    <w:multiLevelType w:val="multilevel"/>
    <w:tmpl w:val="971A61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62317C2"/>
    <w:multiLevelType w:val="multilevel"/>
    <w:tmpl w:val="45C04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67F546B"/>
    <w:multiLevelType w:val="hybridMultilevel"/>
    <w:tmpl w:val="F080F496"/>
    <w:lvl w:ilvl="0" w:tplc="17625794">
      <w:start w:val="1"/>
      <w:numFmt w:val="lowerLetter"/>
      <w:lvlText w:val="(%1)"/>
      <w:lvlJc w:val="left"/>
      <w:pPr>
        <w:ind w:left="1080" w:hanging="360"/>
      </w:pPr>
      <w:rPr>
        <w:rFonts w:hint="default"/>
      </w:rPr>
    </w:lvl>
    <w:lvl w:ilvl="1" w:tplc="08090019">
      <w:start w:val="1"/>
      <w:numFmt w:val="lowerLetter"/>
      <w:lvlText w:val="%2."/>
      <w:lvlJc w:val="left"/>
      <w:pPr>
        <w:ind w:left="1874" w:hanging="360"/>
      </w:pPr>
    </w:lvl>
    <w:lvl w:ilvl="2" w:tplc="0809001B" w:tentative="1">
      <w:start w:val="1"/>
      <w:numFmt w:val="lowerRoman"/>
      <w:lvlText w:val="%3."/>
      <w:lvlJc w:val="right"/>
      <w:pPr>
        <w:ind w:left="2594" w:hanging="180"/>
      </w:pPr>
    </w:lvl>
    <w:lvl w:ilvl="3" w:tplc="0809000F" w:tentative="1">
      <w:start w:val="1"/>
      <w:numFmt w:val="decimal"/>
      <w:lvlText w:val="%4."/>
      <w:lvlJc w:val="left"/>
      <w:pPr>
        <w:ind w:left="3314" w:hanging="360"/>
      </w:pPr>
    </w:lvl>
    <w:lvl w:ilvl="4" w:tplc="08090019" w:tentative="1">
      <w:start w:val="1"/>
      <w:numFmt w:val="lowerLetter"/>
      <w:lvlText w:val="%5."/>
      <w:lvlJc w:val="left"/>
      <w:pPr>
        <w:ind w:left="4034" w:hanging="360"/>
      </w:pPr>
    </w:lvl>
    <w:lvl w:ilvl="5" w:tplc="0809001B" w:tentative="1">
      <w:start w:val="1"/>
      <w:numFmt w:val="lowerRoman"/>
      <w:lvlText w:val="%6."/>
      <w:lvlJc w:val="right"/>
      <w:pPr>
        <w:ind w:left="4754" w:hanging="180"/>
      </w:pPr>
    </w:lvl>
    <w:lvl w:ilvl="6" w:tplc="0809000F" w:tentative="1">
      <w:start w:val="1"/>
      <w:numFmt w:val="decimal"/>
      <w:lvlText w:val="%7."/>
      <w:lvlJc w:val="left"/>
      <w:pPr>
        <w:ind w:left="5474" w:hanging="360"/>
      </w:pPr>
    </w:lvl>
    <w:lvl w:ilvl="7" w:tplc="08090019" w:tentative="1">
      <w:start w:val="1"/>
      <w:numFmt w:val="lowerLetter"/>
      <w:lvlText w:val="%8."/>
      <w:lvlJc w:val="left"/>
      <w:pPr>
        <w:ind w:left="6194" w:hanging="360"/>
      </w:pPr>
    </w:lvl>
    <w:lvl w:ilvl="8" w:tplc="0809001B" w:tentative="1">
      <w:start w:val="1"/>
      <w:numFmt w:val="lowerRoman"/>
      <w:lvlText w:val="%9."/>
      <w:lvlJc w:val="right"/>
      <w:pPr>
        <w:ind w:left="6914" w:hanging="180"/>
      </w:pPr>
    </w:lvl>
  </w:abstractNum>
  <w:abstractNum w:abstractNumId="15" w15:restartNumberingAfterBreak="0">
    <w:nsid w:val="6813615C"/>
    <w:multiLevelType w:val="hybridMultilevel"/>
    <w:tmpl w:val="895CF6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69715176"/>
    <w:multiLevelType w:val="hybridMultilevel"/>
    <w:tmpl w:val="CA76AAA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76CC5241"/>
    <w:multiLevelType w:val="multilevel"/>
    <w:tmpl w:val="B906B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C5B0D74"/>
    <w:multiLevelType w:val="multilevel"/>
    <w:tmpl w:val="862CBF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95294401">
    <w:abstractNumId w:val="14"/>
  </w:num>
  <w:num w:numId="2" w16cid:durableId="1625774364">
    <w:abstractNumId w:val="6"/>
  </w:num>
  <w:num w:numId="3" w16cid:durableId="1812550919">
    <w:abstractNumId w:val="2"/>
  </w:num>
  <w:num w:numId="4" w16cid:durableId="2102144564">
    <w:abstractNumId w:val="13"/>
  </w:num>
  <w:num w:numId="5" w16cid:durableId="44136083">
    <w:abstractNumId w:val="17"/>
  </w:num>
  <w:num w:numId="6" w16cid:durableId="1795559109">
    <w:abstractNumId w:val="4"/>
  </w:num>
  <w:num w:numId="7" w16cid:durableId="280189993">
    <w:abstractNumId w:val="8"/>
  </w:num>
  <w:num w:numId="8" w16cid:durableId="655768546">
    <w:abstractNumId w:val="12"/>
  </w:num>
  <w:num w:numId="9" w16cid:durableId="466438265">
    <w:abstractNumId w:val="9"/>
  </w:num>
  <w:num w:numId="10" w16cid:durableId="1394964005">
    <w:abstractNumId w:val="3"/>
  </w:num>
  <w:num w:numId="11" w16cid:durableId="1416123979">
    <w:abstractNumId w:val="10"/>
  </w:num>
  <w:num w:numId="12" w16cid:durableId="497381021">
    <w:abstractNumId w:val="18"/>
  </w:num>
  <w:num w:numId="13" w16cid:durableId="1587617822">
    <w:abstractNumId w:val="1"/>
  </w:num>
  <w:num w:numId="14" w16cid:durableId="1251158022">
    <w:abstractNumId w:val="7"/>
  </w:num>
  <w:num w:numId="15" w16cid:durableId="858737580">
    <w:abstractNumId w:val="0"/>
  </w:num>
  <w:num w:numId="16" w16cid:durableId="651056006">
    <w:abstractNumId w:val="16"/>
  </w:num>
  <w:num w:numId="17" w16cid:durableId="1517885972">
    <w:abstractNumId w:val="5"/>
  </w:num>
  <w:num w:numId="18" w16cid:durableId="1258907360">
    <w:abstractNumId w:val="11"/>
  </w:num>
  <w:num w:numId="19" w16cid:durableId="171445412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11164"/>
    <w:rsid w:val="000838BD"/>
    <w:rsid w:val="00084E65"/>
    <w:rsid w:val="000E2F4C"/>
    <w:rsid w:val="000E4B2E"/>
    <w:rsid w:val="0010425D"/>
    <w:rsid w:val="00106D38"/>
    <w:rsid w:val="00107936"/>
    <w:rsid w:val="00115B96"/>
    <w:rsid w:val="0014639D"/>
    <w:rsid w:val="00163851"/>
    <w:rsid w:val="00194B60"/>
    <w:rsid w:val="001A356E"/>
    <w:rsid w:val="002006B0"/>
    <w:rsid w:val="00214F6C"/>
    <w:rsid w:val="00244840"/>
    <w:rsid w:val="0025176E"/>
    <w:rsid w:val="0026587C"/>
    <w:rsid w:val="00324CCD"/>
    <w:rsid w:val="00343ACA"/>
    <w:rsid w:val="00364AB3"/>
    <w:rsid w:val="003A676C"/>
    <w:rsid w:val="003C6F44"/>
    <w:rsid w:val="003E336D"/>
    <w:rsid w:val="00406896"/>
    <w:rsid w:val="00480872"/>
    <w:rsid w:val="004813D2"/>
    <w:rsid w:val="004960AE"/>
    <w:rsid w:val="00496D45"/>
    <w:rsid w:val="004A11F6"/>
    <w:rsid w:val="004D49B1"/>
    <w:rsid w:val="004D519C"/>
    <w:rsid w:val="0050062D"/>
    <w:rsid w:val="0052701D"/>
    <w:rsid w:val="00536A75"/>
    <w:rsid w:val="00573607"/>
    <w:rsid w:val="00586353"/>
    <w:rsid w:val="00587CFB"/>
    <w:rsid w:val="00594DBE"/>
    <w:rsid w:val="005B39C7"/>
    <w:rsid w:val="005D69CB"/>
    <w:rsid w:val="005E0053"/>
    <w:rsid w:val="005F5866"/>
    <w:rsid w:val="00603448"/>
    <w:rsid w:val="0063114D"/>
    <w:rsid w:val="006551C8"/>
    <w:rsid w:val="00661337"/>
    <w:rsid w:val="00690813"/>
    <w:rsid w:val="006970C7"/>
    <w:rsid w:val="006B415D"/>
    <w:rsid w:val="007342E4"/>
    <w:rsid w:val="00743966"/>
    <w:rsid w:val="00770F4C"/>
    <w:rsid w:val="007847AD"/>
    <w:rsid w:val="00790726"/>
    <w:rsid w:val="007A6DEE"/>
    <w:rsid w:val="007D18F4"/>
    <w:rsid w:val="007D1947"/>
    <w:rsid w:val="007F5B21"/>
    <w:rsid w:val="00806FAB"/>
    <w:rsid w:val="00820EEB"/>
    <w:rsid w:val="008277A9"/>
    <w:rsid w:val="008A24EF"/>
    <w:rsid w:val="008A79FC"/>
    <w:rsid w:val="008E193A"/>
    <w:rsid w:val="008F008D"/>
    <w:rsid w:val="008F2CA3"/>
    <w:rsid w:val="008F2E1A"/>
    <w:rsid w:val="008F4B79"/>
    <w:rsid w:val="00901B16"/>
    <w:rsid w:val="00907330"/>
    <w:rsid w:val="00931CAA"/>
    <w:rsid w:val="0094260E"/>
    <w:rsid w:val="00976C43"/>
    <w:rsid w:val="009A0999"/>
    <w:rsid w:val="009D5386"/>
    <w:rsid w:val="00A12B58"/>
    <w:rsid w:val="00A4086B"/>
    <w:rsid w:val="00A64652"/>
    <w:rsid w:val="00A770FC"/>
    <w:rsid w:val="00A83896"/>
    <w:rsid w:val="00A85770"/>
    <w:rsid w:val="00A905FF"/>
    <w:rsid w:val="00AA2A91"/>
    <w:rsid w:val="00AB543E"/>
    <w:rsid w:val="00AE75A6"/>
    <w:rsid w:val="00B0027E"/>
    <w:rsid w:val="00B0557A"/>
    <w:rsid w:val="00B33817"/>
    <w:rsid w:val="00B510AC"/>
    <w:rsid w:val="00BA2440"/>
    <w:rsid w:val="00BD2FD3"/>
    <w:rsid w:val="00C570B9"/>
    <w:rsid w:val="00C648FE"/>
    <w:rsid w:val="00C85ECB"/>
    <w:rsid w:val="00CA09F3"/>
    <w:rsid w:val="00D56C61"/>
    <w:rsid w:val="00D77276"/>
    <w:rsid w:val="00D854A5"/>
    <w:rsid w:val="00D97550"/>
    <w:rsid w:val="00DA3F14"/>
    <w:rsid w:val="00DE0AF8"/>
    <w:rsid w:val="00DE32BC"/>
    <w:rsid w:val="00E26CE2"/>
    <w:rsid w:val="00E63420"/>
    <w:rsid w:val="00E80777"/>
    <w:rsid w:val="00EB41B0"/>
    <w:rsid w:val="00EB57B7"/>
    <w:rsid w:val="00F27FD3"/>
    <w:rsid w:val="00F505B2"/>
    <w:rsid w:val="00F506AD"/>
    <w:rsid w:val="00F66EDF"/>
    <w:rsid w:val="00FB3795"/>
    <w:rsid w:val="00FD3B5D"/>
    <w:rsid w:val="00FD50BC"/>
    <w:rsid w:val="00FE3878"/>
    <w:rsid w:val="00FE6C4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25176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25176E"/>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table" w:styleId="TableGrid">
    <w:name w:val="Table Grid"/>
    <w:basedOn w:val="TableNormal"/>
    <w:uiPriority w:val="59"/>
    <w:rsid w:val="008F4B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F4B79"/>
    <w:pPr>
      <w:spacing w:after="200" w:line="276" w:lineRule="auto"/>
      <w:ind w:left="720"/>
      <w:contextualSpacing/>
    </w:pPr>
  </w:style>
  <w:style w:type="character" w:customStyle="1" w:styleId="Heading3Char">
    <w:name w:val="Heading 3 Char"/>
    <w:basedOn w:val="DefaultParagraphFont"/>
    <w:link w:val="Heading3"/>
    <w:uiPriority w:val="9"/>
    <w:rsid w:val="0025176E"/>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25176E"/>
    <w:rPr>
      <w:rFonts w:asciiTheme="majorHAnsi" w:eastAsiaTheme="majorEastAsia" w:hAnsiTheme="majorHAnsi"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041329">
      <w:bodyDiv w:val="1"/>
      <w:marLeft w:val="0"/>
      <w:marRight w:val="0"/>
      <w:marTop w:val="0"/>
      <w:marBottom w:val="0"/>
      <w:divBdr>
        <w:top w:val="none" w:sz="0" w:space="0" w:color="auto"/>
        <w:left w:val="none" w:sz="0" w:space="0" w:color="auto"/>
        <w:bottom w:val="none" w:sz="0" w:space="0" w:color="auto"/>
        <w:right w:val="none" w:sz="0" w:space="0" w:color="auto"/>
      </w:divBdr>
    </w:div>
    <w:div w:id="123234145">
      <w:bodyDiv w:val="1"/>
      <w:marLeft w:val="0"/>
      <w:marRight w:val="0"/>
      <w:marTop w:val="0"/>
      <w:marBottom w:val="0"/>
      <w:divBdr>
        <w:top w:val="none" w:sz="0" w:space="0" w:color="auto"/>
        <w:left w:val="none" w:sz="0" w:space="0" w:color="auto"/>
        <w:bottom w:val="none" w:sz="0" w:space="0" w:color="auto"/>
        <w:right w:val="none" w:sz="0" w:space="0" w:color="auto"/>
      </w:divBdr>
    </w:div>
    <w:div w:id="147402062">
      <w:bodyDiv w:val="1"/>
      <w:marLeft w:val="0"/>
      <w:marRight w:val="0"/>
      <w:marTop w:val="0"/>
      <w:marBottom w:val="0"/>
      <w:divBdr>
        <w:top w:val="none" w:sz="0" w:space="0" w:color="auto"/>
        <w:left w:val="none" w:sz="0" w:space="0" w:color="auto"/>
        <w:bottom w:val="none" w:sz="0" w:space="0" w:color="auto"/>
        <w:right w:val="none" w:sz="0" w:space="0" w:color="auto"/>
      </w:divBdr>
      <w:divsChild>
        <w:div w:id="931666729">
          <w:marLeft w:val="0"/>
          <w:marRight w:val="0"/>
          <w:marTop w:val="0"/>
          <w:marBottom w:val="0"/>
          <w:divBdr>
            <w:top w:val="none" w:sz="0" w:space="0" w:color="auto"/>
            <w:left w:val="none" w:sz="0" w:space="0" w:color="auto"/>
            <w:bottom w:val="none" w:sz="0" w:space="0" w:color="auto"/>
            <w:right w:val="none" w:sz="0" w:space="0" w:color="auto"/>
          </w:divBdr>
          <w:divsChild>
            <w:div w:id="943801146">
              <w:marLeft w:val="0"/>
              <w:marRight w:val="0"/>
              <w:marTop w:val="0"/>
              <w:marBottom w:val="0"/>
              <w:divBdr>
                <w:top w:val="none" w:sz="0" w:space="0" w:color="auto"/>
                <w:left w:val="none" w:sz="0" w:space="0" w:color="auto"/>
                <w:bottom w:val="none" w:sz="0" w:space="0" w:color="auto"/>
                <w:right w:val="none" w:sz="0" w:space="0" w:color="auto"/>
              </w:divBdr>
            </w:div>
            <w:div w:id="791896455">
              <w:marLeft w:val="0"/>
              <w:marRight w:val="0"/>
              <w:marTop w:val="0"/>
              <w:marBottom w:val="0"/>
              <w:divBdr>
                <w:top w:val="none" w:sz="0" w:space="0" w:color="auto"/>
                <w:left w:val="none" w:sz="0" w:space="0" w:color="auto"/>
                <w:bottom w:val="none" w:sz="0" w:space="0" w:color="auto"/>
                <w:right w:val="none" w:sz="0" w:space="0" w:color="auto"/>
              </w:divBdr>
            </w:div>
            <w:div w:id="344668627">
              <w:marLeft w:val="0"/>
              <w:marRight w:val="0"/>
              <w:marTop w:val="0"/>
              <w:marBottom w:val="0"/>
              <w:divBdr>
                <w:top w:val="none" w:sz="0" w:space="0" w:color="auto"/>
                <w:left w:val="none" w:sz="0" w:space="0" w:color="auto"/>
                <w:bottom w:val="none" w:sz="0" w:space="0" w:color="auto"/>
                <w:right w:val="none" w:sz="0" w:space="0" w:color="auto"/>
              </w:divBdr>
            </w:div>
            <w:div w:id="1607037240">
              <w:marLeft w:val="0"/>
              <w:marRight w:val="0"/>
              <w:marTop w:val="0"/>
              <w:marBottom w:val="0"/>
              <w:divBdr>
                <w:top w:val="none" w:sz="0" w:space="0" w:color="auto"/>
                <w:left w:val="none" w:sz="0" w:space="0" w:color="auto"/>
                <w:bottom w:val="none" w:sz="0" w:space="0" w:color="auto"/>
                <w:right w:val="none" w:sz="0" w:space="0" w:color="auto"/>
              </w:divBdr>
            </w:div>
            <w:div w:id="348068167">
              <w:marLeft w:val="0"/>
              <w:marRight w:val="0"/>
              <w:marTop w:val="0"/>
              <w:marBottom w:val="0"/>
              <w:divBdr>
                <w:top w:val="none" w:sz="0" w:space="0" w:color="auto"/>
                <w:left w:val="none" w:sz="0" w:space="0" w:color="auto"/>
                <w:bottom w:val="none" w:sz="0" w:space="0" w:color="auto"/>
                <w:right w:val="none" w:sz="0" w:space="0" w:color="auto"/>
              </w:divBdr>
            </w:div>
            <w:div w:id="990183470">
              <w:marLeft w:val="0"/>
              <w:marRight w:val="0"/>
              <w:marTop w:val="0"/>
              <w:marBottom w:val="0"/>
              <w:divBdr>
                <w:top w:val="none" w:sz="0" w:space="0" w:color="auto"/>
                <w:left w:val="none" w:sz="0" w:space="0" w:color="auto"/>
                <w:bottom w:val="none" w:sz="0" w:space="0" w:color="auto"/>
                <w:right w:val="none" w:sz="0" w:space="0" w:color="auto"/>
              </w:divBdr>
            </w:div>
            <w:div w:id="1818180040">
              <w:marLeft w:val="0"/>
              <w:marRight w:val="0"/>
              <w:marTop w:val="0"/>
              <w:marBottom w:val="0"/>
              <w:divBdr>
                <w:top w:val="none" w:sz="0" w:space="0" w:color="auto"/>
                <w:left w:val="none" w:sz="0" w:space="0" w:color="auto"/>
                <w:bottom w:val="none" w:sz="0" w:space="0" w:color="auto"/>
                <w:right w:val="none" w:sz="0" w:space="0" w:color="auto"/>
              </w:divBdr>
            </w:div>
            <w:div w:id="1290011191">
              <w:marLeft w:val="0"/>
              <w:marRight w:val="0"/>
              <w:marTop w:val="0"/>
              <w:marBottom w:val="0"/>
              <w:divBdr>
                <w:top w:val="none" w:sz="0" w:space="0" w:color="auto"/>
                <w:left w:val="none" w:sz="0" w:space="0" w:color="auto"/>
                <w:bottom w:val="none" w:sz="0" w:space="0" w:color="auto"/>
                <w:right w:val="none" w:sz="0" w:space="0" w:color="auto"/>
              </w:divBdr>
            </w:div>
            <w:div w:id="72893240">
              <w:marLeft w:val="0"/>
              <w:marRight w:val="0"/>
              <w:marTop w:val="0"/>
              <w:marBottom w:val="0"/>
              <w:divBdr>
                <w:top w:val="none" w:sz="0" w:space="0" w:color="auto"/>
                <w:left w:val="none" w:sz="0" w:space="0" w:color="auto"/>
                <w:bottom w:val="none" w:sz="0" w:space="0" w:color="auto"/>
                <w:right w:val="none" w:sz="0" w:space="0" w:color="auto"/>
              </w:divBdr>
            </w:div>
            <w:div w:id="1395616495">
              <w:marLeft w:val="0"/>
              <w:marRight w:val="0"/>
              <w:marTop w:val="0"/>
              <w:marBottom w:val="0"/>
              <w:divBdr>
                <w:top w:val="none" w:sz="0" w:space="0" w:color="auto"/>
                <w:left w:val="none" w:sz="0" w:space="0" w:color="auto"/>
                <w:bottom w:val="none" w:sz="0" w:space="0" w:color="auto"/>
                <w:right w:val="none" w:sz="0" w:space="0" w:color="auto"/>
              </w:divBdr>
            </w:div>
            <w:div w:id="214202594">
              <w:marLeft w:val="0"/>
              <w:marRight w:val="0"/>
              <w:marTop w:val="0"/>
              <w:marBottom w:val="0"/>
              <w:divBdr>
                <w:top w:val="none" w:sz="0" w:space="0" w:color="auto"/>
                <w:left w:val="none" w:sz="0" w:space="0" w:color="auto"/>
                <w:bottom w:val="none" w:sz="0" w:space="0" w:color="auto"/>
                <w:right w:val="none" w:sz="0" w:space="0" w:color="auto"/>
              </w:divBdr>
            </w:div>
            <w:div w:id="454372149">
              <w:marLeft w:val="0"/>
              <w:marRight w:val="0"/>
              <w:marTop w:val="0"/>
              <w:marBottom w:val="0"/>
              <w:divBdr>
                <w:top w:val="none" w:sz="0" w:space="0" w:color="auto"/>
                <w:left w:val="none" w:sz="0" w:space="0" w:color="auto"/>
                <w:bottom w:val="none" w:sz="0" w:space="0" w:color="auto"/>
                <w:right w:val="none" w:sz="0" w:space="0" w:color="auto"/>
              </w:divBdr>
            </w:div>
            <w:div w:id="739325442">
              <w:marLeft w:val="0"/>
              <w:marRight w:val="0"/>
              <w:marTop w:val="0"/>
              <w:marBottom w:val="0"/>
              <w:divBdr>
                <w:top w:val="none" w:sz="0" w:space="0" w:color="auto"/>
                <w:left w:val="none" w:sz="0" w:space="0" w:color="auto"/>
                <w:bottom w:val="none" w:sz="0" w:space="0" w:color="auto"/>
                <w:right w:val="none" w:sz="0" w:space="0" w:color="auto"/>
              </w:divBdr>
            </w:div>
            <w:div w:id="2130968830">
              <w:marLeft w:val="0"/>
              <w:marRight w:val="0"/>
              <w:marTop w:val="0"/>
              <w:marBottom w:val="0"/>
              <w:divBdr>
                <w:top w:val="none" w:sz="0" w:space="0" w:color="auto"/>
                <w:left w:val="none" w:sz="0" w:space="0" w:color="auto"/>
                <w:bottom w:val="none" w:sz="0" w:space="0" w:color="auto"/>
                <w:right w:val="none" w:sz="0" w:space="0" w:color="auto"/>
              </w:divBdr>
            </w:div>
            <w:div w:id="610475301">
              <w:marLeft w:val="0"/>
              <w:marRight w:val="0"/>
              <w:marTop w:val="0"/>
              <w:marBottom w:val="0"/>
              <w:divBdr>
                <w:top w:val="none" w:sz="0" w:space="0" w:color="auto"/>
                <w:left w:val="none" w:sz="0" w:space="0" w:color="auto"/>
                <w:bottom w:val="none" w:sz="0" w:space="0" w:color="auto"/>
                <w:right w:val="none" w:sz="0" w:space="0" w:color="auto"/>
              </w:divBdr>
            </w:div>
            <w:div w:id="729157360">
              <w:marLeft w:val="0"/>
              <w:marRight w:val="0"/>
              <w:marTop w:val="0"/>
              <w:marBottom w:val="0"/>
              <w:divBdr>
                <w:top w:val="none" w:sz="0" w:space="0" w:color="auto"/>
                <w:left w:val="none" w:sz="0" w:space="0" w:color="auto"/>
                <w:bottom w:val="none" w:sz="0" w:space="0" w:color="auto"/>
                <w:right w:val="none" w:sz="0" w:space="0" w:color="auto"/>
              </w:divBdr>
            </w:div>
            <w:div w:id="155147695">
              <w:marLeft w:val="0"/>
              <w:marRight w:val="0"/>
              <w:marTop w:val="0"/>
              <w:marBottom w:val="0"/>
              <w:divBdr>
                <w:top w:val="none" w:sz="0" w:space="0" w:color="auto"/>
                <w:left w:val="none" w:sz="0" w:space="0" w:color="auto"/>
                <w:bottom w:val="none" w:sz="0" w:space="0" w:color="auto"/>
                <w:right w:val="none" w:sz="0" w:space="0" w:color="auto"/>
              </w:divBdr>
            </w:div>
            <w:div w:id="753625311">
              <w:marLeft w:val="0"/>
              <w:marRight w:val="0"/>
              <w:marTop w:val="0"/>
              <w:marBottom w:val="0"/>
              <w:divBdr>
                <w:top w:val="none" w:sz="0" w:space="0" w:color="auto"/>
                <w:left w:val="none" w:sz="0" w:space="0" w:color="auto"/>
                <w:bottom w:val="none" w:sz="0" w:space="0" w:color="auto"/>
                <w:right w:val="none" w:sz="0" w:space="0" w:color="auto"/>
              </w:divBdr>
            </w:div>
            <w:div w:id="1769035536">
              <w:marLeft w:val="0"/>
              <w:marRight w:val="0"/>
              <w:marTop w:val="0"/>
              <w:marBottom w:val="0"/>
              <w:divBdr>
                <w:top w:val="none" w:sz="0" w:space="0" w:color="auto"/>
                <w:left w:val="none" w:sz="0" w:space="0" w:color="auto"/>
                <w:bottom w:val="none" w:sz="0" w:space="0" w:color="auto"/>
                <w:right w:val="none" w:sz="0" w:space="0" w:color="auto"/>
              </w:divBdr>
            </w:div>
            <w:div w:id="347610402">
              <w:marLeft w:val="0"/>
              <w:marRight w:val="0"/>
              <w:marTop w:val="0"/>
              <w:marBottom w:val="0"/>
              <w:divBdr>
                <w:top w:val="none" w:sz="0" w:space="0" w:color="auto"/>
                <w:left w:val="none" w:sz="0" w:space="0" w:color="auto"/>
                <w:bottom w:val="none" w:sz="0" w:space="0" w:color="auto"/>
                <w:right w:val="none" w:sz="0" w:space="0" w:color="auto"/>
              </w:divBdr>
            </w:div>
            <w:div w:id="860821899">
              <w:marLeft w:val="0"/>
              <w:marRight w:val="0"/>
              <w:marTop w:val="0"/>
              <w:marBottom w:val="0"/>
              <w:divBdr>
                <w:top w:val="none" w:sz="0" w:space="0" w:color="auto"/>
                <w:left w:val="none" w:sz="0" w:space="0" w:color="auto"/>
                <w:bottom w:val="none" w:sz="0" w:space="0" w:color="auto"/>
                <w:right w:val="none" w:sz="0" w:space="0" w:color="auto"/>
              </w:divBdr>
            </w:div>
            <w:div w:id="1743992098">
              <w:marLeft w:val="0"/>
              <w:marRight w:val="0"/>
              <w:marTop w:val="0"/>
              <w:marBottom w:val="0"/>
              <w:divBdr>
                <w:top w:val="none" w:sz="0" w:space="0" w:color="auto"/>
                <w:left w:val="none" w:sz="0" w:space="0" w:color="auto"/>
                <w:bottom w:val="none" w:sz="0" w:space="0" w:color="auto"/>
                <w:right w:val="none" w:sz="0" w:space="0" w:color="auto"/>
              </w:divBdr>
            </w:div>
            <w:div w:id="2132362020">
              <w:marLeft w:val="0"/>
              <w:marRight w:val="0"/>
              <w:marTop w:val="0"/>
              <w:marBottom w:val="0"/>
              <w:divBdr>
                <w:top w:val="none" w:sz="0" w:space="0" w:color="auto"/>
                <w:left w:val="none" w:sz="0" w:space="0" w:color="auto"/>
                <w:bottom w:val="none" w:sz="0" w:space="0" w:color="auto"/>
                <w:right w:val="none" w:sz="0" w:space="0" w:color="auto"/>
              </w:divBdr>
            </w:div>
            <w:div w:id="1582714749">
              <w:marLeft w:val="0"/>
              <w:marRight w:val="0"/>
              <w:marTop w:val="0"/>
              <w:marBottom w:val="0"/>
              <w:divBdr>
                <w:top w:val="none" w:sz="0" w:space="0" w:color="auto"/>
                <w:left w:val="none" w:sz="0" w:space="0" w:color="auto"/>
                <w:bottom w:val="none" w:sz="0" w:space="0" w:color="auto"/>
                <w:right w:val="none" w:sz="0" w:space="0" w:color="auto"/>
              </w:divBdr>
            </w:div>
            <w:div w:id="292640424">
              <w:marLeft w:val="0"/>
              <w:marRight w:val="0"/>
              <w:marTop w:val="0"/>
              <w:marBottom w:val="0"/>
              <w:divBdr>
                <w:top w:val="none" w:sz="0" w:space="0" w:color="auto"/>
                <w:left w:val="none" w:sz="0" w:space="0" w:color="auto"/>
                <w:bottom w:val="none" w:sz="0" w:space="0" w:color="auto"/>
                <w:right w:val="none" w:sz="0" w:space="0" w:color="auto"/>
              </w:divBdr>
            </w:div>
            <w:div w:id="2078748454">
              <w:marLeft w:val="0"/>
              <w:marRight w:val="0"/>
              <w:marTop w:val="0"/>
              <w:marBottom w:val="0"/>
              <w:divBdr>
                <w:top w:val="none" w:sz="0" w:space="0" w:color="auto"/>
                <w:left w:val="none" w:sz="0" w:space="0" w:color="auto"/>
                <w:bottom w:val="none" w:sz="0" w:space="0" w:color="auto"/>
                <w:right w:val="none" w:sz="0" w:space="0" w:color="auto"/>
              </w:divBdr>
            </w:div>
            <w:div w:id="1514371595">
              <w:marLeft w:val="0"/>
              <w:marRight w:val="0"/>
              <w:marTop w:val="0"/>
              <w:marBottom w:val="0"/>
              <w:divBdr>
                <w:top w:val="none" w:sz="0" w:space="0" w:color="auto"/>
                <w:left w:val="none" w:sz="0" w:space="0" w:color="auto"/>
                <w:bottom w:val="none" w:sz="0" w:space="0" w:color="auto"/>
                <w:right w:val="none" w:sz="0" w:space="0" w:color="auto"/>
              </w:divBdr>
            </w:div>
            <w:div w:id="756558331">
              <w:marLeft w:val="0"/>
              <w:marRight w:val="0"/>
              <w:marTop w:val="0"/>
              <w:marBottom w:val="0"/>
              <w:divBdr>
                <w:top w:val="none" w:sz="0" w:space="0" w:color="auto"/>
                <w:left w:val="none" w:sz="0" w:space="0" w:color="auto"/>
                <w:bottom w:val="none" w:sz="0" w:space="0" w:color="auto"/>
                <w:right w:val="none" w:sz="0" w:space="0" w:color="auto"/>
              </w:divBdr>
            </w:div>
            <w:div w:id="562641348">
              <w:marLeft w:val="0"/>
              <w:marRight w:val="0"/>
              <w:marTop w:val="0"/>
              <w:marBottom w:val="0"/>
              <w:divBdr>
                <w:top w:val="none" w:sz="0" w:space="0" w:color="auto"/>
                <w:left w:val="none" w:sz="0" w:space="0" w:color="auto"/>
                <w:bottom w:val="none" w:sz="0" w:space="0" w:color="auto"/>
                <w:right w:val="none" w:sz="0" w:space="0" w:color="auto"/>
              </w:divBdr>
            </w:div>
            <w:div w:id="792595909">
              <w:marLeft w:val="0"/>
              <w:marRight w:val="0"/>
              <w:marTop w:val="0"/>
              <w:marBottom w:val="0"/>
              <w:divBdr>
                <w:top w:val="none" w:sz="0" w:space="0" w:color="auto"/>
                <w:left w:val="none" w:sz="0" w:space="0" w:color="auto"/>
                <w:bottom w:val="none" w:sz="0" w:space="0" w:color="auto"/>
                <w:right w:val="none" w:sz="0" w:space="0" w:color="auto"/>
              </w:divBdr>
            </w:div>
            <w:div w:id="1157456094">
              <w:marLeft w:val="0"/>
              <w:marRight w:val="0"/>
              <w:marTop w:val="0"/>
              <w:marBottom w:val="0"/>
              <w:divBdr>
                <w:top w:val="none" w:sz="0" w:space="0" w:color="auto"/>
                <w:left w:val="none" w:sz="0" w:space="0" w:color="auto"/>
                <w:bottom w:val="none" w:sz="0" w:space="0" w:color="auto"/>
                <w:right w:val="none" w:sz="0" w:space="0" w:color="auto"/>
              </w:divBdr>
            </w:div>
            <w:div w:id="1180465807">
              <w:marLeft w:val="0"/>
              <w:marRight w:val="0"/>
              <w:marTop w:val="0"/>
              <w:marBottom w:val="0"/>
              <w:divBdr>
                <w:top w:val="none" w:sz="0" w:space="0" w:color="auto"/>
                <w:left w:val="none" w:sz="0" w:space="0" w:color="auto"/>
                <w:bottom w:val="none" w:sz="0" w:space="0" w:color="auto"/>
                <w:right w:val="none" w:sz="0" w:space="0" w:color="auto"/>
              </w:divBdr>
            </w:div>
            <w:div w:id="1598949408">
              <w:marLeft w:val="0"/>
              <w:marRight w:val="0"/>
              <w:marTop w:val="0"/>
              <w:marBottom w:val="0"/>
              <w:divBdr>
                <w:top w:val="none" w:sz="0" w:space="0" w:color="auto"/>
                <w:left w:val="none" w:sz="0" w:space="0" w:color="auto"/>
                <w:bottom w:val="none" w:sz="0" w:space="0" w:color="auto"/>
                <w:right w:val="none" w:sz="0" w:space="0" w:color="auto"/>
              </w:divBdr>
            </w:div>
            <w:div w:id="1219125534">
              <w:marLeft w:val="0"/>
              <w:marRight w:val="0"/>
              <w:marTop w:val="0"/>
              <w:marBottom w:val="0"/>
              <w:divBdr>
                <w:top w:val="none" w:sz="0" w:space="0" w:color="auto"/>
                <w:left w:val="none" w:sz="0" w:space="0" w:color="auto"/>
                <w:bottom w:val="none" w:sz="0" w:space="0" w:color="auto"/>
                <w:right w:val="none" w:sz="0" w:space="0" w:color="auto"/>
              </w:divBdr>
            </w:div>
            <w:div w:id="1401519907">
              <w:marLeft w:val="0"/>
              <w:marRight w:val="0"/>
              <w:marTop w:val="0"/>
              <w:marBottom w:val="0"/>
              <w:divBdr>
                <w:top w:val="none" w:sz="0" w:space="0" w:color="auto"/>
                <w:left w:val="none" w:sz="0" w:space="0" w:color="auto"/>
                <w:bottom w:val="none" w:sz="0" w:space="0" w:color="auto"/>
                <w:right w:val="none" w:sz="0" w:space="0" w:color="auto"/>
              </w:divBdr>
            </w:div>
            <w:div w:id="15892023">
              <w:marLeft w:val="0"/>
              <w:marRight w:val="0"/>
              <w:marTop w:val="0"/>
              <w:marBottom w:val="0"/>
              <w:divBdr>
                <w:top w:val="none" w:sz="0" w:space="0" w:color="auto"/>
                <w:left w:val="none" w:sz="0" w:space="0" w:color="auto"/>
                <w:bottom w:val="none" w:sz="0" w:space="0" w:color="auto"/>
                <w:right w:val="none" w:sz="0" w:space="0" w:color="auto"/>
              </w:divBdr>
            </w:div>
            <w:div w:id="853613015">
              <w:marLeft w:val="0"/>
              <w:marRight w:val="0"/>
              <w:marTop w:val="0"/>
              <w:marBottom w:val="0"/>
              <w:divBdr>
                <w:top w:val="none" w:sz="0" w:space="0" w:color="auto"/>
                <w:left w:val="none" w:sz="0" w:space="0" w:color="auto"/>
                <w:bottom w:val="none" w:sz="0" w:space="0" w:color="auto"/>
                <w:right w:val="none" w:sz="0" w:space="0" w:color="auto"/>
              </w:divBdr>
            </w:div>
            <w:div w:id="1872068017">
              <w:marLeft w:val="0"/>
              <w:marRight w:val="0"/>
              <w:marTop w:val="0"/>
              <w:marBottom w:val="0"/>
              <w:divBdr>
                <w:top w:val="none" w:sz="0" w:space="0" w:color="auto"/>
                <w:left w:val="none" w:sz="0" w:space="0" w:color="auto"/>
                <w:bottom w:val="none" w:sz="0" w:space="0" w:color="auto"/>
                <w:right w:val="none" w:sz="0" w:space="0" w:color="auto"/>
              </w:divBdr>
            </w:div>
            <w:div w:id="780684591">
              <w:marLeft w:val="0"/>
              <w:marRight w:val="0"/>
              <w:marTop w:val="0"/>
              <w:marBottom w:val="0"/>
              <w:divBdr>
                <w:top w:val="none" w:sz="0" w:space="0" w:color="auto"/>
                <w:left w:val="none" w:sz="0" w:space="0" w:color="auto"/>
                <w:bottom w:val="none" w:sz="0" w:space="0" w:color="auto"/>
                <w:right w:val="none" w:sz="0" w:space="0" w:color="auto"/>
              </w:divBdr>
            </w:div>
            <w:div w:id="517083390">
              <w:marLeft w:val="0"/>
              <w:marRight w:val="0"/>
              <w:marTop w:val="0"/>
              <w:marBottom w:val="0"/>
              <w:divBdr>
                <w:top w:val="none" w:sz="0" w:space="0" w:color="auto"/>
                <w:left w:val="none" w:sz="0" w:space="0" w:color="auto"/>
                <w:bottom w:val="none" w:sz="0" w:space="0" w:color="auto"/>
                <w:right w:val="none" w:sz="0" w:space="0" w:color="auto"/>
              </w:divBdr>
            </w:div>
            <w:div w:id="2102024494">
              <w:marLeft w:val="0"/>
              <w:marRight w:val="0"/>
              <w:marTop w:val="0"/>
              <w:marBottom w:val="0"/>
              <w:divBdr>
                <w:top w:val="none" w:sz="0" w:space="0" w:color="auto"/>
                <w:left w:val="none" w:sz="0" w:space="0" w:color="auto"/>
                <w:bottom w:val="none" w:sz="0" w:space="0" w:color="auto"/>
                <w:right w:val="none" w:sz="0" w:space="0" w:color="auto"/>
              </w:divBdr>
            </w:div>
            <w:div w:id="1590427720">
              <w:marLeft w:val="0"/>
              <w:marRight w:val="0"/>
              <w:marTop w:val="0"/>
              <w:marBottom w:val="0"/>
              <w:divBdr>
                <w:top w:val="none" w:sz="0" w:space="0" w:color="auto"/>
                <w:left w:val="none" w:sz="0" w:space="0" w:color="auto"/>
                <w:bottom w:val="none" w:sz="0" w:space="0" w:color="auto"/>
                <w:right w:val="none" w:sz="0" w:space="0" w:color="auto"/>
              </w:divBdr>
            </w:div>
            <w:div w:id="1537617573">
              <w:marLeft w:val="0"/>
              <w:marRight w:val="0"/>
              <w:marTop w:val="0"/>
              <w:marBottom w:val="0"/>
              <w:divBdr>
                <w:top w:val="none" w:sz="0" w:space="0" w:color="auto"/>
                <w:left w:val="none" w:sz="0" w:space="0" w:color="auto"/>
                <w:bottom w:val="none" w:sz="0" w:space="0" w:color="auto"/>
                <w:right w:val="none" w:sz="0" w:space="0" w:color="auto"/>
              </w:divBdr>
            </w:div>
            <w:div w:id="2004121728">
              <w:marLeft w:val="0"/>
              <w:marRight w:val="0"/>
              <w:marTop w:val="0"/>
              <w:marBottom w:val="0"/>
              <w:divBdr>
                <w:top w:val="none" w:sz="0" w:space="0" w:color="auto"/>
                <w:left w:val="none" w:sz="0" w:space="0" w:color="auto"/>
                <w:bottom w:val="none" w:sz="0" w:space="0" w:color="auto"/>
                <w:right w:val="none" w:sz="0" w:space="0" w:color="auto"/>
              </w:divBdr>
            </w:div>
            <w:div w:id="67116420">
              <w:marLeft w:val="0"/>
              <w:marRight w:val="0"/>
              <w:marTop w:val="0"/>
              <w:marBottom w:val="0"/>
              <w:divBdr>
                <w:top w:val="none" w:sz="0" w:space="0" w:color="auto"/>
                <w:left w:val="none" w:sz="0" w:space="0" w:color="auto"/>
                <w:bottom w:val="none" w:sz="0" w:space="0" w:color="auto"/>
                <w:right w:val="none" w:sz="0" w:space="0" w:color="auto"/>
              </w:divBdr>
            </w:div>
            <w:div w:id="1753817303">
              <w:marLeft w:val="0"/>
              <w:marRight w:val="0"/>
              <w:marTop w:val="0"/>
              <w:marBottom w:val="0"/>
              <w:divBdr>
                <w:top w:val="none" w:sz="0" w:space="0" w:color="auto"/>
                <w:left w:val="none" w:sz="0" w:space="0" w:color="auto"/>
                <w:bottom w:val="none" w:sz="0" w:space="0" w:color="auto"/>
                <w:right w:val="none" w:sz="0" w:space="0" w:color="auto"/>
              </w:divBdr>
            </w:div>
            <w:div w:id="1604610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056047">
      <w:bodyDiv w:val="1"/>
      <w:marLeft w:val="0"/>
      <w:marRight w:val="0"/>
      <w:marTop w:val="0"/>
      <w:marBottom w:val="0"/>
      <w:divBdr>
        <w:top w:val="none" w:sz="0" w:space="0" w:color="auto"/>
        <w:left w:val="none" w:sz="0" w:space="0" w:color="auto"/>
        <w:bottom w:val="none" w:sz="0" w:space="0" w:color="auto"/>
        <w:right w:val="none" w:sz="0" w:space="0" w:color="auto"/>
      </w:divBdr>
    </w:div>
    <w:div w:id="207956941">
      <w:bodyDiv w:val="1"/>
      <w:marLeft w:val="0"/>
      <w:marRight w:val="0"/>
      <w:marTop w:val="0"/>
      <w:marBottom w:val="0"/>
      <w:divBdr>
        <w:top w:val="none" w:sz="0" w:space="0" w:color="auto"/>
        <w:left w:val="none" w:sz="0" w:space="0" w:color="auto"/>
        <w:bottom w:val="none" w:sz="0" w:space="0" w:color="auto"/>
        <w:right w:val="none" w:sz="0" w:space="0" w:color="auto"/>
      </w:divBdr>
    </w:div>
    <w:div w:id="220364030">
      <w:bodyDiv w:val="1"/>
      <w:marLeft w:val="0"/>
      <w:marRight w:val="0"/>
      <w:marTop w:val="0"/>
      <w:marBottom w:val="0"/>
      <w:divBdr>
        <w:top w:val="none" w:sz="0" w:space="0" w:color="auto"/>
        <w:left w:val="none" w:sz="0" w:space="0" w:color="auto"/>
        <w:bottom w:val="none" w:sz="0" w:space="0" w:color="auto"/>
        <w:right w:val="none" w:sz="0" w:space="0" w:color="auto"/>
      </w:divBdr>
      <w:divsChild>
        <w:div w:id="93208040">
          <w:marLeft w:val="0"/>
          <w:marRight w:val="0"/>
          <w:marTop w:val="0"/>
          <w:marBottom w:val="0"/>
          <w:divBdr>
            <w:top w:val="single" w:sz="2" w:space="0" w:color="E3E3E3"/>
            <w:left w:val="single" w:sz="2" w:space="0" w:color="E3E3E3"/>
            <w:bottom w:val="single" w:sz="2" w:space="0" w:color="E3E3E3"/>
            <w:right w:val="single" w:sz="2" w:space="0" w:color="E3E3E3"/>
          </w:divBdr>
          <w:divsChild>
            <w:div w:id="1186022989">
              <w:marLeft w:val="0"/>
              <w:marRight w:val="0"/>
              <w:marTop w:val="0"/>
              <w:marBottom w:val="0"/>
              <w:divBdr>
                <w:top w:val="single" w:sz="2" w:space="0" w:color="E3E3E3"/>
                <w:left w:val="single" w:sz="2" w:space="0" w:color="E3E3E3"/>
                <w:bottom w:val="single" w:sz="2" w:space="0" w:color="E3E3E3"/>
                <w:right w:val="single" w:sz="2" w:space="0" w:color="E3E3E3"/>
              </w:divBdr>
              <w:divsChild>
                <w:div w:id="1175652758">
                  <w:marLeft w:val="0"/>
                  <w:marRight w:val="0"/>
                  <w:marTop w:val="0"/>
                  <w:marBottom w:val="0"/>
                  <w:divBdr>
                    <w:top w:val="single" w:sz="2" w:space="0" w:color="E3E3E3"/>
                    <w:left w:val="single" w:sz="2" w:space="0" w:color="E3E3E3"/>
                    <w:bottom w:val="single" w:sz="2" w:space="0" w:color="E3E3E3"/>
                    <w:right w:val="single" w:sz="2" w:space="0" w:color="E3E3E3"/>
                  </w:divBdr>
                  <w:divsChild>
                    <w:div w:id="1339313019">
                      <w:marLeft w:val="0"/>
                      <w:marRight w:val="0"/>
                      <w:marTop w:val="0"/>
                      <w:marBottom w:val="0"/>
                      <w:divBdr>
                        <w:top w:val="single" w:sz="2" w:space="0" w:color="E3E3E3"/>
                        <w:left w:val="single" w:sz="2" w:space="0" w:color="E3E3E3"/>
                        <w:bottom w:val="single" w:sz="2" w:space="0" w:color="E3E3E3"/>
                        <w:right w:val="single" w:sz="2" w:space="0" w:color="E3E3E3"/>
                      </w:divBdr>
                      <w:divsChild>
                        <w:div w:id="828977991">
                          <w:marLeft w:val="0"/>
                          <w:marRight w:val="0"/>
                          <w:marTop w:val="0"/>
                          <w:marBottom w:val="0"/>
                          <w:divBdr>
                            <w:top w:val="single" w:sz="2" w:space="0" w:color="E3E3E3"/>
                            <w:left w:val="single" w:sz="2" w:space="0" w:color="E3E3E3"/>
                            <w:bottom w:val="single" w:sz="2" w:space="0" w:color="E3E3E3"/>
                            <w:right w:val="single" w:sz="2" w:space="0" w:color="E3E3E3"/>
                          </w:divBdr>
                          <w:divsChild>
                            <w:div w:id="1631595017">
                              <w:marLeft w:val="0"/>
                              <w:marRight w:val="0"/>
                              <w:marTop w:val="0"/>
                              <w:marBottom w:val="0"/>
                              <w:divBdr>
                                <w:top w:val="single" w:sz="2" w:space="0" w:color="E3E3E3"/>
                                <w:left w:val="single" w:sz="2" w:space="0" w:color="E3E3E3"/>
                                <w:bottom w:val="single" w:sz="2" w:space="0" w:color="E3E3E3"/>
                                <w:right w:val="single" w:sz="2" w:space="0" w:color="E3E3E3"/>
                              </w:divBdr>
                              <w:divsChild>
                                <w:div w:id="714353302">
                                  <w:marLeft w:val="0"/>
                                  <w:marRight w:val="0"/>
                                  <w:marTop w:val="100"/>
                                  <w:marBottom w:val="100"/>
                                  <w:divBdr>
                                    <w:top w:val="single" w:sz="2" w:space="0" w:color="E3E3E3"/>
                                    <w:left w:val="single" w:sz="2" w:space="0" w:color="E3E3E3"/>
                                    <w:bottom w:val="single" w:sz="2" w:space="0" w:color="E3E3E3"/>
                                    <w:right w:val="single" w:sz="2" w:space="0" w:color="E3E3E3"/>
                                  </w:divBdr>
                                  <w:divsChild>
                                    <w:div w:id="128865640">
                                      <w:marLeft w:val="0"/>
                                      <w:marRight w:val="0"/>
                                      <w:marTop w:val="0"/>
                                      <w:marBottom w:val="0"/>
                                      <w:divBdr>
                                        <w:top w:val="single" w:sz="2" w:space="0" w:color="E3E3E3"/>
                                        <w:left w:val="single" w:sz="2" w:space="0" w:color="E3E3E3"/>
                                        <w:bottom w:val="single" w:sz="2" w:space="0" w:color="E3E3E3"/>
                                        <w:right w:val="single" w:sz="2" w:space="0" w:color="E3E3E3"/>
                                      </w:divBdr>
                                      <w:divsChild>
                                        <w:div w:id="157814321">
                                          <w:marLeft w:val="0"/>
                                          <w:marRight w:val="0"/>
                                          <w:marTop w:val="0"/>
                                          <w:marBottom w:val="0"/>
                                          <w:divBdr>
                                            <w:top w:val="single" w:sz="2" w:space="0" w:color="E3E3E3"/>
                                            <w:left w:val="single" w:sz="2" w:space="0" w:color="E3E3E3"/>
                                            <w:bottom w:val="single" w:sz="2" w:space="0" w:color="E3E3E3"/>
                                            <w:right w:val="single" w:sz="2" w:space="0" w:color="E3E3E3"/>
                                          </w:divBdr>
                                          <w:divsChild>
                                            <w:div w:id="104081604">
                                              <w:marLeft w:val="0"/>
                                              <w:marRight w:val="0"/>
                                              <w:marTop w:val="0"/>
                                              <w:marBottom w:val="0"/>
                                              <w:divBdr>
                                                <w:top w:val="single" w:sz="2" w:space="0" w:color="E3E3E3"/>
                                                <w:left w:val="single" w:sz="2" w:space="0" w:color="E3E3E3"/>
                                                <w:bottom w:val="single" w:sz="2" w:space="0" w:color="E3E3E3"/>
                                                <w:right w:val="single" w:sz="2" w:space="0" w:color="E3E3E3"/>
                                              </w:divBdr>
                                              <w:divsChild>
                                                <w:div w:id="1847208249">
                                                  <w:marLeft w:val="0"/>
                                                  <w:marRight w:val="0"/>
                                                  <w:marTop w:val="0"/>
                                                  <w:marBottom w:val="0"/>
                                                  <w:divBdr>
                                                    <w:top w:val="single" w:sz="2" w:space="0" w:color="E3E3E3"/>
                                                    <w:left w:val="single" w:sz="2" w:space="0" w:color="E3E3E3"/>
                                                    <w:bottom w:val="single" w:sz="2" w:space="0" w:color="E3E3E3"/>
                                                    <w:right w:val="single" w:sz="2" w:space="0" w:color="E3E3E3"/>
                                                  </w:divBdr>
                                                  <w:divsChild>
                                                    <w:div w:id="1568493780">
                                                      <w:marLeft w:val="0"/>
                                                      <w:marRight w:val="0"/>
                                                      <w:marTop w:val="0"/>
                                                      <w:marBottom w:val="0"/>
                                                      <w:divBdr>
                                                        <w:top w:val="single" w:sz="2" w:space="0" w:color="E3E3E3"/>
                                                        <w:left w:val="single" w:sz="2" w:space="0" w:color="E3E3E3"/>
                                                        <w:bottom w:val="single" w:sz="2" w:space="0" w:color="E3E3E3"/>
                                                        <w:right w:val="single" w:sz="2" w:space="0" w:color="E3E3E3"/>
                                                      </w:divBdr>
                                                      <w:divsChild>
                                                        <w:div w:id="3181937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767778606">
          <w:marLeft w:val="0"/>
          <w:marRight w:val="0"/>
          <w:marTop w:val="0"/>
          <w:marBottom w:val="0"/>
          <w:divBdr>
            <w:top w:val="none" w:sz="0" w:space="0" w:color="auto"/>
            <w:left w:val="none" w:sz="0" w:space="0" w:color="auto"/>
            <w:bottom w:val="none" w:sz="0" w:space="0" w:color="auto"/>
            <w:right w:val="none" w:sz="0" w:space="0" w:color="auto"/>
          </w:divBdr>
        </w:div>
      </w:divsChild>
    </w:div>
    <w:div w:id="337006672">
      <w:bodyDiv w:val="1"/>
      <w:marLeft w:val="0"/>
      <w:marRight w:val="0"/>
      <w:marTop w:val="0"/>
      <w:marBottom w:val="0"/>
      <w:divBdr>
        <w:top w:val="none" w:sz="0" w:space="0" w:color="auto"/>
        <w:left w:val="none" w:sz="0" w:space="0" w:color="auto"/>
        <w:bottom w:val="none" w:sz="0" w:space="0" w:color="auto"/>
        <w:right w:val="none" w:sz="0" w:space="0" w:color="auto"/>
      </w:divBdr>
    </w:div>
    <w:div w:id="716855443">
      <w:bodyDiv w:val="1"/>
      <w:marLeft w:val="0"/>
      <w:marRight w:val="0"/>
      <w:marTop w:val="0"/>
      <w:marBottom w:val="0"/>
      <w:divBdr>
        <w:top w:val="none" w:sz="0" w:space="0" w:color="auto"/>
        <w:left w:val="none" w:sz="0" w:space="0" w:color="auto"/>
        <w:bottom w:val="none" w:sz="0" w:space="0" w:color="auto"/>
        <w:right w:val="none" w:sz="0" w:space="0" w:color="auto"/>
      </w:divBdr>
    </w:div>
    <w:div w:id="968701000">
      <w:bodyDiv w:val="1"/>
      <w:marLeft w:val="0"/>
      <w:marRight w:val="0"/>
      <w:marTop w:val="0"/>
      <w:marBottom w:val="0"/>
      <w:divBdr>
        <w:top w:val="none" w:sz="0" w:space="0" w:color="auto"/>
        <w:left w:val="none" w:sz="0" w:space="0" w:color="auto"/>
        <w:bottom w:val="none" w:sz="0" w:space="0" w:color="auto"/>
        <w:right w:val="none" w:sz="0" w:space="0" w:color="auto"/>
      </w:divBdr>
    </w:div>
    <w:div w:id="1199778110">
      <w:bodyDiv w:val="1"/>
      <w:marLeft w:val="0"/>
      <w:marRight w:val="0"/>
      <w:marTop w:val="0"/>
      <w:marBottom w:val="0"/>
      <w:divBdr>
        <w:top w:val="none" w:sz="0" w:space="0" w:color="auto"/>
        <w:left w:val="none" w:sz="0" w:space="0" w:color="auto"/>
        <w:bottom w:val="none" w:sz="0" w:space="0" w:color="auto"/>
        <w:right w:val="none" w:sz="0" w:space="0" w:color="auto"/>
      </w:divBdr>
    </w:div>
    <w:div w:id="1304652070">
      <w:bodyDiv w:val="1"/>
      <w:marLeft w:val="0"/>
      <w:marRight w:val="0"/>
      <w:marTop w:val="0"/>
      <w:marBottom w:val="0"/>
      <w:divBdr>
        <w:top w:val="none" w:sz="0" w:space="0" w:color="auto"/>
        <w:left w:val="none" w:sz="0" w:space="0" w:color="auto"/>
        <w:bottom w:val="none" w:sz="0" w:space="0" w:color="auto"/>
        <w:right w:val="none" w:sz="0" w:space="0" w:color="auto"/>
      </w:divBdr>
      <w:divsChild>
        <w:div w:id="1431273448">
          <w:marLeft w:val="0"/>
          <w:marRight w:val="0"/>
          <w:marTop w:val="0"/>
          <w:marBottom w:val="0"/>
          <w:divBdr>
            <w:top w:val="single" w:sz="2" w:space="0" w:color="E3E3E3"/>
            <w:left w:val="single" w:sz="2" w:space="0" w:color="E3E3E3"/>
            <w:bottom w:val="single" w:sz="2" w:space="0" w:color="E3E3E3"/>
            <w:right w:val="single" w:sz="2" w:space="0" w:color="E3E3E3"/>
          </w:divBdr>
          <w:divsChild>
            <w:div w:id="391201355">
              <w:marLeft w:val="0"/>
              <w:marRight w:val="0"/>
              <w:marTop w:val="0"/>
              <w:marBottom w:val="0"/>
              <w:divBdr>
                <w:top w:val="single" w:sz="2" w:space="0" w:color="E3E3E3"/>
                <w:left w:val="single" w:sz="2" w:space="0" w:color="E3E3E3"/>
                <w:bottom w:val="single" w:sz="2" w:space="0" w:color="E3E3E3"/>
                <w:right w:val="single" w:sz="2" w:space="0" w:color="E3E3E3"/>
              </w:divBdr>
              <w:divsChild>
                <w:div w:id="928192975">
                  <w:marLeft w:val="0"/>
                  <w:marRight w:val="0"/>
                  <w:marTop w:val="0"/>
                  <w:marBottom w:val="0"/>
                  <w:divBdr>
                    <w:top w:val="single" w:sz="2" w:space="0" w:color="E3E3E3"/>
                    <w:left w:val="single" w:sz="2" w:space="0" w:color="E3E3E3"/>
                    <w:bottom w:val="single" w:sz="2" w:space="0" w:color="E3E3E3"/>
                    <w:right w:val="single" w:sz="2" w:space="0" w:color="E3E3E3"/>
                  </w:divBdr>
                  <w:divsChild>
                    <w:div w:id="1634679203">
                      <w:marLeft w:val="0"/>
                      <w:marRight w:val="0"/>
                      <w:marTop w:val="0"/>
                      <w:marBottom w:val="0"/>
                      <w:divBdr>
                        <w:top w:val="single" w:sz="2" w:space="0" w:color="E3E3E3"/>
                        <w:left w:val="single" w:sz="2" w:space="0" w:color="E3E3E3"/>
                        <w:bottom w:val="single" w:sz="2" w:space="0" w:color="E3E3E3"/>
                        <w:right w:val="single" w:sz="2" w:space="0" w:color="E3E3E3"/>
                      </w:divBdr>
                      <w:divsChild>
                        <w:div w:id="81417828">
                          <w:marLeft w:val="0"/>
                          <w:marRight w:val="0"/>
                          <w:marTop w:val="0"/>
                          <w:marBottom w:val="0"/>
                          <w:divBdr>
                            <w:top w:val="single" w:sz="2" w:space="0" w:color="E3E3E3"/>
                            <w:left w:val="single" w:sz="2" w:space="0" w:color="E3E3E3"/>
                            <w:bottom w:val="single" w:sz="2" w:space="0" w:color="E3E3E3"/>
                            <w:right w:val="single" w:sz="2" w:space="0" w:color="E3E3E3"/>
                          </w:divBdr>
                          <w:divsChild>
                            <w:div w:id="2023431724">
                              <w:marLeft w:val="0"/>
                              <w:marRight w:val="0"/>
                              <w:marTop w:val="0"/>
                              <w:marBottom w:val="0"/>
                              <w:divBdr>
                                <w:top w:val="single" w:sz="2" w:space="0" w:color="E3E3E3"/>
                                <w:left w:val="single" w:sz="2" w:space="0" w:color="E3E3E3"/>
                                <w:bottom w:val="single" w:sz="2" w:space="0" w:color="E3E3E3"/>
                                <w:right w:val="single" w:sz="2" w:space="0" w:color="E3E3E3"/>
                              </w:divBdr>
                              <w:divsChild>
                                <w:div w:id="1645313109">
                                  <w:marLeft w:val="0"/>
                                  <w:marRight w:val="0"/>
                                  <w:marTop w:val="100"/>
                                  <w:marBottom w:val="100"/>
                                  <w:divBdr>
                                    <w:top w:val="single" w:sz="2" w:space="0" w:color="E3E3E3"/>
                                    <w:left w:val="single" w:sz="2" w:space="0" w:color="E3E3E3"/>
                                    <w:bottom w:val="single" w:sz="2" w:space="0" w:color="E3E3E3"/>
                                    <w:right w:val="single" w:sz="2" w:space="0" w:color="E3E3E3"/>
                                  </w:divBdr>
                                  <w:divsChild>
                                    <w:div w:id="2084332870">
                                      <w:marLeft w:val="0"/>
                                      <w:marRight w:val="0"/>
                                      <w:marTop w:val="0"/>
                                      <w:marBottom w:val="0"/>
                                      <w:divBdr>
                                        <w:top w:val="single" w:sz="2" w:space="0" w:color="E3E3E3"/>
                                        <w:left w:val="single" w:sz="2" w:space="0" w:color="E3E3E3"/>
                                        <w:bottom w:val="single" w:sz="2" w:space="0" w:color="E3E3E3"/>
                                        <w:right w:val="single" w:sz="2" w:space="0" w:color="E3E3E3"/>
                                      </w:divBdr>
                                      <w:divsChild>
                                        <w:div w:id="2016300728">
                                          <w:marLeft w:val="0"/>
                                          <w:marRight w:val="0"/>
                                          <w:marTop w:val="0"/>
                                          <w:marBottom w:val="0"/>
                                          <w:divBdr>
                                            <w:top w:val="single" w:sz="2" w:space="0" w:color="E3E3E3"/>
                                            <w:left w:val="single" w:sz="2" w:space="0" w:color="E3E3E3"/>
                                            <w:bottom w:val="single" w:sz="2" w:space="0" w:color="E3E3E3"/>
                                            <w:right w:val="single" w:sz="2" w:space="0" w:color="E3E3E3"/>
                                          </w:divBdr>
                                          <w:divsChild>
                                            <w:div w:id="952830092">
                                              <w:marLeft w:val="0"/>
                                              <w:marRight w:val="0"/>
                                              <w:marTop w:val="0"/>
                                              <w:marBottom w:val="0"/>
                                              <w:divBdr>
                                                <w:top w:val="single" w:sz="2" w:space="0" w:color="E3E3E3"/>
                                                <w:left w:val="single" w:sz="2" w:space="0" w:color="E3E3E3"/>
                                                <w:bottom w:val="single" w:sz="2" w:space="0" w:color="E3E3E3"/>
                                                <w:right w:val="single" w:sz="2" w:space="0" w:color="E3E3E3"/>
                                              </w:divBdr>
                                              <w:divsChild>
                                                <w:div w:id="1124428562">
                                                  <w:marLeft w:val="0"/>
                                                  <w:marRight w:val="0"/>
                                                  <w:marTop w:val="0"/>
                                                  <w:marBottom w:val="0"/>
                                                  <w:divBdr>
                                                    <w:top w:val="single" w:sz="2" w:space="0" w:color="E3E3E3"/>
                                                    <w:left w:val="single" w:sz="2" w:space="0" w:color="E3E3E3"/>
                                                    <w:bottom w:val="single" w:sz="2" w:space="0" w:color="E3E3E3"/>
                                                    <w:right w:val="single" w:sz="2" w:space="0" w:color="E3E3E3"/>
                                                  </w:divBdr>
                                                  <w:divsChild>
                                                    <w:div w:id="725951399">
                                                      <w:marLeft w:val="0"/>
                                                      <w:marRight w:val="0"/>
                                                      <w:marTop w:val="0"/>
                                                      <w:marBottom w:val="0"/>
                                                      <w:divBdr>
                                                        <w:top w:val="single" w:sz="2" w:space="0" w:color="E3E3E3"/>
                                                        <w:left w:val="single" w:sz="2" w:space="0" w:color="E3E3E3"/>
                                                        <w:bottom w:val="single" w:sz="2" w:space="0" w:color="E3E3E3"/>
                                                        <w:right w:val="single" w:sz="2" w:space="0" w:color="E3E3E3"/>
                                                      </w:divBdr>
                                                      <w:divsChild>
                                                        <w:div w:id="7578710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42291227">
          <w:marLeft w:val="0"/>
          <w:marRight w:val="0"/>
          <w:marTop w:val="0"/>
          <w:marBottom w:val="0"/>
          <w:divBdr>
            <w:top w:val="none" w:sz="0" w:space="0" w:color="auto"/>
            <w:left w:val="none" w:sz="0" w:space="0" w:color="auto"/>
            <w:bottom w:val="none" w:sz="0" w:space="0" w:color="auto"/>
            <w:right w:val="none" w:sz="0" w:space="0" w:color="auto"/>
          </w:divBdr>
        </w:div>
      </w:divsChild>
    </w:div>
    <w:div w:id="1485969393">
      <w:bodyDiv w:val="1"/>
      <w:marLeft w:val="0"/>
      <w:marRight w:val="0"/>
      <w:marTop w:val="0"/>
      <w:marBottom w:val="0"/>
      <w:divBdr>
        <w:top w:val="none" w:sz="0" w:space="0" w:color="auto"/>
        <w:left w:val="none" w:sz="0" w:space="0" w:color="auto"/>
        <w:bottom w:val="none" w:sz="0" w:space="0" w:color="auto"/>
        <w:right w:val="none" w:sz="0" w:space="0" w:color="auto"/>
      </w:divBdr>
    </w:div>
    <w:div w:id="1833326377">
      <w:bodyDiv w:val="1"/>
      <w:marLeft w:val="0"/>
      <w:marRight w:val="0"/>
      <w:marTop w:val="0"/>
      <w:marBottom w:val="0"/>
      <w:divBdr>
        <w:top w:val="none" w:sz="0" w:space="0" w:color="auto"/>
        <w:left w:val="none" w:sz="0" w:space="0" w:color="auto"/>
        <w:bottom w:val="none" w:sz="0" w:space="0" w:color="auto"/>
        <w:right w:val="none" w:sz="0" w:space="0" w:color="auto"/>
      </w:divBdr>
      <w:divsChild>
        <w:div w:id="729038472">
          <w:marLeft w:val="0"/>
          <w:marRight w:val="0"/>
          <w:marTop w:val="0"/>
          <w:marBottom w:val="0"/>
          <w:divBdr>
            <w:top w:val="single" w:sz="2" w:space="0" w:color="E3E3E3"/>
            <w:left w:val="single" w:sz="2" w:space="0" w:color="E3E3E3"/>
            <w:bottom w:val="single" w:sz="2" w:space="0" w:color="E3E3E3"/>
            <w:right w:val="single" w:sz="2" w:space="0" w:color="E3E3E3"/>
          </w:divBdr>
          <w:divsChild>
            <w:div w:id="944195103">
              <w:marLeft w:val="0"/>
              <w:marRight w:val="0"/>
              <w:marTop w:val="0"/>
              <w:marBottom w:val="0"/>
              <w:divBdr>
                <w:top w:val="single" w:sz="2" w:space="0" w:color="E3E3E3"/>
                <w:left w:val="single" w:sz="2" w:space="0" w:color="E3E3E3"/>
                <w:bottom w:val="single" w:sz="2" w:space="0" w:color="E3E3E3"/>
                <w:right w:val="single" w:sz="2" w:space="0" w:color="E3E3E3"/>
              </w:divBdr>
              <w:divsChild>
                <w:div w:id="401416943">
                  <w:marLeft w:val="0"/>
                  <w:marRight w:val="0"/>
                  <w:marTop w:val="0"/>
                  <w:marBottom w:val="0"/>
                  <w:divBdr>
                    <w:top w:val="single" w:sz="2" w:space="0" w:color="E3E3E3"/>
                    <w:left w:val="single" w:sz="2" w:space="0" w:color="E3E3E3"/>
                    <w:bottom w:val="single" w:sz="2" w:space="0" w:color="E3E3E3"/>
                    <w:right w:val="single" w:sz="2" w:space="0" w:color="E3E3E3"/>
                  </w:divBdr>
                  <w:divsChild>
                    <w:div w:id="1824081602">
                      <w:marLeft w:val="0"/>
                      <w:marRight w:val="0"/>
                      <w:marTop w:val="0"/>
                      <w:marBottom w:val="0"/>
                      <w:divBdr>
                        <w:top w:val="single" w:sz="2" w:space="0" w:color="E3E3E3"/>
                        <w:left w:val="single" w:sz="2" w:space="0" w:color="E3E3E3"/>
                        <w:bottom w:val="single" w:sz="2" w:space="0" w:color="E3E3E3"/>
                        <w:right w:val="single" w:sz="2" w:space="0" w:color="E3E3E3"/>
                      </w:divBdr>
                      <w:divsChild>
                        <w:div w:id="1279990258">
                          <w:marLeft w:val="0"/>
                          <w:marRight w:val="0"/>
                          <w:marTop w:val="0"/>
                          <w:marBottom w:val="0"/>
                          <w:divBdr>
                            <w:top w:val="single" w:sz="2" w:space="0" w:color="E3E3E3"/>
                            <w:left w:val="single" w:sz="2" w:space="0" w:color="E3E3E3"/>
                            <w:bottom w:val="single" w:sz="2" w:space="0" w:color="E3E3E3"/>
                            <w:right w:val="single" w:sz="2" w:space="0" w:color="E3E3E3"/>
                          </w:divBdr>
                          <w:divsChild>
                            <w:div w:id="2053964745">
                              <w:marLeft w:val="0"/>
                              <w:marRight w:val="0"/>
                              <w:marTop w:val="0"/>
                              <w:marBottom w:val="0"/>
                              <w:divBdr>
                                <w:top w:val="single" w:sz="2" w:space="0" w:color="E3E3E3"/>
                                <w:left w:val="single" w:sz="2" w:space="0" w:color="E3E3E3"/>
                                <w:bottom w:val="single" w:sz="2" w:space="0" w:color="E3E3E3"/>
                                <w:right w:val="single" w:sz="2" w:space="0" w:color="E3E3E3"/>
                              </w:divBdr>
                              <w:divsChild>
                                <w:div w:id="942880958">
                                  <w:marLeft w:val="0"/>
                                  <w:marRight w:val="0"/>
                                  <w:marTop w:val="100"/>
                                  <w:marBottom w:val="100"/>
                                  <w:divBdr>
                                    <w:top w:val="single" w:sz="2" w:space="0" w:color="E3E3E3"/>
                                    <w:left w:val="single" w:sz="2" w:space="0" w:color="E3E3E3"/>
                                    <w:bottom w:val="single" w:sz="2" w:space="0" w:color="E3E3E3"/>
                                    <w:right w:val="single" w:sz="2" w:space="0" w:color="E3E3E3"/>
                                  </w:divBdr>
                                  <w:divsChild>
                                    <w:div w:id="546373707">
                                      <w:marLeft w:val="0"/>
                                      <w:marRight w:val="0"/>
                                      <w:marTop w:val="0"/>
                                      <w:marBottom w:val="0"/>
                                      <w:divBdr>
                                        <w:top w:val="single" w:sz="2" w:space="0" w:color="E3E3E3"/>
                                        <w:left w:val="single" w:sz="2" w:space="0" w:color="E3E3E3"/>
                                        <w:bottom w:val="single" w:sz="2" w:space="0" w:color="E3E3E3"/>
                                        <w:right w:val="single" w:sz="2" w:space="0" w:color="E3E3E3"/>
                                      </w:divBdr>
                                      <w:divsChild>
                                        <w:div w:id="130949033">
                                          <w:marLeft w:val="0"/>
                                          <w:marRight w:val="0"/>
                                          <w:marTop w:val="0"/>
                                          <w:marBottom w:val="0"/>
                                          <w:divBdr>
                                            <w:top w:val="single" w:sz="2" w:space="0" w:color="E3E3E3"/>
                                            <w:left w:val="single" w:sz="2" w:space="0" w:color="E3E3E3"/>
                                            <w:bottom w:val="single" w:sz="2" w:space="0" w:color="E3E3E3"/>
                                            <w:right w:val="single" w:sz="2" w:space="0" w:color="E3E3E3"/>
                                          </w:divBdr>
                                          <w:divsChild>
                                            <w:div w:id="919753474">
                                              <w:marLeft w:val="0"/>
                                              <w:marRight w:val="0"/>
                                              <w:marTop w:val="0"/>
                                              <w:marBottom w:val="0"/>
                                              <w:divBdr>
                                                <w:top w:val="single" w:sz="2" w:space="0" w:color="E3E3E3"/>
                                                <w:left w:val="single" w:sz="2" w:space="0" w:color="E3E3E3"/>
                                                <w:bottom w:val="single" w:sz="2" w:space="0" w:color="E3E3E3"/>
                                                <w:right w:val="single" w:sz="2" w:space="0" w:color="E3E3E3"/>
                                              </w:divBdr>
                                              <w:divsChild>
                                                <w:div w:id="2050832406">
                                                  <w:marLeft w:val="0"/>
                                                  <w:marRight w:val="0"/>
                                                  <w:marTop w:val="0"/>
                                                  <w:marBottom w:val="0"/>
                                                  <w:divBdr>
                                                    <w:top w:val="single" w:sz="2" w:space="0" w:color="E3E3E3"/>
                                                    <w:left w:val="single" w:sz="2" w:space="0" w:color="E3E3E3"/>
                                                    <w:bottom w:val="single" w:sz="2" w:space="0" w:color="E3E3E3"/>
                                                    <w:right w:val="single" w:sz="2" w:space="0" w:color="E3E3E3"/>
                                                  </w:divBdr>
                                                  <w:divsChild>
                                                    <w:div w:id="243730616">
                                                      <w:marLeft w:val="0"/>
                                                      <w:marRight w:val="0"/>
                                                      <w:marTop w:val="0"/>
                                                      <w:marBottom w:val="0"/>
                                                      <w:divBdr>
                                                        <w:top w:val="single" w:sz="2" w:space="0" w:color="E3E3E3"/>
                                                        <w:left w:val="single" w:sz="2" w:space="0" w:color="E3E3E3"/>
                                                        <w:bottom w:val="single" w:sz="2" w:space="0" w:color="E3E3E3"/>
                                                        <w:right w:val="single" w:sz="2" w:space="0" w:color="E3E3E3"/>
                                                      </w:divBdr>
                                                      <w:divsChild>
                                                        <w:div w:id="11014171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021807219">
          <w:marLeft w:val="0"/>
          <w:marRight w:val="0"/>
          <w:marTop w:val="0"/>
          <w:marBottom w:val="0"/>
          <w:divBdr>
            <w:top w:val="none" w:sz="0" w:space="0" w:color="auto"/>
            <w:left w:val="none" w:sz="0" w:space="0" w:color="auto"/>
            <w:bottom w:val="none" w:sz="0" w:space="0" w:color="auto"/>
            <w:right w:val="none" w:sz="0" w:space="0" w:color="auto"/>
          </w:divBdr>
          <w:divsChild>
            <w:div w:id="1239168197">
              <w:marLeft w:val="0"/>
              <w:marRight w:val="0"/>
              <w:marTop w:val="0"/>
              <w:marBottom w:val="0"/>
              <w:divBdr>
                <w:top w:val="single" w:sz="2" w:space="0" w:color="E3E3E3"/>
                <w:left w:val="single" w:sz="2" w:space="0" w:color="E3E3E3"/>
                <w:bottom w:val="single" w:sz="2" w:space="0" w:color="E3E3E3"/>
                <w:right w:val="single" w:sz="2" w:space="0" w:color="E3E3E3"/>
              </w:divBdr>
              <w:divsChild>
                <w:div w:id="1733776592">
                  <w:marLeft w:val="0"/>
                  <w:marRight w:val="0"/>
                  <w:marTop w:val="0"/>
                  <w:marBottom w:val="0"/>
                  <w:divBdr>
                    <w:top w:val="single" w:sz="2" w:space="0" w:color="E3E3E3"/>
                    <w:left w:val="single" w:sz="2" w:space="0" w:color="E3E3E3"/>
                    <w:bottom w:val="single" w:sz="2" w:space="0" w:color="E3E3E3"/>
                    <w:right w:val="single" w:sz="2" w:space="0" w:color="E3E3E3"/>
                  </w:divBdr>
                  <w:divsChild>
                    <w:div w:id="375011501">
                      <w:marLeft w:val="0"/>
                      <w:marRight w:val="0"/>
                      <w:marTop w:val="0"/>
                      <w:marBottom w:val="0"/>
                      <w:divBdr>
                        <w:top w:val="single" w:sz="6" w:space="0" w:color="auto"/>
                        <w:left w:val="single" w:sz="6" w:space="0" w:color="auto"/>
                        <w:bottom w:val="single" w:sz="6" w:space="0" w:color="auto"/>
                        <w:right w:val="single" w:sz="6" w:space="0" w:color="auto"/>
                      </w:divBdr>
                      <w:divsChild>
                        <w:div w:id="1177766154">
                          <w:marLeft w:val="0"/>
                          <w:marRight w:val="0"/>
                          <w:marTop w:val="0"/>
                          <w:marBottom w:val="0"/>
                          <w:divBdr>
                            <w:top w:val="none" w:sz="0" w:space="0" w:color="auto"/>
                            <w:left w:val="none" w:sz="0" w:space="0" w:color="auto"/>
                            <w:bottom w:val="none" w:sz="0" w:space="0" w:color="auto"/>
                            <w:right w:val="none" w:sz="0" w:space="0" w:color="auto"/>
                          </w:divBdr>
                          <w:divsChild>
                            <w:div w:id="1879464681">
                              <w:marLeft w:val="0"/>
                              <w:marRight w:val="0"/>
                              <w:marTop w:val="0"/>
                              <w:marBottom w:val="0"/>
                              <w:divBdr>
                                <w:top w:val="none" w:sz="0" w:space="0" w:color="auto"/>
                                <w:left w:val="none" w:sz="0" w:space="0" w:color="auto"/>
                                <w:bottom w:val="none" w:sz="0" w:space="0" w:color="auto"/>
                                <w:right w:val="none" w:sz="0" w:space="0" w:color="auto"/>
                              </w:divBdr>
                              <w:divsChild>
                                <w:div w:id="736171149">
                                  <w:marLeft w:val="0"/>
                                  <w:marRight w:val="0"/>
                                  <w:marTop w:val="0"/>
                                  <w:marBottom w:val="0"/>
                                  <w:divBdr>
                                    <w:top w:val="none" w:sz="0" w:space="0" w:color="auto"/>
                                    <w:left w:val="none" w:sz="0" w:space="0" w:color="auto"/>
                                    <w:bottom w:val="none" w:sz="0" w:space="0" w:color="auto"/>
                                    <w:right w:val="none" w:sz="0" w:space="0" w:color="auto"/>
                                  </w:divBdr>
                                  <w:divsChild>
                                    <w:div w:id="116797247">
                                      <w:marLeft w:val="0"/>
                                      <w:marRight w:val="0"/>
                                      <w:marTop w:val="0"/>
                                      <w:marBottom w:val="0"/>
                                      <w:divBdr>
                                        <w:top w:val="none" w:sz="0" w:space="0" w:color="auto"/>
                                        <w:left w:val="none" w:sz="0" w:space="0" w:color="auto"/>
                                        <w:bottom w:val="none" w:sz="0" w:space="0" w:color="auto"/>
                                        <w:right w:val="none" w:sz="0" w:space="0" w:color="auto"/>
                                      </w:divBdr>
                                      <w:divsChild>
                                        <w:div w:id="1432049533">
                                          <w:marLeft w:val="0"/>
                                          <w:marRight w:val="0"/>
                                          <w:marTop w:val="0"/>
                                          <w:marBottom w:val="0"/>
                                          <w:divBdr>
                                            <w:top w:val="none" w:sz="0" w:space="0" w:color="auto"/>
                                            <w:left w:val="none" w:sz="0" w:space="0" w:color="auto"/>
                                            <w:bottom w:val="none" w:sz="0" w:space="0" w:color="auto"/>
                                            <w:right w:val="none" w:sz="0" w:space="0" w:color="auto"/>
                                          </w:divBdr>
                                          <w:divsChild>
                                            <w:div w:id="28847590">
                                              <w:marLeft w:val="0"/>
                                              <w:marRight w:val="0"/>
                                              <w:marTop w:val="0"/>
                                              <w:marBottom w:val="0"/>
                                              <w:divBdr>
                                                <w:top w:val="none" w:sz="0" w:space="0" w:color="auto"/>
                                                <w:left w:val="none" w:sz="0" w:space="0" w:color="auto"/>
                                                <w:bottom w:val="none" w:sz="0" w:space="0" w:color="auto"/>
                                                <w:right w:val="none" w:sz="0" w:space="0" w:color="auto"/>
                                              </w:divBdr>
                                              <w:divsChild>
                                                <w:div w:id="25526217">
                                                  <w:marLeft w:val="0"/>
                                                  <w:marRight w:val="0"/>
                                                  <w:marTop w:val="0"/>
                                                  <w:marBottom w:val="0"/>
                                                  <w:divBdr>
                                                    <w:top w:val="none" w:sz="0" w:space="0" w:color="auto"/>
                                                    <w:left w:val="none" w:sz="0" w:space="0" w:color="auto"/>
                                                    <w:bottom w:val="none" w:sz="0" w:space="0" w:color="auto"/>
                                                    <w:right w:val="none" w:sz="0" w:space="0" w:color="auto"/>
                                                  </w:divBdr>
                                                  <w:divsChild>
                                                    <w:div w:id="1790776001">
                                                      <w:marLeft w:val="0"/>
                                                      <w:marRight w:val="0"/>
                                                      <w:marTop w:val="0"/>
                                                      <w:marBottom w:val="0"/>
                                                      <w:divBdr>
                                                        <w:top w:val="none" w:sz="0" w:space="0" w:color="auto"/>
                                                        <w:left w:val="none" w:sz="0" w:space="0" w:color="auto"/>
                                                        <w:bottom w:val="none" w:sz="0" w:space="0" w:color="auto"/>
                                                        <w:right w:val="none" w:sz="0" w:space="0" w:color="auto"/>
                                                      </w:divBdr>
                                                      <w:divsChild>
                                                        <w:div w:id="1741634981">
                                                          <w:marLeft w:val="0"/>
                                                          <w:marRight w:val="0"/>
                                                          <w:marTop w:val="0"/>
                                                          <w:marBottom w:val="0"/>
                                                          <w:divBdr>
                                                            <w:top w:val="none" w:sz="0" w:space="0" w:color="auto"/>
                                                            <w:left w:val="none" w:sz="0" w:space="0" w:color="auto"/>
                                                            <w:bottom w:val="none" w:sz="0" w:space="0" w:color="auto"/>
                                                            <w:right w:val="none" w:sz="0" w:space="0" w:color="auto"/>
                                                          </w:divBdr>
                                                          <w:divsChild>
                                                            <w:div w:id="1556234958">
                                                              <w:marLeft w:val="0"/>
                                                              <w:marRight w:val="0"/>
                                                              <w:marTop w:val="0"/>
                                                              <w:marBottom w:val="0"/>
                                                              <w:divBdr>
                                                                <w:top w:val="none" w:sz="0" w:space="0" w:color="auto"/>
                                                                <w:left w:val="none" w:sz="0" w:space="0" w:color="auto"/>
                                                                <w:bottom w:val="none" w:sz="0" w:space="0" w:color="auto"/>
                                                                <w:right w:val="none" w:sz="0" w:space="0" w:color="auto"/>
                                                              </w:divBdr>
                                                              <w:divsChild>
                                                                <w:div w:id="1047947097">
                                                                  <w:marLeft w:val="0"/>
                                                                  <w:marRight w:val="0"/>
                                                                  <w:marTop w:val="0"/>
                                                                  <w:marBottom w:val="0"/>
                                                                  <w:divBdr>
                                                                    <w:top w:val="none" w:sz="0" w:space="0" w:color="auto"/>
                                                                    <w:left w:val="none" w:sz="0" w:space="0" w:color="auto"/>
                                                                    <w:bottom w:val="none" w:sz="0" w:space="0" w:color="auto"/>
                                                                    <w:right w:val="none" w:sz="0" w:space="0" w:color="auto"/>
                                                                  </w:divBdr>
                                                                  <w:divsChild>
                                                                    <w:div w:id="1864660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42260"/>
    <w:rsid w:val="002450A7"/>
    <w:rsid w:val="003203C2"/>
    <w:rsid w:val="004D25D2"/>
    <w:rsid w:val="006C4753"/>
    <w:rsid w:val="00A34C42"/>
    <w:rsid w:val="00A82435"/>
    <w:rsid w:val="00BC1251"/>
    <w:rsid w:val="00C67429"/>
    <w:rsid w:val="00E00C6B"/>
    <w:rsid w:val="00F5176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2024-04-01T00:00:00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0D117AF-5BD2-409A-A537-25A70A35DD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4294967264</TotalTime>
  <Pages>1</Pages>
  <Words>6026</Words>
  <Characters>34353</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40299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budgeting principles and approaches edward</dc:title>
  <dc:subject>Name, Mehwish Nawaz</dc:subject>
  <dc:creator>Marie Pitson</dc:creator>
  <cp:keywords/>
  <dc:description/>
  <cp:lastModifiedBy>Mehwish Nawaz</cp:lastModifiedBy>
  <cp:revision>101</cp:revision>
  <dcterms:created xsi:type="dcterms:W3CDTF">2023-01-16T08:48:00Z</dcterms:created>
  <dcterms:modified xsi:type="dcterms:W3CDTF">2024-04-11T14:11:00Z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675c1c3faf626b36c93ca211252f55478f669b73cb3e56ad7f67db06476b821e</vt:lpwstr>
  </property>
</Properties>
</file>