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Critically analyse Augustus’ claim in his Res Gestae to have restored the Republic. What complementary ancient sources can be used for this analysis?</w:t>
      </w:r>
      <w:r w:rsidDel="00000000" w:rsidR="00000000" w:rsidRPr="00000000">
        <w:rPr>
          <w:rtl w:val="0"/>
        </w:rPr>
      </w:r>
    </w:p>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Augustus’ </w:t>
      </w:r>
      <w:r w:rsidDel="00000000" w:rsidR="00000000" w:rsidRPr="00000000">
        <w:rPr>
          <w:rFonts w:ascii="Times New Roman" w:cs="Times New Roman" w:eastAsia="Times New Roman" w:hAnsi="Times New Roman"/>
          <w:i w:val="1"/>
          <w:sz w:val="24"/>
          <w:szCs w:val="24"/>
          <w:rtl w:val="0"/>
        </w:rPr>
        <w:t xml:space="preserve">Res Gestae</w:t>
      </w:r>
      <w:r w:rsidDel="00000000" w:rsidR="00000000" w:rsidRPr="00000000">
        <w:rPr>
          <w:rFonts w:ascii="Times New Roman" w:cs="Times New Roman" w:eastAsia="Times New Roman" w:hAnsi="Times New Roman"/>
          <w:sz w:val="24"/>
          <w:szCs w:val="24"/>
          <w:rtl w:val="0"/>
        </w:rPr>
        <w:t xml:space="preserve"> is a funerary inscription of the first Roman emperor Augustus, written as a first person chronicle of his life and his accomplishments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and was affixed as bronze tablets to the pillars of his mausoleum</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He gives a thirty five chapter account of his military and political successes, as well as a few brief summaries of his actions towards the greater good</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It is an especially important piece as it gives insight into the image Augustus wished to portray for the Roman public, as well as being a chronicle of his life and reign, but his claims to have restored the Roman Republic are disputed.</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w:t>
      </w:r>
      <w:r w:rsidDel="00000000" w:rsidR="00000000" w:rsidRPr="00000000">
        <w:rPr>
          <w:rFonts w:ascii="Times New Roman" w:cs="Times New Roman" w:eastAsia="Times New Roman" w:hAnsi="Times New Roman"/>
          <w:i w:val="1"/>
          <w:sz w:val="24"/>
          <w:szCs w:val="24"/>
          <w:rtl w:val="0"/>
        </w:rPr>
        <w:t xml:space="preserve">Res Gestae</w:t>
      </w:r>
      <w:r w:rsidDel="00000000" w:rsidR="00000000" w:rsidRPr="00000000">
        <w:rPr>
          <w:rFonts w:ascii="Times New Roman" w:cs="Times New Roman" w:eastAsia="Times New Roman" w:hAnsi="Times New Roman"/>
          <w:sz w:val="24"/>
          <w:szCs w:val="24"/>
          <w:rtl w:val="0"/>
        </w:rPr>
        <w:t xml:space="preserve"> from paragraphs 2 to 14 Augustus details his political career, recording the numerous offices and titles he’d held as well as the offices and honours he’d refused, while in paragraphs 15 to 24 list his donations to Italian citizens and soldiers (such as distributions of grains supposedly to over 100,000 persons</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 along with gladiatorial battles and public works he’d commissioned; in paragraph 22 he describes having thrown three gladiatorial games under his own name and five under his sons’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Paragraphs 25 to 33 describe his military successes as well as listing the countries that had sworn allegiance to him and to Rome. He describes, for example, ridding the sea of pirates in paragraph 25</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and in 27 that he made Egypt a province of the empire. The last paragraphs, 34 to 35, mainly consists of Augustus’ claims of approval from the Roman people for his reign and the actions he’d taken within it</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Augustus’ claims to have restored the republic do have some basis; he restored, for instance, the power of public institutions through increasing the power of the senate, the consuls, etc. Elections continued to be held for the filling of official positions, and the senate still met to pass legislation. To a certain extent the powers of the republic had been reinstated.</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majority of the supporting evidence for the idea that Augustus restored the republic comes from his </w:t>
      </w:r>
      <w:r w:rsidDel="00000000" w:rsidR="00000000" w:rsidRPr="00000000">
        <w:rPr>
          <w:rFonts w:ascii="Times New Roman" w:cs="Times New Roman" w:eastAsia="Times New Roman" w:hAnsi="Times New Roman"/>
          <w:i w:val="1"/>
          <w:sz w:val="24"/>
          <w:szCs w:val="24"/>
          <w:rtl w:val="0"/>
        </w:rPr>
        <w:t xml:space="preserve">Res Gestae</w:t>
      </w:r>
      <w:r w:rsidDel="00000000" w:rsidR="00000000" w:rsidRPr="00000000">
        <w:rPr>
          <w:rFonts w:ascii="Times New Roman" w:cs="Times New Roman" w:eastAsia="Times New Roman" w:hAnsi="Times New Roman"/>
          <w:sz w:val="24"/>
          <w:szCs w:val="24"/>
          <w:rtl w:val="0"/>
        </w:rPr>
        <w:t xml:space="preserve">, whose efficacy as a source is dubious at best due to it being an entirely self-laudatory piece and likely intended for use as propaganda, especially when taken into consideration that multiple copies had been made and distributed throughout the provinces, as much of the text has been recreated from sections of a number of recovered copies</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from across the empire</w:t>
      </w:r>
      <w:r w:rsidDel="00000000" w:rsidR="00000000" w:rsidRPr="00000000">
        <w:rPr>
          <w:rFonts w:ascii="Times New Roman" w:cs="Times New Roman" w:eastAsia="Times New Roman" w:hAnsi="Times New Roman"/>
          <w:sz w:val="24"/>
          <w:szCs w:val="24"/>
          <w:rtl w:val="0"/>
        </w:rPr>
        <w:t xml:space="preserve">. Additionally, much of the supporting accounts from contemporary writers like Tacitus are almost entirely positive, either due to augustus’ actions being seen as generally positive until their ramifications became known much later, resulting in the shift of attitudes seen centuries later where writers espoused that of a more negative</w:t>
      </w:r>
      <w:r w:rsidDel="00000000" w:rsidR="00000000" w:rsidRPr="00000000">
        <w:rPr>
          <w:rFonts w:ascii="Times New Roman" w:cs="Times New Roman" w:eastAsia="Times New Roman" w:hAnsi="Times New Roman"/>
          <w:sz w:val="24"/>
          <w:szCs w:val="24"/>
          <w:rtl w:val="0"/>
        </w:rPr>
        <w:t xml:space="preserve"> portrayal of his reign</w:t>
      </w:r>
      <w:r w:rsidDel="00000000" w:rsidR="00000000" w:rsidRPr="00000000">
        <w:rPr>
          <w:rFonts w:ascii="Times New Roman" w:cs="Times New Roman" w:eastAsia="Times New Roman" w:hAnsi="Times New Roman"/>
          <w:sz w:val="24"/>
          <w:szCs w:val="24"/>
          <w:rtl w:val="0"/>
        </w:rPr>
        <w:t xml:space="preserve">; or pressure or censorship to keep Augustus’ portrayal positive. It can also be assumed that, in line with Augustus’ claims, public opinion was generally favourable because of his distributions of grain and dispensation of money to the treasury</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 He may also have maintained a favourable image through the threat of discontinued patronage. Virgil’s Aeneid, for example, was supposedly commissioned by Augustus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the threat of discontinuation of payment and commissions, as well as the disfavor that would result from it in other wealthy patrons, might have contributed to Virgil’s positive writings on Augustus.</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there are differing views of Augustus’ reign and his declarations that he restored the Republic. Contrary to what he showed in his </w:t>
      </w:r>
      <w:r w:rsidDel="00000000" w:rsidR="00000000" w:rsidRPr="00000000">
        <w:rPr>
          <w:rFonts w:ascii="Times New Roman" w:cs="Times New Roman" w:eastAsia="Times New Roman" w:hAnsi="Times New Roman"/>
          <w:i w:val="1"/>
          <w:sz w:val="24"/>
          <w:szCs w:val="24"/>
          <w:rtl w:val="0"/>
        </w:rPr>
        <w:t xml:space="preserve">Res Gestae</w:t>
      </w:r>
      <w:r w:rsidDel="00000000" w:rsidR="00000000" w:rsidRPr="00000000">
        <w:rPr>
          <w:rFonts w:ascii="Times New Roman" w:cs="Times New Roman" w:eastAsia="Times New Roman" w:hAnsi="Times New Roman"/>
          <w:sz w:val="24"/>
          <w:szCs w:val="24"/>
          <w:rtl w:val="0"/>
        </w:rPr>
        <w:t xml:space="preserve">, Augustus was, at least in function, autocratic; his high favor within the court meant that his wishes were very often obeyed, and his unofficial title of </w:t>
      </w:r>
      <w:r w:rsidDel="00000000" w:rsidR="00000000" w:rsidRPr="00000000">
        <w:rPr>
          <w:rFonts w:ascii="Times New Roman" w:cs="Times New Roman" w:eastAsia="Times New Roman" w:hAnsi="Times New Roman"/>
          <w:i w:val="1"/>
          <w:sz w:val="24"/>
          <w:szCs w:val="24"/>
          <w:rtl w:val="0"/>
        </w:rPr>
        <w:t xml:space="preserve">princeps</w:t>
      </w:r>
      <w:r w:rsidDel="00000000" w:rsidR="00000000" w:rsidRPr="00000000">
        <w:rPr>
          <w:rFonts w:ascii="Times New Roman" w:cs="Times New Roman" w:eastAsia="Times New Roman" w:hAnsi="Times New Roman"/>
          <w:sz w:val="24"/>
          <w:szCs w:val="24"/>
          <w:rtl w:val="0"/>
        </w:rPr>
        <w:t xml:space="preserve"> assured much the same. With the creation of the military treasury and the payment of almost 2,400,000,000 sesterces to discharged soldiers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Augustus also had a great deal of command over the military. This implies, at least, that he had a great deal of power without regulation - as there was no one able to veto him - that was not in keeping with the ethos of the Roman Republic. Tacitus in his </w:t>
      </w:r>
      <w:r w:rsidDel="00000000" w:rsidR="00000000" w:rsidRPr="00000000">
        <w:rPr>
          <w:rFonts w:ascii="Times New Roman" w:cs="Times New Roman" w:eastAsia="Times New Roman" w:hAnsi="Times New Roman"/>
          <w:i w:val="1"/>
          <w:sz w:val="24"/>
          <w:szCs w:val="24"/>
          <w:rtl w:val="0"/>
        </w:rPr>
        <w:t xml:space="preserve">Annals</w:t>
      </w:r>
      <w:r w:rsidDel="00000000" w:rsidR="00000000" w:rsidRPr="00000000">
        <w:rPr>
          <w:rFonts w:ascii="Times New Roman" w:cs="Times New Roman" w:eastAsia="Times New Roman" w:hAnsi="Times New Roman"/>
          <w:sz w:val="24"/>
          <w:szCs w:val="24"/>
          <w:rtl w:val="0"/>
        </w:rPr>
        <w:t xml:space="preserve">, for example, also describes the nobility as being in “cheerful slavery”</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to Augustus, in direct opposition to his own reports that Augustus was a First Citizen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a title within the Republic given to the leading member of the senate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Ancient sources are, unfortunately, difficult to use as sources of information as they’re unreliable, often being contradictory; Cassius Dio’s book 47, for example, details the murders perpetrated by the triumvirs in chapters one to nineteen</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which directly contradicts Augustus </w:t>
      </w:r>
      <w:r w:rsidDel="00000000" w:rsidR="00000000" w:rsidRPr="00000000">
        <w:rPr>
          <w:rFonts w:ascii="Times New Roman" w:cs="Times New Roman" w:eastAsia="Times New Roman" w:hAnsi="Times New Roman"/>
          <w:i w:val="1"/>
          <w:sz w:val="24"/>
          <w:szCs w:val="24"/>
          <w:rtl w:val="0"/>
        </w:rPr>
        <w:t xml:space="preserve">Rae Gestae</w:t>
      </w:r>
      <w:r w:rsidDel="00000000" w:rsidR="00000000" w:rsidRPr="00000000">
        <w:rPr>
          <w:rFonts w:ascii="Times New Roman" w:cs="Times New Roman" w:eastAsia="Times New Roman" w:hAnsi="Times New Roman"/>
          <w:sz w:val="24"/>
          <w:szCs w:val="24"/>
          <w:rtl w:val="0"/>
        </w:rPr>
        <w:t xml:space="preserve"> in how it portrays his actions.</w:t>
      </w:r>
      <w:r w:rsidDel="00000000" w:rsidR="00000000" w:rsidRPr="00000000">
        <w:rPr>
          <w:rFonts w:ascii="Times New Roman" w:cs="Times New Roman" w:eastAsia="Times New Roman" w:hAnsi="Times New Roman"/>
          <w:sz w:val="24"/>
          <w:szCs w:val="24"/>
          <w:rtl w:val="0"/>
        </w:rPr>
        <w:t xml:space="preserve"> These sources are also often, as is the case with Cassius Dio for example, written decades or even centuries after events, thus their accuracy is very often in doubt. Ancient sources are also almost always incredibly biased - the </w:t>
      </w:r>
      <w:r w:rsidDel="00000000" w:rsidR="00000000" w:rsidRPr="00000000">
        <w:rPr>
          <w:rFonts w:ascii="Times New Roman" w:cs="Times New Roman" w:eastAsia="Times New Roman" w:hAnsi="Times New Roman"/>
          <w:i w:val="1"/>
          <w:sz w:val="24"/>
          <w:szCs w:val="24"/>
          <w:rtl w:val="0"/>
        </w:rPr>
        <w:t xml:space="preserve">Rae Gestae</w:t>
      </w:r>
      <w:r w:rsidDel="00000000" w:rsidR="00000000" w:rsidRPr="00000000">
        <w:rPr>
          <w:rFonts w:ascii="Times New Roman" w:cs="Times New Roman" w:eastAsia="Times New Roman" w:hAnsi="Times New Roman"/>
          <w:sz w:val="24"/>
          <w:szCs w:val="24"/>
          <w:rtl w:val="0"/>
        </w:rPr>
        <w:t xml:space="preserve"> almost certainly is - which again detracts from their credibility.</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while it is safe to assume that Augustus’ </w:t>
      </w:r>
      <w:r w:rsidDel="00000000" w:rsidR="00000000" w:rsidRPr="00000000">
        <w:rPr>
          <w:rFonts w:ascii="Times New Roman" w:cs="Times New Roman" w:eastAsia="Times New Roman" w:hAnsi="Times New Roman"/>
          <w:i w:val="1"/>
          <w:sz w:val="24"/>
          <w:szCs w:val="24"/>
          <w:rtl w:val="0"/>
        </w:rPr>
        <w:t xml:space="preserve">Res Gestae</w:t>
      </w:r>
      <w:r w:rsidDel="00000000" w:rsidR="00000000" w:rsidRPr="00000000">
        <w:rPr>
          <w:rFonts w:ascii="Times New Roman" w:cs="Times New Roman" w:eastAsia="Times New Roman" w:hAnsi="Times New Roman"/>
          <w:sz w:val="24"/>
          <w:szCs w:val="24"/>
          <w:rtl w:val="0"/>
        </w:rPr>
        <w:t xml:space="preserve"> is factual in so far as the events he chronicles did take place, the amount of personal power he likely had through the good relations he maintained with the senate and his military clout is not in keeping with the Republic’s shared power, and so it is safe to assume that Augustus, despite his claims to contrary, did not restore the Roman Republic in any tangible way.</w:t>
      </w:r>
      <w:r w:rsidDel="00000000" w:rsidR="00000000" w:rsidRPr="00000000">
        <w:br w:type="page"/>
      </w: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Bibliography</w:t>
      </w:r>
      <w:r w:rsidDel="00000000" w:rsidR="00000000" w:rsidRPr="00000000">
        <w:rPr>
          <w:rtl w:val="0"/>
        </w:rPr>
      </w:r>
    </w:p>
    <w:p w:rsidR="00000000" w:rsidDel="00000000" w:rsidP="00000000" w:rsidRDefault="00000000" w:rsidRPr="00000000" w14:paraId="0000000F">
      <w:pPr>
        <w:numPr>
          <w:ilvl w:val="0"/>
          <w:numId w:val="1"/>
        </w:numPr>
        <w:ind w:left="708.6614173228347" w:hanging="283.464566929133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Cooley, Alison (2009), (in English)</w:t>
      </w:r>
      <w:r w:rsidDel="00000000" w:rsidR="00000000" w:rsidRPr="00000000">
        <w:rPr>
          <w:rFonts w:ascii="Times New Roman" w:cs="Times New Roman" w:eastAsia="Times New Roman" w:hAnsi="Times New Roman"/>
          <w:i w:val="1"/>
          <w:sz w:val="24"/>
          <w:szCs w:val="24"/>
          <w:rtl w:val="0"/>
        </w:rPr>
        <w:t xml:space="preserve"> Res Gestae divi Augusti: Text, Translation and Commentary</w:t>
      </w:r>
      <w:r w:rsidDel="00000000" w:rsidR="00000000" w:rsidRPr="00000000">
        <w:rPr>
          <w:rFonts w:ascii="Times New Roman" w:cs="Times New Roman" w:eastAsia="Times New Roman" w:hAnsi="Times New Roman"/>
          <w:sz w:val="24"/>
          <w:szCs w:val="24"/>
          <w:rtl w:val="0"/>
        </w:rPr>
        <w:t xml:space="preserve">, Cambridge: Cambridge University Press</w:t>
      </w:r>
    </w:p>
    <w:p w:rsidR="00000000" w:rsidDel="00000000" w:rsidP="00000000" w:rsidRDefault="00000000" w:rsidRPr="00000000" w14:paraId="00000010">
      <w:pPr>
        <w:numPr>
          <w:ilvl w:val="0"/>
          <w:numId w:val="1"/>
        </w:numPr>
        <w:ind w:left="708.6614173228347" w:hanging="283.464566929133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Galsterer, Hartmut (Bonn), (2006), </w:t>
      </w:r>
      <w:r w:rsidDel="00000000" w:rsidR="00000000" w:rsidRPr="00000000">
        <w:rPr>
          <w:rFonts w:ascii="Times New Roman" w:cs="Times New Roman" w:eastAsia="Times New Roman" w:hAnsi="Times New Roman"/>
          <w:i w:val="1"/>
          <w:sz w:val="24"/>
          <w:szCs w:val="24"/>
          <w:rtl w:val="0"/>
        </w:rPr>
        <w:t xml:space="preserve">Monumentum Ancyranum</w:t>
      </w:r>
      <w:r w:rsidDel="00000000" w:rsidR="00000000" w:rsidRPr="00000000">
        <w:rPr>
          <w:rFonts w:ascii="Times New Roman" w:cs="Times New Roman" w:eastAsia="Times New Roman" w:hAnsi="Times New Roman"/>
          <w:sz w:val="24"/>
          <w:szCs w:val="24"/>
          <w:rtl w:val="0"/>
        </w:rPr>
        <w:t xml:space="preserve">, Brill’s New Pauly, Antiquity volumes edited by: Hubert Cancik and Helmuth Schneider, English Edition by: Christine F. Salazar, Classical Tradition volumes edited by: Manfred Landfester, English Edition by: Francis G. Gentry. (Consulted online on 06 December 2018) </w:t>
      </w:r>
      <w:hyperlink r:id="rId7">
        <w:r w:rsidDel="00000000" w:rsidR="00000000" w:rsidRPr="00000000">
          <w:rPr>
            <w:rFonts w:ascii="Times New Roman" w:cs="Times New Roman" w:eastAsia="Times New Roman" w:hAnsi="Times New Roman"/>
            <w:color w:val="1155cc"/>
            <w:sz w:val="24"/>
            <w:szCs w:val="24"/>
            <w:u w:val="single"/>
            <w:rtl w:val="0"/>
          </w:rPr>
          <w:t xml:space="preserve">http://dx.doi.org/10.1163/1574-9347_bnp_e809680</w:t>
        </w:r>
      </w:hyperlink>
      <w:r w:rsidDel="00000000" w:rsidR="00000000" w:rsidRPr="00000000">
        <w:rPr>
          <w:rtl w:val="0"/>
        </w:rPr>
      </w:r>
    </w:p>
    <w:p w:rsidR="00000000" w:rsidDel="00000000" w:rsidP="00000000" w:rsidRDefault="00000000" w:rsidRPr="00000000" w14:paraId="00000011">
      <w:pPr>
        <w:numPr>
          <w:ilvl w:val="0"/>
          <w:numId w:val="3"/>
        </w:numPr>
        <w:ind w:left="708.6614173228347" w:hanging="283.464566929133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Höcker, Christoph (Kissing), (2006) </w:t>
      </w:r>
      <w:r w:rsidDel="00000000" w:rsidR="00000000" w:rsidRPr="00000000">
        <w:rPr>
          <w:rFonts w:ascii="Times New Roman" w:cs="Times New Roman" w:eastAsia="Times New Roman" w:hAnsi="Times New Roman"/>
          <w:i w:val="1"/>
          <w:sz w:val="24"/>
          <w:szCs w:val="24"/>
          <w:rtl w:val="0"/>
        </w:rPr>
        <w:t xml:space="preserve">Mausoleum Augusti</w:t>
      </w:r>
      <w:r w:rsidDel="00000000" w:rsidR="00000000" w:rsidRPr="00000000">
        <w:rPr>
          <w:rFonts w:ascii="Times New Roman" w:cs="Times New Roman" w:eastAsia="Times New Roman" w:hAnsi="Times New Roman"/>
          <w:sz w:val="24"/>
          <w:szCs w:val="24"/>
          <w:rtl w:val="0"/>
        </w:rPr>
        <w:t xml:space="preserve">, Brill’s New Pauly, Antiquity volumes edited by: Hubert Cancik and , Helmuth Schneider, English Edition by: Christine F. Salazar, Classical Tradition volumes edited by: Manfred Landfester, English Edition by: Francis G. Gentry. (Consulted online on 06 December 2018) </w:t>
      </w:r>
      <w:hyperlink r:id="rId8">
        <w:r w:rsidDel="00000000" w:rsidR="00000000" w:rsidRPr="00000000">
          <w:rPr>
            <w:rFonts w:ascii="Times New Roman" w:cs="Times New Roman" w:eastAsia="Times New Roman" w:hAnsi="Times New Roman"/>
            <w:color w:val="1155cc"/>
            <w:sz w:val="24"/>
            <w:szCs w:val="24"/>
            <w:u w:val="single"/>
            <w:rtl w:val="0"/>
          </w:rPr>
          <w:t xml:space="preserve">http://dx.doi.org/10.1163/1574-9347_bnp_e727250</w:t>
        </w:r>
      </w:hyperlink>
      <w:r w:rsidDel="00000000" w:rsidR="00000000" w:rsidRPr="00000000">
        <w:rPr>
          <w:rtl w:val="0"/>
        </w:rPr>
      </w:r>
    </w:p>
    <w:p w:rsidR="00000000" w:rsidDel="00000000" w:rsidP="00000000" w:rsidRDefault="00000000" w:rsidRPr="00000000" w14:paraId="00000012">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published online: 2006</w:t>
      </w:r>
    </w:p>
    <w:p w:rsidR="00000000" w:rsidDel="00000000" w:rsidP="00000000" w:rsidRDefault="00000000" w:rsidRPr="00000000" w14:paraId="00000013">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Avery, W. T. (1957), </w:t>
      </w:r>
      <w:r w:rsidDel="00000000" w:rsidR="00000000" w:rsidRPr="00000000">
        <w:rPr>
          <w:rFonts w:ascii="Times New Roman" w:cs="Times New Roman" w:eastAsia="Times New Roman" w:hAnsi="Times New Roman"/>
          <w:i w:val="1"/>
          <w:sz w:val="24"/>
          <w:szCs w:val="24"/>
          <w:rtl w:val="0"/>
        </w:rPr>
        <w:t xml:space="preserve">‘Augustus and the "Aeneid”’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Classical Journal</w:t>
      </w:r>
      <w:r w:rsidDel="00000000" w:rsidR="00000000" w:rsidRPr="00000000">
        <w:rPr>
          <w:rFonts w:ascii="Times New Roman" w:cs="Times New Roman" w:eastAsia="Times New Roman" w:hAnsi="Times New Roman"/>
          <w:sz w:val="24"/>
          <w:szCs w:val="24"/>
          <w:rtl w:val="0"/>
        </w:rPr>
        <w:t xml:space="preserve">. 52 (5): 225–229.</w:t>
      </w:r>
    </w:p>
    <w:p w:rsidR="00000000" w:rsidDel="00000000" w:rsidP="00000000" w:rsidRDefault="00000000" w:rsidRPr="00000000" w14:paraId="00000014">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Augustus, </w:t>
      </w:r>
      <w:r w:rsidDel="00000000" w:rsidR="00000000" w:rsidRPr="00000000">
        <w:rPr>
          <w:rFonts w:ascii="Times New Roman" w:cs="Times New Roman" w:eastAsia="Times New Roman" w:hAnsi="Times New Roman"/>
          <w:i w:val="1"/>
          <w:sz w:val="24"/>
          <w:szCs w:val="24"/>
          <w:rtl w:val="0"/>
        </w:rPr>
        <w:t xml:space="preserve">Res Gestae</w:t>
      </w:r>
      <w:r w:rsidDel="00000000" w:rsidR="00000000" w:rsidRPr="00000000">
        <w:rPr>
          <w:rFonts w:ascii="Times New Roman" w:cs="Times New Roman" w:eastAsia="Times New Roman" w:hAnsi="Times New Roman"/>
          <w:sz w:val="24"/>
          <w:szCs w:val="24"/>
          <w:rtl w:val="0"/>
        </w:rPr>
        <w:t xml:space="preserve">, Appendix</w:t>
      </w:r>
    </w:p>
    <w:p w:rsidR="00000000" w:rsidDel="00000000" w:rsidP="00000000" w:rsidRDefault="00000000" w:rsidRPr="00000000" w14:paraId="00000015">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Augustus, </w:t>
      </w:r>
      <w:r w:rsidDel="00000000" w:rsidR="00000000" w:rsidRPr="00000000">
        <w:rPr>
          <w:rFonts w:ascii="Times New Roman" w:cs="Times New Roman" w:eastAsia="Times New Roman" w:hAnsi="Times New Roman"/>
          <w:i w:val="1"/>
          <w:sz w:val="24"/>
          <w:szCs w:val="24"/>
          <w:rtl w:val="0"/>
        </w:rPr>
        <w:t xml:space="preserve">Res Gestae</w:t>
      </w:r>
    </w:p>
    <w:p w:rsidR="00000000" w:rsidDel="00000000" w:rsidP="00000000" w:rsidRDefault="00000000" w:rsidRPr="00000000" w14:paraId="00000016">
      <w:pPr>
        <w:numPr>
          <w:ilvl w:val="0"/>
          <w:numId w:val="2"/>
        </w:numPr>
        <w:spacing w:line="24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Tacitus</w:t>
      </w:r>
      <w:r w:rsidDel="00000000" w:rsidR="00000000" w:rsidRPr="00000000">
        <w:rPr>
          <w:rFonts w:ascii="Times New Roman" w:cs="Times New Roman" w:eastAsia="Times New Roman" w:hAnsi="Times New Roman"/>
          <w:i w:val="1"/>
          <w:sz w:val="24"/>
          <w:szCs w:val="24"/>
          <w:rtl w:val="0"/>
        </w:rPr>
        <w:t xml:space="preserve">, Annals,</w:t>
      </w:r>
      <w:r w:rsidDel="00000000" w:rsidR="00000000" w:rsidRPr="00000000">
        <w:rPr>
          <w:rFonts w:ascii="Times New Roman" w:cs="Times New Roman" w:eastAsia="Times New Roman" w:hAnsi="Times New Roman"/>
          <w:sz w:val="24"/>
          <w:szCs w:val="24"/>
          <w:rtl w:val="0"/>
        </w:rPr>
        <w:t xml:space="preserve"> Translation Loeb Classical Library</w:t>
      </w:r>
    </w:p>
    <w:p w:rsidR="00000000" w:rsidDel="00000000" w:rsidP="00000000" w:rsidRDefault="00000000" w:rsidRPr="00000000" w14:paraId="00000017">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Encyclopedia Britannica (2018), </w:t>
      </w:r>
      <w:r w:rsidDel="00000000" w:rsidR="00000000" w:rsidRPr="00000000">
        <w:rPr>
          <w:rFonts w:ascii="Times New Roman" w:cs="Times New Roman" w:eastAsia="Times New Roman" w:hAnsi="Times New Roman"/>
          <w:i w:val="1"/>
          <w:sz w:val="24"/>
          <w:szCs w:val="24"/>
          <w:rtl w:val="0"/>
        </w:rPr>
        <w:t xml:space="preserve">Princeps</w:t>
      </w:r>
      <w:r w:rsidDel="00000000" w:rsidR="00000000" w:rsidRPr="00000000">
        <w:rPr>
          <w:rFonts w:ascii="Times New Roman" w:cs="Times New Roman" w:eastAsia="Times New Roman" w:hAnsi="Times New Roman"/>
          <w:sz w:val="24"/>
          <w:szCs w:val="24"/>
          <w:rtl w:val="0"/>
        </w:rPr>
        <w:t xml:space="preserve">, Accessed 9/12,18 </w:t>
      </w:r>
      <w:hyperlink r:id="rId9">
        <w:r w:rsidDel="00000000" w:rsidR="00000000" w:rsidRPr="00000000">
          <w:rPr>
            <w:rFonts w:ascii="Times New Roman" w:cs="Times New Roman" w:eastAsia="Times New Roman" w:hAnsi="Times New Roman"/>
            <w:color w:val="1155cc"/>
            <w:sz w:val="24"/>
            <w:szCs w:val="24"/>
            <w:u w:val="single"/>
            <w:rtl w:val="0"/>
          </w:rPr>
          <w:t xml:space="preserve">https://www.britannica.com/topic/princeps</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8">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Cassius Dio (1917), book 47, Loeb Classical Library edition, vol. 5.</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1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Galsterer, Hartmut (Bonn), </w:t>
      </w:r>
      <w:r w:rsidDel="00000000" w:rsidR="00000000" w:rsidRPr="00000000">
        <w:rPr>
          <w:i w:val="1"/>
          <w:sz w:val="20"/>
          <w:szCs w:val="20"/>
          <w:rtl w:val="0"/>
        </w:rPr>
        <w:t xml:space="preserve">Monumentum Ancyranum</w:t>
      </w:r>
      <w:r w:rsidDel="00000000" w:rsidR="00000000" w:rsidRPr="00000000">
        <w:rPr>
          <w:sz w:val="20"/>
          <w:szCs w:val="20"/>
          <w:rtl w:val="0"/>
        </w:rPr>
        <w:t xml:space="preserve">, in: Brill’s New Pauly, Antiquity volumes edited by: Hubert Cancik and, Helmuth Schneider</w:t>
      </w:r>
    </w:p>
  </w:footnote>
  <w:footnote w:id="1">
    <w:p w:rsidR="00000000" w:rsidDel="00000000" w:rsidP="00000000" w:rsidRDefault="00000000" w:rsidRPr="00000000" w14:paraId="000000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Höcker, Christoph (Kissing), </w:t>
      </w:r>
      <w:r w:rsidDel="00000000" w:rsidR="00000000" w:rsidRPr="00000000">
        <w:rPr>
          <w:i w:val="1"/>
          <w:sz w:val="20"/>
          <w:szCs w:val="20"/>
          <w:rtl w:val="0"/>
        </w:rPr>
        <w:t xml:space="preserve">Mausoleum Augusti</w:t>
      </w:r>
      <w:r w:rsidDel="00000000" w:rsidR="00000000" w:rsidRPr="00000000">
        <w:rPr>
          <w:sz w:val="20"/>
          <w:szCs w:val="20"/>
          <w:rtl w:val="0"/>
        </w:rPr>
        <w:t xml:space="preserve">, in: Brill’s New Pauly, Antiquity volumes edited by: Hubert Cancik and, Helmuth Schneider</w:t>
      </w:r>
    </w:p>
  </w:footnote>
  <w:footnote w:id="0">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Cooley, Alison (2009), (in English) </w:t>
      </w:r>
      <w:r w:rsidDel="00000000" w:rsidR="00000000" w:rsidRPr="00000000">
        <w:rPr>
          <w:i w:val="1"/>
          <w:sz w:val="20"/>
          <w:szCs w:val="20"/>
          <w:rtl w:val="0"/>
        </w:rPr>
        <w:t xml:space="preserve">Res Gestae divi Augusti: Text, Translation and Commentary</w:t>
      </w:r>
      <w:r w:rsidDel="00000000" w:rsidR="00000000" w:rsidRPr="00000000">
        <w:rPr>
          <w:sz w:val="20"/>
          <w:szCs w:val="20"/>
          <w:rtl w:val="0"/>
        </w:rPr>
        <w:t xml:space="preserve">, Cambridge: Cambridge University Press, 2009</w:t>
      </w:r>
    </w:p>
  </w:footnote>
  <w:footnote w:id="4">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Avery, W. T. (1957), </w:t>
      </w:r>
      <w:r w:rsidDel="00000000" w:rsidR="00000000" w:rsidRPr="00000000">
        <w:rPr>
          <w:i w:val="1"/>
          <w:sz w:val="20"/>
          <w:szCs w:val="20"/>
          <w:rtl w:val="0"/>
        </w:rPr>
        <w:t xml:space="preserve">‘Augustus and the "Aeneid”’</w:t>
      </w:r>
      <w:r w:rsidDel="00000000" w:rsidR="00000000" w:rsidRPr="00000000">
        <w:rPr>
          <w:sz w:val="20"/>
          <w:szCs w:val="20"/>
          <w:rtl w:val="0"/>
        </w:rPr>
        <w:t xml:space="preserve">,</w:t>
      </w:r>
      <w:r w:rsidDel="00000000" w:rsidR="00000000" w:rsidRPr="00000000">
        <w:rPr>
          <w:sz w:val="20"/>
          <w:szCs w:val="20"/>
          <w:rtl w:val="0"/>
        </w:rPr>
        <w:t xml:space="preserve"> </w:t>
      </w:r>
      <w:r w:rsidDel="00000000" w:rsidR="00000000" w:rsidRPr="00000000">
        <w:rPr>
          <w:i w:val="1"/>
          <w:sz w:val="20"/>
          <w:szCs w:val="20"/>
          <w:rtl w:val="0"/>
        </w:rPr>
        <w:t xml:space="preserve">The Classical Journal</w:t>
      </w:r>
      <w:r w:rsidDel="00000000" w:rsidR="00000000" w:rsidRPr="00000000">
        <w:rPr>
          <w:sz w:val="20"/>
          <w:szCs w:val="20"/>
          <w:rtl w:val="0"/>
        </w:rPr>
        <w:t xml:space="preserve">. 52 (</w:t>
      </w:r>
      <w:r w:rsidDel="00000000" w:rsidR="00000000" w:rsidRPr="00000000">
        <w:rPr>
          <w:sz w:val="20"/>
          <w:szCs w:val="20"/>
          <w:rtl w:val="0"/>
        </w:rPr>
        <w:t xml:space="preserve">5</w:t>
      </w:r>
      <w:r w:rsidDel="00000000" w:rsidR="00000000" w:rsidRPr="00000000">
        <w:rPr>
          <w:sz w:val="20"/>
          <w:szCs w:val="20"/>
          <w:rtl w:val="0"/>
        </w:rPr>
        <w:t xml:space="preserve">): 225–229.</w:t>
      </w:r>
    </w:p>
  </w:footnote>
  <w:footnote w:id="5">
    <w:p w:rsidR="00000000" w:rsidDel="00000000" w:rsidP="00000000" w:rsidRDefault="00000000" w:rsidRPr="00000000" w14:paraId="0000001D">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Augustus, </w:t>
      </w:r>
      <w:r w:rsidDel="00000000" w:rsidR="00000000" w:rsidRPr="00000000">
        <w:rPr>
          <w:i w:val="1"/>
          <w:sz w:val="20"/>
          <w:szCs w:val="20"/>
          <w:rtl w:val="0"/>
        </w:rPr>
        <w:t xml:space="preserve">Res Gestae, Appendix</w:t>
      </w:r>
    </w:p>
  </w:footnote>
  <w:footnote w:id="9">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Cassius Dio, </w:t>
      </w:r>
      <w:r w:rsidDel="00000000" w:rsidR="00000000" w:rsidRPr="00000000">
        <w:rPr>
          <w:i w:val="1"/>
          <w:sz w:val="20"/>
          <w:szCs w:val="20"/>
          <w:rtl w:val="0"/>
        </w:rPr>
        <w:t xml:space="preserve">book 47</w:t>
      </w:r>
      <w:r w:rsidDel="00000000" w:rsidR="00000000" w:rsidRPr="00000000">
        <w:rPr>
          <w:rtl w:val="0"/>
        </w:rPr>
      </w:r>
    </w:p>
  </w:footnote>
  <w:footnote w:id="6">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Tacitus, </w:t>
      </w:r>
      <w:r w:rsidDel="00000000" w:rsidR="00000000" w:rsidRPr="00000000">
        <w:rPr>
          <w:i w:val="1"/>
          <w:sz w:val="20"/>
          <w:szCs w:val="20"/>
          <w:rtl w:val="0"/>
        </w:rPr>
        <w:t xml:space="preserve">Annals</w:t>
      </w:r>
      <w:r w:rsidDel="00000000" w:rsidR="00000000" w:rsidRPr="00000000">
        <w:rPr>
          <w:sz w:val="20"/>
          <w:szCs w:val="20"/>
          <w:rtl w:val="0"/>
        </w:rPr>
        <w:t xml:space="preserve">, Translation Loeb Classical Library</w:t>
      </w:r>
    </w:p>
  </w:footnote>
  <w:footnote w:id="7">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Cooley, Alison (2009), (in English) Res Gestae divi Augusti: Text, Translation and Commentary, Cambridge: Cambridge University Press, 2009</w:t>
      </w:r>
    </w:p>
  </w:footnote>
  <w:footnote w:id="3">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Augustus, </w:t>
      </w:r>
      <w:r w:rsidDel="00000000" w:rsidR="00000000" w:rsidRPr="00000000">
        <w:rPr>
          <w:i w:val="1"/>
          <w:sz w:val="20"/>
          <w:szCs w:val="20"/>
          <w:rtl w:val="0"/>
        </w:rPr>
        <w:t xml:space="preserve">Res Gestae</w:t>
      </w:r>
      <w:r w:rsidDel="00000000" w:rsidR="00000000" w:rsidRPr="00000000">
        <w:rPr>
          <w:sz w:val="20"/>
          <w:szCs w:val="20"/>
          <w:rtl w:val="0"/>
        </w:rPr>
        <w:t xml:space="preserve">, in Alison Cooley’s </w:t>
      </w:r>
      <w:r w:rsidDel="00000000" w:rsidR="00000000" w:rsidRPr="00000000">
        <w:rPr>
          <w:i w:val="1"/>
          <w:sz w:val="20"/>
          <w:szCs w:val="20"/>
          <w:rtl w:val="0"/>
        </w:rPr>
        <w:t xml:space="preserve">Res Gestae divi Augusti: Text, Translation and Commentary</w:t>
      </w:r>
      <w:r w:rsidDel="00000000" w:rsidR="00000000" w:rsidRPr="00000000">
        <w:rPr>
          <w:rtl w:val="0"/>
        </w:rPr>
      </w:r>
    </w:p>
  </w:footnote>
  <w:footnote w:id="8">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Encyclopædia Britannica (2018), </w:t>
      </w:r>
      <w:r w:rsidDel="00000000" w:rsidR="00000000" w:rsidRPr="00000000">
        <w:rPr>
          <w:i w:val="1"/>
          <w:sz w:val="20"/>
          <w:szCs w:val="20"/>
          <w:rtl w:val="0"/>
        </w:rPr>
        <w:t xml:space="preserve">Princeps</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ritannica.com/topic/princep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dx.doi.org/10.1163/1574-9347_bnp_e809680" TargetMode="External"/><Relationship Id="rId8" Type="http://schemas.openxmlformats.org/officeDocument/2006/relationships/hyperlink" Target="http://dx.doi.org/10.1163/1574-9347_bnp_e7272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