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F21EEC" w14:textId="77777777" w:rsidR="00CE0B98" w:rsidRPr="00CE0B98" w:rsidRDefault="00CE0B98" w:rsidP="00CE0B98">
      <w:pPr>
        <w:spacing w:before="100" w:beforeAutospacing="1" w:after="100" w:afterAutospacing="1" w:line="300" w:lineRule="atLeast"/>
        <w:outlineLvl w:val="1"/>
        <w:rPr>
          <w:rFonts w:eastAsia="Times New Roman" w:cs="Segoe UI"/>
          <w:b/>
          <w:bCs/>
          <w:sz w:val="20"/>
          <w:szCs w:val="20"/>
          <w:lang w:val="en-GB" w:eastAsia="zh-CN"/>
        </w:rPr>
      </w:pPr>
      <w:r w:rsidRPr="00CE0B98">
        <w:rPr>
          <w:rFonts w:eastAsia="Times New Roman" w:cs="Segoe UI"/>
          <w:b/>
          <w:bCs/>
          <w:sz w:val="20"/>
          <w:szCs w:val="20"/>
          <w:lang w:val="en-GB" w:eastAsia="zh-CN"/>
        </w:rPr>
        <w:t>Written Script for Academic Poster</w:t>
      </w:r>
    </w:p>
    <w:p w14:paraId="0E99030D" w14:textId="77777777" w:rsidR="00CE0B98" w:rsidRPr="00CE0B98" w:rsidRDefault="00CE0B98" w:rsidP="00CE0B98">
      <w:pPr>
        <w:spacing w:before="100" w:beforeAutospacing="1" w:after="100" w:afterAutospacing="1" w:line="300" w:lineRule="atLeast"/>
        <w:rPr>
          <w:rFonts w:eastAsia="Times New Roman" w:cs="Segoe UI"/>
          <w:sz w:val="20"/>
          <w:szCs w:val="20"/>
          <w:lang w:val="en-GB" w:eastAsia="zh-CN"/>
        </w:rPr>
      </w:pPr>
      <w:r w:rsidRPr="00CE0B98">
        <w:rPr>
          <w:rFonts w:eastAsia="Times New Roman" w:cs="Segoe UI"/>
          <w:b/>
          <w:bCs/>
          <w:sz w:val="20"/>
          <w:szCs w:val="20"/>
          <w:lang w:val="en-GB" w:eastAsia="zh-CN"/>
        </w:rPr>
        <w:t>Autism Spectrum Disorder in the Early Years: Identification, Barriers and Visual Support Strategies for Inclusive Practice</w:t>
      </w:r>
    </w:p>
    <w:p w14:paraId="1F16CFDC" w14:textId="77777777" w:rsidR="00CE0B98" w:rsidRPr="00CE0B98" w:rsidRDefault="00CE0B98" w:rsidP="00CE0B98">
      <w:pPr>
        <w:spacing w:before="100" w:beforeAutospacing="1" w:after="100" w:afterAutospacing="1" w:line="300" w:lineRule="atLeast"/>
        <w:outlineLvl w:val="2"/>
        <w:rPr>
          <w:rFonts w:eastAsia="Times New Roman" w:cs="Segoe UI"/>
          <w:b/>
          <w:bCs/>
          <w:sz w:val="20"/>
          <w:szCs w:val="20"/>
          <w:lang w:val="en-GB" w:eastAsia="zh-CN"/>
        </w:rPr>
      </w:pPr>
      <w:r w:rsidRPr="00CE0B98">
        <w:rPr>
          <w:rFonts w:eastAsia="Times New Roman" w:cs="Segoe UI"/>
          <w:b/>
          <w:bCs/>
          <w:sz w:val="20"/>
          <w:szCs w:val="20"/>
          <w:lang w:val="en-GB" w:eastAsia="zh-CN"/>
        </w:rPr>
        <w:t>Introduction</w:t>
      </w:r>
    </w:p>
    <w:p w14:paraId="4930DEFF" w14:textId="77777777" w:rsidR="00CE0B98" w:rsidRPr="00CE0B98" w:rsidRDefault="00CE0B98" w:rsidP="00CE0B98">
      <w:pPr>
        <w:spacing w:before="100" w:beforeAutospacing="1" w:after="100" w:afterAutospacing="1" w:line="300" w:lineRule="atLeast"/>
        <w:rPr>
          <w:rFonts w:eastAsia="Times New Roman" w:cs="Segoe UI"/>
          <w:sz w:val="20"/>
          <w:szCs w:val="20"/>
          <w:lang w:val="en-GB" w:eastAsia="zh-CN"/>
        </w:rPr>
      </w:pPr>
      <w:r w:rsidRPr="00CE0B98">
        <w:rPr>
          <w:rFonts w:eastAsia="Times New Roman" w:cs="Segoe UI"/>
          <w:sz w:val="20"/>
          <w:szCs w:val="20"/>
          <w:lang w:val="en-GB" w:eastAsia="zh-CN"/>
        </w:rPr>
        <w:t>This script accompanies an academic poster that explores Autism Spectrum Disorder (ASD) in the early years, with a specific focus on early identification, barriers to learning and participation, and the use of visual support as an evidence</w:t>
      </w:r>
      <w:r w:rsidRPr="00CE0B98">
        <w:rPr>
          <w:rFonts w:eastAsia="Times New Roman" w:cs="Segoe UI"/>
          <w:sz w:val="20"/>
          <w:szCs w:val="20"/>
          <w:lang w:val="en-GB" w:eastAsia="zh-CN"/>
        </w:rPr>
        <w:noBreakHyphen/>
        <w:t>based strategy to promote inclusive practice.</w:t>
      </w:r>
    </w:p>
    <w:p w14:paraId="72E7BFB0" w14:textId="77777777" w:rsidR="00CE0B98" w:rsidRPr="00CE0B98" w:rsidRDefault="00CE0B98" w:rsidP="00CE0B98">
      <w:pPr>
        <w:spacing w:before="100" w:beforeAutospacing="1" w:after="100" w:afterAutospacing="1" w:line="300" w:lineRule="atLeast"/>
        <w:rPr>
          <w:rFonts w:eastAsia="Times New Roman" w:cs="Segoe UI"/>
          <w:sz w:val="20"/>
          <w:szCs w:val="20"/>
          <w:lang w:val="en-GB" w:eastAsia="zh-CN"/>
        </w:rPr>
      </w:pPr>
      <w:r w:rsidRPr="00CE0B98">
        <w:rPr>
          <w:rFonts w:eastAsia="Times New Roman" w:cs="Segoe UI"/>
          <w:sz w:val="20"/>
          <w:szCs w:val="20"/>
          <w:lang w:val="en-GB" w:eastAsia="zh-CN"/>
        </w:rPr>
        <w:t>ASD is a neurodevelopmental condition characterised by differences in social communication and restricted or repetitive behaviours, typically emerging during early childhood (Lord et al., 2020; American Psychiatric Association, 2022). Current research emphasises that early identification can improve developmental outcomes and support families in accessing timely assistance; however, persistent inconsistencies remain in identification processes across educational and health contexts (Shaw et al., 2025; Antalek et al., 2025).</w:t>
      </w:r>
    </w:p>
    <w:p w14:paraId="3FB1C816" w14:textId="77777777" w:rsidR="00CE0B98" w:rsidRPr="00CE0B98" w:rsidRDefault="00CE0B98" w:rsidP="00CE0B98">
      <w:pPr>
        <w:spacing w:before="100" w:beforeAutospacing="1" w:after="100" w:afterAutospacing="1" w:line="300" w:lineRule="atLeast"/>
        <w:outlineLvl w:val="2"/>
        <w:rPr>
          <w:rFonts w:eastAsia="Times New Roman" w:cs="Segoe UI"/>
          <w:b/>
          <w:bCs/>
          <w:sz w:val="20"/>
          <w:szCs w:val="20"/>
          <w:lang w:val="en-GB" w:eastAsia="zh-CN"/>
        </w:rPr>
      </w:pPr>
      <w:r w:rsidRPr="00CE0B98">
        <w:rPr>
          <w:rFonts w:eastAsia="Times New Roman" w:cs="Segoe UI"/>
          <w:b/>
          <w:bCs/>
          <w:sz w:val="20"/>
          <w:szCs w:val="20"/>
          <w:lang w:val="en-GB" w:eastAsia="zh-CN"/>
        </w:rPr>
        <w:t>Identifying and Diagnosing ASD</w:t>
      </w:r>
    </w:p>
    <w:p w14:paraId="2255C54B" w14:textId="77777777" w:rsidR="00CE0B98" w:rsidRPr="00CE0B98" w:rsidRDefault="00CE0B98" w:rsidP="00CE0B98">
      <w:pPr>
        <w:spacing w:before="100" w:beforeAutospacing="1" w:after="100" w:afterAutospacing="1" w:line="300" w:lineRule="atLeast"/>
        <w:rPr>
          <w:rFonts w:eastAsia="Times New Roman" w:cs="Segoe UI"/>
          <w:sz w:val="20"/>
          <w:szCs w:val="20"/>
          <w:lang w:val="en-GB" w:eastAsia="zh-CN"/>
        </w:rPr>
      </w:pPr>
      <w:r w:rsidRPr="00CE0B98">
        <w:rPr>
          <w:rFonts w:eastAsia="Times New Roman" w:cs="Segoe UI"/>
          <w:sz w:val="20"/>
          <w:szCs w:val="20"/>
          <w:lang w:val="en-GB" w:eastAsia="zh-CN"/>
        </w:rPr>
        <w:t>In the early years, ASD identification often begins with practitioners’ observations of children’s communication, play, and social interaction development, in partnership with parental observations and concerns (</w:t>
      </w:r>
      <w:proofErr w:type="spellStart"/>
      <w:r w:rsidRPr="00CE0B98">
        <w:rPr>
          <w:rFonts w:eastAsia="Times New Roman" w:cs="Segoe UI"/>
          <w:sz w:val="20"/>
          <w:szCs w:val="20"/>
          <w:lang w:val="en-GB" w:eastAsia="zh-CN"/>
        </w:rPr>
        <w:t>Zwaigenbaum</w:t>
      </w:r>
      <w:proofErr w:type="spellEnd"/>
      <w:r w:rsidRPr="00CE0B98">
        <w:rPr>
          <w:rFonts w:eastAsia="Times New Roman" w:cs="Segoe UI"/>
          <w:sz w:val="20"/>
          <w:szCs w:val="20"/>
          <w:lang w:val="en-GB" w:eastAsia="zh-CN"/>
        </w:rPr>
        <w:t xml:space="preserve"> et al., 2015; Antalek et al., 2025). Research indicates that screening tools alone are insufficient for identifying ASD and should be used alongside professional judgement and contextual knowledge to reduce the risk of under</w:t>
      </w:r>
      <w:r w:rsidRPr="00CE0B98">
        <w:rPr>
          <w:rFonts w:eastAsia="Times New Roman" w:cs="Segoe UI"/>
          <w:sz w:val="20"/>
          <w:szCs w:val="20"/>
          <w:lang w:val="en-GB" w:eastAsia="zh-CN"/>
        </w:rPr>
        <w:noBreakHyphen/>
        <w:t>identification (</w:t>
      </w:r>
      <w:proofErr w:type="spellStart"/>
      <w:r w:rsidRPr="00CE0B98">
        <w:rPr>
          <w:rFonts w:eastAsia="Times New Roman" w:cs="Segoe UI"/>
          <w:sz w:val="20"/>
          <w:szCs w:val="20"/>
          <w:lang w:val="en-GB" w:eastAsia="zh-CN"/>
        </w:rPr>
        <w:t>Zwaigenbaum</w:t>
      </w:r>
      <w:proofErr w:type="spellEnd"/>
      <w:r w:rsidRPr="00CE0B98">
        <w:rPr>
          <w:rFonts w:eastAsia="Times New Roman" w:cs="Segoe UI"/>
          <w:sz w:val="20"/>
          <w:szCs w:val="20"/>
          <w:lang w:val="en-GB" w:eastAsia="zh-CN"/>
        </w:rPr>
        <w:t xml:space="preserve"> et al., 2015; Shaw et al., 2025).</w:t>
      </w:r>
    </w:p>
    <w:p w14:paraId="4F7E84CB" w14:textId="77777777" w:rsidR="00CE0B98" w:rsidRPr="00CE0B98" w:rsidRDefault="00CE0B98" w:rsidP="00CE0B98">
      <w:pPr>
        <w:spacing w:before="100" w:beforeAutospacing="1" w:after="100" w:afterAutospacing="1" w:line="300" w:lineRule="atLeast"/>
        <w:rPr>
          <w:rFonts w:eastAsia="Times New Roman" w:cs="Segoe UI"/>
          <w:sz w:val="20"/>
          <w:szCs w:val="20"/>
          <w:lang w:val="en-GB" w:eastAsia="zh-CN"/>
        </w:rPr>
      </w:pPr>
      <w:r w:rsidRPr="00CE0B98">
        <w:rPr>
          <w:rFonts w:eastAsia="Times New Roman" w:cs="Segoe UI"/>
          <w:sz w:val="20"/>
          <w:szCs w:val="20"/>
          <w:lang w:val="en-GB" w:eastAsia="zh-CN"/>
        </w:rPr>
        <w:t>Formal diagnosis usually involves a multidisciplinary assessment process including paediatricians, psychologists, and speech and language therapists, acknowledging the complexity of the condition and the need for a holistic evaluation (</w:t>
      </w:r>
      <w:proofErr w:type="spellStart"/>
      <w:r w:rsidRPr="00CE0B98">
        <w:rPr>
          <w:rFonts w:eastAsia="Times New Roman" w:cs="Segoe UI"/>
          <w:sz w:val="20"/>
          <w:szCs w:val="20"/>
          <w:lang w:val="en-GB" w:eastAsia="zh-CN"/>
        </w:rPr>
        <w:t>Falkmer</w:t>
      </w:r>
      <w:proofErr w:type="spellEnd"/>
      <w:r w:rsidRPr="00CE0B98">
        <w:rPr>
          <w:rFonts w:eastAsia="Times New Roman" w:cs="Segoe UI"/>
          <w:sz w:val="20"/>
          <w:szCs w:val="20"/>
          <w:lang w:val="en-GB" w:eastAsia="zh-CN"/>
        </w:rPr>
        <w:t xml:space="preserve"> et al., 2013; Lord et al., 2020). However, recent research highlights considerable variability in the age of diagnosis, with some children identified early while others experience significant delays—particularly girls and children who mask their difficulties socially (Petersson</w:t>
      </w:r>
      <w:r w:rsidRPr="00CE0B98">
        <w:rPr>
          <w:rFonts w:eastAsia="Times New Roman" w:cs="Segoe UI"/>
          <w:sz w:val="20"/>
          <w:szCs w:val="20"/>
          <w:lang w:val="en-GB" w:eastAsia="zh-CN"/>
        </w:rPr>
        <w:noBreakHyphen/>
        <w:t>Bloom &amp; Holmqvist, 2021; Shaw et al., 2025).</w:t>
      </w:r>
    </w:p>
    <w:p w14:paraId="43B94294" w14:textId="77777777" w:rsidR="00CE0B98" w:rsidRPr="00CE0B98" w:rsidRDefault="00CE0B98" w:rsidP="00CE0B98">
      <w:pPr>
        <w:spacing w:before="100" w:beforeAutospacing="1" w:after="100" w:afterAutospacing="1" w:line="300" w:lineRule="atLeast"/>
        <w:rPr>
          <w:rFonts w:eastAsia="Times New Roman" w:cs="Segoe UI"/>
          <w:sz w:val="20"/>
          <w:szCs w:val="20"/>
          <w:lang w:val="en-GB" w:eastAsia="zh-CN"/>
        </w:rPr>
      </w:pPr>
      <w:r w:rsidRPr="00CE0B98">
        <w:rPr>
          <w:rFonts w:eastAsia="Times New Roman" w:cs="Segoe UI"/>
          <w:sz w:val="20"/>
          <w:szCs w:val="20"/>
          <w:lang w:val="en-GB" w:eastAsia="zh-CN"/>
        </w:rPr>
        <w:t>This suggests that ASD identification is an ongoing process requiring continuous reflective practice in early years settings, rather than a single event.</w:t>
      </w:r>
    </w:p>
    <w:p w14:paraId="255CD8AE" w14:textId="75EA9A46" w:rsidR="00CF765F" w:rsidRPr="00CF765F" w:rsidRDefault="00CF765F" w:rsidP="00CF765F">
      <w:pPr>
        <w:spacing w:before="100" w:beforeAutospacing="1" w:after="100" w:afterAutospacing="1" w:line="300" w:lineRule="atLeast"/>
        <w:outlineLvl w:val="1"/>
        <w:rPr>
          <w:rFonts w:eastAsia="Times New Roman" w:cs="Segoe UI"/>
          <w:b/>
          <w:bCs/>
          <w:sz w:val="20"/>
          <w:szCs w:val="20"/>
          <w:lang w:val="en-GB" w:eastAsia="zh-CN"/>
        </w:rPr>
      </w:pPr>
      <w:r w:rsidRPr="009A6163">
        <w:rPr>
          <w:rFonts w:eastAsia="Times New Roman" w:cs="Segoe UI"/>
          <w:b/>
          <w:bCs/>
          <w:sz w:val="20"/>
          <w:szCs w:val="20"/>
          <w:lang w:val="en-GB" w:eastAsia="zh-CN"/>
        </w:rPr>
        <w:t>B</w:t>
      </w:r>
      <w:r w:rsidRPr="00CF765F">
        <w:rPr>
          <w:rFonts w:eastAsia="Times New Roman" w:cs="Segoe UI"/>
          <w:b/>
          <w:bCs/>
          <w:sz w:val="20"/>
          <w:szCs w:val="20"/>
          <w:lang w:val="en-GB" w:eastAsia="zh-CN"/>
        </w:rPr>
        <w:t>arriers to Learning and Participation</w:t>
      </w:r>
    </w:p>
    <w:p w14:paraId="75F141AE" w14:textId="77777777" w:rsidR="00CF765F" w:rsidRPr="00CF765F" w:rsidRDefault="00CF765F" w:rsidP="00CF765F">
      <w:pPr>
        <w:spacing w:before="100" w:beforeAutospacing="1" w:after="100" w:afterAutospacing="1" w:line="300" w:lineRule="atLeast"/>
        <w:rPr>
          <w:rFonts w:eastAsia="Times New Roman" w:cs="Segoe UI"/>
          <w:sz w:val="20"/>
          <w:szCs w:val="20"/>
          <w:lang w:val="en-GB" w:eastAsia="zh-CN"/>
        </w:rPr>
      </w:pPr>
      <w:r w:rsidRPr="00CF765F">
        <w:rPr>
          <w:rFonts w:eastAsia="Times New Roman" w:cs="Segoe UI"/>
          <w:sz w:val="20"/>
          <w:szCs w:val="20"/>
          <w:lang w:val="en-GB" w:eastAsia="zh-CN"/>
        </w:rPr>
        <w:t>Autistic children often experience differences in sensory processing, such as heightened sensitivity to noise, lighting or touch, which can significantly affect their ability to concentrate and participate in learning activities (Ashburner et al., 2008; Petersson</w:t>
      </w:r>
      <w:r w:rsidRPr="00CF765F">
        <w:rPr>
          <w:rFonts w:eastAsia="Times New Roman" w:cs="Segoe UI"/>
          <w:sz w:val="20"/>
          <w:szCs w:val="20"/>
          <w:lang w:val="en-GB" w:eastAsia="zh-CN"/>
        </w:rPr>
        <w:noBreakHyphen/>
        <w:t>Bloom &amp; Holmqvist, 2021). Differences in communication can also limit interaction with peers, increasing the risk of social isolation if appropriate support is not provided (Odom, 2021; Antalek et al., 2025).</w:t>
      </w:r>
    </w:p>
    <w:p w14:paraId="4371B270" w14:textId="77777777" w:rsidR="00CF765F" w:rsidRPr="00CF765F" w:rsidRDefault="00CF765F" w:rsidP="00CF765F">
      <w:pPr>
        <w:spacing w:before="100" w:beforeAutospacing="1" w:after="100" w:afterAutospacing="1" w:line="300" w:lineRule="atLeast"/>
        <w:rPr>
          <w:rFonts w:eastAsia="Times New Roman" w:cs="Segoe UI"/>
          <w:sz w:val="20"/>
          <w:szCs w:val="20"/>
          <w:lang w:val="en-GB" w:eastAsia="zh-CN"/>
        </w:rPr>
      </w:pPr>
      <w:r w:rsidRPr="00CF765F">
        <w:rPr>
          <w:rFonts w:eastAsia="Times New Roman" w:cs="Segoe UI"/>
          <w:sz w:val="20"/>
          <w:szCs w:val="20"/>
          <w:lang w:val="en-GB" w:eastAsia="zh-CN"/>
        </w:rPr>
        <w:t>Current research identifies unpredictable routines and transitions as significant environmental barriers for many autistic children, contributing to anxiety, emotional instability and behaviours that are often misinterpreted as challenging (Petersson</w:t>
      </w:r>
      <w:r w:rsidRPr="00CF765F">
        <w:rPr>
          <w:rFonts w:eastAsia="Times New Roman" w:cs="Segoe UI"/>
          <w:sz w:val="20"/>
          <w:szCs w:val="20"/>
          <w:lang w:val="en-GB" w:eastAsia="zh-CN"/>
        </w:rPr>
        <w:noBreakHyphen/>
        <w:t xml:space="preserve">Bloom &amp; Holmqvist, 2021; Shaw et al., 2025). Under the social </w:t>
      </w:r>
      <w:r w:rsidRPr="00CF765F">
        <w:rPr>
          <w:rFonts w:eastAsia="Times New Roman" w:cs="Segoe UI"/>
          <w:sz w:val="20"/>
          <w:szCs w:val="20"/>
          <w:lang w:val="en-GB" w:eastAsia="zh-CN"/>
        </w:rPr>
        <w:lastRenderedPageBreak/>
        <w:t>model of disability, these barriers are understood to stem primarily from environmental structures and adult attitudes, rather than inherent characteristics of the child (Slee, 2018; Odom, 2021).</w:t>
      </w:r>
    </w:p>
    <w:p w14:paraId="7BD740D6" w14:textId="77777777" w:rsidR="00CF765F" w:rsidRPr="00CF765F" w:rsidRDefault="00CF765F" w:rsidP="00CF765F">
      <w:pPr>
        <w:spacing w:after="0" w:line="300" w:lineRule="atLeast"/>
        <w:rPr>
          <w:rFonts w:eastAsia="Times New Roman" w:cs="Segoe UI"/>
          <w:sz w:val="20"/>
          <w:szCs w:val="20"/>
          <w:lang w:val="en-GB" w:eastAsia="zh-CN"/>
        </w:rPr>
      </w:pPr>
      <w:r w:rsidRPr="00CF765F">
        <w:rPr>
          <w:rFonts w:eastAsia="Times New Roman" w:cs="Segoe UI"/>
          <w:sz w:val="20"/>
          <w:szCs w:val="20"/>
          <w:lang w:val="en-GB" w:eastAsia="zh-CN"/>
        </w:rPr>
        <w:pict w14:anchorId="7AB8FA07">
          <v:rect id="_x0000_i1025" style="width:0;height:1.5pt" o:hralign="center" o:hrstd="t" o:hr="t" fillcolor="#a0a0a0" stroked="f"/>
        </w:pict>
      </w:r>
    </w:p>
    <w:p w14:paraId="0BDF3CE5" w14:textId="77777777" w:rsidR="00CF765F" w:rsidRPr="00CF765F" w:rsidRDefault="00CF765F" w:rsidP="00CF765F">
      <w:pPr>
        <w:spacing w:before="100" w:beforeAutospacing="1" w:after="100" w:afterAutospacing="1" w:line="300" w:lineRule="atLeast"/>
        <w:outlineLvl w:val="1"/>
        <w:rPr>
          <w:rFonts w:eastAsia="Times New Roman" w:cs="Segoe UI"/>
          <w:b/>
          <w:bCs/>
          <w:sz w:val="20"/>
          <w:szCs w:val="20"/>
          <w:lang w:val="en-GB" w:eastAsia="zh-CN"/>
        </w:rPr>
      </w:pPr>
      <w:r w:rsidRPr="00CF765F">
        <w:rPr>
          <w:rFonts w:eastAsia="Times New Roman" w:cs="Segoe UI"/>
          <w:b/>
          <w:bCs/>
          <w:sz w:val="20"/>
          <w:szCs w:val="20"/>
          <w:lang w:val="en-GB" w:eastAsia="zh-CN"/>
        </w:rPr>
        <w:t>The Social Model of Disability and Neurodiversity</w:t>
      </w:r>
    </w:p>
    <w:p w14:paraId="0E2FC714" w14:textId="77777777" w:rsidR="00CF765F" w:rsidRPr="00CF765F" w:rsidRDefault="00CF765F" w:rsidP="00CF765F">
      <w:pPr>
        <w:spacing w:before="100" w:beforeAutospacing="1" w:after="100" w:afterAutospacing="1" w:line="300" w:lineRule="atLeast"/>
        <w:rPr>
          <w:rFonts w:eastAsia="Times New Roman" w:cs="Segoe UI"/>
          <w:sz w:val="20"/>
          <w:szCs w:val="20"/>
          <w:lang w:val="en-GB" w:eastAsia="zh-CN"/>
        </w:rPr>
      </w:pPr>
      <w:r w:rsidRPr="00CF765F">
        <w:rPr>
          <w:rFonts w:eastAsia="Times New Roman" w:cs="Segoe UI"/>
          <w:sz w:val="20"/>
          <w:szCs w:val="20"/>
          <w:lang w:val="en-GB" w:eastAsia="zh-CN"/>
        </w:rPr>
        <w:t>This poster is informed by the Social Model of Disability, which distinguishes between individual impairment and the social and environmental barriers that restrict participation (Oliver, 1996; Slee, 2018). Rather than viewing autism as a problem located within the child, this model argues that it is the environment, attitudes and educational structures that largely create disability (Booth &amp; Ainscow, 2016; Slee, 2018).</w:t>
      </w:r>
    </w:p>
    <w:p w14:paraId="59F51258" w14:textId="77777777" w:rsidR="00CF765F" w:rsidRPr="00CF765F" w:rsidRDefault="00CF765F" w:rsidP="00CF765F">
      <w:pPr>
        <w:spacing w:before="100" w:beforeAutospacing="1" w:after="100" w:afterAutospacing="1" w:line="300" w:lineRule="atLeast"/>
        <w:rPr>
          <w:rFonts w:eastAsia="Times New Roman" w:cs="Segoe UI"/>
          <w:sz w:val="20"/>
          <w:szCs w:val="20"/>
          <w:lang w:val="en-GB" w:eastAsia="zh-CN"/>
        </w:rPr>
      </w:pPr>
      <w:r w:rsidRPr="00CF765F">
        <w:rPr>
          <w:rFonts w:eastAsia="Times New Roman" w:cs="Segoe UI"/>
          <w:sz w:val="20"/>
          <w:szCs w:val="20"/>
          <w:lang w:val="en-GB" w:eastAsia="zh-CN"/>
        </w:rPr>
        <w:t>This perspective aligns closely with the concept of neurodiversity, which frames autism as a natural variation in human neurological functioning rather than a deficit to be corrected (Armstrong, 2017; Pellicano &amp; den Houting, 2022). Within this framework, emphasis is placed on adapting learning environments to accommodate the strengths and sensory profiles of individual children, rather than requiring children to conform to rigid systems (Pellicano et al., 2018; Slee, 2018).</w:t>
      </w:r>
    </w:p>
    <w:p w14:paraId="29CDB022" w14:textId="77777777" w:rsidR="00CF765F" w:rsidRPr="00CF765F" w:rsidRDefault="00CF765F" w:rsidP="00CF765F">
      <w:pPr>
        <w:spacing w:before="100" w:beforeAutospacing="1" w:after="100" w:afterAutospacing="1" w:line="300" w:lineRule="atLeast"/>
        <w:rPr>
          <w:rFonts w:eastAsia="Times New Roman" w:cs="Segoe UI"/>
          <w:sz w:val="20"/>
          <w:szCs w:val="20"/>
          <w:lang w:val="en-GB" w:eastAsia="zh-CN"/>
        </w:rPr>
      </w:pPr>
      <w:r w:rsidRPr="00CF765F">
        <w:rPr>
          <w:rFonts w:eastAsia="Times New Roman" w:cs="Segoe UI"/>
          <w:sz w:val="20"/>
          <w:szCs w:val="20"/>
          <w:lang w:val="en-GB" w:eastAsia="zh-CN"/>
        </w:rPr>
        <w:t>In practice, this means that strategies such as visual supports are considered not as interventions to “improve” behaviour, but as reasonable adjustments that reduce barriers and increase access to learning and participation (Booth &amp; Ainscow, 2016; Hume et al., 2021). Thus, the use of visual support reflects principles of inclusion, children’s rights and respect for neurodiversity in early years settings.</w:t>
      </w:r>
    </w:p>
    <w:p w14:paraId="47750AF8" w14:textId="77777777" w:rsidR="00B437A5" w:rsidRPr="00B437A5" w:rsidRDefault="00B437A5" w:rsidP="00B437A5">
      <w:pPr>
        <w:spacing w:before="100" w:beforeAutospacing="1" w:after="100" w:afterAutospacing="1" w:line="300" w:lineRule="atLeast"/>
        <w:outlineLvl w:val="1"/>
        <w:rPr>
          <w:rFonts w:eastAsia="Times New Roman" w:cs="Segoe UI"/>
          <w:b/>
          <w:bCs/>
          <w:sz w:val="20"/>
          <w:szCs w:val="20"/>
          <w:lang w:val="en-GB" w:eastAsia="zh-CN"/>
        </w:rPr>
      </w:pPr>
      <w:r w:rsidRPr="00B437A5">
        <w:rPr>
          <w:rFonts w:eastAsia="Times New Roman" w:cs="Segoe UI"/>
          <w:b/>
          <w:bCs/>
          <w:sz w:val="20"/>
          <w:szCs w:val="20"/>
          <w:lang w:val="en-GB" w:eastAsia="zh-CN"/>
        </w:rPr>
        <w:t>Support Strategy: Visual Support</w:t>
      </w:r>
    </w:p>
    <w:p w14:paraId="70329AEA" w14:textId="77777777" w:rsidR="00B437A5" w:rsidRPr="00B437A5" w:rsidRDefault="00B437A5" w:rsidP="00B437A5">
      <w:pPr>
        <w:spacing w:before="100" w:beforeAutospacing="1" w:after="100" w:afterAutospacing="1" w:line="300" w:lineRule="atLeast"/>
        <w:rPr>
          <w:rFonts w:eastAsia="Times New Roman" w:cs="Segoe UI"/>
          <w:sz w:val="20"/>
          <w:szCs w:val="20"/>
          <w:lang w:val="en-GB" w:eastAsia="zh-CN"/>
        </w:rPr>
      </w:pPr>
      <w:r w:rsidRPr="00B437A5">
        <w:rPr>
          <w:rFonts w:eastAsia="Times New Roman" w:cs="Segoe UI"/>
          <w:sz w:val="20"/>
          <w:szCs w:val="20"/>
          <w:lang w:val="en-GB" w:eastAsia="zh-CN"/>
        </w:rPr>
        <w:t>Visual support is widely recognised as an evidence</w:t>
      </w:r>
      <w:r w:rsidRPr="00B437A5">
        <w:rPr>
          <w:rFonts w:eastAsia="Times New Roman" w:cs="Segoe UI"/>
          <w:sz w:val="20"/>
          <w:szCs w:val="20"/>
          <w:lang w:val="en-GB" w:eastAsia="zh-CN"/>
        </w:rPr>
        <w:noBreakHyphen/>
        <w:t>based strategy for supporting autistic children in educational settings, particularly in the early years (Hume et al., 2021; Tissot &amp; Evans, 2024). Strategies such as visual schedules, “now/next” boards and task sequences provide clear and predictable structure, reducing the cognitive load associated with processing verbal information (Liang et al., 2024; Turner et al., 2025).</w:t>
      </w:r>
    </w:p>
    <w:p w14:paraId="606E0681" w14:textId="77777777" w:rsidR="00B437A5" w:rsidRPr="00B437A5" w:rsidRDefault="00B437A5" w:rsidP="00B437A5">
      <w:pPr>
        <w:spacing w:before="100" w:beforeAutospacing="1" w:after="100" w:afterAutospacing="1" w:line="300" w:lineRule="atLeast"/>
        <w:rPr>
          <w:rFonts w:eastAsia="Times New Roman" w:cs="Segoe UI"/>
          <w:sz w:val="20"/>
          <w:szCs w:val="20"/>
          <w:lang w:val="en-GB" w:eastAsia="zh-CN"/>
        </w:rPr>
      </w:pPr>
      <w:r w:rsidRPr="00B437A5">
        <w:rPr>
          <w:rFonts w:eastAsia="Times New Roman" w:cs="Segoe UI"/>
          <w:sz w:val="20"/>
          <w:szCs w:val="20"/>
          <w:lang w:val="en-GB" w:eastAsia="zh-CN"/>
        </w:rPr>
        <w:t>Current studies show that visual support can improve engagement, independence and transfer skills, as well as reduce anxiety in autistic children when used consistently and tailored to individual needs (Hume et al., 2021; Liang et al., 2024). These findings align with international evidence identifying visual support as one of the most effective and well</w:t>
      </w:r>
      <w:r w:rsidRPr="00B437A5">
        <w:rPr>
          <w:rFonts w:eastAsia="Times New Roman" w:cs="Segoe UI"/>
          <w:sz w:val="20"/>
          <w:szCs w:val="20"/>
          <w:lang w:val="en-GB" w:eastAsia="zh-CN"/>
        </w:rPr>
        <w:noBreakHyphen/>
        <w:t>established evidence</w:t>
      </w:r>
      <w:r w:rsidRPr="00B437A5">
        <w:rPr>
          <w:rFonts w:eastAsia="Times New Roman" w:cs="Segoe UI"/>
          <w:sz w:val="20"/>
          <w:szCs w:val="20"/>
          <w:lang w:val="en-GB" w:eastAsia="zh-CN"/>
        </w:rPr>
        <w:noBreakHyphen/>
        <w:t>based practices in autism education (Hume et al., 2021; Odom, 2021).</w:t>
      </w:r>
    </w:p>
    <w:p w14:paraId="77FC7AAC" w14:textId="77777777" w:rsidR="00B437A5" w:rsidRPr="00B437A5" w:rsidRDefault="00B437A5" w:rsidP="00B437A5">
      <w:pPr>
        <w:spacing w:after="0" w:line="300" w:lineRule="atLeast"/>
        <w:rPr>
          <w:rFonts w:eastAsia="Times New Roman" w:cs="Segoe UI"/>
          <w:sz w:val="20"/>
          <w:szCs w:val="20"/>
          <w:lang w:val="en-GB" w:eastAsia="zh-CN"/>
        </w:rPr>
      </w:pPr>
      <w:r w:rsidRPr="00B437A5">
        <w:rPr>
          <w:rFonts w:eastAsia="Times New Roman" w:cs="Segoe UI"/>
          <w:sz w:val="20"/>
          <w:szCs w:val="20"/>
          <w:lang w:val="en-GB" w:eastAsia="zh-CN"/>
        </w:rPr>
        <w:pict w14:anchorId="62A62509">
          <v:rect id="_x0000_i1027" style="width:0;height:1.5pt" o:hralign="center" o:hrstd="t" o:hr="t" fillcolor="#a0a0a0" stroked="f"/>
        </w:pict>
      </w:r>
    </w:p>
    <w:p w14:paraId="2BFB0355" w14:textId="77777777" w:rsidR="00B437A5" w:rsidRPr="00B437A5" w:rsidRDefault="00B437A5" w:rsidP="00B437A5">
      <w:pPr>
        <w:spacing w:before="100" w:beforeAutospacing="1" w:after="100" w:afterAutospacing="1" w:line="300" w:lineRule="atLeast"/>
        <w:outlineLvl w:val="1"/>
        <w:rPr>
          <w:rFonts w:eastAsia="Times New Roman" w:cs="Segoe UI"/>
          <w:b/>
          <w:bCs/>
          <w:sz w:val="20"/>
          <w:szCs w:val="20"/>
          <w:lang w:val="en-GB" w:eastAsia="zh-CN"/>
        </w:rPr>
      </w:pPr>
      <w:r w:rsidRPr="00B437A5">
        <w:rPr>
          <w:rFonts w:eastAsia="Times New Roman" w:cs="Segoe UI"/>
          <w:b/>
          <w:bCs/>
          <w:sz w:val="20"/>
          <w:szCs w:val="20"/>
          <w:lang w:val="en-GB" w:eastAsia="zh-CN"/>
        </w:rPr>
        <w:t>Critical Evaluation of Visual Support</w:t>
      </w:r>
    </w:p>
    <w:p w14:paraId="57BBAE9E" w14:textId="77777777" w:rsidR="00B437A5" w:rsidRPr="00B437A5" w:rsidRDefault="00B437A5" w:rsidP="00B437A5">
      <w:pPr>
        <w:spacing w:before="100" w:beforeAutospacing="1" w:after="100" w:afterAutospacing="1" w:line="300" w:lineRule="atLeast"/>
        <w:rPr>
          <w:rFonts w:eastAsia="Times New Roman" w:cs="Segoe UI"/>
          <w:sz w:val="20"/>
          <w:szCs w:val="20"/>
          <w:lang w:val="en-GB" w:eastAsia="zh-CN"/>
        </w:rPr>
      </w:pPr>
      <w:r w:rsidRPr="00B437A5">
        <w:rPr>
          <w:rFonts w:eastAsia="Times New Roman" w:cs="Segoe UI"/>
          <w:sz w:val="20"/>
          <w:szCs w:val="20"/>
          <w:lang w:val="en-GB" w:eastAsia="zh-CN"/>
        </w:rPr>
        <w:t>Although visual support is considered effective, research also emphasises that it is not a universal solution for every child (Petersson</w:t>
      </w:r>
      <w:r w:rsidRPr="00B437A5">
        <w:rPr>
          <w:rFonts w:eastAsia="Times New Roman" w:cs="Segoe UI"/>
          <w:sz w:val="20"/>
          <w:szCs w:val="20"/>
          <w:lang w:val="en-GB" w:eastAsia="zh-CN"/>
        </w:rPr>
        <w:noBreakHyphen/>
        <w:t>Bloom &amp; Holmqvist, 2021; Turner et al., 2025). The effectiveness of these strategies depends on consistency, practitioner training, and integration with relational approaches that support broader social and emotional development (Odom, 2021; Liang et al., 2024).</w:t>
      </w:r>
    </w:p>
    <w:p w14:paraId="5626BBF6" w14:textId="77777777" w:rsidR="00B437A5" w:rsidRPr="00B437A5" w:rsidRDefault="00B437A5" w:rsidP="00B437A5">
      <w:pPr>
        <w:spacing w:before="100" w:beforeAutospacing="1" w:after="100" w:afterAutospacing="1" w:line="300" w:lineRule="atLeast"/>
        <w:rPr>
          <w:rFonts w:eastAsia="Times New Roman" w:cs="Segoe UI"/>
          <w:sz w:val="20"/>
          <w:szCs w:val="20"/>
          <w:lang w:val="en-GB" w:eastAsia="zh-CN"/>
        </w:rPr>
      </w:pPr>
      <w:r w:rsidRPr="00B437A5">
        <w:rPr>
          <w:rFonts w:eastAsia="Times New Roman" w:cs="Segoe UI"/>
          <w:sz w:val="20"/>
          <w:szCs w:val="20"/>
          <w:lang w:val="en-GB" w:eastAsia="zh-CN"/>
        </w:rPr>
        <w:lastRenderedPageBreak/>
        <w:t>This highlights the importance of ongoing professional development and critical reflection to ensure that visual support complements—rather than replaces—meaningful interaction and collaborative play.</w:t>
      </w:r>
    </w:p>
    <w:p w14:paraId="2705C108" w14:textId="77777777" w:rsidR="00B437A5" w:rsidRPr="00B437A5" w:rsidRDefault="00B437A5" w:rsidP="00B437A5">
      <w:pPr>
        <w:spacing w:after="0" w:line="300" w:lineRule="atLeast"/>
        <w:rPr>
          <w:rFonts w:eastAsia="Times New Roman" w:cs="Segoe UI"/>
          <w:sz w:val="20"/>
          <w:szCs w:val="20"/>
          <w:lang w:val="en-GB" w:eastAsia="zh-CN"/>
        </w:rPr>
      </w:pPr>
      <w:r w:rsidRPr="00B437A5">
        <w:rPr>
          <w:rFonts w:eastAsia="Times New Roman" w:cs="Segoe UI"/>
          <w:sz w:val="20"/>
          <w:szCs w:val="20"/>
          <w:lang w:val="en-GB" w:eastAsia="zh-CN"/>
        </w:rPr>
        <w:pict w14:anchorId="1AE7BE1C">
          <v:rect id="_x0000_i1028" style="width:0;height:1.5pt" o:hralign="center" o:hrstd="t" o:hr="t" fillcolor="#a0a0a0" stroked="f"/>
        </w:pict>
      </w:r>
    </w:p>
    <w:p w14:paraId="22CB22A1" w14:textId="77777777" w:rsidR="00B437A5" w:rsidRPr="00B437A5" w:rsidRDefault="00B437A5" w:rsidP="00B437A5">
      <w:pPr>
        <w:spacing w:before="100" w:beforeAutospacing="1" w:after="100" w:afterAutospacing="1" w:line="300" w:lineRule="atLeast"/>
        <w:outlineLvl w:val="1"/>
        <w:rPr>
          <w:rFonts w:eastAsia="Times New Roman" w:cs="Segoe UI"/>
          <w:b/>
          <w:bCs/>
          <w:sz w:val="20"/>
          <w:szCs w:val="20"/>
          <w:lang w:val="en-GB" w:eastAsia="zh-CN"/>
        </w:rPr>
      </w:pPr>
      <w:r w:rsidRPr="00B437A5">
        <w:rPr>
          <w:rFonts w:eastAsia="Times New Roman" w:cs="Segoe UI"/>
          <w:b/>
          <w:bCs/>
          <w:sz w:val="20"/>
          <w:szCs w:val="20"/>
          <w:lang w:val="en-GB" w:eastAsia="zh-CN"/>
        </w:rPr>
        <w:t>Implications for Inclusive Practice</w:t>
      </w:r>
    </w:p>
    <w:p w14:paraId="65FC4258" w14:textId="77777777" w:rsidR="00B437A5" w:rsidRPr="00B437A5" w:rsidRDefault="00B437A5" w:rsidP="00B437A5">
      <w:pPr>
        <w:spacing w:before="100" w:beforeAutospacing="1" w:after="100" w:afterAutospacing="1" w:line="300" w:lineRule="atLeast"/>
        <w:rPr>
          <w:rFonts w:eastAsia="Times New Roman" w:cs="Segoe UI"/>
          <w:sz w:val="20"/>
          <w:szCs w:val="20"/>
          <w:lang w:val="en-GB" w:eastAsia="zh-CN"/>
        </w:rPr>
      </w:pPr>
      <w:r w:rsidRPr="00B437A5">
        <w:rPr>
          <w:rFonts w:eastAsia="Times New Roman" w:cs="Segoe UI"/>
          <w:sz w:val="20"/>
          <w:szCs w:val="20"/>
          <w:lang w:val="en-GB" w:eastAsia="zh-CN"/>
        </w:rPr>
        <w:t>Effective inclusive practice in the early years requires a systemic approach that combines environmental adaptations, evidence</w:t>
      </w:r>
      <w:r w:rsidRPr="00B437A5">
        <w:rPr>
          <w:rFonts w:eastAsia="Times New Roman" w:cs="Segoe UI"/>
          <w:sz w:val="20"/>
          <w:szCs w:val="20"/>
          <w:lang w:val="en-GB" w:eastAsia="zh-CN"/>
        </w:rPr>
        <w:noBreakHyphen/>
        <w:t>based strategies and close collaboration with families (Petersson</w:t>
      </w:r>
      <w:r w:rsidRPr="00B437A5">
        <w:rPr>
          <w:rFonts w:eastAsia="Times New Roman" w:cs="Segoe UI"/>
          <w:sz w:val="20"/>
          <w:szCs w:val="20"/>
          <w:lang w:val="en-GB" w:eastAsia="zh-CN"/>
        </w:rPr>
        <w:noBreakHyphen/>
        <w:t>Bloom &amp; Holmqvist, 2021; Antalek et al., 2025). Practitioners who have the knowledge and confidence to adapt their practice play a key role in reducing barriers and promoting full participation for autistic children (Odom, 2021; Hume et al., 2021).</w:t>
      </w:r>
    </w:p>
    <w:p w14:paraId="7110E8D1" w14:textId="1F2CB2A2" w:rsidR="00C0000D" w:rsidRPr="009A6163" w:rsidRDefault="00C0000D" w:rsidP="153724C6">
      <w:pPr>
        <w:spacing w:line="360" w:lineRule="auto"/>
        <w:jc w:val="both"/>
        <w:rPr>
          <w:sz w:val="20"/>
          <w:szCs w:val="20"/>
          <w:lang w:val="en-GB"/>
        </w:rPr>
      </w:pPr>
    </w:p>
    <w:p w14:paraId="3A54E2DF" w14:textId="77777777" w:rsidR="00236166" w:rsidRPr="00236166" w:rsidRDefault="00236166" w:rsidP="00236166">
      <w:pPr>
        <w:spacing w:before="100" w:beforeAutospacing="1" w:after="100" w:afterAutospacing="1" w:line="300" w:lineRule="atLeast"/>
        <w:outlineLvl w:val="1"/>
        <w:rPr>
          <w:rFonts w:eastAsia="Times New Roman" w:cs="Segoe UI"/>
          <w:b/>
          <w:bCs/>
          <w:sz w:val="20"/>
          <w:szCs w:val="20"/>
          <w:lang w:val="en-GB" w:eastAsia="zh-CN"/>
        </w:rPr>
      </w:pPr>
      <w:r w:rsidRPr="00236166">
        <w:rPr>
          <w:rFonts w:eastAsia="Times New Roman" w:cs="Segoe UI"/>
          <w:b/>
          <w:bCs/>
          <w:sz w:val="20"/>
          <w:szCs w:val="20"/>
          <w:lang w:val="en-GB" w:eastAsia="zh-CN"/>
        </w:rPr>
        <w:t>Neurodiversity, Ethics and Reflective Practice</w:t>
      </w:r>
    </w:p>
    <w:p w14:paraId="6590655E" w14:textId="77777777" w:rsidR="00236166" w:rsidRPr="00236166" w:rsidRDefault="00236166" w:rsidP="00236166">
      <w:pPr>
        <w:spacing w:before="100" w:beforeAutospacing="1" w:after="100" w:afterAutospacing="1" w:line="300" w:lineRule="atLeast"/>
        <w:rPr>
          <w:rFonts w:eastAsia="Times New Roman" w:cs="Segoe UI"/>
          <w:sz w:val="20"/>
          <w:szCs w:val="20"/>
          <w:lang w:val="en-GB" w:eastAsia="zh-CN"/>
        </w:rPr>
      </w:pPr>
      <w:r w:rsidRPr="00236166">
        <w:rPr>
          <w:rFonts w:eastAsia="Times New Roman" w:cs="Segoe UI"/>
          <w:sz w:val="20"/>
          <w:szCs w:val="20"/>
          <w:lang w:val="en-GB" w:eastAsia="zh-CN"/>
        </w:rPr>
        <w:t>Contemporary approaches to supporting autistic children are increasingly informed by a neurodiversity perspective, which frames autism as a natural neurological variation rather than a disorder to be corrected (Chapman, 2020; Botha et al., 2024). Within this framework, strategies such as visual support are understood not as corrective interventions but as ethical adjustments that reduce the mismatch between the individual and the learning environment (Slee, 2018; Kapp, 2020).</w:t>
      </w:r>
    </w:p>
    <w:p w14:paraId="6F8DB79D" w14:textId="77777777" w:rsidR="00236166" w:rsidRPr="00236166" w:rsidRDefault="00236166" w:rsidP="00236166">
      <w:pPr>
        <w:spacing w:before="100" w:beforeAutospacing="1" w:after="100" w:afterAutospacing="1" w:line="300" w:lineRule="atLeast"/>
        <w:rPr>
          <w:rFonts w:eastAsia="Times New Roman" w:cs="Segoe UI"/>
          <w:sz w:val="20"/>
          <w:szCs w:val="20"/>
          <w:lang w:val="en-GB" w:eastAsia="zh-CN"/>
        </w:rPr>
      </w:pPr>
      <w:r w:rsidRPr="00236166">
        <w:rPr>
          <w:rFonts w:eastAsia="Times New Roman" w:cs="Segoe UI"/>
          <w:sz w:val="20"/>
          <w:szCs w:val="20"/>
          <w:lang w:val="en-GB" w:eastAsia="zh-CN"/>
        </w:rPr>
        <w:t>Recent research highlights that educational practices which fail to consider neurodiversity can contribute to stress, social camouflaging and long</w:t>
      </w:r>
      <w:r w:rsidRPr="00236166">
        <w:rPr>
          <w:rFonts w:eastAsia="Times New Roman" w:cs="Segoe UI"/>
          <w:sz w:val="20"/>
          <w:szCs w:val="20"/>
          <w:lang w:val="en-GB" w:eastAsia="zh-CN"/>
        </w:rPr>
        <w:noBreakHyphen/>
        <w:t>term psychological harm for autistic children (Cage &amp; Troxell</w:t>
      </w:r>
      <w:r w:rsidRPr="00236166">
        <w:rPr>
          <w:rFonts w:eastAsia="Times New Roman" w:cs="Segoe UI"/>
          <w:sz w:val="20"/>
          <w:szCs w:val="20"/>
          <w:lang w:val="en-GB" w:eastAsia="zh-CN"/>
        </w:rPr>
        <w:noBreakHyphen/>
        <w:t xml:space="preserve">Whitman, 2023; Cook et al., 2024). In this context, visual support offers a preventative approach that supports emotional regulation and understanding, reducing the need for children to modify their behaviour to meet </w:t>
      </w:r>
      <w:proofErr w:type="spellStart"/>
      <w:r w:rsidRPr="00236166">
        <w:rPr>
          <w:rFonts w:eastAsia="Times New Roman" w:cs="Segoe UI"/>
          <w:sz w:val="20"/>
          <w:szCs w:val="20"/>
          <w:lang w:val="en-GB" w:eastAsia="zh-CN"/>
        </w:rPr>
        <w:t>neuronormative</w:t>
      </w:r>
      <w:proofErr w:type="spellEnd"/>
      <w:r w:rsidRPr="00236166">
        <w:rPr>
          <w:rFonts w:eastAsia="Times New Roman" w:cs="Segoe UI"/>
          <w:sz w:val="20"/>
          <w:szCs w:val="20"/>
          <w:lang w:val="en-GB" w:eastAsia="zh-CN"/>
        </w:rPr>
        <w:t xml:space="preserve"> expectations (Liang et al., 2024; Turner et al., 2025).</w:t>
      </w:r>
    </w:p>
    <w:p w14:paraId="2AC9F487" w14:textId="77777777" w:rsidR="00236166" w:rsidRPr="00236166" w:rsidRDefault="00236166" w:rsidP="00236166">
      <w:pPr>
        <w:spacing w:before="100" w:beforeAutospacing="1" w:after="100" w:afterAutospacing="1" w:line="300" w:lineRule="atLeast"/>
        <w:rPr>
          <w:rFonts w:eastAsia="Times New Roman" w:cs="Segoe UI"/>
          <w:sz w:val="20"/>
          <w:szCs w:val="20"/>
          <w:lang w:val="en-GB" w:eastAsia="zh-CN"/>
        </w:rPr>
      </w:pPr>
      <w:r w:rsidRPr="00236166">
        <w:rPr>
          <w:rFonts w:eastAsia="Times New Roman" w:cs="Segoe UI"/>
          <w:sz w:val="20"/>
          <w:szCs w:val="20"/>
          <w:lang w:val="en-GB" w:eastAsia="zh-CN"/>
        </w:rPr>
        <w:t>From an ethical standpoint, providing support without waiting for a formal diagnosis aligns with children’s rights to inclusive education and reasonable adjustments, as outlined in international conventions and current educational research (United Nations, 2016; Odom, 2021). Studies show that delays in support due to lack of diagnosis increase the risk of emotional difficulties and educational exclusion, particularly during the critical early years (Shaw et al., 2025; Antalek et al., 2025).</w:t>
      </w:r>
    </w:p>
    <w:p w14:paraId="20B6A780" w14:textId="77777777" w:rsidR="00236166" w:rsidRPr="00236166" w:rsidRDefault="00236166" w:rsidP="00236166">
      <w:pPr>
        <w:spacing w:before="100" w:beforeAutospacing="1" w:after="100" w:afterAutospacing="1" w:line="300" w:lineRule="atLeast"/>
        <w:rPr>
          <w:rFonts w:eastAsia="Times New Roman" w:cs="Segoe UI"/>
          <w:sz w:val="20"/>
          <w:szCs w:val="20"/>
          <w:lang w:val="en-GB" w:eastAsia="zh-CN"/>
        </w:rPr>
      </w:pPr>
      <w:r w:rsidRPr="00236166">
        <w:rPr>
          <w:rFonts w:eastAsia="Times New Roman" w:cs="Segoe UI"/>
          <w:sz w:val="20"/>
          <w:szCs w:val="20"/>
          <w:lang w:val="en-GB" w:eastAsia="zh-CN"/>
        </w:rPr>
        <w:t>The role of early years practitioners therefore extends beyond implementing individual strategies, encompassing critical reflection on how policies, routines and expectations may reinforce or reduce barriers to participation (Slee, 2018; Petersson</w:t>
      </w:r>
      <w:r w:rsidRPr="00236166">
        <w:rPr>
          <w:rFonts w:eastAsia="Times New Roman" w:cs="Segoe UI"/>
          <w:sz w:val="20"/>
          <w:szCs w:val="20"/>
          <w:lang w:val="en-GB" w:eastAsia="zh-CN"/>
        </w:rPr>
        <w:noBreakHyphen/>
        <w:t>Bloom &amp; Holmqvist, 2021). Research suggests that settings which foster a reflective and collaborative culture are more likely to implement visual support flexibly and meaningfully rather than mechanically (Hume et al., 2021; Cook et al., 2024).</w:t>
      </w:r>
    </w:p>
    <w:p w14:paraId="1A44A5C8" w14:textId="77777777" w:rsidR="00236166" w:rsidRPr="00236166" w:rsidRDefault="00236166" w:rsidP="00236166">
      <w:pPr>
        <w:spacing w:before="100" w:beforeAutospacing="1" w:after="100" w:afterAutospacing="1" w:line="300" w:lineRule="atLeast"/>
        <w:rPr>
          <w:rFonts w:eastAsia="Times New Roman" w:cs="Segoe UI"/>
          <w:sz w:val="20"/>
          <w:szCs w:val="20"/>
          <w:lang w:val="en-GB" w:eastAsia="zh-CN"/>
        </w:rPr>
      </w:pPr>
      <w:r w:rsidRPr="00236166">
        <w:rPr>
          <w:rFonts w:eastAsia="Times New Roman" w:cs="Segoe UI"/>
          <w:sz w:val="20"/>
          <w:szCs w:val="20"/>
          <w:lang w:val="en-GB" w:eastAsia="zh-CN"/>
        </w:rPr>
        <w:t>Importantly, current literature cautions against using visual support as a behaviour</w:t>
      </w:r>
      <w:r w:rsidRPr="00236166">
        <w:rPr>
          <w:rFonts w:eastAsia="Times New Roman" w:cs="Segoe UI"/>
          <w:sz w:val="20"/>
          <w:szCs w:val="20"/>
          <w:lang w:val="en-GB" w:eastAsia="zh-CN"/>
        </w:rPr>
        <w:noBreakHyphen/>
        <w:t>management tool, emphasising that the focus should remain on understanding, communication and relationships (Kapp, 2020; Botha et al., 2024). When integrated within relational, play</w:t>
      </w:r>
      <w:r w:rsidRPr="00236166">
        <w:rPr>
          <w:rFonts w:eastAsia="Times New Roman" w:cs="Segoe UI"/>
          <w:sz w:val="20"/>
          <w:szCs w:val="20"/>
          <w:lang w:val="en-GB" w:eastAsia="zh-CN"/>
        </w:rPr>
        <w:noBreakHyphen/>
        <w:t>based practice, visual support can promote the child’s autonomy without undermining their voice or agency (Odom, 2021; Tissot &amp; Evans, 2024).</w:t>
      </w:r>
    </w:p>
    <w:p w14:paraId="569899AF" w14:textId="77777777" w:rsidR="00236166" w:rsidRPr="00236166" w:rsidRDefault="00236166" w:rsidP="00236166">
      <w:pPr>
        <w:spacing w:before="100" w:beforeAutospacing="1" w:after="100" w:afterAutospacing="1" w:line="300" w:lineRule="atLeast"/>
        <w:rPr>
          <w:rFonts w:eastAsia="Times New Roman" w:cs="Segoe UI"/>
          <w:sz w:val="20"/>
          <w:szCs w:val="20"/>
          <w:lang w:val="en-GB" w:eastAsia="zh-CN"/>
        </w:rPr>
      </w:pPr>
      <w:r w:rsidRPr="00236166">
        <w:rPr>
          <w:rFonts w:eastAsia="Times New Roman" w:cs="Segoe UI"/>
          <w:sz w:val="20"/>
          <w:szCs w:val="20"/>
          <w:lang w:val="en-GB" w:eastAsia="zh-CN"/>
        </w:rPr>
        <w:lastRenderedPageBreak/>
        <w:t>Finally, evidence shows that effective inclusive practice is a dynamic process requiring ongoing evaluation, adaptation of strategies and attentive listening to the experiences of children and families (Cook et al., 2024; Antalek et al., 2025). In this way, visual support can be understood not as a fixed solution, but as part of a wider commitment to fair, ethical and inclusive education in the early years (Slee, 2018; Chapman, 2020).</w:t>
      </w:r>
    </w:p>
    <w:p w14:paraId="644718D0" w14:textId="77777777" w:rsidR="00236166" w:rsidRPr="009A6163" w:rsidRDefault="00236166" w:rsidP="153724C6">
      <w:pPr>
        <w:spacing w:line="360" w:lineRule="auto"/>
        <w:jc w:val="both"/>
        <w:rPr>
          <w:sz w:val="20"/>
          <w:szCs w:val="20"/>
          <w:lang w:val="en-GB"/>
        </w:rPr>
      </w:pPr>
    </w:p>
    <w:p w14:paraId="77E4F404" w14:textId="1AF27C6D" w:rsidR="0821D87C" w:rsidRPr="009A6163" w:rsidRDefault="0821D87C" w:rsidP="0821D87C">
      <w:pPr>
        <w:spacing w:line="360" w:lineRule="auto"/>
        <w:jc w:val="both"/>
        <w:rPr>
          <w:b/>
          <w:bCs/>
          <w:sz w:val="20"/>
          <w:szCs w:val="20"/>
        </w:rPr>
      </w:pPr>
    </w:p>
    <w:p w14:paraId="5F6B8B05" w14:textId="52D8075A" w:rsidR="009A6163" w:rsidRPr="009A6163" w:rsidRDefault="009A6163" w:rsidP="009A6163">
      <w:pPr>
        <w:spacing w:before="100" w:beforeAutospacing="1" w:after="100" w:afterAutospacing="1" w:line="300" w:lineRule="atLeast"/>
        <w:outlineLvl w:val="0"/>
        <w:rPr>
          <w:rFonts w:eastAsia="Times New Roman" w:cs="Segoe UI"/>
          <w:b/>
          <w:bCs/>
          <w:kern w:val="36"/>
          <w:sz w:val="20"/>
          <w:szCs w:val="20"/>
          <w:lang w:val="en-GB" w:eastAsia="zh-CN"/>
        </w:rPr>
      </w:pPr>
      <w:r w:rsidRPr="009A6163">
        <w:rPr>
          <w:rFonts w:eastAsia="Times New Roman" w:cs="Segoe UI"/>
          <w:b/>
          <w:bCs/>
          <w:kern w:val="36"/>
          <w:sz w:val="20"/>
          <w:szCs w:val="20"/>
          <w:lang w:val="en-GB" w:eastAsia="zh-CN"/>
        </w:rPr>
        <w:t>Conclusion</w:t>
      </w:r>
    </w:p>
    <w:p w14:paraId="3BC12372" w14:textId="77777777" w:rsidR="009A6163" w:rsidRPr="009A6163" w:rsidRDefault="009A6163" w:rsidP="009A6163">
      <w:pPr>
        <w:spacing w:before="100" w:beforeAutospacing="1" w:after="100" w:afterAutospacing="1" w:line="300" w:lineRule="atLeast"/>
        <w:rPr>
          <w:rFonts w:eastAsia="Times New Roman" w:cs="Segoe UI"/>
          <w:sz w:val="20"/>
          <w:szCs w:val="20"/>
          <w:lang w:val="en-GB" w:eastAsia="zh-CN"/>
        </w:rPr>
      </w:pPr>
      <w:r w:rsidRPr="009A6163">
        <w:rPr>
          <w:rFonts w:eastAsia="Times New Roman" w:cs="Segoe UI"/>
          <w:sz w:val="20"/>
          <w:szCs w:val="20"/>
          <w:lang w:val="en-GB" w:eastAsia="zh-CN"/>
        </w:rPr>
        <w:t>In conclusion, early identification of ASD is essential but remains a complex process that requires ongoing observation, multidisciplinary collaboration, and reflective practice (Shaw et al., 2025; Antalek et al., 2025). Barriers to learning and participation are often environmental and structural, reinforcing the need for inclusive practices that adapt the environment rather than the child (Petersson</w:t>
      </w:r>
      <w:r w:rsidRPr="009A6163">
        <w:rPr>
          <w:rFonts w:eastAsia="Times New Roman" w:cs="Segoe UI"/>
          <w:sz w:val="20"/>
          <w:szCs w:val="20"/>
          <w:lang w:val="en-GB" w:eastAsia="zh-CN"/>
        </w:rPr>
        <w:noBreakHyphen/>
        <w:t>Bloom &amp; Holmqvist, 2021; Odom, 2021). Visual support represents an effective, evidence</w:t>
      </w:r>
      <w:r w:rsidRPr="009A6163">
        <w:rPr>
          <w:rFonts w:eastAsia="Times New Roman" w:cs="Segoe UI"/>
          <w:sz w:val="20"/>
          <w:szCs w:val="20"/>
          <w:lang w:val="en-GB" w:eastAsia="zh-CN"/>
        </w:rPr>
        <w:noBreakHyphen/>
        <w:t>based strategy when implemented reflectively and within relational contexts, contributing to meaningful inclusion in the early years (Liang et al., 2024; Turner et al., 2025).</w:t>
      </w:r>
    </w:p>
    <w:p w14:paraId="652D1454" w14:textId="5C1087BE" w:rsidR="00C0000D" w:rsidRPr="009A6163" w:rsidRDefault="00C0000D" w:rsidP="153724C6">
      <w:pPr>
        <w:spacing w:line="360" w:lineRule="auto"/>
        <w:jc w:val="both"/>
        <w:rPr>
          <w:sz w:val="20"/>
          <w:szCs w:val="20"/>
          <w:lang w:val="en-GB"/>
        </w:rPr>
      </w:pPr>
    </w:p>
    <w:p w14:paraId="7B0F2B2E" w14:textId="1C5F1050" w:rsidR="00E671B9" w:rsidRPr="00E671B9" w:rsidRDefault="00E671B9" w:rsidP="37D07617">
      <w:pPr>
        <w:spacing w:line="360" w:lineRule="auto"/>
        <w:jc w:val="both"/>
        <w:rPr>
          <w:sz w:val="20"/>
          <w:szCs w:val="20"/>
        </w:rPr>
      </w:pPr>
    </w:p>
    <w:p w14:paraId="5A875C11" w14:textId="5D0B249C" w:rsidR="00C0000D" w:rsidRDefault="00C0000D" w:rsidP="153724C6">
      <w:pPr>
        <w:spacing w:line="360" w:lineRule="auto"/>
        <w:jc w:val="both"/>
        <w:rPr>
          <w:sz w:val="20"/>
          <w:szCs w:val="20"/>
        </w:rPr>
      </w:pPr>
    </w:p>
    <w:p w14:paraId="0CAA166C" w14:textId="77777777" w:rsidR="009A6163" w:rsidRDefault="009A6163" w:rsidP="153724C6">
      <w:pPr>
        <w:spacing w:line="360" w:lineRule="auto"/>
        <w:jc w:val="both"/>
        <w:rPr>
          <w:sz w:val="20"/>
          <w:szCs w:val="20"/>
        </w:rPr>
      </w:pPr>
    </w:p>
    <w:p w14:paraId="2F28F331" w14:textId="77777777" w:rsidR="009A6163" w:rsidRDefault="009A6163" w:rsidP="153724C6">
      <w:pPr>
        <w:spacing w:line="360" w:lineRule="auto"/>
        <w:jc w:val="both"/>
        <w:rPr>
          <w:sz w:val="20"/>
          <w:szCs w:val="20"/>
        </w:rPr>
      </w:pPr>
    </w:p>
    <w:p w14:paraId="7DF35868" w14:textId="77777777" w:rsidR="009A6163" w:rsidRDefault="009A6163" w:rsidP="153724C6">
      <w:pPr>
        <w:spacing w:line="360" w:lineRule="auto"/>
        <w:jc w:val="both"/>
        <w:rPr>
          <w:sz w:val="20"/>
          <w:szCs w:val="20"/>
        </w:rPr>
      </w:pPr>
    </w:p>
    <w:p w14:paraId="641FEC4C" w14:textId="77777777" w:rsidR="009A6163" w:rsidRDefault="009A6163" w:rsidP="153724C6">
      <w:pPr>
        <w:spacing w:line="360" w:lineRule="auto"/>
        <w:jc w:val="both"/>
        <w:rPr>
          <w:sz w:val="20"/>
          <w:szCs w:val="20"/>
        </w:rPr>
      </w:pPr>
    </w:p>
    <w:p w14:paraId="4ED07C3E" w14:textId="77777777" w:rsidR="009A6163" w:rsidRDefault="009A6163" w:rsidP="153724C6">
      <w:pPr>
        <w:spacing w:line="360" w:lineRule="auto"/>
        <w:jc w:val="both"/>
        <w:rPr>
          <w:sz w:val="20"/>
          <w:szCs w:val="20"/>
        </w:rPr>
      </w:pPr>
    </w:p>
    <w:p w14:paraId="0BC3FC95" w14:textId="77777777" w:rsidR="009A6163" w:rsidRDefault="009A6163" w:rsidP="153724C6">
      <w:pPr>
        <w:spacing w:line="360" w:lineRule="auto"/>
        <w:jc w:val="both"/>
        <w:rPr>
          <w:sz w:val="20"/>
          <w:szCs w:val="20"/>
        </w:rPr>
      </w:pPr>
    </w:p>
    <w:p w14:paraId="1D21E3FB" w14:textId="77777777" w:rsidR="009A6163" w:rsidRDefault="009A6163" w:rsidP="153724C6">
      <w:pPr>
        <w:spacing w:line="360" w:lineRule="auto"/>
        <w:jc w:val="both"/>
        <w:rPr>
          <w:sz w:val="20"/>
          <w:szCs w:val="20"/>
        </w:rPr>
      </w:pPr>
    </w:p>
    <w:p w14:paraId="388D4CE4" w14:textId="77777777" w:rsidR="009A6163" w:rsidRDefault="009A6163" w:rsidP="153724C6">
      <w:pPr>
        <w:spacing w:line="360" w:lineRule="auto"/>
        <w:jc w:val="both"/>
        <w:rPr>
          <w:sz w:val="20"/>
          <w:szCs w:val="20"/>
        </w:rPr>
      </w:pPr>
    </w:p>
    <w:p w14:paraId="608C610D" w14:textId="77777777" w:rsidR="009A6163" w:rsidRDefault="009A6163" w:rsidP="153724C6">
      <w:pPr>
        <w:spacing w:line="360" w:lineRule="auto"/>
        <w:jc w:val="both"/>
        <w:rPr>
          <w:sz w:val="20"/>
          <w:szCs w:val="20"/>
        </w:rPr>
      </w:pPr>
    </w:p>
    <w:p w14:paraId="7670FF03" w14:textId="77777777" w:rsidR="009A6163" w:rsidRDefault="009A6163" w:rsidP="153724C6">
      <w:pPr>
        <w:spacing w:line="360" w:lineRule="auto"/>
        <w:jc w:val="both"/>
        <w:rPr>
          <w:sz w:val="20"/>
          <w:szCs w:val="20"/>
        </w:rPr>
      </w:pPr>
    </w:p>
    <w:p w14:paraId="16F4706E" w14:textId="77777777" w:rsidR="009A6163" w:rsidRDefault="009A6163" w:rsidP="153724C6">
      <w:pPr>
        <w:spacing w:line="360" w:lineRule="auto"/>
        <w:jc w:val="both"/>
        <w:rPr>
          <w:sz w:val="20"/>
          <w:szCs w:val="20"/>
        </w:rPr>
      </w:pPr>
    </w:p>
    <w:p w14:paraId="59C5D565" w14:textId="77777777" w:rsidR="009A6163" w:rsidRDefault="009A6163" w:rsidP="153724C6">
      <w:pPr>
        <w:spacing w:line="360" w:lineRule="auto"/>
        <w:jc w:val="both"/>
        <w:rPr>
          <w:sz w:val="20"/>
          <w:szCs w:val="20"/>
        </w:rPr>
      </w:pPr>
    </w:p>
    <w:p w14:paraId="67EDAE57" w14:textId="4ABB9725" w:rsidR="305A51F4" w:rsidRDefault="305A51F4" w:rsidP="37D07617">
      <w:pPr>
        <w:spacing w:line="360" w:lineRule="auto"/>
        <w:jc w:val="both"/>
      </w:pPr>
      <w:r w:rsidRPr="0821D87C">
        <w:rPr>
          <w:sz w:val="20"/>
          <w:szCs w:val="20"/>
        </w:rPr>
        <w:lastRenderedPageBreak/>
        <w:t>CYFEIRIADAU:</w:t>
      </w:r>
    </w:p>
    <w:p w14:paraId="2A33D53D" w14:textId="274C70F6" w:rsidR="36D5AF7F" w:rsidRDefault="36D5AF7F" w:rsidP="0821D87C">
      <w:pPr>
        <w:spacing w:line="360" w:lineRule="auto"/>
        <w:jc w:val="both"/>
      </w:pPr>
      <w:r w:rsidRPr="0821D87C">
        <w:rPr>
          <w:sz w:val="20"/>
          <w:szCs w:val="20"/>
        </w:rPr>
        <w:t xml:space="preserve">American Psychiatric Association (2022) </w:t>
      </w:r>
      <w:r w:rsidR="6A6477A0" w:rsidRPr="0821D87C">
        <w:rPr>
          <w:i/>
          <w:iCs/>
          <w:sz w:val="20"/>
          <w:szCs w:val="20"/>
        </w:rPr>
        <w:t>‘</w:t>
      </w:r>
      <w:r w:rsidRPr="0821D87C">
        <w:rPr>
          <w:i/>
          <w:iCs/>
          <w:sz w:val="20"/>
          <w:szCs w:val="20"/>
        </w:rPr>
        <w:t>DSM-5-TR: Diagnostic and Statistical Manual of Mental Disorders</w:t>
      </w:r>
      <w:r w:rsidR="64B561C7" w:rsidRPr="0821D87C">
        <w:rPr>
          <w:sz w:val="20"/>
          <w:szCs w:val="20"/>
        </w:rPr>
        <w:t>’</w:t>
      </w:r>
      <w:r w:rsidRPr="0821D87C">
        <w:rPr>
          <w:sz w:val="20"/>
          <w:szCs w:val="20"/>
        </w:rPr>
        <w:t>. 5ed arg. (diwygiad testun). Washington, DC: APA.</w:t>
      </w:r>
      <w:r w:rsidR="6D2CCA23" w:rsidRPr="0821D87C">
        <w:rPr>
          <w:sz w:val="20"/>
          <w:szCs w:val="20"/>
        </w:rPr>
        <w:t xml:space="preserve"> </w:t>
      </w:r>
      <w:r w:rsidRPr="0821D87C">
        <w:rPr>
          <w:sz w:val="20"/>
          <w:szCs w:val="20"/>
        </w:rPr>
        <w:t xml:space="preserve">Ar gael yn: </w:t>
      </w:r>
      <w:hyperlink r:id="rId6">
        <w:r w:rsidRPr="0821D87C">
          <w:rPr>
            <w:rStyle w:val="Hyperlink"/>
            <w:sz w:val="20"/>
            <w:szCs w:val="20"/>
          </w:rPr>
          <w:t>https://doi.org/10.1176/appi.books.9780890425787</w:t>
        </w:r>
      </w:hyperlink>
      <w:r w:rsidR="2DC938EE" w:rsidRPr="0821D87C">
        <w:rPr>
          <w:sz w:val="20"/>
          <w:szCs w:val="20"/>
        </w:rPr>
        <w:t xml:space="preserve"> </w:t>
      </w:r>
      <w:r w:rsidRPr="0821D87C">
        <w:rPr>
          <w:sz w:val="20"/>
          <w:szCs w:val="20"/>
        </w:rPr>
        <w:t>(Mynediad: 27 Rhagfyr 2025).</w:t>
      </w:r>
    </w:p>
    <w:p w14:paraId="2A452B65" w14:textId="2F155685" w:rsidR="36D5AF7F" w:rsidRDefault="36D5AF7F" w:rsidP="0821D87C">
      <w:pPr>
        <w:spacing w:line="360" w:lineRule="auto"/>
        <w:jc w:val="both"/>
      </w:pPr>
      <w:r w:rsidRPr="0821D87C">
        <w:rPr>
          <w:sz w:val="20"/>
          <w:szCs w:val="20"/>
        </w:rPr>
        <w:t xml:space="preserve">Antalek, C., Castro-Kemp, S., Dixon, F. a Romualdez, A.M. (2025) </w:t>
      </w:r>
      <w:r w:rsidR="5B5774AB" w:rsidRPr="0821D87C">
        <w:rPr>
          <w:sz w:val="20"/>
          <w:szCs w:val="20"/>
        </w:rPr>
        <w:t>‘</w:t>
      </w:r>
      <w:r w:rsidRPr="0821D87C">
        <w:rPr>
          <w:i/>
          <w:iCs/>
          <w:sz w:val="20"/>
          <w:szCs w:val="20"/>
        </w:rPr>
        <w:t>Identifying and supporting the needs of autistic children and young people: A rapid evidence review.</w:t>
      </w:r>
      <w:r w:rsidR="712D38EE" w:rsidRPr="0821D87C">
        <w:rPr>
          <w:i/>
          <w:iCs/>
          <w:sz w:val="20"/>
          <w:szCs w:val="20"/>
        </w:rPr>
        <w:t>’</w:t>
      </w:r>
      <w:r w:rsidRPr="0821D87C">
        <w:rPr>
          <w:sz w:val="20"/>
          <w:szCs w:val="20"/>
        </w:rPr>
        <w:t xml:space="preserve"> Llundain: University College London.</w:t>
      </w:r>
      <w:r w:rsidR="71AF276E" w:rsidRPr="0821D87C">
        <w:rPr>
          <w:sz w:val="20"/>
          <w:szCs w:val="20"/>
        </w:rPr>
        <w:t xml:space="preserve"> </w:t>
      </w:r>
      <w:r w:rsidRPr="0821D87C">
        <w:rPr>
          <w:sz w:val="20"/>
          <w:szCs w:val="20"/>
        </w:rPr>
        <w:t xml:space="preserve">Ar gael yn: </w:t>
      </w:r>
      <w:hyperlink r:id="rId7">
        <w:r w:rsidRPr="0821D87C">
          <w:rPr>
            <w:rStyle w:val="Hyperlink"/>
            <w:sz w:val="20"/>
            <w:szCs w:val="20"/>
          </w:rPr>
          <w:t>https://discovery.ucl.ac.uk/id/eprint/1019056</w:t>
        </w:r>
      </w:hyperlink>
      <w:r w:rsidR="62E8FD33" w:rsidRPr="0821D87C">
        <w:rPr>
          <w:sz w:val="20"/>
          <w:szCs w:val="20"/>
        </w:rPr>
        <w:t xml:space="preserve"> </w:t>
      </w:r>
      <w:r w:rsidRPr="0821D87C">
        <w:rPr>
          <w:sz w:val="20"/>
          <w:szCs w:val="20"/>
        </w:rPr>
        <w:t>(Mynediad: 28 Rhagfyr 2025).</w:t>
      </w:r>
    </w:p>
    <w:p w14:paraId="470FC837" w14:textId="701D8817" w:rsidR="36D5AF7F" w:rsidRDefault="36D5AF7F" w:rsidP="0821D87C">
      <w:pPr>
        <w:spacing w:line="360" w:lineRule="auto"/>
        <w:jc w:val="both"/>
      </w:pPr>
      <w:r w:rsidRPr="0821D87C">
        <w:rPr>
          <w:sz w:val="20"/>
          <w:szCs w:val="20"/>
        </w:rPr>
        <w:t xml:space="preserve">Armstrong, T. (2017) </w:t>
      </w:r>
      <w:r w:rsidR="4FDA02B1" w:rsidRPr="0821D87C">
        <w:rPr>
          <w:sz w:val="20"/>
          <w:szCs w:val="20"/>
        </w:rPr>
        <w:t>‘</w:t>
      </w:r>
      <w:r w:rsidRPr="0821D87C">
        <w:rPr>
          <w:i/>
          <w:iCs/>
          <w:sz w:val="20"/>
          <w:szCs w:val="20"/>
        </w:rPr>
        <w:t>Neurodiversity: The Future of Special Education?</w:t>
      </w:r>
      <w:r w:rsidR="0CACEB53" w:rsidRPr="0821D87C">
        <w:rPr>
          <w:i/>
          <w:iCs/>
          <w:sz w:val="20"/>
          <w:szCs w:val="20"/>
        </w:rPr>
        <w:t>’</w:t>
      </w:r>
      <w:r w:rsidRPr="0821D87C">
        <w:rPr>
          <w:sz w:val="20"/>
          <w:szCs w:val="20"/>
        </w:rPr>
        <w:t xml:space="preserve"> Alexandria, VA: ASCD.</w:t>
      </w:r>
      <w:r w:rsidR="55B06EE8" w:rsidRPr="0821D87C">
        <w:rPr>
          <w:sz w:val="20"/>
          <w:szCs w:val="20"/>
        </w:rPr>
        <w:t xml:space="preserve"> </w:t>
      </w:r>
      <w:r w:rsidRPr="0821D87C">
        <w:rPr>
          <w:sz w:val="20"/>
          <w:szCs w:val="20"/>
        </w:rPr>
        <w:t xml:space="preserve">Ar gael yn: </w:t>
      </w:r>
      <w:hyperlink r:id="rId8">
        <w:r w:rsidRPr="0821D87C">
          <w:rPr>
            <w:rStyle w:val="Hyperlink"/>
            <w:sz w:val="20"/>
            <w:szCs w:val="20"/>
          </w:rPr>
          <w:t>https://www.ascd.org/books/neurodiversity-the-future-of-special-education</w:t>
        </w:r>
      </w:hyperlink>
      <w:r w:rsidR="39B1488E" w:rsidRPr="0821D87C">
        <w:rPr>
          <w:sz w:val="20"/>
          <w:szCs w:val="20"/>
        </w:rPr>
        <w:t xml:space="preserve"> </w:t>
      </w:r>
      <w:r w:rsidRPr="0821D87C">
        <w:rPr>
          <w:sz w:val="20"/>
          <w:szCs w:val="20"/>
        </w:rPr>
        <w:t>(Mynediad: 28 Rhagfyr 2025).</w:t>
      </w:r>
    </w:p>
    <w:p w14:paraId="015903EC" w14:textId="1B6B4DB1" w:rsidR="36D5AF7F" w:rsidRDefault="36D5AF7F" w:rsidP="0821D87C">
      <w:pPr>
        <w:spacing w:line="360" w:lineRule="auto"/>
        <w:jc w:val="both"/>
      </w:pPr>
      <w:r w:rsidRPr="0821D87C">
        <w:rPr>
          <w:sz w:val="20"/>
          <w:szCs w:val="20"/>
        </w:rPr>
        <w:t>Ashburner, J., Ziviani, J. a Rodger, S. (2008) ‘</w:t>
      </w:r>
      <w:r w:rsidRPr="0821D87C">
        <w:rPr>
          <w:i/>
          <w:iCs/>
          <w:sz w:val="20"/>
          <w:szCs w:val="20"/>
        </w:rPr>
        <w:t>Sensory processing and classroom emotional, behavioural, and educational outcomes in children with autism spectrum disorder</w:t>
      </w:r>
      <w:r w:rsidRPr="0821D87C">
        <w:rPr>
          <w:sz w:val="20"/>
          <w:szCs w:val="20"/>
        </w:rPr>
        <w:t>’, American Journal of Occupational Therapy</w:t>
      </w:r>
      <w:r w:rsidR="3B2B9202" w:rsidRPr="0821D87C">
        <w:rPr>
          <w:sz w:val="20"/>
          <w:szCs w:val="20"/>
        </w:rPr>
        <w:t xml:space="preserve">.  </w:t>
      </w:r>
      <w:r w:rsidRPr="0821D87C">
        <w:rPr>
          <w:sz w:val="20"/>
          <w:szCs w:val="20"/>
        </w:rPr>
        <w:t xml:space="preserve">Ar gael yn: </w:t>
      </w:r>
      <w:hyperlink r:id="rId9">
        <w:r w:rsidRPr="0821D87C">
          <w:rPr>
            <w:rStyle w:val="Hyperlink"/>
            <w:sz w:val="20"/>
            <w:szCs w:val="20"/>
          </w:rPr>
          <w:t>https://doi.org/10.5014/ajot.62.5.564</w:t>
        </w:r>
      </w:hyperlink>
      <w:r w:rsidR="2F656F2B" w:rsidRPr="0821D87C">
        <w:rPr>
          <w:sz w:val="20"/>
          <w:szCs w:val="20"/>
        </w:rPr>
        <w:t xml:space="preserve"> </w:t>
      </w:r>
      <w:r w:rsidRPr="0821D87C">
        <w:rPr>
          <w:sz w:val="20"/>
          <w:szCs w:val="20"/>
        </w:rPr>
        <w:t>(Mynediad: 27 Rhagfyr 2025).</w:t>
      </w:r>
    </w:p>
    <w:p w14:paraId="70CC118F" w14:textId="344B53FA" w:rsidR="36D5AF7F" w:rsidRDefault="36D5AF7F" w:rsidP="0821D87C">
      <w:pPr>
        <w:spacing w:line="360" w:lineRule="auto"/>
        <w:jc w:val="both"/>
      </w:pPr>
      <w:r w:rsidRPr="0821D87C">
        <w:rPr>
          <w:sz w:val="20"/>
          <w:szCs w:val="20"/>
        </w:rPr>
        <w:t xml:space="preserve">Booth, T. a Ainscow, M. (2016) </w:t>
      </w:r>
      <w:r w:rsidR="321BB60F" w:rsidRPr="0821D87C">
        <w:rPr>
          <w:i/>
          <w:iCs/>
          <w:sz w:val="20"/>
          <w:szCs w:val="20"/>
        </w:rPr>
        <w:t>‘</w:t>
      </w:r>
      <w:r w:rsidRPr="0821D87C">
        <w:rPr>
          <w:i/>
          <w:iCs/>
          <w:sz w:val="20"/>
          <w:szCs w:val="20"/>
        </w:rPr>
        <w:t>The Index for Inclusion</w:t>
      </w:r>
      <w:r w:rsidR="3CBFC38E" w:rsidRPr="0821D87C">
        <w:rPr>
          <w:sz w:val="20"/>
          <w:szCs w:val="20"/>
        </w:rPr>
        <w:t>’</w:t>
      </w:r>
      <w:r w:rsidRPr="0821D87C">
        <w:rPr>
          <w:sz w:val="20"/>
          <w:szCs w:val="20"/>
        </w:rPr>
        <w:t>. 3ydd arg. Bryste: Centre for Studies on Inclusive Education (CSIE).</w:t>
      </w:r>
      <w:r w:rsidR="30BBD772" w:rsidRPr="0821D87C">
        <w:rPr>
          <w:sz w:val="20"/>
          <w:szCs w:val="20"/>
        </w:rPr>
        <w:t xml:space="preserve"> </w:t>
      </w:r>
      <w:r w:rsidRPr="0821D87C">
        <w:rPr>
          <w:sz w:val="20"/>
          <w:szCs w:val="20"/>
        </w:rPr>
        <w:t xml:space="preserve">Ar gael yn: </w:t>
      </w:r>
      <w:hyperlink r:id="rId10">
        <w:r w:rsidRPr="0821D87C">
          <w:rPr>
            <w:rStyle w:val="Hyperlink"/>
            <w:sz w:val="20"/>
            <w:szCs w:val="20"/>
          </w:rPr>
          <w:t>https://www.csie.org.uk/resources/inclusion-index-explained.shtml</w:t>
        </w:r>
      </w:hyperlink>
      <w:r w:rsidR="06FBB378" w:rsidRPr="0821D87C">
        <w:rPr>
          <w:sz w:val="20"/>
          <w:szCs w:val="20"/>
        </w:rPr>
        <w:t xml:space="preserve"> </w:t>
      </w:r>
      <w:r w:rsidRPr="0821D87C">
        <w:rPr>
          <w:sz w:val="20"/>
          <w:szCs w:val="20"/>
        </w:rPr>
        <w:t>(Mynediad: 27 Rhagfyr 2025).</w:t>
      </w:r>
    </w:p>
    <w:p w14:paraId="19339632" w14:textId="51FF8B41" w:rsidR="36D5AF7F" w:rsidRDefault="36D5AF7F" w:rsidP="0821D87C">
      <w:pPr>
        <w:spacing w:line="360" w:lineRule="auto"/>
        <w:jc w:val="both"/>
      </w:pPr>
      <w:r w:rsidRPr="0821D87C">
        <w:rPr>
          <w:sz w:val="20"/>
          <w:szCs w:val="20"/>
        </w:rPr>
        <w:t>Botha, M., Hanlon, J. a Williams, G.L. (2024) ‘</w:t>
      </w:r>
      <w:r w:rsidRPr="0821D87C">
        <w:rPr>
          <w:i/>
          <w:iCs/>
          <w:sz w:val="20"/>
          <w:szCs w:val="20"/>
        </w:rPr>
        <w:t>Does language matter? Identity-first versus person-first language use in autism research: A systematic review</w:t>
      </w:r>
      <w:r w:rsidRPr="0821D87C">
        <w:rPr>
          <w:sz w:val="20"/>
          <w:szCs w:val="20"/>
        </w:rPr>
        <w:t>’, Autism.</w:t>
      </w:r>
      <w:r w:rsidR="35FB72CE" w:rsidRPr="0821D87C">
        <w:rPr>
          <w:sz w:val="20"/>
          <w:szCs w:val="20"/>
        </w:rPr>
        <w:t xml:space="preserve"> </w:t>
      </w:r>
      <w:r w:rsidRPr="0821D87C">
        <w:rPr>
          <w:sz w:val="20"/>
          <w:szCs w:val="20"/>
        </w:rPr>
        <w:t xml:space="preserve">Ar gael yn: </w:t>
      </w:r>
      <w:hyperlink r:id="rId11">
        <w:r w:rsidRPr="0821D87C">
          <w:rPr>
            <w:rStyle w:val="Hyperlink"/>
            <w:sz w:val="20"/>
            <w:szCs w:val="20"/>
          </w:rPr>
          <w:t>https://doi.org/10.1177/13623613231167614</w:t>
        </w:r>
      </w:hyperlink>
      <w:r w:rsidR="20E5C699" w:rsidRPr="0821D87C">
        <w:rPr>
          <w:sz w:val="20"/>
          <w:szCs w:val="20"/>
        </w:rPr>
        <w:t xml:space="preserve"> </w:t>
      </w:r>
      <w:r w:rsidRPr="0821D87C">
        <w:rPr>
          <w:sz w:val="20"/>
          <w:szCs w:val="20"/>
        </w:rPr>
        <w:t>(Mynediad: 28 Rhagfyr 2025).</w:t>
      </w:r>
    </w:p>
    <w:p w14:paraId="48F04A72" w14:textId="5CDB9290" w:rsidR="36D5AF7F" w:rsidRDefault="36D5AF7F" w:rsidP="0821D87C">
      <w:pPr>
        <w:spacing w:line="360" w:lineRule="auto"/>
        <w:jc w:val="both"/>
        <w:rPr>
          <w:sz w:val="20"/>
          <w:szCs w:val="20"/>
        </w:rPr>
      </w:pPr>
      <w:r w:rsidRPr="0821D87C">
        <w:rPr>
          <w:sz w:val="20"/>
          <w:szCs w:val="20"/>
        </w:rPr>
        <w:t>Cage, E. a Troxell-Whitman, Z. (2023) ‘</w:t>
      </w:r>
      <w:r w:rsidRPr="0821D87C">
        <w:rPr>
          <w:i/>
          <w:iCs/>
          <w:sz w:val="20"/>
          <w:szCs w:val="20"/>
        </w:rPr>
        <w:t>Understanding the reasons, contexts and costs of camouflaging for autistic adults</w:t>
      </w:r>
      <w:r w:rsidRPr="0821D87C">
        <w:rPr>
          <w:sz w:val="20"/>
          <w:szCs w:val="20"/>
        </w:rPr>
        <w:t>’, Journal of Autism and Developmental Disorders.</w:t>
      </w:r>
      <w:r w:rsidR="6D3F0528" w:rsidRPr="0821D87C">
        <w:rPr>
          <w:sz w:val="20"/>
          <w:szCs w:val="20"/>
        </w:rPr>
        <w:t xml:space="preserve"> </w:t>
      </w:r>
      <w:r w:rsidRPr="0821D87C">
        <w:rPr>
          <w:sz w:val="20"/>
          <w:szCs w:val="20"/>
        </w:rPr>
        <w:t xml:space="preserve">Ar gael yn: </w:t>
      </w:r>
      <w:hyperlink r:id="rId12">
        <w:r w:rsidRPr="0821D87C">
          <w:rPr>
            <w:rStyle w:val="Hyperlink"/>
            <w:sz w:val="20"/>
            <w:szCs w:val="20"/>
          </w:rPr>
          <w:t>https://doi.org/10.1007/s10803-021-05387-x</w:t>
        </w:r>
      </w:hyperlink>
      <w:r w:rsidR="79A80D0A" w:rsidRPr="0821D87C">
        <w:rPr>
          <w:sz w:val="20"/>
          <w:szCs w:val="20"/>
        </w:rPr>
        <w:t xml:space="preserve"> </w:t>
      </w:r>
      <w:r w:rsidRPr="0821D87C">
        <w:rPr>
          <w:sz w:val="20"/>
          <w:szCs w:val="20"/>
        </w:rPr>
        <w:t>(Mynediad: 28 Rhagfyr 2025).</w:t>
      </w:r>
    </w:p>
    <w:p w14:paraId="7E03DACA" w14:textId="6F9712BE" w:rsidR="36D5AF7F" w:rsidRDefault="36D5AF7F" w:rsidP="0821D87C">
      <w:pPr>
        <w:spacing w:line="360" w:lineRule="auto"/>
        <w:jc w:val="both"/>
      </w:pPr>
      <w:r w:rsidRPr="0821D87C">
        <w:rPr>
          <w:sz w:val="20"/>
          <w:szCs w:val="20"/>
        </w:rPr>
        <w:t xml:space="preserve">Chapman, R. (2020) </w:t>
      </w:r>
      <w:r w:rsidR="12EE56DC" w:rsidRPr="0821D87C">
        <w:rPr>
          <w:sz w:val="20"/>
          <w:szCs w:val="20"/>
        </w:rPr>
        <w:t>‘</w:t>
      </w:r>
      <w:r w:rsidRPr="0821D87C">
        <w:rPr>
          <w:i/>
          <w:iCs/>
          <w:sz w:val="20"/>
          <w:szCs w:val="20"/>
        </w:rPr>
        <w:t>Neurodiversity Theory and Its Discontents: Autism, Psychiatry and the Politics of Difference</w:t>
      </w:r>
      <w:r w:rsidR="5B5B0E03" w:rsidRPr="0821D87C">
        <w:rPr>
          <w:sz w:val="20"/>
          <w:szCs w:val="20"/>
        </w:rPr>
        <w:t>’</w:t>
      </w:r>
      <w:r w:rsidRPr="0821D87C">
        <w:rPr>
          <w:sz w:val="20"/>
          <w:szCs w:val="20"/>
        </w:rPr>
        <w:t>. Llundain: Routledge.</w:t>
      </w:r>
      <w:r w:rsidR="0232E550" w:rsidRPr="0821D87C">
        <w:rPr>
          <w:sz w:val="20"/>
          <w:szCs w:val="20"/>
        </w:rPr>
        <w:t xml:space="preserve"> </w:t>
      </w:r>
      <w:r w:rsidRPr="0821D87C">
        <w:rPr>
          <w:sz w:val="20"/>
          <w:szCs w:val="20"/>
        </w:rPr>
        <w:t xml:space="preserve">Ar gael yn: </w:t>
      </w:r>
      <w:hyperlink r:id="rId13">
        <w:r w:rsidRPr="0821D87C">
          <w:rPr>
            <w:rStyle w:val="Hyperlink"/>
            <w:sz w:val="20"/>
            <w:szCs w:val="20"/>
          </w:rPr>
          <w:t>https://doi.org/10.4324/9780429322292</w:t>
        </w:r>
      </w:hyperlink>
      <w:r w:rsidR="40AA045B" w:rsidRPr="0821D87C">
        <w:rPr>
          <w:sz w:val="20"/>
          <w:szCs w:val="20"/>
        </w:rPr>
        <w:t xml:space="preserve"> </w:t>
      </w:r>
      <w:r w:rsidRPr="0821D87C">
        <w:rPr>
          <w:sz w:val="20"/>
          <w:szCs w:val="20"/>
        </w:rPr>
        <w:t>(Mynediad: 28 Rhagfyr 2025).</w:t>
      </w:r>
    </w:p>
    <w:p w14:paraId="29C9A244" w14:textId="3210D319" w:rsidR="36D5AF7F" w:rsidRDefault="36D5AF7F" w:rsidP="0821D87C">
      <w:pPr>
        <w:spacing w:line="360" w:lineRule="auto"/>
        <w:jc w:val="both"/>
      </w:pPr>
      <w:r w:rsidRPr="0821D87C">
        <w:rPr>
          <w:sz w:val="20"/>
          <w:szCs w:val="20"/>
        </w:rPr>
        <w:t>Cook, A., Ogden, J. a Winstone, N. (2024) ‘</w:t>
      </w:r>
      <w:r w:rsidRPr="0821D87C">
        <w:rPr>
          <w:i/>
          <w:iCs/>
          <w:sz w:val="20"/>
          <w:szCs w:val="20"/>
        </w:rPr>
        <w:t>Friendship, belonging and school experiences of autistic pupils in mainstream education’</w:t>
      </w:r>
      <w:r w:rsidRPr="0821D87C">
        <w:rPr>
          <w:sz w:val="20"/>
          <w:szCs w:val="20"/>
        </w:rPr>
        <w:t>, British Journal of Educational Psychology.</w:t>
      </w:r>
      <w:r w:rsidR="5FF8F8DD" w:rsidRPr="0821D87C">
        <w:rPr>
          <w:sz w:val="20"/>
          <w:szCs w:val="20"/>
        </w:rPr>
        <w:t xml:space="preserve"> </w:t>
      </w:r>
      <w:r w:rsidRPr="0821D87C">
        <w:rPr>
          <w:sz w:val="20"/>
          <w:szCs w:val="20"/>
        </w:rPr>
        <w:t xml:space="preserve">Ar gael yn: </w:t>
      </w:r>
      <w:hyperlink r:id="rId14">
        <w:r w:rsidRPr="0821D87C">
          <w:rPr>
            <w:rStyle w:val="Hyperlink"/>
            <w:sz w:val="20"/>
            <w:szCs w:val="20"/>
          </w:rPr>
          <w:t>https://doi.org/10.1111/bjep.12598</w:t>
        </w:r>
      </w:hyperlink>
      <w:r w:rsidR="7AC78842" w:rsidRPr="0821D87C">
        <w:rPr>
          <w:sz w:val="20"/>
          <w:szCs w:val="20"/>
        </w:rPr>
        <w:t xml:space="preserve"> </w:t>
      </w:r>
      <w:r w:rsidRPr="0821D87C">
        <w:rPr>
          <w:sz w:val="20"/>
          <w:szCs w:val="20"/>
        </w:rPr>
        <w:t>(Mynediad: 28 Rhagfyr 2025).</w:t>
      </w:r>
    </w:p>
    <w:p w14:paraId="647DF5C3" w14:textId="672C89CF" w:rsidR="36D5AF7F" w:rsidRDefault="36D5AF7F" w:rsidP="0821D87C">
      <w:pPr>
        <w:spacing w:line="360" w:lineRule="auto"/>
        <w:jc w:val="both"/>
      </w:pPr>
      <w:r w:rsidRPr="0821D87C">
        <w:rPr>
          <w:sz w:val="20"/>
          <w:szCs w:val="20"/>
        </w:rPr>
        <w:t>Falkmer, T., Anderson, K., Falkmer, M. a Horlin, C. (2013) ‘</w:t>
      </w:r>
      <w:r w:rsidRPr="0821D87C">
        <w:rPr>
          <w:i/>
          <w:iCs/>
          <w:sz w:val="20"/>
          <w:szCs w:val="20"/>
        </w:rPr>
        <w:t>Diagnostic procedures in autism spectrum disorders</w:t>
      </w:r>
      <w:r w:rsidRPr="0821D87C">
        <w:rPr>
          <w:sz w:val="20"/>
          <w:szCs w:val="20"/>
        </w:rPr>
        <w:t>’, European Child &amp; Adolescent Psychiatry.</w:t>
      </w:r>
      <w:r w:rsidR="73B0AD52" w:rsidRPr="0821D87C">
        <w:rPr>
          <w:sz w:val="20"/>
          <w:szCs w:val="20"/>
        </w:rPr>
        <w:t xml:space="preserve"> </w:t>
      </w:r>
      <w:r w:rsidRPr="0821D87C">
        <w:rPr>
          <w:sz w:val="20"/>
          <w:szCs w:val="20"/>
        </w:rPr>
        <w:t xml:space="preserve">Ar gael yn: </w:t>
      </w:r>
      <w:hyperlink r:id="rId15">
        <w:r w:rsidRPr="0821D87C">
          <w:rPr>
            <w:rStyle w:val="Hyperlink"/>
            <w:sz w:val="20"/>
            <w:szCs w:val="20"/>
          </w:rPr>
          <w:t>https://doi.org/10.1007/s00787-013-0375-0</w:t>
        </w:r>
      </w:hyperlink>
      <w:r w:rsidR="1D725042" w:rsidRPr="0821D87C">
        <w:rPr>
          <w:sz w:val="20"/>
          <w:szCs w:val="20"/>
        </w:rPr>
        <w:t xml:space="preserve"> </w:t>
      </w:r>
      <w:r w:rsidRPr="0821D87C">
        <w:rPr>
          <w:sz w:val="20"/>
          <w:szCs w:val="20"/>
        </w:rPr>
        <w:t>(Mynediad: 27 Rhagfyr 2025).</w:t>
      </w:r>
    </w:p>
    <w:p w14:paraId="2D716D7C" w14:textId="13A467C4" w:rsidR="36D5AF7F" w:rsidRDefault="36D5AF7F" w:rsidP="0821D87C">
      <w:pPr>
        <w:spacing w:line="360" w:lineRule="auto"/>
        <w:jc w:val="both"/>
      </w:pPr>
      <w:r w:rsidRPr="0821D87C">
        <w:rPr>
          <w:sz w:val="20"/>
          <w:szCs w:val="20"/>
        </w:rPr>
        <w:t xml:space="preserve">Hume, K., Steinbrenner, J.R., Odom, S.L., Morin, K.L., Nowell, S.W., Tomaszewski, B., Szendrey, S. a Savage, M.N. (2021) </w:t>
      </w:r>
      <w:r w:rsidR="3293C8AE" w:rsidRPr="0821D87C">
        <w:rPr>
          <w:sz w:val="20"/>
          <w:szCs w:val="20"/>
        </w:rPr>
        <w:t>‘</w:t>
      </w:r>
      <w:r w:rsidRPr="0821D87C">
        <w:rPr>
          <w:i/>
          <w:iCs/>
          <w:sz w:val="20"/>
          <w:szCs w:val="20"/>
        </w:rPr>
        <w:t>Evidence-Based Practices for Children, Youth, and Young Adults with Autism</w:t>
      </w:r>
      <w:r w:rsidR="0381C27F" w:rsidRPr="0821D87C">
        <w:rPr>
          <w:i/>
          <w:iCs/>
          <w:sz w:val="20"/>
          <w:szCs w:val="20"/>
        </w:rPr>
        <w:t>’</w:t>
      </w:r>
      <w:r w:rsidRPr="0821D87C">
        <w:rPr>
          <w:sz w:val="20"/>
          <w:szCs w:val="20"/>
        </w:rPr>
        <w:t xml:space="preserve">. Chapel </w:t>
      </w:r>
      <w:r w:rsidRPr="0821D87C">
        <w:rPr>
          <w:sz w:val="20"/>
          <w:szCs w:val="20"/>
        </w:rPr>
        <w:lastRenderedPageBreak/>
        <w:t>Hill, NC: University of North Carolina at Chapel Hill.</w:t>
      </w:r>
      <w:r w:rsidR="297B4AE6" w:rsidRPr="0821D87C">
        <w:rPr>
          <w:sz w:val="20"/>
          <w:szCs w:val="20"/>
        </w:rPr>
        <w:t xml:space="preserve"> </w:t>
      </w:r>
      <w:r w:rsidRPr="0821D87C">
        <w:rPr>
          <w:sz w:val="20"/>
          <w:szCs w:val="20"/>
        </w:rPr>
        <w:t xml:space="preserve">Ar gael yn: </w:t>
      </w:r>
      <w:hyperlink r:id="rId16">
        <w:r w:rsidRPr="0821D87C">
          <w:rPr>
            <w:rStyle w:val="Hyperlink"/>
            <w:sz w:val="20"/>
            <w:szCs w:val="20"/>
          </w:rPr>
          <w:t>https://autismpdc.fpg.unc.edu/evidence-based-practices</w:t>
        </w:r>
      </w:hyperlink>
      <w:r w:rsidR="43998FC7" w:rsidRPr="0821D87C">
        <w:rPr>
          <w:sz w:val="20"/>
          <w:szCs w:val="20"/>
        </w:rPr>
        <w:t xml:space="preserve"> </w:t>
      </w:r>
      <w:r w:rsidRPr="0821D87C">
        <w:rPr>
          <w:sz w:val="20"/>
          <w:szCs w:val="20"/>
        </w:rPr>
        <w:t>(Mynediad: 28 Rhagfyr 2025).</w:t>
      </w:r>
    </w:p>
    <w:p w14:paraId="22ACA916" w14:textId="60E3E8D9" w:rsidR="36D5AF7F" w:rsidRDefault="36D5AF7F" w:rsidP="0821D87C">
      <w:pPr>
        <w:spacing w:line="360" w:lineRule="auto"/>
        <w:jc w:val="both"/>
      </w:pPr>
      <w:r w:rsidRPr="0821D87C">
        <w:rPr>
          <w:sz w:val="20"/>
          <w:szCs w:val="20"/>
        </w:rPr>
        <w:t xml:space="preserve">Kapp, S.K. (2020) </w:t>
      </w:r>
      <w:r w:rsidR="7F05C498" w:rsidRPr="0821D87C">
        <w:rPr>
          <w:sz w:val="20"/>
          <w:szCs w:val="20"/>
        </w:rPr>
        <w:t>‘</w:t>
      </w:r>
      <w:r w:rsidRPr="0821D87C">
        <w:rPr>
          <w:i/>
          <w:iCs/>
          <w:sz w:val="20"/>
          <w:szCs w:val="20"/>
        </w:rPr>
        <w:t>Autistic Community and the Neurodiversity Movement: Stories from the Frontline</w:t>
      </w:r>
      <w:r w:rsidR="378FCB33" w:rsidRPr="0821D87C">
        <w:rPr>
          <w:i/>
          <w:iCs/>
          <w:sz w:val="20"/>
          <w:szCs w:val="20"/>
        </w:rPr>
        <w:t>’</w:t>
      </w:r>
      <w:r w:rsidRPr="0821D87C">
        <w:rPr>
          <w:sz w:val="20"/>
          <w:szCs w:val="20"/>
        </w:rPr>
        <w:t>. Singapore: Palgrave Macmillan.</w:t>
      </w:r>
      <w:r w:rsidR="16B1DE44" w:rsidRPr="0821D87C">
        <w:rPr>
          <w:sz w:val="20"/>
          <w:szCs w:val="20"/>
        </w:rPr>
        <w:t xml:space="preserve"> </w:t>
      </w:r>
      <w:r w:rsidRPr="0821D87C">
        <w:rPr>
          <w:sz w:val="20"/>
          <w:szCs w:val="20"/>
        </w:rPr>
        <w:t xml:space="preserve">Ar gael yn: </w:t>
      </w:r>
      <w:hyperlink r:id="rId17">
        <w:r w:rsidRPr="0821D87C">
          <w:rPr>
            <w:rStyle w:val="Hyperlink"/>
            <w:sz w:val="20"/>
            <w:szCs w:val="20"/>
          </w:rPr>
          <w:t>https://doi.org/10.1007/978-981-13-8437-0</w:t>
        </w:r>
      </w:hyperlink>
      <w:r w:rsidR="242AAB3D" w:rsidRPr="0821D87C">
        <w:rPr>
          <w:sz w:val="20"/>
          <w:szCs w:val="20"/>
        </w:rPr>
        <w:t xml:space="preserve"> </w:t>
      </w:r>
      <w:r w:rsidRPr="0821D87C">
        <w:rPr>
          <w:sz w:val="20"/>
          <w:szCs w:val="20"/>
        </w:rPr>
        <w:t>(Mynediad: 28 Rhagfyr 2025).</w:t>
      </w:r>
    </w:p>
    <w:p w14:paraId="1D4F9140" w14:textId="014320C1" w:rsidR="36D5AF7F" w:rsidRDefault="36D5AF7F" w:rsidP="0821D87C">
      <w:pPr>
        <w:spacing w:line="360" w:lineRule="auto"/>
        <w:jc w:val="both"/>
      </w:pPr>
      <w:r w:rsidRPr="0821D87C">
        <w:rPr>
          <w:sz w:val="20"/>
          <w:szCs w:val="20"/>
        </w:rPr>
        <w:t>Liang, Z., Mason, R.A., Gregori, E. a Kennedy, C.H. (2024) ‘</w:t>
      </w:r>
      <w:r w:rsidRPr="0821D87C">
        <w:rPr>
          <w:i/>
          <w:iCs/>
          <w:sz w:val="20"/>
          <w:szCs w:val="20"/>
        </w:rPr>
        <w:t>CHECK visual schedules to support individuals on the autism spectrum</w:t>
      </w:r>
      <w:r w:rsidRPr="0821D87C">
        <w:rPr>
          <w:sz w:val="20"/>
          <w:szCs w:val="20"/>
        </w:rPr>
        <w:t>’, Intervention in School and Clinic.</w:t>
      </w:r>
      <w:r w:rsidR="26B1C840" w:rsidRPr="0821D87C">
        <w:rPr>
          <w:sz w:val="20"/>
          <w:szCs w:val="20"/>
        </w:rPr>
        <w:t xml:space="preserve"> </w:t>
      </w:r>
      <w:r w:rsidRPr="0821D87C">
        <w:rPr>
          <w:sz w:val="20"/>
          <w:szCs w:val="20"/>
        </w:rPr>
        <w:t xml:space="preserve">Ar gael yn: </w:t>
      </w:r>
      <w:hyperlink r:id="rId18">
        <w:r w:rsidRPr="0821D87C">
          <w:rPr>
            <w:rStyle w:val="Hyperlink"/>
            <w:sz w:val="20"/>
            <w:szCs w:val="20"/>
          </w:rPr>
          <w:t>https://doi.org/10.1177/10534512241300157</w:t>
        </w:r>
      </w:hyperlink>
      <w:r w:rsidR="563BB9E6" w:rsidRPr="0821D87C">
        <w:rPr>
          <w:sz w:val="20"/>
          <w:szCs w:val="20"/>
        </w:rPr>
        <w:t xml:space="preserve"> </w:t>
      </w:r>
      <w:r w:rsidRPr="0821D87C">
        <w:rPr>
          <w:sz w:val="20"/>
          <w:szCs w:val="20"/>
        </w:rPr>
        <w:t>(Mynediad: 28 Rhagfyr 2025).</w:t>
      </w:r>
    </w:p>
    <w:p w14:paraId="11598913" w14:textId="0B7DE97E" w:rsidR="36D5AF7F" w:rsidRDefault="36D5AF7F" w:rsidP="0821D87C">
      <w:pPr>
        <w:spacing w:line="360" w:lineRule="auto"/>
        <w:jc w:val="both"/>
        <w:rPr>
          <w:sz w:val="20"/>
          <w:szCs w:val="20"/>
        </w:rPr>
      </w:pPr>
      <w:r w:rsidRPr="0821D87C">
        <w:rPr>
          <w:sz w:val="20"/>
          <w:szCs w:val="20"/>
        </w:rPr>
        <w:t>Lord, C., Elsabbagh, M., Baird, G. a Veenstra-VanderWeele, J. (2020) ‘</w:t>
      </w:r>
      <w:r w:rsidRPr="0821D87C">
        <w:rPr>
          <w:i/>
          <w:iCs/>
          <w:sz w:val="20"/>
          <w:szCs w:val="20"/>
        </w:rPr>
        <w:t>Autism spectrum disorder</w:t>
      </w:r>
      <w:r w:rsidRPr="0821D87C">
        <w:rPr>
          <w:sz w:val="20"/>
          <w:szCs w:val="20"/>
        </w:rPr>
        <w:t>’, The Lancet.</w:t>
      </w:r>
      <w:r w:rsidR="69B5BEB6" w:rsidRPr="0821D87C">
        <w:rPr>
          <w:sz w:val="20"/>
          <w:szCs w:val="20"/>
        </w:rPr>
        <w:t xml:space="preserve"> </w:t>
      </w:r>
      <w:r w:rsidRPr="0821D87C">
        <w:rPr>
          <w:sz w:val="20"/>
          <w:szCs w:val="20"/>
        </w:rPr>
        <w:t xml:space="preserve">Ar gael yn: </w:t>
      </w:r>
      <w:hyperlink r:id="rId19">
        <w:r w:rsidRPr="0821D87C">
          <w:rPr>
            <w:rStyle w:val="Hyperlink"/>
            <w:sz w:val="20"/>
            <w:szCs w:val="20"/>
          </w:rPr>
          <w:t>https://doi.org/10.1016/S0140-6736(18)31129-2</w:t>
        </w:r>
      </w:hyperlink>
      <w:r w:rsidR="732BA682" w:rsidRPr="0821D87C">
        <w:rPr>
          <w:sz w:val="20"/>
          <w:szCs w:val="20"/>
        </w:rPr>
        <w:t xml:space="preserve"> </w:t>
      </w:r>
      <w:r w:rsidRPr="0821D87C">
        <w:rPr>
          <w:sz w:val="20"/>
          <w:szCs w:val="20"/>
        </w:rPr>
        <w:t>(Mynediad: 27 Rhagfyr 2025).</w:t>
      </w:r>
    </w:p>
    <w:p w14:paraId="2D1CFFAD" w14:textId="7F91A5B6" w:rsidR="36D5AF7F" w:rsidRDefault="36D5AF7F" w:rsidP="0821D87C">
      <w:pPr>
        <w:spacing w:line="360" w:lineRule="auto"/>
        <w:jc w:val="both"/>
      </w:pPr>
      <w:r w:rsidRPr="0821D87C">
        <w:rPr>
          <w:sz w:val="20"/>
          <w:szCs w:val="20"/>
        </w:rPr>
        <w:t xml:space="preserve">Oliver, M. (1996) </w:t>
      </w:r>
      <w:r w:rsidR="2C5433BA" w:rsidRPr="0821D87C">
        <w:rPr>
          <w:sz w:val="20"/>
          <w:szCs w:val="20"/>
        </w:rPr>
        <w:t>‘</w:t>
      </w:r>
      <w:r w:rsidRPr="0821D87C">
        <w:rPr>
          <w:i/>
          <w:iCs/>
          <w:sz w:val="20"/>
          <w:szCs w:val="20"/>
        </w:rPr>
        <w:t>Understanding Disability: From Theory to Practice</w:t>
      </w:r>
      <w:r w:rsidR="2E056D46" w:rsidRPr="0821D87C">
        <w:rPr>
          <w:i/>
          <w:iCs/>
          <w:sz w:val="20"/>
          <w:szCs w:val="20"/>
        </w:rPr>
        <w:t>’</w:t>
      </w:r>
      <w:r w:rsidRPr="0821D87C">
        <w:rPr>
          <w:sz w:val="20"/>
          <w:szCs w:val="20"/>
        </w:rPr>
        <w:t>. Basingstoke: Macmillan.</w:t>
      </w:r>
      <w:r w:rsidR="153AB579" w:rsidRPr="0821D87C">
        <w:rPr>
          <w:sz w:val="20"/>
          <w:szCs w:val="20"/>
        </w:rPr>
        <w:t xml:space="preserve"> </w:t>
      </w:r>
      <w:r w:rsidRPr="0821D87C">
        <w:rPr>
          <w:sz w:val="20"/>
          <w:szCs w:val="20"/>
        </w:rPr>
        <w:t xml:space="preserve">Ar gael yn: </w:t>
      </w:r>
      <w:hyperlink r:id="rId20">
        <w:r w:rsidRPr="0821D87C">
          <w:rPr>
            <w:rStyle w:val="Hyperlink"/>
            <w:sz w:val="20"/>
            <w:szCs w:val="20"/>
          </w:rPr>
          <w:t>https://doi.org/10.1007/978-1-349-24269-6</w:t>
        </w:r>
      </w:hyperlink>
      <w:r w:rsidR="44BB4A44" w:rsidRPr="0821D87C">
        <w:rPr>
          <w:sz w:val="20"/>
          <w:szCs w:val="20"/>
        </w:rPr>
        <w:t xml:space="preserve"> </w:t>
      </w:r>
      <w:r w:rsidRPr="0821D87C">
        <w:rPr>
          <w:sz w:val="20"/>
          <w:szCs w:val="20"/>
        </w:rPr>
        <w:t>(Mynediad: 27 Rhagfyr 2025).</w:t>
      </w:r>
    </w:p>
    <w:p w14:paraId="51E93DA3" w14:textId="2DCA18ED" w:rsidR="36D5AF7F" w:rsidRDefault="36D5AF7F" w:rsidP="0821D87C">
      <w:pPr>
        <w:spacing w:line="360" w:lineRule="auto"/>
        <w:jc w:val="both"/>
        <w:rPr>
          <w:sz w:val="20"/>
          <w:szCs w:val="20"/>
        </w:rPr>
      </w:pPr>
      <w:r w:rsidRPr="0821D87C">
        <w:rPr>
          <w:sz w:val="20"/>
          <w:szCs w:val="20"/>
        </w:rPr>
        <w:t>Odom, S.L. (2021) ‘</w:t>
      </w:r>
      <w:r w:rsidRPr="0821D87C">
        <w:rPr>
          <w:i/>
          <w:iCs/>
          <w:sz w:val="20"/>
          <w:szCs w:val="20"/>
        </w:rPr>
        <w:t>Educational interventions for children and youth with autism spectrum disorder</w:t>
      </w:r>
      <w:r w:rsidRPr="0821D87C">
        <w:rPr>
          <w:sz w:val="20"/>
          <w:szCs w:val="20"/>
        </w:rPr>
        <w:t>’, Pediatrics.</w:t>
      </w:r>
      <w:r w:rsidR="40E3965E" w:rsidRPr="0821D87C">
        <w:rPr>
          <w:sz w:val="20"/>
          <w:szCs w:val="20"/>
        </w:rPr>
        <w:t xml:space="preserve"> </w:t>
      </w:r>
      <w:r w:rsidRPr="0821D87C">
        <w:rPr>
          <w:sz w:val="20"/>
          <w:szCs w:val="20"/>
        </w:rPr>
        <w:t xml:space="preserve">Ar gael yn: </w:t>
      </w:r>
      <w:hyperlink r:id="rId21">
        <w:r w:rsidRPr="0821D87C">
          <w:rPr>
            <w:rStyle w:val="Hyperlink"/>
            <w:sz w:val="20"/>
            <w:szCs w:val="20"/>
          </w:rPr>
          <w:t>https://doi.org/10.1542/peds.2020-0235</w:t>
        </w:r>
      </w:hyperlink>
      <w:r w:rsidR="2452ADD0" w:rsidRPr="0821D87C">
        <w:rPr>
          <w:sz w:val="20"/>
          <w:szCs w:val="20"/>
        </w:rPr>
        <w:t xml:space="preserve"> </w:t>
      </w:r>
      <w:r w:rsidRPr="0821D87C">
        <w:rPr>
          <w:sz w:val="20"/>
          <w:szCs w:val="20"/>
        </w:rPr>
        <w:t>(Mynediad: 28 Rhagfyr 2025).</w:t>
      </w:r>
    </w:p>
    <w:p w14:paraId="57769019" w14:textId="7AFCBB47" w:rsidR="36D5AF7F" w:rsidRDefault="36D5AF7F" w:rsidP="0821D87C">
      <w:pPr>
        <w:spacing w:line="360" w:lineRule="auto"/>
        <w:jc w:val="both"/>
      </w:pPr>
      <w:r w:rsidRPr="0821D87C">
        <w:rPr>
          <w:sz w:val="20"/>
          <w:szCs w:val="20"/>
        </w:rPr>
        <w:t>Pellicano, E., Dinsmore, A. a Charman, T. (2014) ‘</w:t>
      </w:r>
      <w:r w:rsidRPr="0821D87C">
        <w:rPr>
          <w:i/>
          <w:iCs/>
          <w:sz w:val="20"/>
          <w:szCs w:val="20"/>
        </w:rPr>
        <w:t>What should autism research focus upon? Community views and priorities from the United Kingdom</w:t>
      </w:r>
      <w:r w:rsidRPr="0821D87C">
        <w:rPr>
          <w:sz w:val="20"/>
          <w:szCs w:val="20"/>
        </w:rPr>
        <w:t>’, Autism.</w:t>
      </w:r>
      <w:r w:rsidR="36D124A1" w:rsidRPr="0821D87C">
        <w:rPr>
          <w:sz w:val="20"/>
          <w:szCs w:val="20"/>
        </w:rPr>
        <w:t xml:space="preserve"> </w:t>
      </w:r>
      <w:r w:rsidRPr="0821D87C">
        <w:rPr>
          <w:sz w:val="20"/>
          <w:szCs w:val="20"/>
        </w:rPr>
        <w:t xml:space="preserve">Ar gael yn: </w:t>
      </w:r>
      <w:hyperlink r:id="rId22">
        <w:r w:rsidRPr="0821D87C">
          <w:rPr>
            <w:rStyle w:val="Hyperlink"/>
            <w:sz w:val="20"/>
            <w:szCs w:val="20"/>
          </w:rPr>
          <w:t>https://doi.org/10.1177/1362361314529627</w:t>
        </w:r>
      </w:hyperlink>
      <w:r w:rsidR="723CA47E" w:rsidRPr="0821D87C">
        <w:rPr>
          <w:sz w:val="20"/>
          <w:szCs w:val="20"/>
        </w:rPr>
        <w:t xml:space="preserve"> </w:t>
      </w:r>
      <w:r w:rsidRPr="0821D87C">
        <w:rPr>
          <w:sz w:val="20"/>
          <w:szCs w:val="20"/>
        </w:rPr>
        <w:t>(Mynediad: 27 Rhagfyr 2025).</w:t>
      </w:r>
    </w:p>
    <w:p w14:paraId="2FB5E700" w14:textId="3437C91D" w:rsidR="36D5AF7F" w:rsidRDefault="36D5AF7F" w:rsidP="0821D87C">
      <w:pPr>
        <w:spacing w:line="360" w:lineRule="auto"/>
        <w:jc w:val="both"/>
        <w:rPr>
          <w:sz w:val="20"/>
          <w:szCs w:val="20"/>
        </w:rPr>
      </w:pPr>
      <w:r w:rsidRPr="0821D87C">
        <w:rPr>
          <w:sz w:val="20"/>
          <w:szCs w:val="20"/>
        </w:rPr>
        <w:t>Pellicano, E. a den Houting, J. (2022) ‘</w:t>
      </w:r>
      <w:r w:rsidRPr="0821D87C">
        <w:rPr>
          <w:i/>
          <w:iCs/>
          <w:sz w:val="20"/>
          <w:szCs w:val="20"/>
        </w:rPr>
        <w:t>Annual research review: Shifting from “normal science” to neurodiversity in autism science</w:t>
      </w:r>
      <w:r w:rsidRPr="0821D87C">
        <w:rPr>
          <w:sz w:val="20"/>
          <w:szCs w:val="20"/>
        </w:rPr>
        <w:t>’, Journal of Child Psychology and Psychiatry.</w:t>
      </w:r>
      <w:r w:rsidR="11EC716F" w:rsidRPr="0821D87C">
        <w:rPr>
          <w:sz w:val="20"/>
          <w:szCs w:val="20"/>
        </w:rPr>
        <w:t xml:space="preserve"> </w:t>
      </w:r>
      <w:r w:rsidRPr="0821D87C">
        <w:rPr>
          <w:sz w:val="20"/>
          <w:szCs w:val="20"/>
        </w:rPr>
        <w:t xml:space="preserve">Ar gael yn: </w:t>
      </w:r>
      <w:hyperlink r:id="rId23">
        <w:r w:rsidRPr="0821D87C">
          <w:rPr>
            <w:rStyle w:val="Hyperlink"/>
            <w:sz w:val="20"/>
            <w:szCs w:val="20"/>
          </w:rPr>
          <w:t>https://doi.org/10.1111/jcpp.13534</w:t>
        </w:r>
      </w:hyperlink>
      <w:r w:rsidR="27195426" w:rsidRPr="0821D87C">
        <w:rPr>
          <w:sz w:val="20"/>
          <w:szCs w:val="20"/>
        </w:rPr>
        <w:t xml:space="preserve"> </w:t>
      </w:r>
      <w:r w:rsidRPr="0821D87C">
        <w:rPr>
          <w:sz w:val="20"/>
          <w:szCs w:val="20"/>
        </w:rPr>
        <w:t>(Mynediad: 28 Rhagfyr 2025).</w:t>
      </w:r>
    </w:p>
    <w:p w14:paraId="25A495C9" w14:textId="31A0E38F" w:rsidR="36D5AF7F" w:rsidRDefault="36D5AF7F" w:rsidP="0821D87C">
      <w:pPr>
        <w:spacing w:line="360" w:lineRule="auto"/>
        <w:jc w:val="both"/>
      </w:pPr>
      <w:r w:rsidRPr="0821D87C">
        <w:rPr>
          <w:sz w:val="20"/>
          <w:szCs w:val="20"/>
        </w:rPr>
        <w:t>Petersson-Bloom, L. a Holmqvist, M. (2021) ‘</w:t>
      </w:r>
      <w:r w:rsidRPr="0821D87C">
        <w:rPr>
          <w:i/>
          <w:iCs/>
          <w:sz w:val="20"/>
          <w:szCs w:val="20"/>
        </w:rPr>
        <w:t>Strategies in supporting inclusive education for autistic students: A systematic review</w:t>
      </w:r>
      <w:r w:rsidRPr="0821D87C">
        <w:rPr>
          <w:sz w:val="20"/>
          <w:szCs w:val="20"/>
        </w:rPr>
        <w:t>’, Autism &amp; Developmental Language Impairments.</w:t>
      </w:r>
      <w:r w:rsidR="6F404F1F" w:rsidRPr="0821D87C">
        <w:rPr>
          <w:sz w:val="20"/>
          <w:szCs w:val="20"/>
        </w:rPr>
        <w:t xml:space="preserve"> </w:t>
      </w:r>
      <w:r w:rsidRPr="0821D87C">
        <w:rPr>
          <w:sz w:val="20"/>
          <w:szCs w:val="20"/>
        </w:rPr>
        <w:t xml:space="preserve">Ar gael yn: </w:t>
      </w:r>
      <w:hyperlink r:id="rId24">
        <w:r w:rsidRPr="0821D87C">
          <w:rPr>
            <w:rStyle w:val="Hyperlink"/>
            <w:sz w:val="20"/>
            <w:szCs w:val="20"/>
          </w:rPr>
          <w:t>https://doi.org/10.1177/23969415211056573</w:t>
        </w:r>
      </w:hyperlink>
      <w:r w:rsidR="4A4797C6" w:rsidRPr="0821D87C">
        <w:rPr>
          <w:sz w:val="20"/>
          <w:szCs w:val="20"/>
        </w:rPr>
        <w:t xml:space="preserve"> </w:t>
      </w:r>
      <w:r w:rsidRPr="0821D87C">
        <w:rPr>
          <w:sz w:val="20"/>
          <w:szCs w:val="20"/>
        </w:rPr>
        <w:t>(Mynediad: 28 Rhagfyr 2025).</w:t>
      </w:r>
    </w:p>
    <w:p w14:paraId="625E1C7F" w14:textId="6AD8D512" w:rsidR="36D5AF7F" w:rsidRDefault="36D5AF7F" w:rsidP="0821D87C">
      <w:pPr>
        <w:spacing w:line="360" w:lineRule="auto"/>
        <w:jc w:val="both"/>
      </w:pPr>
      <w:r w:rsidRPr="0821D87C">
        <w:rPr>
          <w:sz w:val="20"/>
          <w:szCs w:val="20"/>
        </w:rPr>
        <w:t>Shaw, K.A., Bilder, D.A., McArthur, D., Williams, S., Bakian, A.V. a Durkin, M.S. (2025) ‘</w:t>
      </w:r>
      <w:r w:rsidRPr="0821D87C">
        <w:rPr>
          <w:i/>
          <w:iCs/>
          <w:sz w:val="20"/>
          <w:szCs w:val="20"/>
        </w:rPr>
        <w:t>Prevalence and early identification of autism spectrum disorder</w:t>
      </w:r>
      <w:r w:rsidRPr="0821D87C">
        <w:rPr>
          <w:sz w:val="20"/>
          <w:szCs w:val="20"/>
        </w:rPr>
        <w:t>’, MMWR Surveillance Summaries.</w:t>
      </w:r>
      <w:r w:rsidR="59F649E2" w:rsidRPr="0821D87C">
        <w:rPr>
          <w:sz w:val="20"/>
          <w:szCs w:val="20"/>
        </w:rPr>
        <w:t xml:space="preserve"> </w:t>
      </w:r>
      <w:r w:rsidRPr="0821D87C">
        <w:rPr>
          <w:sz w:val="20"/>
          <w:szCs w:val="20"/>
        </w:rPr>
        <w:t xml:space="preserve">Ar gael yn: </w:t>
      </w:r>
      <w:hyperlink r:id="rId25">
        <w:r w:rsidRPr="0821D87C">
          <w:rPr>
            <w:rStyle w:val="Hyperlink"/>
            <w:sz w:val="20"/>
            <w:szCs w:val="20"/>
          </w:rPr>
          <w:t>https://doi.org/10.15585/mmwr.ss7402a1</w:t>
        </w:r>
      </w:hyperlink>
      <w:r w:rsidR="4ED02F9C" w:rsidRPr="0821D87C">
        <w:rPr>
          <w:sz w:val="20"/>
          <w:szCs w:val="20"/>
        </w:rPr>
        <w:t xml:space="preserve"> </w:t>
      </w:r>
      <w:r w:rsidRPr="0821D87C">
        <w:rPr>
          <w:sz w:val="20"/>
          <w:szCs w:val="20"/>
        </w:rPr>
        <w:t>(Mynediad: 28 Rhagfyr 2025).</w:t>
      </w:r>
    </w:p>
    <w:p w14:paraId="0154D95F" w14:textId="5654B882" w:rsidR="36D5AF7F" w:rsidRDefault="36D5AF7F" w:rsidP="0821D87C">
      <w:pPr>
        <w:spacing w:line="360" w:lineRule="auto"/>
        <w:jc w:val="both"/>
      </w:pPr>
      <w:r w:rsidRPr="0821D87C">
        <w:rPr>
          <w:sz w:val="20"/>
          <w:szCs w:val="20"/>
        </w:rPr>
        <w:t xml:space="preserve">Slee, R. (2018) </w:t>
      </w:r>
      <w:r w:rsidR="6F03AAE1" w:rsidRPr="0821D87C">
        <w:rPr>
          <w:sz w:val="20"/>
          <w:szCs w:val="20"/>
        </w:rPr>
        <w:t>‘</w:t>
      </w:r>
      <w:r w:rsidRPr="0821D87C">
        <w:rPr>
          <w:i/>
          <w:iCs/>
          <w:sz w:val="20"/>
          <w:szCs w:val="20"/>
        </w:rPr>
        <w:t>Inclusive Education Isn’t Dead, It Just Smells Funny</w:t>
      </w:r>
      <w:r w:rsidR="6EDB897B" w:rsidRPr="0821D87C">
        <w:rPr>
          <w:i/>
          <w:iCs/>
          <w:sz w:val="20"/>
          <w:szCs w:val="20"/>
        </w:rPr>
        <w:t>’</w:t>
      </w:r>
      <w:r w:rsidRPr="0821D87C">
        <w:rPr>
          <w:sz w:val="20"/>
          <w:szCs w:val="20"/>
        </w:rPr>
        <w:t>. Llundain: Routledge.</w:t>
      </w:r>
      <w:r w:rsidR="7D12590B" w:rsidRPr="0821D87C">
        <w:rPr>
          <w:sz w:val="20"/>
          <w:szCs w:val="20"/>
        </w:rPr>
        <w:t xml:space="preserve"> </w:t>
      </w:r>
      <w:r w:rsidRPr="0821D87C">
        <w:rPr>
          <w:sz w:val="20"/>
          <w:szCs w:val="20"/>
        </w:rPr>
        <w:t xml:space="preserve">Ar gael yn: </w:t>
      </w:r>
      <w:hyperlink r:id="rId26">
        <w:r w:rsidRPr="0821D87C">
          <w:rPr>
            <w:rStyle w:val="Hyperlink"/>
            <w:sz w:val="20"/>
            <w:szCs w:val="20"/>
          </w:rPr>
          <w:t>https://doi.org/10.4324/9780429487561</w:t>
        </w:r>
      </w:hyperlink>
      <w:r w:rsidR="490F124C" w:rsidRPr="0821D87C">
        <w:rPr>
          <w:sz w:val="20"/>
          <w:szCs w:val="20"/>
        </w:rPr>
        <w:t xml:space="preserve"> </w:t>
      </w:r>
      <w:r w:rsidRPr="0821D87C">
        <w:rPr>
          <w:sz w:val="20"/>
          <w:szCs w:val="20"/>
        </w:rPr>
        <w:t>(Mynediad: 27 Rhagfyr 2025).</w:t>
      </w:r>
    </w:p>
    <w:p w14:paraId="05DAE21C" w14:textId="02EB1F12" w:rsidR="36D5AF7F" w:rsidRDefault="36D5AF7F" w:rsidP="0821D87C">
      <w:pPr>
        <w:spacing w:line="360" w:lineRule="auto"/>
        <w:jc w:val="both"/>
      </w:pPr>
      <w:r w:rsidRPr="0821D87C">
        <w:rPr>
          <w:sz w:val="20"/>
          <w:szCs w:val="20"/>
        </w:rPr>
        <w:t>Tissot, C. a Evans, R. (2024) ‘</w:t>
      </w:r>
      <w:r w:rsidRPr="0821D87C">
        <w:rPr>
          <w:i/>
          <w:iCs/>
          <w:sz w:val="20"/>
          <w:szCs w:val="20"/>
        </w:rPr>
        <w:t>The use of visual schedules to increase on-task academic behaviour in children with autism’</w:t>
      </w:r>
      <w:r w:rsidRPr="0821D87C">
        <w:rPr>
          <w:sz w:val="20"/>
          <w:szCs w:val="20"/>
        </w:rPr>
        <w:t xml:space="preserve">, British Journal of Special Education, 51(2), tt. 145–162. Ar gael yn: </w:t>
      </w:r>
      <w:hyperlink r:id="rId27">
        <w:r w:rsidRPr="0821D87C">
          <w:rPr>
            <w:rStyle w:val="Hyperlink"/>
            <w:sz w:val="20"/>
            <w:szCs w:val="20"/>
          </w:rPr>
          <w:t>https://doi.org/10.1111/1467-8578.12452</w:t>
        </w:r>
      </w:hyperlink>
      <w:r w:rsidRPr="0821D87C">
        <w:rPr>
          <w:sz w:val="20"/>
          <w:szCs w:val="20"/>
        </w:rPr>
        <w:t xml:space="preserve"> (Mynediad: 28 Rhagfyr 2025).</w:t>
      </w:r>
    </w:p>
    <w:p w14:paraId="546D4981" w14:textId="03EE8294" w:rsidR="36D5AF7F" w:rsidRDefault="36D5AF7F" w:rsidP="0821D87C">
      <w:pPr>
        <w:spacing w:line="360" w:lineRule="auto"/>
        <w:jc w:val="both"/>
      </w:pPr>
      <w:r w:rsidRPr="0821D87C">
        <w:rPr>
          <w:sz w:val="20"/>
          <w:szCs w:val="20"/>
        </w:rPr>
        <w:t>Turner, J., Mason, R.A., Davis, C. a McCoy, K. (2025) ‘</w:t>
      </w:r>
      <w:r w:rsidRPr="0821D87C">
        <w:rPr>
          <w:i/>
          <w:iCs/>
          <w:sz w:val="20"/>
          <w:szCs w:val="20"/>
        </w:rPr>
        <w:t>Assessing the effectiveness of visual supports in fostering communication and classroom engagement among students with autism spectrum disorder</w:t>
      </w:r>
      <w:r w:rsidRPr="0821D87C">
        <w:rPr>
          <w:sz w:val="20"/>
          <w:szCs w:val="20"/>
        </w:rPr>
        <w:t xml:space="preserve">’, </w:t>
      </w:r>
      <w:r w:rsidRPr="0821D87C">
        <w:rPr>
          <w:sz w:val="20"/>
          <w:szCs w:val="20"/>
        </w:rPr>
        <w:lastRenderedPageBreak/>
        <w:t xml:space="preserve">Journal of Autism and Developmental Disorders. Cyhoeddiad ar-lein ymlaen llaw. Ar gael yn: </w:t>
      </w:r>
      <w:hyperlink r:id="rId28">
        <w:r w:rsidRPr="0821D87C">
          <w:rPr>
            <w:rStyle w:val="Hyperlink"/>
            <w:sz w:val="20"/>
            <w:szCs w:val="20"/>
          </w:rPr>
          <w:t>https://doi.org/10.1007/s10803-025-05821-4</w:t>
        </w:r>
      </w:hyperlink>
      <w:r w:rsidRPr="0821D87C">
        <w:rPr>
          <w:sz w:val="20"/>
          <w:szCs w:val="20"/>
        </w:rPr>
        <w:t xml:space="preserve"> (Mynediad: 28 Rhagfyr 2025).</w:t>
      </w:r>
    </w:p>
    <w:p w14:paraId="328C15DC" w14:textId="1317A7A1" w:rsidR="36D5AF7F" w:rsidRDefault="36D5AF7F" w:rsidP="0821D87C">
      <w:pPr>
        <w:spacing w:line="360" w:lineRule="auto"/>
        <w:jc w:val="both"/>
      </w:pPr>
      <w:r w:rsidRPr="0821D87C">
        <w:rPr>
          <w:sz w:val="20"/>
          <w:szCs w:val="20"/>
        </w:rPr>
        <w:t>Zwaigenbaum, L., Bauman, M.L., Choueiri, R., Fein, D., Kasari, C., Pierce, K., Stone, W.L., Yirmiya, N., Estes, A., Hansen, R.L. a McPartland, J.C. (2015) ‘</w:t>
      </w:r>
      <w:r w:rsidRPr="0821D87C">
        <w:rPr>
          <w:i/>
          <w:iCs/>
          <w:sz w:val="20"/>
          <w:szCs w:val="20"/>
        </w:rPr>
        <w:t>Early identification of autism spectrum disorder</w:t>
      </w:r>
      <w:r w:rsidRPr="0821D87C">
        <w:rPr>
          <w:sz w:val="20"/>
          <w:szCs w:val="20"/>
        </w:rPr>
        <w:t xml:space="preserve">’, Pediatrics. Ar gael yn: </w:t>
      </w:r>
      <w:hyperlink r:id="rId29">
        <w:r w:rsidRPr="0821D87C">
          <w:rPr>
            <w:rStyle w:val="Hyperlink"/>
            <w:sz w:val="20"/>
            <w:szCs w:val="20"/>
          </w:rPr>
          <w:t>https://doi.org/10.1542/peds.2014-3667C</w:t>
        </w:r>
      </w:hyperlink>
      <w:r w:rsidRPr="0821D87C">
        <w:rPr>
          <w:sz w:val="20"/>
          <w:szCs w:val="20"/>
        </w:rPr>
        <w:t xml:space="preserve"> (Mynediad: 27 Rhagfyr 2025).</w:t>
      </w:r>
    </w:p>
    <w:p w14:paraId="2DD7E33B" w14:textId="416CD02F" w:rsidR="00A90534" w:rsidRDefault="00A90534" w:rsidP="153724C6">
      <w:pPr>
        <w:spacing w:line="360" w:lineRule="auto"/>
        <w:jc w:val="both"/>
        <w:rPr>
          <w:sz w:val="20"/>
          <w:szCs w:val="20"/>
        </w:rPr>
      </w:pPr>
    </w:p>
    <w:p w14:paraId="70D2577E" w14:textId="3DA529F4" w:rsidR="00C0000D" w:rsidRDefault="00C0000D" w:rsidP="153724C6">
      <w:pPr>
        <w:spacing w:line="360" w:lineRule="auto"/>
        <w:jc w:val="both"/>
        <w:rPr>
          <w:sz w:val="20"/>
          <w:szCs w:val="20"/>
        </w:rPr>
      </w:pPr>
    </w:p>
    <w:p w14:paraId="5E5787A5" w14:textId="0971D63B" w:rsidR="00C0000D" w:rsidRDefault="00C0000D"/>
    <w:sectPr w:rsidR="00C0000D">
      <w:headerReference w:type="default" r:id="rId30"/>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B3BBC" w14:textId="77777777" w:rsidR="005707F0" w:rsidRDefault="005707F0">
      <w:pPr>
        <w:spacing w:after="0" w:line="240" w:lineRule="auto"/>
      </w:pPr>
      <w:r>
        <w:separator/>
      </w:r>
    </w:p>
  </w:endnote>
  <w:endnote w:type="continuationSeparator" w:id="0">
    <w:p w14:paraId="6725BAC5" w14:textId="77777777" w:rsidR="005707F0" w:rsidRDefault="00570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821D87C" w14:paraId="05FB4272" w14:textId="77777777" w:rsidTr="0821D87C">
      <w:trPr>
        <w:trHeight w:val="300"/>
      </w:trPr>
      <w:tc>
        <w:tcPr>
          <w:tcW w:w="3005" w:type="dxa"/>
        </w:tcPr>
        <w:p w14:paraId="24ACE629" w14:textId="2739AF0D" w:rsidR="0821D87C" w:rsidRDefault="0821D87C" w:rsidP="0821D87C">
          <w:pPr>
            <w:pStyle w:val="Header"/>
            <w:ind w:left="-115"/>
          </w:pPr>
        </w:p>
      </w:tc>
      <w:tc>
        <w:tcPr>
          <w:tcW w:w="3005" w:type="dxa"/>
        </w:tcPr>
        <w:p w14:paraId="3A425767" w14:textId="6A171AFD" w:rsidR="0821D87C" w:rsidRDefault="0821D87C" w:rsidP="0821D87C">
          <w:pPr>
            <w:pStyle w:val="Header"/>
            <w:jc w:val="center"/>
          </w:pPr>
        </w:p>
      </w:tc>
      <w:tc>
        <w:tcPr>
          <w:tcW w:w="3005" w:type="dxa"/>
        </w:tcPr>
        <w:p w14:paraId="2FB7CA0E" w14:textId="63F3BE74" w:rsidR="0821D87C" w:rsidRDefault="0821D87C" w:rsidP="0821D87C">
          <w:pPr>
            <w:pStyle w:val="Header"/>
            <w:ind w:right="-115"/>
            <w:jc w:val="right"/>
          </w:pPr>
          <w:r>
            <w:t>Chloe Jones</w:t>
          </w:r>
        </w:p>
      </w:tc>
    </w:tr>
  </w:tbl>
  <w:p w14:paraId="3FE248AB" w14:textId="443AC762" w:rsidR="0821D87C" w:rsidRDefault="0821D87C" w:rsidP="0821D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9D7D1" w14:textId="77777777" w:rsidR="005707F0" w:rsidRDefault="005707F0">
      <w:pPr>
        <w:spacing w:after="0" w:line="240" w:lineRule="auto"/>
      </w:pPr>
      <w:r>
        <w:separator/>
      </w:r>
    </w:p>
  </w:footnote>
  <w:footnote w:type="continuationSeparator" w:id="0">
    <w:p w14:paraId="65B948C6" w14:textId="77777777" w:rsidR="005707F0" w:rsidRDefault="005707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821D87C" w14:paraId="3CAF0DA7" w14:textId="77777777" w:rsidTr="0821D87C">
      <w:trPr>
        <w:trHeight w:val="300"/>
      </w:trPr>
      <w:tc>
        <w:tcPr>
          <w:tcW w:w="3005" w:type="dxa"/>
        </w:tcPr>
        <w:p w14:paraId="5C8F321D" w14:textId="17EA6CFF" w:rsidR="0821D87C" w:rsidRDefault="0821D87C" w:rsidP="0821D87C">
          <w:pPr>
            <w:pStyle w:val="Header"/>
            <w:ind w:left="-115"/>
          </w:pPr>
          <w:r>
            <w:t>ECEY6006</w:t>
          </w:r>
        </w:p>
      </w:tc>
      <w:tc>
        <w:tcPr>
          <w:tcW w:w="3005" w:type="dxa"/>
        </w:tcPr>
        <w:p w14:paraId="0365CF96" w14:textId="395D6174" w:rsidR="0821D87C" w:rsidRDefault="0821D87C" w:rsidP="0821D87C">
          <w:pPr>
            <w:pStyle w:val="Header"/>
            <w:jc w:val="center"/>
          </w:pPr>
          <w:r>
            <w:t>2203713</w:t>
          </w:r>
        </w:p>
      </w:tc>
      <w:tc>
        <w:tcPr>
          <w:tcW w:w="3005" w:type="dxa"/>
        </w:tcPr>
        <w:p w14:paraId="02854B49" w14:textId="7643D6AB" w:rsidR="0821D87C" w:rsidRDefault="0821D87C" w:rsidP="0821D87C">
          <w:pPr>
            <w:pStyle w:val="Header"/>
            <w:ind w:right="-115"/>
            <w:jc w:val="right"/>
          </w:pPr>
          <w:r>
            <w:t>Cyfrif geiriau:1,546</w:t>
          </w:r>
        </w:p>
      </w:tc>
    </w:tr>
  </w:tbl>
  <w:p w14:paraId="1964BE3D" w14:textId="08193902" w:rsidR="0821D87C" w:rsidRDefault="0821D87C" w:rsidP="0821D8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12136D"/>
    <w:rsid w:val="00002809"/>
    <w:rsid w:val="00002C1F"/>
    <w:rsid w:val="00006150"/>
    <w:rsid w:val="000068A5"/>
    <w:rsid w:val="00037DC1"/>
    <w:rsid w:val="00052B70"/>
    <w:rsid w:val="00064FDD"/>
    <w:rsid w:val="000B44CB"/>
    <w:rsid w:val="000D0A4A"/>
    <w:rsid w:val="0011400F"/>
    <w:rsid w:val="00115CDE"/>
    <w:rsid w:val="001259BB"/>
    <w:rsid w:val="00172A1C"/>
    <w:rsid w:val="001A756D"/>
    <w:rsid w:val="001C5A6A"/>
    <w:rsid w:val="001E1A4F"/>
    <w:rsid w:val="00236166"/>
    <w:rsid w:val="002516BB"/>
    <w:rsid w:val="00252C0E"/>
    <w:rsid w:val="00256D43"/>
    <w:rsid w:val="00296E36"/>
    <w:rsid w:val="002C0B2B"/>
    <w:rsid w:val="002C565B"/>
    <w:rsid w:val="002D62BE"/>
    <w:rsid w:val="003031BA"/>
    <w:rsid w:val="0033680E"/>
    <w:rsid w:val="00355234"/>
    <w:rsid w:val="00365FD0"/>
    <w:rsid w:val="003749BB"/>
    <w:rsid w:val="00374CFB"/>
    <w:rsid w:val="00397F75"/>
    <w:rsid w:val="003D05DB"/>
    <w:rsid w:val="004250F8"/>
    <w:rsid w:val="004265C1"/>
    <w:rsid w:val="00432CAD"/>
    <w:rsid w:val="004708ED"/>
    <w:rsid w:val="004A4CCA"/>
    <w:rsid w:val="004A667F"/>
    <w:rsid w:val="004F3516"/>
    <w:rsid w:val="0050021E"/>
    <w:rsid w:val="00527FEE"/>
    <w:rsid w:val="0054970E"/>
    <w:rsid w:val="005653A9"/>
    <w:rsid w:val="005707F0"/>
    <w:rsid w:val="005758DF"/>
    <w:rsid w:val="005C2E53"/>
    <w:rsid w:val="005E05FB"/>
    <w:rsid w:val="005E7499"/>
    <w:rsid w:val="005F5BD5"/>
    <w:rsid w:val="00651C56"/>
    <w:rsid w:val="00676034"/>
    <w:rsid w:val="00680A71"/>
    <w:rsid w:val="006A0C41"/>
    <w:rsid w:val="006B6090"/>
    <w:rsid w:val="006B7E9D"/>
    <w:rsid w:val="006C656A"/>
    <w:rsid w:val="006D2584"/>
    <w:rsid w:val="006E35D5"/>
    <w:rsid w:val="00712E4D"/>
    <w:rsid w:val="007135F4"/>
    <w:rsid w:val="00740E94"/>
    <w:rsid w:val="00765338"/>
    <w:rsid w:val="00766661"/>
    <w:rsid w:val="00780BD1"/>
    <w:rsid w:val="007A2F06"/>
    <w:rsid w:val="007C09B8"/>
    <w:rsid w:val="007C3805"/>
    <w:rsid w:val="007C55BB"/>
    <w:rsid w:val="007D7DD2"/>
    <w:rsid w:val="007E32FC"/>
    <w:rsid w:val="007E713C"/>
    <w:rsid w:val="00810082"/>
    <w:rsid w:val="00830BB5"/>
    <w:rsid w:val="00882802"/>
    <w:rsid w:val="009A6163"/>
    <w:rsid w:val="00A8113D"/>
    <w:rsid w:val="00A860E8"/>
    <w:rsid w:val="00A90534"/>
    <w:rsid w:val="00B1425F"/>
    <w:rsid w:val="00B437A5"/>
    <w:rsid w:val="00B44525"/>
    <w:rsid w:val="00B51E90"/>
    <w:rsid w:val="00B60C30"/>
    <w:rsid w:val="00B63B1F"/>
    <w:rsid w:val="00B87275"/>
    <w:rsid w:val="00BA4E56"/>
    <w:rsid w:val="00BA73A7"/>
    <w:rsid w:val="00BB29ED"/>
    <w:rsid w:val="00C0000D"/>
    <w:rsid w:val="00C10753"/>
    <w:rsid w:val="00C15B66"/>
    <w:rsid w:val="00C21DEF"/>
    <w:rsid w:val="00C404AB"/>
    <w:rsid w:val="00C500F9"/>
    <w:rsid w:val="00C70C97"/>
    <w:rsid w:val="00C75723"/>
    <w:rsid w:val="00C80D6E"/>
    <w:rsid w:val="00C97630"/>
    <w:rsid w:val="00CD4606"/>
    <w:rsid w:val="00CD4DF7"/>
    <w:rsid w:val="00CE0B98"/>
    <w:rsid w:val="00CF765F"/>
    <w:rsid w:val="00D20E56"/>
    <w:rsid w:val="00D24351"/>
    <w:rsid w:val="00D47989"/>
    <w:rsid w:val="00D85297"/>
    <w:rsid w:val="00D876F4"/>
    <w:rsid w:val="00D942BE"/>
    <w:rsid w:val="00DA6D2E"/>
    <w:rsid w:val="00E03E0D"/>
    <w:rsid w:val="00E3267E"/>
    <w:rsid w:val="00E34272"/>
    <w:rsid w:val="00E40593"/>
    <w:rsid w:val="00E41C90"/>
    <w:rsid w:val="00E671B9"/>
    <w:rsid w:val="00E74A80"/>
    <w:rsid w:val="00E83EA0"/>
    <w:rsid w:val="00F12FCC"/>
    <w:rsid w:val="00F3194F"/>
    <w:rsid w:val="00F47254"/>
    <w:rsid w:val="00F82547"/>
    <w:rsid w:val="00FB6CF1"/>
    <w:rsid w:val="00FC7EE3"/>
    <w:rsid w:val="00FE1A2B"/>
    <w:rsid w:val="018504BC"/>
    <w:rsid w:val="0232E550"/>
    <w:rsid w:val="02F697A3"/>
    <w:rsid w:val="0381C27F"/>
    <w:rsid w:val="050AF03A"/>
    <w:rsid w:val="05FD64F7"/>
    <w:rsid w:val="06BA7431"/>
    <w:rsid w:val="06FBB378"/>
    <w:rsid w:val="070A8106"/>
    <w:rsid w:val="07AEA7D4"/>
    <w:rsid w:val="07CC4048"/>
    <w:rsid w:val="07CEC786"/>
    <w:rsid w:val="0821D87C"/>
    <w:rsid w:val="09500EA6"/>
    <w:rsid w:val="0BEE340C"/>
    <w:rsid w:val="0C83BA82"/>
    <w:rsid w:val="0CACEB53"/>
    <w:rsid w:val="0D0DAB46"/>
    <w:rsid w:val="0EA2658E"/>
    <w:rsid w:val="0F29BBA8"/>
    <w:rsid w:val="0F550E26"/>
    <w:rsid w:val="0F613972"/>
    <w:rsid w:val="1030445F"/>
    <w:rsid w:val="106BC65B"/>
    <w:rsid w:val="10C3A7AE"/>
    <w:rsid w:val="11EC716F"/>
    <w:rsid w:val="12EE56DC"/>
    <w:rsid w:val="13760EB4"/>
    <w:rsid w:val="13FF8904"/>
    <w:rsid w:val="14368CE4"/>
    <w:rsid w:val="153724C6"/>
    <w:rsid w:val="153AB579"/>
    <w:rsid w:val="15423D15"/>
    <w:rsid w:val="15DED6D3"/>
    <w:rsid w:val="161E0E70"/>
    <w:rsid w:val="1657B302"/>
    <w:rsid w:val="16B1DE44"/>
    <w:rsid w:val="16B57A5B"/>
    <w:rsid w:val="17CAD7A7"/>
    <w:rsid w:val="186754D6"/>
    <w:rsid w:val="1944CC46"/>
    <w:rsid w:val="1982BF33"/>
    <w:rsid w:val="1BD1AE92"/>
    <w:rsid w:val="1C46211E"/>
    <w:rsid w:val="1C6377AE"/>
    <w:rsid w:val="1D725042"/>
    <w:rsid w:val="1D72BE09"/>
    <w:rsid w:val="1D792973"/>
    <w:rsid w:val="1EA43F09"/>
    <w:rsid w:val="1FB31488"/>
    <w:rsid w:val="2022D2B0"/>
    <w:rsid w:val="20ACCD6E"/>
    <w:rsid w:val="20E5C699"/>
    <w:rsid w:val="21011C9C"/>
    <w:rsid w:val="210E0BB8"/>
    <w:rsid w:val="214746AB"/>
    <w:rsid w:val="21B28FC1"/>
    <w:rsid w:val="242AAB3D"/>
    <w:rsid w:val="2452ADD0"/>
    <w:rsid w:val="24C96A83"/>
    <w:rsid w:val="24D5DF08"/>
    <w:rsid w:val="25D67AC7"/>
    <w:rsid w:val="260FF15B"/>
    <w:rsid w:val="26B1C840"/>
    <w:rsid w:val="26E585B2"/>
    <w:rsid w:val="27195426"/>
    <w:rsid w:val="297B4AE6"/>
    <w:rsid w:val="29930309"/>
    <w:rsid w:val="2B107A40"/>
    <w:rsid w:val="2B70674C"/>
    <w:rsid w:val="2C5433BA"/>
    <w:rsid w:val="2C5ABD45"/>
    <w:rsid w:val="2C61F160"/>
    <w:rsid w:val="2CBF1CB5"/>
    <w:rsid w:val="2CEE100B"/>
    <w:rsid w:val="2D01B738"/>
    <w:rsid w:val="2D804312"/>
    <w:rsid w:val="2DC938EE"/>
    <w:rsid w:val="2DCACE60"/>
    <w:rsid w:val="2E056D46"/>
    <w:rsid w:val="2E5CCB44"/>
    <w:rsid w:val="2F3C320E"/>
    <w:rsid w:val="2F656F2B"/>
    <w:rsid w:val="303109F2"/>
    <w:rsid w:val="305A51F4"/>
    <w:rsid w:val="306D159B"/>
    <w:rsid w:val="30BBD772"/>
    <w:rsid w:val="31956A81"/>
    <w:rsid w:val="321BB60F"/>
    <w:rsid w:val="32449CF8"/>
    <w:rsid w:val="325298F5"/>
    <w:rsid w:val="3293C8AE"/>
    <w:rsid w:val="33A74B9B"/>
    <w:rsid w:val="3599384E"/>
    <w:rsid w:val="35FB72CE"/>
    <w:rsid w:val="36D124A1"/>
    <w:rsid w:val="36D5AF7F"/>
    <w:rsid w:val="370CA820"/>
    <w:rsid w:val="3723238C"/>
    <w:rsid w:val="378FCB33"/>
    <w:rsid w:val="37D07617"/>
    <w:rsid w:val="3803E2F9"/>
    <w:rsid w:val="38041ED7"/>
    <w:rsid w:val="39B1488E"/>
    <w:rsid w:val="39EE9EDC"/>
    <w:rsid w:val="3AD8C18E"/>
    <w:rsid w:val="3B2B9202"/>
    <w:rsid w:val="3BACFCD2"/>
    <w:rsid w:val="3C70FD8B"/>
    <w:rsid w:val="3CA9D92D"/>
    <w:rsid w:val="3CB5E3B3"/>
    <w:rsid w:val="3CBFC38E"/>
    <w:rsid w:val="3D2D29A0"/>
    <w:rsid w:val="3D86A530"/>
    <w:rsid w:val="3D8CD003"/>
    <w:rsid w:val="3DA81B40"/>
    <w:rsid w:val="3EFD3FC6"/>
    <w:rsid w:val="4077BB21"/>
    <w:rsid w:val="40AA045B"/>
    <w:rsid w:val="40CF9FC0"/>
    <w:rsid w:val="40DE8BC0"/>
    <w:rsid w:val="40E3965E"/>
    <w:rsid w:val="41998880"/>
    <w:rsid w:val="426ACBAF"/>
    <w:rsid w:val="43676167"/>
    <w:rsid w:val="4367DA7B"/>
    <w:rsid w:val="43998FC7"/>
    <w:rsid w:val="449BCA25"/>
    <w:rsid w:val="44BB4A44"/>
    <w:rsid w:val="4659F9D0"/>
    <w:rsid w:val="46A53B56"/>
    <w:rsid w:val="4825171C"/>
    <w:rsid w:val="48F02B10"/>
    <w:rsid w:val="490F124C"/>
    <w:rsid w:val="4A4797C6"/>
    <w:rsid w:val="4A67DBDA"/>
    <w:rsid w:val="4A8B49AB"/>
    <w:rsid w:val="4B4E7BD2"/>
    <w:rsid w:val="4B60C5F1"/>
    <w:rsid w:val="4C116B80"/>
    <w:rsid w:val="4C3E1F41"/>
    <w:rsid w:val="4ED02F9C"/>
    <w:rsid w:val="4FDA02B1"/>
    <w:rsid w:val="51D95419"/>
    <w:rsid w:val="51EE17AB"/>
    <w:rsid w:val="528BC955"/>
    <w:rsid w:val="52B1F515"/>
    <w:rsid w:val="53EBFE29"/>
    <w:rsid w:val="5412136D"/>
    <w:rsid w:val="54BC9A53"/>
    <w:rsid w:val="54EF6C6C"/>
    <w:rsid w:val="55B06EE8"/>
    <w:rsid w:val="55B635FE"/>
    <w:rsid w:val="56292D14"/>
    <w:rsid w:val="563BB9E6"/>
    <w:rsid w:val="5651290C"/>
    <w:rsid w:val="56A8AE5B"/>
    <w:rsid w:val="56D1A42D"/>
    <w:rsid w:val="56E50112"/>
    <w:rsid w:val="5725DB87"/>
    <w:rsid w:val="59F649E2"/>
    <w:rsid w:val="59FFC932"/>
    <w:rsid w:val="5A8981AB"/>
    <w:rsid w:val="5B5774AB"/>
    <w:rsid w:val="5B5B0E03"/>
    <w:rsid w:val="5C283571"/>
    <w:rsid w:val="5C2BAC2D"/>
    <w:rsid w:val="5C8471A5"/>
    <w:rsid w:val="5CAB74DB"/>
    <w:rsid w:val="5D490048"/>
    <w:rsid w:val="5FF8F8DD"/>
    <w:rsid w:val="61067E50"/>
    <w:rsid w:val="61900665"/>
    <w:rsid w:val="6213427C"/>
    <w:rsid w:val="62491C84"/>
    <w:rsid w:val="62DF8E06"/>
    <w:rsid w:val="62E8FD33"/>
    <w:rsid w:val="64A08B76"/>
    <w:rsid w:val="64B561C7"/>
    <w:rsid w:val="662262A0"/>
    <w:rsid w:val="66F38C2B"/>
    <w:rsid w:val="671A33E1"/>
    <w:rsid w:val="6785BF61"/>
    <w:rsid w:val="68FD89D1"/>
    <w:rsid w:val="69B5BEB6"/>
    <w:rsid w:val="69F77359"/>
    <w:rsid w:val="6A6477A0"/>
    <w:rsid w:val="6AE6324E"/>
    <w:rsid w:val="6BE06209"/>
    <w:rsid w:val="6C43D53A"/>
    <w:rsid w:val="6D2CCA23"/>
    <w:rsid w:val="6D3F0528"/>
    <w:rsid w:val="6EB3CEC9"/>
    <w:rsid w:val="6EDB897B"/>
    <w:rsid w:val="6F03AAE1"/>
    <w:rsid w:val="6F404F1F"/>
    <w:rsid w:val="700230F6"/>
    <w:rsid w:val="712D38EE"/>
    <w:rsid w:val="7174974B"/>
    <w:rsid w:val="71AF276E"/>
    <w:rsid w:val="72398737"/>
    <w:rsid w:val="723CA47E"/>
    <w:rsid w:val="724C6458"/>
    <w:rsid w:val="732BA682"/>
    <w:rsid w:val="73B0AD52"/>
    <w:rsid w:val="741E97BC"/>
    <w:rsid w:val="74733AB0"/>
    <w:rsid w:val="749F147E"/>
    <w:rsid w:val="7525400F"/>
    <w:rsid w:val="75D197BC"/>
    <w:rsid w:val="77A1460B"/>
    <w:rsid w:val="799958C9"/>
    <w:rsid w:val="79A80D0A"/>
    <w:rsid w:val="7A569490"/>
    <w:rsid w:val="7AC78842"/>
    <w:rsid w:val="7D12590B"/>
    <w:rsid w:val="7DD69DB5"/>
    <w:rsid w:val="7E4838CB"/>
    <w:rsid w:val="7F05C49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F6626"/>
  <w15:chartTrackingRefBased/>
  <w15:docId w15:val="{909C83DC-053A-49BF-A67F-D6C0F73E8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821D87C"/>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53724C6"/>
    <w:rPr>
      <w:color w:val="467886"/>
      <w:u w:val="single"/>
    </w:rPr>
  </w:style>
  <w:style w:type="paragraph" w:customStyle="1" w:styleId="p1">
    <w:name w:val="p1"/>
    <w:basedOn w:val="Normal"/>
    <w:uiPriority w:val="1"/>
    <w:rsid w:val="0821D87C"/>
    <w:pPr>
      <w:spacing w:beforeAutospacing="1" w:afterAutospacing="1" w:line="240" w:lineRule="auto"/>
    </w:pPr>
    <w:rPr>
      <w:rFonts w:ascii="Times New Roman" w:hAnsi="Times New Roman" w:cs="Times New Roman"/>
      <w:lang w:val="en-US" w:eastAsia="en-US"/>
    </w:rPr>
  </w:style>
  <w:style w:type="character" w:customStyle="1" w:styleId="s1">
    <w:name w:val="s1"/>
    <w:basedOn w:val="DefaultParagraphFont"/>
    <w:rsid w:val="00B51E90"/>
  </w:style>
  <w:style w:type="paragraph" w:customStyle="1" w:styleId="p2">
    <w:name w:val="p2"/>
    <w:basedOn w:val="Normal"/>
    <w:uiPriority w:val="1"/>
    <w:rsid w:val="0821D87C"/>
    <w:pPr>
      <w:spacing w:beforeAutospacing="1" w:afterAutospacing="1" w:line="240" w:lineRule="auto"/>
    </w:pPr>
    <w:rPr>
      <w:rFonts w:ascii="Times New Roman" w:hAnsi="Times New Roman" w:cs="Times New Roman"/>
      <w:lang w:val="en-US" w:eastAsia="en-US"/>
    </w:rPr>
  </w:style>
  <w:style w:type="character" w:customStyle="1" w:styleId="s2">
    <w:name w:val="s2"/>
    <w:basedOn w:val="DefaultParagraphFont"/>
    <w:rsid w:val="00A90534"/>
  </w:style>
  <w:style w:type="paragraph" w:styleId="Header">
    <w:name w:val="header"/>
    <w:basedOn w:val="Normal"/>
    <w:uiPriority w:val="99"/>
    <w:unhideWhenUsed/>
    <w:rsid w:val="0821D87C"/>
    <w:pPr>
      <w:tabs>
        <w:tab w:val="center" w:pos="4680"/>
        <w:tab w:val="right" w:pos="9360"/>
      </w:tabs>
      <w:spacing w:after="0" w:line="240" w:lineRule="auto"/>
    </w:pPr>
  </w:style>
  <w:style w:type="paragraph" w:styleId="Footer">
    <w:name w:val="footer"/>
    <w:basedOn w:val="Normal"/>
    <w:uiPriority w:val="99"/>
    <w:unhideWhenUsed/>
    <w:rsid w:val="0821D87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0429322292" TargetMode="External"/><Relationship Id="rId18" Type="http://schemas.openxmlformats.org/officeDocument/2006/relationships/hyperlink" Target="https://doi.org/10.1177/10534512241300157" TargetMode="External"/><Relationship Id="rId26" Type="http://schemas.openxmlformats.org/officeDocument/2006/relationships/hyperlink" Target="https://doi.org/10.4324/9780429487561" TargetMode="External"/><Relationship Id="rId3" Type="http://schemas.openxmlformats.org/officeDocument/2006/relationships/webSettings" Target="webSettings.xml"/><Relationship Id="rId21" Type="http://schemas.openxmlformats.org/officeDocument/2006/relationships/hyperlink" Target="https://doi.org/10.1542/peds.2020-0235" TargetMode="External"/><Relationship Id="rId7" Type="http://schemas.openxmlformats.org/officeDocument/2006/relationships/hyperlink" Target="https://discovery.ucl.ac.uk/id/eprint/1019056" TargetMode="External"/><Relationship Id="rId12" Type="http://schemas.openxmlformats.org/officeDocument/2006/relationships/hyperlink" Target="https://doi.org/10.1007/s10803-021-05387-x" TargetMode="External"/><Relationship Id="rId17" Type="http://schemas.openxmlformats.org/officeDocument/2006/relationships/hyperlink" Target="https://doi.org/10.1007/978-981-13-8437-0" TargetMode="External"/><Relationship Id="rId25" Type="http://schemas.openxmlformats.org/officeDocument/2006/relationships/hyperlink" Target="https://doi.org/10.15585/mmwr.ss7402a1"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autismpdc.fpg.unc.edu/evidence-based-practices" TargetMode="External"/><Relationship Id="rId20" Type="http://schemas.openxmlformats.org/officeDocument/2006/relationships/hyperlink" Target="https://doi.org/10.1007/978-1-349-24269-6" TargetMode="External"/><Relationship Id="rId29" Type="http://schemas.openxmlformats.org/officeDocument/2006/relationships/hyperlink" Target="https://doi.org/10.1542/peds.2014-3667C" TargetMode="External"/><Relationship Id="rId1" Type="http://schemas.openxmlformats.org/officeDocument/2006/relationships/styles" Target="styles.xml"/><Relationship Id="rId6" Type="http://schemas.openxmlformats.org/officeDocument/2006/relationships/hyperlink" Target="https://doi.org/10.1176/appi.books.9780890425787" TargetMode="External"/><Relationship Id="rId11" Type="http://schemas.openxmlformats.org/officeDocument/2006/relationships/hyperlink" Target="https://doi.org/10.1177/13623613231167614" TargetMode="External"/><Relationship Id="rId24" Type="http://schemas.openxmlformats.org/officeDocument/2006/relationships/hyperlink" Target="https://doi.org/10.1177/23969415211056573"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07/s00787-013-0375-0" TargetMode="External"/><Relationship Id="rId23" Type="http://schemas.openxmlformats.org/officeDocument/2006/relationships/hyperlink" Target="https://doi.org/10.1111/jcpp.13534" TargetMode="External"/><Relationship Id="rId28" Type="http://schemas.openxmlformats.org/officeDocument/2006/relationships/hyperlink" Target="https://doi.org/10.1007/s10803-025-05821-4" TargetMode="External"/><Relationship Id="rId10" Type="http://schemas.openxmlformats.org/officeDocument/2006/relationships/hyperlink" Target="https://www.csie.org.uk/resources/inclusion-index-explained.shtml" TargetMode="External"/><Relationship Id="rId19" Type="http://schemas.openxmlformats.org/officeDocument/2006/relationships/hyperlink" Target="https://doi.org/10.1016/S0140-6736(18)31129-2"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5014/ajot.62.5.564" TargetMode="External"/><Relationship Id="rId14" Type="http://schemas.openxmlformats.org/officeDocument/2006/relationships/hyperlink" Target="https://doi.org/10.1111/bjep.12598" TargetMode="External"/><Relationship Id="rId22" Type="http://schemas.openxmlformats.org/officeDocument/2006/relationships/hyperlink" Target="https://doi.org/10.1177/1362361314529627" TargetMode="External"/><Relationship Id="rId27" Type="http://schemas.openxmlformats.org/officeDocument/2006/relationships/hyperlink" Target="https://doi.org/10.1111/1467-8578.12452" TargetMode="External"/><Relationship Id="rId30" Type="http://schemas.openxmlformats.org/officeDocument/2006/relationships/header" Target="header1.xml"/><Relationship Id="rId8" Type="http://schemas.openxmlformats.org/officeDocument/2006/relationships/hyperlink" Target="https://www.ascd.org/books/neurodiversity-the-future-of-special-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2464</Words>
  <Characters>15254</Characters>
  <Application>Microsoft Office Word</Application>
  <DocSecurity>0</DocSecurity>
  <Lines>227</Lines>
  <Paragraphs>72</Paragraphs>
  <ScaleCrop>false</ScaleCrop>
  <Company/>
  <LinksUpToDate>false</LinksUpToDate>
  <CharactersWithSpaces>17646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 (2203713)</dc:creator>
  <cp:keywords/>
  <dc:description/>
  <cp:lastModifiedBy>Alison Rees-Edwards</cp:lastModifiedBy>
  <cp:revision>8</cp:revision>
  <dcterms:created xsi:type="dcterms:W3CDTF">2026-01-27T11:52:00Z</dcterms:created>
  <dcterms:modified xsi:type="dcterms:W3CDTF">2026-01-27T12:01:00Z</dcterms:modified>
</cp:coreProperties>
</file>