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B147CF" w14:textId="4D1258BC" w:rsidR="007C5110" w:rsidRDefault="007C5110"/>
    <w:p w14:paraId="53E2F4FE" w14:textId="44DDA62A" w:rsidR="00C93062" w:rsidRDefault="00C93062"/>
    <w:p w14:paraId="063C76B2" w14:textId="33407129" w:rsidR="00C93062" w:rsidRPr="00C93062" w:rsidRDefault="00C93062">
      <w:pPr>
        <w:rPr>
          <w:sz w:val="44"/>
          <w:szCs w:val="44"/>
        </w:rPr>
      </w:pPr>
      <w:r>
        <w:rPr>
          <w:sz w:val="40"/>
          <w:szCs w:val="40"/>
        </w:rPr>
        <w:t xml:space="preserve">        </w:t>
      </w:r>
      <w:r w:rsidRPr="00C93062">
        <w:rPr>
          <w:sz w:val="44"/>
          <w:szCs w:val="44"/>
        </w:rPr>
        <w:t>Accounting Fundamentals Assignment 1</w:t>
      </w:r>
    </w:p>
    <w:p w14:paraId="4A42007E" w14:textId="6119D05E" w:rsidR="00C93062" w:rsidRDefault="00C93062">
      <w:pPr>
        <w:rPr>
          <w:sz w:val="40"/>
          <w:szCs w:val="40"/>
        </w:rPr>
      </w:pPr>
    </w:p>
    <w:p w14:paraId="365B83E2" w14:textId="6FDF57DB" w:rsidR="00C93062" w:rsidRDefault="00C93062">
      <w:pPr>
        <w:rPr>
          <w:sz w:val="40"/>
          <w:szCs w:val="40"/>
        </w:rPr>
      </w:pPr>
    </w:p>
    <w:p w14:paraId="54397582" w14:textId="77777777" w:rsidR="00C93062" w:rsidRDefault="00C93062">
      <w:pPr>
        <w:rPr>
          <w:sz w:val="36"/>
          <w:szCs w:val="36"/>
        </w:rPr>
      </w:pPr>
    </w:p>
    <w:p w14:paraId="663A55D5" w14:textId="77F02E9F" w:rsidR="00C93062" w:rsidRPr="00C93062" w:rsidRDefault="00C93062">
      <w:pPr>
        <w:rPr>
          <w:sz w:val="36"/>
          <w:szCs w:val="36"/>
        </w:rPr>
      </w:pPr>
      <w:proofErr w:type="spellStart"/>
      <w:r w:rsidRPr="00C93062">
        <w:rPr>
          <w:sz w:val="36"/>
          <w:szCs w:val="36"/>
        </w:rPr>
        <w:t>Penka</w:t>
      </w:r>
      <w:proofErr w:type="spellEnd"/>
      <w:r w:rsidRPr="00C93062">
        <w:rPr>
          <w:sz w:val="36"/>
          <w:szCs w:val="36"/>
        </w:rPr>
        <w:t xml:space="preserve"> </w:t>
      </w:r>
      <w:proofErr w:type="spellStart"/>
      <w:r w:rsidRPr="00C93062">
        <w:rPr>
          <w:sz w:val="36"/>
          <w:szCs w:val="36"/>
        </w:rPr>
        <w:t>Murdzheva</w:t>
      </w:r>
      <w:proofErr w:type="spellEnd"/>
    </w:p>
    <w:p w14:paraId="1453C1DE" w14:textId="5B460F11" w:rsidR="00C93062" w:rsidRPr="00C93062" w:rsidRDefault="00C93062">
      <w:pPr>
        <w:rPr>
          <w:sz w:val="36"/>
          <w:szCs w:val="36"/>
        </w:rPr>
      </w:pPr>
      <w:r w:rsidRPr="00C93062">
        <w:rPr>
          <w:sz w:val="36"/>
          <w:szCs w:val="36"/>
        </w:rPr>
        <w:t>Student ID:2122606</w:t>
      </w:r>
    </w:p>
    <w:p w14:paraId="29BCE4DB" w14:textId="5CF13470" w:rsidR="00C93062" w:rsidRPr="00C93062" w:rsidRDefault="00C93062">
      <w:pPr>
        <w:rPr>
          <w:sz w:val="36"/>
          <w:szCs w:val="36"/>
        </w:rPr>
      </w:pPr>
      <w:r w:rsidRPr="00C93062">
        <w:rPr>
          <w:sz w:val="36"/>
          <w:szCs w:val="36"/>
        </w:rPr>
        <w:t xml:space="preserve">Module </w:t>
      </w:r>
      <w:proofErr w:type="gramStart"/>
      <w:r w:rsidRPr="00C93062">
        <w:rPr>
          <w:sz w:val="36"/>
          <w:szCs w:val="36"/>
        </w:rPr>
        <w:t>code:LCBB</w:t>
      </w:r>
      <w:proofErr w:type="gramEnd"/>
      <w:r w:rsidRPr="00C93062">
        <w:rPr>
          <w:sz w:val="36"/>
          <w:szCs w:val="36"/>
        </w:rPr>
        <w:t>4001</w:t>
      </w:r>
    </w:p>
    <w:p w14:paraId="2C758F12" w14:textId="4E8C5044" w:rsidR="00C93062" w:rsidRPr="00C93062" w:rsidRDefault="00C93062">
      <w:pPr>
        <w:rPr>
          <w:sz w:val="36"/>
          <w:szCs w:val="36"/>
        </w:rPr>
      </w:pPr>
      <w:r w:rsidRPr="00C93062">
        <w:rPr>
          <w:sz w:val="36"/>
          <w:szCs w:val="36"/>
        </w:rPr>
        <w:t xml:space="preserve">Module </w:t>
      </w:r>
      <w:proofErr w:type="spellStart"/>
      <w:proofErr w:type="gramStart"/>
      <w:r w:rsidRPr="00C93062">
        <w:rPr>
          <w:sz w:val="36"/>
          <w:szCs w:val="36"/>
        </w:rPr>
        <w:t>lecturer:Mr</w:t>
      </w:r>
      <w:proofErr w:type="gramEnd"/>
      <w:r w:rsidRPr="00C93062">
        <w:rPr>
          <w:sz w:val="36"/>
          <w:szCs w:val="36"/>
        </w:rPr>
        <w:t>.Nadeem</w:t>
      </w:r>
      <w:proofErr w:type="spellEnd"/>
      <w:r w:rsidRPr="00C93062">
        <w:rPr>
          <w:sz w:val="36"/>
          <w:szCs w:val="36"/>
        </w:rPr>
        <w:t xml:space="preserve"> Mirza</w:t>
      </w:r>
    </w:p>
    <w:p w14:paraId="7E1CCD40" w14:textId="77777777" w:rsidR="00E0501E" w:rsidRDefault="00E0501E"/>
    <w:p w14:paraId="31FB1699" w14:textId="77777777" w:rsidR="00E0501E" w:rsidRDefault="00E0501E"/>
    <w:p w14:paraId="089EB949" w14:textId="77777777" w:rsidR="00E0501E" w:rsidRDefault="00E0501E"/>
    <w:p w14:paraId="4C36E6DB" w14:textId="77777777" w:rsidR="00E0501E" w:rsidRDefault="00E0501E"/>
    <w:p w14:paraId="71434861" w14:textId="77777777" w:rsidR="00E0501E" w:rsidRDefault="00E0501E"/>
    <w:p w14:paraId="3D3CB5DD" w14:textId="77777777" w:rsidR="00E0501E" w:rsidRDefault="00E0501E"/>
    <w:p w14:paraId="5D19A63E" w14:textId="77777777" w:rsidR="00E0501E" w:rsidRDefault="00E0501E"/>
    <w:p w14:paraId="3C0B72E3" w14:textId="77777777" w:rsidR="00E0501E" w:rsidRDefault="00E0501E"/>
    <w:p w14:paraId="1E434A8E" w14:textId="77777777" w:rsidR="00E0501E" w:rsidRDefault="00E0501E"/>
    <w:p w14:paraId="168FE621" w14:textId="77777777" w:rsidR="00E0501E" w:rsidRDefault="00E0501E"/>
    <w:p w14:paraId="297C50D6" w14:textId="77777777" w:rsidR="00E0501E" w:rsidRDefault="00E0501E"/>
    <w:p w14:paraId="2135FB35" w14:textId="77777777" w:rsidR="00E0501E" w:rsidRDefault="00E0501E"/>
    <w:p w14:paraId="2EF2F573" w14:textId="77777777" w:rsidR="00E0501E" w:rsidRDefault="00E0501E"/>
    <w:p w14:paraId="39BF0469" w14:textId="77777777" w:rsidR="00E0501E" w:rsidRDefault="00E0501E"/>
    <w:p w14:paraId="7018FC7E" w14:textId="77777777" w:rsidR="00E0501E" w:rsidRDefault="00E0501E"/>
    <w:p w14:paraId="099B7180" w14:textId="77777777" w:rsidR="00E0501E" w:rsidRDefault="00E0501E"/>
    <w:p w14:paraId="2B5DFB91" w14:textId="77777777" w:rsidR="00E0501E" w:rsidRDefault="00E0501E"/>
    <w:p w14:paraId="4F88A8C4" w14:textId="77777777" w:rsidR="00E0501E" w:rsidRDefault="00E0501E"/>
    <w:p w14:paraId="48BF3ECB" w14:textId="77777777" w:rsidR="00E0501E" w:rsidRDefault="00E0501E"/>
    <w:p w14:paraId="6BD8D88C" w14:textId="77777777" w:rsidR="00E0501E" w:rsidRDefault="00E0501E"/>
    <w:p w14:paraId="78F854CA" w14:textId="77777777" w:rsidR="00E0501E" w:rsidRDefault="00E0501E"/>
    <w:p w14:paraId="69D9B2CE" w14:textId="77777777" w:rsidR="00E0501E" w:rsidRDefault="00E0501E"/>
    <w:p w14:paraId="5FAD788D" w14:textId="77777777" w:rsidR="00A66ECD" w:rsidRDefault="00A66ECD"/>
    <w:p w14:paraId="1CF6B2C2" w14:textId="77777777" w:rsidR="00A66ECD" w:rsidRDefault="00A66ECD"/>
    <w:p w14:paraId="3F3487C8" w14:textId="77777777" w:rsidR="00A66ECD" w:rsidRDefault="00A66ECD"/>
    <w:p w14:paraId="5D49CC2F" w14:textId="77777777" w:rsidR="00A66ECD" w:rsidRDefault="00A66ECD"/>
    <w:p w14:paraId="732B20AE" w14:textId="77777777" w:rsidR="00A66ECD" w:rsidRDefault="00A66ECD"/>
    <w:p w14:paraId="5891ABD8" w14:textId="77777777" w:rsidR="00E0501E" w:rsidRDefault="00E0501E"/>
    <w:p w14:paraId="677A6864" w14:textId="77777777" w:rsidR="00E0501E" w:rsidRDefault="00E0501E"/>
    <w:p w14:paraId="5E03A5E2" w14:textId="77777777" w:rsidR="00E0501E" w:rsidRDefault="00E0501E"/>
    <w:sdt>
      <w:sdtPr>
        <w:rPr>
          <w:rFonts w:asciiTheme="minorHAnsi" w:eastAsiaTheme="minorHAnsi" w:hAnsiTheme="minorHAnsi" w:cstheme="minorBidi"/>
          <w:b w:val="0"/>
          <w:bCs w:val="0"/>
          <w:color w:val="auto"/>
          <w:sz w:val="22"/>
          <w:szCs w:val="22"/>
          <w:lang w:val="en-GB"/>
        </w:rPr>
        <w:id w:val="827700220"/>
        <w:docPartObj>
          <w:docPartGallery w:val="Table of Contents"/>
          <w:docPartUnique/>
        </w:docPartObj>
      </w:sdtPr>
      <w:sdtContent>
        <w:p w14:paraId="4CFFBBF9" w14:textId="77777777" w:rsidR="00A66ECD" w:rsidRPr="00A66ECD" w:rsidRDefault="00A66ECD" w:rsidP="00A66ECD">
          <w:pPr>
            <w:pStyle w:val="TOCHeading"/>
            <w:spacing w:after="240" w:line="480" w:lineRule="auto"/>
            <w:jc w:val="both"/>
            <w:rPr>
              <w:rFonts w:ascii="Times New Roman" w:hAnsi="Times New Roman" w:cs="Times New Roman"/>
              <w:b w:val="0"/>
            </w:rPr>
          </w:pPr>
          <w:r w:rsidRPr="00A66ECD">
            <w:rPr>
              <w:rFonts w:ascii="Times New Roman" w:hAnsi="Times New Roman" w:cs="Times New Roman"/>
            </w:rPr>
            <w:t>Table of Contents</w:t>
          </w:r>
        </w:p>
        <w:p w14:paraId="09DB1661" w14:textId="77777777" w:rsidR="00A66ECD" w:rsidRPr="00A66ECD" w:rsidRDefault="00A66ECD" w:rsidP="00A66ECD">
          <w:pPr>
            <w:pStyle w:val="TOC1"/>
            <w:tabs>
              <w:tab w:val="right" w:leader="dot" w:pos="9016"/>
            </w:tabs>
            <w:spacing w:after="240" w:line="480" w:lineRule="auto"/>
            <w:jc w:val="both"/>
            <w:rPr>
              <w:rFonts w:ascii="Times New Roman" w:hAnsi="Times New Roman" w:cs="Times New Roman"/>
              <w:noProof/>
              <w:sz w:val="24"/>
              <w:szCs w:val="24"/>
            </w:rPr>
          </w:pPr>
          <w:r w:rsidRPr="00A66ECD">
            <w:rPr>
              <w:rFonts w:ascii="Times New Roman" w:hAnsi="Times New Roman" w:cs="Times New Roman"/>
            </w:rPr>
            <w:fldChar w:fldCharType="begin"/>
          </w:r>
          <w:r w:rsidRPr="00A66ECD">
            <w:rPr>
              <w:rFonts w:ascii="Times New Roman" w:hAnsi="Times New Roman" w:cs="Times New Roman"/>
            </w:rPr>
            <w:instrText xml:space="preserve"> TOC \o "1-3" \h \z \u </w:instrText>
          </w:r>
          <w:r w:rsidRPr="00A66ECD">
            <w:rPr>
              <w:rFonts w:ascii="Times New Roman" w:hAnsi="Times New Roman" w:cs="Times New Roman"/>
            </w:rPr>
            <w:fldChar w:fldCharType="separate"/>
          </w:r>
          <w:hyperlink w:anchor="_Toc124376060" w:history="1">
            <w:r w:rsidRPr="00A66ECD">
              <w:rPr>
                <w:rStyle w:val="Hyperlink"/>
                <w:rFonts w:ascii="Times New Roman" w:hAnsi="Times New Roman" w:cs="Times New Roman"/>
                <w:noProof/>
                <w:sz w:val="24"/>
                <w:szCs w:val="24"/>
              </w:rPr>
              <w:t>Introduction</w:t>
            </w:r>
            <w:r w:rsidRPr="00A66ECD">
              <w:rPr>
                <w:rFonts w:ascii="Times New Roman" w:hAnsi="Times New Roman" w:cs="Times New Roman"/>
                <w:noProof/>
                <w:webHidden/>
                <w:sz w:val="24"/>
                <w:szCs w:val="24"/>
              </w:rPr>
              <w:tab/>
            </w:r>
            <w:r w:rsidRPr="00A66ECD">
              <w:rPr>
                <w:rFonts w:ascii="Times New Roman" w:hAnsi="Times New Roman" w:cs="Times New Roman"/>
                <w:noProof/>
                <w:webHidden/>
                <w:sz w:val="24"/>
                <w:szCs w:val="24"/>
              </w:rPr>
              <w:fldChar w:fldCharType="begin"/>
            </w:r>
            <w:r w:rsidRPr="00A66ECD">
              <w:rPr>
                <w:rFonts w:ascii="Times New Roman" w:hAnsi="Times New Roman" w:cs="Times New Roman"/>
                <w:noProof/>
                <w:webHidden/>
                <w:sz w:val="24"/>
                <w:szCs w:val="24"/>
              </w:rPr>
              <w:instrText xml:space="preserve"> PAGEREF _Toc124376060 \h </w:instrText>
            </w:r>
            <w:r w:rsidRPr="00A66ECD">
              <w:rPr>
                <w:rFonts w:ascii="Times New Roman" w:hAnsi="Times New Roman" w:cs="Times New Roman"/>
                <w:noProof/>
                <w:webHidden/>
                <w:sz w:val="24"/>
                <w:szCs w:val="24"/>
              </w:rPr>
            </w:r>
            <w:r w:rsidRPr="00A66ECD">
              <w:rPr>
                <w:rFonts w:ascii="Times New Roman" w:hAnsi="Times New Roman" w:cs="Times New Roman"/>
                <w:noProof/>
                <w:webHidden/>
                <w:sz w:val="24"/>
                <w:szCs w:val="24"/>
              </w:rPr>
              <w:fldChar w:fldCharType="separate"/>
            </w:r>
            <w:r w:rsidRPr="00A66ECD">
              <w:rPr>
                <w:rFonts w:ascii="Times New Roman" w:hAnsi="Times New Roman" w:cs="Times New Roman"/>
                <w:noProof/>
                <w:webHidden/>
                <w:sz w:val="24"/>
                <w:szCs w:val="24"/>
              </w:rPr>
              <w:t>3</w:t>
            </w:r>
            <w:r w:rsidRPr="00A66ECD">
              <w:rPr>
                <w:rFonts w:ascii="Times New Roman" w:hAnsi="Times New Roman" w:cs="Times New Roman"/>
                <w:noProof/>
                <w:webHidden/>
                <w:sz w:val="24"/>
                <w:szCs w:val="24"/>
              </w:rPr>
              <w:fldChar w:fldCharType="end"/>
            </w:r>
          </w:hyperlink>
        </w:p>
        <w:p w14:paraId="34F62F53" w14:textId="77777777" w:rsidR="00A66ECD" w:rsidRPr="00A66ECD" w:rsidRDefault="00000000" w:rsidP="00A66ECD">
          <w:pPr>
            <w:pStyle w:val="TOC1"/>
            <w:tabs>
              <w:tab w:val="right" w:leader="dot" w:pos="9016"/>
            </w:tabs>
            <w:spacing w:after="240" w:line="480" w:lineRule="auto"/>
            <w:jc w:val="both"/>
            <w:rPr>
              <w:rFonts w:ascii="Times New Roman" w:hAnsi="Times New Roman" w:cs="Times New Roman"/>
              <w:noProof/>
              <w:sz w:val="24"/>
              <w:szCs w:val="24"/>
            </w:rPr>
          </w:pPr>
          <w:hyperlink w:anchor="_Toc124376061" w:history="1">
            <w:r w:rsidR="00A66ECD" w:rsidRPr="00A66ECD">
              <w:rPr>
                <w:rStyle w:val="Hyperlink"/>
                <w:rFonts w:ascii="Times New Roman" w:hAnsi="Times New Roman" w:cs="Times New Roman"/>
                <w:noProof/>
                <w:sz w:val="24"/>
                <w:szCs w:val="24"/>
              </w:rPr>
              <w:t>Question 1</w:t>
            </w:r>
            <w:r w:rsidR="00A66ECD" w:rsidRPr="00A66ECD">
              <w:rPr>
                <w:rFonts w:ascii="Times New Roman" w:hAnsi="Times New Roman" w:cs="Times New Roman"/>
                <w:noProof/>
                <w:webHidden/>
                <w:sz w:val="24"/>
                <w:szCs w:val="24"/>
              </w:rPr>
              <w:tab/>
            </w:r>
            <w:r w:rsidR="00A66ECD" w:rsidRPr="00A66ECD">
              <w:rPr>
                <w:rFonts w:ascii="Times New Roman" w:hAnsi="Times New Roman" w:cs="Times New Roman"/>
                <w:noProof/>
                <w:webHidden/>
                <w:sz w:val="24"/>
                <w:szCs w:val="24"/>
              </w:rPr>
              <w:fldChar w:fldCharType="begin"/>
            </w:r>
            <w:r w:rsidR="00A66ECD" w:rsidRPr="00A66ECD">
              <w:rPr>
                <w:rFonts w:ascii="Times New Roman" w:hAnsi="Times New Roman" w:cs="Times New Roman"/>
                <w:noProof/>
                <w:webHidden/>
                <w:sz w:val="24"/>
                <w:szCs w:val="24"/>
              </w:rPr>
              <w:instrText xml:space="preserve"> PAGEREF _Toc124376061 \h </w:instrText>
            </w:r>
            <w:r w:rsidR="00A66ECD" w:rsidRPr="00A66ECD">
              <w:rPr>
                <w:rFonts w:ascii="Times New Roman" w:hAnsi="Times New Roman" w:cs="Times New Roman"/>
                <w:noProof/>
                <w:webHidden/>
                <w:sz w:val="24"/>
                <w:szCs w:val="24"/>
              </w:rPr>
            </w:r>
            <w:r w:rsidR="00A66ECD" w:rsidRPr="00A66ECD">
              <w:rPr>
                <w:rFonts w:ascii="Times New Roman" w:hAnsi="Times New Roman" w:cs="Times New Roman"/>
                <w:noProof/>
                <w:webHidden/>
                <w:sz w:val="24"/>
                <w:szCs w:val="24"/>
              </w:rPr>
              <w:fldChar w:fldCharType="separate"/>
            </w:r>
            <w:r w:rsidR="00A66ECD" w:rsidRPr="00A66ECD">
              <w:rPr>
                <w:rFonts w:ascii="Times New Roman" w:hAnsi="Times New Roman" w:cs="Times New Roman"/>
                <w:noProof/>
                <w:webHidden/>
                <w:sz w:val="24"/>
                <w:szCs w:val="24"/>
              </w:rPr>
              <w:t>3</w:t>
            </w:r>
            <w:r w:rsidR="00A66ECD" w:rsidRPr="00A66ECD">
              <w:rPr>
                <w:rFonts w:ascii="Times New Roman" w:hAnsi="Times New Roman" w:cs="Times New Roman"/>
                <w:noProof/>
                <w:webHidden/>
                <w:sz w:val="24"/>
                <w:szCs w:val="24"/>
              </w:rPr>
              <w:fldChar w:fldCharType="end"/>
            </w:r>
          </w:hyperlink>
        </w:p>
        <w:p w14:paraId="638263CF" w14:textId="77777777" w:rsidR="00A66ECD" w:rsidRPr="00A66ECD" w:rsidRDefault="00000000" w:rsidP="00A66ECD">
          <w:pPr>
            <w:pStyle w:val="TOC1"/>
            <w:tabs>
              <w:tab w:val="right" w:leader="dot" w:pos="9016"/>
            </w:tabs>
            <w:spacing w:after="240" w:line="480" w:lineRule="auto"/>
            <w:jc w:val="both"/>
            <w:rPr>
              <w:rFonts w:ascii="Times New Roman" w:hAnsi="Times New Roman" w:cs="Times New Roman"/>
              <w:noProof/>
              <w:sz w:val="24"/>
              <w:szCs w:val="24"/>
            </w:rPr>
          </w:pPr>
          <w:hyperlink w:anchor="_Toc124376062" w:history="1">
            <w:r w:rsidR="00A66ECD" w:rsidRPr="00A66ECD">
              <w:rPr>
                <w:rStyle w:val="Hyperlink"/>
                <w:rFonts w:ascii="Times New Roman" w:hAnsi="Times New Roman" w:cs="Times New Roman"/>
                <w:noProof/>
                <w:sz w:val="24"/>
                <w:szCs w:val="24"/>
              </w:rPr>
              <w:t>Question 2</w:t>
            </w:r>
            <w:r w:rsidR="00A66ECD" w:rsidRPr="00A66ECD">
              <w:rPr>
                <w:rFonts w:ascii="Times New Roman" w:hAnsi="Times New Roman" w:cs="Times New Roman"/>
                <w:noProof/>
                <w:webHidden/>
                <w:sz w:val="24"/>
                <w:szCs w:val="24"/>
              </w:rPr>
              <w:tab/>
            </w:r>
            <w:r w:rsidR="00A66ECD" w:rsidRPr="00A66ECD">
              <w:rPr>
                <w:rFonts w:ascii="Times New Roman" w:hAnsi="Times New Roman" w:cs="Times New Roman"/>
                <w:noProof/>
                <w:webHidden/>
                <w:sz w:val="24"/>
                <w:szCs w:val="24"/>
              </w:rPr>
              <w:fldChar w:fldCharType="begin"/>
            </w:r>
            <w:r w:rsidR="00A66ECD" w:rsidRPr="00A66ECD">
              <w:rPr>
                <w:rFonts w:ascii="Times New Roman" w:hAnsi="Times New Roman" w:cs="Times New Roman"/>
                <w:noProof/>
                <w:webHidden/>
                <w:sz w:val="24"/>
                <w:szCs w:val="24"/>
              </w:rPr>
              <w:instrText xml:space="preserve"> PAGEREF _Toc124376062 \h </w:instrText>
            </w:r>
            <w:r w:rsidR="00A66ECD" w:rsidRPr="00A66ECD">
              <w:rPr>
                <w:rFonts w:ascii="Times New Roman" w:hAnsi="Times New Roman" w:cs="Times New Roman"/>
                <w:noProof/>
                <w:webHidden/>
                <w:sz w:val="24"/>
                <w:szCs w:val="24"/>
              </w:rPr>
            </w:r>
            <w:r w:rsidR="00A66ECD" w:rsidRPr="00A66ECD">
              <w:rPr>
                <w:rFonts w:ascii="Times New Roman" w:hAnsi="Times New Roman" w:cs="Times New Roman"/>
                <w:noProof/>
                <w:webHidden/>
                <w:sz w:val="24"/>
                <w:szCs w:val="24"/>
              </w:rPr>
              <w:fldChar w:fldCharType="separate"/>
            </w:r>
            <w:r w:rsidR="00A66ECD" w:rsidRPr="00A66ECD">
              <w:rPr>
                <w:rFonts w:ascii="Times New Roman" w:hAnsi="Times New Roman" w:cs="Times New Roman"/>
                <w:noProof/>
                <w:webHidden/>
                <w:sz w:val="24"/>
                <w:szCs w:val="24"/>
              </w:rPr>
              <w:t>6</w:t>
            </w:r>
            <w:r w:rsidR="00A66ECD" w:rsidRPr="00A66ECD">
              <w:rPr>
                <w:rFonts w:ascii="Times New Roman" w:hAnsi="Times New Roman" w:cs="Times New Roman"/>
                <w:noProof/>
                <w:webHidden/>
                <w:sz w:val="24"/>
                <w:szCs w:val="24"/>
              </w:rPr>
              <w:fldChar w:fldCharType="end"/>
            </w:r>
          </w:hyperlink>
        </w:p>
        <w:p w14:paraId="1C3BE22E" w14:textId="77777777" w:rsidR="00A66ECD" w:rsidRPr="00A66ECD" w:rsidRDefault="00000000" w:rsidP="00A66ECD">
          <w:pPr>
            <w:pStyle w:val="TOC1"/>
            <w:tabs>
              <w:tab w:val="right" w:leader="dot" w:pos="9016"/>
            </w:tabs>
            <w:spacing w:after="240" w:line="480" w:lineRule="auto"/>
            <w:jc w:val="both"/>
            <w:rPr>
              <w:rFonts w:ascii="Times New Roman" w:hAnsi="Times New Roman" w:cs="Times New Roman"/>
              <w:noProof/>
              <w:sz w:val="24"/>
              <w:szCs w:val="24"/>
            </w:rPr>
          </w:pPr>
          <w:hyperlink w:anchor="_Toc124376063" w:history="1">
            <w:r w:rsidR="00A66ECD" w:rsidRPr="00A66ECD">
              <w:rPr>
                <w:rStyle w:val="Hyperlink"/>
                <w:rFonts w:ascii="Times New Roman" w:hAnsi="Times New Roman" w:cs="Times New Roman"/>
                <w:noProof/>
                <w:sz w:val="24"/>
                <w:szCs w:val="24"/>
              </w:rPr>
              <w:t>References</w:t>
            </w:r>
            <w:r w:rsidR="00A66ECD" w:rsidRPr="00A66ECD">
              <w:rPr>
                <w:rFonts w:ascii="Times New Roman" w:hAnsi="Times New Roman" w:cs="Times New Roman"/>
                <w:noProof/>
                <w:webHidden/>
                <w:sz w:val="24"/>
                <w:szCs w:val="24"/>
              </w:rPr>
              <w:tab/>
            </w:r>
            <w:r w:rsidR="00A66ECD" w:rsidRPr="00A66ECD">
              <w:rPr>
                <w:rFonts w:ascii="Times New Roman" w:hAnsi="Times New Roman" w:cs="Times New Roman"/>
                <w:noProof/>
                <w:webHidden/>
                <w:sz w:val="24"/>
                <w:szCs w:val="24"/>
              </w:rPr>
              <w:fldChar w:fldCharType="begin"/>
            </w:r>
            <w:r w:rsidR="00A66ECD" w:rsidRPr="00A66ECD">
              <w:rPr>
                <w:rFonts w:ascii="Times New Roman" w:hAnsi="Times New Roman" w:cs="Times New Roman"/>
                <w:noProof/>
                <w:webHidden/>
                <w:sz w:val="24"/>
                <w:szCs w:val="24"/>
              </w:rPr>
              <w:instrText xml:space="preserve"> PAGEREF _Toc124376063 \h </w:instrText>
            </w:r>
            <w:r w:rsidR="00A66ECD" w:rsidRPr="00A66ECD">
              <w:rPr>
                <w:rFonts w:ascii="Times New Roman" w:hAnsi="Times New Roman" w:cs="Times New Roman"/>
                <w:noProof/>
                <w:webHidden/>
                <w:sz w:val="24"/>
                <w:szCs w:val="24"/>
              </w:rPr>
            </w:r>
            <w:r w:rsidR="00A66ECD" w:rsidRPr="00A66ECD">
              <w:rPr>
                <w:rFonts w:ascii="Times New Roman" w:hAnsi="Times New Roman" w:cs="Times New Roman"/>
                <w:noProof/>
                <w:webHidden/>
                <w:sz w:val="24"/>
                <w:szCs w:val="24"/>
              </w:rPr>
              <w:fldChar w:fldCharType="separate"/>
            </w:r>
            <w:r w:rsidR="00A66ECD" w:rsidRPr="00A66ECD">
              <w:rPr>
                <w:rFonts w:ascii="Times New Roman" w:hAnsi="Times New Roman" w:cs="Times New Roman"/>
                <w:noProof/>
                <w:webHidden/>
                <w:sz w:val="24"/>
                <w:szCs w:val="24"/>
              </w:rPr>
              <w:t>11</w:t>
            </w:r>
            <w:r w:rsidR="00A66ECD" w:rsidRPr="00A66ECD">
              <w:rPr>
                <w:rFonts w:ascii="Times New Roman" w:hAnsi="Times New Roman" w:cs="Times New Roman"/>
                <w:noProof/>
                <w:webHidden/>
                <w:sz w:val="24"/>
                <w:szCs w:val="24"/>
              </w:rPr>
              <w:fldChar w:fldCharType="end"/>
            </w:r>
          </w:hyperlink>
        </w:p>
        <w:p w14:paraId="4060BA5B" w14:textId="77777777" w:rsidR="00A66ECD" w:rsidRDefault="00A66ECD" w:rsidP="00A66ECD">
          <w:pPr>
            <w:spacing w:after="240" w:line="480" w:lineRule="auto"/>
            <w:jc w:val="both"/>
          </w:pPr>
          <w:r w:rsidRPr="00A66ECD">
            <w:rPr>
              <w:rFonts w:ascii="Times New Roman" w:hAnsi="Times New Roman" w:cs="Times New Roman"/>
            </w:rPr>
            <w:fldChar w:fldCharType="end"/>
          </w:r>
        </w:p>
      </w:sdtContent>
    </w:sdt>
    <w:p w14:paraId="59D9FF03" w14:textId="77777777" w:rsidR="00E0501E" w:rsidRDefault="00E0501E"/>
    <w:p w14:paraId="1B18FAA5" w14:textId="77777777" w:rsidR="00A66ECD" w:rsidRDefault="00A66ECD"/>
    <w:p w14:paraId="28545CA4" w14:textId="77777777" w:rsidR="00A66ECD" w:rsidRDefault="00A66ECD"/>
    <w:p w14:paraId="4772CB1B" w14:textId="77777777" w:rsidR="00A66ECD" w:rsidRDefault="00A66ECD"/>
    <w:p w14:paraId="19E6A83F" w14:textId="77777777" w:rsidR="00A66ECD" w:rsidRDefault="00A66ECD"/>
    <w:p w14:paraId="40D13FC5" w14:textId="77777777" w:rsidR="00A66ECD" w:rsidRDefault="00A66ECD"/>
    <w:p w14:paraId="36883BF6" w14:textId="77777777" w:rsidR="00A66ECD" w:rsidRDefault="00A66ECD"/>
    <w:p w14:paraId="23712C94" w14:textId="77777777" w:rsidR="00A66ECD" w:rsidRDefault="00A66ECD"/>
    <w:p w14:paraId="47C7E5EF" w14:textId="77777777" w:rsidR="00A66ECD" w:rsidRDefault="00A66ECD"/>
    <w:p w14:paraId="5ACCD631" w14:textId="77777777" w:rsidR="00A66ECD" w:rsidRDefault="00A66ECD"/>
    <w:p w14:paraId="7F4203DE" w14:textId="77777777" w:rsidR="00A66ECD" w:rsidRDefault="00A66ECD"/>
    <w:p w14:paraId="229B5556" w14:textId="77777777" w:rsidR="00A66ECD" w:rsidRDefault="00A66ECD"/>
    <w:p w14:paraId="3C25771E" w14:textId="77777777" w:rsidR="00A66ECD" w:rsidRDefault="00A66ECD"/>
    <w:p w14:paraId="0457A08E" w14:textId="77777777" w:rsidR="00A66ECD" w:rsidRDefault="00A66ECD"/>
    <w:p w14:paraId="30B71538" w14:textId="77777777" w:rsidR="00A66ECD" w:rsidRDefault="00A66ECD"/>
    <w:p w14:paraId="7AB5D092" w14:textId="77777777" w:rsidR="00A66ECD" w:rsidRDefault="00A66ECD"/>
    <w:p w14:paraId="2C0F58F7" w14:textId="77777777" w:rsidR="00A66ECD" w:rsidRDefault="00A66ECD"/>
    <w:p w14:paraId="63D4D32C" w14:textId="77777777" w:rsidR="00A66ECD" w:rsidRDefault="00A66ECD"/>
    <w:p w14:paraId="76B617D9" w14:textId="77777777" w:rsidR="00E0501E" w:rsidRDefault="00E0501E"/>
    <w:p w14:paraId="42BDCA01" w14:textId="77777777" w:rsidR="00E0501E" w:rsidRPr="00A66ECD" w:rsidRDefault="00E0501E" w:rsidP="00A66ECD">
      <w:pPr>
        <w:pStyle w:val="Heading1"/>
        <w:spacing w:after="240" w:line="360" w:lineRule="auto"/>
        <w:jc w:val="both"/>
        <w:rPr>
          <w:rFonts w:ascii="Times New Roman" w:hAnsi="Times New Roman" w:cs="Times New Roman"/>
          <w:b/>
          <w:sz w:val="28"/>
          <w:szCs w:val="28"/>
        </w:rPr>
      </w:pPr>
      <w:bookmarkStart w:id="0" w:name="_Toc124376060"/>
      <w:r w:rsidRPr="00A66ECD">
        <w:rPr>
          <w:rFonts w:ascii="Times New Roman" w:hAnsi="Times New Roman" w:cs="Times New Roman"/>
          <w:b/>
          <w:sz w:val="28"/>
          <w:szCs w:val="28"/>
        </w:rPr>
        <w:t>Introduction</w:t>
      </w:r>
      <w:bookmarkEnd w:id="0"/>
    </w:p>
    <w:p w14:paraId="05FB710B" w14:textId="77777777" w:rsidR="00EE24E5" w:rsidRPr="00A66ECD" w:rsidRDefault="00322E06" w:rsidP="00A66ECD">
      <w:pPr>
        <w:spacing w:after="240" w:line="360" w:lineRule="auto"/>
        <w:jc w:val="both"/>
        <w:rPr>
          <w:rFonts w:ascii="Times New Roman" w:hAnsi="Times New Roman" w:cs="Times New Roman"/>
          <w:sz w:val="24"/>
          <w:szCs w:val="24"/>
        </w:rPr>
      </w:pPr>
      <w:r w:rsidRPr="00A66ECD">
        <w:rPr>
          <w:rFonts w:ascii="Times New Roman" w:hAnsi="Times New Roman" w:cs="Times New Roman"/>
          <w:sz w:val="24"/>
          <w:szCs w:val="24"/>
        </w:rPr>
        <w:t xml:space="preserve">By definition, accounting is an information system which is engaged in measuring, processing and communicating financial information about the business (Needles et al., 2014). </w:t>
      </w:r>
      <w:r w:rsidR="00F60A96" w:rsidRPr="00A66ECD">
        <w:rPr>
          <w:rFonts w:ascii="Times New Roman" w:hAnsi="Times New Roman" w:cs="Times New Roman"/>
          <w:sz w:val="24"/>
          <w:szCs w:val="24"/>
        </w:rPr>
        <w:t>Accountants emphasise on the needs of various fin</w:t>
      </w:r>
      <w:r w:rsidR="00A66ECD" w:rsidRPr="00A66ECD">
        <w:rPr>
          <w:rFonts w:ascii="Times New Roman" w:hAnsi="Times New Roman" w:cs="Times New Roman"/>
          <w:sz w:val="24"/>
          <w:szCs w:val="24"/>
        </w:rPr>
        <w:t xml:space="preserve">ancial data of different users – </w:t>
      </w:r>
      <w:r w:rsidR="00F60A96" w:rsidRPr="00A66ECD">
        <w:rPr>
          <w:rFonts w:ascii="Times New Roman" w:hAnsi="Times New Roman" w:cs="Times New Roman"/>
          <w:sz w:val="24"/>
          <w:szCs w:val="24"/>
        </w:rPr>
        <w:t>both internal and e</w:t>
      </w:r>
      <w:r w:rsidR="00A66ECD" w:rsidRPr="00A66ECD">
        <w:rPr>
          <w:rFonts w:ascii="Times New Roman" w:hAnsi="Times New Roman" w:cs="Times New Roman"/>
          <w:sz w:val="24"/>
          <w:szCs w:val="24"/>
        </w:rPr>
        <w:t xml:space="preserve">xternal – </w:t>
      </w:r>
      <w:r w:rsidR="00F60A96" w:rsidRPr="00A66ECD">
        <w:rPr>
          <w:rFonts w:ascii="Times New Roman" w:hAnsi="Times New Roman" w:cs="Times New Roman"/>
          <w:sz w:val="24"/>
          <w:szCs w:val="24"/>
        </w:rPr>
        <w:t xml:space="preserve">and prepare financial statements and reports to address them. The two main distinctive types of accounting are management and financial. Financial accounting focuses on the preparation of specific, standardised financial statements reflecting the performance and transactions of a business and follows pre-defined standards (Needles et al., 2014). </w:t>
      </w:r>
      <w:r w:rsidR="00EE24E5" w:rsidRPr="00A66ECD">
        <w:rPr>
          <w:rFonts w:ascii="Times New Roman" w:hAnsi="Times New Roman" w:cs="Times New Roman"/>
          <w:sz w:val="24"/>
          <w:szCs w:val="24"/>
        </w:rPr>
        <w:t xml:space="preserve">An example of a financial accounting task is the preparation of the income statement and statement of financial position. </w:t>
      </w:r>
      <w:r w:rsidR="00F60A96" w:rsidRPr="00A66ECD">
        <w:rPr>
          <w:rFonts w:ascii="Times New Roman" w:hAnsi="Times New Roman" w:cs="Times New Roman"/>
          <w:sz w:val="24"/>
          <w:szCs w:val="24"/>
        </w:rPr>
        <w:t>Management accounting prepares different reports depending on the managerial needs for decision-making</w:t>
      </w:r>
      <w:r w:rsidR="00EE24E5" w:rsidRPr="00A66ECD">
        <w:rPr>
          <w:rFonts w:ascii="Times New Roman" w:hAnsi="Times New Roman" w:cs="Times New Roman"/>
          <w:sz w:val="24"/>
          <w:szCs w:val="24"/>
        </w:rPr>
        <w:t xml:space="preserve"> (Needles et al., 2014)</w:t>
      </w:r>
      <w:r w:rsidR="00F60A96" w:rsidRPr="00A66ECD">
        <w:rPr>
          <w:rFonts w:ascii="Times New Roman" w:hAnsi="Times New Roman" w:cs="Times New Roman"/>
          <w:sz w:val="24"/>
          <w:szCs w:val="24"/>
        </w:rPr>
        <w:t xml:space="preserve">. The format of the reports is not standardised and can vary significantly across organisations. An example of a managerial accounting report is ratio analysis. </w:t>
      </w:r>
    </w:p>
    <w:p w14:paraId="1A2C5CF5" w14:textId="77777777" w:rsidR="00EE24E5" w:rsidRPr="00A66ECD" w:rsidRDefault="00EE24E5" w:rsidP="00A66ECD">
      <w:pPr>
        <w:pStyle w:val="Heading1"/>
        <w:spacing w:after="240" w:line="360" w:lineRule="auto"/>
        <w:jc w:val="both"/>
        <w:rPr>
          <w:rFonts w:ascii="Times New Roman" w:hAnsi="Times New Roman" w:cs="Times New Roman"/>
          <w:b/>
          <w:sz w:val="24"/>
          <w:szCs w:val="24"/>
        </w:rPr>
      </w:pPr>
      <w:bookmarkStart w:id="1" w:name="_Toc124376061"/>
      <w:r w:rsidRPr="00A66ECD">
        <w:rPr>
          <w:rFonts w:ascii="Times New Roman" w:hAnsi="Times New Roman" w:cs="Times New Roman"/>
          <w:b/>
          <w:sz w:val="24"/>
          <w:szCs w:val="24"/>
        </w:rPr>
        <w:t>Question 1</w:t>
      </w:r>
      <w:bookmarkEnd w:id="1"/>
    </w:p>
    <w:p w14:paraId="32F6F20E" w14:textId="77777777" w:rsidR="00A66ECD" w:rsidRDefault="005F1998" w:rsidP="00A66ECD">
      <w:pPr>
        <w:spacing w:after="240" w:line="360" w:lineRule="auto"/>
        <w:jc w:val="both"/>
        <w:rPr>
          <w:rFonts w:ascii="Times New Roman" w:hAnsi="Times New Roman" w:cs="Times New Roman"/>
          <w:sz w:val="24"/>
          <w:szCs w:val="24"/>
        </w:rPr>
      </w:pPr>
      <w:r w:rsidRPr="00A66ECD">
        <w:rPr>
          <w:rFonts w:ascii="Times New Roman" w:hAnsi="Times New Roman" w:cs="Times New Roman"/>
          <w:sz w:val="24"/>
          <w:szCs w:val="24"/>
        </w:rPr>
        <w:t xml:space="preserve">a) </w:t>
      </w:r>
      <w:r w:rsidR="00237B83" w:rsidRPr="00A66ECD">
        <w:rPr>
          <w:rFonts w:ascii="Times New Roman" w:hAnsi="Times New Roman" w:cs="Times New Roman"/>
          <w:sz w:val="24"/>
          <w:szCs w:val="24"/>
        </w:rPr>
        <w:t xml:space="preserve">The income statement is a document showing the revenues earned and expenses occurred for the business for a certain period, usually a year (Needles et al., 2014). It shows the profit made by the business for the period, considering all costs and revenues incurred. This is why, </w:t>
      </w:r>
      <w:r w:rsidR="00237B83" w:rsidRPr="00A66ECD">
        <w:rPr>
          <w:rFonts w:ascii="Times New Roman" w:hAnsi="Times New Roman" w:cs="Times New Roman"/>
          <w:sz w:val="24"/>
          <w:szCs w:val="24"/>
        </w:rPr>
        <w:lastRenderedPageBreak/>
        <w:t xml:space="preserve">it is believed to be one of the most important accounting statements – it provides an overview about the profitability of the business along with its sales, cost of sales, operating expenses, non-operating expenses, taxes and dividends paid (if any). </w:t>
      </w:r>
    </w:p>
    <w:p w14:paraId="46B0CEC3" w14:textId="77777777" w:rsidR="00EE24E5" w:rsidRDefault="00237B83" w:rsidP="00A66ECD">
      <w:pPr>
        <w:spacing w:after="240" w:line="360" w:lineRule="auto"/>
        <w:jc w:val="both"/>
        <w:rPr>
          <w:rFonts w:ascii="Times New Roman" w:hAnsi="Times New Roman" w:cs="Times New Roman"/>
          <w:sz w:val="24"/>
          <w:szCs w:val="24"/>
        </w:rPr>
      </w:pPr>
      <w:r w:rsidRPr="00A66ECD">
        <w:rPr>
          <w:rFonts w:ascii="Times New Roman" w:hAnsi="Times New Roman" w:cs="Times New Roman"/>
          <w:sz w:val="24"/>
          <w:szCs w:val="24"/>
        </w:rPr>
        <w:t>The income statement of Wales Pls for the year ended 31</w:t>
      </w:r>
      <w:r w:rsidRPr="00A66ECD">
        <w:rPr>
          <w:rFonts w:ascii="Times New Roman" w:hAnsi="Times New Roman" w:cs="Times New Roman"/>
          <w:sz w:val="24"/>
          <w:szCs w:val="24"/>
          <w:vertAlign w:val="superscript"/>
        </w:rPr>
        <w:t>st</w:t>
      </w:r>
      <w:r w:rsidRPr="00A66ECD">
        <w:rPr>
          <w:rFonts w:ascii="Times New Roman" w:hAnsi="Times New Roman" w:cs="Times New Roman"/>
          <w:sz w:val="24"/>
          <w:szCs w:val="24"/>
        </w:rPr>
        <w:t xml:space="preserve"> of December 2021 is shown below.</w:t>
      </w:r>
    </w:p>
    <w:p w14:paraId="07F8FA37" w14:textId="77777777" w:rsidR="00A66ECD" w:rsidRDefault="00A66ECD" w:rsidP="00A66ECD">
      <w:pPr>
        <w:spacing w:after="240" w:line="360" w:lineRule="auto"/>
        <w:jc w:val="both"/>
        <w:rPr>
          <w:rFonts w:ascii="Times New Roman" w:hAnsi="Times New Roman" w:cs="Times New Roman"/>
          <w:sz w:val="24"/>
          <w:szCs w:val="24"/>
        </w:rPr>
      </w:pPr>
    </w:p>
    <w:p w14:paraId="75A3CE9E" w14:textId="77777777" w:rsidR="00A66ECD" w:rsidRDefault="00A66ECD" w:rsidP="00A66ECD">
      <w:pPr>
        <w:spacing w:after="240" w:line="360" w:lineRule="auto"/>
        <w:jc w:val="both"/>
        <w:rPr>
          <w:rFonts w:ascii="Times New Roman" w:hAnsi="Times New Roman" w:cs="Times New Roman"/>
          <w:sz w:val="24"/>
          <w:szCs w:val="24"/>
        </w:rPr>
      </w:pPr>
    </w:p>
    <w:p w14:paraId="283A7DE8" w14:textId="77777777" w:rsidR="00A66ECD" w:rsidRDefault="00A66ECD" w:rsidP="00A66ECD">
      <w:pPr>
        <w:spacing w:after="240" w:line="360" w:lineRule="auto"/>
        <w:jc w:val="both"/>
        <w:rPr>
          <w:rFonts w:ascii="Times New Roman" w:hAnsi="Times New Roman" w:cs="Times New Roman"/>
          <w:sz w:val="24"/>
          <w:szCs w:val="24"/>
        </w:rPr>
      </w:pPr>
    </w:p>
    <w:p w14:paraId="66FD0685" w14:textId="77777777" w:rsidR="00A66ECD" w:rsidRDefault="00A66ECD" w:rsidP="00A66ECD">
      <w:pPr>
        <w:spacing w:after="240" w:line="360" w:lineRule="auto"/>
        <w:jc w:val="both"/>
        <w:rPr>
          <w:rFonts w:ascii="Times New Roman" w:hAnsi="Times New Roman" w:cs="Times New Roman"/>
          <w:sz w:val="24"/>
          <w:szCs w:val="24"/>
        </w:rPr>
      </w:pPr>
    </w:p>
    <w:p w14:paraId="13F002F9" w14:textId="77777777" w:rsidR="00A66ECD" w:rsidRDefault="00A66ECD" w:rsidP="00A66ECD">
      <w:pPr>
        <w:spacing w:after="240" w:line="360" w:lineRule="auto"/>
        <w:jc w:val="both"/>
        <w:rPr>
          <w:rFonts w:ascii="Times New Roman" w:hAnsi="Times New Roman" w:cs="Times New Roman"/>
          <w:sz w:val="24"/>
          <w:szCs w:val="24"/>
        </w:rPr>
      </w:pPr>
    </w:p>
    <w:p w14:paraId="79AEB816" w14:textId="77777777" w:rsidR="00A66ECD" w:rsidRPr="00A66ECD" w:rsidRDefault="00A66ECD" w:rsidP="00A66ECD">
      <w:pPr>
        <w:spacing w:after="240" w:line="360" w:lineRule="auto"/>
        <w:jc w:val="both"/>
        <w:rPr>
          <w:rFonts w:ascii="Times New Roman" w:hAnsi="Times New Roman" w:cs="Times New Roman"/>
          <w:sz w:val="24"/>
          <w:szCs w:val="24"/>
        </w:rPr>
      </w:pPr>
    </w:p>
    <w:tbl>
      <w:tblPr>
        <w:tblW w:w="5840" w:type="dxa"/>
        <w:tblLook w:val="04A0" w:firstRow="1" w:lastRow="0" w:firstColumn="1" w:lastColumn="0" w:noHBand="0" w:noVBand="1"/>
      </w:tblPr>
      <w:tblGrid>
        <w:gridCol w:w="3924"/>
        <w:gridCol w:w="1916"/>
      </w:tblGrid>
      <w:tr w:rsidR="00237B83" w:rsidRPr="00A66ECD" w14:paraId="291DDD0E" w14:textId="77777777" w:rsidTr="00237B83">
        <w:trPr>
          <w:trHeight w:val="615"/>
        </w:trPr>
        <w:tc>
          <w:tcPr>
            <w:tcW w:w="5840" w:type="dxa"/>
            <w:gridSpan w:val="2"/>
            <w:tcBorders>
              <w:top w:val="nil"/>
              <w:left w:val="nil"/>
              <w:bottom w:val="nil"/>
              <w:right w:val="nil"/>
            </w:tcBorders>
            <w:shd w:val="clear" w:color="auto" w:fill="auto"/>
            <w:noWrap/>
            <w:vAlign w:val="bottom"/>
            <w:hideMark/>
          </w:tcPr>
          <w:p w14:paraId="3ED91595" w14:textId="77777777" w:rsidR="00237B83" w:rsidRPr="00A66ECD" w:rsidRDefault="00237B83" w:rsidP="00A66ECD">
            <w:pPr>
              <w:spacing w:after="0" w:line="276" w:lineRule="auto"/>
              <w:jc w:val="both"/>
              <w:rPr>
                <w:rFonts w:ascii="Times New Roman" w:eastAsia="Times New Roman" w:hAnsi="Times New Roman" w:cs="Times New Roman"/>
                <w:b/>
                <w:bCs/>
                <w:color w:val="000000"/>
                <w:sz w:val="24"/>
                <w:szCs w:val="24"/>
                <w:lang w:eastAsia="en-GB"/>
              </w:rPr>
            </w:pPr>
            <w:r w:rsidRPr="00A66ECD">
              <w:rPr>
                <w:rFonts w:ascii="Times New Roman" w:eastAsia="Times New Roman" w:hAnsi="Times New Roman" w:cs="Times New Roman"/>
                <w:b/>
                <w:bCs/>
                <w:color w:val="000000"/>
                <w:sz w:val="24"/>
                <w:szCs w:val="24"/>
                <w:lang w:eastAsia="en-GB"/>
              </w:rPr>
              <w:t>Income statement for the year ended 31st December 2021 for Wales Plc</w:t>
            </w:r>
          </w:p>
        </w:tc>
      </w:tr>
      <w:tr w:rsidR="00237B83" w:rsidRPr="00A66ECD" w14:paraId="0FE6ECA4" w14:textId="77777777" w:rsidTr="00237B83">
        <w:trPr>
          <w:trHeight w:val="300"/>
        </w:trPr>
        <w:tc>
          <w:tcPr>
            <w:tcW w:w="3924" w:type="dxa"/>
            <w:tcBorders>
              <w:top w:val="nil"/>
              <w:left w:val="nil"/>
              <w:bottom w:val="nil"/>
              <w:right w:val="nil"/>
            </w:tcBorders>
            <w:shd w:val="clear" w:color="auto" w:fill="auto"/>
            <w:noWrap/>
            <w:vAlign w:val="bottom"/>
            <w:hideMark/>
          </w:tcPr>
          <w:p w14:paraId="79B63973" w14:textId="77777777" w:rsidR="00237B83" w:rsidRPr="00A66ECD" w:rsidRDefault="00237B83" w:rsidP="00A66ECD">
            <w:pPr>
              <w:spacing w:after="0" w:line="276" w:lineRule="auto"/>
              <w:jc w:val="both"/>
              <w:rPr>
                <w:rFonts w:ascii="Times New Roman" w:eastAsia="Times New Roman" w:hAnsi="Times New Roman" w:cs="Times New Roman"/>
                <w:color w:val="000000"/>
                <w:sz w:val="24"/>
                <w:szCs w:val="24"/>
                <w:lang w:eastAsia="en-GB"/>
              </w:rPr>
            </w:pPr>
            <w:r w:rsidRPr="00A66ECD">
              <w:rPr>
                <w:rFonts w:ascii="Times New Roman" w:eastAsia="Times New Roman" w:hAnsi="Times New Roman" w:cs="Times New Roman"/>
                <w:color w:val="000000"/>
                <w:sz w:val="24"/>
                <w:szCs w:val="24"/>
                <w:lang w:eastAsia="en-GB"/>
              </w:rPr>
              <w:t>Sales</w:t>
            </w:r>
          </w:p>
        </w:tc>
        <w:tc>
          <w:tcPr>
            <w:tcW w:w="1916" w:type="dxa"/>
            <w:tcBorders>
              <w:top w:val="nil"/>
              <w:left w:val="nil"/>
              <w:bottom w:val="nil"/>
              <w:right w:val="nil"/>
            </w:tcBorders>
            <w:shd w:val="clear" w:color="auto" w:fill="auto"/>
            <w:noWrap/>
            <w:vAlign w:val="bottom"/>
            <w:hideMark/>
          </w:tcPr>
          <w:p w14:paraId="5EC6E909" w14:textId="77777777" w:rsidR="00237B83" w:rsidRPr="00A66ECD" w:rsidRDefault="00237B83" w:rsidP="00A66ECD">
            <w:pPr>
              <w:spacing w:after="0" w:line="276" w:lineRule="auto"/>
              <w:jc w:val="both"/>
              <w:rPr>
                <w:rFonts w:ascii="Times New Roman" w:eastAsia="Times New Roman" w:hAnsi="Times New Roman" w:cs="Times New Roman"/>
                <w:color w:val="000000"/>
                <w:sz w:val="24"/>
                <w:szCs w:val="24"/>
                <w:lang w:eastAsia="en-GB"/>
              </w:rPr>
            </w:pPr>
            <w:r w:rsidRPr="00A66ECD">
              <w:rPr>
                <w:rFonts w:ascii="Times New Roman" w:eastAsia="Times New Roman" w:hAnsi="Times New Roman" w:cs="Times New Roman"/>
                <w:color w:val="000000"/>
                <w:sz w:val="24"/>
                <w:szCs w:val="24"/>
                <w:lang w:eastAsia="en-GB"/>
              </w:rPr>
              <w:t>£800,980.00</w:t>
            </w:r>
          </w:p>
        </w:tc>
      </w:tr>
      <w:tr w:rsidR="00237B83" w:rsidRPr="00A66ECD" w14:paraId="75472BB4" w14:textId="77777777" w:rsidTr="00237B83">
        <w:trPr>
          <w:trHeight w:val="300"/>
        </w:trPr>
        <w:tc>
          <w:tcPr>
            <w:tcW w:w="3924" w:type="dxa"/>
            <w:tcBorders>
              <w:top w:val="nil"/>
              <w:left w:val="nil"/>
              <w:bottom w:val="nil"/>
              <w:right w:val="nil"/>
            </w:tcBorders>
            <w:shd w:val="clear" w:color="auto" w:fill="auto"/>
            <w:noWrap/>
            <w:vAlign w:val="bottom"/>
            <w:hideMark/>
          </w:tcPr>
          <w:p w14:paraId="29111869" w14:textId="77777777" w:rsidR="00237B83" w:rsidRPr="00A66ECD" w:rsidRDefault="00237B83" w:rsidP="00A66ECD">
            <w:pPr>
              <w:spacing w:after="0" w:line="276" w:lineRule="auto"/>
              <w:jc w:val="both"/>
              <w:rPr>
                <w:rFonts w:ascii="Times New Roman" w:eastAsia="Times New Roman" w:hAnsi="Times New Roman" w:cs="Times New Roman"/>
                <w:color w:val="000000"/>
                <w:sz w:val="24"/>
                <w:szCs w:val="24"/>
                <w:lang w:eastAsia="en-GB"/>
              </w:rPr>
            </w:pPr>
            <w:r w:rsidRPr="00A66ECD">
              <w:rPr>
                <w:rFonts w:ascii="Times New Roman" w:eastAsia="Times New Roman" w:hAnsi="Times New Roman" w:cs="Times New Roman"/>
                <w:color w:val="000000"/>
                <w:sz w:val="24"/>
                <w:szCs w:val="24"/>
                <w:lang w:eastAsia="en-GB"/>
              </w:rPr>
              <w:t>Cost of sales</w:t>
            </w:r>
          </w:p>
        </w:tc>
        <w:tc>
          <w:tcPr>
            <w:tcW w:w="1916" w:type="dxa"/>
            <w:tcBorders>
              <w:top w:val="nil"/>
              <w:left w:val="nil"/>
              <w:bottom w:val="nil"/>
              <w:right w:val="nil"/>
            </w:tcBorders>
            <w:shd w:val="clear" w:color="auto" w:fill="auto"/>
            <w:noWrap/>
            <w:vAlign w:val="bottom"/>
            <w:hideMark/>
          </w:tcPr>
          <w:p w14:paraId="0FE23CE7" w14:textId="77777777" w:rsidR="00237B83" w:rsidRPr="00A66ECD" w:rsidRDefault="00237B83" w:rsidP="00A66ECD">
            <w:pPr>
              <w:spacing w:after="0" w:line="276" w:lineRule="auto"/>
              <w:jc w:val="both"/>
              <w:rPr>
                <w:rFonts w:ascii="Times New Roman" w:eastAsia="Times New Roman" w:hAnsi="Times New Roman" w:cs="Times New Roman"/>
                <w:color w:val="000000"/>
                <w:sz w:val="24"/>
                <w:szCs w:val="24"/>
                <w:lang w:eastAsia="en-GB"/>
              </w:rPr>
            </w:pPr>
            <w:r w:rsidRPr="00A66ECD">
              <w:rPr>
                <w:rFonts w:ascii="Times New Roman" w:eastAsia="Times New Roman" w:hAnsi="Times New Roman" w:cs="Times New Roman"/>
                <w:color w:val="000000"/>
                <w:sz w:val="24"/>
                <w:szCs w:val="24"/>
                <w:lang w:eastAsia="en-GB"/>
              </w:rPr>
              <w:t>£578,650.00</w:t>
            </w:r>
          </w:p>
        </w:tc>
      </w:tr>
      <w:tr w:rsidR="00237B83" w:rsidRPr="00A66ECD" w14:paraId="1BB96D2D" w14:textId="77777777" w:rsidTr="00237B83">
        <w:trPr>
          <w:trHeight w:val="300"/>
        </w:trPr>
        <w:tc>
          <w:tcPr>
            <w:tcW w:w="3924" w:type="dxa"/>
            <w:tcBorders>
              <w:top w:val="nil"/>
              <w:left w:val="nil"/>
              <w:bottom w:val="nil"/>
              <w:right w:val="nil"/>
            </w:tcBorders>
            <w:shd w:val="clear" w:color="auto" w:fill="auto"/>
            <w:noWrap/>
            <w:vAlign w:val="bottom"/>
            <w:hideMark/>
          </w:tcPr>
          <w:p w14:paraId="466484A9" w14:textId="77777777" w:rsidR="00237B83" w:rsidRPr="00A66ECD" w:rsidRDefault="00237B83" w:rsidP="00A66ECD">
            <w:pPr>
              <w:spacing w:after="0" w:line="276" w:lineRule="auto"/>
              <w:jc w:val="both"/>
              <w:rPr>
                <w:rFonts w:ascii="Times New Roman" w:eastAsia="Times New Roman" w:hAnsi="Times New Roman" w:cs="Times New Roman"/>
                <w:b/>
                <w:bCs/>
                <w:color w:val="000000"/>
                <w:sz w:val="24"/>
                <w:szCs w:val="24"/>
                <w:lang w:eastAsia="en-GB"/>
              </w:rPr>
            </w:pPr>
            <w:r w:rsidRPr="00A66ECD">
              <w:rPr>
                <w:rFonts w:ascii="Times New Roman" w:eastAsia="Times New Roman" w:hAnsi="Times New Roman" w:cs="Times New Roman"/>
                <w:b/>
                <w:bCs/>
                <w:color w:val="000000"/>
                <w:sz w:val="24"/>
                <w:szCs w:val="24"/>
                <w:lang w:eastAsia="en-GB"/>
              </w:rPr>
              <w:t>Gross profit</w:t>
            </w:r>
          </w:p>
        </w:tc>
        <w:tc>
          <w:tcPr>
            <w:tcW w:w="1916" w:type="dxa"/>
            <w:tcBorders>
              <w:top w:val="nil"/>
              <w:left w:val="nil"/>
              <w:bottom w:val="nil"/>
              <w:right w:val="nil"/>
            </w:tcBorders>
            <w:shd w:val="clear" w:color="auto" w:fill="auto"/>
            <w:noWrap/>
            <w:vAlign w:val="bottom"/>
            <w:hideMark/>
          </w:tcPr>
          <w:p w14:paraId="1942335E" w14:textId="77777777" w:rsidR="00237B83" w:rsidRPr="00A66ECD" w:rsidRDefault="00237B83" w:rsidP="00A66ECD">
            <w:pPr>
              <w:spacing w:after="0" w:line="276" w:lineRule="auto"/>
              <w:jc w:val="both"/>
              <w:rPr>
                <w:rFonts w:ascii="Times New Roman" w:eastAsia="Times New Roman" w:hAnsi="Times New Roman" w:cs="Times New Roman"/>
                <w:b/>
                <w:bCs/>
                <w:color w:val="000000"/>
                <w:sz w:val="24"/>
                <w:szCs w:val="24"/>
                <w:lang w:eastAsia="en-GB"/>
              </w:rPr>
            </w:pPr>
            <w:r w:rsidRPr="00A66ECD">
              <w:rPr>
                <w:rFonts w:ascii="Times New Roman" w:eastAsia="Times New Roman" w:hAnsi="Times New Roman" w:cs="Times New Roman"/>
                <w:b/>
                <w:bCs/>
                <w:color w:val="000000"/>
                <w:sz w:val="24"/>
                <w:szCs w:val="24"/>
                <w:lang w:eastAsia="en-GB"/>
              </w:rPr>
              <w:t>£222,330.00</w:t>
            </w:r>
          </w:p>
        </w:tc>
      </w:tr>
      <w:tr w:rsidR="00237B83" w:rsidRPr="00A66ECD" w14:paraId="043C2BFC" w14:textId="77777777" w:rsidTr="00237B83">
        <w:trPr>
          <w:trHeight w:val="300"/>
        </w:trPr>
        <w:tc>
          <w:tcPr>
            <w:tcW w:w="3924" w:type="dxa"/>
            <w:tcBorders>
              <w:top w:val="nil"/>
              <w:left w:val="nil"/>
              <w:bottom w:val="nil"/>
              <w:right w:val="nil"/>
            </w:tcBorders>
            <w:shd w:val="clear" w:color="auto" w:fill="auto"/>
            <w:noWrap/>
            <w:vAlign w:val="bottom"/>
            <w:hideMark/>
          </w:tcPr>
          <w:p w14:paraId="339E0A86" w14:textId="77777777" w:rsidR="00237B83" w:rsidRPr="00A66ECD" w:rsidRDefault="00237B83" w:rsidP="00A66ECD">
            <w:pPr>
              <w:spacing w:after="0" w:line="276" w:lineRule="auto"/>
              <w:jc w:val="both"/>
              <w:rPr>
                <w:rFonts w:ascii="Times New Roman" w:eastAsia="Times New Roman" w:hAnsi="Times New Roman" w:cs="Times New Roman"/>
                <w:b/>
                <w:bCs/>
                <w:color w:val="000000"/>
                <w:sz w:val="24"/>
                <w:szCs w:val="24"/>
                <w:lang w:eastAsia="en-GB"/>
              </w:rPr>
            </w:pPr>
          </w:p>
        </w:tc>
        <w:tc>
          <w:tcPr>
            <w:tcW w:w="1916" w:type="dxa"/>
            <w:tcBorders>
              <w:top w:val="nil"/>
              <w:left w:val="nil"/>
              <w:bottom w:val="nil"/>
              <w:right w:val="nil"/>
            </w:tcBorders>
            <w:shd w:val="clear" w:color="auto" w:fill="auto"/>
            <w:noWrap/>
            <w:vAlign w:val="bottom"/>
            <w:hideMark/>
          </w:tcPr>
          <w:p w14:paraId="510692D7" w14:textId="77777777" w:rsidR="00237B83" w:rsidRPr="00A66ECD" w:rsidRDefault="00237B83" w:rsidP="00A66ECD">
            <w:pPr>
              <w:spacing w:after="0" w:line="276" w:lineRule="auto"/>
              <w:jc w:val="both"/>
              <w:rPr>
                <w:rFonts w:ascii="Times New Roman" w:eastAsia="Times New Roman" w:hAnsi="Times New Roman" w:cs="Times New Roman"/>
                <w:sz w:val="24"/>
                <w:szCs w:val="24"/>
                <w:lang w:eastAsia="en-GB"/>
              </w:rPr>
            </w:pPr>
          </w:p>
        </w:tc>
      </w:tr>
      <w:tr w:rsidR="00237B83" w:rsidRPr="00A66ECD" w14:paraId="036FE2B9" w14:textId="77777777" w:rsidTr="00237B83">
        <w:trPr>
          <w:trHeight w:val="300"/>
        </w:trPr>
        <w:tc>
          <w:tcPr>
            <w:tcW w:w="3924" w:type="dxa"/>
            <w:tcBorders>
              <w:top w:val="nil"/>
              <w:left w:val="nil"/>
              <w:bottom w:val="nil"/>
              <w:right w:val="nil"/>
            </w:tcBorders>
            <w:shd w:val="clear" w:color="auto" w:fill="auto"/>
            <w:noWrap/>
            <w:vAlign w:val="bottom"/>
            <w:hideMark/>
          </w:tcPr>
          <w:p w14:paraId="137008EA" w14:textId="77777777" w:rsidR="00237B83" w:rsidRPr="00A66ECD" w:rsidRDefault="00237B83" w:rsidP="00A66ECD">
            <w:pPr>
              <w:spacing w:after="0" w:line="276" w:lineRule="auto"/>
              <w:jc w:val="both"/>
              <w:rPr>
                <w:rFonts w:ascii="Times New Roman" w:eastAsia="Times New Roman" w:hAnsi="Times New Roman" w:cs="Times New Roman"/>
                <w:color w:val="000000"/>
                <w:sz w:val="24"/>
                <w:szCs w:val="24"/>
                <w:lang w:eastAsia="en-GB"/>
              </w:rPr>
            </w:pPr>
            <w:r w:rsidRPr="00A66ECD">
              <w:rPr>
                <w:rFonts w:ascii="Times New Roman" w:eastAsia="Times New Roman" w:hAnsi="Times New Roman" w:cs="Times New Roman"/>
                <w:color w:val="000000"/>
                <w:sz w:val="24"/>
                <w:szCs w:val="24"/>
                <w:lang w:eastAsia="en-GB"/>
              </w:rPr>
              <w:t>Administrative expenses</w:t>
            </w:r>
          </w:p>
        </w:tc>
        <w:tc>
          <w:tcPr>
            <w:tcW w:w="1916" w:type="dxa"/>
            <w:tcBorders>
              <w:top w:val="nil"/>
              <w:left w:val="nil"/>
              <w:bottom w:val="nil"/>
              <w:right w:val="nil"/>
            </w:tcBorders>
            <w:shd w:val="clear" w:color="auto" w:fill="auto"/>
            <w:noWrap/>
            <w:vAlign w:val="bottom"/>
            <w:hideMark/>
          </w:tcPr>
          <w:p w14:paraId="4C12AC7C" w14:textId="77777777" w:rsidR="00237B83" w:rsidRPr="00A66ECD" w:rsidRDefault="00237B83" w:rsidP="00A66ECD">
            <w:pPr>
              <w:spacing w:after="0" w:line="276" w:lineRule="auto"/>
              <w:jc w:val="both"/>
              <w:rPr>
                <w:rFonts w:ascii="Times New Roman" w:eastAsia="Times New Roman" w:hAnsi="Times New Roman" w:cs="Times New Roman"/>
                <w:color w:val="000000"/>
                <w:sz w:val="24"/>
                <w:szCs w:val="24"/>
                <w:lang w:eastAsia="en-GB"/>
              </w:rPr>
            </w:pPr>
            <w:r w:rsidRPr="00A66ECD">
              <w:rPr>
                <w:rFonts w:ascii="Times New Roman" w:eastAsia="Times New Roman" w:hAnsi="Times New Roman" w:cs="Times New Roman"/>
                <w:color w:val="000000"/>
                <w:sz w:val="24"/>
                <w:szCs w:val="24"/>
                <w:lang w:eastAsia="en-GB"/>
              </w:rPr>
              <w:t>£30,000.00</w:t>
            </w:r>
          </w:p>
        </w:tc>
      </w:tr>
      <w:tr w:rsidR="00237B83" w:rsidRPr="00A66ECD" w14:paraId="2C7903EF" w14:textId="77777777" w:rsidTr="00237B83">
        <w:trPr>
          <w:trHeight w:val="300"/>
        </w:trPr>
        <w:tc>
          <w:tcPr>
            <w:tcW w:w="3924" w:type="dxa"/>
            <w:tcBorders>
              <w:top w:val="nil"/>
              <w:left w:val="nil"/>
              <w:bottom w:val="nil"/>
              <w:right w:val="nil"/>
            </w:tcBorders>
            <w:shd w:val="clear" w:color="auto" w:fill="auto"/>
            <w:noWrap/>
            <w:vAlign w:val="bottom"/>
            <w:hideMark/>
          </w:tcPr>
          <w:p w14:paraId="7659863B" w14:textId="77777777" w:rsidR="00237B83" w:rsidRPr="00A66ECD" w:rsidRDefault="00237B83" w:rsidP="00A66ECD">
            <w:pPr>
              <w:spacing w:after="0" w:line="276" w:lineRule="auto"/>
              <w:jc w:val="both"/>
              <w:rPr>
                <w:rFonts w:ascii="Times New Roman" w:eastAsia="Times New Roman" w:hAnsi="Times New Roman" w:cs="Times New Roman"/>
                <w:color w:val="000000"/>
                <w:sz w:val="24"/>
                <w:szCs w:val="24"/>
                <w:lang w:eastAsia="en-GB"/>
              </w:rPr>
            </w:pPr>
            <w:r w:rsidRPr="00A66ECD">
              <w:rPr>
                <w:rFonts w:ascii="Times New Roman" w:eastAsia="Times New Roman" w:hAnsi="Times New Roman" w:cs="Times New Roman"/>
                <w:color w:val="000000"/>
                <w:sz w:val="24"/>
                <w:szCs w:val="24"/>
                <w:lang w:eastAsia="en-GB"/>
              </w:rPr>
              <w:t>Distribution costs</w:t>
            </w:r>
          </w:p>
        </w:tc>
        <w:tc>
          <w:tcPr>
            <w:tcW w:w="1916" w:type="dxa"/>
            <w:tcBorders>
              <w:top w:val="nil"/>
              <w:left w:val="nil"/>
              <w:bottom w:val="nil"/>
              <w:right w:val="nil"/>
            </w:tcBorders>
            <w:shd w:val="clear" w:color="auto" w:fill="auto"/>
            <w:noWrap/>
            <w:vAlign w:val="bottom"/>
            <w:hideMark/>
          </w:tcPr>
          <w:p w14:paraId="637F7A05" w14:textId="77777777" w:rsidR="00237B83" w:rsidRPr="00A66ECD" w:rsidRDefault="00237B83" w:rsidP="00A66ECD">
            <w:pPr>
              <w:spacing w:after="0" w:line="276" w:lineRule="auto"/>
              <w:jc w:val="both"/>
              <w:rPr>
                <w:rFonts w:ascii="Times New Roman" w:eastAsia="Times New Roman" w:hAnsi="Times New Roman" w:cs="Times New Roman"/>
                <w:color w:val="000000"/>
                <w:sz w:val="24"/>
                <w:szCs w:val="24"/>
                <w:lang w:eastAsia="en-GB"/>
              </w:rPr>
            </w:pPr>
            <w:r w:rsidRPr="00A66ECD">
              <w:rPr>
                <w:rFonts w:ascii="Times New Roman" w:eastAsia="Times New Roman" w:hAnsi="Times New Roman" w:cs="Times New Roman"/>
                <w:color w:val="000000"/>
                <w:sz w:val="24"/>
                <w:szCs w:val="24"/>
                <w:lang w:eastAsia="en-GB"/>
              </w:rPr>
              <w:t>£28,000.00</w:t>
            </w:r>
          </w:p>
        </w:tc>
      </w:tr>
      <w:tr w:rsidR="00237B83" w:rsidRPr="00A66ECD" w14:paraId="74B29793" w14:textId="77777777" w:rsidTr="00237B83">
        <w:trPr>
          <w:trHeight w:val="300"/>
        </w:trPr>
        <w:tc>
          <w:tcPr>
            <w:tcW w:w="3924" w:type="dxa"/>
            <w:tcBorders>
              <w:top w:val="nil"/>
              <w:left w:val="nil"/>
              <w:bottom w:val="nil"/>
              <w:right w:val="nil"/>
            </w:tcBorders>
            <w:shd w:val="clear" w:color="auto" w:fill="auto"/>
            <w:noWrap/>
            <w:vAlign w:val="bottom"/>
            <w:hideMark/>
          </w:tcPr>
          <w:p w14:paraId="3998B3CD" w14:textId="77777777" w:rsidR="00237B83" w:rsidRPr="00A66ECD" w:rsidRDefault="00237B83" w:rsidP="00A66ECD">
            <w:pPr>
              <w:spacing w:after="0" w:line="276" w:lineRule="auto"/>
              <w:jc w:val="both"/>
              <w:rPr>
                <w:rFonts w:ascii="Times New Roman" w:eastAsia="Times New Roman" w:hAnsi="Times New Roman" w:cs="Times New Roman"/>
                <w:color w:val="000000"/>
                <w:sz w:val="24"/>
                <w:szCs w:val="24"/>
                <w:lang w:eastAsia="en-GB"/>
              </w:rPr>
            </w:pPr>
            <w:r w:rsidRPr="00A66ECD">
              <w:rPr>
                <w:rFonts w:ascii="Times New Roman" w:eastAsia="Times New Roman" w:hAnsi="Times New Roman" w:cs="Times New Roman"/>
                <w:color w:val="000000"/>
                <w:sz w:val="24"/>
                <w:szCs w:val="24"/>
                <w:lang w:eastAsia="en-GB"/>
              </w:rPr>
              <w:t>Sales commission</w:t>
            </w:r>
          </w:p>
        </w:tc>
        <w:tc>
          <w:tcPr>
            <w:tcW w:w="1916" w:type="dxa"/>
            <w:tcBorders>
              <w:top w:val="nil"/>
              <w:left w:val="nil"/>
              <w:bottom w:val="nil"/>
              <w:right w:val="nil"/>
            </w:tcBorders>
            <w:shd w:val="clear" w:color="auto" w:fill="auto"/>
            <w:noWrap/>
            <w:vAlign w:val="bottom"/>
            <w:hideMark/>
          </w:tcPr>
          <w:p w14:paraId="3236A05B" w14:textId="77777777" w:rsidR="00237B83" w:rsidRPr="00A66ECD" w:rsidRDefault="00237B83" w:rsidP="00A66ECD">
            <w:pPr>
              <w:spacing w:after="0" w:line="276" w:lineRule="auto"/>
              <w:jc w:val="both"/>
              <w:rPr>
                <w:rFonts w:ascii="Times New Roman" w:eastAsia="Times New Roman" w:hAnsi="Times New Roman" w:cs="Times New Roman"/>
                <w:color w:val="000000"/>
                <w:sz w:val="24"/>
                <w:szCs w:val="24"/>
                <w:lang w:eastAsia="en-GB"/>
              </w:rPr>
            </w:pPr>
            <w:r w:rsidRPr="00A66ECD">
              <w:rPr>
                <w:rFonts w:ascii="Times New Roman" w:eastAsia="Times New Roman" w:hAnsi="Times New Roman" w:cs="Times New Roman"/>
                <w:color w:val="000000"/>
                <w:sz w:val="24"/>
                <w:szCs w:val="24"/>
                <w:lang w:eastAsia="en-GB"/>
              </w:rPr>
              <w:t>£3,000.00</w:t>
            </w:r>
          </w:p>
        </w:tc>
      </w:tr>
      <w:tr w:rsidR="00237B83" w:rsidRPr="00A66ECD" w14:paraId="57A89D91" w14:textId="77777777" w:rsidTr="00237B83">
        <w:trPr>
          <w:trHeight w:val="300"/>
        </w:trPr>
        <w:tc>
          <w:tcPr>
            <w:tcW w:w="3924" w:type="dxa"/>
            <w:tcBorders>
              <w:top w:val="nil"/>
              <w:left w:val="nil"/>
              <w:bottom w:val="nil"/>
              <w:right w:val="nil"/>
            </w:tcBorders>
            <w:shd w:val="clear" w:color="auto" w:fill="auto"/>
            <w:noWrap/>
            <w:vAlign w:val="bottom"/>
            <w:hideMark/>
          </w:tcPr>
          <w:p w14:paraId="026DDE6A" w14:textId="77777777" w:rsidR="00237B83" w:rsidRPr="00A66ECD" w:rsidRDefault="00237B83" w:rsidP="00A66ECD">
            <w:pPr>
              <w:spacing w:after="0" w:line="276" w:lineRule="auto"/>
              <w:jc w:val="both"/>
              <w:rPr>
                <w:rFonts w:ascii="Times New Roman" w:eastAsia="Times New Roman" w:hAnsi="Times New Roman" w:cs="Times New Roman"/>
                <w:color w:val="000000"/>
                <w:sz w:val="24"/>
                <w:szCs w:val="24"/>
                <w:lang w:eastAsia="en-GB"/>
              </w:rPr>
            </w:pPr>
            <w:r w:rsidRPr="00A66ECD">
              <w:rPr>
                <w:rFonts w:ascii="Times New Roman" w:eastAsia="Times New Roman" w:hAnsi="Times New Roman" w:cs="Times New Roman"/>
                <w:color w:val="000000"/>
                <w:sz w:val="24"/>
                <w:szCs w:val="24"/>
                <w:lang w:eastAsia="en-GB"/>
              </w:rPr>
              <w:t>Directors remuneration</w:t>
            </w:r>
          </w:p>
        </w:tc>
        <w:tc>
          <w:tcPr>
            <w:tcW w:w="1916" w:type="dxa"/>
            <w:tcBorders>
              <w:top w:val="nil"/>
              <w:left w:val="nil"/>
              <w:bottom w:val="nil"/>
              <w:right w:val="nil"/>
            </w:tcBorders>
            <w:shd w:val="clear" w:color="auto" w:fill="auto"/>
            <w:noWrap/>
            <w:vAlign w:val="bottom"/>
            <w:hideMark/>
          </w:tcPr>
          <w:p w14:paraId="4BFA2D4C" w14:textId="77777777" w:rsidR="00237B83" w:rsidRPr="00A66ECD" w:rsidRDefault="00237B83" w:rsidP="00A66ECD">
            <w:pPr>
              <w:spacing w:after="0" w:line="276" w:lineRule="auto"/>
              <w:jc w:val="both"/>
              <w:rPr>
                <w:rFonts w:ascii="Times New Roman" w:eastAsia="Times New Roman" w:hAnsi="Times New Roman" w:cs="Times New Roman"/>
                <w:color w:val="000000"/>
                <w:sz w:val="24"/>
                <w:szCs w:val="24"/>
                <w:lang w:eastAsia="en-GB"/>
              </w:rPr>
            </w:pPr>
            <w:r w:rsidRPr="00A66ECD">
              <w:rPr>
                <w:rFonts w:ascii="Times New Roman" w:eastAsia="Times New Roman" w:hAnsi="Times New Roman" w:cs="Times New Roman"/>
                <w:color w:val="000000"/>
                <w:sz w:val="24"/>
                <w:szCs w:val="24"/>
                <w:lang w:eastAsia="en-GB"/>
              </w:rPr>
              <w:t>£5,000.00</w:t>
            </w:r>
          </w:p>
        </w:tc>
      </w:tr>
      <w:tr w:rsidR="00237B83" w:rsidRPr="00A66ECD" w14:paraId="1E8DC39F" w14:textId="77777777" w:rsidTr="00237B83">
        <w:trPr>
          <w:trHeight w:val="300"/>
        </w:trPr>
        <w:tc>
          <w:tcPr>
            <w:tcW w:w="3924" w:type="dxa"/>
            <w:tcBorders>
              <w:top w:val="nil"/>
              <w:left w:val="nil"/>
              <w:bottom w:val="nil"/>
              <w:right w:val="nil"/>
            </w:tcBorders>
            <w:shd w:val="clear" w:color="auto" w:fill="auto"/>
            <w:noWrap/>
            <w:vAlign w:val="bottom"/>
            <w:hideMark/>
          </w:tcPr>
          <w:p w14:paraId="7AB1B62A" w14:textId="77777777" w:rsidR="00237B83" w:rsidRPr="00A66ECD" w:rsidRDefault="00237B83" w:rsidP="00A66ECD">
            <w:pPr>
              <w:spacing w:after="0" w:line="276" w:lineRule="auto"/>
              <w:jc w:val="both"/>
              <w:rPr>
                <w:rFonts w:ascii="Times New Roman" w:eastAsia="Times New Roman" w:hAnsi="Times New Roman" w:cs="Times New Roman"/>
                <w:b/>
                <w:bCs/>
                <w:color w:val="000000"/>
                <w:sz w:val="24"/>
                <w:szCs w:val="24"/>
                <w:lang w:eastAsia="en-GB"/>
              </w:rPr>
            </w:pPr>
            <w:r w:rsidRPr="00A66ECD">
              <w:rPr>
                <w:rFonts w:ascii="Times New Roman" w:eastAsia="Times New Roman" w:hAnsi="Times New Roman" w:cs="Times New Roman"/>
                <w:b/>
                <w:bCs/>
                <w:color w:val="000000"/>
                <w:sz w:val="24"/>
                <w:szCs w:val="24"/>
                <w:lang w:eastAsia="en-GB"/>
              </w:rPr>
              <w:t>Operating profit</w:t>
            </w:r>
          </w:p>
        </w:tc>
        <w:tc>
          <w:tcPr>
            <w:tcW w:w="1916" w:type="dxa"/>
            <w:tcBorders>
              <w:top w:val="nil"/>
              <w:left w:val="nil"/>
              <w:bottom w:val="nil"/>
              <w:right w:val="nil"/>
            </w:tcBorders>
            <w:shd w:val="clear" w:color="auto" w:fill="auto"/>
            <w:noWrap/>
            <w:vAlign w:val="bottom"/>
            <w:hideMark/>
          </w:tcPr>
          <w:p w14:paraId="0EA65815" w14:textId="77777777" w:rsidR="00237B83" w:rsidRPr="00A66ECD" w:rsidRDefault="00237B83" w:rsidP="00A66ECD">
            <w:pPr>
              <w:spacing w:after="0" w:line="276" w:lineRule="auto"/>
              <w:jc w:val="both"/>
              <w:rPr>
                <w:rFonts w:ascii="Times New Roman" w:eastAsia="Times New Roman" w:hAnsi="Times New Roman" w:cs="Times New Roman"/>
                <w:b/>
                <w:bCs/>
                <w:color w:val="000000"/>
                <w:sz w:val="24"/>
                <w:szCs w:val="24"/>
                <w:lang w:eastAsia="en-GB"/>
              </w:rPr>
            </w:pPr>
            <w:r w:rsidRPr="00A66ECD">
              <w:rPr>
                <w:rFonts w:ascii="Times New Roman" w:eastAsia="Times New Roman" w:hAnsi="Times New Roman" w:cs="Times New Roman"/>
                <w:b/>
                <w:bCs/>
                <w:color w:val="000000"/>
                <w:sz w:val="24"/>
                <w:szCs w:val="24"/>
                <w:lang w:eastAsia="en-GB"/>
              </w:rPr>
              <w:t>£156,330.00</w:t>
            </w:r>
          </w:p>
        </w:tc>
      </w:tr>
      <w:tr w:rsidR="00237B83" w:rsidRPr="00A66ECD" w14:paraId="05E804A2" w14:textId="77777777" w:rsidTr="00237B83">
        <w:trPr>
          <w:trHeight w:val="300"/>
        </w:trPr>
        <w:tc>
          <w:tcPr>
            <w:tcW w:w="3924" w:type="dxa"/>
            <w:tcBorders>
              <w:top w:val="nil"/>
              <w:left w:val="nil"/>
              <w:bottom w:val="nil"/>
              <w:right w:val="nil"/>
            </w:tcBorders>
            <w:shd w:val="clear" w:color="auto" w:fill="auto"/>
            <w:noWrap/>
            <w:vAlign w:val="bottom"/>
            <w:hideMark/>
          </w:tcPr>
          <w:p w14:paraId="3F9661C2" w14:textId="77777777" w:rsidR="00237B83" w:rsidRPr="00A66ECD" w:rsidRDefault="00237B83" w:rsidP="00A66ECD">
            <w:pPr>
              <w:spacing w:after="0" w:line="276" w:lineRule="auto"/>
              <w:jc w:val="both"/>
              <w:rPr>
                <w:rFonts w:ascii="Times New Roman" w:eastAsia="Times New Roman" w:hAnsi="Times New Roman" w:cs="Times New Roman"/>
                <w:b/>
                <w:bCs/>
                <w:color w:val="000000"/>
                <w:sz w:val="24"/>
                <w:szCs w:val="24"/>
                <w:lang w:eastAsia="en-GB"/>
              </w:rPr>
            </w:pPr>
          </w:p>
        </w:tc>
        <w:tc>
          <w:tcPr>
            <w:tcW w:w="1916" w:type="dxa"/>
            <w:tcBorders>
              <w:top w:val="nil"/>
              <w:left w:val="nil"/>
              <w:bottom w:val="nil"/>
              <w:right w:val="nil"/>
            </w:tcBorders>
            <w:shd w:val="clear" w:color="auto" w:fill="auto"/>
            <w:noWrap/>
            <w:vAlign w:val="bottom"/>
            <w:hideMark/>
          </w:tcPr>
          <w:p w14:paraId="073135C2" w14:textId="77777777" w:rsidR="00237B83" w:rsidRPr="00A66ECD" w:rsidRDefault="00237B83" w:rsidP="00A66ECD">
            <w:pPr>
              <w:spacing w:after="0" w:line="276" w:lineRule="auto"/>
              <w:jc w:val="both"/>
              <w:rPr>
                <w:rFonts w:ascii="Times New Roman" w:eastAsia="Times New Roman" w:hAnsi="Times New Roman" w:cs="Times New Roman"/>
                <w:sz w:val="24"/>
                <w:szCs w:val="24"/>
                <w:lang w:eastAsia="en-GB"/>
              </w:rPr>
            </w:pPr>
          </w:p>
        </w:tc>
      </w:tr>
      <w:tr w:rsidR="00237B83" w:rsidRPr="00A66ECD" w14:paraId="7E024814" w14:textId="77777777" w:rsidTr="00237B83">
        <w:trPr>
          <w:trHeight w:val="300"/>
        </w:trPr>
        <w:tc>
          <w:tcPr>
            <w:tcW w:w="3924" w:type="dxa"/>
            <w:tcBorders>
              <w:top w:val="nil"/>
              <w:left w:val="nil"/>
              <w:bottom w:val="nil"/>
              <w:right w:val="nil"/>
            </w:tcBorders>
            <w:shd w:val="clear" w:color="auto" w:fill="auto"/>
            <w:noWrap/>
            <w:vAlign w:val="bottom"/>
            <w:hideMark/>
          </w:tcPr>
          <w:p w14:paraId="31067453" w14:textId="77777777" w:rsidR="00237B83" w:rsidRPr="00A66ECD" w:rsidRDefault="00237B83" w:rsidP="00A66ECD">
            <w:pPr>
              <w:spacing w:after="0" w:line="276" w:lineRule="auto"/>
              <w:jc w:val="both"/>
              <w:rPr>
                <w:rFonts w:ascii="Times New Roman" w:eastAsia="Times New Roman" w:hAnsi="Times New Roman" w:cs="Times New Roman"/>
                <w:color w:val="000000"/>
                <w:sz w:val="24"/>
                <w:szCs w:val="24"/>
                <w:lang w:eastAsia="en-GB"/>
              </w:rPr>
            </w:pPr>
            <w:r w:rsidRPr="00A66ECD">
              <w:rPr>
                <w:rFonts w:ascii="Times New Roman" w:eastAsia="Times New Roman" w:hAnsi="Times New Roman" w:cs="Times New Roman"/>
                <w:color w:val="000000"/>
                <w:sz w:val="24"/>
                <w:szCs w:val="24"/>
                <w:lang w:eastAsia="en-GB"/>
              </w:rPr>
              <w:t>Interest paid</w:t>
            </w:r>
          </w:p>
        </w:tc>
        <w:tc>
          <w:tcPr>
            <w:tcW w:w="1916" w:type="dxa"/>
            <w:tcBorders>
              <w:top w:val="nil"/>
              <w:left w:val="nil"/>
              <w:bottom w:val="nil"/>
              <w:right w:val="nil"/>
            </w:tcBorders>
            <w:shd w:val="clear" w:color="auto" w:fill="auto"/>
            <w:noWrap/>
            <w:vAlign w:val="bottom"/>
            <w:hideMark/>
          </w:tcPr>
          <w:p w14:paraId="5FA953D7" w14:textId="77777777" w:rsidR="00237B83" w:rsidRPr="00A66ECD" w:rsidRDefault="00237B83" w:rsidP="00A66ECD">
            <w:pPr>
              <w:spacing w:after="0" w:line="276" w:lineRule="auto"/>
              <w:jc w:val="both"/>
              <w:rPr>
                <w:rFonts w:ascii="Times New Roman" w:eastAsia="Times New Roman" w:hAnsi="Times New Roman" w:cs="Times New Roman"/>
                <w:color w:val="000000"/>
                <w:sz w:val="24"/>
                <w:szCs w:val="24"/>
                <w:lang w:eastAsia="en-GB"/>
              </w:rPr>
            </w:pPr>
            <w:r w:rsidRPr="00A66ECD">
              <w:rPr>
                <w:rFonts w:ascii="Times New Roman" w:eastAsia="Times New Roman" w:hAnsi="Times New Roman" w:cs="Times New Roman"/>
                <w:color w:val="000000"/>
                <w:sz w:val="24"/>
                <w:szCs w:val="24"/>
                <w:lang w:eastAsia="en-GB"/>
              </w:rPr>
              <w:t>£2,000.00</w:t>
            </w:r>
          </w:p>
        </w:tc>
      </w:tr>
      <w:tr w:rsidR="00237B83" w:rsidRPr="00A66ECD" w14:paraId="6A62B149" w14:textId="77777777" w:rsidTr="00237B83">
        <w:trPr>
          <w:trHeight w:val="300"/>
        </w:trPr>
        <w:tc>
          <w:tcPr>
            <w:tcW w:w="3924" w:type="dxa"/>
            <w:tcBorders>
              <w:top w:val="nil"/>
              <w:left w:val="nil"/>
              <w:bottom w:val="nil"/>
              <w:right w:val="nil"/>
            </w:tcBorders>
            <w:shd w:val="clear" w:color="auto" w:fill="auto"/>
            <w:noWrap/>
            <w:vAlign w:val="bottom"/>
            <w:hideMark/>
          </w:tcPr>
          <w:p w14:paraId="38941376" w14:textId="77777777" w:rsidR="00237B83" w:rsidRPr="00A66ECD" w:rsidRDefault="00237B83" w:rsidP="00A66ECD">
            <w:pPr>
              <w:spacing w:after="0" w:line="276" w:lineRule="auto"/>
              <w:jc w:val="both"/>
              <w:rPr>
                <w:rFonts w:ascii="Times New Roman" w:eastAsia="Times New Roman" w:hAnsi="Times New Roman" w:cs="Times New Roman"/>
                <w:b/>
                <w:bCs/>
                <w:color w:val="000000"/>
                <w:sz w:val="24"/>
                <w:szCs w:val="24"/>
                <w:lang w:eastAsia="en-GB"/>
              </w:rPr>
            </w:pPr>
            <w:r w:rsidRPr="00A66ECD">
              <w:rPr>
                <w:rFonts w:ascii="Times New Roman" w:eastAsia="Times New Roman" w:hAnsi="Times New Roman" w:cs="Times New Roman"/>
                <w:b/>
                <w:bCs/>
                <w:color w:val="000000"/>
                <w:sz w:val="24"/>
                <w:szCs w:val="24"/>
                <w:lang w:eastAsia="en-GB"/>
              </w:rPr>
              <w:t>Profit before taxes</w:t>
            </w:r>
          </w:p>
        </w:tc>
        <w:tc>
          <w:tcPr>
            <w:tcW w:w="1916" w:type="dxa"/>
            <w:tcBorders>
              <w:top w:val="nil"/>
              <w:left w:val="nil"/>
              <w:bottom w:val="nil"/>
              <w:right w:val="nil"/>
            </w:tcBorders>
            <w:shd w:val="clear" w:color="auto" w:fill="auto"/>
            <w:noWrap/>
            <w:vAlign w:val="bottom"/>
            <w:hideMark/>
          </w:tcPr>
          <w:p w14:paraId="23BB7ACC" w14:textId="77777777" w:rsidR="00237B83" w:rsidRPr="00A66ECD" w:rsidRDefault="00237B83" w:rsidP="00A66ECD">
            <w:pPr>
              <w:spacing w:after="0" w:line="276" w:lineRule="auto"/>
              <w:jc w:val="both"/>
              <w:rPr>
                <w:rFonts w:ascii="Times New Roman" w:eastAsia="Times New Roman" w:hAnsi="Times New Roman" w:cs="Times New Roman"/>
                <w:b/>
                <w:bCs/>
                <w:color w:val="000000"/>
                <w:sz w:val="24"/>
                <w:szCs w:val="24"/>
                <w:lang w:eastAsia="en-GB"/>
              </w:rPr>
            </w:pPr>
            <w:r w:rsidRPr="00A66ECD">
              <w:rPr>
                <w:rFonts w:ascii="Times New Roman" w:eastAsia="Times New Roman" w:hAnsi="Times New Roman" w:cs="Times New Roman"/>
                <w:b/>
                <w:bCs/>
                <w:color w:val="000000"/>
                <w:sz w:val="24"/>
                <w:szCs w:val="24"/>
                <w:lang w:eastAsia="en-GB"/>
              </w:rPr>
              <w:t>£154,330.00</w:t>
            </w:r>
          </w:p>
        </w:tc>
      </w:tr>
      <w:tr w:rsidR="00237B83" w:rsidRPr="00A66ECD" w14:paraId="5468D714" w14:textId="77777777" w:rsidTr="00237B83">
        <w:trPr>
          <w:trHeight w:val="300"/>
        </w:trPr>
        <w:tc>
          <w:tcPr>
            <w:tcW w:w="3924" w:type="dxa"/>
            <w:tcBorders>
              <w:top w:val="nil"/>
              <w:left w:val="nil"/>
              <w:bottom w:val="nil"/>
              <w:right w:val="nil"/>
            </w:tcBorders>
            <w:shd w:val="clear" w:color="auto" w:fill="auto"/>
            <w:noWrap/>
            <w:vAlign w:val="bottom"/>
            <w:hideMark/>
          </w:tcPr>
          <w:p w14:paraId="67381ACE" w14:textId="77777777" w:rsidR="00237B83" w:rsidRPr="00A66ECD" w:rsidRDefault="00237B83" w:rsidP="00A66ECD">
            <w:pPr>
              <w:spacing w:after="0" w:line="276" w:lineRule="auto"/>
              <w:jc w:val="both"/>
              <w:rPr>
                <w:rFonts w:ascii="Times New Roman" w:eastAsia="Times New Roman" w:hAnsi="Times New Roman" w:cs="Times New Roman"/>
                <w:b/>
                <w:bCs/>
                <w:color w:val="000000"/>
                <w:sz w:val="24"/>
                <w:szCs w:val="24"/>
                <w:lang w:eastAsia="en-GB"/>
              </w:rPr>
            </w:pPr>
          </w:p>
        </w:tc>
        <w:tc>
          <w:tcPr>
            <w:tcW w:w="1916" w:type="dxa"/>
            <w:tcBorders>
              <w:top w:val="nil"/>
              <w:left w:val="nil"/>
              <w:bottom w:val="nil"/>
              <w:right w:val="nil"/>
            </w:tcBorders>
            <w:shd w:val="clear" w:color="auto" w:fill="auto"/>
            <w:noWrap/>
            <w:vAlign w:val="bottom"/>
            <w:hideMark/>
          </w:tcPr>
          <w:p w14:paraId="6E693024" w14:textId="77777777" w:rsidR="00237B83" w:rsidRPr="00A66ECD" w:rsidRDefault="00237B83" w:rsidP="00A66ECD">
            <w:pPr>
              <w:spacing w:after="0" w:line="276" w:lineRule="auto"/>
              <w:jc w:val="both"/>
              <w:rPr>
                <w:rFonts w:ascii="Times New Roman" w:eastAsia="Times New Roman" w:hAnsi="Times New Roman" w:cs="Times New Roman"/>
                <w:sz w:val="24"/>
                <w:szCs w:val="24"/>
                <w:lang w:eastAsia="en-GB"/>
              </w:rPr>
            </w:pPr>
          </w:p>
        </w:tc>
      </w:tr>
      <w:tr w:rsidR="00237B83" w:rsidRPr="00A66ECD" w14:paraId="4A9F94C3" w14:textId="77777777" w:rsidTr="00237B83">
        <w:trPr>
          <w:trHeight w:val="300"/>
        </w:trPr>
        <w:tc>
          <w:tcPr>
            <w:tcW w:w="3924" w:type="dxa"/>
            <w:tcBorders>
              <w:top w:val="nil"/>
              <w:left w:val="nil"/>
              <w:bottom w:val="nil"/>
              <w:right w:val="nil"/>
            </w:tcBorders>
            <w:shd w:val="clear" w:color="auto" w:fill="auto"/>
            <w:noWrap/>
            <w:vAlign w:val="bottom"/>
            <w:hideMark/>
          </w:tcPr>
          <w:p w14:paraId="550FF9CC" w14:textId="77777777" w:rsidR="00237B83" w:rsidRPr="00A66ECD" w:rsidRDefault="00237B83" w:rsidP="00A66ECD">
            <w:pPr>
              <w:spacing w:after="0" w:line="276" w:lineRule="auto"/>
              <w:jc w:val="both"/>
              <w:rPr>
                <w:rFonts w:ascii="Times New Roman" w:eastAsia="Times New Roman" w:hAnsi="Times New Roman" w:cs="Times New Roman"/>
                <w:color w:val="000000"/>
                <w:sz w:val="24"/>
                <w:szCs w:val="24"/>
                <w:lang w:eastAsia="en-GB"/>
              </w:rPr>
            </w:pPr>
            <w:r w:rsidRPr="00A66ECD">
              <w:rPr>
                <w:rFonts w:ascii="Times New Roman" w:eastAsia="Times New Roman" w:hAnsi="Times New Roman" w:cs="Times New Roman"/>
                <w:color w:val="000000"/>
                <w:sz w:val="24"/>
                <w:szCs w:val="24"/>
                <w:lang w:eastAsia="en-GB"/>
              </w:rPr>
              <w:t>Corporate tax</w:t>
            </w:r>
          </w:p>
        </w:tc>
        <w:tc>
          <w:tcPr>
            <w:tcW w:w="1916" w:type="dxa"/>
            <w:tcBorders>
              <w:top w:val="nil"/>
              <w:left w:val="nil"/>
              <w:bottom w:val="nil"/>
              <w:right w:val="nil"/>
            </w:tcBorders>
            <w:shd w:val="clear" w:color="auto" w:fill="auto"/>
            <w:noWrap/>
            <w:vAlign w:val="bottom"/>
            <w:hideMark/>
          </w:tcPr>
          <w:p w14:paraId="60EEF7A6" w14:textId="77777777" w:rsidR="00237B83" w:rsidRPr="00A66ECD" w:rsidRDefault="00237B83" w:rsidP="00A66ECD">
            <w:pPr>
              <w:spacing w:after="0" w:line="276" w:lineRule="auto"/>
              <w:jc w:val="both"/>
              <w:rPr>
                <w:rFonts w:ascii="Times New Roman" w:eastAsia="Times New Roman" w:hAnsi="Times New Roman" w:cs="Times New Roman"/>
                <w:color w:val="000000"/>
                <w:sz w:val="24"/>
                <w:szCs w:val="24"/>
                <w:lang w:eastAsia="en-GB"/>
              </w:rPr>
            </w:pPr>
            <w:r w:rsidRPr="00A66ECD">
              <w:rPr>
                <w:rFonts w:ascii="Times New Roman" w:eastAsia="Times New Roman" w:hAnsi="Times New Roman" w:cs="Times New Roman"/>
                <w:color w:val="000000"/>
                <w:sz w:val="24"/>
                <w:szCs w:val="24"/>
                <w:lang w:eastAsia="en-GB"/>
              </w:rPr>
              <w:t>£100,000.00</w:t>
            </w:r>
          </w:p>
        </w:tc>
      </w:tr>
      <w:tr w:rsidR="00237B83" w:rsidRPr="00A66ECD" w14:paraId="181AA2E5" w14:textId="77777777" w:rsidTr="00237B83">
        <w:trPr>
          <w:trHeight w:val="300"/>
        </w:trPr>
        <w:tc>
          <w:tcPr>
            <w:tcW w:w="3924" w:type="dxa"/>
            <w:tcBorders>
              <w:top w:val="nil"/>
              <w:left w:val="nil"/>
              <w:bottom w:val="nil"/>
              <w:right w:val="nil"/>
            </w:tcBorders>
            <w:shd w:val="clear" w:color="auto" w:fill="auto"/>
            <w:noWrap/>
            <w:vAlign w:val="bottom"/>
            <w:hideMark/>
          </w:tcPr>
          <w:p w14:paraId="671AE789" w14:textId="77777777" w:rsidR="00237B83" w:rsidRPr="00A66ECD" w:rsidRDefault="00237B83" w:rsidP="00A66ECD">
            <w:pPr>
              <w:spacing w:after="0" w:line="276" w:lineRule="auto"/>
              <w:jc w:val="both"/>
              <w:rPr>
                <w:rFonts w:ascii="Times New Roman" w:eastAsia="Times New Roman" w:hAnsi="Times New Roman" w:cs="Times New Roman"/>
                <w:color w:val="000000"/>
                <w:sz w:val="24"/>
                <w:szCs w:val="24"/>
                <w:lang w:eastAsia="en-GB"/>
              </w:rPr>
            </w:pPr>
            <w:r w:rsidRPr="00A66ECD">
              <w:rPr>
                <w:rFonts w:ascii="Times New Roman" w:eastAsia="Times New Roman" w:hAnsi="Times New Roman" w:cs="Times New Roman"/>
                <w:color w:val="000000"/>
                <w:sz w:val="24"/>
                <w:szCs w:val="24"/>
                <w:lang w:eastAsia="en-GB"/>
              </w:rPr>
              <w:t>Preference dividends paid</w:t>
            </w:r>
          </w:p>
        </w:tc>
        <w:tc>
          <w:tcPr>
            <w:tcW w:w="1916" w:type="dxa"/>
            <w:tcBorders>
              <w:top w:val="nil"/>
              <w:left w:val="nil"/>
              <w:bottom w:val="nil"/>
              <w:right w:val="nil"/>
            </w:tcBorders>
            <w:shd w:val="clear" w:color="auto" w:fill="auto"/>
            <w:noWrap/>
            <w:vAlign w:val="bottom"/>
            <w:hideMark/>
          </w:tcPr>
          <w:p w14:paraId="0E3165CA" w14:textId="77777777" w:rsidR="00237B83" w:rsidRPr="00A66ECD" w:rsidRDefault="00237B83" w:rsidP="00A66ECD">
            <w:pPr>
              <w:spacing w:after="0" w:line="276" w:lineRule="auto"/>
              <w:jc w:val="both"/>
              <w:rPr>
                <w:rFonts w:ascii="Times New Roman" w:eastAsia="Times New Roman" w:hAnsi="Times New Roman" w:cs="Times New Roman"/>
                <w:color w:val="000000"/>
                <w:sz w:val="24"/>
                <w:szCs w:val="24"/>
                <w:lang w:eastAsia="en-GB"/>
              </w:rPr>
            </w:pPr>
            <w:r w:rsidRPr="00A66ECD">
              <w:rPr>
                <w:rFonts w:ascii="Times New Roman" w:eastAsia="Times New Roman" w:hAnsi="Times New Roman" w:cs="Times New Roman"/>
                <w:color w:val="000000"/>
                <w:sz w:val="24"/>
                <w:szCs w:val="24"/>
                <w:lang w:eastAsia="en-GB"/>
              </w:rPr>
              <w:t>£30,000.00</w:t>
            </w:r>
          </w:p>
        </w:tc>
      </w:tr>
      <w:tr w:rsidR="00237B83" w:rsidRPr="00A66ECD" w14:paraId="41014A0A" w14:textId="77777777" w:rsidTr="00237B83">
        <w:trPr>
          <w:trHeight w:val="300"/>
        </w:trPr>
        <w:tc>
          <w:tcPr>
            <w:tcW w:w="3924" w:type="dxa"/>
            <w:tcBorders>
              <w:top w:val="nil"/>
              <w:left w:val="nil"/>
              <w:bottom w:val="nil"/>
              <w:right w:val="nil"/>
            </w:tcBorders>
            <w:shd w:val="clear" w:color="auto" w:fill="auto"/>
            <w:noWrap/>
            <w:vAlign w:val="bottom"/>
            <w:hideMark/>
          </w:tcPr>
          <w:p w14:paraId="50E7DA9F" w14:textId="77777777" w:rsidR="00237B83" w:rsidRPr="00A66ECD" w:rsidRDefault="00237B83" w:rsidP="00A66ECD">
            <w:pPr>
              <w:spacing w:after="0" w:line="276" w:lineRule="auto"/>
              <w:jc w:val="both"/>
              <w:rPr>
                <w:rFonts w:ascii="Times New Roman" w:eastAsia="Times New Roman" w:hAnsi="Times New Roman" w:cs="Times New Roman"/>
                <w:color w:val="000000"/>
                <w:sz w:val="24"/>
                <w:szCs w:val="24"/>
                <w:lang w:eastAsia="en-GB"/>
              </w:rPr>
            </w:pPr>
            <w:r w:rsidRPr="00A66ECD">
              <w:rPr>
                <w:rFonts w:ascii="Times New Roman" w:eastAsia="Times New Roman" w:hAnsi="Times New Roman" w:cs="Times New Roman"/>
                <w:color w:val="000000"/>
                <w:sz w:val="24"/>
                <w:szCs w:val="24"/>
                <w:lang w:eastAsia="en-GB"/>
              </w:rPr>
              <w:t>Ordinary dividend paid</w:t>
            </w:r>
          </w:p>
        </w:tc>
        <w:tc>
          <w:tcPr>
            <w:tcW w:w="1916" w:type="dxa"/>
            <w:tcBorders>
              <w:top w:val="nil"/>
              <w:left w:val="nil"/>
              <w:bottom w:val="nil"/>
              <w:right w:val="nil"/>
            </w:tcBorders>
            <w:shd w:val="clear" w:color="auto" w:fill="auto"/>
            <w:noWrap/>
            <w:vAlign w:val="bottom"/>
            <w:hideMark/>
          </w:tcPr>
          <w:p w14:paraId="69BADEC6" w14:textId="77777777" w:rsidR="00237B83" w:rsidRPr="00A66ECD" w:rsidRDefault="00237B83" w:rsidP="00A66ECD">
            <w:pPr>
              <w:spacing w:after="0" w:line="276" w:lineRule="auto"/>
              <w:jc w:val="both"/>
              <w:rPr>
                <w:rFonts w:ascii="Times New Roman" w:eastAsia="Times New Roman" w:hAnsi="Times New Roman" w:cs="Times New Roman"/>
                <w:color w:val="000000"/>
                <w:sz w:val="24"/>
                <w:szCs w:val="24"/>
                <w:lang w:eastAsia="en-GB"/>
              </w:rPr>
            </w:pPr>
            <w:r w:rsidRPr="00A66ECD">
              <w:rPr>
                <w:rFonts w:ascii="Times New Roman" w:eastAsia="Times New Roman" w:hAnsi="Times New Roman" w:cs="Times New Roman"/>
                <w:color w:val="000000"/>
                <w:sz w:val="24"/>
                <w:szCs w:val="24"/>
                <w:lang w:eastAsia="en-GB"/>
              </w:rPr>
              <w:t>£20,000.00</w:t>
            </w:r>
          </w:p>
        </w:tc>
      </w:tr>
      <w:tr w:rsidR="00237B83" w:rsidRPr="00A66ECD" w14:paraId="0932905E" w14:textId="77777777" w:rsidTr="00237B83">
        <w:trPr>
          <w:trHeight w:val="300"/>
        </w:trPr>
        <w:tc>
          <w:tcPr>
            <w:tcW w:w="3924" w:type="dxa"/>
            <w:tcBorders>
              <w:top w:val="nil"/>
              <w:left w:val="nil"/>
              <w:bottom w:val="nil"/>
              <w:right w:val="nil"/>
            </w:tcBorders>
            <w:shd w:val="clear" w:color="auto" w:fill="auto"/>
            <w:noWrap/>
            <w:vAlign w:val="bottom"/>
            <w:hideMark/>
          </w:tcPr>
          <w:p w14:paraId="698241FD" w14:textId="77777777" w:rsidR="00237B83" w:rsidRPr="00A66ECD" w:rsidRDefault="00237B83" w:rsidP="00A66ECD">
            <w:pPr>
              <w:spacing w:after="0" w:line="276" w:lineRule="auto"/>
              <w:jc w:val="both"/>
              <w:rPr>
                <w:rFonts w:ascii="Times New Roman" w:eastAsia="Times New Roman" w:hAnsi="Times New Roman" w:cs="Times New Roman"/>
                <w:b/>
                <w:bCs/>
                <w:color w:val="000000"/>
                <w:sz w:val="24"/>
                <w:szCs w:val="24"/>
                <w:lang w:eastAsia="en-GB"/>
              </w:rPr>
            </w:pPr>
            <w:r w:rsidRPr="00A66ECD">
              <w:rPr>
                <w:rFonts w:ascii="Times New Roman" w:eastAsia="Times New Roman" w:hAnsi="Times New Roman" w:cs="Times New Roman"/>
                <w:b/>
                <w:bCs/>
                <w:color w:val="000000"/>
                <w:sz w:val="24"/>
                <w:szCs w:val="24"/>
                <w:lang w:eastAsia="en-GB"/>
              </w:rPr>
              <w:t>Net profit</w:t>
            </w:r>
          </w:p>
        </w:tc>
        <w:tc>
          <w:tcPr>
            <w:tcW w:w="1916" w:type="dxa"/>
            <w:tcBorders>
              <w:top w:val="nil"/>
              <w:left w:val="nil"/>
              <w:bottom w:val="nil"/>
              <w:right w:val="nil"/>
            </w:tcBorders>
            <w:shd w:val="clear" w:color="auto" w:fill="auto"/>
            <w:noWrap/>
            <w:vAlign w:val="bottom"/>
            <w:hideMark/>
          </w:tcPr>
          <w:p w14:paraId="452A7761" w14:textId="77777777" w:rsidR="00237B83" w:rsidRPr="00A66ECD" w:rsidRDefault="00237B83" w:rsidP="00A66ECD">
            <w:pPr>
              <w:spacing w:after="0" w:line="276" w:lineRule="auto"/>
              <w:jc w:val="both"/>
              <w:rPr>
                <w:rFonts w:ascii="Times New Roman" w:eastAsia="Times New Roman" w:hAnsi="Times New Roman" w:cs="Times New Roman"/>
                <w:b/>
                <w:bCs/>
                <w:color w:val="000000"/>
                <w:sz w:val="24"/>
                <w:szCs w:val="24"/>
                <w:lang w:eastAsia="en-GB"/>
              </w:rPr>
            </w:pPr>
            <w:r w:rsidRPr="00A66ECD">
              <w:rPr>
                <w:rFonts w:ascii="Times New Roman" w:eastAsia="Times New Roman" w:hAnsi="Times New Roman" w:cs="Times New Roman"/>
                <w:b/>
                <w:bCs/>
                <w:color w:val="000000"/>
                <w:sz w:val="24"/>
                <w:szCs w:val="24"/>
                <w:lang w:eastAsia="en-GB"/>
              </w:rPr>
              <w:t>£4,330.00</w:t>
            </w:r>
          </w:p>
        </w:tc>
      </w:tr>
    </w:tbl>
    <w:p w14:paraId="73D92E9A" w14:textId="77777777" w:rsidR="00237B83" w:rsidRPr="00A66ECD" w:rsidRDefault="00237B83" w:rsidP="00A66ECD">
      <w:pPr>
        <w:spacing w:after="0" w:line="360" w:lineRule="auto"/>
        <w:jc w:val="both"/>
        <w:rPr>
          <w:rFonts w:ascii="Times New Roman" w:hAnsi="Times New Roman" w:cs="Times New Roman"/>
          <w:sz w:val="24"/>
          <w:szCs w:val="24"/>
        </w:rPr>
      </w:pPr>
    </w:p>
    <w:p w14:paraId="6DDDBC95" w14:textId="77777777" w:rsidR="005F1998" w:rsidRPr="00A66ECD" w:rsidRDefault="005F1998" w:rsidP="00A66ECD">
      <w:pPr>
        <w:spacing w:after="240" w:line="360" w:lineRule="auto"/>
        <w:jc w:val="both"/>
        <w:rPr>
          <w:rFonts w:ascii="Times New Roman" w:hAnsi="Times New Roman" w:cs="Times New Roman"/>
          <w:i/>
          <w:iCs/>
          <w:sz w:val="24"/>
          <w:szCs w:val="24"/>
          <w:u w:val="single"/>
        </w:rPr>
      </w:pPr>
      <w:r w:rsidRPr="00A66ECD">
        <w:rPr>
          <w:rFonts w:ascii="Times New Roman" w:hAnsi="Times New Roman" w:cs="Times New Roman"/>
          <w:i/>
          <w:iCs/>
          <w:sz w:val="24"/>
          <w:szCs w:val="24"/>
          <w:u w:val="single"/>
        </w:rPr>
        <w:t>Notes to income statement, explaining calculations:</w:t>
      </w:r>
    </w:p>
    <w:p w14:paraId="6E989D08" w14:textId="77777777" w:rsidR="005F1998" w:rsidRPr="00A66ECD" w:rsidRDefault="005F1998" w:rsidP="00A66ECD">
      <w:pPr>
        <w:spacing w:after="240" w:line="360" w:lineRule="auto"/>
        <w:jc w:val="both"/>
        <w:rPr>
          <w:rFonts w:ascii="Times New Roman" w:hAnsi="Times New Roman" w:cs="Times New Roman"/>
          <w:sz w:val="24"/>
          <w:szCs w:val="24"/>
        </w:rPr>
      </w:pPr>
      <w:r w:rsidRPr="00A66ECD">
        <w:rPr>
          <w:rFonts w:ascii="Times New Roman" w:hAnsi="Times New Roman" w:cs="Times New Roman"/>
          <w:sz w:val="24"/>
          <w:szCs w:val="24"/>
        </w:rPr>
        <w:t>Sales = 800,000 + 980 = £</w:t>
      </w:r>
      <w:r w:rsidR="00A66ECD" w:rsidRPr="00A66ECD">
        <w:rPr>
          <w:rFonts w:ascii="Times New Roman" w:hAnsi="Times New Roman" w:cs="Times New Roman"/>
          <w:sz w:val="24"/>
          <w:szCs w:val="24"/>
        </w:rPr>
        <w:t>800.98</w:t>
      </w:r>
      <w:r w:rsidRPr="00A66ECD">
        <w:rPr>
          <w:rFonts w:ascii="Times New Roman" w:hAnsi="Times New Roman" w:cs="Times New Roman"/>
          <w:sz w:val="24"/>
          <w:szCs w:val="24"/>
        </w:rPr>
        <w:t>0</w:t>
      </w:r>
    </w:p>
    <w:p w14:paraId="6FCD3450" w14:textId="77777777" w:rsidR="005F1998" w:rsidRPr="00A66ECD" w:rsidRDefault="005F1998" w:rsidP="00A66ECD">
      <w:pPr>
        <w:spacing w:after="240" w:line="360" w:lineRule="auto"/>
        <w:jc w:val="both"/>
        <w:rPr>
          <w:rFonts w:ascii="Times New Roman" w:hAnsi="Times New Roman" w:cs="Times New Roman"/>
          <w:sz w:val="24"/>
          <w:szCs w:val="24"/>
        </w:rPr>
      </w:pPr>
      <w:r w:rsidRPr="00A66ECD">
        <w:rPr>
          <w:rFonts w:ascii="Times New Roman" w:hAnsi="Times New Roman" w:cs="Times New Roman"/>
          <w:sz w:val="24"/>
          <w:szCs w:val="24"/>
        </w:rPr>
        <w:lastRenderedPageBreak/>
        <w:t>Gross profit = Sales – Cost of sales</w:t>
      </w:r>
    </w:p>
    <w:p w14:paraId="2E5CDD5F" w14:textId="77777777" w:rsidR="005F1998" w:rsidRPr="00A66ECD" w:rsidRDefault="005F1998" w:rsidP="00A66ECD">
      <w:pPr>
        <w:spacing w:after="240" w:line="360" w:lineRule="auto"/>
        <w:jc w:val="both"/>
        <w:rPr>
          <w:rFonts w:ascii="Times New Roman" w:hAnsi="Times New Roman" w:cs="Times New Roman"/>
          <w:sz w:val="24"/>
          <w:szCs w:val="24"/>
        </w:rPr>
      </w:pPr>
      <w:r w:rsidRPr="00A66ECD">
        <w:rPr>
          <w:rFonts w:ascii="Times New Roman" w:hAnsi="Times New Roman" w:cs="Times New Roman"/>
          <w:sz w:val="24"/>
          <w:szCs w:val="24"/>
        </w:rPr>
        <w:t>Operating profit = Gross profit – operating expenses</w:t>
      </w:r>
    </w:p>
    <w:p w14:paraId="3BA5462D" w14:textId="77777777" w:rsidR="005F1998" w:rsidRPr="00A66ECD" w:rsidRDefault="005F1998" w:rsidP="00A66ECD">
      <w:pPr>
        <w:spacing w:after="240" w:line="360" w:lineRule="auto"/>
        <w:jc w:val="both"/>
        <w:rPr>
          <w:rFonts w:ascii="Times New Roman" w:hAnsi="Times New Roman" w:cs="Times New Roman"/>
          <w:sz w:val="24"/>
          <w:szCs w:val="24"/>
        </w:rPr>
      </w:pPr>
      <w:r w:rsidRPr="00A66ECD">
        <w:rPr>
          <w:rFonts w:ascii="Times New Roman" w:hAnsi="Times New Roman" w:cs="Times New Roman"/>
          <w:sz w:val="24"/>
          <w:szCs w:val="24"/>
        </w:rPr>
        <w:t>Profit before taxes = Operating profit – Non-operating expenses</w:t>
      </w:r>
    </w:p>
    <w:p w14:paraId="4E81FCD2" w14:textId="77777777" w:rsidR="005F1998" w:rsidRPr="00A66ECD" w:rsidRDefault="005F1998" w:rsidP="00A66ECD">
      <w:pPr>
        <w:spacing w:after="240" w:line="360" w:lineRule="auto"/>
        <w:jc w:val="both"/>
        <w:rPr>
          <w:rFonts w:ascii="Times New Roman" w:hAnsi="Times New Roman" w:cs="Times New Roman"/>
          <w:sz w:val="24"/>
          <w:szCs w:val="24"/>
        </w:rPr>
      </w:pPr>
      <w:r w:rsidRPr="00A66ECD">
        <w:rPr>
          <w:rFonts w:ascii="Times New Roman" w:hAnsi="Times New Roman" w:cs="Times New Roman"/>
          <w:sz w:val="24"/>
          <w:szCs w:val="24"/>
        </w:rPr>
        <w:t>Net profit = Profit before taxes – Provision for taxes – Dividends paid</w:t>
      </w:r>
    </w:p>
    <w:p w14:paraId="6BCCE146" w14:textId="77777777" w:rsidR="005F1998" w:rsidRPr="00A66ECD" w:rsidRDefault="005F1998" w:rsidP="00A66ECD">
      <w:pPr>
        <w:spacing w:after="240" w:line="360" w:lineRule="auto"/>
        <w:jc w:val="both"/>
        <w:rPr>
          <w:rFonts w:ascii="Times New Roman" w:hAnsi="Times New Roman" w:cs="Times New Roman"/>
          <w:sz w:val="24"/>
          <w:szCs w:val="24"/>
        </w:rPr>
      </w:pPr>
    </w:p>
    <w:p w14:paraId="2DEB243B" w14:textId="77777777" w:rsidR="00E0501E" w:rsidRPr="00A66ECD" w:rsidRDefault="00237B83" w:rsidP="00A66ECD">
      <w:pPr>
        <w:spacing w:after="240" w:line="360" w:lineRule="auto"/>
        <w:jc w:val="both"/>
        <w:rPr>
          <w:rFonts w:ascii="Times New Roman" w:hAnsi="Times New Roman" w:cs="Times New Roman"/>
          <w:sz w:val="24"/>
          <w:szCs w:val="24"/>
        </w:rPr>
      </w:pPr>
      <w:r w:rsidRPr="00A66ECD">
        <w:rPr>
          <w:rFonts w:ascii="Times New Roman" w:hAnsi="Times New Roman" w:cs="Times New Roman"/>
          <w:sz w:val="24"/>
          <w:szCs w:val="24"/>
        </w:rPr>
        <w:t xml:space="preserve">The statement of financial position (a.k.a. balance sheet) is another type of a financial statement, showing the assets, liabilities and shareholders’ equity of the business at a certain date or point of time (usually the last day of an accounting period, such as an year) (Needles et al., 2014). </w:t>
      </w:r>
      <w:r w:rsidR="00EA7939" w:rsidRPr="00A66ECD">
        <w:rPr>
          <w:rFonts w:ascii="Times New Roman" w:hAnsi="Times New Roman" w:cs="Times New Roman"/>
          <w:sz w:val="24"/>
          <w:szCs w:val="24"/>
        </w:rPr>
        <w:t>The statement of financial position for Wales Plc at 31</w:t>
      </w:r>
      <w:r w:rsidR="00EA7939" w:rsidRPr="00A66ECD">
        <w:rPr>
          <w:rFonts w:ascii="Times New Roman" w:hAnsi="Times New Roman" w:cs="Times New Roman"/>
          <w:sz w:val="24"/>
          <w:szCs w:val="24"/>
          <w:vertAlign w:val="superscript"/>
        </w:rPr>
        <w:t>st</w:t>
      </w:r>
      <w:r w:rsidR="00EA7939" w:rsidRPr="00A66ECD">
        <w:rPr>
          <w:rFonts w:ascii="Times New Roman" w:hAnsi="Times New Roman" w:cs="Times New Roman"/>
          <w:sz w:val="24"/>
          <w:szCs w:val="24"/>
        </w:rPr>
        <w:t xml:space="preserve"> December 2021 is shown below.</w:t>
      </w:r>
    </w:p>
    <w:p w14:paraId="30D9B131" w14:textId="77777777" w:rsidR="00EA7939" w:rsidRPr="00A66ECD" w:rsidRDefault="00EA7939" w:rsidP="00A66ECD">
      <w:pPr>
        <w:spacing w:after="240" w:line="360" w:lineRule="auto"/>
        <w:jc w:val="both"/>
        <w:rPr>
          <w:rFonts w:ascii="Times New Roman" w:hAnsi="Times New Roman" w:cs="Times New Roman"/>
          <w:sz w:val="24"/>
          <w:szCs w:val="24"/>
        </w:rPr>
      </w:pPr>
    </w:p>
    <w:tbl>
      <w:tblPr>
        <w:tblW w:w="5840" w:type="dxa"/>
        <w:tblLook w:val="04A0" w:firstRow="1" w:lastRow="0" w:firstColumn="1" w:lastColumn="0" w:noHBand="0" w:noVBand="1"/>
      </w:tblPr>
      <w:tblGrid>
        <w:gridCol w:w="3949"/>
        <w:gridCol w:w="1891"/>
      </w:tblGrid>
      <w:tr w:rsidR="00EA7939" w:rsidRPr="00A66ECD" w14:paraId="12F84424" w14:textId="77777777" w:rsidTr="00EA7939">
        <w:trPr>
          <w:trHeight w:val="600"/>
        </w:trPr>
        <w:tc>
          <w:tcPr>
            <w:tcW w:w="5840" w:type="dxa"/>
            <w:gridSpan w:val="2"/>
            <w:tcBorders>
              <w:top w:val="nil"/>
              <w:left w:val="nil"/>
              <w:bottom w:val="nil"/>
              <w:right w:val="nil"/>
            </w:tcBorders>
            <w:shd w:val="clear" w:color="auto" w:fill="auto"/>
            <w:noWrap/>
            <w:vAlign w:val="bottom"/>
            <w:hideMark/>
          </w:tcPr>
          <w:p w14:paraId="2A6F82C3" w14:textId="77777777" w:rsidR="00EA7939" w:rsidRPr="00A66ECD" w:rsidRDefault="00EA7939" w:rsidP="00A66ECD">
            <w:pPr>
              <w:spacing w:after="0" w:line="276" w:lineRule="auto"/>
              <w:jc w:val="both"/>
              <w:rPr>
                <w:rFonts w:ascii="Times New Roman" w:eastAsia="Times New Roman" w:hAnsi="Times New Roman" w:cs="Times New Roman"/>
                <w:b/>
                <w:bCs/>
                <w:color w:val="000000"/>
                <w:sz w:val="24"/>
                <w:szCs w:val="24"/>
                <w:lang w:eastAsia="en-GB"/>
              </w:rPr>
            </w:pPr>
            <w:r w:rsidRPr="00A66ECD">
              <w:rPr>
                <w:rFonts w:ascii="Times New Roman" w:eastAsia="Times New Roman" w:hAnsi="Times New Roman" w:cs="Times New Roman"/>
                <w:b/>
                <w:bCs/>
                <w:color w:val="000000"/>
                <w:sz w:val="24"/>
                <w:szCs w:val="24"/>
                <w:lang w:eastAsia="en-GB"/>
              </w:rPr>
              <w:t>Statement of financial position at 31st December 2021 for Wales Plc</w:t>
            </w:r>
          </w:p>
        </w:tc>
      </w:tr>
      <w:tr w:rsidR="00EA7939" w:rsidRPr="00A66ECD" w14:paraId="145CF3E3" w14:textId="77777777" w:rsidTr="00EA7939">
        <w:trPr>
          <w:trHeight w:val="300"/>
        </w:trPr>
        <w:tc>
          <w:tcPr>
            <w:tcW w:w="3949" w:type="dxa"/>
            <w:tcBorders>
              <w:top w:val="nil"/>
              <w:left w:val="nil"/>
              <w:bottom w:val="nil"/>
              <w:right w:val="nil"/>
            </w:tcBorders>
            <w:shd w:val="clear" w:color="auto" w:fill="auto"/>
            <w:noWrap/>
            <w:vAlign w:val="bottom"/>
            <w:hideMark/>
          </w:tcPr>
          <w:p w14:paraId="595ACFA0" w14:textId="77777777" w:rsidR="00EA7939" w:rsidRPr="00A66ECD" w:rsidRDefault="00EA7939" w:rsidP="00A66ECD">
            <w:pPr>
              <w:spacing w:after="0" w:line="276" w:lineRule="auto"/>
              <w:jc w:val="both"/>
              <w:rPr>
                <w:rFonts w:ascii="Times New Roman" w:eastAsia="Times New Roman" w:hAnsi="Times New Roman" w:cs="Times New Roman"/>
                <w:b/>
                <w:bCs/>
                <w:color w:val="000000"/>
                <w:sz w:val="24"/>
                <w:szCs w:val="24"/>
                <w:lang w:eastAsia="en-GB"/>
              </w:rPr>
            </w:pPr>
          </w:p>
        </w:tc>
        <w:tc>
          <w:tcPr>
            <w:tcW w:w="1891" w:type="dxa"/>
            <w:tcBorders>
              <w:top w:val="nil"/>
              <w:left w:val="nil"/>
              <w:bottom w:val="nil"/>
              <w:right w:val="nil"/>
            </w:tcBorders>
            <w:shd w:val="clear" w:color="auto" w:fill="auto"/>
            <w:noWrap/>
            <w:vAlign w:val="bottom"/>
            <w:hideMark/>
          </w:tcPr>
          <w:p w14:paraId="0BDC0FF5" w14:textId="77777777" w:rsidR="00EA7939" w:rsidRPr="00A66ECD" w:rsidRDefault="00EA7939" w:rsidP="00A66ECD">
            <w:pPr>
              <w:spacing w:after="0" w:line="276" w:lineRule="auto"/>
              <w:jc w:val="both"/>
              <w:rPr>
                <w:rFonts w:ascii="Times New Roman" w:eastAsia="Times New Roman" w:hAnsi="Times New Roman" w:cs="Times New Roman"/>
                <w:sz w:val="24"/>
                <w:szCs w:val="24"/>
                <w:lang w:eastAsia="en-GB"/>
              </w:rPr>
            </w:pPr>
          </w:p>
        </w:tc>
      </w:tr>
      <w:tr w:rsidR="00EA7939" w:rsidRPr="00A66ECD" w14:paraId="738853A0" w14:textId="77777777" w:rsidTr="00EA7939">
        <w:trPr>
          <w:trHeight w:val="300"/>
        </w:trPr>
        <w:tc>
          <w:tcPr>
            <w:tcW w:w="3949" w:type="dxa"/>
            <w:tcBorders>
              <w:top w:val="nil"/>
              <w:left w:val="nil"/>
              <w:bottom w:val="nil"/>
              <w:right w:val="nil"/>
            </w:tcBorders>
            <w:shd w:val="clear" w:color="auto" w:fill="auto"/>
            <w:noWrap/>
            <w:vAlign w:val="bottom"/>
            <w:hideMark/>
          </w:tcPr>
          <w:p w14:paraId="4D0502B0" w14:textId="77777777" w:rsidR="00EA7939" w:rsidRPr="00A66ECD" w:rsidRDefault="00EA7939" w:rsidP="00A66ECD">
            <w:pPr>
              <w:spacing w:after="0" w:line="276" w:lineRule="auto"/>
              <w:jc w:val="both"/>
              <w:rPr>
                <w:rFonts w:ascii="Times New Roman" w:eastAsia="Times New Roman" w:hAnsi="Times New Roman" w:cs="Times New Roman"/>
                <w:b/>
                <w:bCs/>
                <w:color w:val="000000"/>
                <w:sz w:val="24"/>
                <w:szCs w:val="24"/>
                <w:lang w:eastAsia="en-GB"/>
              </w:rPr>
            </w:pPr>
            <w:r w:rsidRPr="00A66ECD">
              <w:rPr>
                <w:rFonts w:ascii="Times New Roman" w:eastAsia="Times New Roman" w:hAnsi="Times New Roman" w:cs="Times New Roman"/>
                <w:b/>
                <w:bCs/>
                <w:color w:val="000000"/>
                <w:sz w:val="24"/>
                <w:szCs w:val="24"/>
                <w:lang w:eastAsia="en-GB"/>
              </w:rPr>
              <w:t>Assets</w:t>
            </w:r>
          </w:p>
        </w:tc>
        <w:tc>
          <w:tcPr>
            <w:tcW w:w="1891" w:type="dxa"/>
            <w:tcBorders>
              <w:top w:val="nil"/>
              <w:left w:val="nil"/>
              <w:bottom w:val="nil"/>
              <w:right w:val="nil"/>
            </w:tcBorders>
            <w:shd w:val="clear" w:color="auto" w:fill="auto"/>
            <w:noWrap/>
            <w:vAlign w:val="bottom"/>
            <w:hideMark/>
          </w:tcPr>
          <w:p w14:paraId="5444EEC1" w14:textId="77777777" w:rsidR="00EA7939" w:rsidRPr="00A66ECD" w:rsidRDefault="00EA7939" w:rsidP="00A66ECD">
            <w:pPr>
              <w:spacing w:after="0" w:line="276" w:lineRule="auto"/>
              <w:jc w:val="both"/>
              <w:rPr>
                <w:rFonts w:ascii="Times New Roman" w:eastAsia="Times New Roman" w:hAnsi="Times New Roman" w:cs="Times New Roman"/>
                <w:b/>
                <w:bCs/>
                <w:color w:val="000000"/>
                <w:sz w:val="24"/>
                <w:szCs w:val="24"/>
                <w:lang w:eastAsia="en-GB"/>
              </w:rPr>
            </w:pPr>
          </w:p>
        </w:tc>
      </w:tr>
      <w:tr w:rsidR="00EA7939" w:rsidRPr="00A66ECD" w14:paraId="7301C72E" w14:textId="77777777" w:rsidTr="00EA7939">
        <w:trPr>
          <w:trHeight w:val="300"/>
        </w:trPr>
        <w:tc>
          <w:tcPr>
            <w:tcW w:w="3949" w:type="dxa"/>
            <w:tcBorders>
              <w:top w:val="nil"/>
              <w:left w:val="nil"/>
              <w:bottom w:val="nil"/>
              <w:right w:val="nil"/>
            </w:tcBorders>
            <w:shd w:val="clear" w:color="auto" w:fill="auto"/>
            <w:noWrap/>
            <w:vAlign w:val="bottom"/>
            <w:hideMark/>
          </w:tcPr>
          <w:p w14:paraId="4FFD2872" w14:textId="77777777" w:rsidR="00EA7939" w:rsidRPr="00A66ECD" w:rsidRDefault="00EA7939" w:rsidP="00A66ECD">
            <w:pPr>
              <w:spacing w:after="0" w:line="276" w:lineRule="auto"/>
              <w:jc w:val="both"/>
              <w:rPr>
                <w:rFonts w:ascii="Times New Roman" w:eastAsia="Times New Roman" w:hAnsi="Times New Roman" w:cs="Times New Roman"/>
                <w:i/>
                <w:iCs/>
                <w:color w:val="000000"/>
                <w:sz w:val="24"/>
                <w:szCs w:val="24"/>
                <w:u w:val="single"/>
                <w:lang w:eastAsia="en-GB"/>
              </w:rPr>
            </w:pPr>
            <w:r w:rsidRPr="00A66ECD">
              <w:rPr>
                <w:rFonts w:ascii="Times New Roman" w:eastAsia="Times New Roman" w:hAnsi="Times New Roman" w:cs="Times New Roman"/>
                <w:i/>
                <w:iCs/>
                <w:color w:val="000000"/>
                <w:sz w:val="24"/>
                <w:szCs w:val="24"/>
                <w:u w:val="single"/>
                <w:lang w:eastAsia="en-GB"/>
              </w:rPr>
              <w:t>Fixed assets</w:t>
            </w:r>
          </w:p>
        </w:tc>
        <w:tc>
          <w:tcPr>
            <w:tcW w:w="1891" w:type="dxa"/>
            <w:tcBorders>
              <w:top w:val="nil"/>
              <w:left w:val="nil"/>
              <w:bottom w:val="nil"/>
              <w:right w:val="nil"/>
            </w:tcBorders>
            <w:shd w:val="clear" w:color="auto" w:fill="auto"/>
            <w:noWrap/>
            <w:vAlign w:val="bottom"/>
            <w:hideMark/>
          </w:tcPr>
          <w:p w14:paraId="3E05790D" w14:textId="77777777" w:rsidR="00EA7939" w:rsidRPr="00A66ECD" w:rsidRDefault="00EA7939" w:rsidP="00A66ECD">
            <w:pPr>
              <w:spacing w:after="0" w:line="276" w:lineRule="auto"/>
              <w:jc w:val="both"/>
              <w:rPr>
                <w:rFonts w:ascii="Times New Roman" w:eastAsia="Times New Roman" w:hAnsi="Times New Roman" w:cs="Times New Roman"/>
                <w:i/>
                <w:iCs/>
                <w:color w:val="000000"/>
                <w:sz w:val="24"/>
                <w:szCs w:val="24"/>
                <w:u w:val="single"/>
                <w:lang w:eastAsia="en-GB"/>
              </w:rPr>
            </w:pPr>
          </w:p>
        </w:tc>
      </w:tr>
      <w:tr w:rsidR="00EA7939" w:rsidRPr="00A66ECD" w14:paraId="357CE27E" w14:textId="77777777" w:rsidTr="00EA7939">
        <w:trPr>
          <w:trHeight w:val="300"/>
        </w:trPr>
        <w:tc>
          <w:tcPr>
            <w:tcW w:w="3949" w:type="dxa"/>
            <w:tcBorders>
              <w:top w:val="nil"/>
              <w:left w:val="nil"/>
              <w:bottom w:val="nil"/>
              <w:right w:val="nil"/>
            </w:tcBorders>
            <w:shd w:val="clear" w:color="auto" w:fill="auto"/>
            <w:noWrap/>
            <w:vAlign w:val="bottom"/>
            <w:hideMark/>
          </w:tcPr>
          <w:p w14:paraId="26431949" w14:textId="77777777" w:rsidR="00EA7939" w:rsidRPr="00A66ECD" w:rsidRDefault="00EA7939" w:rsidP="00A66ECD">
            <w:pPr>
              <w:spacing w:after="0" w:line="276" w:lineRule="auto"/>
              <w:jc w:val="both"/>
              <w:rPr>
                <w:rFonts w:ascii="Times New Roman" w:eastAsia="Times New Roman" w:hAnsi="Times New Roman" w:cs="Times New Roman"/>
                <w:color w:val="000000"/>
                <w:sz w:val="24"/>
                <w:szCs w:val="24"/>
                <w:lang w:eastAsia="en-GB"/>
              </w:rPr>
            </w:pPr>
            <w:r w:rsidRPr="00A66ECD">
              <w:rPr>
                <w:rFonts w:ascii="Times New Roman" w:eastAsia="Times New Roman" w:hAnsi="Times New Roman" w:cs="Times New Roman"/>
                <w:color w:val="000000"/>
                <w:sz w:val="24"/>
                <w:szCs w:val="24"/>
                <w:lang w:eastAsia="en-GB"/>
              </w:rPr>
              <w:t>Plant and equipment</w:t>
            </w:r>
          </w:p>
        </w:tc>
        <w:tc>
          <w:tcPr>
            <w:tcW w:w="1891" w:type="dxa"/>
            <w:tcBorders>
              <w:top w:val="nil"/>
              <w:left w:val="nil"/>
              <w:bottom w:val="nil"/>
              <w:right w:val="nil"/>
            </w:tcBorders>
            <w:shd w:val="clear" w:color="auto" w:fill="auto"/>
            <w:noWrap/>
            <w:vAlign w:val="bottom"/>
            <w:hideMark/>
          </w:tcPr>
          <w:p w14:paraId="772DDCCF" w14:textId="77777777" w:rsidR="00EA7939" w:rsidRPr="00A66ECD" w:rsidRDefault="00EA7939" w:rsidP="00A66ECD">
            <w:pPr>
              <w:spacing w:after="0" w:line="276" w:lineRule="auto"/>
              <w:jc w:val="both"/>
              <w:rPr>
                <w:rFonts w:ascii="Times New Roman" w:eastAsia="Times New Roman" w:hAnsi="Times New Roman" w:cs="Times New Roman"/>
                <w:color w:val="000000"/>
                <w:sz w:val="24"/>
                <w:szCs w:val="24"/>
                <w:lang w:eastAsia="en-GB"/>
              </w:rPr>
            </w:pPr>
            <w:r w:rsidRPr="00A66ECD">
              <w:rPr>
                <w:rFonts w:ascii="Times New Roman" w:eastAsia="Times New Roman" w:hAnsi="Times New Roman" w:cs="Times New Roman"/>
                <w:color w:val="000000"/>
                <w:sz w:val="24"/>
                <w:szCs w:val="24"/>
                <w:lang w:eastAsia="en-GB"/>
              </w:rPr>
              <w:t>£1,250,000.00</w:t>
            </w:r>
          </w:p>
        </w:tc>
      </w:tr>
      <w:tr w:rsidR="00EA7939" w:rsidRPr="00A66ECD" w14:paraId="39C91243" w14:textId="77777777" w:rsidTr="00EA7939">
        <w:trPr>
          <w:trHeight w:val="300"/>
        </w:trPr>
        <w:tc>
          <w:tcPr>
            <w:tcW w:w="3949" w:type="dxa"/>
            <w:tcBorders>
              <w:top w:val="nil"/>
              <w:left w:val="nil"/>
              <w:bottom w:val="nil"/>
              <w:right w:val="nil"/>
            </w:tcBorders>
            <w:shd w:val="clear" w:color="auto" w:fill="auto"/>
            <w:noWrap/>
            <w:vAlign w:val="bottom"/>
            <w:hideMark/>
          </w:tcPr>
          <w:p w14:paraId="1309C7D4" w14:textId="77777777" w:rsidR="00EA7939" w:rsidRPr="00A66ECD" w:rsidRDefault="00EA7939" w:rsidP="00A66ECD">
            <w:pPr>
              <w:spacing w:after="0" w:line="276" w:lineRule="auto"/>
              <w:jc w:val="both"/>
              <w:rPr>
                <w:rFonts w:ascii="Times New Roman" w:eastAsia="Times New Roman" w:hAnsi="Times New Roman" w:cs="Times New Roman"/>
                <w:color w:val="000000"/>
                <w:sz w:val="24"/>
                <w:szCs w:val="24"/>
                <w:lang w:eastAsia="en-GB"/>
              </w:rPr>
            </w:pPr>
          </w:p>
        </w:tc>
        <w:tc>
          <w:tcPr>
            <w:tcW w:w="1891" w:type="dxa"/>
            <w:tcBorders>
              <w:top w:val="nil"/>
              <w:left w:val="nil"/>
              <w:bottom w:val="nil"/>
              <w:right w:val="nil"/>
            </w:tcBorders>
            <w:shd w:val="clear" w:color="auto" w:fill="auto"/>
            <w:noWrap/>
            <w:vAlign w:val="bottom"/>
            <w:hideMark/>
          </w:tcPr>
          <w:p w14:paraId="7943D180" w14:textId="77777777" w:rsidR="00EA7939" w:rsidRPr="00A66ECD" w:rsidRDefault="00EA7939" w:rsidP="00A66ECD">
            <w:pPr>
              <w:spacing w:after="0" w:line="276" w:lineRule="auto"/>
              <w:jc w:val="both"/>
              <w:rPr>
                <w:rFonts w:ascii="Times New Roman" w:eastAsia="Times New Roman" w:hAnsi="Times New Roman" w:cs="Times New Roman"/>
                <w:sz w:val="24"/>
                <w:szCs w:val="24"/>
                <w:lang w:eastAsia="en-GB"/>
              </w:rPr>
            </w:pPr>
          </w:p>
        </w:tc>
      </w:tr>
      <w:tr w:rsidR="00EA7939" w:rsidRPr="00A66ECD" w14:paraId="28D25676" w14:textId="77777777" w:rsidTr="00EA7939">
        <w:trPr>
          <w:trHeight w:val="300"/>
        </w:trPr>
        <w:tc>
          <w:tcPr>
            <w:tcW w:w="3949" w:type="dxa"/>
            <w:tcBorders>
              <w:top w:val="nil"/>
              <w:left w:val="nil"/>
              <w:bottom w:val="nil"/>
              <w:right w:val="nil"/>
            </w:tcBorders>
            <w:shd w:val="clear" w:color="auto" w:fill="auto"/>
            <w:noWrap/>
            <w:vAlign w:val="bottom"/>
            <w:hideMark/>
          </w:tcPr>
          <w:p w14:paraId="71CE6A6E" w14:textId="77777777" w:rsidR="00EA7939" w:rsidRPr="00A66ECD" w:rsidRDefault="00EA7939" w:rsidP="00A66ECD">
            <w:pPr>
              <w:spacing w:after="0" w:line="276" w:lineRule="auto"/>
              <w:jc w:val="both"/>
              <w:rPr>
                <w:rFonts w:ascii="Times New Roman" w:eastAsia="Times New Roman" w:hAnsi="Times New Roman" w:cs="Times New Roman"/>
                <w:i/>
                <w:iCs/>
                <w:color w:val="000000"/>
                <w:sz w:val="24"/>
                <w:szCs w:val="24"/>
                <w:u w:val="single"/>
                <w:lang w:eastAsia="en-GB"/>
              </w:rPr>
            </w:pPr>
            <w:r w:rsidRPr="00A66ECD">
              <w:rPr>
                <w:rFonts w:ascii="Times New Roman" w:eastAsia="Times New Roman" w:hAnsi="Times New Roman" w:cs="Times New Roman"/>
                <w:i/>
                <w:iCs/>
                <w:color w:val="000000"/>
                <w:sz w:val="24"/>
                <w:szCs w:val="24"/>
                <w:u w:val="single"/>
                <w:lang w:eastAsia="en-GB"/>
              </w:rPr>
              <w:t>Current assets</w:t>
            </w:r>
          </w:p>
        </w:tc>
        <w:tc>
          <w:tcPr>
            <w:tcW w:w="1891" w:type="dxa"/>
            <w:tcBorders>
              <w:top w:val="nil"/>
              <w:left w:val="nil"/>
              <w:bottom w:val="nil"/>
              <w:right w:val="nil"/>
            </w:tcBorders>
            <w:shd w:val="clear" w:color="auto" w:fill="auto"/>
            <w:noWrap/>
            <w:vAlign w:val="bottom"/>
            <w:hideMark/>
          </w:tcPr>
          <w:p w14:paraId="16D5F2DA" w14:textId="77777777" w:rsidR="00EA7939" w:rsidRPr="00A66ECD" w:rsidRDefault="00EA7939" w:rsidP="00A66ECD">
            <w:pPr>
              <w:spacing w:after="0" w:line="276" w:lineRule="auto"/>
              <w:jc w:val="both"/>
              <w:rPr>
                <w:rFonts w:ascii="Times New Roman" w:eastAsia="Times New Roman" w:hAnsi="Times New Roman" w:cs="Times New Roman"/>
                <w:i/>
                <w:iCs/>
                <w:color w:val="000000"/>
                <w:sz w:val="24"/>
                <w:szCs w:val="24"/>
                <w:u w:val="single"/>
                <w:lang w:eastAsia="en-GB"/>
              </w:rPr>
            </w:pPr>
          </w:p>
        </w:tc>
      </w:tr>
      <w:tr w:rsidR="00EA7939" w:rsidRPr="00A66ECD" w14:paraId="3FACAC45" w14:textId="77777777" w:rsidTr="00EA7939">
        <w:trPr>
          <w:trHeight w:val="300"/>
        </w:trPr>
        <w:tc>
          <w:tcPr>
            <w:tcW w:w="3949" w:type="dxa"/>
            <w:tcBorders>
              <w:top w:val="nil"/>
              <w:left w:val="nil"/>
              <w:bottom w:val="nil"/>
              <w:right w:val="nil"/>
            </w:tcBorders>
            <w:shd w:val="clear" w:color="auto" w:fill="auto"/>
            <w:noWrap/>
            <w:vAlign w:val="bottom"/>
            <w:hideMark/>
          </w:tcPr>
          <w:p w14:paraId="284BA85D" w14:textId="77777777" w:rsidR="00EA7939" w:rsidRPr="00A66ECD" w:rsidRDefault="00EA7939" w:rsidP="00A66ECD">
            <w:pPr>
              <w:spacing w:after="0" w:line="276" w:lineRule="auto"/>
              <w:jc w:val="both"/>
              <w:rPr>
                <w:rFonts w:ascii="Times New Roman" w:eastAsia="Times New Roman" w:hAnsi="Times New Roman" w:cs="Times New Roman"/>
                <w:color w:val="000000"/>
                <w:sz w:val="24"/>
                <w:szCs w:val="24"/>
                <w:lang w:eastAsia="en-GB"/>
              </w:rPr>
            </w:pPr>
            <w:r w:rsidRPr="00A66ECD">
              <w:rPr>
                <w:rFonts w:ascii="Times New Roman" w:eastAsia="Times New Roman" w:hAnsi="Times New Roman" w:cs="Times New Roman"/>
                <w:color w:val="000000"/>
                <w:sz w:val="24"/>
                <w:szCs w:val="24"/>
                <w:lang w:eastAsia="en-GB"/>
              </w:rPr>
              <w:t>Debtors</w:t>
            </w:r>
          </w:p>
        </w:tc>
        <w:tc>
          <w:tcPr>
            <w:tcW w:w="1891" w:type="dxa"/>
            <w:tcBorders>
              <w:top w:val="nil"/>
              <w:left w:val="nil"/>
              <w:bottom w:val="nil"/>
              <w:right w:val="nil"/>
            </w:tcBorders>
            <w:shd w:val="clear" w:color="auto" w:fill="auto"/>
            <w:noWrap/>
            <w:vAlign w:val="bottom"/>
            <w:hideMark/>
          </w:tcPr>
          <w:p w14:paraId="7986B3CD" w14:textId="77777777" w:rsidR="00EA7939" w:rsidRPr="00A66ECD" w:rsidRDefault="00EA7939" w:rsidP="00A66ECD">
            <w:pPr>
              <w:spacing w:after="0" w:line="276" w:lineRule="auto"/>
              <w:jc w:val="both"/>
              <w:rPr>
                <w:rFonts w:ascii="Times New Roman" w:eastAsia="Times New Roman" w:hAnsi="Times New Roman" w:cs="Times New Roman"/>
                <w:color w:val="000000"/>
                <w:sz w:val="24"/>
                <w:szCs w:val="24"/>
                <w:lang w:eastAsia="en-GB"/>
              </w:rPr>
            </w:pPr>
            <w:r w:rsidRPr="00A66ECD">
              <w:rPr>
                <w:rFonts w:ascii="Times New Roman" w:eastAsia="Times New Roman" w:hAnsi="Times New Roman" w:cs="Times New Roman"/>
                <w:color w:val="000000"/>
                <w:sz w:val="24"/>
                <w:szCs w:val="24"/>
                <w:lang w:eastAsia="en-GB"/>
              </w:rPr>
              <w:t>£171,105.00</w:t>
            </w:r>
          </w:p>
        </w:tc>
      </w:tr>
      <w:tr w:rsidR="00EA7939" w:rsidRPr="00A66ECD" w14:paraId="4BADFD76" w14:textId="77777777" w:rsidTr="00EA7939">
        <w:trPr>
          <w:trHeight w:val="300"/>
        </w:trPr>
        <w:tc>
          <w:tcPr>
            <w:tcW w:w="3949" w:type="dxa"/>
            <w:tcBorders>
              <w:top w:val="nil"/>
              <w:left w:val="nil"/>
              <w:bottom w:val="nil"/>
              <w:right w:val="nil"/>
            </w:tcBorders>
            <w:shd w:val="clear" w:color="auto" w:fill="auto"/>
            <w:noWrap/>
            <w:vAlign w:val="bottom"/>
            <w:hideMark/>
          </w:tcPr>
          <w:p w14:paraId="5E59A303" w14:textId="77777777" w:rsidR="00EA7939" w:rsidRPr="00A66ECD" w:rsidRDefault="00EA7939" w:rsidP="00A66ECD">
            <w:pPr>
              <w:spacing w:after="0" w:line="276" w:lineRule="auto"/>
              <w:jc w:val="both"/>
              <w:rPr>
                <w:rFonts w:ascii="Times New Roman" w:eastAsia="Times New Roman" w:hAnsi="Times New Roman" w:cs="Times New Roman"/>
                <w:color w:val="000000"/>
                <w:sz w:val="24"/>
                <w:szCs w:val="24"/>
                <w:lang w:eastAsia="en-GB"/>
              </w:rPr>
            </w:pPr>
            <w:r w:rsidRPr="00A66ECD">
              <w:rPr>
                <w:rFonts w:ascii="Times New Roman" w:eastAsia="Times New Roman" w:hAnsi="Times New Roman" w:cs="Times New Roman"/>
                <w:color w:val="000000"/>
                <w:sz w:val="24"/>
                <w:szCs w:val="24"/>
                <w:lang w:eastAsia="en-GB"/>
              </w:rPr>
              <w:t>Stock</w:t>
            </w:r>
          </w:p>
        </w:tc>
        <w:tc>
          <w:tcPr>
            <w:tcW w:w="1891" w:type="dxa"/>
            <w:tcBorders>
              <w:top w:val="nil"/>
              <w:left w:val="nil"/>
              <w:bottom w:val="nil"/>
              <w:right w:val="nil"/>
            </w:tcBorders>
            <w:shd w:val="clear" w:color="auto" w:fill="auto"/>
            <w:noWrap/>
            <w:vAlign w:val="bottom"/>
            <w:hideMark/>
          </w:tcPr>
          <w:p w14:paraId="2FCFA307" w14:textId="77777777" w:rsidR="00EA7939" w:rsidRPr="00A66ECD" w:rsidRDefault="00EA7939" w:rsidP="00A66ECD">
            <w:pPr>
              <w:spacing w:after="0" w:line="276" w:lineRule="auto"/>
              <w:jc w:val="both"/>
              <w:rPr>
                <w:rFonts w:ascii="Times New Roman" w:eastAsia="Times New Roman" w:hAnsi="Times New Roman" w:cs="Times New Roman"/>
                <w:color w:val="000000"/>
                <w:sz w:val="24"/>
                <w:szCs w:val="24"/>
                <w:lang w:eastAsia="en-GB"/>
              </w:rPr>
            </w:pPr>
            <w:r w:rsidRPr="00A66ECD">
              <w:rPr>
                <w:rFonts w:ascii="Times New Roman" w:eastAsia="Times New Roman" w:hAnsi="Times New Roman" w:cs="Times New Roman"/>
                <w:color w:val="000000"/>
                <w:sz w:val="24"/>
                <w:szCs w:val="24"/>
                <w:lang w:eastAsia="en-GB"/>
              </w:rPr>
              <w:t>£430,600.00</w:t>
            </w:r>
          </w:p>
        </w:tc>
      </w:tr>
      <w:tr w:rsidR="00EA7939" w:rsidRPr="00A66ECD" w14:paraId="2A50E836" w14:textId="77777777" w:rsidTr="00EA7939">
        <w:trPr>
          <w:trHeight w:val="300"/>
        </w:trPr>
        <w:tc>
          <w:tcPr>
            <w:tcW w:w="3949" w:type="dxa"/>
            <w:tcBorders>
              <w:top w:val="nil"/>
              <w:left w:val="nil"/>
              <w:bottom w:val="nil"/>
              <w:right w:val="nil"/>
            </w:tcBorders>
            <w:shd w:val="clear" w:color="auto" w:fill="auto"/>
            <w:noWrap/>
            <w:vAlign w:val="bottom"/>
            <w:hideMark/>
          </w:tcPr>
          <w:p w14:paraId="6CE1815D" w14:textId="77777777" w:rsidR="00EA7939" w:rsidRPr="00A66ECD" w:rsidRDefault="00EA7939" w:rsidP="00A66ECD">
            <w:pPr>
              <w:spacing w:after="0" w:line="276" w:lineRule="auto"/>
              <w:jc w:val="both"/>
              <w:rPr>
                <w:rFonts w:ascii="Times New Roman" w:eastAsia="Times New Roman" w:hAnsi="Times New Roman" w:cs="Times New Roman"/>
                <w:color w:val="000000"/>
                <w:sz w:val="24"/>
                <w:szCs w:val="24"/>
                <w:lang w:eastAsia="en-GB"/>
              </w:rPr>
            </w:pPr>
            <w:r w:rsidRPr="00A66ECD">
              <w:rPr>
                <w:rFonts w:ascii="Times New Roman" w:eastAsia="Times New Roman" w:hAnsi="Times New Roman" w:cs="Times New Roman"/>
                <w:color w:val="000000"/>
                <w:sz w:val="24"/>
                <w:szCs w:val="24"/>
                <w:lang w:eastAsia="en-GB"/>
              </w:rPr>
              <w:t>Cash and bank</w:t>
            </w:r>
          </w:p>
        </w:tc>
        <w:tc>
          <w:tcPr>
            <w:tcW w:w="1891" w:type="dxa"/>
            <w:tcBorders>
              <w:top w:val="nil"/>
              <w:left w:val="nil"/>
              <w:bottom w:val="nil"/>
              <w:right w:val="nil"/>
            </w:tcBorders>
            <w:shd w:val="clear" w:color="auto" w:fill="auto"/>
            <w:noWrap/>
            <w:vAlign w:val="bottom"/>
            <w:hideMark/>
          </w:tcPr>
          <w:p w14:paraId="222CC366" w14:textId="77777777" w:rsidR="00EA7939" w:rsidRPr="00A66ECD" w:rsidRDefault="00EA7939" w:rsidP="00A66ECD">
            <w:pPr>
              <w:spacing w:after="0" w:line="276" w:lineRule="auto"/>
              <w:jc w:val="both"/>
              <w:rPr>
                <w:rFonts w:ascii="Times New Roman" w:eastAsia="Times New Roman" w:hAnsi="Times New Roman" w:cs="Times New Roman"/>
                <w:color w:val="000000"/>
                <w:sz w:val="24"/>
                <w:szCs w:val="24"/>
                <w:lang w:eastAsia="en-GB"/>
              </w:rPr>
            </w:pPr>
            <w:r w:rsidRPr="00A66ECD">
              <w:rPr>
                <w:rFonts w:ascii="Times New Roman" w:eastAsia="Times New Roman" w:hAnsi="Times New Roman" w:cs="Times New Roman"/>
                <w:color w:val="000000"/>
                <w:sz w:val="24"/>
                <w:szCs w:val="24"/>
                <w:lang w:eastAsia="en-GB"/>
              </w:rPr>
              <w:t>£176,250.00</w:t>
            </w:r>
          </w:p>
        </w:tc>
      </w:tr>
      <w:tr w:rsidR="00EA7939" w:rsidRPr="00A66ECD" w14:paraId="1662154C" w14:textId="77777777" w:rsidTr="00EA7939">
        <w:trPr>
          <w:trHeight w:val="300"/>
        </w:trPr>
        <w:tc>
          <w:tcPr>
            <w:tcW w:w="3949" w:type="dxa"/>
            <w:tcBorders>
              <w:top w:val="nil"/>
              <w:left w:val="nil"/>
              <w:bottom w:val="nil"/>
              <w:right w:val="nil"/>
            </w:tcBorders>
            <w:shd w:val="clear" w:color="auto" w:fill="auto"/>
            <w:noWrap/>
            <w:vAlign w:val="bottom"/>
            <w:hideMark/>
          </w:tcPr>
          <w:p w14:paraId="7CE93661" w14:textId="77777777" w:rsidR="00EA7939" w:rsidRPr="00A66ECD" w:rsidRDefault="00EA7939" w:rsidP="00A66ECD">
            <w:pPr>
              <w:spacing w:after="0" w:line="276" w:lineRule="auto"/>
              <w:jc w:val="both"/>
              <w:rPr>
                <w:rFonts w:ascii="Times New Roman" w:eastAsia="Times New Roman" w:hAnsi="Times New Roman" w:cs="Times New Roman"/>
                <w:color w:val="000000"/>
                <w:sz w:val="24"/>
                <w:szCs w:val="24"/>
                <w:lang w:eastAsia="en-GB"/>
              </w:rPr>
            </w:pPr>
          </w:p>
        </w:tc>
        <w:tc>
          <w:tcPr>
            <w:tcW w:w="1891" w:type="dxa"/>
            <w:tcBorders>
              <w:top w:val="nil"/>
              <w:left w:val="nil"/>
              <w:bottom w:val="nil"/>
              <w:right w:val="nil"/>
            </w:tcBorders>
            <w:shd w:val="clear" w:color="auto" w:fill="auto"/>
            <w:noWrap/>
            <w:vAlign w:val="bottom"/>
            <w:hideMark/>
          </w:tcPr>
          <w:p w14:paraId="19D8347B" w14:textId="77777777" w:rsidR="00EA7939" w:rsidRPr="00A66ECD" w:rsidRDefault="00EA7939" w:rsidP="00A66ECD">
            <w:pPr>
              <w:spacing w:after="0" w:line="276" w:lineRule="auto"/>
              <w:jc w:val="both"/>
              <w:rPr>
                <w:rFonts w:ascii="Times New Roman" w:eastAsia="Times New Roman" w:hAnsi="Times New Roman" w:cs="Times New Roman"/>
                <w:sz w:val="24"/>
                <w:szCs w:val="24"/>
                <w:lang w:eastAsia="en-GB"/>
              </w:rPr>
            </w:pPr>
          </w:p>
        </w:tc>
      </w:tr>
      <w:tr w:rsidR="00EA7939" w:rsidRPr="00A66ECD" w14:paraId="74E9AB5B" w14:textId="77777777" w:rsidTr="00EA7939">
        <w:trPr>
          <w:trHeight w:val="300"/>
        </w:trPr>
        <w:tc>
          <w:tcPr>
            <w:tcW w:w="3949" w:type="dxa"/>
            <w:tcBorders>
              <w:top w:val="nil"/>
              <w:left w:val="nil"/>
              <w:bottom w:val="nil"/>
              <w:right w:val="nil"/>
            </w:tcBorders>
            <w:shd w:val="clear" w:color="auto" w:fill="auto"/>
            <w:noWrap/>
            <w:vAlign w:val="bottom"/>
            <w:hideMark/>
          </w:tcPr>
          <w:p w14:paraId="4BD7CA71" w14:textId="77777777" w:rsidR="00EA7939" w:rsidRPr="00A66ECD" w:rsidRDefault="00EA7939" w:rsidP="00A66ECD">
            <w:pPr>
              <w:spacing w:after="0" w:line="276" w:lineRule="auto"/>
              <w:jc w:val="both"/>
              <w:rPr>
                <w:rFonts w:ascii="Times New Roman" w:eastAsia="Times New Roman" w:hAnsi="Times New Roman" w:cs="Times New Roman"/>
                <w:b/>
                <w:bCs/>
                <w:color w:val="000000"/>
                <w:sz w:val="24"/>
                <w:szCs w:val="24"/>
                <w:lang w:eastAsia="en-GB"/>
              </w:rPr>
            </w:pPr>
            <w:r w:rsidRPr="00A66ECD">
              <w:rPr>
                <w:rFonts w:ascii="Times New Roman" w:eastAsia="Times New Roman" w:hAnsi="Times New Roman" w:cs="Times New Roman"/>
                <w:b/>
                <w:bCs/>
                <w:color w:val="000000"/>
                <w:sz w:val="24"/>
                <w:szCs w:val="24"/>
                <w:lang w:eastAsia="en-GB"/>
              </w:rPr>
              <w:t>Total assets</w:t>
            </w:r>
          </w:p>
        </w:tc>
        <w:tc>
          <w:tcPr>
            <w:tcW w:w="1891" w:type="dxa"/>
            <w:tcBorders>
              <w:top w:val="nil"/>
              <w:left w:val="nil"/>
              <w:bottom w:val="nil"/>
              <w:right w:val="nil"/>
            </w:tcBorders>
            <w:shd w:val="clear" w:color="auto" w:fill="auto"/>
            <w:noWrap/>
            <w:vAlign w:val="bottom"/>
            <w:hideMark/>
          </w:tcPr>
          <w:p w14:paraId="307E35FB" w14:textId="77777777" w:rsidR="00EA7939" w:rsidRPr="00A66ECD" w:rsidRDefault="00EA7939" w:rsidP="00A66ECD">
            <w:pPr>
              <w:spacing w:after="0" w:line="276" w:lineRule="auto"/>
              <w:jc w:val="both"/>
              <w:rPr>
                <w:rFonts w:ascii="Times New Roman" w:eastAsia="Times New Roman" w:hAnsi="Times New Roman" w:cs="Times New Roman"/>
                <w:b/>
                <w:bCs/>
                <w:color w:val="000000"/>
                <w:sz w:val="24"/>
                <w:szCs w:val="24"/>
                <w:lang w:eastAsia="en-GB"/>
              </w:rPr>
            </w:pPr>
            <w:r w:rsidRPr="00A66ECD">
              <w:rPr>
                <w:rFonts w:ascii="Times New Roman" w:eastAsia="Times New Roman" w:hAnsi="Times New Roman" w:cs="Times New Roman"/>
                <w:b/>
                <w:bCs/>
                <w:color w:val="000000"/>
                <w:sz w:val="24"/>
                <w:szCs w:val="24"/>
                <w:lang w:eastAsia="en-GB"/>
              </w:rPr>
              <w:t>£2,027,955.00</w:t>
            </w:r>
          </w:p>
        </w:tc>
      </w:tr>
      <w:tr w:rsidR="00EA7939" w:rsidRPr="00A66ECD" w14:paraId="7E167151" w14:textId="77777777" w:rsidTr="00EA7939">
        <w:trPr>
          <w:trHeight w:val="300"/>
        </w:trPr>
        <w:tc>
          <w:tcPr>
            <w:tcW w:w="3949" w:type="dxa"/>
            <w:tcBorders>
              <w:top w:val="nil"/>
              <w:left w:val="nil"/>
              <w:bottom w:val="nil"/>
              <w:right w:val="nil"/>
            </w:tcBorders>
            <w:shd w:val="clear" w:color="auto" w:fill="auto"/>
            <w:noWrap/>
            <w:vAlign w:val="bottom"/>
            <w:hideMark/>
          </w:tcPr>
          <w:p w14:paraId="435FC5B5" w14:textId="77777777" w:rsidR="00EA7939" w:rsidRPr="00A66ECD" w:rsidRDefault="00EA7939" w:rsidP="00A66ECD">
            <w:pPr>
              <w:spacing w:after="0" w:line="276" w:lineRule="auto"/>
              <w:jc w:val="both"/>
              <w:rPr>
                <w:rFonts w:ascii="Times New Roman" w:eastAsia="Times New Roman" w:hAnsi="Times New Roman" w:cs="Times New Roman"/>
                <w:b/>
                <w:bCs/>
                <w:color w:val="000000"/>
                <w:sz w:val="24"/>
                <w:szCs w:val="24"/>
                <w:lang w:eastAsia="en-GB"/>
              </w:rPr>
            </w:pPr>
          </w:p>
        </w:tc>
        <w:tc>
          <w:tcPr>
            <w:tcW w:w="1891" w:type="dxa"/>
            <w:tcBorders>
              <w:top w:val="nil"/>
              <w:left w:val="nil"/>
              <w:bottom w:val="nil"/>
              <w:right w:val="nil"/>
            </w:tcBorders>
            <w:shd w:val="clear" w:color="auto" w:fill="auto"/>
            <w:noWrap/>
            <w:vAlign w:val="bottom"/>
            <w:hideMark/>
          </w:tcPr>
          <w:p w14:paraId="4C309023" w14:textId="77777777" w:rsidR="00EA7939" w:rsidRPr="00A66ECD" w:rsidRDefault="00EA7939" w:rsidP="00A66ECD">
            <w:pPr>
              <w:spacing w:after="0" w:line="276" w:lineRule="auto"/>
              <w:jc w:val="both"/>
              <w:rPr>
                <w:rFonts w:ascii="Times New Roman" w:eastAsia="Times New Roman" w:hAnsi="Times New Roman" w:cs="Times New Roman"/>
                <w:sz w:val="24"/>
                <w:szCs w:val="24"/>
                <w:lang w:eastAsia="en-GB"/>
              </w:rPr>
            </w:pPr>
          </w:p>
        </w:tc>
      </w:tr>
      <w:tr w:rsidR="00EA7939" w:rsidRPr="00A66ECD" w14:paraId="2539BDF8" w14:textId="77777777" w:rsidTr="00EA7939">
        <w:trPr>
          <w:trHeight w:val="300"/>
        </w:trPr>
        <w:tc>
          <w:tcPr>
            <w:tcW w:w="3949" w:type="dxa"/>
            <w:tcBorders>
              <w:top w:val="nil"/>
              <w:left w:val="nil"/>
              <w:bottom w:val="nil"/>
              <w:right w:val="nil"/>
            </w:tcBorders>
            <w:shd w:val="clear" w:color="auto" w:fill="auto"/>
            <w:noWrap/>
            <w:vAlign w:val="bottom"/>
            <w:hideMark/>
          </w:tcPr>
          <w:p w14:paraId="3E063221" w14:textId="77777777" w:rsidR="00EA7939" w:rsidRPr="00A66ECD" w:rsidRDefault="00EA7939" w:rsidP="00A66ECD">
            <w:pPr>
              <w:spacing w:after="0" w:line="276" w:lineRule="auto"/>
              <w:jc w:val="both"/>
              <w:rPr>
                <w:rFonts w:ascii="Times New Roman" w:eastAsia="Times New Roman" w:hAnsi="Times New Roman" w:cs="Times New Roman"/>
                <w:b/>
                <w:bCs/>
                <w:color w:val="000000"/>
                <w:sz w:val="24"/>
                <w:szCs w:val="24"/>
                <w:lang w:eastAsia="en-GB"/>
              </w:rPr>
            </w:pPr>
            <w:r w:rsidRPr="00A66ECD">
              <w:rPr>
                <w:rFonts w:ascii="Times New Roman" w:eastAsia="Times New Roman" w:hAnsi="Times New Roman" w:cs="Times New Roman"/>
                <w:b/>
                <w:bCs/>
                <w:color w:val="000000"/>
                <w:sz w:val="24"/>
                <w:szCs w:val="24"/>
                <w:lang w:eastAsia="en-GB"/>
              </w:rPr>
              <w:t>Liabilities</w:t>
            </w:r>
          </w:p>
        </w:tc>
        <w:tc>
          <w:tcPr>
            <w:tcW w:w="1891" w:type="dxa"/>
            <w:tcBorders>
              <w:top w:val="nil"/>
              <w:left w:val="nil"/>
              <w:bottom w:val="nil"/>
              <w:right w:val="nil"/>
            </w:tcBorders>
            <w:shd w:val="clear" w:color="auto" w:fill="auto"/>
            <w:noWrap/>
            <w:vAlign w:val="bottom"/>
            <w:hideMark/>
          </w:tcPr>
          <w:p w14:paraId="0EBDDFA7" w14:textId="77777777" w:rsidR="00EA7939" w:rsidRPr="00A66ECD" w:rsidRDefault="00EA7939" w:rsidP="00A66ECD">
            <w:pPr>
              <w:spacing w:after="0" w:line="276" w:lineRule="auto"/>
              <w:jc w:val="both"/>
              <w:rPr>
                <w:rFonts w:ascii="Times New Roman" w:eastAsia="Times New Roman" w:hAnsi="Times New Roman" w:cs="Times New Roman"/>
                <w:b/>
                <w:bCs/>
                <w:color w:val="000000"/>
                <w:sz w:val="24"/>
                <w:szCs w:val="24"/>
                <w:lang w:eastAsia="en-GB"/>
              </w:rPr>
            </w:pPr>
          </w:p>
        </w:tc>
      </w:tr>
      <w:tr w:rsidR="00EA7939" w:rsidRPr="00A66ECD" w14:paraId="71D9478D" w14:textId="77777777" w:rsidTr="00EA7939">
        <w:trPr>
          <w:trHeight w:val="300"/>
        </w:trPr>
        <w:tc>
          <w:tcPr>
            <w:tcW w:w="3949" w:type="dxa"/>
            <w:tcBorders>
              <w:top w:val="nil"/>
              <w:left w:val="nil"/>
              <w:bottom w:val="nil"/>
              <w:right w:val="nil"/>
            </w:tcBorders>
            <w:shd w:val="clear" w:color="auto" w:fill="auto"/>
            <w:noWrap/>
            <w:vAlign w:val="bottom"/>
            <w:hideMark/>
          </w:tcPr>
          <w:p w14:paraId="3339A4B1" w14:textId="77777777" w:rsidR="00EA7939" w:rsidRPr="00A66ECD" w:rsidRDefault="00EA7939" w:rsidP="00A66ECD">
            <w:pPr>
              <w:spacing w:after="0" w:line="276" w:lineRule="auto"/>
              <w:jc w:val="both"/>
              <w:rPr>
                <w:rFonts w:ascii="Times New Roman" w:eastAsia="Times New Roman" w:hAnsi="Times New Roman" w:cs="Times New Roman"/>
                <w:i/>
                <w:iCs/>
                <w:color w:val="000000"/>
                <w:sz w:val="24"/>
                <w:szCs w:val="24"/>
                <w:u w:val="single"/>
                <w:lang w:eastAsia="en-GB"/>
              </w:rPr>
            </w:pPr>
            <w:r w:rsidRPr="00A66ECD">
              <w:rPr>
                <w:rFonts w:ascii="Times New Roman" w:eastAsia="Times New Roman" w:hAnsi="Times New Roman" w:cs="Times New Roman"/>
                <w:i/>
                <w:iCs/>
                <w:color w:val="000000"/>
                <w:sz w:val="24"/>
                <w:szCs w:val="24"/>
                <w:u w:val="single"/>
                <w:lang w:eastAsia="en-GB"/>
              </w:rPr>
              <w:t>Long-term liabilities</w:t>
            </w:r>
          </w:p>
        </w:tc>
        <w:tc>
          <w:tcPr>
            <w:tcW w:w="1891" w:type="dxa"/>
            <w:tcBorders>
              <w:top w:val="nil"/>
              <w:left w:val="nil"/>
              <w:bottom w:val="nil"/>
              <w:right w:val="nil"/>
            </w:tcBorders>
            <w:shd w:val="clear" w:color="auto" w:fill="auto"/>
            <w:noWrap/>
            <w:vAlign w:val="bottom"/>
            <w:hideMark/>
          </w:tcPr>
          <w:p w14:paraId="456FECB9" w14:textId="77777777" w:rsidR="00EA7939" w:rsidRPr="00A66ECD" w:rsidRDefault="00EA7939" w:rsidP="00A66ECD">
            <w:pPr>
              <w:spacing w:after="0" w:line="276" w:lineRule="auto"/>
              <w:jc w:val="both"/>
              <w:rPr>
                <w:rFonts w:ascii="Times New Roman" w:eastAsia="Times New Roman" w:hAnsi="Times New Roman" w:cs="Times New Roman"/>
                <w:i/>
                <w:iCs/>
                <w:color w:val="000000"/>
                <w:sz w:val="24"/>
                <w:szCs w:val="24"/>
                <w:u w:val="single"/>
                <w:lang w:eastAsia="en-GB"/>
              </w:rPr>
            </w:pPr>
          </w:p>
        </w:tc>
      </w:tr>
      <w:tr w:rsidR="00EA7939" w:rsidRPr="00A66ECD" w14:paraId="4247924D" w14:textId="77777777" w:rsidTr="00EA7939">
        <w:trPr>
          <w:trHeight w:val="300"/>
        </w:trPr>
        <w:tc>
          <w:tcPr>
            <w:tcW w:w="3949" w:type="dxa"/>
            <w:tcBorders>
              <w:top w:val="nil"/>
              <w:left w:val="nil"/>
              <w:bottom w:val="nil"/>
              <w:right w:val="nil"/>
            </w:tcBorders>
            <w:shd w:val="clear" w:color="auto" w:fill="auto"/>
            <w:noWrap/>
            <w:vAlign w:val="bottom"/>
            <w:hideMark/>
          </w:tcPr>
          <w:p w14:paraId="379ADDF7" w14:textId="77777777" w:rsidR="00EA7939" w:rsidRPr="00A66ECD" w:rsidRDefault="00EA7939" w:rsidP="00A66ECD">
            <w:pPr>
              <w:spacing w:after="0" w:line="276" w:lineRule="auto"/>
              <w:jc w:val="both"/>
              <w:rPr>
                <w:rFonts w:ascii="Times New Roman" w:eastAsia="Times New Roman" w:hAnsi="Times New Roman" w:cs="Times New Roman"/>
                <w:color w:val="000000"/>
                <w:sz w:val="24"/>
                <w:szCs w:val="24"/>
                <w:lang w:eastAsia="en-GB"/>
              </w:rPr>
            </w:pPr>
            <w:r w:rsidRPr="00A66ECD">
              <w:rPr>
                <w:rFonts w:ascii="Times New Roman" w:eastAsia="Times New Roman" w:hAnsi="Times New Roman" w:cs="Times New Roman"/>
                <w:color w:val="000000"/>
                <w:sz w:val="24"/>
                <w:szCs w:val="24"/>
                <w:lang w:eastAsia="en-GB"/>
              </w:rPr>
              <w:t>4% Debentures</w:t>
            </w:r>
          </w:p>
        </w:tc>
        <w:tc>
          <w:tcPr>
            <w:tcW w:w="1891" w:type="dxa"/>
            <w:tcBorders>
              <w:top w:val="nil"/>
              <w:left w:val="nil"/>
              <w:bottom w:val="nil"/>
              <w:right w:val="nil"/>
            </w:tcBorders>
            <w:shd w:val="clear" w:color="auto" w:fill="auto"/>
            <w:noWrap/>
            <w:vAlign w:val="bottom"/>
            <w:hideMark/>
          </w:tcPr>
          <w:p w14:paraId="4B421C61" w14:textId="77777777" w:rsidR="00EA7939" w:rsidRPr="00A66ECD" w:rsidRDefault="00EA7939" w:rsidP="00A66ECD">
            <w:pPr>
              <w:spacing w:after="0" w:line="276" w:lineRule="auto"/>
              <w:jc w:val="both"/>
              <w:rPr>
                <w:rFonts w:ascii="Times New Roman" w:eastAsia="Times New Roman" w:hAnsi="Times New Roman" w:cs="Times New Roman"/>
                <w:color w:val="000000"/>
                <w:sz w:val="24"/>
                <w:szCs w:val="24"/>
                <w:lang w:eastAsia="en-GB"/>
              </w:rPr>
            </w:pPr>
            <w:r w:rsidRPr="00A66ECD">
              <w:rPr>
                <w:rFonts w:ascii="Times New Roman" w:eastAsia="Times New Roman" w:hAnsi="Times New Roman" w:cs="Times New Roman"/>
                <w:color w:val="000000"/>
                <w:sz w:val="24"/>
                <w:szCs w:val="24"/>
                <w:lang w:eastAsia="en-GB"/>
              </w:rPr>
              <w:t>£200,000.00</w:t>
            </w:r>
          </w:p>
        </w:tc>
      </w:tr>
      <w:tr w:rsidR="00EA7939" w:rsidRPr="00A66ECD" w14:paraId="74A81FB5" w14:textId="77777777" w:rsidTr="00EA7939">
        <w:trPr>
          <w:trHeight w:val="300"/>
        </w:trPr>
        <w:tc>
          <w:tcPr>
            <w:tcW w:w="3949" w:type="dxa"/>
            <w:tcBorders>
              <w:top w:val="nil"/>
              <w:left w:val="nil"/>
              <w:bottom w:val="nil"/>
              <w:right w:val="nil"/>
            </w:tcBorders>
            <w:shd w:val="clear" w:color="auto" w:fill="auto"/>
            <w:noWrap/>
            <w:vAlign w:val="bottom"/>
            <w:hideMark/>
          </w:tcPr>
          <w:p w14:paraId="4EC45E60" w14:textId="77777777" w:rsidR="00EA7939" w:rsidRPr="00A66ECD" w:rsidRDefault="00EA7939" w:rsidP="00A66ECD">
            <w:pPr>
              <w:spacing w:after="0" w:line="276" w:lineRule="auto"/>
              <w:jc w:val="both"/>
              <w:rPr>
                <w:rFonts w:ascii="Times New Roman" w:eastAsia="Times New Roman" w:hAnsi="Times New Roman" w:cs="Times New Roman"/>
                <w:color w:val="000000"/>
                <w:sz w:val="24"/>
                <w:szCs w:val="24"/>
                <w:lang w:eastAsia="en-GB"/>
              </w:rPr>
            </w:pPr>
          </w:p>
        </w:tc>
        <w:tc>
          <w:tcPr>
            <w:tcW w:w="1891" w:type="dxa"/>
            <w:tcBorders>
              <w:top w:val="nil"/>
              <w:left w:val="nil"/>
              <w:bottom w:val="nil"/>
              <w:right w:val="nil"/>
            </w:tcBorders>
            <w:shd w:val="clear" w:color="auto" w:fill="auto"/>
            <w:noWrap/>
            <w:vAlign w:val="bottom"/>
            <w:hideMark/>
          </w:tcPr>
          <w:p w14:paraId="5E6570E0" w14:textId="77777777" w:rsidR="00EA7939" w:rsidRPr="00A66ECD" w:rsidRDefault="00EA7939" w:rsidP="00A66ECD">
            <w:pPr>
              <w:spacing w:after="0" w:line="276" w:lineRule="auto"/>
              <w:jc w:val="both"/>
              <w:rPr>
                <w:rFonts w:ascii="Times New Roman" w:eastAsia="Times New Roman" w:hAnsi="Times New Roman" w:cs="Times New Roman"/>
                <w:sz w:val="24"/>
                <w:szCs w:val="24"/>
                <w:lang w:eastAsia="en-GB"/>
              </w:rPr>
            </w:pPr>
          </w:p>
        </w:tc>
      </w:tr>
      <w:tr w:rsidR="00EA7939" w:rsidRPr="00A66ECD" w14:paraId="3AF647A8" w14:textId="77777777" w:rsidTr="00EA7939">
        <w:trPr>
          <w:trHeight w:val="300"/>
        </w:trPr>
        <w:tc>
          <w:tcPr>
            <w:tcW w:w="3949" w:type="dxa"/>
            <w:tcBorders>
              <w:top w:val="nil"/>
              <w:left w:val="nil"/>
              <w:bottom w:val="nil"/>
              <w:right w:val="nil"/>
            </w:tcBorders>
            <w:shd w:val="clear" w:color="auto" w:fill="auto"/>
            <w:noWrap/>
            <w:vAlign w:val="bottom"/>
            <w:hideMark/>
          </w:tcPr>
          <w:p w14:paraId="70D556E4" w14:textId="77777777" w:rsidR="00EA7939" w:rsidRPr="00A66ECD" w:rsidRDefault="00EA7939" w:rsidP="00A66ECD">
            <w:pPr>
              <w:spacing w:after="0" w:line="276" w:lineRule="auto"/>
              <w:jc w:val="both"/>
              <w:rPr>
                <w:rFonts w:ascii="Times New Roman" w:eastAsia="Times New Roman" w:hAnsi="Times New Roman" w:cs="Times New Roman"/>
                <w:i/>
                <w:iCs/>
                <w:color w:val="000000"/>
                <w:sz w:val="24"/>
                <w:szCs w:val="24"/>
                <w:u w:val="single"/>
                <w:lang w:eastAsia="en-GB"/>
              </w:rPr>
            </w:pPr>
            <w:r w:rsidRPr="00A66ECD">
              <w:rPr>
                <w:rFonts w:ascii="Times New Roman" w:eastAsia="Times New Roman" w:hAnsi="Times New Roman" w:cs="Times New Roman"/>
                <w:i/>
                <w:iCs/>
                <w:color w:val="000000"/>
                <w:sz w:val="24"/>
                <w:szCs w:val="24"/>
                <w:u w:val="single"/>
                <w:lang w:eastAsia="en-GB"/>
              </w:rPr>
              <w:t>Current liabilities</w:t>
            </w:r>
          </w:p>
        </w:tc>
        <w:tc>
          <w:tcPr>
            <w:tcW w:w="1891" w:type="dxa"/>
            <w:tcBorders>
              <w:top w:val="nil"/>
              <w:left w:val="nil"/>
              <w:bottom w:val="nil"/>
              <w:right w:val="nil"/>
            </w:tcBorders>
            <w:shd w:val="clear" w:color="auto" w:fill="auto"/>
            <w:noWrap/>
            <w:vAlign w:val="bottom"/>
            <w:hideMark/>
          </w:tcPr>
          <w:p w14:paraId="437357A6" w14:textId="77777777" w:rsidR="00EA7939" w:rsidRPr="00A66ECD" w:rsidRDefault="00EA7939" w:rsidP="00A66ECD">
            <w:pPr>
              <w:spacing w:after="0" w:line="276" w:lineRule="auto"/>
              <w:jc w:val="both"/>
              <w:rPr>
                <w:rFonts w:ascii="Times New Roman" w:eastAsia="Times New Roman" w:hAnsi="Times New Roman" w:cs="Times New Roman"/>
                <w:i/>
                <w:iCs/>
                <w:color w:val="000000"/>
                <w:sz w:val="24"/>
                <w:szCs w:val="24"/>
                <w:u w:val="single"/>
                <w:lang w:eastAsia="en-GB"/>
              </w:rPr>
            </w:pPr>
          </w:p>
        </w:tc>
      </w:tr>
      <w:tr w:rsidR="00EA7939" w:rsidRPr="00A66ECD" w14:paraId="075868D4" w14:textId="77777777" w:rsidTr="00EA7939">
        <w:trPr>
          <w:trHeight w:val="300"/>
        </w:trPr>
        <w:tc>
          <w:tcPr>
            <w:tcW w:w="3949" w:type="dxa"/>
            <w:tcBorders>
              <w:top w:val="nil"/>
              <w:left w:val="nil"/>
              <w:bottom w:val="nil"/>
              <w:right w:val="nil"/>
            </w:tcBorders>
            <w:shd w:val="clear" w:color="auto" w:fill="auto"/>
            <w:noWrap/>
            <w:vAlign w:val="bottom"/>
            <w:hideMark/>
          </w:tcPr>
          <w:p w14:paraId="1527D565" w14:textId="77777777" w:rsidR="00EA7939" w:rsidRPr="00A66ECD" w:rsidRDefault="00EA7939" w:rsidP="00A66ECD">
            <w:pPr>
              <w:spacing w:after="0" w:line="276" w:lineRule="auto"/>
              <w:jc w:val="both"/>
              <w:rPr>
                <w:rFonts w:ascii="Times New Roman" w:eastAsia="Times New Roman" w:hAnsi="Times New Roman" w:cs="Times New Roman"/>
                <w:color w:val="000000"/>
                <w:sz w:val="24"/>
                <w:szCs w:val="24"/>
                <w:lang w:eastAsia="en-GB"/>
              </w:rPr>
            </w:pPr>
            <w:r w:rsidRPr="00A66ECD">
              <w:rPr>
                <w:rFonts w:ascii="Times New Roman" w:eastAsia="Times New Roman" w:hAnsi="Times New Roman" w:cs="Times New Roman"/>
                <w:color w:val="000000"/>
                <w:sz w:val="24"/>
                <w:szCs w:val="24"/>
                <w:lang w:eastAsia="en-GB"/>
              </w:rPr>
              <w:t>Trade creditors</w:t>
            </w:r>
          </w:p>
        </w:tc>
        <w:tc>
          <w:tcPr>
            <w:tcW w:w="1891" w:type="dxa"/>
            <w:tcBorders>
              <w:top w:val="nil"/>
              <w:left w:val="nil"/>
              <w:bottom w:val="nil"/>
              <w:right w:val="nil"/>
            </w:tcBorders>
            <w:shd w:val="clear" w:color="auto" w:fill="auto"/>
            <w:noWrap/>
            <w:vAlign w:val="bottom"/>
            <w:hideMark/>
          </w:tcPr>
          <w:p w14:paraId="3432439B" w14:textId="77777777" w:rsidR="00EA7939" w:rsidRPr="00A66ECD" w:rsidRDefault="00EA7939" w:rsidP="00A66ECD">
            <w:pPr>
              <w:spacing w:after="0" w:line="276" w:lineRule="auto"/>
              <w:jc w:val="both"/>
              <w:rPr>
                <w:rFonts w:ascii="Times New Roman" w:eastAsia="Times New Roman" w:hAnsi="Times New Roman" w:cs="Times New Roman"/>
                <w:color w:val="000000"/>
                <w:sz w:val="24"/>
                <w:szCs w:val="24"/>
                <w:lang w:eastAsia="en-GB"/>
              </w:rPr>
            </w:pPr>
            <w:r w:rsidRPr="00A66ECD">
              <w:rPr>
                <w:rFonts w:ascii="Times New Roman" w:eastAsia="Times New Roman" w:hAnsi="Times New Roman" w:cs="Times New Roman"/>
                <w:color w:val="000000"/>
                <w:sz w:val="24"/>
                <w:szCs w:val="24"/>
                <w:lang w:eastAsia="en-GB"/>
              </w:rPr>
              <w:t>£188,625.00</w:t>
            </w:r>
          </w:p>
        </w:tc>
      </w:tr>
      <w:tr w:rsidR="00EA7939" w:rsidRPr="00A66ECD" w14:paraId="40B14D0F" w14:textId="77777777" w:rsidTr="00EA7939">
        <w:trPr>
          <w:trHeight w:val="300"/>
        </w:trPr>
        <w:tc>
          <w:tcPr>
            <w:tcW w:w="3949" w:type="dxa"/>
            <w:tcBorders>
              <w:top w:val="nil"/>
              <w:left w:val="nil"/>
              <w:bottom w:val="nil"/>
              <w:right w:val="nil"/>
            </w:tcBorders>
            <w:shd w:val="clear" w:color="auto" w:fill="auto"/>
            <w:noWrap/>
            <w:vAlign w:val="bottom"/>
            <w:hideMark/>
          </w:tcPr>
          <w:p w14:paraId="65BA467C" w14:textId="77777777" w:rsidR="00EA7939" w:rsidRPr="00A66ECD" w:rsidRDefault="00EA7939" w:rsidP="00A66ECD">
            <w:pPr>
              <w:spacing w:after="0" w:line="276" w:lineRule="auto"/>
              <w:jc w:val="both"/>
              <w:rPr>
                <w:rFonts w:ascii="Times New Roman" w:eastAsia="Times New Roman" w:hAnsi="Times New Roman" w:cs="Times New Roman"/>
                <w:color w:val="000000"/>
                <w:sz w:val="24"/>
                <w:szCs w:val="24"/>
                <w:lang w:eastAsia="en-GB"/>
              </w:rPr>
            </w:pPr>
            <w:r w:rsidRPr="00A66ECD">
              <w:rPr>
                <w:rFonts w:ascii="Times New Roman" w:eastAsia="Times New Roman" w:hAnsi="Times New Roman" w:cs="Times New Roman"/>
                <w:color w:val="000000"/>
                <w:sz w:val="24"/>
                <w:szCs w:val="24"/>
                <w:lang w:eastAsia="en-GB"/>
              </w:rPr>
              <w:t>Outstanding sales commission</w:t>
            </w:r>
          </w:p>
        </w:tc>
        <w:tc>
          <w:tcPr>
            <w:tcW w:w="1891" w:type="dxa"/>
            <w:tcBorders>
              <w:top w:val="nil"/>
              <w:left w:val="nil"/>
              <w:bottom w:val="nil"/>
              <w:right w:val="nil"/>
            </w:tcBorders>
            <w:shd w:val="clear" w:color="auto" w:fill="auto"/>
            <w:noWrap/>
            <w:vAlign w:val="bottom"/>
            <w:hideMark/>
          </w:tcPr>
          <w:p w14:paraId="362EE91A" w14:textId="77777777" w:rsidR="00EA7939" w:rsidRPr="00A66ECD" w:rsidRDefault="00EA7939" w:rsidP="00A66ECD">
            <w:pPr>
              <w:spacing w:after="0" w:line="276" w:lineRule="auto"/>
              <w:jc w:val="both"/>
              <w:rPr>
                <w:rFonts w:ascii="Times New Roman" w:eastAsia="Times New Roman" w:hAnsi="Times New Roman" w:cs="Times New Roman"/>
                <w:color w:val="000000"/>
                <w:sz w:val="24"/>
                <w:szCs w:val="24"/>
                <w:lang w:eastAsia="en-GB"/>
              </w:rPr>
            </w:pPr>
            <w:r w:rsidRPr="00A66ECD">
              <w:rPr>
                <w:rFonts w:ascii="Times New Roman" w:eastAsia="Times New Roman" w:hAnsi="Times New Roman" w:cs="Times New Roman"/>
                <w:color w:val="000000"/>
                <w:sz w:val="24"/>
                <w:szCs w:val="24"/>
                <w:lang w:eastAsia="en-GB"/>
              </w:rPr>
              <w:t>£3,000.00</w:t>
            </w:r>
          </w:p>
        </w:tc>
      </w:tr>
      <w:tr w:rsidR="00EA7939" w:rsidRPr="00A66ECD" w14:paraId="45BF1A3E" w14:textId="77777777" w:rsidTr="00EA7939">
        <w:trPr>
          <w:trHeight w:val="300"/>
        </w:trPr>
        <w:tc>
          <w:tcPr>
            <w:tcW w:w="3949" w:type="dxa"/>
            <w:tcBorders>
              <w:top w:val="nil"/>
              <w:left w:val="nil"/>
              <w:bottom w:val="nil"/>
              <w:right w:val="nil"/>
            </w:tcBorders>
            <w:shd w:val="clear" w:color="auto" w:fill="auto"/>
            <w:noWrap/>
            <w:vAlign w:val="bottom"/>
            <w:hideMark/>
          </w:tcPr>
          <w:p w14:paraId="6CE5FE48" w14:textId="77777777" w:rsidR="00EA7939" w:rsidRPr="00A66ECD" w:rsidRDefault="00EA7939" w:rsidP="00A66ECD">
            <w:pPr>
              <w:spacing w:after="0" w:line="276" w:lineRule="auto"/>
              <w:jc w:val="both"/>
              <w:rPr>
                <w:rFonts w:ascii="Times New Roman" w:eastAsia="Times New Roman" w:hAnsi="Times New Roman" w:cs="Times New Roman"/>
                <w:color w:val="000000"/>
                <w:sz w:val="24"/>
                <w:szCs w:val="24"/>
                <w:lang w:eastAsia="en-GB"/>
              </w:rPr>
            </w:pPr>
            <w:r w:rsidRPr="00A66ECD">
              <w:rPr>
                <w:rFonts w:ascii="Times New Roman" w:eastAsia="Times New Roman" w:hAnsi="Times New Roman" w:cs="Times New Roman"/>
                <w:color w:val="000000"/>
                <w:sz w:val="24"/>
                <w:szCs w:val="24"/>
                <w:lang w:eastAsia="en-GB"/>
              </w:rPr>
              <w:t>Corporate tax</w:t>
            </w:r>
          </w:p>
        </w:tc>
        <w:tc>
          <w:tcPr>
            <w:tcW w:w="1891" w:type="dxa"/>
            <w:tcBorders>
              <w:top w:val="nil"/>
              <w:left w:val="nil"/>
              <w:bottom w:val="nil"/>
              <w:right w:val="nil"/>
            </w:tcBorders>
            <w:shd w:val="clear" w:color="auto" w:fill="auto"/>
            <w:noWrap/>
            <w:vAlign w:val="bottom"/>
            <w:hideMark/>
          </w:tcPr>
          <w:p w14:paraId="4E58F516" w14:textId="77777777" w:rsidR="00EA7939" w:rsidRPr="00A66ECD" w:rsidRDefault="00EA7939" w:rsidP="00A66ECD">
            <w:pPr>
              <w:spacing w:after="0" w:line="276" w:lineRule="auto"/>
              <w:jc w:val="both"/>
              <w:rPr>
                <w:rFonts w:ascii="Times New Roman" w:eastAsia="Times New Roman" w:hAnsi="Times New Roman" w:cs="Times New Roman"/>
                <w:color w:val="000000"/>
                <w:sz w:val="24"/>
                <w:szCs w:val="24"/>
                <w:lang w:eastAsia="en-GB"/>
              </w:rPr>
            </w:pPr>
            <w:r w:rsidRPr="00A66ECD">
              <w:rPr>
                <w:rFonts w:ascii="Times New Roman" w:eastAsia="Times New Roman" w:hAnsi="Times New Roman" w:cs="Times New Roman"/>
                <w:color w:val="000000"/>
                <w:sz w:val="24"/>
                <w:szCs w:val="24"/>
                <w:lang w:eastAsia="en-GB"/>
              </w:rPr>
              <w:t>£100,000.00</w:t>
            </w:r>
          </w:p>
        </w:tc>
      </w:tr>
      <w:tr w:rsidR="00EA7939" w:rsidRPr="00A66ECD" w14:paraId="5CB9C3B2" w14:textId="77777777" w:rsidTr="00EA7939">
        <w:trPr>
          <w:trHeight w:val="300"/>
        </w:trPr>
        <w:tc>
          <w:tcPr>
            <w:tcW w:w="3949" w:type="dxa"/>
            <w:tcBorders>
              <w:top w:val="nil"/>
              <w:left w:val="nil"/>
              <w:bottom w:val="nil"/>
              <w:right w:val="nil"/>
            </w:tcBorders>
            <w:shd w:val="clear" w:color="auto" w:fill="auto"/>
            <w:noWrap/>
            <w:vAlign w:val="bottom"/>
            <w:hideMark/>
          </w:tcPr>
          <w:p w14:paraId="4F5EA0C7" w14:textId="77777777" w:rsidR="00EA7939" w:rsidRPr="00A66ECD" w:rsidRDefault="00EA7939" w:rsidP="00A66ECD">
            <w:pPr>
              <w:spacing w:after="0" w:line="276" w:lineRule="auto"/>
              <w:jc w:val="both"/>
              <w:rPr>
                <w:rFonts w:ascii="Times New Roman" w:eastAsia="Times New Roman" w:hAnsi="Times New Roman" w:cs="Times New Roman"/>
                <w:color w:val="000000"/>
                <w:sz w:val="24"/>
                <w:szCs w:val="24"/>
                <w:lang w:eastAsia="en-GB"/>
              </w:rPr>
            </w:pPr>
          </w:p>
        </w:tc>
        <w:tc>
          <w:tcPr>
            <w:tcW w:w="1891" w:type="dxa"/>
            <w:tcBorders>
              <w:top w:val="nil"/>
              <w:left w:val="nil"/>
              <w:bottom w:val="nil"/>
              <w:right w:val="nil"/>
            </w:tcBorders>
            <w:shd w:val="clear" w:color="auto" w:fill="auto"/>
            <w:noWrap/>
            <w:vAlign w:val="bottom"/>
            <w:hideMark/>
          </w:tcPr>
          <w:p w14:paraId="7C4ACD7A" w14:textId="77777777" w:rsidR="00EA7939" w:rsidRPr="00A66ECD" w:rsidRDefault="00EA7939" w:rsidP="00A66ECD">
            <w:pPr>
              <w:spacing w:after="0" w:line="276" w:lineRule="auto"/>
              <w:jc w:val="both"/>
              <w:rPr>
                <w:rFonts w:ascii="Times New Roman" w:eastAsia="Times New Roman" w:hAnsi="Times New Roman" w:cs="Times New Roman"/>
                <w:sz w:val="24"/>
                <w:szCs w:val="24"/>
                <w:lang w:eastAsia="en-GB"/>
              </w:rPr>
            </w:pPr>
          </w:p>
        </w:tc>
      </w:tr>
      <w:tr w:rsidR="00EA7939" w:rsidRPr="00A66ECD" w14:paraId="6E15C918" w14:textId="77777777" w:rsidTr="00EA7939">
        <w:trPr>
          <w:trHeight w:val="300"/>
        </w:trPr>
        <w:tc>
          <w:tcPr>
            <w:tcW w:w="3949" w:type="dxa"/>
            <w:tcBorders>
              <w:top w:val="nil"/>
              <w:left w:val="nil"/>
              <w:bottom w:val="nil"/>
              <w:right w:val="nil"/>
            </w:tcBorders>
            <w:shd w:val="clear" w:color="auto" w:fill="auto"/>
            <w:noWrap/>
            <w:vAlign w:val="bottom"/>
            <w:hideMark/>
          </w:tcPr>
          <w:p w14:paraId="5D955F99" w14:textId="77777777" w:rsidR="00EA7939" w:rsidRPr="00A66ECD" w:rsidRDefault="00EA7939" w:rsidP="00A66ECD">
            <w:pPr>
              <w:spacing w:after="0" w:line="276" w:lineRule="auto"/>
              <w:jc w:val="both"/>
              <w:rPr>
                <w:rFonts w:ascii="Times New Roman" w:eastAsia="Times New Roman" w:hAnsi="Times New Roman" w:cs="Times New Roman"/>
                <w:b/>
                <w:bCs/>
                <w:color w:val="000000"/>
                <w:sz w:val="24"/>
                <w:szCs w:val="24"/>
                <w:lang w:eastAsia="en-GB"/>
              </w:rPr>
            </w:pPr>
            <w:r w:rsidRPr="00A66ECD">
              <w:rPr>
                <w:rFonts w:ascii="Times New Roman" w:eastAsia="Times New Roman" w:hAnsi="Times New Roman" w:cs="Times New Roman"/>
                <w:b/>
                <w:bCs/>
                <w:color w:val="000000"/>
                <w:sz w:val="24"/>
                <w:szCs w:val="24"/>
                <w:lang w:eastAsia="en-GB"/>
              </w:rPr>
              <w:t>Total liabilities</w:t>
            </w:r>
          </w:p>
        </w:tc>
        <w:tc>
          <w:tcPr>
            <w:tcW w:w="1891" w:type="dxa"/>
            <w:tcBorders>
              <w:top w:val="nil"/>
              <w:left w:val="nil"/>
              <w:bottom w:val="nil"/>
              <w:right w:val="nil"/>
            </w:tcBorders>
            <w:shd w:val="clear" w:color="auto" w:fill="auto"/>
            <w:noWrap/>
            <w:vAlign w:val="bottom"/>
            <w:hideMark/>
          </w:tcPr>
          <w:p w14:paraId="46816BEA" w14:textId="77777777" w:rsidR="00EA7939" w:rsidRPr="00A66ECD" w:rsidRDefault="00EA7939" w:rsidP="00A66ECD">
            <w:pPr>
              <w:spacing w:after="0" w:line="276" w:lineRule="auto"/>
              <w:jc w:val="both"/>
              <w:rPr>
                <w:rFonts w:ascii="Times New Roman" w:eastAsia="Times New Roman" w:hAnsi="Times New Roman" w:cs="Times New Roman"/>
                <w:b/>
                <w:bCs/>
                <w:color w:val="000000"/>
                <w:sz w:val="24"/>
                <w:szCs w:val="24"/>
                <w:lang w:eastAsia="en-GB"/>
              </w:rPr>
            </w:pPr>
            <w:r w:rsidRPr="00A66ECD">
              <w:rPr>
                <w:rFonts w:ascii="Times New Roman" w:eastAsia="Times New Roman" w:hAnsi="Times New Roman" w:cs="Times New Roman"/>
                <w:b/>
                <w:bCs/>
                <w:color w:val="000000"/>
                <w:sz w:val="24"/>
                <w:szCs w:val="24"/>
                <w:lang w:eastAsia="en-GB"/>
              </w:rPr>
              <w:t>£491,625.00</w:t>
            </w:r>
          </w:p>
        </w:tc>
      </w:tr>
      <w:tr w:rsidR="00EA7939" w:rsidRPr="00A66ECD" w14:paraId="6B2B92CF" w14:textId="77777777" w:rsidTr="00EA7939">
        <w:trPr>
          <w:trHeight w:val="300"/>
        </w:trPr>
        <w:tc>
          <w:tcPr>
            <w:tcW w:w="3949" w:type="dxa"/>
            <w:tcBorders>
              <w:top w:val="nil"/>
              <w:left w:val="nil"/>
              <w:bottom w:val="nil"/>
              <w:right w:val="nil"/>
            </w:tcBorders>
            <w:shd w:val="clear" w:color="auto" w:fill="auto"/>
            <w:noWrap/>
            <w:vAlign w:val="bottom"/>
            <w:hideMark/>
          </w:tcPr>
          <w:p w14:paraId="54D09CCC" w14:textId="77777777" w:rsidR="00EA7939" w:rsidRPr="00A66ECD" w:rsidRDefault="00EA7939" w:rsidP="00A66ECD">
            <w:pPr>
              <w:spacing w:after="0" w:line="276" w:lineRule="auto"/>
              <w:jc w:val="both"/>
              <w:rPr>
                <w:rFonts w:ascii="Times New Roman" w:eastAsia="Times New Roman" w:hAnsi="Times New Roman" w:cs="Times New Roman"/>
                <w:b/>
                <w:bCs/>
                <w:color w:val="000000"/>
                <w:sz w:val="24"/>
                <w:szCs w:val="24"/>
                <w:lang w:eastAsia="en-GB"/>
              </w:rPr>
            </w:pPr>
          </w:p>
        </w:tc>
        <w:tc>
          <w:tcPr>
            <w:tcW w:w="1891" w:type="dxa"/>
            <w:tcBorders>
              <w:top w:val="nil"/>
              <w:left w:val="nil"/>
              <w:bottom w:val="nil"/>
              <w:right w:val="nil"/>
            </w:tcBorders>
            <w:shd w:val="clear" w:color="auto" w:fill="auto"/>
            <w:noWrap/>
            <w:vAlign w:val="bottom"/>
            <w:hideMark/>
          </w:tcPr>
          <w:p w14:paraId="621C1A58" w14:textId="77777777" w:rsidR="00EA7939" w:rsidRPr="00A66ECD" w:rsidRDefault="00EA7939" w:rsidP="00A66ECD">
            <w:pPr>
              <w:spacing w:after="0" w:line="276" w:lineRule="auto"/>
              <w:jc w:val="both"/>
              <w:rPr>
                <w:rFonts w:ascii="Times New Roman" w:eastAsia="Times New Roman" w:hAnsi="Times New Roman" w:cs="Times New Roman"/>
                <w:sz w:val="24"/>
                <w:szCs w:val="24"/>
                <w:lang w:eastAsia="en-GB"/>
              </w:rPr>
            </w:pPr>
          </w:p>
        </w:tc>
      </w:tr>
      <w:tr w:rsidR="00EA7939" w:rsidRPr="00A66ECD" w14:paraId="1AE46CC5" w14:textId="77777777" w:rsidTr="00EA7939">
        <w:trPr>
          <w:trHeight w:val="300"/>
        </w:trPr>
        <w:tc>
          <w:tcPr>
            <w:tcW w:w="3949" w:type="dxa"/>
            <w:tcBorders>
              <w:top w:val="nil"/>
              <w:left w:val="nil"/>
              <w:bottom w:val="nil"/>
              <w:right w:val="nil"/>
            </w:tcBorders>
            <w:shd w:val="clear" w:color="auto" w:fill="auto"/>
            <w:noWrap/>
            <w:vAlign w:val="bottom"/>
            <w:hideMark/>
          </w:tcPr>
          <w:p w14:paraId="01ABFE2C" w14:textId="77777777" w:rsidR="00EA7939" w:rsidRPr="00A66ECD" w:rsidRDefault="00EA7939" w:rsidP="00A66ECD">
            <w:pPr>
              <w:spacing w:after="0" w:line="276" w:lineRule="auto"/>
              <w:jc w:val="both"/>
              <w:rPr>
                <w:rFonts w:ascii="Times New Roman" w:eastAsia="Times New Roman" w:hAnsi="Times New Roman" w:cs="Times New Roman"/>
                <w:b/>
                <w:bCs/>
                <w:color w:val="000000"/>
                <w:sz w:val="24"/>
                <w:szCs w:val="24"/>
                <w:lang w:eastAsia="en-GB"/>
              </w:rPr>
            </w:pPr>
            <w:r w:rsidRPr="00A66ECD">
              <w:rPr>
                <w:rFonts w:ascii="Times New Roman" w:eastAsia="Times New Roman" w:hAnsi="Times New Roman" w:cs="Times New Roman"/>
                <w:b/>
                <w:bCs/>
                <w:color w:val="000000"/>
                <w:sz w:val="24"/>
                <w:szCs w:val="24"/>
                <w:lang w:eastAsia="en-GB"/>
              </w:rPr>
              <w:t>Shareholders' equity</w:t>
            </w:r>
          </w:p>
        </w:tc>
        <w:tc>
          <w:tcPr>
            <w:tcW w:w="1891" w:type="dxa"/>
            <w:tcBorders>
              <w:top w:val="nil"/>
              <w:left w:val="nil"/>
              <w:bottom w:val="nil"/>
              <w:right w:val="nil"/>
            </w:tcBorders>
            <w:shd w:val="clear" w:color="auto" w:fill="auto"/>
            <w:noWrap/>
            <w:vAlign w:val="bottom"/>
            <w:hideMark/>
          </w:tcPr>
          <w:p w14:paraId="3E4291E9" w14:textId="77777777" w:rsidR="00EA7939" w:rsidRPr="00A66ECD" w:rsidRDefault="00EA7939" w:rsidP="00A66ECD">
            <w:pPr>
              <w:spacing w:after="0" w:line="276" w:lineRule="auto"/>
              <w:jc w:val="both"/>
              <w:rPr>
                <w:rFonts w:ascii="Times New Roman" w:eastAsia="Times New Roman" w:hAnsi="Times New Roman" w:cs="Times New Roman"/>
                <w:b/>
                <w:bCs/>
                <w:color w:val="000000"/>
                <w:sz w:val="24"/>
                <w:szCs w:val="24"/>
                <w:lang w:eastAsia="en-GB"/>
              </w:rPr>
            </w:pPr>
          </w:p>
        </w:tc>
      </w:tr>
      <w:tr w:rsidR="00EA7939" w:rsidRPr="00A66ECD" w14:paraId="1D2992AF" w14:textId="77777777" w:rsidTr="00EA7939">
        <w:trPr>
          <w:trHeight w:val="300"/>
        </w:trPr>
        <w:tc>
          <w:tcPr>
            <w:tcW w:w="3949" w:type="dxa"/>
            <w:tcBorders>
              <w:top w:val="nil"/>
              <w:left w:val="nil"/>
              <w:bottom w:val="nil"/>
              <w:right w:val="nil"/>
            </w:tcBorders>
            <w:shd w:val="clear" w:color="auto" w:fill="auto"/>
            <w:noWrap/>
            <w:vAlign w:val="bottom"/>
            <w:hideMark/>
          </w:tcPr>
          <w:p w14:paraId="482D72DE" w14:textId="77777777" w:rsidR="00EA7939" w:rsidRPr="00A66ECD" w:rsidRDefault="00EA7939" w:rsidP="00A66ECD">
            <w:pPr>
              <w:spacing w:after="0" w:line="276" w:lineRule="auto"/>
              <w:jc w:val="both"/>
              <w:rPr>
                <w:rFonts w:ascii="Times New Roman" w:eastAsia="Times New Roman" w:hAnsi="Times New Roman" w:cs="Times New Roman"/>
                <w:color w:val="000000"/>
                <w:sz w:val="24"/>
                <w:szCs w:val="24"/>
                <w:lang w:eastAsia="en-GB"/>
              </w:rPr>
            </w:pPr>
            <w:r w:rsidRPr="00A66ECD">
              <w:rPr>
                <w:rFonts w:ascii="Times New Roman" w:eastAsia="Times New Roman" w:hAnsi="Times New Roman" w:cs="Times New Roman"/>
                <w:color w:val="000000"/>
                <w:sz w:val="24"/>
                <w:szCs w:val="24"/>
                <w:lang w:eastAsia="en-GB"/>
              </w:rPr>
              <w:t>£1 Ordinary shares</w:t>
            </w:r>
          </w:p>
        </w:tc>
        <w:tc>
          <w:tcPr>
            <w:tcW w:w="1891" w:type="dxa"/>
            <w:tcBorders>
              <w:top w:val="nil"/>
              <w:left w:val="nil"/>
              <w:bottom w:val="nil"/>
              <w:right w:val="nil"/>
            </w:tcBorders>
            <w:shd w:val="clear" w:color="auto" w:fill="auto"/>
            <w:noWrap/>
            <w:vAlign w:val="bottom"/>
            <w:hideMark/>
          </w:tcPr>
          <w:p w14:paraId="129C9C6C" w14:textId="77777777" w:rsidR="00EA7939" w:rsidRPr="00A66ECD" w:rsidRDefault="00EA7939" w:rsidP="00A66ECD">
            <w:pPr>
              <w:spacing w:after="0" w:line="276" w:lineRule="auto"/>
              <w:jc w:val="both"/>
              <w:rPr>
                <w:rFonts w:ascii="Times New Roman" w:eastAsia="Times New Roman" w:hAnsi="Times New Roman" w:cs="Times New Roman"/>
                <w:color w:val="000000"/>
                <w:sz w:val="24"/>
                <w:szCs w:val="24"/>
                <w:lang w:eastAsia="en-GB"/>
              </w:rPr>
            </w:pPr>
            <w:r w:rsidRPr="00A66ECD">
              <w:rPr>
                <w:rFonts w:ascii="Times New Roman" w:eastAsia="Times New Roman" w:hAnsi="Times New Roman" w:cs="Times New Roman"/>
                <w:color w:val="000000"/>
                <w:sz w:val="24"/>
                <w:szCs w:val="24"/>
                <w:lang w:eastAsia="en-GB"/>
              </w:rPr>
              <w:t>£1,000,000.00</w:t>
            </w:r>
          </w:p>
        </w:tc>
      </w:tr>
      <w:tr w:rsidR="00EA7939" w:rsidRPr="00A66ECD" w14:paraId="3649CFE7" w14:textId="77777777" w:rsidTr="00EA7939">
        <w:trPr>
          <w:trHeight w:val="300"/>
        </w:trPr>
        <w:tc>
          <w:tcPr>
            <w:tcW w:w="3949" w:type="dxa"/>
            <w:tcBorders>
              <w:top w:val="nil"/>
              <w:left w:val="nil"/>
              <w:bottom w:val="nil"/>
              <w:right w:val="nil"/>
            </w:tcBorders>
            <w:shd w:val="clear" w:color="auto" w:fill="auto"/>
            <w:noWrap/>
            <w:vAlign w:val="bottom"/>
            <w:hideMark/>
          </w:tcPr>
          <w:p w14:paraId="5EED06EF" w14:textId="77777777" w:rsidR="00EA7939" w:rsidRPr="00A66ECD" w:rsidRDefault="00EA7939" w:rsidP="00A66ECD">
            <w:pPr>
              <w:spacing w:after="0" w:line="276" w:lineRule="auto"/>
              <w:jc w:val="both"/>
              <w:rPr>
                <w:rFonts w:ascii="Times New Roman" w:eastAsia="Times New Roman" w:hAnsi="Times New Roman" w:cs="Times New Roman"/>
                <w:color w:val="000000"/>
                <w:sz w:val="24"/>
                <w:szCs w:val="24"/>
                <w:lang w:eastAsia="en-GB"/>
              </w:rPr>
            </w:pPr>
            <w:r w:rsidRPr="00A66ECD">
              <w:rPr>
                <w:rFonts w:ascii="Times New Roman" w:eastAsia="Times New Roman" w:hAnsi="Times New Roman" w:cs="Times New Roman"/>
                <w:color w:val="000000"/>
                <w:sz w:val="24"/>
                <w:szCs w:val="24"/>
                <w:lang w:eastAsia="en-GB"/>
              </w:rPr>
              <w:t>10% £1 Preference shares</w:t>
            </w:r>
          </w:p>
        </w:tc>
        <w:tc>
          <w:tcPr>
            <w:tcW w:w="1891" w:type="dxa"/>
            <w:tcBorders>
              <w:top w:val="nil"/>
              <w:left w:val="nil"/>
              <w:bottom w:val="nil"/>
              <w:right w:val="nil"/>
            </w:tcBorders>
            <w:shd w:val="clear" w:color="auto" w:fill="auto"/>
            <w:noWrap/>
            <w:vAlign w:val="bottom"/>
            <w:hideMark/>
          </w:tcPr>
          <w:p w14:paraId="462FE3FA" w14:textId="77777777" w:rsidR="00EA7939" w:rsidRPr="00A66ECD" w:rsidRDefault="00EA7939" w:rsidP="00A66ECD">
            <w:pPr>
              <w:spacing w:after="0" w:line="276" w:lineRule="auto"/>
              <w:jc w:val="both"/>
              <w:rPr>
                <w:rFonts w:ascii="Times New Roman" w:eastAsia="Times New Roman" w:hAnsi="Times New Roman" w:cs="Times New Roman"/>
                <w:color w:val="000000"/>
                <w:sz w:val="24"/>
                <w:szCs w:val="24"/>
                <w:lang w:eastAsia="en-GB"/>
              </w:rPr>
            </w:pPr>
            <w:r w:rsidRPr="00A66ECD">
              <w:rPr>
                <w:rFonts w:ascii="Times New Roman" w:eastAsia="Times New Roman" w:hAnsi="Times New Roman" w:cs="Times New Roman"/>
                <w:color w:val="000000"/>
                <w:sz w:val="24"/>
                <w:szCs w:val="24"/>
                <w:lang w:eastAsia="en-GB"/>
              </w:rPr>
              <w:t>£400,000.00</w:t>
            </w:r>
          </w:p>
        </w:tc>
      </w:tr>
      <w:tr w:rsidR="00EA7939" w:rsidRPr="00A66ECD" w14:paraId="70AFA034" w14:textId="77777777" w:rsidTr="00EA7939">
        <w:trPr>
          <w:trHeight w:val="300"/>
        </w:trPr>
        <w:tc>
          <w:tcPr>
            <w:tcW w:w="3949" w:type="dxa"/>
            <w:tcBorders>
              <w:top w:val="nil"/>
              <w:left w:val="nil"/>
              <w:bottom w:val="nil"/>
              <w:right w:val="nil"/>
            </w:tcBorders>
            <w:shd w:val="clear" w:color="auto" w:fill="auto"/>
            <w:noWrap/>
            <w:vAlign w:val="bottom"/>
            <w:hideMark/>
          </w:tcPr>
          <w:p w14:paraId="48B9A1D7" w14:textId="77777777" w:rsidR="00EA7939" w:rsidRPr="00A66ECD" w:rsidRDefault="00EA7939" w:rsidP="00A66ECD">
            <w:pPr>
              <w:spacing w:after="0" w:line="276" w:lineRule="auto"/>
              <w:jc w:val="both"/>
              <w:rPr>
                <w:rFonts w:ascii="Times New Roman" w:eastAsia="Times New Roman" w:hAnsi="Times New Roman" w:cs="Times New Roman"/>
                <w:color w:val="000000"/>
                <w:sz w:val="24"/>
                <w:szCs w:val="24"/>
                <w:lang w:eastAsia="en-GB"/>
              </w:rPr>
            </w:pPr>
            <w:r w:rsidRPr="00A66ECD">
              <w:rPr>
                <w:rFonts w:ascii="Times New Roman" w:eastAsia="Times New Roman" w:hAnsi="Times New Roman" w:cs="Times New Roman"/>
                <w:color w:val="000000"/>
                <w:sz w:val="24"/>
                <w:szCs w:val="24"/>
                <w:lang w:eastAsia="en-GB"/>
              </w:rPr>
              <w:t>Retained profits at 1st January</w:t>
            </w:r>
          </w:p>
        </w:tc>
        <w:tc>
          <w:tcPr>
            <w:tcW w:w="1891" w:type="dxa"/>
            <w:tcBorders>
              <w:top w:val="nil"/>
              <w:left w:val="nil"/>
              <w:bottom w:val="nil"/>
              <w:right w:val="nil"/>
            </w:tcBorders>
            <w:shd w:val="clear" w:color="auto" w:fill="auto"/>
            <w:noWrap/>
            <w:vAlign w:val="bottom"/>
            <w:hideMark/>
          </w:tcPr>
          <w:p w14:paraId="1482958B" w14:textId="77777777" w:rsidR="00EA7939" w:rsidRPr="00A66ECD" w:rsidRDefault="00EA7939" w:rsidP="00A66ECD">
            <w:pPr>
              <w:spacing w:after="0" w:line="276" w:lineRule="auto"/>
              <w:jc w:val="both"/>
              <w:rPr>
                <w:rFonts w:ascii="Times New Roman" w:eastAsia="Times New Roman" w:hAnsi="Times New Roman" w:cs="Times New Roman"/>
                <w:color w:val="000000"/>
                <w:sz w:val="24"/>
                <w:szCs w:val="24"/>
                <w:lang w:eastAsia="en-GB"/>
              </w:rPr>
            </w:pPr>
            <w:r w:rsidRPr="00A66ECD">
              <w:rPr>
                <w:rFonts w:ascii="Times New Roman" w:eastAsia="Times New Roman" w:hAnsi="Times New Roman" w:cs="Times New Roman"/>
                <w:color w:val="000000"/>
                <w:sz w:val="24"/>
                <w:szCs w:val="24"/>
                <w:lang w:eastAsia="en-GB"/>
              </w:rPr>
              <w:t>£132,000.00</w:t>
            </w:r>
          </w:p>
        </w:tc>
      </w:tr>
      <w:tr w:rsidR="00EA7939" w:rsidRPr="00A66ECD" w14:paraId="34FB489D" w14:textId="77777777" w:rsidTr="00EA7939">
        <w:trPr>
          <w:trHeight w:val="300"/>
        </w:trPr>
        <w:tc>
          <w:tcPr>
            <w:tcW w:w="3949" w:type="dxa"/>
            <w:tcBorders>
              <w:top w:val="nil"/>
              <w:left w:val="nil"/>
              <w:bottom w:val="nil"/>
              <w:right w:val="nil"/>
            </w:tcBorders>
            <w:shd w:val="clear" w:color="auto" w:fill="auto"/>
            <w:noWrap/>
            <w:vAlign w:val="bottom"/>
            <w:hideMark/>
          </w:tcPr>
          <w:p w14:paraId="1CA1D943" w14:textId="77777777" w:rsidR="00EA7939" w:rsidRPr="00A66ECD" w:rsidRDefault="00EA7939" w:rsidP="00A66ECD">
            <w:pPr>
              <w:spacing w:after="0" w:line="276" w:lineRule="auto"/>
              <w:jc w:val="both"/>
              <w:rPr>
                <w:rFonts w:ascii="Times New Roman" w:eastAsia="Times New Roman" w:hAnsi="Times New Roman" w:cs="Times New Roman"/>
                <w:color w:val="000000"/>
                <w:sz w:val="24"/>
                <w:szCs w:val="24"/>
                <w:lang w:eastAsia="en-GB"/>
              </w:rPr>
            </w:pPr>
            <w:r w:rsidRPr="00A66ECD">
              <w:rPr>
                <w:rFonts w:ascii="Times New Roman" w:eastAsia="Times New Roman" w:hAnsi="Times New Roman" w:cs="Times New Roman"/>
                <w:color w:val="000000"/>
                <w:sz w:val="24"/>
                <w:szCs w:val="24"/>
                <w:lang w:eastAsia="en-GB"/>
              </w:rPr>
              <w:t>Net profit</w:t>
            </w:r>
          </w:p>
        </w:tc>
        <w:tc>
          <w:tcPr>
            <w:tcW w:w="1891" w:type="dxa"/>
            <w:tcBorders>
              <w:top w:val="nil"/>
              <w:left w:val="nil"/>
              <w:bottom w:val="nil"/>
              <w:right w:val="nil"/>
            </w:tcBorders>
            <w:shd w:val="clear" w:color="auto" w:fill="auto"/>
            <w:noWrap/>
            <w:vAlign w:val="bottom"/>
            <w:hideMark/>
          </w:tcPr>
          <w:p w14:paraId="0818A840" w14:textId="77777777" w:rsidR="00EA7939" w:rsidRPr="00A66ECD" w:rsidRDefault="00EA7939" w:rsidP="00A66ECD">
            <w:pPr>
              <w:spacing w:after="0" w:line="276" w:lineRule="auto"/>
              <w:jc w:val="both"/>
              <w:rPr>
                <w:rFonts w:ascii="Times New Roman" w:eastAsia="Times New Roman" w:hAnsi="Times New Roman" w:cs="Times New Roman"/>
                <w:color w:val="000000"/>
                <w:sz w:val="24"/>
                <w:szCs w:val="24"/>
                <w:lang w:eastAsia="en-GB"/>
              </w:rPr>
            </w:pPr>
            <w:r w:rsidRPr="00A66ECD">
              <w:rPr>
                <w:rFonts w:ascii="Times New Roman" w:eastAsia="Times New Roman" w:hAnsi="Times New Roman" w:cs="Times New Roman"/>
                <w:color w:val="000000"/>
                <w:sz w:val="24"/>
                <w:szCs w:val="24"/>
                <w:lang w:eastAsia="en-GB"/>
              </w:rPr>
              <w:t>£4,330.00</w:t>
            </w:r>
          </w:p>
        </w:tc>
      </w:tr>
      <w:tr w:rsidR="00EA7939" w:rsidRPr="00A66ECD" w14:paraId="61C6DDDC" w14:textId="77777777" w:rsidTr="00EA7939">
        <w:trPr>
          <w:trHeight w:val="300"/>
        </w:trPr>
        <w:tc>
          <w:tcPr>
            <w:tcW w:w="3949" w:type="dxa"/>
            <w:tcBorders>
              <w:top w:val="nil"/>
              <w:left w:val="nil"/>
              <w:bottom w:val="nil"/>
              <w:right w:val="nil"/>
            </w:tcBorders>
            <w:shd w:val="clear" w:color="auto" w:fill="auto"/>
            <w:noWrap/>
            <w:vAlign w:val="bottom"/>
            <w:hideMark/>
          </w:tcPr>
          <w:p w14:paraId="271D6CB4" w14:textId="77777777" w:rsidR="00EA7939" w:rsidRPr="00A66ECD" w:rsidRDefault="00EA7939" w:rsidP="00A66ECD">
            <w:pPr>
              <w:spacing w:after="0" w:line="276" w:lineRule="auto"/>
              <w:jc w:val="both"/>
              <w:rPr>
                <w:rFonts w:ascii="Times New Roman" w:eastAsia="Times New Roman" w:hAnsi="Times New Roman" w:cs="Times New Roman"/>
                <w:b/>
                <w:bCs/>
                <w:color w:val="000000"/>
                <w:sz w:val="24"/>
                <w:szCs w:val="24"/>
                <w:lang w:eastAsia="en-GB"/>
              </w:rPr>
            </w:pPr>
            <w:r w:rsidRPr="00A66ECD">
              <w:rPr>
                <w:rFonts w:ascii="Times New Roman" w:eastAsia="Times New Roman" w:hAnsi="Times New Roman" w:cs="Times New Roman"/>
                <w:b/>
                <w:bCs/>
                <w:color w:val="000000"/>
                <w:sz w:val="24"/>
                <w:szCs w:val="24"/>
                <w:lang w:eastAsia="en-GB"/>
              </w:rPr>
              <w:t>Total shareholders' equity</w:t>
            </w:r>
          </w:p>
        </w:tc>
        <w:tc>
          <w:tcPr>
            <w:tcW w:w="1891" w:type="dxa"/>
            <w:tcBorders>
              <w:top w:val="nil"/>
              <w:left w:val="nil"/>
              <w:bottom w:val="nil"/>
              <w:right w:val="nil"/>
            </w:tcBorders>
            <w:shd w:val="clear" w:color="auto" w:fill="auto"/>
            <w:noWrap/>
            <w:vAlign w:val="bottom"/>
            <w:hideMark/>
          </w:tcPr>
          <w:p w14:paraId="2EDFFBAD" w14:textId="77777777" w:rsidR="00EA7939" w:rsidRPr="00A66ECD" w:rsidRDefault="00EA7939" w:rsidP="00A66ECD">
            <w:pPr>
              <w:spacing w:after="0" w:line="276" w:lineRule="auto"/>
              <w:jc w:val="both"/>
              <w:rPr>
                <w:rFonts w:ascii="Times New Roman" w:eastAsia="Times New Roman" w:hAnsi="Times New Roman" w:cs="Times New Roman"/>
                <w:b/>
                <w:bCs/>
                <w:color w:val="000000"/>
                <w:sz w:val="24"/>
                <w:szCs w:val="24"/>
                <w:lang w:eastAsia="en-GB"/>
              </w:rPr>
            </w:pPr>
            <w:r w:rsidRPr="00A66ECD">
              <w:rPr>
                <w:rFonts w:ascii="Times New Roman" w:eastAsia="Times New Roman" w:hAnsi="Times New Roman" w:cs="Times New Roman"/>
                <w:b/>
                <w:bCs/>
                <w:color w:val="000000"/>
                <w:sz w:val="24"/>
                <w:szCs w:val="24"/>
                <w:lang w:eastAsia="en-GB"/>
              </w:rPr>
              <w:t>£1,536,330.00</w:t>
            </w:r>
          </w:p>
        </w:tc>
      </w:tr>
      <w:tr w:rsidR="00EA7939" w:rsidRPr="00A66ECD" w14:paraId="5645E78F" w14:textId="77777777" w:rsidTr="00EA7939">
        <w:trPr>
          <w:trHeight w:val="300"/>
        </w:trPr>
        <w:tc>
          <w:tcPr>
            <w:tcW w:w="3949" w:type="dxa"/>
            <w:tcBorders>
              <w:top w:val="nil"/>
              <w:left w:val="nil"/>
              <w:bottom w:val="nil"/>
              <w:right w:val="nil"/>
            </w:tcBorders>
            <w:shd w:val="clear" w:color="auto" w:fill="auto"/>
            <w:noWrap/>
            <w:vAlign w:val="bottom"/>
            <w:hideMark/>
          </w:tcPr>
          <w:p w14:paraId="253A1BBD" w14:textId="77777777" w:rsidR="00EA7939" w:rsidRPr="00A66ECD" w:rsidRDefault="00EA7939" w:rsidP="00A66ECD">
            <w:pPr>
              <w:spacing w:after="0" w:line="276" w:lineRule="auto"/>
              <w:jc w:val="both"/>
              <w:rPr>
                <w:rFonts w:ascii="Times New Roman" w:eastAsia="Times New Roman" w:hAnsi="Times New Roman" w:cs="Times New Roman"/>
                <w:b/>
                <w:bCs/>
                <w:color w:val="000000"/>
                <w:sz w:val="24"/>
                <w:szCs w:val="24"/>
                <w:lang w:eastAsia="en-GB"/>
              </w:rPr>
            </w:pPr>
          </w:p>
        </w:tc>
        <w:tc>
          <w:tcPr>
            <w:tcW w:w="1891" w:type="dxa"/>
            <w:tcBorders>
              <w:top w:val="nil"/>
              <w:left w:val="nil"/>
              <w:bottom w:val="nil"/>
              <w:right w:val="nil"/>
            </w:tcBorders>
            <w:shd w:val="clear" w:color="auto" w:fill="auto"/>
            <w:noWrap/>
            <w:vAlign w:val="bottom"/>
            <w:hideMark/>
          </w:tcPr>
          <w:p w14:paraId="4146DAD5" w14:textId="77777777" w:rsidR="00EA7939" w:rsidRPr="00A66ECD" w:rsidRDefault="00EA7939" w:rsidP="00A66ECD">
            <w:pPr>
              <w:spacing w:after="0" w:line="276" w:lineRule="auto"/>
              <w:jc w:val="both"/>
              <w:rPr>
                <w:rFonts w:ascii="Times New Roman" w:eastAsia="Times New Roman" w:hAnsi="Times New Roman" w:cs="Times New Roman"/>
                <w:sz w:val="24"/>
                <w:szCs w:val="24"/>
                <w:lang w:eastAsia="en-GB"/>
              </w:rPr>
            </w:pPr>
          </w:p>
        </w:tc>
      </w:tr>
      <w:tr w:rsidR="00EA7939" w:rsidRPr="00A66ECD" w14:paraId="60895550" w14:textId="77777777" w:rsidTr="00EA7939">
        <w:trPr>
          <w:trHeight w:val="300"/>
        </w:trPr>
        <w:tc>
          <w:tcPr>
            <w:tcW w:w="3949" w:type="dxa"/>
            <w:tcBorders>
              <w:top w:val="nil"/>
              <w:left w:val="nil"/>
              <w:bottom w:val="nil"/>
              <w:right w:val="nil"/>
            </w:tcBorders>
            <w:shd w:val="clear" w:color="auto" w:fill="auto"/>
            <w:noWrap/>
            <w:vAlign w:val="bottom"/>
            <w:hideMark/>
          </w:tcPr>
          <w:p w14:paraId="52D12C0B" w14:textId="77777777" w:rsidR="00EA7939" w:rsidRPr="00A66ECD" w:rsidRDefault="00EA7939" w:rsidP="00A66ECD">
            <w:pPr>
              <w:spacing w:after="0" w:line="276" w:lineRule="auto"/>
              <w:jc w:val="both"/>
              <w:rPr>
                <w:rFonts w:ascii="Times New Roman" w:eastAsia="Times New Roman" w:hAnsi="Times New Roman" w:cs="Times New Roman"/>
                <w:b/>
                <w:bCs/>
                <w:color w:val="000000"/>
                <w:sz w:val="24"/>
                <w:szCs w:val="24"/>
                <w:lang w:eastAsia="en-GB"/>
              </w:rPr>
            </w:pPr>
            <w:r w:rsidRPr="00A66ECD">
              <w:rPr>
                <w:rFonts w:ascii="Times New Roman" w:eastAsia="Times New Roman" w:hAnsi="Times New Roman" w:cs="Times New Roman"/>
                <w:b/>
                <w:bCs/>
                <w:color w:val="000000"/>
                <w:sz w:val="24"/>
                <w:szCs w:val="24"/>
                <w:lang w:eastAsia="en-GB"/>
              </w:rPr>
              <w:t>Liabilities and Equity</w:t>
            </w:r>
          </w:p>
        </w:tc>
        <w:tc>
          <w:tcPr>
            <w:tcW w:w="1891" w:type="dxa"/>
            <w:tcBorders>
              <w:top w:val="nil"/>
              <w:left w:val="nil"/>
              <w:bottom w:val="nil"/>
              <w:right w:val="nil"/>
            </w:tcBorders>
            <w:shd w:val="clear" w:color="auto" w:fill="auto"/>
            <w:noWrap/>
            <w:vAlign w:val="bottom"/>
            <w:hideMark/>
          </w:tcPr>
          <w:p w14:paraId="3D938CB2" w14:textId="77777777" w:rsidR="00EA7939" w:rsidRPr="00A66ECD" w:rsidRDefault="00EA7939" w:rsidP="00A66ECD">
            <w:pPr>
              <w:spacing w:after="0" w:line="276" w:lineRule="auto"/>
              <w:jc w:val="both"/>
              <w:rPr>
                <w:rFonts w:ascii="Times New Roman" w:eastAsia="Times New Roman" w:hAnsi="Times New Roman" w:cs="Times New Roman"/>
                <w:b/>
                <w:bCs/>
                <w:color w:val="000000"/>
                <w:sz w:val="24"/>
                <w:szCs w:val="24"/>
                <w:lang w:eastAsia="en-GB"/>
              </w:rPr>
            </w:pPr>
            <w:r w:rsidRPr="00A66ECD">
              <w:rPr>
                <w:rFonts w:ascii="Times New Roman" w:eastAsia="Times New Roman" w:hAnsi="Times New Roman" w:cs="Times New Roman"/>
                <w:b/>
                <w:bCs/>
                <w:color w:val="000000"/>
                <w:sz w:val="24"/>
                <w:szCs w:val="24"/>
                <w:lang w:eastAsia="en-GB"/>
              </w:rPr>
              <w:t>£2,027,955.00</w:t>
            </w:r>
          </w:p>
        </w:tc>
      </w:tr>
    </w:tbl>
    <w:p w14:paraId="0F9AD74D" w14:textId="77777777" w:rsidR="00EA7939" w:rsidRPr="00A66ECD" w:rsidRDefault="005F1998" w:rsidP="00A66ECD">
      <w:pPr>
        <w:spacing w:after="0" w:line="360" w:lineRule="auto"/>
        <w:jc w:val="both"/>
        <w:rPr>
          <w:rFonts w:ascii="Times New Roman" w:hAnsi="Times New Roman" w:cs="Times New Roman"/>
          <w:i/>
          <w:iCs/>
          <w:sz w:val="24"/>
          <w:szCs w:val="24"/>
          <w:u w:val="single"/>
        </w:rPr>
      </w:pPr>
      <w:r w:rsidRPr="00A66ECD">
        <w:rPr>
          <w:rFonts w:ascii="Times New Roman" w:hAnsi="Times New Roman" w:cs="Times New Roman"/>
          <w:i/>
          <w:iCs/>
          <w:sz w:val="24"/>
          <w:szCs w:val="24"/>
          <w:u w:val="single"/>
        </w:rPr>
        <w:t>Notes to statement of financial position, explaining calculations:</w:t>
      </w:r>
    </w:p>
    <w:p w14:paraId="42425467" w14:textId="77777777" w:rsidR="005F1998" w:rsidRPr="00A66ECD" w:rsidRDefault="005F1998" w:rsidP="00A66ECD">
      <w:pPr>
        <w:spacing w:after="240" w:line="360" w:lineRule="auto"/>
        <w:jc w:val="both"/>
        <w:rPr>
          <w:rFonts w:ascii="Times New Roman" w:hAnsi="Times New Roman" w:cs="Times New Roman"/>
          <w:sz w:val="24"/>
          <w:szCs w:val="24"/>
        </w:rPr>
      </w:pPr>
      <w:r w:rsidRPr="00A66ECD">
        <w:rPr>
          <w:rFonts w:ascii="Times New Roman" w:hAnsi="Times New Roman" w:cs="Times New Roman"/>
          <w:sz w:val="24"/>
          <w:szCs w:val="24"/>
        </w:rPr>
        <w:t>Debtors = 170,125 + 980 = £171,105</w:t>
      </w:r>
    </w:p>
    <w:p w14:paraId="05ACCC70" w14:textId="77777777" w:rsidR="00E0501E" w:rsidRPr="00A66ECD" w:rsidRDefault="00E0501E" w:rsidP="00A66ECD">
      <w:pPr>
        <w:spacing w:after="240" w:line="360" w:lineRule="auto"/>
        <w:jc w:val="both"/>
        <w:rPr>
          <w:rFonts w:ascii="Times New Roman" w:hAnsi="Times New Roman" w:cs="Times New Roman"/>
          <w:sz w:val="24"/>
          <w:szCs w:val="24"/>
        </w:rPr>
      </w:pPr>
    </w:p>
    <w:p w14:paraId="512B9012" w14:textId="77777777" w:rsidR="00CA457D" w:rsidRPr="00A66ECD" w:rsidRDefault="005F1998" w:rsidP="00A66ECD">
      <w:pPr>
        <w:spacing w:after="240" w:line="360" w:lineRule="auto"/>
        <w:jc w:val="both"/>
        <w:rPr>
          <w:rFonts w:ascii="Times New Roman" w:hAnsi="Times New Roman" w:cs="Times New Roman"/>
          <w:sz w:val="24"/>
          <w:szCs w:val="24"/>
        </w:rPr>
      </w:pPr>
      <w:r w:rsidRPr="00A66ECD">
        <w:rPr>
          <w:rFonts w:ascii="Times New Roman" w:hAnsi="Times New Roman" w:cs="Times New Roman"/>
          <w:sz w:val="24"/>
          <w:szCs w:val="24"/>
        </w:rPr>
        <w:t xml:space="preserve">b) </w:t>
      </w:r>
      <w:r w:rsidR="00A30918" w:rsidRPr="00A66ECD">
        <w:rPr>
          <w:rFonts w:ascii="Times New Roman" w:hAnsi="Times New Roman" w:cs="Times New Roman"/>
          <w:sz w:val="24"/>
          <w:szCs w:val="24"/>
        </w:rPr>
        <w:t xml:space="preserve">As evident by the statement, the value of total assets equals the sum of total liabilities and shareholders’ equity. </w:t>
      </w:r>
      <w:r w:rsidR="00CA457D" w:rsidRPr="00A66ECD">
        <w:rPr>
          <w:rFonts w:ascii="Times New Roman" w:hAnsi="Times New Roman" w:cs="Times New Roman"/>
          <w:sz w:val="24"/>
          <w:szCs w:val="24"/>
        </w:rPr>
        <w:t>This is also referred as the basic accounting equation. These two sides must always be equal, as they represent the dual nature of accounti</w:t>
      </w:r>
      <w:r w:rsidR="00A66ECD" w:rsidRPr="00A66ECD">
        <w:rPr>
          <w:rFonts w:ascii="Times New Roman" w:hAnsi="Times New Roman" w:cs="Times New Roman"/>
          <w:sz w:val="24"/>
          <w:szCs w:val="24"/>
        </w:rPr>
        <w:t xml:space="preserve">ng transactions. Assets, </w:t>
      </w:r>
      <w:r w:rsidR="00CA457D" w:rsidRPr="00A66ECD">
        <w:rPr>
          <w:rFonts w:ascii="Times New Roman" w:hAnsi="Times New Roman" w:cs="Times New Roman"/>
          <w:sz w:val="24"/>
          <w:szCs w:val="24"/>
        </w:rPr>
        <w:t>which are the eco</w:t>
      </w:r>
      <w:r w:rsidR="00A66ECD" w:rsidRPr="00A66ECD">
        <w:rPr>
          <w:rFonts w:ascii="Times New Roman" w:hAnsi="Times New Roman" w:cs="Times New Roman"/>
          <w:sz w:val="24"/>
          <w:szCs w:val="24"/>
        </w:rPr>
        <w:t>nomic resources of the business,</w:t>
      </w:r>
      <w:r w:rsidR="00CA457D" w:rsidRPr="00A66ECD">
        <w:rPr>
          <w:rFonts w:ascii="Times New Roman" w:hAnsi="Times New Roman" w:cs="Times New Roman"/>
          <w:sz w:val="24"/>
          <w:szCs w:val="24"/>
        </w:rPr>
        <w:t xml:space="preserve"> are obtained either through equity (stockholders and owners) or liabilities (e.g. bank loan) (Needles et al., 2014). The accounting equation shows how assets are being funded and how they are obtained. This equation is considered to be the foundation of the double-entry accounting system, emphasising on the fact that each entry and transaction has two effects on company’s accounts – debit and credit side (Fernando, 2022). </w:t>
      </w:r>
    </w:p>
    <w:p w14:paraId="0F42E2E6" w14:textId="77777777" w:rsidR="00CA457D" w:rsidRPr="00A66ECD" w:rsidRDefault="005F1998" w:rsidP="00A66ECD">
      <w:pPr>
        <w:pStyle w:val="Heading1"/>
        <w:spacing w:after="240" w:line="360" w:lineRule="auto"/>
        <w:jc w:val="both"/>
        <w:rPr>
          <w:rFonts w:ascii="Times New Roman" w:hAnsi="Times New Roman" w:cs="Times New Roman"/>
          <w:b/>
          <w:sz w:val="28"/>
          <w:szCs w:val="28"/>
        </w:rPr>
      </w:pPr>
      <w:bookmarkStart w:id="2" w:name="_Toc124376062"/>
      <w:r w:rsidRPr="00A66ECD">
        <w:rPr>
          <w:rFonts w:ascii="Times New Roman" w:hAnsi="Times New Roman" w:cs="Times New Roman"/>
          <w:b/>
          <w:sz w:val="28"/>
          <w:szCs w:val="28"/>
        </w:rPr>
        <w:t>Question 2</w:t>
      </w:r>
      <w:bookmarkEnd w:id="2"/>
    </w:p>
    <w:p w14:paraId="14075BA9" w14:textId="77777777" w:rsidR="005F1998" w:rsidRPr="00A66ECD" w:rsidRDefault="007F52AF" w:rsidP="00A66ECD">
      <w:pPr>
        <w:spacing w:after="240" w:line="360" w:lineRule="auto"/>
        <w:jc w:val="both"/>
        <w:rPr>
          <w:rFonts w:ascii="Times New Roman" w:hAnsi="Times New Roman" w:cs="Times New Roman"/>
          <w:sz w:val="24"/>
          <w:szCs w:val="24"/>
        </w:rPr>
      </w:pPr>
      <w:r w:rsidRPr="00A66ECD">
        <w:rPr>
          <w:rFonts w:ascii="Times New Roman" w:hAnsi="Times New Roman" w:cs="Times New Roman"/>
          <w:sz w:val="24"/>
          <w:szCs w:val="24"/>
        </w:rPr>
        <w:t xml:space="preserve">a) </w:t>
      </w:r>
      <w:r w:rsidR="00D7203C" w:rsidRPr="00A66ECD">
        <w:rPr>
          <w:rFonts w:ascii="Times New Roman" w:hAnsi="Times New Roman" w:cs="Times New Roman"/>
          <w:sz w:val="24"/>
          <w:szCs w:val="24"/>
        </w:rPr>
        <w:t>Return on capital employed (</w:t>
      </w:r>
      <w:r w:rsidR="00375538" w:rsidRPr="00A66ECD">
        <w:rPr>
          <w:rFonts w:ascii="Times New Roman" w:hAnsi="Times New Roman" w:cs="Times New Roman"/>
          <w:sz w:val="24"/>
          <w:szCs w:val="24"/>
        </w:rPr>
        <w:t>ROCE</w:t>
      </w:r>
      <w:r w:rsidR="00D7203C" w:rsidRPr="00A66ECD">
        <w:rPr>
          <w:rFonts w:ascii="Times New Roman" w:hAnsi="Times New Roman" w:cs="Times New Roman"/>
          <w:sz w:val="24"/>
          <w:szCs w:val="24"/>
        </w:rPr>
        <w:t>)</w:t>
      </w:r>
      <w:r w:rsidRPr="00A66ECD">
        <w:rPr>
          <w:rFonts w:ascii="Times New Roman" w:hAnsi="Times New Roman" w:cs="Times New Roman"/>
          <w:sz w:val="24"/>
          <w:szCs w:val="24"/>
        </w:rPr>
        <w:t xml:space="preserve"> is a financial ratio used to indicate and assess a company’s profitability and capital efficiency (Hayes, 2022). It is calculated using the following formula:</w:t>
      </w:r>
    </w:p>
    <w:p w14:paraId="79542E85" w14:textId="77777777" w:rsidR="007F52AF" w:rsidRPr="00A66ECD" w:rsidRDefault="007F52AF" w:rsidP="00A66ECD">
      <w:pPr>
        <w:spacing w:after="240" w:line="360" w:lineRule="auto"/>
        <w:jc w:val="both"/>
        <w:rPr>
          <w:rFonts w:ascii="Times New Roman" w:hAnsi="Times New Roman" w:cs="Times New Roman"/>
          <w:sz w:val="24"/>
          <w:szCs w:val="24"/>
        </w:rPr>
      </w:pPr>
      <w:r w:rsidRPr="00A66ECD">
        <w:rPr>
          <w:rFonts w:ascii="Times New Roman" w:hAnsi="Times New Roman" w:cs="Times New Roman"/>
          <w:sz w:val="24"/>
          <w:szCs w:val="24"/>
        </w:rPr>
        <w:t>ROCE = Earnings before interest and tax / Capital employed X 100</w:t>
      </w:r>
    </w:p>
    <w:p w14:paraId="2D899323" w14:textId="77777777" w:rsidR="007F52AF" w:rsidRPr="00A66ECD" w:rsidRDefault="007F52AF" w:rsidP="00A66ECD">
      <w:pPr>
        <w:spacing w:after="240" w:line="360" w:lineRule="auto"/>
        <w:jc w:val="both"/>
        <w:rPr>
          <w:rFonts w:ascii="Times New Roman" w:hAnsi="Times New Roman" w:cs="Times New Roman"/>
          <w:sz w:val="24"/>
          <w:szCs w:val="24"/>
        </w:rPr>
      </w:pPr>
      <w:r w:rsidRPr="00A66ECD">
        <w:rPr>
          <w:rFonts w:ascii="Times New Roman" w:hAnsi="Times New Roman" w:cs="Times New Roman"/>
          <w:sz w:val="24"/>
          <w:szCs w:val="24"/>
        </w:rPr>
        <w:t>Earnings before interest and tax = Profit before tax + Interest payable</w:t>
      </w:r>
    </w:p>
    <w:p w14:paraId="11DE7212" w14:textId="77777777" w:rsidR="007F52AF" w:rsidRPr="00A66ECD" w:rsidRDefault="007F52AF" w:rsidP="00A66ECD">
      <w:pPr>
        <w:spacing w:after="240" w:line="360" w:lineRule="auto"/>
        <w:jc w:val="both"/>
        <w:rPr>
          <w:rFonts w:ascii="Times New Roman" w:hAnsi="Times New Roman" w:cs="Times New Roman"/>
          <w:sz w:val="24"/>
          <w:szCs w:val="24"/>
        </w:rPr>
      </w:pPr>
      <w:r w:rsidRPr="00A66ECD">
        <w:rPr>
          <w:rFonts w:ascii="Times New Roman" w:hAnsi="Times New Roman" w:cs="Times New Roman"/>
          <w:sz w:val="24"/>
          <w:szCs w:val="24"/>
        </w:rPr>
        <w:t>Capital employed = Total assets – Current liabilities</w:t>
      </w:r>
    </w:p>
    <w:p w14:paraId="1DCAD38A" w14:textId="77777777" w:rsidR="007F52AF" w:rsidRPr="00A66ECD" w:rsidRDefault="007F52AF" w:rsidP="00A66ECD">
      <w:pPr>
        <w:spacing w:after="240" w:line="360" w:lineRule="auto"/>
        <w:jc w:val="both"/>
        <w:rPr>
          <w:rFonts w:ascii="Times New Roman" w:hAnsi="Times New Roman" w:cs="Times New Roman"/>
          <w:sz w:val="24"/>
          <w:szCs w:val="24"/>
        </w:rPr>
      </w:pPr>
      <w:r w:rsidRPr="00A66ECD">
        <w:rPr>
          <w:rFonts w:ascii="Times New Roman" w:hAnsi="Times New Roman" w:cs="Times New Roman"/>
          <w:sz w:val="24"/>
          <w:szCs w:val="24"/>
        </w:rPr>
        <w:t>ROCE 2020 = (£539 + £181) / (£10,087 - £3,046) X 100 = 10.23%</w:t>
      </w:r>
    </w:p>
    <w:p w14:paraId="0922150D" w14:textId="77777777" w:rsidR="007F52AF" w:rsidRPr="00A66ECD" w:rsidRDefault="007F52AF" w:rsidP="00A66ECD">
      <w:pPr>
        <w:spacing w:after="240" w:line="360" w:lineRule="auto"/>
        <w:jc w:val="both"/>
        <w:rPr>
          <w:rFonts w:ascii="Times New Roman" w:hAnsi="Times New Roman" w:cs="Times New Roman"/>
          <w:sz w:val="24"/>
          <w:szCs w:val="24"/>
        </w:rPr>
      </w:pPr>
      <w:r w:rsidRPr="00A66ECD">
        <w:rPr>
          <w:rFonts w:ascii="Times New Roman" w:hAnsi="Times New Roman" w:cs="Times New Roman"/>
          <w:sz w:val="24"/>
          <w:szCs w:val="24"/>
        </w:rPr>
        <w:t>ROCE 2021 = (£620 + £226) / (£9,736 - £2,511) X 100 = 11.71%</w:t>
      </w:r>
    </w:p>
    <w:p w14:paraId="7B8E44DF" w14:textId="77777777" w:rsidR="005F1998" w:rsidRPr="00A66ECD" w:rsidRDefault="007F52AF" w:rsidP="00A66ECD">
      <w:pPr>
        <w:pStyle w:val="ListParagraph"/>
        <w:numPr>
          <w:ilvl w:val="0"/>
          <w:numId w:val="1"/>
        </w:numPr>
        <w:spacing w:after="240" w:line="360" w:lineRule="auto"/>
        <w:jc w:val="both"/>
        <w:rPr>
          <w:rFonts w:ascii="Times New Roman" w:hAnsi="Times New Roman" w:cs="Times New Roman"/>
          <w:sz w:val="24"/>
          <w:szCs w:val="24"/>
        </w:rPr>
      </w:pPr>
      <w:r w:rsidRPr="00A66ECD">
        <w:rPr>
          <w:rFonts w:ascii="Times New Roman" w:hAnsi="Times New Roman" w:cs="Times New Roman"/>
          <w:sz w:val="24"/>
          <w:szCs w:val="24"/>
        </w:rPr>
        <w:lastRenderedPageBreak/>
        <w:t>There is an increase of 14.47% for ROCE between 2020 and 2021.</w:t>
      </w:r>
    </w:p>
    <w:p w14:paraId="1BF52536" w14:textId="77777777" w:rsidR="005F1998" w:rsidRPr="00A66ECD" w:rsidRDefault="005F1998" w:rsidP="00A66ECD">
      <w:pPr>
        <w:spacing w:after="240" w:line="360" w:lineRule="auto"/>
        <w:jc w:val="both"/>
        <w:rPr>
          <w:rFonts w:ascii="Times New Roman" w:hAnsi="Times New Roman" w:cs="Times New Roman"/>
          <w:sz w:val="24"/>
          <w:szCs w:val="24"/>
        </w:rPr>
      </w:pPr>
    </w:p>
    <w:p w14:paraId="26A14862" w14:textId="77777777" w:rsidR="00A451DD" w:rsidRPr="00A66ECD" w:rsidRDefault="00A451DD" w:rsidP="00A66ECD">
      <w:pPr>
        <w:spacing w:after="240" w:line="360" w:lineRule="auto"/>
        <w:jc w:val="both"/>
        <w:rPr>
          <w:rFonts w:ascii="Times New Roman" w:hAnsi="Times New Roman" w:cs="Times New Roman"/>
          <w:sz w:val="24"/>
          <w:szCs w:val="24"/>
        </w:rPr>
      </w:pPr>
      <w:r w:rsidRPr="00A66ECD">
        <w:rPr>
          <w:rFonts w:ascii="Times New Roman" w:hAnsi="Times New Roman" w:cs="Times New Roman"/>
          <w:sz w:val="24"/>
          <w:szCs w:val="24"/>
        </w:rPr>
        <w:t>Return on equity (ROE) is calculated by dividing net income by shareholders’ equity and indicates a company’s annual return from operations</w:t>
      </w:r>
      <w:r w:rsidR="00A56B9D" w:rsidRPr="00A66ECD">
        <w:rPr>
          <w:rFonts w:ascii="Times New Roman" w:hAnsi="Times New Roman" w:cs="Times New Roman"/>
          <w:sz w:val="24"/>
          <w:szCs w:val="24"/>
        </w:rPr>
        <w:t>, expressed as a percentage</w:t>
      </w:r>
      <w:r w:rsidRPr="00A66ECD">
        <w:rPr>
          <w:rFonts w:ascii="Times New Roman" w:hAnsi="Times New Roman" w:cs="Times New Roman"/>
          <w:sz w:val="24"/>
          <w:szCs w:val="24"/>
        </w:rPr>
        <w:t xml:space="preserve"> (Needles et al., 2014). </w:t>
      </w:r>
    </w:p>
    <w:p w14:paraId="1462A12F" w14:textId="77777777" w:rsidR="00A56B9D" w:rsidRPr="00A66ECD" w:rsidRDefault="00A56B9D" w:rsidP="00A66ECD">
      <w:pPr>
        <w:spacing w:after="240" w:line="360" w:lineRule="auto"/>
        <w:jc w:val="both"/>
        <w:rPr>
          <w:rFonts w:ascii="Times New Roman" w:hAnsi="Times New Roman" w:cs="Times New Roman"/>
          <w:sz w:val="24"/>
          <w:szCs w:val="24"/>
        </w:rPr>
      </w:pPr>
      <w:r w:rsidRPr="00A66ECD">
        <w:rPr>
          <w:rFonts w:ascii="Times New Roman" w:hAnsi="Times New Roman" w:cs="Times New Roman"/>
          <w:sz w:val="24"/>
          <w:szCs w:val="24"/>
        </w:rPr>
        <w:t>ROE = Net income / Shareholders’ equity X 100</w:t>
      </w:r>
    </w:p>
    <w:p w14:paraId="26CE49CA" w14:textId="77777777" w:rsidR="00A56B9D" w:rsidRPr="00A66ECD" w:rsidRDefault="00A56B9D" w:rsidP="00A66ECD">
      <w:pPr>
        <w:spacing w:after="240" w:line="360" w:lineRule="auto"/>
        <w:jc w:val="both"/>
        <w:rPr>
          <w:rFonts w:ascii="Times New Roman" w:hAnsi="Times New Roman" w:cs="Times New Roman"/>
          <w:sz w:val="24"/>
          <w:szCs w:val="24"/>
        </w:rPr>
      </w:pPr>
      <w:r w:rsidRPr="00A66ECD">
        <w:rPr>
          <w:rFonts w:ascii="Times New Roman" w:hAnsi="Times New Roman" w:cs="Times New Roman"/>
          <w:sz w:val="24"/>
          <w:szCs w:val="24"/>
        </w:rPr>
        <w:t>ROE 2020 = £366 / £2,912 X 100 = 12.56%</w:t>
      </w:r>
    </w:p>
    <w:p w14:paraId="52F18952" w14:textId="77777777" w:rsidR="00A56B9D" w:rsidRPr="00A66ECD" w:rsidRDefault="00A56B9D" w:rsidP="00A66ECD">
      <w:pPr>
        <w:spacing w:after="240" w:line="360" w:lineRule="auto"/>
        <w:jc w:val="both"/>
        <w:rPr>
          <w:rFonts w:ascii="Times New Roman" w:hAnsi="Times New Roman" w:cs="Times New Roman"/>
          <w:sz w:val="24"/>
          <w:szCs w:val="24"/>
        </w:rPr>
      </w:pPr>
      <w:r w:rsidRPr="00A66ECD">
        <w:rPr>
          <w:rFonts w:ascii="Times New Roman" w:hAnsi="Times New Roman" w:cs="Times New Roman"/>
          <w:sz w:val="24"/>
          <w:szCs w:val="24"/>
        </w:rPr>
        <w:t>ROE 2021 = £431 / £3,088 X 100 = 13.96%</w:t>
      </w:r>
    </w:p>
    <w:p w14:paraId="172DFECF" w14:textId="77777777" w:rsidR="00A56B9D" w:rsidRPr="00A66ECD" w:rsidRDefault="00A56B9D" w:rsidP="00A66ECD">
      <w:pPr>
        <w:pStyle w:val="ListParagraph"/>
        <w:numPr>
          <w:ilvl w:val="0"/>
          <w:numId w:val="1"/>
        </w:numPr>
        <w:spacing w:after="240" w:line="360" w:lineRule="auto"/>
        <w:jc w:val="both"/>
        <w:rPr>
          <w:rFonts w:ascii="Times New Roman" w:hAnsi="Times New Roman" w:cs="Times New Roman"/>
          <w:sz w:val="24"/>
          <w:szCs w:val="24"/>
        </w:rPr>
      </w:pPr>
      <w:r w:rsidRPr="00A66ECD">
        <w:rPr>
          <w:rFonts w:ascii="Times New Roman" w:hAnsi="Times New Roman" w:cs="Times New Roman"/>
          <w:sz w:val="24"/>
          <w:szCs w:val="24"/>
        </w:rPr>
        <w:t>There is an increase of 11.15% of ROE between 2020 and 2021</w:t>
      </w:r>
    </w:p>
    <w:p w14:paraId="5A9513E1" w14:textId="77777777" w:rsidR="00A56B9D" w:rsidRPr="00A66ECD" w:rsidRDefault="00A56B9D" w:rsidP="00A66ECD">
      <w:pPr>
        <w:spacing w:after="240" w:line="360" w:lineRule="auto"/>
        <w:jc w:val="both"/>
        <w:rPr>
          <w:rFonts w:ascii="Times New Roman" w:hAnsi="Times New Roman" w:cs="Times New Roman"/>
          <w:sz w:val="24"/>
          <w:szCs w:val="24"/>
        </w:rPr>
      </w:pPr>
    </w:p>
    <w:p w14:paraId="24287FEC" w14:textId="77777777" w:rsidR="00A56B9D" w:rsidRPr="00A66ECD" w:rsidRDefault="00A521CE" w:rsidP="00A66ECD">
      <w:pPr>
        <w:spacing w:after="240" w:line="360" w:lineRule="auto"/>
        <w:jc w:val="both"/>
        <w:rPr>
          <w:rFonts w:ascii="Times New Roman" w:hAnsi="Times New Roman" w:cs="Times New Roman"/>
          <w:sz w:val="24"/>
          <w:szCs w:val="24"/>
        </w:rPr>
      </w:pPr>
      <w:r w:rsidRPr="00A66ECD">
        <w:rPr>
          <w:rFonts w:ascii="Times New Roman" w:hAnsi="Times New Roman" w:cs="Times New Roman"/>
          <w:sz w:val="24"/>
          <w:szCs w:val="24"/>
        </w:rPr>
        <w:t>Earnings per share (EPS) is also a very valuable ratio, indicating the profitability of a company to potential investors (Needles et al., 2014). It is calculated by dividing a company’s profit by its outstanding shares of common stock (Needles et al., 2014).</w:t>
      </w:r>
    </w:p>
    <w:p w14:paraId="40C04AC4" w14:textId="77777777" w:rsidR="00A521CE" w:rsidRPr="00A66ECD" w:rsidRDefault="00A521CE" w:rsidP="00A66ECD">
      <w:pPr>
        <w:spacing w:after="240" w:line="360" w:lineRule="auto"/>
        <w:jc w:val="both"/>
        <w:rPr>
          <w:rFonts w:ascii="Times New Roman" w:hAnsi="Times New Roman" w:cs="Times New Roman"/>
          <w:sz w:val="24"/>
          <w:szCs w:val="24"/>
        </w:rPr>
      </w:pPr>
      <w:r w:rsidRPr="00A66ECD">
        <w:rPr>
          <w:rFonts w:ascii="Times New Roman" w:hAnsi="Times New Roman" w:cs="Times New Roman"/>
          <w:sz w:val="24"/>
          <w:szCs w:val="24"/>
        </w:rPr>
        <w:t>EPS = Net profit for the year / Number of shares</w:t>
      </w:r>
    </w:p>
    <w:p w14:paraId="2C01065D" w14:textId="77777777" w:rsidR="00A521CE" w:rsidRPr="00A66ECD" w:rsidRDefault="00A521CE" w:rsidP="00A66ECD">
      <w:pPr>
        <w:spacing w:after="240" w:line="360" w:lineRule="auto"/>
        <w:jc w:val="both"/>
        <w:rPr>
          <w:rFonts w:ascii="Times New Roman" w:hAnsi="Times New Roman" w:cs="Times New Roman"/>
          <w:sz w:val="24"/>
          <w:szCs w:val="24"/>
          <w:lang w:val="bg-BG"/>
        </w:rPr>
      </w:pPr>
      <w:r w:rsidRPr="00A66ECD">
        <w:rPr>
          <w:rFonts w:ascii="Times New Roman" w:hAnsi="Times New Roman" w:cs="Times New Roman"/>
          <w:sz w:val="24"/>
          <w:szCs w:val="24"/>
        </w:rPr>
        <w:t xml:space="preserve">Number of </w:t>
      </w:r>
      <w:r w:rsidR="00342B20" w:rsidRPr="00A66ECD">
        <w:rPr>
          <w:rFonts w:ascii="Times New Roman" w:hAnsi="Times New Roman" w:cs="Times New Roman"/>
          <w:sz w:val="24"/>
          <w:szCs w:val="24"/>
        </w:rPr>
        <w:t>shares = Share capital X Share price</w:t>
      </w:r>
    </w:p>
    <w:p w14:paraId="3E5DEA5D" w14:textId="77777777" w:rsidR="00A521CE" w:rsidRPr="00A66ECD" w:rsidRDefault="00A521CE" w:rsidP="00A66ECD">
      <w:pPr>
        <w:spacing w:after="240" w:line="360" w:lineRule="auto"/>
        <w:jc w:val="both"/>
        <w:rPr>
          <w:rFonts w:ascii="Times New Roman" w:hAnsi="Times New Roman" w:cs="Times New Roman"/>
          <w:sz w:val="24"/>
          <w:szCs w:val="24"/>
        </w:rPr>
      </w:pPr>
      <w:r w:rsidRPr="00A66ECD">
        <w:rPr>
          <w:rFonts w:ascii="Times New Roman" w:hAnsi="Times New Roman" w:cs="Times New Roman"/>
          <w:sz w:val="24"/>
          <w:szCs w:val="24"/>
        </w:rPr>
        <w:t>EPS 2020 = £366 / 600 = 0.61</w:t>
      </w:r>
    </w:p>
    <w:p w14:paraId="33F4BDB0" w14:textId="77777777" w:rsidR="00A521CE" w:rsidRPr="00A66ECD" w:rsidRDefault="00A521CE" w:rsidP="00A66ECD">
      <w:pPr>
        <w:spacing w:after="240" w:line="360" w:lineRule="auto"/>
        <w:jc w:val="both"/>
        <w:rPr>
          <w:rFonts w:ascii="Times New Roman" w:hAnsi="Times New Roman" w:cs="Times New Roman"/>
          <w:sz w:val="24"/>
          <w:szCs w:val="24"/>
        </w:rPr>
      </w:pPr>
      <w:r w:rsidRPr="00A66ECD">
        <w:rPr>
          <w:rFonts w:ascii="Times New Roman" w:hAnsi="Times New Roman" w:cs="Times New Roman"/>
          <w:sz w:val="24"/>
          <w:szCs w:val="24"/>
        </w:rPr>
        <w:t>EPS 2021 = £431 / 600 = 0.72</w:t>
      </w:r>
    </w:p>
    <w:p w14:paraId="4F1DE2DA" w14:textId="77777777" w:rsidR="00A56B9D" w:rsidRPr="00A66ECD" w:rsidRDefault="00EC7D7D" w:rsidP="00A66ECD">
      <w:pPr>
        <w:pStyle w:val="ListParagraph"/>
        <w:numPr>
          <w:ilvl w:val="0"/>
          <w:numId w:val="1"/>
        </w:numPr>
        <w:spacing w:after="240" w:line="360" w:lineRule="auto"/>
        <w:jc w:val="both"/>
        <w:rPr>
          <w:rFonts w:ascii="Times New Roman" w:hAnsi="Times New Roman" w:cs="Times New Roman"/>
          <w:sz w:val="24"/>
          <w:szCs w:val="24"/>
          <w:lang w:val="bg-BG"/>
        </w:rPr>
      </w:pPr>
      <w:r w:rsidRPr="00A66ECD">
        <w:rPr>
          <w:rFonts w:ascii="Times New Roman" w:hAnsi="Times New Roman" w:cs="Times New Roman"/>
          <w:sz w:val="24"/>
          <w:szCs w:val="24"/>
        </w:rPr>
        <w:t>There is an increase of 18.03% of EPS from 2020 to 2021</w:t>
      </w:r>
    </w:p>
    <w:p w14:paraId="48949DD6" w14:textId="77777777" w:rsidR="00EC7D7D" w:rsidRPr="00A66ECD" w:rsidRDefault="00EC7D7D" w:rsidP="00A66ECD">
      <w:pPr>
        <w:spacing w:after="240" w:line="360" w:lineRule="auto"/>
        <w:jc w:val="both"/>
        <w:rPr>
          <w:rFonts w:ascii="Times New Roman" w:hAnsi="Times New Roman" w:cs="Times New Roman"/>
          <w:sz w:val="24"/>
          <w:szCs w:val="24"/>
          <w:lang w:val="bg-BG"/>
        </w:rPr>
      </w:pPr>
    </w:p>
    <w:p w14:paraId="0877F004" w14:textId="77777777" w:rsidR="00EC7D7D" w:rsidRPr="00A66ECD" w:rsidRDefault="00EC7D7D" w:rsidP="00A66ECD">
      <w:pPr>
        <w:spacing w:after="240" w:line="360" w:lineRule="auto"/>
        <w:jc w:val="both"/>
        <w:rPr>
          <w:rFonts w:ascii="Times New Roman" w:hAnsi="Times New Roman" w:cs="Times New Roman"/>
          <w:sz w:val="24"/>
          <w:szCs w:val="24"/>
        </w:rPr>
      </w:pPr>
      <w:r w:rsidRPr="00A66ECD">
        <w:rPr>
          <w:rFonts w:ascii="Times New Roman" w:hAnsi="Times New Roman" w:cs="Times New Roman"/>
          <w:sz w:val="24"/>
          <w:szCs w:val="24"/>
        </w:rPr>
        <w:t xml:space="preserve">Net profit margin is also </w:t>
      </w:r>
      <w:r w:rsidR="00DD6F33" w:rsidRPr="00A66ECD">
        <w:rPr>
          <w:rFonts w:ascii="Times New Roman" w:hAnsi="Times New Roman" w:cs="Times New Roman"/>
          <w:sz w:val="24"/>
          <w:szCs w:val="24"/>
          <w:lang w:val="bg-BG"/>
        </w:rPr>
        <w:t>а</w:t>
      </w:r>
      <w:r w:rsidR="00DD6F33" w:rsidRPr="00A66ECD">
        <w:rPr>
          <w:rFonts w:ascii="Times New Roman" w:hAnsi="Times New Roman" w:cs="Times New Roman"/>
          <w:sz w:val="24"/>
          <w:szCs w:val="24"/>
        </w:rPr>
        <w:t xml:space="preserve"> crucial profitability indicator which shows the percentage of profit a company generates from its revenue</w:t>
      </w:r>
      <w:r w:rsidR="00477F88" w:rsidRPr="00A66ECD">
        <w:rPr>
          <w:rFonts w:ascii="Times New Roman" w:hAnsi="Times New Roman" w:cs="Times New Roman"/>
          <w:sz w:val="24"/>
          <w:szCs w:val="24"/>
        </w:rPr>
        <w:t>, presented as a percentage</w:t>
      </w:r>
      <w:r w:rsidR="00DD6F33" w:rsidRPr="00A66ECD">
        <w:rPr>
          <w:rFonts w:ascii="Times New Roman" w:hAnsi="Times New Roman" w:cs="Times New Roman"/>
          <w:sz w:val="24"/>
          <w:szCs w:val="24"/>
        </w:rPr>
        <w:t xml:space="preserve"> (Needles et al., 2014). </w:t>
      </w:r>
      <w:r w:rsidR="00477F88" w:rsidRPr="00A66ECD">
        <w:rPr>
          <w:rFonts w:ascii="Times New Roman" w:hAnsi="Times New Roman" w:cs="Times New Roman"/>
          <w:sz w:val="24"/>
          <w:szCs w:val="24"/>
        </w:rPr>
        <w:t>It is calculated using the following formula:</w:t>
      </w:r>
    </w:p>
    <w:p w14:paraId="7C3F71B0" w14:textId="77777777" w:rsidR="00477F88" w:rsidRPr="00A66ECD" w:rsidRDefault="00477F88" w:rsidP="00A66ECD">
      <w:pPr>
        <w:spacing w:after="240" w:line="360" w:lineRule="auto"/>
        <w:jc w:val="both"/>
        <w:rPr>
          <w:rFonts w:ascii="Times New Roman" w:hAnsi="Times New Roman" w:cs="Times New Roman"/>
          <w:sz w:val="24"/>
          <w:szCs w:val="24"/>
        </w:rPr>
      </w:pPr>
      <w:r w:rsidRPr="00A66ECD">
        <w:rPr>
          <w:rFonts w:ascii="Times New Roman" w:hAnsi="Times New Roman" w:cs="Times New Roman"/>
          <w:sz w:val="24"/>
          <w:szCs w:val="24"/>
        </w:rPr>
        <w:t>Net profit margin = Net profit / Revenue X 100</w:t>
      </w:r>
    </w:p>
    <w:p w14:paraId="28F95B89" w14:textId="77777777" w:rsidR="00477F88" w:rsidRPr="00A66ECD" w:rsidRDefault="00483FEA" w:rsidP="00A66ECD">
      <w:pPr>
        <w:spacing w:after="240" w:line="360" w:lineRule="auto"/>
        <w:jc w:val="both"/>
        <w:rPr>
          <w:rFonts w:ascii="Times New Roman" w:hAnsi="Times New Roman" w:cs="Times New Roman"/>
          <w:sz w:val="24"/>
          <w:szCs w:val="24"/>
        </w:rPr>
      </w:pPr>
      <w:r w:rsidRPr="00A66ECD">
        <w:rPr>
          <w:rFonts w:ascii="Times New Roman" w:hAnsi="Times New Roman" w:cs="Times New Roman"/>
          <w:sz w:val="24"/>
          <w:szCs w:val="24"/>
        </w:rPr>
        <w:t>Net profit margin 2020 = £366 / £6,441 X 100 = 5.68%</w:t>
      </w:r>
    </w:p>
    <w:p w14:paraId="01394E25" w14:textId="77777777" w:rsidR="00483FEA" w:rsidRPr="00A66ECD" w:rsidRDefault="00483FEA" w:rsidP="00A66ECD">
      <w:pPr>
        <w:spacing w:after="240" w:line="360" w:lineRule="auto"/>
        <w:jc w:val="both"/>
        <w:rPr>
          <w:rFonts w:ascii="Times New Roman" w:hAnsi="Times New Roman" w:cs="Times New Roman"/>
          <w:sz w:val="24"/>
          <w:szCs w:val="24"/>
        </w:rPr>
      </w:pPr>
      <w:r w:rsidRPr="00A66ECD">
        <w:rPr>
          <w:rFonts w:ascii="Times New Roman" w:hAnsi="Times New Roman" w:cs="Times New Roman"/>
          <w:sz w:val="24"/>
          <w:szCs w:val="24"/>
        </w:rPr>
        <w:lastRenderedPageBreak/>
        <w:t>Net profit margin 2021 = £431 / £6,738 X 100 = 6.40%</w:t>
      </w:r>
    </w:p>
    <w:p w14:paraId="0E779DD6" w14:textId="77777777" w:rsidR="00483FEA" w:rsidRPr="00A66ECD" w:rsidRDefault="00483FEA" w:rsidP="00A66ECD">
      <w:pPr>
        <w:pStyle w:val="ListParagraph"/>
        <w:numPr>
          <w:ilvl w:val="0"/>
          <w:numId w:val="1"/>
        </w:numPr>
        <w:spacing w:after="240" w:line="360" w:lineRule="auto"/>
        <w:jc w:val="both"/>
        <w:rPr>
          <w:rFonts w:ascii="Times New Roman" w:hAnsi="Times New Roman" w:cs="Times New Roman"/>
          <w:sz w:val="24"/>
          <w:szCs w:val="24"/>
        </w:rPr>
      </w:pPr>
      <w:r w:rsidRPr="00A66ECD">
        <w:rPr>
          <w:rFonts w:ascii="Times New Roman" w:hAnsi="Times New Roman" w:cs="Times New Roman"/>
          <w:sz w:val="24"/>
          <w:szCs w:val="24"/>
        </w:rPr>
        <w:t>There is a 12.68% increase of Net profit margin of the company between 2020 and 2021</w:t>
      </w:r>
    </w:p>
    <w:p w14:paraId="1DEEDDA8" w14:textId="77777777" w:rsidR="00483FEA" w:rsidRPr="00A66ECD" w:rsidRDefault="00483FEA" w:rsidP="00A66ECD">
      <w:pPr>
        <w:spacing w:after="240" w:line="360" w:lineRule="auto"/>
        <w:jc w:val="both"/>
        <w:rPr>
          <w:rFonts w:ascii="Times New Roman" w:hAnsi="Times New Roman" w:cs="Times New Roman"/>
          <w:sz w:val="24"/>
          <w:szCs w:val="24"/>
        </w:rPr>
      </w:pPr>
    </w:p>
    <w:p w14:paraId="6FBA3CE0" w14:textId="77777777" w:rsidR="00483FEA" w:rsidRPr="00A66ECD" w:rsidRDefault="00483FEA" w:rsidP="00A66ECD">
      <w:pPr>
        <w:spacing w:after="240" w:line="360" w:lineRule="auto"/>
        <w:jc w:val="both"/>
        <w:rPr>
          <w:rFonts w:ascii="Times New Roman" w:hAnsi="Times New Roman" w:cs="Times New Roman"/>
          <w:sz w:val="24"/>
          <w:szCs w:val="24"/>
        </w:rPr>
      </w:pPr>
      <w:r w:rsidRPr="00A66ECD">
        <w:rPr>
          <w:rFonts w:ascii="Times New Roman" w:hAnsi="Times New Roman" w:cs="Times New Roman"/>
          <w:sz w:val="24"/>
          <w:szCs w:val="24"/>
        </w:rPr>
        <w:t>Asset turnover is a ratio indicating the efficiency of the business by assessing the value of company’s revenues relative to the value of its assets (Needles et al., 2014). It is calculated using the following formula:</w:t>
      </w:r>
    </w:p>
    <w:p w14:paraId="56BE4077" w14:textId="77777777" w:rsidR="00483FEA" w:rsidRPr="00A66ECD" w:rsidRDefault="007D0497" w:rsidP="00A66ECD">
      <w:pPr>
        <w:spacing w:after="240" w:line="360" w:lineRule="auto"/>
        <w:jc w:val="both"/>
        <w:rPr>
          <w:rFonts w:ascii="Times New Roman" w:hAnsi="Times New Roman" w:cs="Times New Roman"/>
          <w:sz w:val="24"/>
          <w:szCs w:val="24"/>
        </w:rPr>
      </w:pPr>
      <w:r w:rsidRPr="00A66ECD">
        <w:rPr>
          <w:rFonts w:ascii="Times New Roman" w:hAnsi="Times New Roman" w:cs="Times New Roman"/>
          <w:sz w:val="24"/>
          <w:szCs w:val="24"/>
        </w:rPr>
        <w:t>Asset turnover = Sales / Total assets</w:t>
      </w:r>
    </w:p>
    <w:p w14:paraId="5BBC0ACB" w14:textId="77777777" w:rsidR="007D0497" w:rsidRPr="00A66ECD" w:rsidRDefault="007D0497" w:rsidP="00A66ECD">
      <w:pPr>
        <w:spacing w:after="240" w:line="360" w:lineRule="auto"/>
        <w:jc w:val="both"/>
        <w:rPr>
          <w:rFonts w:ascii="Times New Roman" w:hAnsi="Times New Roman" w:cs="Times New Roman"/>
          <w:sz w:val="24"/>
          <w:szCs w:val="24"/>
        </w:rPr>
      </w:pPr>
      <w:r w:rsidRPr="00A66ECD">
        <w:rPr>
          <w:rFonts w:ascii="Times New Roman" w:hAnsi="Times New Roman" w:cs="Times New Roman"/>
          <w:sz w:val="24"/>
          <w:szCs w:val="24"/>
        </w:rPr>
        <w:t xml:space="preserve">Asset turnover 2020 = £6,441 / </w:t>
      </w:r>
      <w:r w:rsidR="00A17F64" w:rsidRPr="00A66ECD">
        <w:rPr>
          <w:rFonts w:ascii="Times New Roman" w:hAnsi="Times New Roman" w:cs="Times New Roman"/>
          <w:sz w:val="24"/>
          <w:szCs w:val="24"/>
        </w:rPr>
        <w:t>£10,087 = 0.64 times</w:t>
      </w:r>
    </w:p>
    <w:p w14:paraId="57F6E75C" w14:textId="77777777" w:rsidR="00A17F64" w:rsidRPr="00A66ECD" w:rsidRDefault="00A17F64" w:rsidP="00A66ECD">
      <w:pPr>
        <w:spacing w:after="240" w:line="360" w:lineRule="auto"/>
        <w:jc w:val="both"/>
        <w:rPr>
          <w:rFonts w:ascii="Times New Roman" w:hAnsi="Times New Roman" w:cs="Times New Roman"/>
          <w:sz w:val="24"/>
          <w:szCs w:val="24"/>
        </w:rPr>
      </w:pPr>
      <w:r w:rsidRPr="00A66ECD">
        <w:rPr>
          <w:rFonts w:ascii="Times New Roman" w:hAnsi="Times New Roman" w:cs="Times New Roman"/>
          <w:sz w:val="24"/>
          <w:szCs w:val="24"/>
        </w:rPr>
        <w:t>Asset turnover 2021 = £6,738 / £9,736 = 0.69 times</w:t>
      </w:r>
    </w:p>
    <w:p w14:paraId="3616978E" w14:textId="77777777" w:rsidR="00A17F64" w:rsidRPr="00A66ECD" w:rsidRDefault="00A17F64" w:rsidP="00A66ECD">
      <w:pPr>
        <w:pStyle w:val="ListParagraph"/>
        <w:numPr>
          <w:ilvl w:val="0"/>
          <w:numId w:val="1"/>
        </w:numPr>
        <w:spacing w:after="240" w:line="360" w:lineRule="auto"/>
        <w:jc w:val="both"/>
        <w:rPr>
          <w:rFonts w:ascii="Times New Roman" w:hAnsi="Times New Roman" w:cs="Times New Roman"/>
          <w:sz w:val="24"/>
          <w:szCs w:val="24"/>
        </w:rPr>
      </w:pPr>
      <w:r w:rsidRPr="00A66ECD">
        <w:rPr>
          <w:rFonts w:ascii="Times New Roman" w:hAnsi="Times New Roman" w:cs="Times New Roman"/>
          <w:sz w:val="24"/>
          <w:szCs w:val="24"/>
        </w:rPr>
        <w:t>There is an growth of 7.81% of asset turnover rate between 2020 and 2021</w:t>
      </w:r>
    </w:p>
    <w:p w14:paraId="1BC0E1FA" w14:textId="77777777" w:rsidR="00A17F64" w:rsidRPr="00A66ECD" w:rsidRDefault="00A17F64" w:rsidP="00A66ECD">
      <w:pPr>
        <w:spacing w:after="240" w:line="360" w:lineRule="auto"/>
        <w:jc w:val="both"/>
        <w:rPr>
          <w:rFonts w:ascii="Times New Roman" w:hAnsi="Times New Roman" w:cs="Times New Roman"/>
          <w:sz w:val="24"/>
          <w:szCs w:val="24"/>
        </w:rPr>
      </w:pPr>
    </w:p>
    <w:p w14:paraId="51AA00EC" w14:textId="77777777" w:rsidR="00A17F64" w:rsidRPr="00A66ECD" w:rsidRDefault="00A17F64" w:rsidP="00A66ECD">
      <w:pPr>
        <w:spacing w:after="240" w:line="360" w:lineRule="auto"/>
        <w:jc w:val="both"/>
        <w:rPr>
          <w:rFonts w:ascii="Times New Roman" w:hAnsi="Times New Roman" w:cs="Times New Roman"/>
          <w:sz w:val="24"/>
          <w:szCs w:val="24"/>
        </w:rPr>
      </w:pPr>
      <w:r w:rsidRPr="00A66ECD">
        <w:rPr>
          <w:rFonts w:ascii="Times New Roman" w:hAnsi="Times New Roman" w:cs="Times New Roman"/>
          <w:sz w:val="24"/>
          <w:szCs w:val="24"/>
        </w:rPr>
        <w:t>Stock holding days is also a measure of efficiency, focused on the number of days for which a company holds inventory before selling it to consumers (Needles et al., 2014). It is an important indicator outlining how the business is managing its resources.</w:t>
      </w:r>
      <w:r w:rsidR="007B2343" w:rsidRPr="00A66ECD">
        <w:rPr>
          <w:rFonts w:ascii="Times New Roman" w:hAnsi="Times New Roman" w:cs="Times New Roman"/>
          <w:sz w:val="24"/>
          <w:szCs w:val="24"/>
        </w:rPr>
        <w:t xml:space="preserve"> It is measured by using the following formula:</w:t>
      </w:r>
    </w:p>
    <w:p w14:paraId="01F2340E" w14:textId="77777777" w:rsidR="007B2343" w:rsidRPr="00A66ECD" w:rsidRDefault="007B2343" w:rsidP="00A66ECD">
      <w:pPr>
        <w:spacing w:after="240" w:line="360" w:lineRule="auto"/>
        <w:jc w:val="both"/>
        <w:rPr>
          <w:rFonts w:ascii="Times New Roman" w:hAnsi="Times New Roman" w:cs="Times New Roman"/>
          <w:sz w:val="24"/>
          <w:szCs w:val="24"/>
        </w:rPr>
      </w:pPr>
      <w:r w:rsidRPr="00A66ECD">
        <w:rPr>
          <w:rFonts w:ascii="Times New Roman" w:hAnsi="Times New Roman" w:cs="Times New Roman"/>
          <w:sz w:val="24"/>
          <w:szCs w:val="24"/>
        </w:rPr>
        <w:t>Stockholding days = Inventory / Cost of sales X 365</w:t>
      </w:r>
    </w:p>
    <w:p w14:paraId="43C3BA27" w14:textId="77777777" w:rsidR="007B2343" w:rsidRPr="00A66ECD" w:rsidRDefault="007B2343" w:rsidP="00A66ECD">
      <w:pPr>
        <w:spacing w:after="240" w:line="360" w:lineRule="auto"/>
        <w:jc w:val="both"/>
        <w:rPr>
          <w:rFonts w:ascii="Times New Roman" w:hAnsi="Times New Roman" w:cs="Times New Roman"/>
          <w:sz w:val="24"/>
          <w:szCs w:val="24"/>
        </w:rPr>
      </w:pPr>
      <w:r w:rsidRPr="00A66ECD">
        <w:rPr>
          <w:rFonts w:ascii="Times New Roman" w:hAnsi="Times New Roman" w:cs="Times New Roman"/>
          <w:sz w:val="24"/>
          <w:szCs w:val="24"/>
        </w:rPr>
        <w:t>Stockholding days 2020 = £659 / £3,096 X 365 = 77.69 days (rounded to 77 days)</w:t>
      </w:r>
    </w:p>
    <w:p w14:paraId="46C9456F" w14:textId="77777777" w:rsidR="007B2343" w:rsidRPr="00A66ECD" w:rsidRDefault="007B2343" w:rsidP="00A66ECD">
      <w:pPr>
        <w:spacing w:after="240" w:line="360" w:lineRule="auto"/>
        <w:jc w:val="both"/>
        <w:rPr>
          <w:rFonts w:ascii="Times New Roman" w:hAnsi="Times New Roman" w:cs="Times New Roman"/>
          <w:sz w:val="24"/>
          <w:szCs w:val="24"/>
        </w:rPr>
      </w:pPr>
      <w:r w:rsidRPr="00A66ECD">
        <w:rPr>
          <w:rFonts w:ascii="Times New Roman" w:hAnsi="Times New Roman" w:cs="Times New Roman"/>
          <w:sz w:val="24"/>
          <w:szCs w:val="24"/>
        </w:rPr>
        <w:t>Stockholding days 2021 = £708 / £3,235 X 365 = 79.88 days (rounded to 80 days)</w:t>
      </w:r>
    </w:p>
    <w:p w14:paraId="327986F2" w14:textId="77777777" w:rsidR="007B2343" w:rsidRPr="00A66ECD" w:rsidRDefault="007B2343" w:rsidP="00A66ECD">
      <w:pPr>
        <w:pStyle w:val="ListParagraph"/>
        <w:numPr>
          <w:ilvl w:val="0"/>
          <w:numId w:val="1"/>
        </w:numPr>
        <w:spacing w:after="240" w:line="360" w:lineRule="auto"/>
        <w:jc w:val="both"/>
        <w:rPr>
          <w:rFonts w:ascii="Times New Roman" w:hAnsi="Times New Roman" w:cs="Times New Roman"/>
          <w:sz w:val="24"/>
          <w:szCs w:val="24"/>
        </w:rPr>
      </w:pPr>
      <w:r w:rsidRPr="00A66ECD">
        <w:rPr>
          <w:rFonts w:ascii="Times New Roman" w:hAnsi="Times New Roman" w:cs="Times New Roman"/>
          <w:sz w:val="24"/>
          <w:szCs w:val="24"/>
        </w:rPr>
        <w:t>There is an increase in stockholding days with 2 days</w:t>
      </w:r>
    </w:p>
    <w:p w14:paraId="7B3AC0A9" w14:textId="77777777" w:rsidR="007B2343" w:rsidRPr="00A66ECD" w:rsidRDefault="007B2343" w:rsidP="00A66ECD">
      <w:pPr>
        <w:spacing w:after="240" w:line="360" w:lineRule="auto"/>
        <w:jc w:val="both"/>
        <w:rPr>
          <w:rFonts w:ascii="Times New Roman" w:hAnsi="Times New Roman" w:cs="Times New Roman"/>
          <w:sz w:val="24"/>
          <w:szCs w:val="24"/>
        </w:rPr>
      </w:pPr>
    </w:p>
    <w:p w14:paraId="17FE0FEE" w14:textId="77777777" w:rsidR="007B2343" w:rsidRPr="00A66ECD" w:rsidRDefault="007B2343" w:rsidP="00A66ECD">
      <w:pPr>
        <w:spacing w:after="240" w:line="360" w:lineRule="auto"/>
        <w:jc w:val="both"/>
        <w:rPr>
          <w:rFonts w:ascii="Times New Roman" w:hAnsi="Times New Roman" w:cs="Times New Roman"/>
          <w:sz w:val="24"/>
          <w:szCs w:val="24"/>
        </w:rPr>
      </w:pPr>
      <w:proofErr w:type="gramStart"/>
      <w:r w:rsidRPr="00A66ECD">
        <w:rPr>
          <w:rFonts w:ascii="Times New Roman" w:hAnsi="Times New Roman" w:cs="Times New Roman"/>
          <w:sz w:val="24"/>
          <w:szCs w:val="24"/>
        </w:rPr>
        <w:t>Debtors</w:t>
      </w:r>
      <w:proofErr w:type="gramEnd"/>
      <w:r w:rsidRPr="00A66ECD">
        <w:rPr>
          <w:rFonts w:ascii="Times New Roman" w:hAnsi="Times New Roman" w:cs="Times New Roman"/>
          <w:sz w:val="24"/>
          <w:szCs w:val="24"/>
        </w:rPr>
        <w:t xml:space="preserve"> collection period </w:t>
      </w:r>
      <w:r w:rsidR="0095158E" w:rsidRPr="00A66ECD">
        <w:rPr>
          <w:rFonts w:ascii="Times New Roman" w:hAnsi="Times New Roman" w:cs="Times New Roman"/>
          <w:sz w:val="24"/>
          <w:szCs w:val="24"/>
        </w:rPr>
        <w:t>measures the effectiveness of the company to collect its payments from customers, indicating the average number of days this process takes (Needles et al., 2014). It is calculated using the following formula:</w:t>
      </w:r>
    </w:p>
    <w:p w14:paraId="08B5CCBF" w14:textId="77777777" w:rsidR="0095158E" w:rsidRPr="00A66ECD" w:rsidRDefault="0095158E" w:rsidP="00A66ECD">
      <w:pPr>
        <w:spacing w:after="240" w:line="360" w:lineRule="auto"/>
        <w:jc w:val="both"/>
        <w:rPr>
          <w:rFonts w:ascii="Times New Roman" w:hAnsi="Times New Roman" w:cs="Times New Roman"/>
          <w:sz w:val="24"/>
          <w:szCs w:val="24"/>
        </w:rPr>
      </w:pPr>
      <w:r w:rsidRPr="00A66ECD">
        <w:rPr>
          <w:rFonts w:ascii="Times New Roman" w:hAnsi="Times New Roman" w:cs="Times New Roman"/>
          <w:sz w:val="24"/>
          <w:szCs w:val="24"/>
        </w:rPr>
        <w:lastRenderedPageBreak/>
        <w:t>Debtors’ collection period = Trade receivables / Credit sales X 365</w:t>
      </w:r>
    </w:p>
    <w:p w14:paraId="417C601A" w14:textId="77777777" w:rsidR="0095158E" w:rsidRPr="00A66ECD" w:rsidRDefault="0095158E" w:rsidP="00A66ECD">
      <w:pPr>
        <w:spacing w:after="240" w:line="360" w:lineRule="auto"/>
        <w:jc w:val="both"/>
        <w:rPr>
          <w:rFonts w:ascii="Times New Roman" w:hAnsi="Times New Roman" w:cs="Times New Roman"/>
          <w:sz w:val="24"/>
          <w:szCs w:val="24"/>
        </w:rPr>
      </w:pPr>
      <w:r w:rsidRPr="00A66ECD">
        <w:rPr>
          <w:rFonts w:ascii="Times New Roman" w:hAnsi="Times New Roman" w:cs="Times New Roman"/>
          <w:sz w:val="24"/>
          <w:szCs w:val="24"/>
        </w:rPr>
        <w:t xml:space="preserve">For the purposes of this calculation, it is assumed that all sales generated from the company are credit sales. </w:t>
      </w:r>
    </w:p>
    <w:p w14:paraId="5B7F9F6F" w14:textId="77777777" w:rsidR="0095158E" w:rsidRPr="00A66ECD" w:rsidRDefault="0095158E" w:rsidP="00A66ECD">
      <w:pPr>
        <w:spacing w:after="240" w:line="360" w:lineRule="auto"/>
        <w:jc w:val="both"/>
        <w:rPr>
          <w:rFonts w:ascii="Times New Roman" w:hAnsi="Times New Roman" w:cs="Times New Roman"/>
          <w:sz w:val="24"/>
          <w:szCs w:val="24"/>
        </w:rPr>
      </w:pPr>
      <w:r w:rsidRPr="00A66ECD">
        <w:rPr>
          <w:rFonts w:ascii="Times New Roman" w:hAnsi="Times New Roman" w:cs="Times New Roman"/>
          <w:sz w:val="24"/>
          <w:szCs w:val="24"/>
        </w:rPr>
        <w:t>Debtors’ collection period 2020 = £1,287 / £6,441 X 365 = 72.93 days (rounded to 73 days)</w:t>
      </w:r>
    </w:p>
    <w:p w14:paraId="4A1444EF" w14:textId="77777777" w:rsidR="0095158E" w:rsidRPr="00A66ECD" w:rsidRDefault="0095158E" w:rsidP="00A66ECD">
      <w:pPr>
        <w:spacing w:after="240" w:line="360" w:lineRule="auto"/>
        <w:jc w:val="both"/>
        <w:rPr>
          <w:rFonts w:ascii="Times New Roman" w:hAnsi="Times New Roman" w:cs="Times New Roman"/>
          <w:sz w:val="24"/>
          <w:szCs w:val="24"/>
        </w:rPr>
      </w:pPr>
      <w:r w:rsidRPr="00A66ECD">
        <w:rPr>
          <w:rFonts w:ascii="Times New Roman" w:hAnsi="Times New Roman" w:cs="Times New Roman"/>
          <w:sz w:val="24"/>
          <w:szCs w:val="24"/>
        </w:rPr>
        <w:t xml:space="preserve">Debtors’ collection period 2021 = </w:t>
      </w:r>
      <w:r w:rsidR="007B5AC4" w:rsidRPr="00A66ECD">
        <w:rPr>
          <w:rFonts w:ascii="Times New Roman" w:hAnsi="Times New Roman" w:cs="Times New Roman"/>
          <w:sz w:val="24"/>
          <w:szCs w:val="24"/>
        </w:rPr>
        <w:t>£1,249 / £6,738 X 365 = 67.66 days (rounded to 68 days)</w:t>
      </w:r>
    </w:p>
    <w:p w14:paraId="06A555FA" w14:textId="77777777" w:rsidR="007B5AC4" w:rsidRPr="00A66ECD" w:rsidRDefault="007B5AC4" w:rsidP="00A66ECD">
      <w:pPr>
        <w:pStyle w:val="ListParagraph"/>
        <w:numPr>
          <w:ilvl w:val="0"/>
          <w:numId w:val="1"/>
        </w:numPr>
        <w:spacing w:after="240" w:line="360" w:lineRule="auto"/>
        <w:jc w:val="both"/>
        <w:rPr>
          <w:rFonts w:ascii="Times New Roman" w:hAnsi="Times New Roman" w:cs="Times New Roman"/>
          <w:sz w:val="24"/>
          <w:szCs w:val="24"/>
        </w:rPr>
      </w:pPr>
      <w:r w:rsidRPr="00A66ECD">
        <w:rPr>
          <w:rFonts w:ascii="Times New Roman" w:hAnsi="Times New Roman" w:cs="Times New Roman"/>
          <w:sz w:val="24"/>
          <w:szCs w:val="24"/>
        </w:rPr>
        <w:t>There is a decrease in the debtors’ collection period of 5 days</w:t>
      </w:r>
    </w:p>
    <w:p w14:paraId="0FE0006F" w14:textId="77777777" w:rsidR="007B5AC4" w:rsidRPr="00A66ECD" w:rsidRDefault="007B5AC4" w:rsidP="00A66ECD">
      <w:pPr>
        <w:spacing w:after="240" w:line="360" w:lineRule="auto"/>
        <w:jc w:val="both"/>
        <w:rPr>
          <w:rFonts w:ascii="Times New Roman" w:hAnsi="Times New Roman" w:cs="Times New Roman"/>
          <w:sz w:val="24"/>
          <w:szCs w:val="24"/>
        </w:rPr>
      </w:pPr>
    </w:p>
    <w:p w14:paraId="1F7D6709" w14:textId="77777777" w:rsidR="007B5AC4" w:rsidRPr="00A66ECD" w:rsidRDefault="007B5AC4" w:rsidP="00A66ECD">
      <w:pPr>
        <w:spacing w:after="240" w:line="360" w:lineRule="auto"/>
        <w:jc w:val="both"/>
        <w:rPr>
          <w:rFonts w:ascii="Times New Roman" w:hAnsi="Times New Roman" w:cs="Times New Roman"/>
          <w:sz w:val="24"/>
          <w:szCs w:val="24"/>
        </w:rPr>
      </w:pPr>
      <w:r w:rsidRPr="00A66ECD">
        <w:rPr>
          <w:rFonts w:ascii="Times New Roman" w:hAnsi="Times New Roman" w:cs="Times New Roman"/>
          <w:sz w:val="24"/>
          <w:szCs w:val="24"/>
        </w:rPr>
        <w:t>Current ratio is one of the foundational indicators used to assess a company’s liquidity position (Needles et al., 2014). This means that it evaluates the company’s ability to cover its short-term debts. The ratio is calculated by dividing current assets by current liabilities.</w:t>
      </w:r>
    </w:p>
    <w:p w14:paraId="28E68D67" w14:textId="77777777" w:rsidR="007B5AC4" w:rsidRPr="00A66ECD" w:rsidRDefault="007B5AC4" w:rsidP="00A66ECD">
      <w:pPr>
        <w:spacing w:after="240" w:line="360" w:lineRule="auto"/>
        <w:jc w:val="both"/>
        <w:rPr>
          <w:rFonts w:ascii="Times New Roman" w:hAnsi="Times New Roman" w:cs="Times New Roman"/>
          <w:sz w:val="24"/>
          <w:szCs w:val="24"/>
        </w:rPr>
      </w:pPr>
      <w:r w:rsidRPr="00A66ECD">
        <w:rPr>
          <w:rFonts w:ascii="Times New Roman" w:hAnsi="Times New Roman" w:cs="Times New Roman"/>
          <w:sz w:val="24"/>
          <w:szCs w:val="24"/>
        </w:rPr>
        <w:t>Current ratio = Current assets / Current liabilities</w:t>
      </w:r>
    </w:p>
    <w:p w14:paraId="2FCB66AF" w14:textId="77777777" w:rsidR="007B5AC4" w:rsidRPr="00A66ECD" w:rsidRDefault="007B5AC4" w:rsidP="00A66ECD">
      <w:pPr>
        <w:spacing w:after="240" w:line="360" w:lineRule="auto"/>
        <w:jc w:val="both"/>
        <w:rPr>
          <w:rFonts w:ascii="Times New Roman" w:hAnsi="Times New Roman" w:cs="Times New Roman"/>
          <w:sz w:val="24"/>
          <w:szCs w:val="24"/>
        </w:rPr>
      </w:pPr>
      <w:r w:rsidRPr="00A66ECD">
        <w:rPr>
          <w:rFonts w:ascii="Times New Roman" w:hAnsi="Times New Roman" w:cs="Times New Roman"/>
          <w:sz w:val="24"/>
          <w:szCs w:val="24"/>
        </w:rPr>
        <w:t>Current ratio 2020 = £2,355 / £3,046 = 0.73 times</w:t>
      </w:r>
    </w:p>
    <w:p w14:paraId="292F1F3E" w14:textId="77777777" w:rsidR="007B5AC4" w:rsidRPr="00A66ECD" w:rsidRDefault="007B5AC4" w:rsidP="00A66ECD">
      <w:pPr>
        <w:spacing w:after="240" w:line="360" w:lineRule="auto"/>
        <w:jc w:val="both"/>
        <w:rPr>
          <w:rFonts w:ascii="Times New Roman" w:hAnsi="Times New Roman" w:cs="Times New Roman"/>
          <w:sz w:val="24"/>
          <w:szCs w:val="24"/>
        </w:rPr>
      </w:pPr>
      <w:r w:rsidRPr="00A66ECD">
        <w:rPr>
          <w:rFonts w:ascii="Times New Roman" w:hAnsi="Times New Roman" w:cs="Times New Roman"/>
          <w:sz w:val="24"/>
          <w:szCs w:val="24"/>
        </w:rPr>
        <w:t>Current ratio 2021 = £2,030 / £2,511 = 0.92 times</w:t>
      </w:r>
    </w:p>
    <w:p w14:paraId="0FCE54EF" w14:textId="77777777" w:rsidR="007B5AC4" w:rsidRPr="00A66ECD" w:rsidRDefault="007B5AC4" w:rsidP="00A66ECD">
      <w:pPr>
        <w:pStyle w:val="ListParagraph"/>
        <w:numPr>
          <w:ilvl w:val="0"/>
          <w:numId w:val="1"/>
        </w:numPr>
        <w:spacing w:after="240" w:line="360" w:lineRule="auto"/>
        <w:jc w:val="both"/>
        <w:rPr>
          <w:rFonts w:ascii="Times New Roman" w:hAnsi="Times New Roman" w:cs="Times New Roman"/>
          <w:sz w:val="24"/>
          <w:szCs w:val="24"/>
        </w:rPr>
      </w:pPr>
      <w:r w:rsidRPr="00A66ECD">
        <w:rPr>
          <w:rFonts w:ascii="Times New Roman" w:hAnsi="Times New Roman" w:cs="Times New Roman"/>
          <w:sz w:val="24"/>
          <w:szCs w:val="24"/>
        </w:rPr>
        <w:t>There is an increase of current ration by 26.03% from 2020 to 2021</w:t>
      </w:r>
    </w:p>
    <w:p w14:paraId="799D0C45" w14:textId="77777777" w:rsidR="007B5AC4" w:rsidRPr="00A66ECD" w:rsidRDefault="007B5AC4" w:rsidP="00A66ECD">
      <w:pPr>
        <w:spacing w:after="240" w:line="360" w:lineRule="auto"/>
        <w:jc w:val="both"/>
        <w:rPr>
          <w:rFonts w:ascii="Times New Roman" w:hAnsi="Times New Roman" w:cs="Times New Roman"/>
          <w:sz w:val="24"/>
          <w:szCs w:val="24"/>
        </w:rPr>
      </w:pPr>
    </w:p>
    <w:p w14:paraId="18EC9CCB" w14:textId="77777777" w:rsidR="007B5AC4" w:rsidRPr="00A66ECD" w:rsidRDefault="007B5AC4" w:rsidP="00A66ECD">
      <w:pPr>
        <w:spacing w:after="240" w:line="360" w:lineRule="auto"/>
        <w:jc w:val="both"/>
        <w:rPr>
          <w:rFonts w:ascii="Times New Roman" w:hAnsi="Times New Roman" w:cs="Times New Roman"/>
          <w:sz w:val="24"/>
          <w:szCs w:val="24"/>
        </w:rPr>
      </w:pPr>
      <w:r w:rsidRPr="00A66ECD">
        <w:rPr>
          <w:rFonts w:ascii="Times New Roman" w:hAnsi="Times New Roman" w:cs="Times New Roman"/>
          <w:sz w:val="24"/>
          <w:szCs w:val="24"/>
        </w:rPr>
        <w:t xml:space="preserve">Gearing ratio is one of the main indicators of a company’s financial leverage which is associated with the funding of corporate activities from either debt or own capital (Needles et al., 2014). </w:t>
      </w:r>
    </w:p>
    <w:p w14:paraId="4847D69C" w14:textId="77777777" w:rsidR="007B5AC4" w:rsidRPr="00A66ECD" w:rsidRDefault="007B5AC4" w:rsidP="00A66ECD">
      <w:pPr>
        <w:spacing w:after="240" w:line="360" w:lineRule="auto"/>
        <w:jc w:val="both"/>
        <w:rPr>
          <w:rFonts w:ascii="Times New Roman" w:hAnsi="Times New Roman" w:cs="Times New Roman"/>
          <w:sz w:val="24"/>
          <w:szCs w:val="24"/>
        </w:rPr>
      </w:pPr>
      <w:r w:rsidRPr="00A66ECD">
        <w:rPr>
          <w:rFonts w:ascii="Times New Roman" w:hAnsi="Times New Roman" w:cs="Times New Roman"/>
          <w:sz w:val="24"/>
          <w:szCs w:val="24"/>
        </w:rPr>
        <w:t>Gearing ratio = Total debt / Total Equity</w:t>
      </w:r>
    </w:p>
    <w:p w14:paraId="070107BA" w14:textId="77777777" w:rsidR="007B5AC4" w:rsidRPr="00A66ECD" w:rsidRDefault="007B5AC4" w:rsidP="00A66ECD">
      <w:pPr>
        <w:spacing w:after="240" w:line="360" w:lineRule="auto"/>
        <w:jc w:val="both"/>
        <w:rPr>
          <w:rFonts w:ascii="Times New Roman" w:hAnsi="Times New Roman" w:cs="Times New Roman"/>
          <w:sz w:val="24"/>
          <w:szCs w:val="24"/>
        </w:rPr>
      </w:pPr>
      <w:r w:rsidRPr="00A66ECD">
        <w:rPr>
          <w:rFonts w:ascii="Times New Roman" w:hAnsi="Times New Roman" w:cs="Times New Roman"/>
          <w:sz w:val="24"/>
          <w:szCs w:val="24"/>
        </w:rPr>
        <w:t xml:space="preserve">Gearing ratio 2020 = </w:t>
      </w:r>
      <w:r w:rsidR="00CE4326" w:rsidRPr="00A66ECD">
        <w:rPr>
          <w:rFonts w:ascii="Times New Roman" w:hAnsi="Times New Roman" w:cs="Times New Roman"/>
          <w:sz w:val="24"/>
          <w:szCs w:val="24"/>
        </w:rPr>
        <w:t>£4,129 / £2,912 = 1.42 times</w:t>
      </w:r>
    </w:p>
    <w:p w14:paraId="4D921102" w14:textId="77777777" w:rsidR="00CE4326" w:rsidRPr="00A66ECD" w:rsidRDefault="00CE4326" w:rsidP="00A66ECD">
      <w:pPr>
        <w:spacing w:after="240" w:line="360" w:lineRule="auto"/>
        <w:jc w:val="both"/>
        <w:rPr>
          <w:rFonts w:ascii="Times New Roman" w:hAnsi="Times New Roman" w:cs="Times New Roman"/>
          <w:sz w:val="24"/>
          <w:szCs w:val="24"/>
        </w:rPr>
      </w:pPr>
      <w:r w:rsidRPr="00A66ECD">
        <w:rPr>
          <w:rFonts w:ascii="Times New Roman" w:hAnsi="Times New Roman" w:cs="Times New Roman"/>
          <w:sz w:val="24"/>
          <w:szCs w:val="24"/>
        </w:rPr>
        <w:t>Gearing ratio 2021 = £4,137 / £3,088 = 1.34 times</w:t>
      </w:r>
    </w:p>
    <w:p w14:paraId="77A35A88" w14:textId="77777777" w:rsidR="00CE4326" w:rsidRPr="00A66ECD" w:rsidRDefault="00CE4326" w:rsidP="00A66ECD">
      <w:pPr>
        <w:pStyle w:val="ListParagraph"/>
        <w:numPr>
          <w:ilvl w:val="0"/>
          <w:numId w:val="1"/>
        </w:numPr>
        <w:spacing w:after="240" w:line="360" w:lineRule="auto"/>
        <w:jc w:val="both"/>
        <w:rPr>
          <w:rFonts w:ascii="Times New Roman" w:hAnsi="Times New Roman" w:cs="Times New Roman"/>
          <w:sz w:val="24"/>
          <w:szCs w:val="24"/>
        </w:rPr>
      </w:pPr>
      <w:r w:rsidRPr="00A66ECD">
        <w:rPr>
          <w:rFonts w:ascii="Times New Roman" w:hAnsi="Times New Roman" w:cs="Times New Roman"/>
          <w:sz w:val="24"/>
          <w:szCs w:val="24"/>
        </w:rPr>
        <w:t>There is an decrease in the gearing ratio of 5.63%</w:t>
      </w:r>
    </w:p>
    <w:p w14:paraId="50D50752" w14:textId="77777777" w:rsidR="00CE4326" w:rsidRPr="00A66ECD" w:rsidRDefault="00CE4326" w:rsidP="00A66ECD">
      <w:pPr>
        <w:spacing w:after="240" w:line="360" w:lineRule="auto"/>
        <w:jc w:val="both"/>
        <w:rPr>
          <w:rFonts w:ascii="Times New Roman" w:hAnsi="Times New Roman" w:cs="Times New Roman"/>
          <w:sz w:val="24"/>
          <w:szCs w:val="24"/>
        </w:rPr>
      </w:pPr>
    </w:p>
    <w:p w14:paraId="1786AEA2" w14:textId="77777777" w:rsidR="00CE4326" w:rsidRPr="00A66ECD" w:rsidRDefault="00CE4326" w:rsidP="00A66ECD">
      <w:pPr>
        <w:spacing w:after="240" w:line="360" w:lineRule="auto"/>
        <w:jc w:val="both"/>
        <w:rPr>
          <w:rFonts w:ascii="Times New Roman" w:hAnsi="Times New Roman" w:cs="Times New Roman"/>
          <w:sz w:val="24"/>
          <w:szCs w:val="24"/>
        </w:rPr>
      </w:pPr>
      <w:r w:rsidRPr="00A66ECD">
        <w:rPr>
          <w:rFonts w:ascii="Times New Roman" w:hAnsi="Times New Roman" w:cs="Times New Roman"/>
          <w:sz w:val="24"/>
          <w:szCs w:val="24"/>
        </w:rPr>
        <w:lastRenderedPageBreak/>
        <w:t>Interest cover ratio is a measure of debt and profitability by assessing the ability of the company to pay interest on its debts (Needles et al., 2014). It is calculated using the following formula:</w:t>
      </w:r>
    </w:p>
    <w:p w14:paraId="24E62829" w14:textId="77777777" w:rsidR="00CE4326" w:rsidRPr="00A66ECD" w:rsidRDefault="00CE4326" w:rsidP="00A66ECD">
      <w:pPr>
        <w:spacing w:after="240" w:line="360" w:lineRule="auto"/>
        <w:jc w:val="both"/>
        <w:rPr>
          <w:rFonts w:ascii="Times New Roman" w:hAnsi="Times New Roman" w:cs="Times New Roman"/>
          <w:sz w:val="24"/>
          <w:szCs w:val="24"/>
        </w:rPr>
      </w:pPr>
      <w:r w:rsidRPr="00A66ECD">
        <w:rPr>
          <w:rFonts w:ascii="Times New Roman" w:hAnsi="Times New Roman" w:cs="Times New Roman"/>
          <w:sz w:val="24"/>
          <w:szCs w:val="24"/>
        </w:rPr>
        <w:t>Interest cover ratio = Earnings before interest and tax / Interest expense</w:t>
      </w:r>
    </w:p>
    <w:p w14:paraId="2C9F8649" w14:textId="77777777" w:rsidR="00CE4326" w:rsidRPr="00A66ECD" w:rsidRDefault="00CE4326" w:rsidP="00A66ECD">
      <w:pPr>
        <w:spacing w:after="240" w:line="360" w:lineRule="auto"/>
        <w:jc w:val="both"/>
        <w:rPr>
          <w:rFonts w:ascii="Times New Roman" w:hAnsi="Times New Roman" w:cs="Times New Roman"/>
          <w:sz w:val="24"/>
          <w:szCs w:val="24"/>
        </w:rPr>
      </w:pPr>
      <w:r w:rsidRPr="00A66ECD">
        <w:rPr>
          <w:rFonts w:ascii="Times New Roman" w:hAnsi="Times New Roman" w:cs="Times New Roman"/>
          <w:sz w:val="24"/>
          <w:szCs w:val="24"/>
        </w:rPr>
        <w:t>Earnings before interest and tax = Profit before taxation + Interest payable</w:t>
      </w:r>
    </w:p>
    <w:p w14:paraId="7EEF6CBE" w14:textId="77777777" w:rsidR="00CE4326" w:rsidRPr="00A66ECD" w:rsidRDefault="00CE4326" w:rsidP="00A66ECD">
      <w:pPr>
        <w:spacing w:after="240" w:line="360" w:lineRule="auto"/>
        <w:jc w:val="both"/>
        <w:rPr>
          <w:rFonts w:ascii="Times New Roman" w:hAnsi="Times New Roman" w:cs="Times New Roman"/>
          <w:sz w:val="24"/>
          <w:szCs w:val="24"/>
        </w:rPr>
      </w:pPr>
      <w:r w:rsidRPr="00A66ECD">
        <w:rPr>
          <w:rFonts w:ascii="Times New Roman" w:hAnsi="Times New Roman" w:cs="Times New Roman"/>
          <w:sz w:val="24"/>
          <w:szCs w:val="24"/>
        </w:rPr>
        <w:t>Interest cover ratio 2020 = (£539 + £181) / £181 = 3.98 times</w:t>
      </w:r>
    </w:p>
    <w:p w14:paraId="422BA724" w14:textId="77777777" w:rsidR="00CE4326" w:rsidRPr="00A66ECD" w:rsidRDefault="00CE4326" w:rsidP="00A66ECD">
      <w:pPr>
        <w:spacing w:after="240" w:line="360" w:lineRule="auto"/>
        <w:jc w:val="both"/>
        <w:rPr>
          <w:rFonts w:ascii="Times New Roman" w:hAnsi="Times New Roman" w:cs="Times New Roman"/>
          <w:sz w:val="24"/>
          <w:szCs w:val="24"/>
        </w:rPr>
      </w:pPr>
      <w:r w:rsidRPr="00A66ECD">
        <w:rPr>
          <w:rFonts w:ascii="Times New Roman" w:hAnsi="Times New Roman" w:cs="Times New Roman"/>
          <w:sz w:val="24"/>
          <w:szCs w:val="24"/>
        </w:rPr>
        <w:t>Interest cover ratio 2021 = (£620 + £226) / £226 = 3.74 times</w:t>
      </w:r>
    </w:p>
    <w:p w14:paraId="1FB7DC22" w14:textId="77777777" w:rsidR="00CE4326" w:rsidRPr="00A66ECD" w:rsidRDefault="00CE4326" w:rsidP="00A66ECD">
      <w:pPr>
        <w:pStyle w:val="ListParagraph"/>
        <w:numPr>
          <w:ilvl w:val="0"/>
          <w:numId w:val="1"/>
        </w:numPr>
        <w:spacing w:after="240" w:line="360" w:lineRule="auto"/>
        <w:jc w:val="both"/>
        <w:rPr>
          <w:rFonts w:ascii="Times New Roman" w:hAnsi="Times New Roman" w:cs="Times New Roman"/>
          <w:sz w:val="24"/>
          <w:szCs w:val="24"/>
        </w:rPr>
      </w:pPr>
      <w:r w:rsidRPr="00A66ECD">
        <w:rPr>
          <w:rFonts w:ascii="Times New Roman" w:hAnsi="Times New Roman" w:cs="Times New Roman"/>
          <w:sz w:val="24"/>
          <w:szCs w:val="24"/>
        </w:rPr>
        <w:t>There is a decrease in interest cover ratio of 6.03% between 2020 and 2021</w:t>
      </w:r>
    </w:p>
    <w:p w14:paraId="6B84C5D6" w14:textId="77777777" w:rsidR="007F52AF" w:rsidRPr="00A66ECD" w:rsidRDefault="007F52AF" w:rsidP="00A66ECD">
      <w:pPr>
        <w:spacing w:after="240" w:line="360" w:lineRule="auto"/>
        <w:jc w:val="both"/>
        <w:rPr>
          <w:rFonts w:ascii="Times New Roman" w:hAnsi="Times New Roman" w:cs="Times New Roman"/>
          <w:sz w:val="24"/>
          <w:szCs w:val="24"/>
        </w:rPr>
      </w:pPr>
    </w:p>
    <w:p w14:paraId="5FA69980" w14:textId="77777777" w:rsidR="00E0501E" w:rsidRPr="00A66ECD" w:rsidRDefault="00CE4326" w:rsidP="00A66ECD">
      <w:pPr>
        <w:spacing w:after="240" w:line="360" w:lineRule="auto"/>
        <w:jc w:val="both"/>
        <w:rPr>
          <w:rFonts w:ascii="Times New Roman" w:hAnsi="Times New Roman" w:cs="Times New Roman"/>
          <w:sz w:val="24"/>
          <w:szCs w:val="24"/>
        </w:rPr>
      </w:pPr>
      <w:r w:rsidRPr="00A66ECD">
        <w:rPr>
          <w:rFonts w:ascii="Times New Roman" w:hAnsi="Times New Roman" w:cs="Times New Roman"/>
          <w:sz w:val="24"/>
          <w:szCs w:val="24"/>
        </w:rPr>
        <w:t xml:space="preserve">b) </w:t>
      </w:r>
      <w:r w:rsidR="006970CD" w:rsidRPr="00A66ECD">
        <w:rPr>
          <w:rFonts w:ascii="Times New Roman" w:hAnsi="Times New Roman" w:cs="Times New Roman"/>
          <w:sz w:val="24"/>
          <w:szCs w:val="24"/>
        </w:rPr>
        <w:t xml:space="preserve">The performance of the company can be assessed in three main directions – profitability, efficiency and liquidity. </w:t>
      </w:r>
    </w:p>
    <w:p w14:paraId="155BBFF5" w14:textId="77777777" w:rsidR="006970CD" w:rsidRPr="00A66ECD" w:rsidRDefault="006970CD" w:rsidP="00A66ECD">
      <w:pPr>
        <w:spacing w:after="240" w:line="360" w:lineRule="auto"/>
        <w:jc w:val="both"/>
        <w:rPr>
          <w:rFonts w:ascii="Times New Roman" w:hAnsi="Times New Roman" w:cs="Times New Roman"/>
          <w:sz w:val="24"/>
          <w:szCs w:val="24"/>
        </w:rPr>
      </w:pPr>
      <w:r w:rsidRPr="00A66ECD">
        <w:rPr>
          <w:rFonts w:ascii="Times New Roman" w:hAnsi="Times New Roman" w:cs="Times New Roman"/>
          <w:sz w:val="24"/>
          <w:szCs w:val="24"/>
        </w:rPr>
        <w:t xml:space="preserve">In terms of profitability, all ratios have reported an improvement in 2021 compared to 2020 data, as also indicated above. When also considering the share market price increase (illustrated in the data given in the text), it can be suggested that the business is growing and is rather successful on its marketplace. </w:t>
      </w:r>
    </w:p>
    <w:p w14:paraId="7BDFE887" w14:textId="77777777" w:rsidR="006970CD" w:rsidRPr="00A66ECD" w:rsidRDefault="006970CD" w:rsidP="00A66ECD">
      <w:pPr>
        <w:spacing w:after="240" w:line="360" w:lineRule="auto"/>
        <w:jc w:val="both"/>
        <w:rPr>
          <w:rFonts w:ascii="Times New Roman" w:hAnsi="Times New Roman" w:cs="Times New Roman"/>
          <w:sz w:val="24"/>
          <w:szCs w:val="24"/>
        </w:rPr>
      </w:pPr>
      <w:r w:rsidRPr="00A66ECD">
        <w:rPr>
          <w:rFonts w:ascii="Times New Roman" w:hAnsi="Times New Roman" w:cs="Times New Roman"/>
          <w:sz w:val="24"/>
          <w:szCs w:val="24"/>
        </w:rPr>
        <w:t xml:space="preserve">In terms of efficiency, several important notes can be made. Asset turnover increased, which shows that the company’s ability to manage its resources to generate revenue is improving. However, there is an increase in the stockholding days period of 2 days, which might alarm an issue and </w:t>
      </w:r>
      <w:proofErr w:type="gramStart"/>
      <w:r w:rsidRPr="00A66ECD">
        <w:rPr>
          <w:rFonts w:ascii="Times New Roman" w:hAnsi="Times New Roman" w:cs="Times New Roman"/>
          <w:sz w:val="24"/>
          <w:szCs w:val="24"/>
        </w:rPr>
        <w:t>has to</w:t>
      </w:r>
      <w:proofErr w:type="gramEnd"/>
      <w:r w:rsidRPr="00A66ECD">
        <w:rPr>
          <w:rFonts w:ascii="Times New Roman" w:hAnsi="Times New Roman" w:cs="Times New Roman"/>
          <w:sz w:val="24"/>
          <w:szCs w:val="24"/>
        </w:rPr>
        <w:t xml:space="preserve"> be addressed. There are many factors which can contribute to this result, especially considering the fact that the difference is rather immaterial, but this should be investigated in greater depth and be inspected by responsible decision-makers. The increase in inventory (which is assumed to be the main reason for this result) may be due to expected higher demand or forecasts for expanding the business, which would not be an indicator of a negative factor of influence on business performance. More information needs to be collected to assess this result. Debtors’ collection perio</w:t>
      </w:r>
      <w:r w:rsidR="00A66ECD" w:rsidRPr="00A66ECD">
        <w:rPr>
          <w:rFonts w:ascii="Times New Roman" w:hAnsi="Times New Roman" w:cs="Times New Roman"/>
          <w:sz w:val="24"/>
          <w:szCs w:val="24"/>
        </w:rPr>
        <w:t>d experienced a decreased by 5 days. This</w:t>
      </w:r>
      <w:r w:rsidRPr="00A66ECD">
        <w:rPr>
          <w:rFonts w:ascii="Times New Roman" w:hAnsi="Times New Roman" w:cs="Times New Roman"/>
          <w:sz w:val="24"/>
          <w:szCs w:val="24"/>
        </w:rPr>
        <w:t xml:space="preserve"> is a positive trend and shows significantly improved ability of the company to collect money from its customers. </w:t>
      </w:r>
    </w:p>
    <w:p w14:paraId="57E86AAB" w14:textId="77777777" w:rsidR="006970CD" w:rsidRPr="00A66ECD" w:rsidRDefault="006970CD" w:rsidP="00A66ECD">
      <w:pPr>
        <w:spacing w:after="240" w:line="360" w:lineRule="auto"/>
        <w:jc w:val="both"/>
        <w:rPr>
          <w:rFonts w:ascii="Times New Roman" w:hAnsi="Times New Roman" w:cs="Times New Roman"/>
          <w:sz w:val="24"/>
          <w:szCs w:val="24"/>
        </w:rPr>
      </w:pPr>
      <w:r w:rsidRPr="00A66ECD">
        <w:rPr>
          <w:rFonts w:ascii="Times New Roman" w:hAnsi="Times New Roman" w:cs="Times New Roman"/>
          <w:sz w:val="24"/>
          <w:szCs w:val="24"/>
        </w:rPr>
        <w:lastRenderedPageBreak/>
        <w:t xml:space="preserve">In terms of liquidity, current ratio also increased. The ‘perfect’ current ratio varies across industries and businesses and thus, the company’s result should be compared to market benchmark for a better outlook of its meaning. However, currently, it is less than 1, meaning that the brand has £0.92 of current assets to cover every £1 of current liabilities, which is considered as insufficient. </w:t>
      </w:r>
    </w:p>
    <w:p w14:paraId="0A51040E" w14:textId="77777777" w:rsidR="006970CD" w:rsidRPr="00A66ECD" w:rsidRDefault="006970CD" w:rsidP="00A66ECD">
      <w:pPr>
        <w:spacing w:after="240" w:line="360" w:lineRule="auto"/>
        <w:jc w:val="both"/>
        <w:rPr>
          <w:rFonts w:ascii="Times New Roman" w:hAnsi="Times New Roman" w:cs="Times New Roman"/>
          <w:sz w:val="24"/>
          <w:szCs w:val="24"/>
        </w:rPr>
      </w:pPr>
      <w:r w:rsidRPr="00A66ECD">
        <w:rPr>
          <w:rFonts w:ascii="Times New Roman" w:hAnsi="Times New Roman" w:cs="Times New Roman"/>
          <w:sz w:val="24"/>
          <w:szCs w:val="24"/>
        </w:rPr>
        <w:t xml:space="preserve">The gearing ratio is considered acceptable, mainly due to the increase in equity capital and the lower dependence of the company on external debt, as this trend is associated with lower risk. </w:t>
      </w:r>
      <w:r w:rsidR="00040682" w:rsidRPr="00A66ECD">
        <w:rPr>
          <w:rFonts w:ascii="Times New Roman" w:hAnsi="Times New Roman" w:cs="Times New Roman"/>
          <w:sz w:val="24"/>
          <w:szCs w:val="24"/>
        </w:rPr>
        <w:t xml:space="preserve">The interest coverage ratio deteriorated, but this is also considered as rather normal, due to the higher value of interest to be paid, identified by the text. </w:t>
      </w:r>
    </w:p>
    <w:p w14:paraId="61155012" w14:textId="77777777" w:rsidR="00CE4326" w:rsidRPr="00A66ECD" w:rsidRDefault="00CE4326" w:rsidP="00A66ECD">
      <w:pPr>
        <w:spacing w:after="240" w:line="360" w:lineRule="auto"/>
        <w:jc w:val="both"/>
        <w:rPr>
          <w:rFonts w:ascii="Times New Roman" w:hAnsi="Times New Roman" w:cs="Times New Roman"/>
          <w:sz w:val="24"/>
          <w:szCs w:val="24"/>
        </w:rPr>
      </w:pPr>
    </w:p>
    <w:p w14:paraId="09ADAB38" w14:textId="77777777" w:rsidR="00040682" w:rsidRPr="00A66ECD" w:rsidRDefault="00040682" w:rsidP="00A66ECD">
      <w:pPr>
        <w:spacing w:after="240" w:line="360" w:lineRule="auto"/>
        <w:jc w:val="both"/>
        <w:rPr>
          <w:rFonts w:ascii="Times New Roman" w:hAnsi="Times New Roman" w:cs="Times New Roman"/>
          <w:sz w:val="24"/>
          <w:szCs w:val="24"/>
        </w:rPr>
      </w:pPr>
    </w:p>
    <w:p w14:paraId="668E2D4D" w14:textId="77777777" w:rsidR="00E0501E" w:rsidRPr="00A66ECD" w:rsidRDefault="00E0501E" w:rsidP="00A66ECD">
      <w:pPr>
        <w:pStyle w:val="Heading1"/>
        <w:spacing w:after="240" w:line="360" w:lineRule="auto"/>
        <w:jc w:val="both"/>
        <w:rPr>
          <w:rFonts w:ascii="Times New Roman" w:hAnsi="Times New Roman" w:cs="Times New Roman"/>
          <w:b/>
          <w:sz w:val="28"/>
          <w:szCs w:val="28"/>
        </w:rPr>
      </w:pPr>
      <w:bookmarkStart w:id="3" w:name="_Toc124376063"/>
      <w:r w:rsidRPr="00A66ECD">
        <w:rPr>
          <w:rFonts w:ascii="Times New Roman" w:hAnsi="Times New Roman" w:cs="Times New Roman"/>
          <w:b/>
          <w:sz w:val="28"/>
          <w:szCs w:val="28"/>
        </w:rPr>
        <w:t>References</w:t>
      </w:r>
      <w:bookmarkEnd w:id="3"/>
    </w:p>
    <w:p w14:paraId="776CD862" w14:textId="77777777" w:rsidR="00CA457D" w:rsidRPr="00A66ECD" w:rsidRDefault="00CA457D" w:rsidP="00A66ECD">
      <w:pPr>
        <w:spacing w:after="240" w:line="360" w:lineRule="auto"/>
        <w:rPr>
          <w:rFonts w:ascii="Times New Roman" w:hAnsi="Times New Roman" w:cs="Times New Roman"/>
          <w:sz w:val="24"/>
          <w:szCs w:val="24"/>
        </w:rPr>
      </w:pPr>
      <w:r w:rsidRPr="00A66ECD">
        <w:rPr>
          <w:rFonts w:ascii="Times New Roman" w:hAnsi="Times New Roman" w:cs="Times New Roman"/>
          <w:sz w:val="24"/>
          <w:szCs w:val="24"/>
        </w:rPr>
        <w:t xml:space="preserve">Fernando, J. (2022) </w:t>
      </w:r>
      <w:r w:rsidRPr="00A66ECD">
        <w:rPr>
          <w:rFonts w:ascii="Times New Roman" w:hAnsi="Times New Roman" w:cs="Times New Roman"/>
          <w:i/>
          <w:iCs/>
          <w:sz w:val="24"/>
          <w:szCs w:val="24"/>
        </w:rPr>
        <w:t>What Is the Accounting Equation, and How Do You Calculate It?</w:t>
      </w:r>
      <w:r w:rsidRPr="00A66ECD">
        <w:rPr>
          <w:rFonts w:ascii="Times New Roman" w:hAnsi="Times New Roman" w:cs="Times New Roman"/>
          <w:sz w:val="24"/>
          <w:szCs w:val="24"/>
        </w:rPr>
        <w:t xml:space="preserve"> [online] Available: </w:t>
      </w:r>
      <w:hyperlink r:id="rId8" w:anchor=":~:text=The%20accounting%20equation%20states%20that,the%20double%2Dentry%20accounting%20system" w:history="1">
        <w:r w:rsidRPr="00A66ECD">
          <w:rPr>
            <w:rStyle w:val="Hyperlink"/>
            <w:rFonts w:ascii="Times New Roman" w:hAnsi="Times New Roman" w:cs="Times New Roman"/>
            <w:sz w:val="24"/>
            <w:szCs w:val="24"/>
          </w:rPr>
          <w:t>https://www.investopedia.com/terms/a/accounting-equation.asp#:~:text=The%20accounting%20equation%20states%20that,the%20double%2Dentry%20accounting%20system</w:t>
        </w:r>
      </w:hyperlink>
      <w:r w:rsidR="00A66ECD" w:rsidRPr="00A66ECD">
        <w:rPr>
          <w:rFonts w:ascii="Times New Roman" w:hAnsi="Times New Roman" w:cs="Times New Roman"/>
          <w:sz w:val="24"/>
          <w:szCs w:val="24"/>
        </w:rPr>
        <w:t xml:space="preserve"> </w:t>
      </w:r>
      <w:r w:rsidRPr="00A66ECD">
        <w:rPr>
          <w:rFonts w:ascii="Times New Roman" w:hAnsi="Times New Roman" w:cs="Times New Roman"/>
          <w:sz w:val="24"/>
          <w:szCs w:val="24"/>
        </w:rPr>
        <w:t>[Accessed</w:t>
      </w:r>
      <w:r w:rsidR="00A66ECD" w:rsidRPr="00A66ECD">
        <w:rPr>
          <w:rFonts w:ascii="Times New Roman" w:hAnsi="Times New Roman" w:cs="Times New Roman"/>
          <w:sz w:val="24"/>
          <w:szCs w:val="24"/>
        </w:rPr>
        <w:t>:</w:t>
      </w:r>
      <w:r w:rsidRPr="00A66ECD">
        <w:rPr>
          <w:rFonts w:ascii="Times New Roman" w:hAnsi="Times New Roman" w:cs="Times New Roman"/>
          <w:sz w:val="24"/>
          <w:szCs w:val="24"/>
        </w:rPr>
        <w:t xml:space="preserve"> 4 January 2023]</w:t>
      </w:r>
    </w:p>
    <w:p w14:paraId="25B619A5" w14:textId="77777777" w:rsidR="007761E1" w:rsidRPr="00A66ECD" w:rsidRDefault="007761E1" w:rsidP="00A66ECD">
      <w:pPr>
        <w:spacing w:after="240" w:line="360" w:lineRule="auto"/>
        <w:rPr>
          <w:rFonts w:ascii="Times New Roman" w:hAnsi="Times New Roman" w:cs="Times New Roman"/>
          <w:sz w:val="24"/>
          <w:szCs w:val="24"/>
        </w:rPr>
      </w:pPr>
      <w:r w:rsidRPr="00A66ECD">
        <w:rPr>
          <w:rFonts w:ascii="Times New Roman" w:hAnsi="Times New Roman" w:cs="Times New Roman"/>
          <w:sz w:val="24"/>
          <w:szCs w:val="24"/>
        </w:rPr>
        <w:t xml:space="preserve">Hayes, A. (2022) </w:t>
      </w:r>
      <w:r w:rsidRPr="00A66ECD">
        <w:rPr>
          <w:rFonts w:ascii="Times New Roman" w:hAnsi="Times New Roman" w:cs="Times New Roman"/>
          <w:i/>
          <w:iCs/>
          <w:sz w:val="24"/>
          <w:szCs w:val="24"/>
        </w:rPr>
        <w:t>Return on Capital Employed (ROCE): Ratio, Interpretation and Example</w:t>
      </w:r>
      <w:r w:rsidR="00A66ECD" w:rsidRPr="00A66ECD">
        <w:rPr>
          <w:rFonts w:ascii="Times New Roman" w:hAnsi="Times New Roman" w:cs="Times New Roman"/>
          <w:sz w:val="24"/>
          <w:szCs w:val="24"/>
        </w:rPr>
        <w:t xml:space="preserve">, </w:t>
      </w:r>
      <w:r w:rsidRPr="00A66ECD">
        <w:rPr>
          <w:rFonts w:ascii="Times New Roman" w:hAnsi="Times New Roman" w:cs="Times New Roman"/>
          <w:sz w:val="24"/>
          <w:szCs w:val="24"/>
        </w:rPr>
        <w:t xml:space="preserve">[online] Available: </w:t>
      </w:r>
      <w:hyperlink r:id="rId9" w:history="1">
        <w:r w:rsidRPr="00A66ECD">
          <w:rPr>
            <w:rStyle w:val="Hyperlink"/>
            <w:rFonts w:ascii="Times New Roman" w:hAnsi="Times New Roman" w:cs="Times New Roman"/>
            <w:sz w:val="24"/>
            <w:szCs w:val="24"/>
          </w:rPr>
          <w:t>https://www.investopedia.com/terms/r/roce.asp</w:t>
        </w:r>
      </w:hyperlink>
      <w:r w:rsidRPr="00A66ECD">
        <w:rPr>
          <w:rFonts w:ascii="Times New Roman" w:hAnsi="Times New Roman" w:cs="Times New Roman"/>
          <w:sz w:val="24"/>
          <w:szCs w:val="24"/>
        </w:rPr>
        <w:t xml:space="preserve"> [Accessed</w:t>
      </w:r>
      <w:r w:rsidR="00A66ECD" w:rsidRPr="00A66ECD">
        <w:rPr>
          <w:rFonts w:ascii="Times New Roman" w:hAnsi="Times New Roman" w:cs="Times New Roman"/>
          <w:sz w:val="24"/>
          <w:szCs w:val="24"/>
        </w:rPr>
        <w:t>: 5</w:t>
      </w:r>
      <w:r w:rsidRPr="00A66ECD">
        <w:rPr>
          <w:rFonts w:ascii="Times New Roman" w:hAnsi="Times New Roman" w:cs="Times New Roman"/>
          <w:sz w:val="24"/>
          <w:szCs w:val="24"/>
        </w:rPr>
        <w:t xml:space="preserve"> January 2023]</w:t>
      </w:r>
    </w:p>
    <w:p w14:paraId="56029419" w14:textId="77777777" w:rsidR="00E0501E" w:rsidRPr="00A66ECD" w:rsidRDefault="00A66ECD" w:rsidP="00A66ECD">
      <w:pPr>
        <w:spacing w:after="240" w:line="360" w:lineRule="auto"/>
        <w:rPr>
          <w:rFonts w:ascii="Times New Roman" w:hAnsi="Times New Roman" w:cs="Times New Roman"/>
          <w:sz w:val="24"/>
          <w:szCs w:val="24"/>
          <w:lang w:val="bg-BG"/>
        </w:rPr>
      </w:pPr>
      <w:r w:rsidRPr="00A66ECD">
        <w:rPr>
          <w:rFonts w:ascii="Times New Roman" w:hAnsi="Times New Roman" w:cs="Times New Roman"/>
          <w:sz w:val="24"/>
          <w:szCs w:val="24"/>
        </w:rPr>
        <w:t xml:space="preserve">Needles, B., Powers, M. and </w:t>
      </w:r>
      <w:r w:rsidR="00E0501E" w:rsidRPr="00A66ECD">
        <w:rPr>
          <w:rFonts w:ascii="Times New Roman" w:hAnsi="Times New Roman" w:cs="Times New Roman"/>
          <w:sz w:val="24"/>
          <w:szCs w:val="24"/>
        </w:rPr>
        <w:t xml:space="preserve">Crosson, S. (2014) </w:t>
      </w:r>
      <w:r w:rsidR="00E0501E" w:rsidRPr="00A66ECD">
        <w:rPr>
          <w:rFonts w:ascii="Times New Roman" w:hAnsi="Times New Roman" w:cs="Times New Roman"/>
          <w:i/>
          <w:iCs/>
          <w:sz w:val="24"/>
          <w:szCs w:val="24"/>
        </w:rPr>
        <w:t>Financial &amp; Managerial Accounting</w:t>
      </w:r>
      <w:r w:rsidR="00E0501E" w:rsidRPr="00A66ECD">
        <w:rPr>
          <w:rFonts w:ascii="Times New Roman" w:hAnsi="Times New Roman" w:cs="Times New Roman"/>
          <w:sz w:val="24"/>
          <w:szCs w:val="24"/>
        </w:rPr>
        <w:t>. 10</w:t>
      </w:r>
      <w:r w:rsidR="00E0501E" w:rsidRPr="00A66ECD">
        <w:rPr>
          <w:rFonts w:ascii="Times New Roman" w:hAnsi="Times New Roman" w:cs="Times New Roman"/>
          <w:sz w:val="24"/>
          <w:szCs w:val="24"/>
          <w:vertAlign w:val="superscript"/>
        </w:rPr>
        <w:t>th</w:t>
      </w:r>
      <w:r w:rsidRPr="00A66ECD">
        <w:rPr>
          <w:rFonts w:ascii="Times New Roman" w:hAnsi="Times New Roman" w:cs="Times New Roman"/>
          <w:sz w:val="24"/>
          <w:szCs w:val="24"/>
        </w:rPr>
        <w:t xml:space="preserve"> edition,</w:t>
      </w:r>
      <w:r w:rsidR="00E0501E" w:rsidRPr="00A66ECD">
        <w:rPr>
          <w:rFonts w:ascii="Times New Roman" w:hAnsi="Times New Roman" w:cs="Times New Roman"/>
          <w:sz w:val="24"/>
          <w:szCs w:val="24"/>
        </w:rPr>
        <w:t xml:space="preserve"> So</w:t>
      </w:r>
      <w:r w:rsidRPr="00A66ECD">
        <w:rPr>
          <w:rFonts w:ascii="Times New Roman" w:hAnsi="Times New Roman" w:cs="Times New Roman"/>
          <w:sz w:val="24"/>
          <w:szCs w:val="24"/>
        </w:rPr>
        <w:t xml:space="preserve">uth-Western, Cengage Learning </w:t>
      </w:r>
    </w:p>
    <w:p w14:paraId="3BF87606" w14:textId="77777777" w:rsidR="00E0501E" w:rsidRPr="00A66ECD" w:rsidRDefault="00E0501E" w:rsidP="00A66ECD">
      <w:pPr>
        <w:spacing w:after="240" w:line="360" w:lineRule="auto"/>
        <w:jc w:val="both"/>
        <w:rPr>
          <w:rFonts w:ascii="Times New Roman" w:hAnsi="Times New Roman" w:cs="Times New Roman"/>
          <w:sz w:val="24"/>
          <w:szCs w:val="24"/>
        </w:rPr>
      </w:pPr>
    </w:p>
    <w:p w14:paraId="45D49015" w14:textId="77777777" w:rsidR="00E0501E" w:rsidRPr="00A66ECD" w:rsidRDefault="00E0501E" w:rsidP="00A66ECD">
      <w:pPr>
        <w:spacing w:after="240" w:line="360" w:lineRule="auto"/>
        <w:jc w:val="both"/>
        <w:rPr>
          <w:rFonts w:ascii="Times New Roman" w:hAnsi="Times New Roman" w:cs="Times New Roman"/>
          <w:sz w:val="24"/>
          <w:szCs w:val="24"/>
        </w:rPr>
      </w:pPr>
    </w:p>
    <w:p w14:paraId="06A84F8C" w14:textId="77777777" w:rsidR="00E0501E" w:rsidRPr="00A66ECD" w:rsidRDefault="00E0501E" w:rsidP="00A66ECD">
      <w:pPr>
        <w:spacing w:after="240" w:line="360" w:lineRule="auto"/>
        <w:jc w:val="both"/>
        <w:rPr>
          <w:rFonts w:ascii="Times New Roman" w:hAnsi="Times New Roman" w:cs="Times New Roman"/>
          <w:sz w:val="24"/>
          <w:szCs w:val="24"/>
        </w:rPr>
      </w:pPr>
    </w:p>
    <w:p w14:paraId="02006024" w14:textId="77777777" w:rsidR="00E0501E" w:rsidRPr="00A66ECD" w:rsidRDefault="00E0501E" w:rsidP="00A66ECD">
      <w:pPr>
        <w:spacing w:after="240" w:line="360" w:lineRule="auto"/>
        <w:jc w:val="both"/>
        <w:rPr>
          <w:rFonts w:ascii="Times New Roman" w:hAnsi="Times New Roman" w:cs="Times New Roman"/>
          <w:sz w:val="24"/>
          <w:szCs w:val="24"/>
        </w:rPr>
      </w:pPr>
    </w:p>
    <w:p w14:paraId="6374F3FB" w14:textId="77777777" w:rsidR="00E0501E" w:rsidRDefault="00E0501E" w:rsidP="00A66ECD">
      <w:pPr>
        <w:spacing w:after="240"/>
      </w:pPr>
    </w:p>
    <w:p w14:paraId="18C0D927" w14:textId="77777777" w:rsidR="00E0501E" w:rsidRDefault="00E0501E"/>
    <w:p w14:paraId="3957660A" w14:textId="77777777" w:rsidR="00E0501E" w:rsidRDefault="00E0501E"/>
    <w:p w14:paraId="68F2624D" w14:textId="77777777" w:rsidR="00E0501E" w:rsidRDefault="00E0501E"/>
    <w:p w14:paraId="35B2078E" w14:textId="77777777" w:rsidR="00E0501E" w:rsidRDefault="00E0501E"/>
    <w:p w14:paraId="09D8956D" w14:textId="77777777" w:rsidR="00E0501E" w:rsidRDefault="00E0501E"/>
    <w:p w14:paraId="54E92AF9" w14:textId="77777777" w:rsidR="00E0501E" w:rsidRDefault="00E0501E"/>
    <w:p w14:paraId="10226B07" w14:textId="77777777" w:rsidR="00E0501E" w:rsidRDefault="00E0501E"/>
    <w:p w14:paraId="1370937C" w14:textId="77777777" w:rsidR="00E0501E" w:rsidRDefault="00E0501E"/>
    <w:p w14:paraId="60D6A867" w14:textId="77777777" w:rsidR="00E0501E" w:rsidRDefault="00E0501E"/>
    <w:p w14:paraId="260765A4" w14:textId="77777777" w:rsidR="00E0501E" w:rsidRDefault="00E0501E"/>
    <w:p w14:paraId="04D2FF7A" w14:textId="77777777" w:rsidR="00E0501E" w:rsidRDefault="00E0501E"/>
    <w:sectPr w:rsidR="00E0501E" w:rsidSect="00E22601">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69DD7F" w14:textId="77777777" w:rsidR="0076598D" w:rsidRDefault="0076598D" w:rsidP="00A66ECD">
      <w:pPr>
        <w:spacing w:after="0" w:line="240" w:lineRule="auto"/>
      </w:pPr>
      <w:r>
        <w:separator/>
      </w:r>
    </w:p>
  </w:endnote>
  <w:endnote w:type="continuationSeparator" w:id="0">
    <w:p w14:paraId="1B7AA142" w14:textId="77777777" w:rsidR="0076598D" w:rsidRDefault="0076598D" w:rsidP="00A66EC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4D"/>
    <w:family w:val="decorative"/>
    <w:pitch w:val="variable"/>
    <w:sig w:usb0="00000003" w:usb1="00000000" w:usb2="00000000" w:usb3="00000000" w:csb0="80000001" w:csb1="00000000"/>
  </w:font>
  <w:font w:name="Calibri">
    <w:panose1 w:val="020F0502020204030204"/>
    <w:charset w:val="CC"/>
    <w:family w:val="swiss"/>
    <w:pitch w:val="variable"/>
    <w:sig w:usb0="E4002E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CC"/>
    <w:family w:val="swiss"/>
    <w:pitch w:val="variable"/>
    <w:sig w:usb0="E4002EFF" w:usb1="C000247B" w:usb2="00000009" w:usb3="00000000" w:csb0="000001FF" w:csb1="00000000"/>
  </w:font>
  <w:font w:name="Tahoma">
    <w:panose1 w:val="020B0604030504040204"/>
    <w:charset w:val="CC"/>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27700219"/>
      <w:docPartObj>
        <w:docPartGallery w:val="Page Numbers (Bottom of Page)"/>
        <w:docPartUnique/>
      </w:docPartObj>
    </w:sdtPr>
    <w:sdtContent>
      <w:p w14:paraId="7B83D693" w14:textId="77777777" w:rsidR="00A66ECD" w:rsidRDefault="00000000">
        <w:pPr>
          <w:pStyle w:val="Footer"/>
          <w:jc w:val="right"/>
        </w:pPr>
        <w:r>
          <w:fldChar w:fldCharType="begin"/>
        </w:r>
        <w:r>
          <w:instrText xml:space="preserve"> PAGE   \* MERGEFORMAT </w:instrText>
        </w:r>
        <w:r>
          <w:fldChar w:fldCharType="separate"/>
        </w:r>
        <w:r w:rsidR="00A66ECD">
          <w:rPr>
            <w:noProof/>
          </w:rPr>
          <w:t>2</w:t>
        </w:r>
        <w:r>
          <w:rPr>
            <w:noProof/>
          </w:rPr>
          <w:fldChar w:fldCharType="end"/>
        </w:r>
      </w:p>
    </w:sdtContent>
  </w:sdt>
  <w:p w14:paraId="0BCBBE31" w14:textId="77777777" w:rsidR="00A66ECD" w:rsidRDefault="00A66EC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376FF9" w14:textId="77777777" w:rsidR="0076598D" w:rsidRDefault="0076598D" w:rsidP="00A66ECD">
      <w:pPr>
        <w:spacing w:after="0" w:line="240" w:lineRule="auto"/>
      </w:pPr>
      <w:r>
        <w:separator/>
      </w:r>
    </w:p>
  </w:footnote>
  <w:footnote w:type="continuationSeparator" w:id="0">
    <w:p w14:paraId="3DE11474" w14:textId="77777777" w:rsidR="0076598D" w:rsidRDefault="0076598D" w:rsidP="00A66EC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1E3D35"/>
    <w:multiLevelType w:val="hybridMultilevel"/>
    <w:tmpl w:val="0834F496"/>
    <w:lvl w:ilvl="0" w:tplc="3C68ACA0">
      <w:start w:val="1"/>
      <w:numFmt w:val="bullet"/>
      <w:lvlText w:val=""/>
      <w:lvlJc w:val="left"/>
      <w:pPr>
        <w:ind w:left="720" w:hanging="360"/>
      </w:pPr>
      <w:rPr>
        <w:rFonts w:ascii="Wingdings" w:eastAsiaTheme="minorHAnsi"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420020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E0501E"/>
    <w:rsid w:val="00040682"/>
    <w:rsid w:val="00237B83"/>
    <w:rsid w:val="00322E06"/>
    <w:rsid w:val="00342B20"/>
    <w:rsid w:val="00375538"/>
    <w:rsid w:val="00477F88"/>
    <w:rsid w:val="00483FEA"/>
    <w:rsid w:val="0053645E"/>
    <w:rsid w:val="005D6D30"/>
    <w:rsid w:val="005F1998"/>
    <w:rsid w:val="00601700"/>
    <w:rsid w:val="006970CD"/>
    <w:rsid w:val="006D0CBA"/>
    <w:rsid w:val="0076598D"/>
    <w:rsid w:val="007761E1"/>
    <w:rsid w:val="007B2343"/>
    <w:rsid w:val="007B5AC4"/>
    <w:rsid w:val="007C5110"/>
    <w:rsid w:val="007D0497"/>
    <w:rsid w:val="007F52AF"/>
    <w:rsid w:val="00890A02"/>
    <w:rsid w:val="008A1C97"/>
    <w:rsid w:val="00907460"/>
    <w:rsid w:val="0095158E"/>
    <w:rsid w:val="00A17F64"/>
    <w:rsid w:val="00A30918"/>
    <w:rsid w:val="00A451DD"/>
    <w:rsid w:val="00A521CE"/>
    <w:rsid w:val="00A56B9D"/>
    <w:rsid w:val="00A66ECD"/>
    <w:rsid w:val="00C93062"/>
    <w:rsid w:val="00CA457D"/>
    <w:rsid w:val="00CE4326"/>
    <w:rsid w:val="00D7203C"/>
    <w:rsid w:val="00DD6F33"/>
    <w:rsid w:val="00E0501E"/>
    <w:rsid w:val="00E22601"/>
    <w:rsid w:val="00EA7939"/>
    <w:rsid w:val="00EC7D7D"/>
    <w:rsid w:val="00EE24E5"/>
    <w:rsid w:val="00F60A9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DEB5B6"/>
  <w15:docId w15:val="{9A2A03A3-8F2A-2E4C-B201-394C4E8DB5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22601"/>
  </w:style>
  <w:style w:type="paragraph" w:styleId="Heading1">
    <w:name w:val="heading 1"/>
    <w:basedOn w:val="Normal"/>
    <w:next w:val="Normal"/>
    <w:link w:val="Heading1Char"/>
    <w:uiPriority w:val="9"/>
    <w:qFormat/>
    <w:rsid w:val="00E0501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0501E"/>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0501E"/>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E0501E"/>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CA457D"/>
    <w:rPr>
      <w:color w:val="0563C1" w:themeColor="hyperlink"/>
      <w:u w:val="single"/>
    </w:rPr>
  </w:style>
  <w:style w:type="character" w:customStyle="1" w:styleId="UnresolvedMention1">
    <w:name w:val="Unresolved Mention1"/>
    <w:basedOn w:val="DefaultParagraphFont"/>
    <w:uiPriority w:val="99"/>
    <w:semiHidden/>
    <w:unhideWhenUsed/>
    <w:rsid w:val="00CA457D"/>
    <w:rPr>
      <w:color w:val="605E5C"/>
      <w:shd w:val="clear" w:color="auto" w:fill="E1DFDD"/>
    </w:rPr>
  </w:style>
  <w:style w:type="paragraph" w:styleId="ListParagraph">
    <w:name w:val="List Paragraph"/>
    <w:basedOn w:val="Normal"/>
    <w:uiPriority w:val="34"/>
    <w:qFormat/>
    <w:rsid w:val="005F1998"/>
    <w:pPr>
      <w:ind w:left="720"/>
      <w:contextualSpacing/>
    </w:pPr>
  </w:style>
  <w:style w:type="paragraph" w:styleId="Header">
    <w:name w:val="header"/>
    <w:basedOn w:val="Normal"/>
    <w:link w:val="HeaderChar"/>
    <w:uiPriority w:val="99"/>
    <w:semiHidden/>
    <w:unhideWhenUsed/>
    <w:rsid w:val="00A66ECD"/>
    <w:pPr>
      <w:tabs>
        <w:tab w:val="center" w:pos="4703"/>
        <w:tab w:val="right" w:pos="9406"/>
      </w:tabs>
      <w:spacing w:after="0" w:line="240" w:lineRule="auto"/>
    </w:pPr>
  </w:style>
  <w:style w:type="character" w:customStyle="1" w:styleId="HeaderChar">
    <w:name w:val="Header Char"/>
    <w:basedOn w:val="DefaultParagraphFont"/>
    <w:link w:val="Header"/>
    <w:uiPriority w:val="99"/>
    <w:semiHidden/>
    <w:rsid w:val="00A66ECD"/>
  </w:style>
  <w:style w:type="paragraph" w:styleId="Footer">
    <w:name w:val="footer"/>
    <w:basedOn w:val="Normal"/>
    <w:link w:val="FooterChar"/>
    <w:uiPriority w:val="99"/>
    <w:unhideWhenUsed/>
    <w:rsid w:val="00A66ECD"/>
    <w:pPr>
      <w:tabs>
        <w:tab w:val="center" w:pos="4703"/>
        <w:tab w:val="right" w:pos="9406"/>
      </w:tabs>
      <w:spacing w:after="0" w:line="240" w:lineRule="auto"/>
    </w:pPr>
  </w:style>
  <w:style w:type="character" w:customStyle="1" w:styleId="FooterChar">
    <w:name w:val="Footer Char"/>
    <w:basedOn w:val="DefaultParagraphFont"/>
    <w:link w:val="Footer"/>
    <w:uiPriority w:val="99"/>
    <w:rsid w:val="00A66ECD"/>
  </w:style>
  <w:style w:type="paragraph" w:styleId="TOCHeading">
    <w:name w:val="TOC Heading"/>
    <w:basedOn w:val="Heading1"/>
    <w:next w:val="Normal"/>
    <w:uiPriority w:val="39"/>
    <w:semiHidden/>
    <w:unhideWhenUsed/>
    <w:qFormat/>
    <w:rsid w:val="00A66ECD"/>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A66ECD"/>
    <w:pPr>
      <w:spacing w:after="100"/>
    </w:pPr>
  </w:style>
  <w:style w:type="paragraph" w:styleId="BalloonText">
    <w:name w:val="Balloon Text"/>
    <w:basedOn w:val="Normal"/>
    <w:link w:val="BalloonTextChar"/>
    <w:uiPriority w:val="99"/>
    <w:semiHidden/>
    <w:unhideWhenUsed/>
    <w:rsid w:val="00A66EC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66ECD"/>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54244390">
      <w:bodyDiv w:val="1"/>
      <w:marLeft w:val="0"/>
      <w:marRight w:val="0"/>
      <w:marTop w:val="0"/>
      <w:marBottom w:val="0"/>
      <w:divBdr>
        <w:top w:val="none" w:sz="0" w:space="0" w:color="auto"/>
        <w:left w:val="none" w:sz="0" w:space="0" w:color="auto"/>
        <w:bottom w:val="none" w:sz="0" w:space="0" w:color="auto"/>
        <w:right w:val="none" w:sz="0" w:space="0" w:color="auto"/>
      </w:divBdr>
    </w:div>
    <w:div w:id="20767062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nvestopedia.com/terms/a/accounting-equation.asp"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investopedia.com/terms/r/roce.as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46E9A5FC-42FE-41BF-A4B8-FDDA4F4426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12</Pages>
  <Words>1955</Words>
  <Characters>11144</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Penka Murdzheva (2122606)</cp:lastModifiedBy>
  <cp:revision>3</cp:revision>
  <dcterms:created xsi:type="dcterms:W3CDTF">2023-01-11T22:35:00Z</dcterms:created>
  <dcterms:modified xsi:type="dcterms:W3CDTF">2023-01-13T19:20:00Z</dcterms:modified>
</cp:coreProperties>
</file>