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8D37F" w14:textId="77777777" w:rsidR="003E54C7" w:rsidRDefault="003E54C7">
      <w:pPr>
        <w:spacing w:after="80"/>
        <w:rPr>
          <w:rFonts w:ascii="Arial" w:hAnsi="Arial" w:cs="Arial"/>
          <w:b/>
          <w:color w:val="1B365D"/>
          <w:sz w:val="48"/>
        </w:rPr>
      </w:pPr>
      <w:r>
        <w:rPr>
          <w:noProof/>
        </w:rPr>
        <w:drawing>
          <wp:anchor distT="0" distB="0" distL="114300" distR="114300" simplePos="0" relativeHeight="251658752" behindDoc="0" locked="0" layoutInCell="1" allowOverlap="1" wp14:anchorId="4345D7C1" wp14:editId="70025DF3">
            <wp:simplePos x="0" y="0"/>
            <wp:positionH relativeFrom="column">
              <wp:posOffset>1803664</wp:posOffset>
            </wp:positionH>
            <wp:positionV relativeFrom="paragraph">
              <wp:posOffset>-131487</wp:posOffset>
            </wp:positionV>
            <wp:extent cx="2330082" cy="2149433"/>
            <wp:effectExtent l="19050" t="0" r="13335" b="632460"/>
            <wp:wrapNone/>
            <wp:docPr id="1509001856" name="Picture 1"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 (@UWTSDLondon) / Posts / 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0082" cy="214943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00367041" w14:textId="77777777" w:rsidR="003E54C7" w:rsidRDefault="003E54C7" w:rsidP="003E54C7">
      <w:pPr>
        <w:spacing w:after="80"/>
        <w:rPr>
          <w:rFonts w:ascii="Arial" w:hAnsi="Arial" w:cs="Arial"/>
          <w:b/>
          <w:color w:val="1B365D"/>
          <w:sz w:val="48"/>
        </w:rPr>
      </w:pPr>
    </w:p>
    <w:p w14:paraId="437D1B2B" w14:textId="77777777" w:rsidR="003E54C7" w:rsidRPr="003E54C7" w:rsidRDefault="003E54C7" w:rsidP="003E54C7">
      <w:pPr>
        <w:rPr>
          <w:rFonts w:ascii="Arial" w:hAnsi="Arial" w:cs="Arial"/>
          <w:sz w:val="48"/>
        </w:rPr>
      </w:pPr>
    </w:p>
    <w:p w14:paraId="31882B3F" w14:textId="77777777" w:rsidR="003E54C7" w:rsidRPr="003E54C7" w:rsidRDefault="003E54C7" w:rsidP="003E54C7">
      <w:pPr>
        <w:rPr>
          <w:rFonts w:ascii="Arial" w:hAnsi="Arial" w:cs="Arial"/>
          <w:sz w:val="48"/>
        </w:rPr>
      </w:pPr>
    </w:p>
    <w:p w14:paraId="4FEFE3F5" w14:textId="77777777" w:rsidR="003E54C7" w:rsidRPr="003E54C7" w:rsidRDefault="003E54C7" w:rsidP="003E54C7">
      <w:pPr>
        <w:rPr>
          <w:rFonts w:ascii="Arial" w:hAnsi="Arial" w:cs="Arial"/>
          <w:sz w:val="48"/>
        </w:rPr>
      </w:pPr>
    </w:p>
    <w:p w14:paraId="41090033" w14:textId="77777777" w:rsidR="001B02EE" w:rsidRDefault="001B02EE" w:rsidP="003E54C7">
      <w:pPr>
        <w:jc w:val="center"/>
        <w:rPr>
          <w:rFonts w:ascii="Arial" w:hAnsi="Arial" w:cs="Arial"/>
          <w:b/>
          <w:color w:val="1B365D"/>
          <w:sz w:val="48"/>
        </w:rPr>
      </w:pPr>
    </w:p>
    <w:p w14:paraId="11598856" w14:textId="77777777" w:rsidR="003E54C7" w:rsidRPr="003E54C7" w:rsidRDefault="003E54C7" w:rsidP="003E54C7">
      <w:pPr>
        <w:jc w:val="center"/>
        <w:rPr>
          <w:rFonts w:ascii="Arial" w:hAnsi="Arial" w:cs="Arial"/>
          <w:sz w:val="48"/>
        </w:rPr>
      </w:pPr>
      <w:r w:rsidRPr="00EE62FF">
        <w:rPr>
          <w:rFonts w:ascii="Arial" w:hAnsi="Arial" w:cs="Arial"/>
          <w:b/>
          <w:color w:val="1B365D"/>
        </w:rPr>
        <w:t>STRATEGIC INTERNATIONAL EXPANSION ANALYSIS: ENTERING THE BRAZILIAN MARKET</w:t>
      </w:r>
    </w:p>
    <w:p w14:paraId="32CFFC9F" w14:textId="77777777" w:rsidR="003E54C7" w:rsidRPr="001B02EE" w:rsidRDefault="003E54C7" w:rsidP="001B02EE">
      <w:pPr>
        <w:spacing w:after="320"/>
        <w:jc w:val="center"/>
        <w:rPr>
          <w:rFonts w:ascii="Arial" w:hAnsi="Arial" w:cs="Arial"/>
          <w:iCs/>
        </w:rPr>
      </w:pPr>
      <w:r w:rsidRPr="001B02EE">
        <w:rPr>
          <w:rFonts w:ascii="Arial" w:hAnsi="Arial" w:cs="Arial"/>
          <w:iCs/>
          <w:color w:val="5C768D"/>
        </w:rPr>
        <w:t>Costco Wholesale Corporation Strategy Analysis &amp; Market Entry Report</w:t>
      </w:r>
    </w:p>
    <w:p w14:paraId="701B2E22" w14:textId="77777777" w:rsidR="003E54C7" w:rsidRPr="00EE62FF" w:rsidRDefault="003E54C7" w:rsidP="001B02EE">
      <w:pPr>
        <w:spacing w:after="40"/>
        <w:jc w:val="center"/>
        <w:rPr>
          <w:rFonts w:ascii="Arial" w:hAnsi="Arial" w:cs="Arial"/>
        </w:rPr>
      </w:pPr>
      <w:r w:rsidRPr="00EE62FF">
        <w:rPr>
          <w:rFonts w:ascii="Arial" w:hAnsi="Arial" w:cs="Arial"/>
          <w:b/>
          <w:color w:val="1B365D"/>
        </w:rPr>
        <w:t xml:space="preserve">Course Title: </w:t>
      </w:r>
      <w:r w:rsidRPr="00EE62FF">
        <w:rPr>
          <w:rFonts w:ascii="Arial" w:hAnsi="Arial" w:cs="Arial"/>
          <w:color w:val="222222"/>
        </w:rPr>
        <w:t>International Business Environment and Strategy</w:t>
      </w:r>
    </w:p>
    <w:p w14:paraId="5DC5CE67" w14:textId="77777777" w:rsidR="003E54C7" w:rsidRPr="00EE62FF" w:rsidRDefault="003E54C7" w:rsidP="001B02EE">
      <w:pPr>
        <w:spacing w:after="40"/>
        <w:jc w:val="center"/>
        <w:rPr>
          <w:rFonts w:ascii="Arial" w:hAnsi="Arial" w:cs="Arial"/>
        </w:rPr>
      </w:pPr>
      <w:r w:rsidRPr="00EE62FF">
        <w:rPr>
          <w:rFonts w:ascii="Arial" w:hAnsi="Arial" w:cs="Arial"/>
          <w:b/>
          <w:color w:val="1B365D"/>
        </w:rPr>
        <w:t xml:space="preserve">Target Company: </w:t>
      </w:r>
      <w:r w:rsidRPr="00EE62FF">
        <w:rPr>
          <w:rFonts w:ascii="Arial" w:hAnsi="Arial" w:cs="Arial"/>
          <w:color w:val="222222"/>
        </w:rPr>
        <w:t>Costco Wholesale Corporation</w:t>
      </w:r>
    </w:p>
    <w:p w14:paraId="088C2F98" w14:textId="77777777" w:rsidR="003E54C7" w:rsidRPr="00EE62FF" w:rsidRDefault="003E54C7" w:rsidP="001B02EE">
      <w:pPr>
        <w:spacing w:after="40"/>
        <w:jc w:val="center"/>
        <w:rPr>
          <w:rFonts w:ascii="Arial" w:hAnsi="Arial" w:cs="Arial"/>
        </w:rPr>
      </w:pPr>
      <w:r w:rsidRPr="00EE62FF">
        <w:rPr>
          <w:rFonts w:ascii="Arial" w:hAnsi="Arial" w:cs="Arial"/>
          <w:b/>
          <w:color w:val="1B365D"/>
        </w:rPr>
        <w:t xml:space="preserve">Target Country: </w:t>
      </w:r>
      <w:r w:rsidRPr="00EE62FF">
        <w:rPr>
          <w:rFonts w:ascii="Arial" w:hAnsi="Arial" w:cs="Arial"/>
          <w:color w:val="222222"/>
        </w:rPr>
        <w:t>Brazil</w:t>
      </w:r>
    </w:p>
    <w:p w14:paraId="050A9C76" w14:textId="77777777" w:rsidR="003E54C7" w:rsidRPr="00EE62FF" w:rsidRDefault="003E54C7" w:rsidP="001B02EE">
      <w:pPr>
        <w:spacing w:after="40"/>
        <w:jc w:val="center"/>
        <w:rPr>
          <w:rFonts w:ascii="Arial" w:hAnsi="Arial" w:cs="Arial"/>
        </w:rPr>
      </w:pPr>
      <w:r w:rsidRPr="00EE62FF">
        <w:rPr>
          <w:rFonts w:ascii="Arial" w:hAnsi="Arial" w:cs="Arial"/>
          <w:b/>
          <w:color w:val="1B365D"/>
        </w:rPr>
        <w:t xml:space="preserve">Date: </w:t>
      </w:r>
      <w:r w:rsidRPr="00EE62FF">
        <w:rPr>
          <w:rFonts w:ascii="Arial" w:hAnsi="Arial" w:cs="Arial"/>
          <w:color w:val="222222"/>
        </w:rPr>
        <w:t>July 2026</w:t>
      </w:r>
    </w:p>
    <w:p w14:paraId="0320FDDD" w14:textId="77777777" w:rsidR="003E54C7" w:rsidRPr="003E54C7" w:rsidRDefault="003E54C7" w:rsidP="003E54C7">
      <w:pPr>
        <w:rPr>
          <w:rFonts w:ascii="Arial" w:hAnsi="Arial" w:cs="Arial"/>
          <w:sz w:val="48"/>
        </w:rPr>
      </w:pPr>
    </w:p>
    <w:p w14:paraId="23B7B418" w14:textId="77777777" w:rsidR="003E54C7" w:rsidRPr="003E54C7" w:rsidRDefault="003E54C7" w:rsidP="003E54C7">
      <w:pPr>
        <w:rPr>
          <w:rFonts w:ascii="Arial" w:hAnsi="Arial" w:cs="Arial"/>
          <w:sz w:val="48"/>
        </w:rPr>
      </w:pPr>
    </w:p>
    <w:p w14:paraId="5984C806" w14:textId="77777777" w:rsidR="003E54C7" w:rsidRPr="003E54C7" w:rsidRDefault="003E54C7" w:rsidP="003E54C7">
      <w:pPr>
        <w:rPr>
          <w:rFonts w:ascii="Arial" w:hAnsi="Arial" w:cs="Arial"/>
          <w:sz w:val="48"/>
        </w:rPr>
      </w:pPr>
    </w:p>
    <w:p w14:paraId="55FA6DB6" w14:textId="77777777" w:rsidR="003E54C7" w:rsidRPr="003E54C7" w:rsidRDefault="003E54C7" w:rsidP="003E54C7">
      <w:pPr>
        <w:rPr>
          <w:rFonts w:ascii="Arial" w:hAnsi="Arial" w:cs="Arial"/>
          <w:sz w:val="48"/>
        </w:rPr>
      </w:pPr>
    </w:p>
    <w:p w14:paraId="034FCFAA" w14:textId="77777777" w:rsidR="0029198B" w:rsidRPr="00EE62FF" w:rsidRDefault="0029198B">
      <w:pPr>
        <w:spacing w:after="160"/>
        <w:rPr>
          <w:rFonts w:ascii="Arial" w:hAnsi="Arial" w:cs="Arial"/>
        </w:rPr>
      </w:pPr>
    </w:p>
    <w:p w14:paraId="27DE597E" w14:textId="77777777" w:rsidR="00C71338" w:rsidRDefault="00C71338">
      <w:pPr>
        <w:keepNext/>
        <w:spacing w:before="320" w:after="120"/>
        <w:rPr>
          <w:rFonts w:ascii="Arial" w:hAnsi="Arial" w:cs="Arial"/>
          <w:b/>
          <w:color w:val="1B365D"/>
        </w:rPr>
      </w:pPr>
    </w:p>
    <w:p w14:paraId="181BFB1D" w14:textId="77777777" w:rsidR="0029198B" w:rsidRPr="00694806" w:rsidRDefault="00000000" w:rsidP="00694806">
      <w:pPr>
        <w:keepNext/>
        <w:spacing w:before="320" w:after="120" w:line="360" w:lineRule="auto"/>
        <w:jc w:val="both"/>
        <w:rPr>
          <w:rFonts w:ascii="Arial" w:hAnsi="Arial" w:cs="Arial"/>
          <w:sz w:val="24"/>
          <w:szCs w:val="24"/>
        </w:rPr>
      </w:pPr>
      <w:r w:rsidRPr="00694806">
        <w:rPr>
          <w:rFonts w:ascii="Arial" w:hAnsi="Arial" w:cs="Arial"/>
          <w:b/>
          <w:color w:val="1B365D"/>
          <w:sz w:val="24"/>
          <w:szCs w:val="24"/>
        </w:rPr>
        <w:t>Introduction</w:t>
      </w:r>
    </w:p>
    <w:p w14:paraId="047D44D5"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This strategic report evaluates the feasibility of Costco Wholesale Corporation entering Brazil's retail market and assesses whether its established international business model can be adapted successfully to the opportunities and constraints of the Brazilian environment. Costco is a global warehouse-club leader, known for its membership model and high-volume, low-margin strategy, while Brazil is Latin America's largest consumer market but presents significant entry barriers associated with 'Custo Brasil' and intense domestic competition. The central objective is therefore to critically evaluate Costco's international strategy, examine the macro-environmental and competitive conditions that will shape entry success, and develop a justified recommendation on the most appropriate mode of market engagement. To achieve this, the report first classifies Costco's organisational and global strategy and evaluates how its international footprint contributes to competitive advantage. It then critically analyses the political, economic, legal and cultural conditions of Brazil, together with the domestic retail landscape and institutional challenges, before synthesising these findings through Bartlett and Ghoshal's strategic matrix, Dunning's Eclectic (OLI) Paradigm and PESTLE-related macro-environmental analysis. The subsequent entry-mode section compares alternative modes of entry and integrates the earlier evidence into a final strategic recommendation and implementation pathway. Finally, a Gibbs cycle reflection evaluates the research process, methodological choices, challenges, learning and future improvements, ensuring that both the strategic conclusions and the process used to develop them are critically examined.</w:t>
      </w:r>
    </w:p>
    <w:p w14:paraId="54C642D2" w14:textId="77777777" w:rsidR="0029198B" w:rsidRPr="00694806" w:rsidRDefault="00000000" w:rsidP="00694806">
      <w:pPr>
        <w:keepNext/>
        <w:spacing w:before="320" w:after="120" w:line="360" w:lineRule="auto"/>
        <w:jc w:val="both"/>
        <w:rPr>
          <w:rFonts w:ascii="Arial" w:hAnsi="Arial" w:cs="Arial"/>
          <w:sz w:val="24"/>
          <w:szCs w:val="24"/>
        </w:rPr>
      </w:pPr>
      <w:r w:rsidRPr="00694806">
        <w:rPr>
          <w:rFonts w:ascii="Arial" w:hAnsi="Arial" w:cs="Arial"/>
          <w:b/>
          <w:color w:val="1B365D"/>
          <w:sz w:val="24"/>
          <w:szCs w:val="24"/>
        </w:rPr>
        <w:t>Section 1: Strategic Analysis</w:t>
      </w:r>
    </w:p>
    <w:p w14:paraId="54FE48E8"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t>1. Organizational Classification and Global Strategy</w:t>
      </w:r>
    </w:p>
    <w:p w14:paraId="3A3FC539"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Costco Wholesale operates primarily under a highly globalised standardisation strategy, which can be explained through Bartlett and Ghoshal's strategic matrix. The model balances pressures for local responsiveness against pressures for global integration (Bartlett &amp; Ghoshal, 1989). Costco faces exceptionally high global integration pressure </w:t>
      </w:r>
      <w:r w:rsidRPr="00694806">
        <w:rPr>
          <w:rFonts w:ascii="Arial" w:hAnsi="Arial" w:cs="Arial"/>
          <w:sz w:val="24"/>
          <w:szCs w:val="24"/>
        </w:rPr>
        <w:lastRenderedPageBreak/>
        <w:t>because its profit model depends on purchasing power and operational simplicity, while local responsiveness remains relatively low through a standard warehouse layout. It carries only about 3,700 to 4,000 Stock Keeping Units (SKUs), compared with over 30,000 in a typical supermarket, allowing highly centralised purchasing (Alphabridge, 2025). This concentration strengthens international supplier bargaining power. Costco therefore fits the 'Global Strategy' archetype because it treats markets as broadly unified while making limited local adjustments, supporting a lean cost structure.</w:t>
      </w:r>
    </w:p>
    <w:p w14:paraId="3B7DE67C" w14:textId="77777777" w:rsidR="00C271FD" w:rsidRDefault="00C271FD">
      <w:pPr>
        <w:spacing w:after="100"/>
        <w:rPr>
          <w:rFonts w:ascii="Arial" w:hAnsi="Arial" w:cs="Arial"/>
        </w:rPr>
      </w:pPr>
    </w:p>
    <w:p w14:paraId="68000786" w14:textId="77777777" w:rsidR="00C271FD" w:rsidRDefault="00C271FD">
      <w:pPr>
        <w:spacing w:after="100"/>
        <w:rPr>
          <w:rFonts w:ascii="Arial" w:hAnsi="Arial" w:cs="Arial"/>
        </w:rPr>
      </w:pPr>
    </w:p>
    <w:p w14:paraId="42F16E94" w14:textId="77777777" w:rsidR="00EE62FF" w:rsidRPr="00EE62FF" w:rsidRDefault="00EE62FF">
      <w:pPr>
        <w:spacing w:after="100"/>
        <w:rPr>
          <w:rFonts w:ascii="Arial" w:hAnsi="Arial" w:cs="Arial"/>
        </w:rPr>
      </w:pPr>
    </w:p>
    <w:tbl>
      <w:tblPr>
        <w:tblW w:w="0" w:type="auto"/>
        <w:jc w:val="center"/>
        <w:tblLook w:val="04A0" w:firstRow="1" w:lastRow="0" w:firstColumn="1" w:lastColumn="0" w:noHBand="0" w:noVBand="1"/>
      </w:tblPr>
      <w:tblGrid>
        <w:gridCol w:w="9360"/>
      </w:tblGrid>
      <w:tr w:rsidR="0029198B" w:rsidRPr="00700844" w14:paraId="0A288F6C"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432C00D4" w14:textId="77777777" w:rsidR="0029198B" w:rsidRPr="00700844" w:rsidRDefault="00000000">
            <w:pPr>
              <w:spacing w:before="60" w:after="60"/>
              <w:rPr>
                <w:rFonts w:ascii="Arial" w:hAnsi="Arial" w:cs="Arial"/>
              </w:rPr>
            </w:pPr>
            <w:r w:rsidRPr="00700844">
              <w:rPr>
                <w:rFonts w:ascii="Arial" w:hAnsi="Arial" w:cs="Arial"/>
                <w:b/>
                <w:color w:val="1B365D"/>
                <w:sz w:val="20"/>
              </w:rPr>
              <w:t>Figure 1.1: Integration-Responsiveness (I-R) Grid applied to Costco Wholesale (Adapted from Bartlett &amp; Ghoshal, 1989)</w:t>
            </w:r>
            <w:r w:rsidRPr="00700844">
              <w:rPr>
                <w:rFonts w:ascii="Arial" w:hAnsi="Arial" w:cs="Arial"/>
                <w:b/>
                <w:color w:val="1B365D"/>
                <w:sz w:val="20"/>
              </w:rPr>
              <w:br/>
            </w:r>
            <w:r w:rsidRPr="00700844">
              <w:rPr>
                <w:rFonts w:ascii="Arial" w:hAnsi="Arial" w:cs="Arial"/>
                <w:color w:val="222222"/>
                <w:sz w:val="19"/>
              </w:rPr>
              <w:t>Pressures for Global Integration (P_GI):</w:t>
            </w:r>
            <w:r w:rsidRPr="00700844">
              <w:rPr>
                <w:rFonts w:ascii="Arial" w:hAnsi="Arial" w:cs="Arial"/>
                <w:color w:val="222222"/>
                <w:sz w:val="19"/>
              </w:rPr>
              <w:br/>
              <w:t>• High P_GI / Low P_LR -&gt; GLOBAL STRATEGY (Costco Wholesale Core Model)</w:t>
            </w:r>
            <w:r w:rsidRPr="00700844">
              <w:rPr>
                <w:rFonts w:ascii="Arial" w:hAnsi="Arial" w:cs="Arial"/>
                <w:color w:val="222222"/>
                <w:sz w:val="19"/>
              </w:rPr>
              <w:br/>
              <w:t xml:space="preserve">  - High Centralized Buying, Standard Warehouse Footprint, Low SKU Count (3,700-4,000)</w:t>
            </w:r>
            <w:r w:rsidRPr="00700844">
              <w:rPr>
                <w:rFonts w:ascii="Arial" w:hAnsi="Arial" w:cs="Arial"/>
                <w:color w:val="222222"/>
                <w:sz w:val="19"/>
              </w:rPr>
              <w:br/>
              <w:t>• High P_GI / High P_LR -&gt; TRANSNATIONAL STRATEGY</w:t>
            </w:r>
            <w:r w:rsidRPr="00700844">
              <w:rPr>
                <w:rFonts w:ascii="Arial" w:hAnsi="Arial" w:cs="Arial"/>
                <w:color w:val="222222"/>
                <w:sz w:val="19"/>
              </w:rPr>
              <w:br/>
              <w:t xml:space="preserve">  - Adaptive SBU Structure, Local Product Curation</w:t>
            </w:r>
            <w:r w:rsidRPr="00700844">
              <w:rPr>
                <w:rFonts w:ascii="Arial" w:hAnsi="Arial" w:cs="Arial"/>
                <w:color w:val="222222"/>
                <w:sz w:val="19"/>
              </w:rPr>
              <w:br/>
              <w:t>• Low P_GI / Low P_LR -&gt; INTERNATIONAL STRATEGY</w:t>
            </w:r>
            <w:r w:rsidRPr="00700844">
              <w:rPr>
                <w:rFonts w:ascii="Arial" w:hAnsi="Arial" w:cs="Arial"/>
                <w:color w:val="222222"/>
                <w:sz w:val="19"/>
              </w:rPr>
              <w:br/>
              <w:t xml:space="preserve">  - Home-Centric Model, Pure Export Approach</w:t>
            </w:r>
            <w:r w:rsidRPr="00700844">
              <w:rPr>
                <w:rFonts w:ascii="Arial" w:hAnsi="Arial" w:cs="Arial"/>
                <w:color w:val="222222"/>
                <w:sz w:val="19"/>
              </w:rPr>
              <w:br/>
              <w:t>• Low P_GI / High P_LR -&gt; MULTIDOMESTIC STRATEGY</w:t>
            </w:r>
            <w:r w:rsidRPr="00700844">
              <w:rPr>
                <w:rFonts w:ascii="Arial" w:hAnsi="Arial" w:cs="Arial"/>
                <w:color w:val="222222"/>
                <w:sz w:val="19"/>
              </w:rPr>
              <w:br/>
              <w:t xml:space="preserve">  - Localized Cash &amp; Carry, Local Competitor Dominance</w:t>
            </w:r>
          </w:p>
        </w:tc>
      </w:tr>
    </w:tbl>
    <w:p w14:paraId="5112E3DF" w14:textId="77777777" w:rsidR="0029198B" w:rsidRPr="00EE62FF" w:rsidRDefault="0029198B">
      <w:pPr>
        <w:spacing w:after="80"/>
        <w:rPr>
          <w:rFonts w:ascii="Arial" w:hAnsi="Arial" w:cs="Arial"/>
        </w:rPr>
      </w:pPr>
    </w:p>
    <w:p w14:paraId="5CBCC05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From the perspective of Perlmutter's EPRG framework, Costco's global configuration leans heavily Ethnocentric in its core operational architecture—relying on parent-country standards and centralized governance—while incorporating Geocentric elements when sourcing talent and inventory regionally (Tarique et al., 2015</w:t>
      </w:r>
      <w:r w:rsidR="00152661" w:rsidRPr="00694806">
        <w:rPr>
          <w:rFonts w:ascii="Arial" w:hAnsi="Arial" w:cs="Arial"/>
          <w:color w:val="222222"/>
          <w:sz w:val="24"/>
          <w:szCs w:val="24"/>
        </w:rPr>
        <w:t>)</w:t>
      </w:r>
    </w:p>
    <w:p w14:paraId="502BE41B"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Critical Evaluation of Strategic Classifications</w:t>
      </w:r>
    </w:p>
    <w:p w14:paraId="3EDACE7A"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Scholars nevertheless question whether Costco is a pure global archetype or incorporates subtle multi-domestic features. Although structural standardisation remains high, Costco shows elements of a transnational posture through targeted inventory adaptations to local tastes, which can support cross-border sustainability (Bartlett &amp; Ghoshal, 2008). In Japan, for example, Costco introduced high-end sushi, while in Taiwan managers modified beef cuts for traditional hotpot cooking (Alphabridge, 2025). </w:t>
      </w:r>
      <w:r w:rsidRPr="00694806">
        <w:rPr>
          <w:rFonts w:ascii="Arial" w:hAnsi="Arial" w:cs="Arial"/>
          <w:sz w:val="24"/>
          <w:szCs w:val="24"/>
        </w:rPr>
        <w:lastRenderedPageBreak/>
        <w:t>These adjustments show that membership governance and warehouse design remain standardised while product curation reduces cultural alienation.</w:t>
      </w:r>
    </w:p>
    <w:p w14:paraId="6B300306"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However, Bartlett and Ghoshal's framework can be criticised for placing firms into discrete quadrants when organisations operate along a continuum. The extent of local adaptation may also be overstated because SKU changes represent only a small part of overall inventory. This tension matters in Brazil: excessive adaptation could weaken Costco's operating efficiencies, while insufficient adaptation could lead to rejection by consumers accustomed to local retail formats.</w:t>
      </w:r>
    </w:p>
    <w:p w14:paraId="2BF0DBD1"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Costco's geographic footprint also reinforces its competitive advantage. It operates over </w:t>
      </w:r>
      <w:r w:rsidR="00EE62FF" w:rsidRPr="00694806">
        <w:rPr>
          <w:rFonts w:ascii="Arial" w:hAnsi="Arial" w:cs="Arial"/>
          <w:sz w:val="24"/>
          <w:szCs w:val="24"/>
        </w:rPr>
        <w:t>923</w:t>
      </w:r>
      <w:r w:rsidRPr="00694806">
        <w:rPr>
          <w:rFonts w:ascii="Arial" w:hAnsi="Arial" w:cs="Arial"/>
          <w:sz w:val="24"/>
          <w:szCs w:val="24"/>
        </w:rPr>
        <w:t xml:space="preserve"> warehouses globally, concentrated in North America, with deliberate expansion into Europe, Asia, and Oceania (</w:t>
      </w:r>
      <w:r w:rsidR="00152661" w:rsidRPr="00694806">
        <w:rPr>
          <w:rFonts w:ascii="Arial" w:hAnsi="Arial" w:cs="Arial"/>
          <w:sz w:val="24"/>
          <w:szCs w:val="24"/>
        </w:rPr>
        <w:t>Costco</w:t>
      </w:r>
      <w:r w:rsidRPr="00694806">
        <w:rPr>
          <w:rFonts w:ascii="Arial" w:hAnsi="Arial" w:cs="Arial"/>
          <w:sz w:val="24"/>
          <w:szCs w:val="24"/>
        </w:rPr>
        <w:t>, 202</w:t>
      </w:r>
      <w:r w:rsidR="00152661" w:rsidRPr="00694806">
        <w:rPr>
          <w:rFonts w:ascii="Arial" w:hAnsi="Arial" w:cs="Arial"/>
          <w:sz w:val="24"/>
          <w:szCs w:val="24"/>
        </w:rPr>
        <w:t>6</w:t>
      </w:r>
      <w:r w:rsidRPr="00694806">
        <w:rPr>
          <w:rFonts w:ascii="Arial" w:hAnsi="Arial" w:cs="Arial"/>
          <w:sz w:val="24"/>
          <w:szCs w:val="24"/>
        </w:rPr>
        <w:t>). Locations are selected around dense, affluent suburban populations where customers have cars and storage space for bulk purchases. This alignment with the target customer profile supports high sales volume per square foot and shows that geographic expansion is a mechanism for reinforcing the low-cost model.</w:t>
      </w:r>
    </w:p>
    <w:p w14:paraId="522DA449"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Costco's value creation is driven by high volume, low margins, and membership loyalty. Its competitive advantage is anchored on capping markups at 14–15%, compared with 25% to 50% for traditional supermarkets (Alphabridge, 2025). This supports Porter's Low-Cost Leadership strategy because savings from bulk procurement and minimal store decor can be passed to consumers (Porter, 1985</w:t>
      </w:r>
      <w:r w:rsidR="00152661" w:rsidRPr="00694806">
        <w:rPr>
          <w:rFonts w:ascii="Arial" w:hAnsi="Arial" w:cs="Arial"/>
          <w:sz w:val="24"/>
          <w:szCs w:val="24"/>
        </w:rPr>
        <w:t>)</w:t>
      </w:r>
      <w:r w:rsidRPr="00694806">
        <w:rPr>
          <w:rFonts w:ascii="Arial" w:hAnsi="Arial" w:cs="Arial"/>
          <w:sz w:val="24"/>
          <w:szCs w:val="24"/>
        </w:rPr>
        <w:t>. Costco derives most operating profit from membership fees, with a 93% renewal rate in core markets such as the US and Canada (Alphabridge, 2025). The upfront fee allows razor-thin product margins while reinforcing customer loyalty.</w:t>
      </w:r>
    </w:p>
    <w:p w14:paraId="3C0469AC"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This pricing dynamic creates a powerful psychological lock-in effect: because customers have already paid an annual fee, they feel compelled to shop at Costco to get their 'money's worth'. Skeptics may argue that this fee structure introduces friction in developing economies where consumers resist paying upfront access fees. Nevertheless, historical renewal metrics demonstrate that once value is established, the model builds high defensibility that competitors struggle to replicate, particularly in emerging consumer environments like Brazil.</w:t>
      </w:r>
    </w:p>
    <w:p w14:paraId="1056CD92"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lastRenderedPageBreak/>
        <w:t>Theoretical Deconstruction of Operational Efficiencies and Cost Architecture</w:t>
      </w:r>
    </w:p>
    <w:p w14:paraId="6D190499"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Costco's operational architecture is built around supply chain velocity and minimal touchpoints. Unlike conventional retailers with complex distribution networks, Costco moves most inventory from manufacturers to cross-docking depots before rapid dispatch to warehouses. Merchandise is transferred across depot loading bays within 24 hours, maximising vehicle fill rates and reducing holding costs.</w:t>
      </w:r>
    </w:p>
    <w:p w14:paraId="73D24203"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This mechanism supports Low-Cost Leadership by reducing inventory and handling costs. Restricting the assortment to approximately 3,700–4,000 SKUs also concentrates purchasing power and enables Costco to negotiate high-volume supplier terms.</w:t>
      </w:r>
    </w:p>
    <w:tbl>
      <w:tblPr>
        <w:tblW w:w="0" w:type="auto"/>
        <w:jc w:val="center"/>
        <w:tblLook w:val="04A0" w:firstRow="1" w:lastRow="0" w:firstColumn="1" w:lastColumn="0" w:noHBand="0" w:noVBand="1"/>
      </w:tblPr>
      <w:tblGrid>
        <w:gridCol w:w="9360"/>
      </w:tblGrid>
      <w:tr w:rsidR="0029198B" w:rsidRPr="00700844" w14:paraId="558F36FE"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643B6499" w14:textId="77777777" w:rsidR="0029198B" w:rsidRPr="00700844" w:rsidRDefault="00000000">
            <w:pPr>
              <w:spacing w:before="60" w:after="60"/>
              <w:rPr>
                <w:rFonts w:ascii="Arial" w:hAnsi="Arial" w:cs="Arial"/>
              </w:rPr>
            </w:pPr>
            <w:r w:rsidRPr="00700844">
              <w:rPr>
                <w:rFonts w:ascii="Arial" w:hAnsi="Arial" w:cs="Arial"/>
                <w:b/>
                <w:color w:val="1B365D"/>
                <w:sz w:val="20"/>
              </w:rPr>
              <w:t>Depot Operational Flow</w:t>
            </w:r>
            <w:r w:rsidRPr="00700844">
              <w:rPr>
                <w:rFonts w:ascii="Arial" w:hAnsi="Arial" w:cs="Arial"/>
                <w:b/>
                <w:color w:val="1B365D"/>
                <w:sz w:val="20"/>
              </w:rPr>
              <w:br/>
            </w:r>
            <w:r w:rsidRPr="00700844">
              <w:rPr>
                <w:rFonts w:ascii="Arial" w:hAnsi="Arial" w:cs="Arial"/>
                <w:color w:val="222222"/>
                <w:sz w:val="19"/>
              </w:rPr>
              <w:t>[Supplier Production] ──&gt; [24-Hour Cross-Docking Depot] ──&gt; [Pallet-Ready Floor Display] ──&gt; [High-Velocity Member Purchase]</w:t>
            </w:r>
          </w:p>
        </w:tc>
      </w:tr>
    </w:tbl>
    <w:p w14:paraId="723DA050" w14:textId="77777777" w:rsidR="0029198B" w:rsidRPr="00EE62FF" w:rsidRDefault="0029198B">
      <w:pPr>
        <w:spacing w:after="80"/>
        <w:rPr>
          <w:rFonts w:ascii="Arial" w:hAnsi="Arial" w:cs="Arial"/>
        </w:rPr>
      </w:pPr>
    </w:p>
    <w:p w14:paraId="413C086F"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Store-level operations also minimise labour overhead. Display-ready pallets can be placed directly onto warehouse shelving, reducing shelf-stocking activity and allowing the sales floor to function as both retail space and fulfilment infrastructure.</w:t>
      </w:r>
    </w:p>
    <w:p w14:paraId="371C6F67"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Supply Chain Integration and Global Logistics Mechanics</w:t>
      </w:r>
    </w:p>
    <w:p w14:paraId="58EA9D8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To maintain cross-border cost advantages, Costco's global logistics framework relies on standard shipping containers, predictive inventory replenishment algorithms, and high-density store layouts. Standardizing ocean freight loads and utilizing full-container-load (FCL) transport ensures that per-unit freight costs remain negligible relative to retail value.</w:t>
      </w:r>
    </w:p>
    <w:p w14:paraId="3BAA3F73"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When entering a new market, this logistics framework is stressed if infrastructure lacks multimodal connectivity. North American rail and highway networks support continuous cross-docking, but emerging markets may face port congestion, customs delays, or fragmented trucking. Such disruptions slow inventory turns, increase holding costs, and threaten Costco's low-margin model. Therefore, regional logistics capability is a critical entry condition.</w:t>
      </w:r>
    </w:p>
    <w:p w14:paraId="0D50FED7" w14:textId="77777777" w:rsidR="00C71338" w:rsidRPr="00EE62FF" w:rsidRDefault="00C71338">
      <w:pPr>
        <w:spacing w:after="100"/>
        <w:rPr>
          <w:rFonts w:ascii="Arial" w:hAnsi="Arial" w:cs="Arial"/>
        </w:rPr>
      </w:pPr>
    </w:p>
    <w:tbl>
      <w:tblPr>
        <w:tblW w:w="0" w:type="auto"/>
        <w:jc w:val="center"/>
        <w:tblLook w:val="04A0" w:firstRow="1" w:lastRow="0" w:firstColumn="1" w:lastColumn="0" w:noHBand="0" w:noVBand="1"/>
      </w:tblPr>
      <w:tblGrid>
        <w:gridCol w:w="9360"/>
      </w:tblGrid>
      <w:tr w:rsidR="0029198B" w:rsidRPr="00700844" w14:paraId="66AABBDA"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774D2C55" w14:textId="77777777" w:rsidR="0029198B" w:rsidRPr="00700844" w:rsidRDefault="00000000">
            <w:pPr>
              <w:spacing w:before="60" w:after="60"/>
              <w:rPr>
                <w:rFonts w:ascii="Arial" w:hAnsi="Arial" w:cs="Arial"/>
              </w:rPr>
            </w:pPr>
            <w:r w:rsidRPr="00700844">
              <w:rPr>
                <w:rFonts w:ascii="Arial" w:hAnsi="Arial" w:cs="Arial"/>
                <w:b/>
                <w:color w:val="1B365D"/>
                <w:sz w:val="20"/>
              </w:rPr>
              <w:lastRenderedPageBreak/>
              <w:t>Global Supply Chain Pipeline</w:t>
            </w:r>
            <w:r w:rsidRPr="00700844">
              <w:rPr>
                <w:rFonts w:ascii="Arial" w:hAnsi="Arial" w:cs="Arial"/>
                <w:b/>
                <w:color w:val="1B365D"/>
                <w:sz w:val="20"/>
              </w:rPr>
              <w:br/>
            </w:r>
            <w:r w:rsidRPr="00700844">
              <w:rPr>
                <w:rFonts w:ascii="Arial" w:hAnsi="Arial" w:cs="Arial"/>
                <w:color w:val="222222"/>
                <w:sz w:val="19"/>
              </w:rPr>
              <w:t>[Global Procurement Hub] ──&gt; [Ocean Freight (FCL)] ──&gt; [Host-Port Customs Clearing] ──&gt; [Regional Cross-Dock Depot] ──&gt; [Local Warehouse]</w:t>
            </w:r>
          </w:p>
        </w:tc>
      </w:tr>
    </w:tbl>
    <w:p w14:paraId="3EF58784" w14:textId="77777777" w:rsidR="0029198B" w:rsidRPr="00EE62FF" w:rsidRDefault="0029198B">
      <w:pPr>
        <w:spacing w:after="80"/>
        <w:rPr>
          <w:rFonts w:ascii="Arial" w:hAnsi="Arial" w:cs="Arial"/>
        </w:rPr>
      </w:pPr>
    </w:p>
    <w:p w14:paraId="6C5CAD50"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To reduce supply-chain vulnerabilities, Costco can use vendor-managed inventory (VMI), with key suppliers monitoring inventory through point-of-sale data. This can reduce stock volatility and the need for large buffer inventories.</w:t>
      </w:r>
    </w:p>
    <w:p w14:paraId="3A71D883"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Corporate Governance, Culture, and Employee Relations</w:t>
      </w:r>
    </w:p>
    <w:p w14:paraId="3C8BFC92"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Costco's operational model also relies on an internal human resource strategy that differs from traditional low-wage, high-turnover retail. It follows a high-wage, high-retention philosophy, providing above-market compensation, healthcare benefits, and retirement contributions. This contributes to turnover rates below 10% for staff with more than one year of service.</w:t>
      </w:r>
    </w:p>
    <w:p w14:paraId="616544DA"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This strategy aligns with Human Capital Theory, which argues that investment in compensation, training, and working conditions can improve long-term productivity and quality. In high-volume warehouses, high turnover creates hidden costs through training, accidents, shrinkage, and weaker customer service. Costco's egalitarian culture, where managers often begin on the warehouse floor, also builds operational knowledge and reinforces member satisfaction.</w:t>
      </w:r>
    </w:p>
    <w:tbl>
      <w:tblPr>
        <w:tblW w:w="0" w:type="auto"/>
        <w:jc w:val="center"/>
        <w:tblLook w:val="04A0" w:firstRow="1" w:lastRow="0" w:firstColumn="1" w:lastColumn="0" w:noHBand="0" w:noVBand="1"/>
      </w:tblPr>
      <w:tblGrid>
        <w:gridCol w:w="9360"/>
      </w:tblGrid>
      <w:tr w:rsidR="0029198B" w:rsidRPr="00700844" w14:paraId="391F257D"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050F5AE8" w14:textId="77777777" w:rsidR="0029198B" w:rsidRPr="00700844" w:rsidRDefault="00000000">
            <w:pPr>
              <w:spacing w:before="60" w:after="60"/>
              <w:rPr>
                <w:rFonts w:ascii="Arial" w:hAnsi="Arial" w:cs="Arial"/>
              </w:rPr>
            </w:pPr>
            <w:r w:rsidRPr="00700844">
              <w:rPr>
                <w:rFonts w:ascii="Arial" w:hAnsi="Arial" w:cs="Arial"/>
                <w:b/>
                <w:color w:val="1B365D"/>
                <w:sz w:val="20"/>
              </w:rPr>
              <w:t>Human Capital Virtuous Cycle</w:t>
            </w:r>
            <w:r w:rsidRPr="00700844">
              <w:rPr>
                <w:rFonts w:ascii="Arial" w:hAnsi="Arial" w:cs="Arial"/>
                <w:b/>
                <w:color w:val="1B365D"/>
                <w:sz w:val="20"/>
              </w:rPr>
              <w:br/>
            </w:r>
            <w:r w:rsidRPr="00700844">
              <w:rPr>
                <w:rFonts w:ascii="Arial" w:hAnsi="Arial" w:cs="Arial"/>
                <w:color w:val="222222"/>
                <w:sz w:val="19"/>
              </w:rPr>
              <w:t>[Above-Market Wages &amp; Benefits] ──&gt; [Low Turnover &amp; High Morale] ──&gt; [Operational Efficiency &amp; Lower Shrinkage] ──&gt; [High Member Retention]</w:t>
            </w:r>
          </w:p>
        </w:tc>
      </w:tr>
    </w:tbl>
    <w:p w14:paraId="7AEDF084" w14:textId="77777777" w:rsidR="0029198B" w:rsidRPr="00EE62FF" w:rsidRDefault="0029198B">
      <w:pPr>
        <w:spacing w:after="80"/>
        <w:rPr>
          <w:rFonts w:ascii="Arial" w:hAnsi="Arial" w:cs="Arial"/>
        </w:rPr>
      </w:pPr>
    </w:p>
    <w:p w14:paraId="1530FC6E"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Costco's egalitarian workplace culture—where store managers frequently begin their careers on the warehouse floor—fosters deep operational knowledge across all administrative levels. This human-centric governance model protects brand integrity and drives member satisfaction, ultimately reinforcing the high renewal rates that sustain the firm's fee-based profit architecture.</w:t>
      </w:r>
    </w:p>
    <w:p w14:paraId="1350C0D6"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lastRenderedPageBreak/>
        <w:t>2. Macro-Environmental Appraisal and Market Attractiveness</w:t>
      </w:r>
    </w:p>
    <w:p w14:paraId="1C02800D"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Before establishing a warehouse in Brazil, Costco must navigate a complex macro-environment. Brazil offers a large retail opportunity but has proved difficult for foreign retailers that fail to account for local conditions (Altios, 2025). Carrefour and Casino have faced long-term challenges, while Walmart suffered major losses before retreating and selling control to a local private equity firm. PESTLE analysis therefore identifies the Political, Economic, Social/Cultural, Technological, Legal, and Environmental factors affecting entry viability.</w:t>
      </w:r>
    </w:p>
    <w:tbl>
      <w:tblPr>
        <w:tblW w:w="0" w:type="auto"/>
        <w:jc w:val="center"/>
        <w:tblLook w:val="04A0" w:firstRow="1" w:lastRow="0" w:firstColumn="1" w:lastColumn="0" w:noHBand="0" w:noVBand="1"/>
      </w:tblPr>
      <w:tblGrid>
        <w:gridCol w:w="1728"/>
        <w:gridCol w:w="3744"/>
        <w:gridCol w:w="3888"/>
      </w:tblGrid>
      <w:tr w:rsidR="0029198B" w:rsidRPr="00EE62FF" w14:paraId="3BA28D08" w14:textId="77777777">
        <w:trPr>
          <w:jc w:val="center"/>
        </w:trPr>
        <w:tc>
          <w:tcPr>
            <w:tcW w:w="1728" w:type="dxa"/>
            <w:tcBorders>
              <w:top w:val="single" w:sz="4" w:space="0" w:color="E0E0E0"/>
              <w:bottom w:val="single" w:sz="4" w:space="0" w:color="E0E0E0"/>
            </w:tcBorders>
            <w:shd w:val="clear" w:color="auto" w:fill="1B365D"/>
          </w:tcPr>
          <w:p w14:paraId="26F72FF1" w14:textId="77777777" w:rsidR="0029198B" w:rsidRPr="00EE62FF" w:rsidRDefault="00000000">
            <w:pPr>
              <w:spacing w:before="60" w:after="60"/>
              <w:rPr>
                <w:rFonts w:ascii="Arial" w:hAnsi="Arial" w:cs="Arial"/>
              </w:rPr>
            </w:pPr>
            <w:r w:rsidRPr="00EE62FF">
              <w:rPr>
                <w:rFonts w:ascii="Arial" w:hAnsi="Arial" w:cs="Arial"/>
                <w:b/>
                <w:color w:val="FFFFFF"/>
                <w:sz w:val="19"/>
              </w:rPr>
              <w:t>PESTLE Dimension</w:t>
            </w:r>
          </w:p>
        </w:tc>
        <w:tc>
          <w:tcPr>
            <w:tcW w:w="3744" w:type="dxa"/>
            <w:tcBorders>
              <w:top w:val="single" w:sz="4" w:space="0" w:color="E0E0E0"/>
              <w:bottom w:val="single" w:sz="4" w:space="0" w:color="E0E0E0"/>
            </w:tcBorders>
            <w:shd w:val="clear" w:color="auto" w:fill="1B365D"/>
          </w:tcPr>
          <w:p w14:paraId="73F6F362" w14:textId="77777777" w:rsidR="0029198B" w:rsidRPr="00EE62FF" w:rsidRDefault="00000000">
            <w:pPr>
              <w:spacing w:before="60" w:after="60"/>
              <w:rPr>
                <w:rFonts w:ascii="Arial" w:hAnsi="Arial" w:cs="Arial"/>
              </w:rPr>
            </w:pPr>
            <w:r w:rsidRPr="00EE62FF">
              <w:rPr>
                <w:rFonts w:ascii="Arial" w:hAnsi="Arial" w:cs="Arial"/>
                <w:b/>
                <w:color w:val="FFFFFF"/>
                <w:sz w:val="19"/>
              </w:rPr>
              <w:t>Key Brazilian Environmental Drivers</w:t>
            </w:r>
          </w:p>
        </w:tc>
        <w:tc>
          <w:tcPr>
            <w:tcW w:w="3888" w:type="dxa"/>
            <w:tcBorders>
              <w:top w:val="single" w:sz="4" w:space="0" w:color="E0E0E0"/>
              <w:bottom w:val="single" w:sz="4" w:space="0" w:color="E0E0E0"/>
            </w:tcBorders>
            <w:shd w:val="clear" w:color="auto" w:fill="1B365D"/>
          </w:tcPr>
          <w:p w14:paraId="63E3F7B3" w14:textId="77777777" w:rsidR="0029198B" w:rsidRPr="00EE62FF" w:rsidRDefault="00000000">
            <w:pPr>
              <w:spacing w:before="60" w:after="60"/>
              <w:rPr>
                <w:rFonts w:ascii="Arial" w:hAnsi="Arial" w:cs="Arial"/>
              </w:rPr>
            </w:pPr>
            <w:r w:rsidRPr="00EE62FF">
              <w:rPr>
                <w:rFonts w:ascii="Arial" w:hAnsi="Arial" w:cs="Arial"/>
                <w:b/>
                <w:color w:val="FFFFFF"/>
                <w:sz w:val="19"/>
              </w:rPr>
              <w:t>Operational Direct Impact on Costco</w:t>
            </w:r>
          </w:p>
        </w:tc>
      </w:tr>
      <w:tr w:rsidR="0029198B" w:rsidRPr="00EE62FF" w14:paraId="3A16B3F6" w14:textId="77777777">
        <w:trPr>
          <w:jc w:val="center"/>
        </w:trPr>
        <w:tc>
          <w:tcPr>
            <w:tcW w:w="1728" w:type="dxa"/>
            <w:tcBorders>
              <w:top w:val="single" w:sz="4" w:space="0" w:color="E0E0E0"/>
              <w:bottom w:val="single" w:sz="4" w:space="0" w:color="E0E0E0"/>
            </w:tcBorders>
            <w:shd w:val="clear" w:color="auto" w:fill="FFFFFF"/>
          </w:tcPr>
          <w:p w14:paraId="6609412C" w14:textId="77777777" w:rsidR="0029198B" w:rsidRPr="00EE62FF" w:rsidRDefault="00000000">
            <w:pPr>
              <w:spacing w:before="60" w:after="60"/>
              <w:rPr>
                <w:rFonts w:ascii="Arial" w:hAnsi="Arial" w:cs="Arial"/>
              </w:rPr>
            </w:pPr>
            <w:r w:rsidRPr="00EE62FF">
              <w:rPr>
                <w:rFonts w:ascii="Arial" w:hAnsi="Arial" w:cs="Arial"/>
                <w:color w:val="222222"/>
                <w:sz w:val="18"/>
              </w:rPr>
              <w:t>Political</w:t>
            </w:r>
          </w:p>
        </w:tc>
        <w:tc>
          <w:tcPr>
            <w:tcW w:w="3744" w:type="dxa"/>
            <w:tcBorders>
              <w:top w:val="single" w:sz="4" w:space="0" w:color="E0E0E0"/>
              <w:bottom w:val="single" w:sz="4" w:space="0" w:color="E0E0E0"/>
            </w:tcBorders>
            <w:shd w:val="clear" w:color="auto" w:fill="FFFFFF"/>
          </w:tcPr>
          <w:p w14:paraId="0C1629F3" w14:textId="77777777" w:rsidR="0029198B" w:rsidRPr="00EE62FF" w:rsidRDefault="00000000">
            <w:pPr>
              <w:spacing w:before="60" w:after="60"/>
              <w:rPr>
                <w:rFonts w:ascii="Arial" w:hAnsi="Arial" w:cs="Arial"/>
              </w:rPr>
            </w:pPr>
            <w:r w:rsidRPr="00EE62FF">
              <w:rPr>
                <w:rFonts w:ascii="Arial" w:hAnsi="Arial" w:cs="Arial"/>
                <w:color w:val="222222"/>
                <w:sz w:val="18"/>
              </w:rPr>
              <w:t>Bureaucratic friction, infrastructure bottlenecks, Custo Brasil.</w:t>
            </w:r>
          </w:p>
        </w:tc>
        <w:tc>
          <w:tcPr>
            <w:tcW w:w="3888" w:type="dxa"/>
            <w:tcBorders>
              <w:top w:val="single" w:sz="4" w:space="0" w:color="E0E0E0"/>
              <w:bottom w:val="single" w:sz="4" w:space="0" w:color="E0E0E0"/>
            </w:tcBorders>
            <w:shd w:val="clear" w:color="auto" w:fill="FFFFFF"/>
          </w:tcPr>
          <w:p w14:paraId="49541782" w14:textId="77777777" w:rsidR="0029198B" w:rsidRPr="00EE62FF" w:rsidRDefault="00000000">
            <w:pPr>
              <w:spacing w:before="60" w:after="60"/>
              <w:rPr>
                <w:rFonts w:ascii="Arial" w:hAnsi="Arial" w:cs="Arial"/>
              </w:rPr>
            </w:pPr>
            <w:r w:rsidRPr="00EE62FF">
              <w:rPr>
                <w:rFonts w:ascii="Arial" w:hAnsi="Arial" w:cs="Arial"/>
                <w:color w:val="222222"/>
                <w:sz w:val="18"/>
              </w:rPr>
              <w:t>Demands state-level strategic alignment and localized logistics partnerships.</w:t>
            </w:r>
          </w:p>
        </w:tc>
      </w:tr>
      <w:tr w:rsidR="0029198B" w:rsidRPr="00EE62FF" w14:paraId="28FCA2C4" w14:textId="77777777">
        <w:trPr>
          <w:jc w:val="center"/>
        </w:trPr>
        <w:tc>
          <w:tcPr>
            <w:tcW w:w="1728" w:type="dxa"/>
            <w:tcBorders>
              <w:top w:val="single" w:sz="4" w:space="0" w:color="E0E0E0"/>
              <w:bottom w:val="single" w:sz="4" w:space="0" w:color="E0E0E0"/>
            </w:tcBorders>
            <w:shd w:val="clear" w:color="auto" w:fill="F9FAFC"/>
          </w:tcPr>
          <w:p w14:paraId="1402C720" w14:textId="77777777" w:rsidR="0029198B" w:rsidRPr="00EE62FF" w:rsidRDefault="00000000">
            <w:pPr>
              <w:spacing w:before="60" w:after="60"/>
              <w:rPr>
                <w:rFonts w:ascii="Arial" w:hAnsi="Arial" w:cs="Arial"/>
              </w:rPr>
            </w:pPr>
            <w:r w:rsidRPr="00EE62FF">
              <w:rPr>
                <w:rFonts w:ascii="Arial" w:hAnsi="Arial" w:cs="Arial"/>
                <w:color w:val="222222"/>
                <w:sz w:val="18"/>
              </w:rPr>
              <w:t>Economic</w:t>
            </w:r>
          </w:p>
        </w:tc>
        <w:tc>
          <w:tcPr>
            <w:tcW w:w="3744" w:type="dxa"/>
            <w:tcBorders>
              <w:top w:val="single" w:sz="4" w:space="0" w:color="E0E0E0"/>
              <w:bottom w:val="single" w:sz="4" w:space="0" w:color="E0E0E0"/>
            </w:tcBorders>
            <w:shd w:val="clear" w:color="auto" w:fill="F9FAFC"/>
          </w:tcPr>
          <w:p w14:paraId="499DD989" w14:textId="77777777" w:rsidR="0029198B" w:rsidRPr="00EE62FF" w:rsidRDefault="00000000">
            <w:pPr>
              <w:spacing w:before="60" w:after="60"/>
              <w:rPr>
                <w:rFonts w:ascii="Arial" w:hAnsi="Arial" w:cs="Arial"/>
              </w:rPr>
            </w:pPr>
            <w:r w:rsidRPr="00EE62FF">
              <w:rPr>
                <w:rFonts w:ascii="Arial" w:hAnsi="Arial" w:cs="Arial"/>
                <w:color w:val="222222"/>
                <w:sz w:val="18"/>
              </w:rPr>
              <w:t>Dual-VAT reform (2026–2032), interest rate volatility, currency fluctuation.</w:t>
            </w:r>
          </w:p>
        </w:tc>
        <w:tc>
          <w:tcPr>
            <w:tcW w:w="3888" w:type="dxa"/>
            <w:tcBorders>
              <w:top w:val="single" w:sz="4" w:space="0" w:color="E0E0E0"/>
              <w:bottom w:val="single" w:sz="4" w:space="0" w:color="E0E0E0"/>
            </w:tcBorders>
            <w:shd w:val="clear" w:color="auto" w:fill="F9FAFC"/>
          </w:tcPr>
          <w:p w14:paraId="47AF3E7A" w14:textId="77777777" w:rsidR="0029198B" w:rsidRPr="00EE62FF" w:rsidRDefault="00000000">
            <w:pPr>
              <w:spacing w:before="60" w:after="60"/>
              <w:rPr>
                <w:rFonts w:ascii="Arial" w:hAnsi="Arial" w:cs="Arial"/>
              </w:rPr>
            </w:pPr>
            <w:r w:rsidRPr="00EE62FF">
              <w:rPr>
                <w:rFonts w:ascii="Arial" w:hAnsi="Arial" w:cs="Arial"/>
                <w:color w:val="222222"/>
                <w:sz w:val="18"/>
              </w:rPr>
              <w:t>Inflation drives demand for bulk bargains; requires dual tax compliance software.</w:t>
            </w:r>
          </w:p>
        </w:tc>
      </w:tr>
      <w:tr w:rsidR="0029198B" w:rsidRPr="00EE62FF" w14:paraId="52A86479" w14:textId="77777777">
        <w:trPr>
          <w:jc w:val="center"/>
        </w:trPr>
        <w:tc>
          <w:tcPr>
            <w:tcW w:w="1728" w:type="dxa"/>
            <w:tcBorders>
              <w:top w:val="single" w:sz="4" w:space="0" w:color="E0E0E0"/>
              <w:bottom w:val="single" w:sz="4" w:space="0" w:color="E0E0E0"/>
            </w:tcBorders>
            <w:shd w:val="clear" w:color="auto" w:fill="FFFFFF"/>
          </w:tcPr>
          <w:p w14:paraId="7EFD07E0" w14:textId="77777777" w:rsidR="0029198B" w:rsidRPr="00EE62FF" w:rsidRDefault="00000000">
            <w:pPr>
              <w:spacing w:before="60" w:after="60"/>
              <w:rPr>
                <w:rFonts w:ascii="Arial" w:hAnsi="Arial" w:cs="Arial"/>
              </w:rPr>
            </w:pPr>
            <w:r w:rsidRPr="00EE62FF">
              <w:rPr>
                <w:rFonts w:ascii="Arial" w:hAnsi="Arial" w:cs="Arial"/>
                <w:color w:val="222222"/>
                <w:sz w:val="18"/>
              </w:rPr>
              <w:t>Social / Cultural</w:t>
            </w:r>
          </w:p>
        </w:tc>
        <w:tc>
          <w:tcPr>
            <w:tcW w:w="3744" w:type="dxa"/>
            <w:tcBorders>
              <w:top w:val="single" w:sz="4" w:space="0" w:color="E0E0E0"/>
              <w:bottom w:val="single" w:sz="4" w:space="0" w:color="E0E0E0"/>
            </w:tcBorders>
            <w:shd w:val="clear" w:color="auto" w:fill="FFFFFF"/>
          </w:tcPr>
          <w:p w14:paraId="4C2411F0" w14:textId="77777777" w:rsidR="0029198B" w:rsidRPr="00EE62FF" w:rsidRDefault="00000000">
            <w:pPr>
              <w:spacing w:before="60" w:after="60"/>
              <w:rPr>
                <w:rFonts w:ascii="Arial" w:hAnsi="Arial" w:cs="Arial"/>
              </w:rPr>
            </w:pPr>
            <w:r w:rsidRPr="00EE62FF">
              <w:rPr>
                <w:rFonts w:ascii="Arial" w:hAnsi="Arial" w:cs="Arial"/>
                <w:color w:val="222222"/>
                <w:sz w:val="18"/>
              </w:rPr>
              <w:t>High Power Distance, Collectivism, High-Context relationships.</w:t>
            </w:r>
          </w:p>
        </w:tc>
        <w:tc>
          <w:tcPr>
            <w:tcW w:w="3888" w:type="dxa"/>
            <w:tcBorders>
              <w:top w:val="single" w:sz="4" w:space="0" w:color="E0E0E0"/>
              <w:bottom w:val="single" w:sz="4" w:space="0" w:color="E0E0E0"/>
            </w:tcBorders>
            <w:shd w:val="clear" w:color="auto" w:fill="FFFFFF"/>
          </w:tcPr>
          <w:p w14:paraId="1ED0FDE1" w14:textId="77777777" w:rsidR="0029198B" w:rsidRPr="00EE62FF" w:rsidRDefault="00000000">
            <w:pPr>
              <w:spacing w:before="60" w:after="60"/>
              <w:rPr>
                <w:rFonts w:ascii="Arial" w:hAnsi="Arial" w:cs="Arial"/>
              </w:rPr>
            </w:pPr>
            <w:r w:rsidRPr="00EE62FF">
              <w:rPr>
                <w:rFonts w:ascii="Arial" w:hAnsi="Arial" w:cs="Arial"/>
                <w:color w:val="222222"/>
                <w:sz w:val="18"/>
              </w:rPr>
              <w:t>Calls for structured hierarchy, employee community building, and warm social marketing.</w:t>
            </w:r>
          </w:p>
        </w:tc>
      </w:tr>
      <w:tr w:rsidR="0029198B" w:rsidRPr="00EE62FF" w14:paraId="3E59BFAC" w14:textId="77777777">
        <w:trPr>
          <w:jc w:val="center"/>
        </w:trPr>
        <w:tc>
          <w:tcPr>
            <w:tcW w:w="1728" w:type="dxa"/>
            <w:tcBorders>
              <w:top w:val="single" w:sz="4" w:space="0" w:color="E0E0E0"/>
              <w:bottom w:val="single" w:sz="4" w:space="0" w:color="E0E0E0"/>
            </w:tcBorders>
            <w:shd w:val="clear" w:color="auto" w:fill="F9FAFC"/>
          </w:tcPr>
          <w:p w14:paraId="21235797" w14:textId="77777777" w:rsidR="0029198B" w:rsidRPr="00EE62FF" w:rsidRDefault="00000000">
            <w:pPr>
              <w:spacing w:before="60" w:after="60"/>
              <w:rPr>
                <w:rFonts w:ascii="Arial" w:hAnsi="Arial" w:cs="Arial"/>
              </w:rPr>
            </w:pPr>
            <w:r w:rsidRPr="00EE62FF">
              <w:rPr>
                <w:rFonts w:ascii="Arial" w:hAnsi="Arial" w:cs="Arial"/>
                <w:color w:val="222222"/>
                <w:sz w:val="18"/>
              </w:rPr>
              <w:t>Technological</w:t>
            </w:r>
          </w:p>
        </w:tc>
        <w:tc>
          <w:tcPr>
            <w:tcW w:w="3744" w:type="dxa"/>
            <w:tcBorders>
              <w:top w:val="single" w:sz="4" w:space="0" w:color="E0E0E0"/>
              <w:bottom w:val="single" w:sz="4" w:space="0" w:color="E0E0E0"/>
            </w:tcBorders>
            <w:shd w:val="clear" w:color="auto" w:fill="F9FAFC"/>
          </w:tcPr>
          <w:p w14:paraId="63E40954" w14:textId="77777777" w:rsidR="0029198B" w:rsidRPr="00EE62FF" w:rsidRDefault="00000000">
            <w:pPr>
              <w:spacing w:before="60" w:after="60"/>
              <w:rPr>
                <w:rFonts w:ascii="Arial" w:hAnsi="Arial" w:cs="Arial"/>
              </w:rPr>
            </w:pPr>
            <w:r w:rsidRPr="00EE62FF">
              <w:rPr>
                <w:rFonts w:ascii="Arial" w:hAnsi="Arial" w:cs="Arial"/>
                <w:color w:val="222222"/>
                <w:sz w:val="18"/>
              </w:rPr>
              <w:t>High WhatsApp/Instagram digital integration.</w:t>
            </w:r>
          </w:p>
        </w:tc>
        <w:tc>
          <w:tcPr>
            <w:tcW w:w="3888" w:type="dxa"/>
            <w:tcBorders>
              <w:top w:val="single" w:sz="4" w:space="0" w:color="E0E0E0"/>
              <w:bottom w:val="single" w:sz="4" w:space="0" w:color="E0E0E0"/>
            </w:tcBorders>
            <w:shd w:val="clear" w:color="auto" w:fill="F9FAFC"/>
          </w:tcPr>
          <w:p w14:paraId="3E46D4AD" w14:textId="77777777" w:rsidR="0029198B" w:rsidRPr="00EE62FF" w:rsidRDefault="00000000">
            <w:pPr>
              <w:spacing w:before="60" w:after="60"/>
              <w:rPr>
                <w:rFonts w:ascii="Arial" w:hAnsi="Arial" w:cs="Arial"/>
              </w:rPr>
            </w:pPr>
            <w:r w:rsidRPr="00EE62FF">
              <w:rPr>
                <w:rFonts w:ascii="Arial" w:hAnsi="Arial" w:cs="Arial"/>
                <w:color w:val="222222"/>
                <w:sz w:val="18"/>
              </w:rPr>
              <w:t>Demands proactive digital engagement for membership acquisition.</w:t>
            </w:r>
          </w:p>
        </w:tc>
      </w:tr>
      <w:tr w:rsidR="0029198B" w:rsidRPr="00EE62FF" w14:paraId="07D3ED39" w14:textId="77777777">
        <w:trPr>
          <w:jc w:val="center"/>
        </w:trPr>
        <w:tc>
          <w:tcPr>
            <w:tcW w:w="1728" w:type="dxa"/>
            <w:tcBorders>
              <w:top w:val="single" w:sz="4" w:space="0" w:color="E0E0E0"/>
              <w:bottom w:val="single" w:sz="4" w:space="0" w:color="E0E0E0"/>
            </w:tcBorders>
            <w:shd w:val="clear" w:color="auto" w:fill="FFFFFF"/>
          </w:tcPr>
          <w:p w14:paraId="141B06A0" w14:textId="77777777" w:rsidR="0029198B" w:rsidRPr="00EE62FF" w:rsidRDefault="00000000">
            <w:pPr>
              <w:spacing w:before="60" w:after="60"/>
              <w:rPr>
                <w:rFonts w:ascii="Arial" w:hAnsi="Arial" w:cs="Arial"/>
              </w:rPr>
            </w:pPr>
            <w:r w:rsidRPr="00EE62FF">
              <w:rPr>
                <w:rFonts w:ascii="Arial" w:hAnsi="Arial" w:cs="Arial"/>
                <w:color w:val="222222"/>
                <w:sz w:val="18"/>
              </w:rPr>
              <w:t>Legal</w:t>
            </w:r>
          </w:p>
        </w:tc>
        <w:tc>
          <w:tcPr>
            <w:tcW w:w="3744" w:type="dxa"/>
            <w:tcBorders>
              <w:top w:val="single" w:sz="4" w:space="0" w:color="E0E0E0"/>
              <w:bottom w:val="single" w:sz="4" w:space="0" w:color="E0E0E0"/>
            </w:tcBorders>
            <w:shd w:val="clear" w:color="auto" w:fill="FFFFFF"/>
          </w:tcPr>
          <w:p w14:paraId="6BD9D322" w14:textId="77777777" w:rsidR="0029198B" w:rsidRPr="00EE62FF" w:rsidRDefault="00000000">
            <w:pPr>
              <w:spacing w:before="60" w:after="60"/>
              <w:rPr>
                <w:rFonts w:ascii="Arial" w:hAnsi="Arial" w:cs="Arial"/>
              </w:rPr>
            </w:pPr>
            <w:r w:rsidRPr="00EE62FF">
              <w:rPr>
                <w:rFonts w:ascii="Arial" w:hAnsi="Arial" w:cs="Arial"/>
                <w:color w:val="222222"/>
                <w:sz w:val="18"/>
              </w:rPr>
              <w:t>Paternalistic Labor Code (CLT) &amp; complex environmental zoning.</w:t>
            </w:r>
          </w:p>
        </w:tc>
        <w:tc>
          <w:tcPr>
            <w:tcW w:w="3888" w:type="dxa"/>
            <w:tcBorders>
              <w:top w:val="single" w:sz="4" w:space="0" w:color="E0E0E0"/>
              <w:bottom w:val="single" w:sz="4" w:space="0" w:color="E0E0E0"/>
            </w:tcBorders>
            <w:shd w:val="clear" w:color="auto" w:fill="FFFFFF"/>
          </w:tcPr>
          <w:p w14:paraId="1E85A33C" w14:textId="77777777" w:rsidR="0029198B" w:rsidRPr="00EE62FF" w:rsidRDefault="00000000">
            <w:pPr>
              <w:spacing w:before="60" w:after="60"/>
              <w:rPr>
                <w:rFonts w:ascii="Arial" w:hAnsi="Arial" w:cs="Arial"/>
              </w:rPr>
            </w:pPr>
            <w:r w:rsidRPr="00EE62FF">
              <w:rPr>
                <w:rFonts w:ascii="Arial" w:hAnsi="Arial" w:cs="Arial"/>
                <w:color w:val="222222"/>
                <w:sz w:val="18"/>
              </w:rPr>
              <w:t>Prevents US flexible scheduling; prolongs land acquisition and store development.</w:t>
            </w:r>
          </w:p>
        </w:tc>
      </w:tr>
      <w:tr w:rsidR="0029198B" w:rsidRPr="00EE62FF" w14:paraId="3800A033" w14:textId="77777777">
        <w:trPr>
          <w:jc w:val="center"/>
        </w:trPr>
        <w:tc>
          <w:tcPr>
            <w:tcW w:w="1728" w:type="dxa"/>
            <w:tcBorders>
              <w:top w:val="single" w:sz="4" w:space="0" w:color="E0E0E0"/>
              <w:bottom w:val="single" w:sz="4" w:space="0" w:color="E0E0E0"/>
            </w:tcBorders>
            <w:shd w:val="clear" w:color="auto" w:fill="F9FAFC"/>
          </w:tcPr>
          <w:p w14:paraId="68404E90" w14:textId="77777777" w:rsidR="0029198B" w:rsidRPr="00EE62FF" w:rsidRDefault="00000000">
            <w:pPr>
              <w:spacing w:before="60" w:after="60"/>
              <w:rPr>
                <w:rFonts w:ascii="Arial" w:hAnsi="Arial" w:cs="Arial"/>
              </w:rPr>
            </w:pPr>
            <w:r w:rsidRPr="00EE62FF">
              <w:rPr>
                <w:rFonts w:ascii="Arial" w:hAnsi="Arial" w:cs="Arial"/>
                <w:color w:val="222222"/>
                <w:sz w:val="18"/>
              </w:rPr>
              <w:t>Environmental</w:t>
            </w:r>
          </w:p>
        </w:tc>
        <w:tc>
          <w:tcPr>
            <w:tcW w:w="3744" w:type="dxa"/>
            <w:tcBorders>
              <w:top w:val="single" w:sz="4" w:space="0" w:color="E0E0E0"/>
              <w:bottom w:val="single" w:sz="4" w:space="0" w:color="E0E0E0"/>
            </w:tcBorders>
            <w:shd w:val="clear" w:color="auto" w:fill="F9FAFC"/>
          </w:tcPr>
          <w:p w14:paraId="0612E69F" w14:textId="77777777" w:rsidR="0029198B" w:rsidRPr="00EE62FF" w:rsidRDefault="00000000">
            <w:pPr>
              <w:spacing w:before="60" w:after="60"/>
              <w:rPr>
                <w:rFonts w:ascii="Arial" w:hAnsi="Arial" w:cs="Arial"/>
              </w:rPr>
            </w:pPr>
            <w:r w:rsidRPr="00EE62FF">
              <w:rPr>
                <w:rFonts w:ascii="Arial" w:hAnsi="Arial" w:cs="Arial"/>
                <w:color w:val="222222"/>
                <w:sz w:val="18"/>
              </w:rPr>
              <w:t>Municipal master plans &amp; environmental impact approvals.</w:t>
            </w:r>
          </w:p>
        </w:tc>
        <w:tc>
          <w:tcPr>
            <w:tcW w:w="3888" w:type="dxa"/>
            <w:tcBorders>
              <w:top w:val="single" w:sz="4" w:space="0" w:color="E0E0E0"/>
              <w:bottom w:val="single" w:sz="4" w:space="0" w:color="E0E0E0"/>
            </w:tcBorders>
            <w:shd w:val="clear" w:color="auto" w:fill="F9FAFC"/>
          </w:tcPr>
          <w:p w14:paraId="1E26225A" w14:textId="77777777" w:rsidR="0029198B" w:rsidRPr="00EE62FF" w:rsidRDefault="00000000">
            <w:pPr>
              <w:spacing w:before="60" w:after="60"/>
              <w:rPr>
                <w:rFonts w:ascii="Arial" w:hAnsi="Arial" w:cs="Arial"/>
              </w:rPr>
            </w:pPr>
            <w:r w:rsidRPr="00EE62FF">
              <w:rPr>
                <w:rFonts w:ascii="Arial" w:hAnsi="Arial" w:cs="Arial"/>
                <w:color w:val="222222"/>
                <w:sz w:val="18"/>
              </w:rPr>
              <w:t>Requires rigorous legal due diligence to prevent construction gridlock.</w:t>
            </w:r>
          </w:p>
        </w:tc>
      </w:tr>
    </w:tbl>
    <w:p w14:paraId="0B0EA5A3" w14:textId="77777777" w:rsidR="0029198B" w:rsidRPr="00EE62FF" w:rsidRDefault="0029198B">
      <w:pPr>
        <w:spacing w:after="80"/>
        <w:rPr>
          <w:rFonts w:ascii="Arial" w:hAnsi="Arial" w:cs="Arial"/>
        </w:rPr>
      </w:pPr>
    </w:p>
    <w:p w14:paraId="4BF52146" w14:textId="77777777" w:rsidR="003E54C7" w:rsidRDefault="003E54C7">
      <w:pPr>
        <w:keepNext/>
        <w:spacing w:before="180" w:after="40"/>
        <w:rPr>
          <w:rFonts w:ascii="Arial" w:hAnsi="Arial" w:cs="Arial"/>
          <w:b/>
          <w:iCs/>
          <w:color w:val="1B365D"/>
        </w:rPr>
      </w:pPr>
    </w:p>
    <w:p w14:paraId="160A6A13" w14:textId="77777777" w:rsidR="0029198B" w:rsidRPr="00700844" w:rsidRDefault="00000000">
      <w:pPr>
        <w:keepNext/>
        <w:spacing w:before="180" w:after="40"/>
        <w:rPr>
          <w:rFonts w:ascii="Arial" w:hAnsi="Arial" w:cs="Arial"/>
          <w:iCs/>
        </w:rPr>
      </w:pPr>
      <w:r w:rsidRPr="00700844">
        <w:rPr>
          <w:rFonts w:ascii="Arial" w:hAnsi="Arial" w:cs="Arial"/>
          <w:b/>
          <w:iCs/>
          <w:color w:val="1B365D"/>
        </w:rPr>
        <w:t>Macro-Environmental Evaluation</w:t>
      </w:r>
    </w:p>
    <w:tbl>
      <w:tblPr>
        <w:tblW w:w="0" w:type="auto"/>
        <w:jc w:val="center"/>
        <w:tblLook w:val="04A0" w:firstRow="1" w:lastRow="0" w:firstColumn="1" w:lastColumn="0" w:noHBand="0" w:noVBand="1"/>
      </w:tblPr>
      <w:tblGrid>
        <w:gridCol w:w="9360"/>
      </w:tblGrid>
      <w:tr w:rsidR="0029198B" w:rsidRPr="00EE62FF" w14:paraId="56AD063B"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2894271B" w14:textId="77777777" w:rsidR="0029198B" w:rsidRPr="00700844" w:rsidRDefault="00000000">
            <w:pPr>
              <w:spacing w:before="60" w:after="60"/>
              <w:rPr>
                <w:rFonts w:ascii="Arial" w:hAnsi="Arial" w:cs="Arial"/>
              </w:rPr>
            </w:pPr>
            <w:r w:rsidRPr="00700844">
              <w:rPr>
                <w:rFonts w:ascii="Arial" w:hAnsi="Arial" w:cs="Arial"/>
                <w:b/>
                <w:color w:val="1B365D"/>
                <w:sz w:val="20"/>
              </w:rPr>
              <w:t>Political Risk Impact Chain</w:t>
            </w:r>
            <w:r w:rsidRPr="00700844">
              <w:rPr>
                <w:rFonts w:ascii="Arial" w:hAnsi="Arial" w:cs="Arial"/>
                <w:b/>
                <w:color w:val="1B365D"/>
                <w:sz w:val="20"/>
              </w:rPr>
              <w:br/>
            </w:r>
            <w:r w:rsidRPr="00700844">
              <w:rPr>
                <w:rFonts w:ascii="Arial" w:hAnsi="Arial" w:cs="Arial"/>
                <w:color w:val="222222"/>
                <w:sz w:val="19"/>
              </w:rPr>
              <w:t>[Systemic &amp; Procedural Political Risks] ──&gt; [Supply Chain Bottlenecks] ──&gt; [Erosion of Low-Margin Advantage]</w:t>
            </w:r>
          </w:p>
        </w:tc>
      </w:tr>
    </w:tbl>
    <w:p w14:paraId="46D4F3F4" w14:textId="77777777" w:rsidR="0029198B" w:rsidRPr="00EE62FF" w:rsidRDefault="0029198B">
      <w:pPr>
        <w:spacing w:after="80"/>
        <w:rPr>
          <w:rFonts w:ascii="Arial" w:hAnsi="Arial" w:cs="Arial"/>
        </w:rPr>
      </w:pPr>
    </w:p>
    <w:p w14:paraId="729FAE6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Political stability in Brazil remains a complex variable influencing foreign direct investment. The political landscape is fragmented, with shifting coalitions leading to sudden policy shifts and regulatory changes (Trade.gov, 2025). In international business theory, these challenges encompass both Systemic Risk (broader macro-</w:t>
      </w:r>
      <w:r w:rsidRPr="00694806">
        <w:rPr>
          <w:rFonts w:ascii="Arial" w:hAnsi="Arial" w:cs="Arial"/>
          <w:color w:val="222222"/>
          <w:sz w:val="24"/>
          <w:szCs w:val="24"/>
        </w:rPr>
        <w:lastRenderedPageBreak/>
        <w:t>policy shifts) and Procedural Risk, which stems from bureaucratic friction and public administrative delays that raise transaction costs (Daniels et al., 2022</w:t>
      </w:r>
      <w:r w:rsidR="00152661" w:rsidRPr="00694806">
        <w:rPr>
          <w:rFonts w:ascii="Arial" w:hAnsi="Arial" w:cs="Arial"/>
          <w:color w:val="222222"/>
          <w:sz w:val="24"/>
          <w:szCs w:val="24"/>
        </w:rPr>
        <w:t>)</w:t>
      </w:r>
      <w:r w:rsidRPr="00694806">
        <w:rPr>
          <w:rFonts w:ascii="Arial" w:hAnsi="Arial" w:cs="Arial"/>
          <w:color w:val="222222"/>
          <w:sz w:val="24"/>
          <w:szCs w:val="24"/>
        </w:rPr>
        <w:t>.</w:t>
      </w:r>
    </w:p>
    <w:p w14:paraId="72F2B2A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This dynamic creates barriers for long-term capital investments, which directly impacts warehouse club expansion since constructing a single warehouse requires extensive upfront real estate capital. Furthermore, structural inefficiencies known as 'Custo Brasil' inflate business operations (Trade.gov, 2025). For Costco, navigating this landscape requires securing municipal, state, and federal approvals for zoning and construction. Thus, while the political environment permits foreign direct investment, administrative complexity presents a persistent operational risk that can delay launches and inflate setup expenditures.</w:t>
      </w:r>
    </w:p>
    <w:p w14:paraId="63BCC001"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Government policy around logistics and infrastructure creates another political-economic hurdle. Brazil relies heavily on highways rather than railways, leaving goods movement vulnerable to fuel prices and driver strikes (Altios, 2025). Because Costco depends on rapid, low-cost movement of high volumes, transport bottlenecks directly threaten margins. A disruption can create stock-outs in a retailer carrying only about 4,000 SKUs. Costco should therefore align with state infrastructure projects and established local logistics providers.</w:t>
      </w:r>
    </w:p>
    <w:p w14:paraId="5B1ED2A2"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Economically, Brazil features a population exceeding 215 million, representing a substantial prospective membership base. The country is the largest economy in Latin America, showing consumer growth despite macro headwinds (Altios, 2025). The expanding middle class (Class C) forms a key target demographic because these consumers seek high value while managing constrained household budgets. This market scale provides the volume potential required to justify capital expenditures for distribution centers. Consequently, Brazil's economic scale makes it a high-potential retail market, offering an environment suitable for volume-driven retail formats.</w:t>
      </w:r>
    </w:p>
    <w:p w14:paraId="48837CC0"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 xml:space="preserve">However, inflation and fluctuating interest rates challenge purchasing power. The Brazilian Central Bank has historically maintained elevated rates to manage inflation, increasing domestic financing costs (Trade.gov, 2025). Inflation also squeezes household budgets, although it can increase demand for wholesale bargains. Local cash-and-carry formats such as 'Atacadão' have expanded during downturns because </w:t>
      </w:r>
      <w:r w:rsidRPr="00694806">
        <w:rPr>
          <w:rFonts w:ascii="Arial" w:hAnsi="Arial" w:cs="Arial"/>
          <w:sz w:val="24"/>
          <w:szCs w:val="24"/>
        </w:rPr>
        <w:lastRenderedPageBreak/>
        <w:t>of lower unit costs. Costco therefore needs competitive pricing while differentiating its membership proposition.</w:t>
      </w:r>
    </w:p>
    <w:p w14:paraId="77559ACD"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Exchange rate volatility poses an additional financial risk. The Brazilian Real (BRL) experiences fluctuations against the US Dollar (USD), impacting the landed cost of imported inventory and foreign profit repatriation. Because Costco relies on its private label, Kirkland Signature, which includes imported items, a depreciated Real raises local retail prices for these goods (Alphabridge, 2025). Passing currency costs to consumers damages the retailer's value proposition. Consequently, Costco must shift toward local procurement for the majority of its SKUs, adapting its traditional US-centric supply chain to mitigate exchange rate exposure.</w:t>
      </w:r>
    </w:p>
    <w:p w14:paraId="2A20AE7F"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Brazil's legal and tax structures present operational complexities. The tax system involves multiple cascading taxes (PIS, Cofins, IPI, and state-level ICMS) that vary across state borders (Trade.gov, 2025). A major tax reform scheduled for implementation between 2026 and 2032 aims to consolidate these into a dual Value Added Tax (VAT) system (Trade.gov, 2025). However, the transition requires managing dual compliance frameworks simultaneously. For Costco, this operational environment demands specialized local tax counsel and tailored Enterprise Resource Planning (ERP) adaptations to prevent compliance penalties, establishing legal execution as a core prerequisite for market entry.</w:t>
      </w:r>
    </w:p>
    <w:p w14:paraId="42D31A13"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Labor regulations also require specific compliance strategies. Brazil's labor code (Consolidação das Leis do Trabalho - CLT) enforces mandatory employee benefits, operational limits on working hours, and specific dismissal procedures (Trade.gov, 2025). While Costco maintains high compensation levels and low global turnover (Alphabridge, 2025), applying standard US flexible scheduling models directly would clash with local labor laws. Aligning human resource policies with CLT requirements is necessary to maintain labor efficiency while avoiding litigation costs.</w:t>
      </w:r>
    </w:p>
    <w:p w14:paraId="379C1FDF"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 xml:space="preserve">Real estate development involves strict municipal master plans and environmental impact assessments (SIAL Paris, 2025). Licensing delays tie up capital and delay operational timelines. Costco must execute detailed legal due diligence and work with </w:t>
      </w:r>
      <w:r w:rsidRPr="00694806">
        <w:rPr>
          <w:rFonts w:ascii="Arial" w:hAnsi="Arial" w:cs="Arial"/>
          <w:color w:val="222222"/>
          <w:sz w:val="24"/>
          <w:szCs w:val="24"/>
        </w:rPr>
        <w:lastRenderedPageBreak/>
        <w:t>local municipal planning authorities to prevent regulatory gridlock during site development.</w:t>
      </w:r>
    </w:p>
    <w:p w14:paraId="7B7F8719"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Cultural Dimensions and Consumer Dynamics</w:t>
      </w:r>
    </w:p>
    <w:p w14:paraId="666EC929"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Cross-cultural frameworks highlight structural differences between American and Brazilian operational environments. According to Hofstede's cultural dimensions, Brazil scores higher in Power Distance (69) than the United States (40), indicating a preference for structured organizational hierarchies (Scribd, 2016). In store operations, Brazilian staff generally expect defined managerial oversight.</w:t>
      </w:r>
    </w:p>
    <w:p w14:paraId="43280622"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Although Hofstede's framework can oversimplify cultural differences, it provides a useful baseline for organisational design. Respecting local hierarchical expectations can support operational control while maintaining Costco's supportive culture.</w:t>
      </w:r>
    </w:p>
    <w:tbl>
      <w:tblPr>
        <w:tblW w:w="0" w:type="auto"/>
        <w:jc w:val="center"/>
        <w:tblLook w:val="04A0" w:firstRow="1" w:lastRow="0" w:firstColumn="1" w:lastColumn="0" w:noHBand="0" w:noVBand="1"/>
      </w:tblPr>
      <w:tblGrid>
        <w:gridCol w:w="9360"/>
      </w:tblGrid>
      <w:tr w:rsidR="0029198B" w:rsidRPr="00700844" w14:paraId="591283FC"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718010D4" w14:textId="77777777" w:rsidR="0029198B" w:rsidRPr="00700844" w:rsidRDefault="00000000">
            <w:pPr>
              <w:spacing w:before="60" w:after="60"/>
              <w:rPr>
                <w:rFonts w:ascii="Arial" w:hAnsi="Arial" w:cs="Arial"/>
              </w:rPr>
            </w:pPr>
            <w:r w:rsidRPr="00700844">
              <w:rPr>
                <w:rFonts w:ascii="Arial" w:hAnsi="Arial" w:cs="Arial"/>
                <w:b/>
                <w:color w:val="1B365D"/>
                <w:sz w:val="20"/>
              </w:rPr>
              <w:t>Cross-Cultural Strategic Shift</w:t>
            </w:r>
            <w:r w:rsidRPr="00700844">
              <w:rPr>
                <w:rFonts w:ascii="Arial" w:hAnsi="Arial" w:cs="Arial"/>
                <w:b/>
                <w:color w:val="1B365D"/>
                <w:sz w:val="20"/>
              </w:rPr>
              <w:br/>
            </w:r>
            <w:r w:rsidRPr="00700844">
              <w:rPr>
                <w:rFonts w:ascii="Arial" w:hAnsi="Arial" w:cs="Arial"/>
                <w:color w:val="222222"/>
                <w:sz w:val="19"/>
              </w:rPr>
              <w:t>[US Market Context]   ──&gt; High Individualism (91) ──&gt; Low-Context  ──&gt; Transactional Strategy</w:t>
            </w:r>
            <w:r w:rsidRPr="00700844">
              <w:rPr>
                <w:rFonts w:ascii="Arial" w:hAnsi="Arial" w:cs="Arial"/>
                <w:color w:val="222222"/>
                <w:sz w:val="19"/>
              </w:rPr>
              <w:br/>
              <w:t>[Brazil Context]     ──&gt; Collectivism (38)        ──&gt; High-Context ──&gt; Relational Trust Strategy</w:t>
            </w:r>
          </w:p>
        </w:tc>
      </w:tr>
    </w:tbl>
    <w:p w14:paraId="365E34D6" w14:textId="77777777" w:rsidR="0029198B" w:rsidRPr="00EE62FF" w:rsidRDefault="0029198B">
      <w:pPr>
        <w:spacing w:after="80"/>
        <w:rPr>
          <w:rFonts w:ascii="Arial" w:hAnsi="Arial" w:cs="Arial"/>
        </w:rPr>
      </w:pPr>
    </w:p>
    <w:p w14:paraId="571DCADC" w14:textId="77777777" w:rsidR="0029198B" w:rsidRPr="00694806" w:rsidRDefault="00000000" w:rsidP="00694806">
      <w:pPr>
        <w:spacing w:after="100" w:line="360" w:lineRule="auto"/>
        <w:jc w:val="both"/>
        <w:rPr>
          <w:rFonts w:ascii="Arial" w:hAnsi="Arial" w:cs="Arial"/>
          <w:sz w:val="24"/>
          <w:szCs w:val="24"/>
        </w:rPr>
      </w:pPr>
      <w:r w:rsidRPr="00EE62FF">
        <w:rPr>
          <w:rFonts w:ascii="Arial" w:hAnsi="Arial" w:cs="Arial"/>
        </w:rPr>
        <w:t xml:space="preserve">The contrast between US individualism (91) and Brazilian collectivism (38), together with Brazil's high-context orientation, suggests that trust and relationships matter in workforce </w:t>
      </w:r>
      <w:r w:rsidRPr="00694806">
        <w:rPr>
          <w:rFonts w:ascii="Arial" w:hAnsi="Arial" w:cs="Arial"/>
          <w:sz w:val="24"/>
          <w:szCs w:val="24"/>
        </w:rPr>
        <w:t>management and customer acquisition (Scribd, 2016; Wild &amp; Wild, 2023). Brazil's Uncertainty Avoidance score (76) further supports building familiarity and trust (Hofstede Insights, 2022). Costco should therefore strengthen local community engagement and relational initiatives.</w:t>
      </w:r>
    </w:p>
    <w:p w14:paraId="2CFC40F3"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Brazilian retail habits centre on the 'Atacarejo' format, combining wholesale (atacado) and retail (varejo). Households often make monthly bulk purchases to manage inflation, while Assaí and Atacadão dominate the segment. Costco cannot compete on price alone; it should differentiate through a higher-end club experience, Kirkland Signature products, premium imports, and member services not normally offered by local formats.</w:t>
      </w:r>
    </w:p>
    <w:p w14:paraId="64547AC0"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 xml:space="preserve">Finally, marketing strategies must reflect local engagement preferences. While Costco limits traditional advertising in North America (Alphabridge, 2025), Brazilian consumers demonstrate high engagement on platforms such as WhatsApp and Instagram for commerce and brand interactions (Altios, 2025). A purely passive marketing approach </w:t>
      </w:r>
      <w:r w:rsidRPr="00694806">
        <w:rPr>
          <w:rFonts w:ascii="Arial" w:hAnsi="Arial" w:cs="Arial"/>
          <w:color w:val="222222"/>
          <w:sz w:val="24"/>
          <w:szCs w:val="24"/>
        </w:rPr>
        <w:lastRenderedPageBreak/>
        <w:t>risks low brand awareness. Adapting to active social media engagement and local digital channels is necessary to drive early membership adoption.</w:t>
      </w:r>
    </w:p>
    <w:p w14:paraId="17F5F4BD"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In-Depth Evaluation of the Brazilian Domestic Retail Landscape</w:t>
      </w:r>
    </w:p>
    <w:p w14:paraId="51BABA1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The Brazilian grocery and wholesale landscape is currently characterized by intense consolidation among domestic giants and well-entrenched multinational survivors. To successfully position itself, Costco must undergo a rigorous competitive appraisal against established market leaders, primarily Assaí Atacadista, Atacadão (owned by Carrefour Brazil), and Grupo Pão de Açúcar (GPA).</w:t>
      </w:r>
    </w:p>
    <w:tbl>
      <w:tblPr>
        <w:tblW w:w="0" w:type="auto"/>
        <w:jc w:val="center"/>
        <w:tblLook w:val="04A0" w:firstRow="1" w:lastRow="0" w:firstColumn="1" w:lastColumn="0" w:noHBand="0" w:noVBand="1"/>
      </w:tblPr>
      <w:tblGrid>
        <w:gridCol w:w="9360"/>
      </w:tblGrid>
      <w:tr w:rsidR="0029198B" w:rsidRPr="00EE62FF" w14:paraId="30B31411"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038216D8" w14:textId="77777777" w:rsidR="0029198B" w:rsidRPr="00700844" w:rsidRDefault="00000000">
            <w:pPr>
              <w:spacing w:before="60" w:after="60"/>
              <w:rPr>
                <w:rFonts w:ascii="Arial" w:hAnsi="Arial" w:cs="Arial"/>
              </w:rPr>
            </w:pPr>
            <w:r w:rsidRPr="00700844">
              <w:rPr>
                <w:rFonts w:ascii="Arial" w:hAnsi="Arial" w:cs="Arial"/>
                <w:b/>
                <w:color w:val="1B365D"/>
                <w:sz w:val="20"/>
              </w:rPr>
              <w:t>Retail Landscape Spectrum Positioning</w:t>
            </w:r>
            <w:r w:rsidRPr="00700844">
              <w:rPr>
                <w:rFonts w:ascii="Arial" w:hAnsi="Arial" w:cs="Arial"/>
                <w:b/>
                <w:color w:val="1B365D"/>
                <w:sz w:val="20"/>
              </w:rPr>
              <w:br/>
            </w:r>
            <w:r w:rsidRPr="00700844">
              <w:rPr>
                <w:rFonts w:ascii="Arial" w:hAnsi="Arial" w:cs="Arial"/>
                <w:color w:val="222222"/>
                <w:sz w:val="19"/>
              </w:rPr>
              <w:t>TRADITIONAL HYPERMARKETS (Carrefour, Pão de Açúcar):</w:t>
            </w:r>
            <w:r w:rsidRPr="00700844">
              <w:rPr>
                <w:rFonts w:ascii="Arial" w:hAnsi="Arial" w:cs="Arial"/>
                <w:color w:val="222222"/>
                <w:sz w:val="19"/>
              </w:rPr>
              <w:br/>
              <w:t>• High Markups (25%-40%) | No Access Fee | Extensive SKUs (30,000+) | High Local Responsiveness</w:t>
            </w:r>
            <w:r w:rsidRPr="00700844">
              <w:rPr>
                <w:rFonts w:ascii="Arial" w:hAnsi="Arial" w:cs="Arial"/>
                <w:color w:val="222222"/>
                <w:sz w:val="19"/>
              </w:rPr>
              <w:br/>
            </w:r>
            <w:r w:rsidRPr="00700844">
              <w:rPr>
                <w:rFonts w:ascii="Arial" w:hAnsi="Arial" w:cs="Arial"/>
                <w:color w:val="222222"/>
                <w:sz w:val="19"/>
              </w:rPr>
              <w:br/>
              <w:t>DOMESTIC ATACAREJO (Atacadão, Assaí):</w:t>
            </w:r>
            <w:r w:rsidRPr="00700844">
              <w:rPr>
                <w:rFonts w:ascii="Arial" w:hAnsi="Arial" w:cs="Arial"/>
                <w:color w:val="222222"/>
                <w:sz w:val="19"/>
              </w:rPr>
              <w:br/>
              <w:t>• Low Unit Prices | No Access Fee | Basic Industrial Ambience | Focus on Lower Classes</w:t>
            </w:r>
            <w:r w:rsidRPr="00700844">
              <w:rPr>
                <w:rFonts w:ascii="Arial" w:hAnsi="Arial" w:cs="Arial"/>
                <w:color w:val="222222"/>
                <w:sz w:val="19"/>
              </w:rPr>
              <w:br/>
            </w:r>
            <w:r w:rsidRPr="00700844">
              <w:rPr>
                <w:rFonts w:ascii="Arial" w:hAnsi="Arial" w:cs="Arial"/>
                <w:color w:val="222222"/>
                <w:sz w:val="19"/>
              </w:rPr>
              <w:br/>
              <w:t>COSTCO MEMBERSHIP WAREHOUSE CLUB:</w:t>
            </w:r>
            <w:r w:rsidRPr="00700844">
              <w:rPr>
                <w:rFonts w:ascii="Arial" w:hAnsi="Arial" w:cs="Arial"/>
                <w:color w:val="222222"/>
                <w:sz w:val="19"/>
              </w:rPr>
              <w:br/>
              <w:t>• Capped Markups (14-15%) | Annual Membership Fee | Curated SKUs (~4,000) | High Private Label</w:t>
            </w:r>
          </w:p>
        </w:tc>
      </w:tr>
    </w:tbl>
    <w:p w14:paraId="6115A179" w14:textId="77777777" w:rsidR="0029198B" w:rsidRPr="00EE62FF" w:rsidRDefault="0029198B">
      <w:pPr>
        <w:spacing w:after="80"/>
        <w:rPr>
          <w:rFonts w:ascii="Arial" w:hAnsi="Arial" w:cs="Arial"/>
        </w:rPr>
      </w:pPr>
    </w:p>
    <w:p w14:paraId="15E07BDF"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The domestic Atacarejo model combines wholesale cash-and-carry pricing with retail accessibility. Atacadão and Assaí operate warehouse-style facilities in major urban corridors, serving small businesses and cost-conscious consumers. Their competitive leverage relies on basic store fit-outs, limited customer service, and low-cost essential staples.</w:t>
      </w:r>
    </w:p>
    <w:p w14:paraId="5FFCD67A"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 instead occupies a Premium Warehouse Club position. Atacadão and Assaí compete through simpler stores and low prices, while Kirkland Signature, premium imports and member services provide differentiation. Direct price competition with lower-income consumers could compress margins.</w:t>
      </w:r>
    </w:p>
    <w:p w14:paraId="01BCF691"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 should target middle and upper-middle income groups (Class A, B, and upper Class C) in dense suburban areas. These customers are more able to pay annual membership fees, own vehicles for bulk purchases, and value quality imported products alongside domestic staples. This positioning avoids direct price competition while building brand equity.</w:t>
      </w:r>
    </w:p>
    <w:p w14:paraId="494BCFE6" w14:textId="77777777" w:rsidR="0029198B" w:rsidRPr="00700844" w:rsidRDefault="00000000">
      <w:pPr>
        <w:keepNext/>
        <w:spacing w:before="180" w:after="40"/>
        <w:rPr>
          <w:rFonts w:ascii="Arial" w:hAnsi="Arial" w:cs="Arial"/>
          <w:iCs/>
        </w:rPr>
      </w:pPr>
      <w:r w:rsidRPr="00700844">
        <w:rPr>
          <w:rFonts w:ascii="Arial" w:hAnsi="Arial" w:cs="Arial"/>
          <w:b/>
          <w:iCs/>
          <w:color w:val="1B365D"/>
        </w:rPr>
        <w:lastRenderedPageBreak/>
        <w:t>Detailed Comparative Analysis: Costco vs. Domestic Entrants</w:t>
      </w:r>
    </w:p>
    <w:tbl>
      <w:tblPr>
        <w:tblW w:w="0" w:type="auto"/>
        <w:jc w:val="center"/>
        <w:tblLook w:val="04A0" w:firstRow="1" w:lastRow="0" w:firstColumn="1" w:lastColumn="0" w:noHBand="0" w:noVBand="1"/>
      </w:tblPr>
      <w:tblGrid>
        <w:gridCol w:w="1872"/>
        <w:gridCol w:w="1872"/>
        <w:gridCol w:w="1872"/>
        <w:gridCol w:w="1872"/>
        <w:gridCol w:w="1872"/>
      </w:tblGrid>
      <w:tr w:rsidR="0029198B" w:rsidRPr="00EE62FF" w14:paraId="002B805C" w14:textId="77777777">
        <w:trPr>
          <w:jc w:val="center"/>
        </w:trPr>
        <w:tc>
          <w:tcPr>
            <w:tcW w:w="1872" w:type="dxa"/>
            <w:tcBorders>
              <w:top w:val="single" w:sz="4" w:space="0" w:color="E0E0E0"/>
              <w:bottom w:val="single" w:sz="4" w:space="0" w:color="E0E0E0"/>
            </w:tcBorders>
            <w:shd w:val="clear" w:color="auto" w:fill="1B365D"/>
          </w:tcPr>
          <w:p w14:paraId="7C737F5F" w14:textId="77777777" w:rsidR="0029198B" w:rsidRPr="00EE62FF" w:rsidRDefault="00000000">
            <w:pPr>
              <w:spacing w:before="60" w:after="60"/>
              <w:rPr>
                <w:rFonts w:ascii="Arial" w:hAnsi="Arial" w:cs="Arial"/>
              </w:rPr>
            </w:pPr>
            <w:r w:rsidRPr="00EE62FF">
              <w:rPr>
                <w:rFonts w:ascii="Arial" w:hAnsi="Arial" w:cs="Arial"/>
                <w:b/>
                <w:color w:val="FFFFFF"/>
                <w:sz w:val="19"/>
              </w:rPr>
              <w:t>Operational Variable</w:t>
            </w:r>
          </w:p>
        </w:tc>
        <w:tc>
          <w:tcPr>
            <w:tcW w:w="1872" w:type="dxa"/>
            <w:tcBorders>
              <w:top w:val="single" w:sz="4" w:space="0" w:color="E0E0E0"/>
              <w:bottom w:val="single" w:sz="4" w:space="0" w:color="E0E0E0"/>
            </w:tcBorders>
            <w:shd w:val="clear" w:color="auto" w:fill="1B365D"/>
          </w:tcPr>
          <w:p w14:paraId="75EA6807" w14:textId="77777777" w:rsidR="0029198B" w:rsidRPr="00EE62FF" w:rsidRDefault="00000000">
            <w:pPr>
              <w:spacing w:before="60" w:after="60"/>
              <w:rPr>
                <w:rFonts w:ascii="Arial" w:hAnsi="Arial" w:cs="Arial"/>
              </w:rPr>
            </w:pPr>
            <w:r w:rsidRPr="00EE62FF">
              <w:rPr>
                <w:rFonts w:ascii="Arial" w:hAnsi="Arial" w:cs="Arial"/>
                <w:b/>
                <w:color w:val="FFFFFF"/>
                <w:sz w:val="19"/>
              </w:rPr>
              <w:t>Costco Wholesale</w:t>
            </w:r>
          </w:p>
        </w:tc>
        <w:tc>
          <w:tcPr>
            <w:tcW w:w="1872" w:type="dxa"/>
            <w:tcBorders>
              <w:top w:val="single" w:sz="4" w:space="0" w:color="E0E0E0"/>
              <w:bottom w:val="single" w:sz="4" w:space="0" w:color="E0E0E0"/>
            </w:tcBorders>
            <w:shd w:val="clear" w:color="auto" w:fill="1B365D"/>
          </w:tcPr>
          <w:p w14:paraId="3CA5D2F3" w14:textId="77777777" w:rsidR="0029198B" w:rsidRPr="00EE62FF" w:rsidRDefault="00000000">
            <w:pPr>
              <w:spacing w:before="60" w:after="60"/>
              <w:rPr>
                <w:rFonts w:ascii="Arial" w:hAnsi="Arial" w:cs="Arial"/>
              </w:rPr>
            </w:pPr>
            <w:r w:rsidRPr="00EE62FF">
              <w:rPr>
                <w:rFonts w:ascii="Arial" w:hAnsi="Arial" w:cs="Arial"/>
                <w:b/>
                <w:color w:val="FFFFFF"/>
                <w:sz w:val="19"/>
              </w:rPr>
              <w:t>Assaí Atacadista</w:t>
            </w:r>
          </w:p>
        </w:tc>
        <w:tc>
          <w:tcPr>
            <w:tcW w:w="1872" w:type="dxa"/>
            <w:tcBorders>
              <w:top w:val="single" w:sz="4" w:space="0" w:color="E0E0E0"/>
              <w:bottom w:val="single" w:sz="4" w:space="0" w:color="E0E0E0"/>
            </w:tcBorders>
            <w:shd w:val="clear" w:color="auto" w:fill="1B365D"/>
          </w:tcPr>
          <w:p w14:paraId="409A783D" w14:textId="77777777" w:rsidR="0029198B" w:rsidRPr="00EE62FF" w:rsidRDefault="00000000">
            <w:pPr>
              <w:spacing w:before="60" w:after="60"/>
              <w:rPr>
                <w:rFonts w:ascii="Arial" w:hAnsi="Arial" w:cs="Arial"/>
              </w:rPr>
            </w:pPr>
            <w:r w:rsidRPr="00EE62FF">
              <w:rPr>
                <w:rFonts w:ascii="Arial" w:hAnsi="Arial" w:cs="Arial"/>
                <w:b/>
                <w:color w:val="FFFFFF"/>
                <w:sz w:val="19"/>
              </w:rPr>
              <w:t>Atacadão (Carrefour)</w:t>
            </w:r>
          </w:p>
        </w:tc>
        <w:tc>
          <w:tcPr>
            <w:tcW w:w="1872" w:type="dxa"/>
            <w:tcBorders>
              <w:top w:val="single" w:sz="4" w:space="0" w:color="E0E0E0"/>
              <w:bottom w:val="single" w:sz="4" w:space="0" w:color="E0E0E0"/>
            </w:tcBorders>
            <w:shd w:val="clear" w:color="auto" w:fill="1B365D"/>
          </w:tcPr>
          <w:p w14:paraId="01038C56" w14:textId="77777777" w:rsidR="0029198B" w:rsidRPr="00EE62FF" w:rsidRDefault="00000000">
            <w:pPr>
              <w:spacing w:before="60" w:after="60"/>
              <w:rPr>
                <w:rFonts w:ascii="Arial" w:hAnsi="Arial" w:cs="Arial"/>
              </w:rPr>
            </w:pPr>
            <w:r w:rsidRPr="00EE62FF">
              <w:rPr>
                <w:rFonts w:ascii="Arial" w:hAnsi="Arial" w:cs="Arial"/>
                <w:b/>
                <w:color w:val="FFFFFF"/>
                <w:sz w:val="19"/>
              </w:rPr>
              <w:t>Traditional Hypermarkets</w:t>
            </w:r>
          </w:p>
        </w:tc>
      </w:tr>
      <w:tr w:rsidR="0029198B" w:rsidRPr="00EE62FF" w14:paraId="7B865D05" w14:textId="77777777">
        <w:trPr>
          <w:jc w:val="center"/>
        </w:trPr>
        <w:tc>
          <w:tcPr>
            <w:tcW w:w="1872" w:type="dxa"/>
            <w:tcBorders>
              <w:top w:val="single" w:sz="4" w:space="0" w:color="E0E0E0"/>
              <w:bottom w:val="single" w:sz="4" w:space="0" w:color="E0E0E0"/>
            </w:tcBorders>
            <w:shd w:val="clear" w:color="auto" w:fill="FFFFFF"/>
          </w:tcPr>
          <w:p w14:paraId="1FE7F6FB" w14:textId="77777777" w:rsidR="0029198B" w:rsidRPr="00EE62FF" w:rsidRDefault="00000000">
            <w:pPr>
              <w:spacing w:before="60" w:after="60"/>
              <w:rPr>
                <w:rFonts w:ascii="Arial" w:hAnsi="Arial" w:cs="Arial"/>
              </w:rPr>
            </w:pPr>
            <w:r w:rsidRPr="00EE62FF">
              <w:rPr>
                <w:rFonts w:ascii="Arial" w:hAnsi="Arial" w:cs="Arial"/>
                <w:color w:val="222222"/>
                <w:sz w:val="18"/>
              </w:rPr>
              <w:t>Access Model</w:t>
            </w:r>
          </w:p>
        </w:tc>
        <w:tc>
          <w:tcPr>
            <w:tcW w:w="1872" w:type="dxa"/>
            <w:tcBorders>
              <w:top w:val="single" w:sz="4" w:space="0" w:color="E0E0E0"/>
              <w:bottom w:val="single" w:sz="4" w:space="0" w:color="E0E0E0"/>
            </w:tcBorders>
            <w:shd w:val="clear" w:color="auto" w:fill="FFFFFF"/>
          </w:tcPr>
          <w:p w14:paraId="20FACAF2" w14:textId="77777777" w:rsidR="0029198B" w:rsidRPr="00EE62FF" w:rsidRDefault="00000000">
            <w:pPr>
              <w:spacing w:before="60" w:after="60"/>
              <w:rPr>
                <w:rFonts w:ascii="Arial" w:hAnsi="Arial" w:cs="Arial"/>
              </w:rPr>
            </w:pPr>
            <w:r w:rsidRPr="00EE62FF">
              <w:rPr>
                <w:rFonts w:ascii="Arial" w:hAnsi="Arial" w:cs="Arial"/>
                <w:color w:val="222222"/>
                <w:sz w:val="18"/>
              </w:rPr>
              <w:t>Annual Paid Membership</w:t>
            </w:r>
          </w:p>
        </w:tc>
        <w:tc>
          <w:tcPr>
            <w:tcW w:w="1872" w:type="dxa"/>
            <w:tcBorders>
              <w:top w:val="single" w:sz="4" w:space="0" w:color="E0E0E0"/>
              <w:bottom w:val="single" w:sz="4" w:space="0" w:color="E0E0E0"/>
            </w:tcBorders>
            <w:shd w:val="clear" w:color="auto" w:fill="FFFFFF"/>
          </w:tcPr>
          <w:p w14:paraId="50486620" w14:textId="77777777" w:rsidR="0029198B" w:rsidRPr="00EE62FF" w:rsidRDefault="00000000">
            <w:pPr>
              <w:spacing w:before="60" w:after="60"/>
              <w:rPr>
                <w:rFonts w:ascii="Arial" w:hAnsi="Arial" w:cs="Arial"/>
              </w:rPr>
            </w:pPr>
            <w:r w:rsidRPr="00EE62FF">
              <w:rPr>
                <w:rFonts w:ascii="Arial" w:hAnsi="Arial" w:cs="Arial"/>
                <w:color w:val="222222"/>
                <w:sz w:val="18"/>
              </w:rPr>
              <w:t>Free / Open Public Access</w:t>
            </w:r>
          </w:p>
        </w:tc>
        <w:tc>
          <w:tcPr>
            <w:tcW w:w="1872" w:type="dxa"/>
            <w:tcBorders>
              <w:top w:val="single" w:sz="4" w:space="0" w:color="E0E0E0"/>
              <w:bottom w:val="single" w:sz="4" w:space="0" w:color="E0E0E0"/>
            </w:tcBorders>
            <w:shd w:val="clear" w:color="auto" w:fill="FFFFFF"/>
          </w:tcPr>
          <w:p w14:paraId="0482CD05" w14:textId="77777777" w:rsidR="0029198B" w:rsidRPr="00EE62FF" w:rsidRDefault="00000000">
            <w:pPr>
              <w:spacing w:before="60" w:after="60"/>
              <w:rPr>
                <w:rFonts w:ascii="Arial" w:hAnsi="Arial" w:cs="Arial"/>
              </w:rPr>
            </w:pPr>
            <w:r w:rsidRPr="00EE62FF">
              <w:rPr>
                <w:rFonts w:ascii="Arial" w:hAnsi="Arial" w:cs="Arial"/>
                <w:color w:val="222222"/>
                <w:sz w:val="18"/>
              </w:rPr>
              <w:t>Free / Open Public Access</w:t>
            </w:r>
          </w:p>
        </w:tc>
        <w:tc>
          <w:tcPr>
            <w:tcW w:w="1872" w:type="dxa"/>
            <w:tcBorders>
              <w:top w:val="single" w:sz="4" w:space="0" w:color="E0E0E0"/>
              <w:bottom w:val="single" w:sz="4" w:space="0" w:color="E0E0E0"/>
            </w:tcBorders>
            <w:shd w:val="clear" w:color="auto" w:fill="FFFFFF"/>
          </w:tcPr>
          <w:p w14:paraId="28FFE1CE" w14:textId="77777777" w:rsidR="0029198B" w:rsidRPr="00EE62FF" w:rsidRDefault="00000000">
            <w:pPr>
              <w:spacing w:before="60" w:after="60"/>
              <w:rPr>
                <w:rFonts w:ascii="Arial" w:hAnsi="Arial" w:cs="Arial"/>
              </w:rPr>
            </w:pPr>
            <w:r w:rsidRPr="00EE62FF">
              <w:rPr>
                <w:rFonts w:ascii="Arial" w:hAnsi="Arial" w:cs="Arial"/>
                <w:color w:val="222222"/>
                <w:sz w:val="18"/>
              </w:rPr>
              <w:t>Free / Open Public Access</w:t>
            </w:r>
          </w:p>
        </w:tc>
      </w:tr>
      <w:tr w:rsidR="0029198B" w:rsidRPr="00EE62FF" w14:paraId="56B44AE5" w14:textId="77777777">
        <w:trPr>
          <w:jc w:val="center"/>
        </w:trPr>
        <w:tc>
          <w:tcPr>
            <w:tcW w:w="1872" w:type="dxa"/>
            <w:tcBorders>
              <w:top w:val="single" w:sz="4" w:space="0" w:color="E0E0E0"/>
              <w:bottom w:val="single" w:sz="4" w:space="0" w:color="E0E0E0"/>
            </w:tcBorders>
            <w:shd w:val="clear" w:color="auto" w:fill="F9FAFC"/>
          </w:tcPr>
          <w:p w14:paraId="6CAB8A11" w14:textId="77777777" w:rsidR="0029198B" w:rsidRPr="00EE62FF" w:rsidRDefault="00000000">
            <w:pPr>
              <w:spacing w:before="60" w:after="60"/>
              <w:rPr>
                <w:rFonts w:ascii="Arial" w:hAnsi="Arial" w:cs="Arial"/>
              </w:rPr>
            </w:pPr>
            <w:r w:rsidRPr="00EE62FF">
              <w:rPr>
                <w:rFonts w:ascii="Arial" w:hAnsi="Arial" w:cs="Arial"/>
                <w:color w:val="222222"/>
                <w:sz w:val="18"/>
              </w:rPr>
              <w:t>SKU Density</w:t>
            </w:r>
          </w:p>
        </w:tc>
        <w:tc>
          <w:tcPr>
            <w:tcW w:w="1872" w:type="dxa"/>
            <w:tcBorders>
              <w:top w:val="single" w:sz="4" w:space="0" w:color="E0E0E0"/>
              <w:bottom w:val="single" w:sz="4" w:space="0" w:color="E0E0E0"/>
            </w:tcBorders>
            <w:shd w:val="clear" w:color="auto" w:fill="F9FAFC"/>
          </w:tcPr>
          <w:p w14:paraId="0BDC94C2" w14:textId="77777777" w:rsidR="0029198B" w:rsidRPr="00EE62FF" w:rsidRDefault="00000000">
            <w:pPr>
              <w:spacing w:before="60" w:after="60"/>
              <w:rPr>
                <w:rFonts w:ascii="Arial" w:hAnsi="Arial" w:cs="Arial"/>
              </w:rPr>
            </w:pPr>
            <w:r w:rsidRPr="00EE62FF">
              <w:rPr>
                <w:rFonts w:ascii="Arial" w:hAnsi="Arial" w:cs="Arial"/>
                <w:color w:val="222222"/>
                <w:sz w:val="18"/>
              </w:rPr>
              <w:t>Ultra-Low (3,700–4,000)</w:t>
            </w:r>
          </w:p>
        </w:tc>
        <w:tc>
          <w:tcPr>
            <w:tcW w:w="1872" w:type="dxa"/>
            <w:tcBorders>
              <w:top w:val="single" w:sz="4" w:space="0" w:color="E0E0E0"/>
              <w:bottom w:val="single" w:sz="4" w:space="0" w:color="E0E0E0"/>
            </w:tcBorders>
            <w:shd w:val="clear" w:color="auto" w:fill="F9FAFC"/>
          </w:tcPr>
          <w:p w14:paraId="28437D37" w14:textId="77777777" w:rsidR="0029198B" w:rsidRPr="00EE62FF" w:rsidRDefault="00000000">
            <w:pPr>
              <w:spacing w:before="60" w:after="60"/>
              <w:rPr>
                <w:rFonts w:ascii="Arial" w:hAnsi="Arial" w:cs="Arial"/>
              </w:rPr>
            </w:pPr>
            <w:r w:rsidRPr="00EE62FF">
              <w:rPr>
                <w:rFonts w:ascii="Arial" w:hAnsi="Arial" w:cs="Arial"/>
                <w:color w:val="222222"/>
                <w:sz w:val="18"/>
              </w:rPr>
              <w:t>Moderate (7,000–9,000)</w:t>
            </w:r>
          </w:p>
        </w:tc>
        <w:tc>
          <w:tcPr>
            <w:tcW w:w="1872" w:type="dxa"/>
            <w:tcBorders>
              <w:top w:val="single" w:sz="4" w:space="0" w:color="E0E0E0"/>
              <w:bottom w:val="single" w:sz="4" w:space="0" w:color="E0E0E0"/>
            </w:tcBorders>
            <w:shd w:val="clear" w:color="auto" w:fill="F9FAFC"/>
          </w:tcPr>
          <w:p w14:paraId="40277D4C" w14:textId="77777777" w:rsidR="0029198B" w:rsidRPr="00EE62FF" w:rsidRDefault="00000000">
            <w:pPr>
              <w:spacing w:before="60" w:after="60"/>
              <w:rPr>
                <w:rFonts w:ascii="Arial" w:hAnsi="Arial" w:cs="Arial"/>
              </w:rPr>
            </w:pPr>
            <w:r w:rsidRPr="00EE62FF">
              <w:rPr>
                <w:rFonts w:ascii="Arial" w:hAnsi="Arial" w:cs="Arial"/>
                <w:color w:val="222222"/>
                <w:sz w:val="18"/>
              </w:rPr>
              <w:t>Moderate (8,000–10,000)</w:t>
            </w:r>
          </w:p>
        </w:tc>
        <w:tc>
          <w:tcPr>
            <w:tcW w:w="1872" w:type="dxa"/>
            <w:tcBorders>
              <w:top w:val="single" w:sz="4" w:space="0" w:color="E0E0E0"/>
              <w:bottom w:val="single" w:sz="4" w:space="0" w:color="E0E0E0"/>
            </w:tcBorders>
            <w:shd w:val="clear" w:color="auto" w:fill="F9FAFC"/>
          </w:tcPr>
          <w:p w14:paraId="45FEB00A" w14:textId="77777777" w:rsidR="0029198B" w:rsidRPr="00EE62FF" w:rsidRDefault="00000000">
            <w:pPr>
              <w:spacing w:before="60" w:after="60"/>
              <w:rPr>
                <w:rFonts w:ascii="Arial" w:hAnsi="Arial" w:cs="Arial"/>
              </w:rPr>
            </w:pPr>
            <w:r w:rsidRPr="00EE62FF">
              <w:rPr>
                <w:rFonts w:ascii="Arial" w:hAnsi="Arial" w:cs="Arial"/>
                <w:color w:val="222222"/>
                <w:sz w:val="18"/>
              </w:rPr>
              <w:t>High (30,000–50,000)</w:t>
            </w:r>
          </w:p>
        </w:tc>
      </w:tr>
      <w:tr w:rsidR="0029198B" w:rsidRPr="00EE62FF" w14:paraId="5987C7FF" w14:textId="77777777">
        <w:trPr>
          <w:jc w:val="center"/>
        </w:trPr>
        <w:tc>
          <w:tcPr>
            <w:tcW w:w="1872" w:type="dxa"/>
            <w:tcBorders>
              <w:top w:val="single" w:sz="4" w:space="0" w:color="E0E0E0"/>
              <w:bottom w:val="single" w:sz="4" w:space="0" w:color="E0E0E0"/>
            </w:tcBorders>
            <w:shd w:val="clear" w:color="auto" w:fill="FFFFFF"/>
          </w:tcPr>
          <w:p w14:paraId="5DAA162C" w14:textId="77777777" w:rsidR="0029198B" w:rsidRPr="00EE62FF" w:rsidRDefault="00000000">
            <w:pPr>
              <w:spacing w:before="60" w:after="60"/>
              <w:rPr>
                <w:rFonts w:ascii="Arial" w:hAnsi="Arial" w:cs="Arial"/>
              </w:rPr>
            </w:pPr>
            <w:r w:rsidRPr="00EE62FF">
              <w:rPr>
                <w:rFonts w:ascii="Arial" w:hAnsi="Arial" w:cs="Arial"/>
                <w:color w:val="222222"/>
                <w:sz w:val="18"/>
              </w:rPr>
              <w:t>Target Demographic</w:t>
            </w:r>
          </w:p>
        </w:tc>
        <w:tc>
          <w:tcPr>
            <w:tcW w:w="1872" w:type="dxa"/>
            <w:tcBorders>
              <w:top w:val="single" w:sz="4" w:space="0" w:color="E0E0E0"/>
              <w:bottom w:val="single" w:sz="4" w:space="0" w:color="E0E0E0"/>
            </w:tcBorders>
            <w:shd w:val="clear" w:color="auto" w:fill="FFFFFF"/>
          </w:tcPr>
          <w:p w14:paraId="61216DCC" w14:textId="77777777" w:rsidR="0029198B" w:rsidRPr="00EE62FF" w:rsidRDefault="00000000">
            <w:pPr>
              <w:spacing w:before="60" w:after="60"/>
              <w:rPr>
                <w:rFonts w:ascii="Arial" w:hAnsi="Arial" w:cs="Arial"/>
              </w:rPr>
            </w:pPr>
            <w:r w:rsidRPr="00EE62FF">
              <w:rPr>
                <w:rFonts w:ascii="Arial" w:hAnsi="Arial" w:cs="Arial"/>
                <w:color w:val="222222"/>
                <w:sz w:val="18"/>
              </w:rPr>
              <w:t>Classes A, B, Upper C</w:t>
            </w:r>
          </w:p>
        </w:tc>
        <w:tc>
          <w:tcPr>
            <w:tcW w:w="1872" w:type="dxa"/>
            <w:tcBorders>
              <w:top w:val="single" w:sz="4" w:space="0" w:color="E0E0E0"/>
              <w:bottom w:val="single" w:sz="4" w:space="0" w:color="E0E0E0"/>
            </w:tcBorders>
            <w:shd w:val="clear" w:color="auto" w:fill="FFFFFF"/>
          </w:tcPr>
          <w:p w14:paraId="5A7E26D1" w14:textId="77777777" w:rsidR="0029198B" w:rsidRPr="00EE62FF" w:rsidRDefault="00000000">
            <w:pPr>
              <w:spacing w:before="60" w:after="60"/>
              <w:rPr>
                <w:rFonts w:ascii="Arial" w:hAnsi="Arial" w:cs="Arial"/>
              </w:rPr>
            </w:pPr>
            <w:r w:rsidRPr="00EE62FF">
              <w:rPr>
                <w:rFonts w:ascii="Arial" w:hAnsi="Arial" w:cs="Arial"/>
                <w:color w:val="222222"/>
                <w:sz w:val="18"/>
              </w:rPr>
              <w:t>Classes C, D, E &amp; B2B</w:t>
            </w:r>
          </w:p>
        </w:tc>
        <w:tc>
          <w:tcPr>
            <w:tcW w:w="1872" w:type="dxa"/>
            <w:tcBorders>
              <w:top w:val="single" w:sz="4" w:space="0" w:color="E0E0E0"/>
              <w:bottom w:val="single" w:sz="4" w:space="0" w:color="E0E0E0"/>
            </w:tcBorders>
            <w:shd w:val="clear" w:color="auto" w:fill="FFFFFF"/>
          </w:tcPr>
          <w:p w14:paraId="34A3F57F" w14:textId="77777777" w:rsidR="0029198B" w:rsidRPr="00EE62FF" w:rsidRDefault="00000000">
            <w:pPr>
              <w:spacing w:before="60" w:after="60"/>
              <w:rPr>
                <w:rFonts w:ascii="Arial" w:hAnsi="Arial" w:cs="Arial"/>
              </w:rPr>
            </w:pPr>
            <w:r w:rsidRPr="00EE62FF">
              <w:rPr>
                <w:rFonts w:ascii="Arial" w:hAnsi="Arial" w:cs="Arial"/>
                <w:color w:val="222222"/>
                <w:sz w:val="18"/>
              </w:rPr>
              <w:t>Classes C, D, E &amp; B2B</w:t>
            </w:r>
          </w:p>
        </w:tc>
        <w:tc>
          <w:tcPr>
            <w:tcW w:w="1872" w:type="dxa"/>
            <w:tcBorders>
              <w:top w:val="single" w:sz="4" w:space="0" w:color="E0E0E0"/>
              <w:bottom w:val="single" w:sz="4" w:space="0" w:color="E0E0E0"/>
            </w:tcBorders>
            <w:shd w:val="clear" w:color="auto" w:fill="FFFFFF"/>
          </w:tcPr>
          <w:p w14:paraId="110DCD40" w14:textId="77777777" w:rsidR="0029198B" w:rsidRPr="00EE62FF" w:rsidRDefault="00000000">
            <w:pPr>
              <w:spacing w:before="60" w:after="60"/>
              <w:rPr>
                <w:rFonts w:ascii="Arial" w:hAnsi="Arial" w:cs="Arial"/>
              </w:rPr>
            </w:pPr>
            <w:r w:rsidRPr="00EE62FF">
              <w:rPr>
                <w:rFonts w:ascii="Arial" w:hAnsi="Arial" w:cs="Arial"/>
                <w:color w:val="222222"/>
                <w:sz w:val="18"/>
              </w:rPr>
              <w:t>Classes A, B, C</w:t>
            </w:r>
          </w:p>
        </w:tc>
      </w:tr>
      <w:tr w:rsidR="0029198B" w:rsidRPr="00EE62FF" w14:paraId="085D0E38" w14:textId="77777777">
        <w:trPr>
          <w:jc w:val="center"/>
        </w:trPr>
        <w:tc>
          <w:tcPr>
            <w:tcW w:w="1872" w:type="dxa"/>
            <w:tcBorders>
              <w:top w:val="single" w:sz="4" w:space="0" w:color="E0E0E0"/>
              <w:bottom w:val="single" w:sz="4" w:space="0" w:color="E0E0E0"/>
            </w:tcBorders>
            <w:shd w:val="clear" w:color="auto" w:fill="F9FAFC"/>
          </w:tcPr>
          <w:p w14:paraId="491060DF" w14:textId="77777777" w:rsidR="0029198B" w:rsidRPr="00EE62FF" w:rsidRDefault="00000000">
            <w:pPr>
              <w:spacing w:before="60" w:after="60"/>
              <w:rPr>
                <w:rFonts w:ascii="Arial" w:hAnsi="Arial" w:cs="Arial"/>
              </w:rPr>
            </w:pPr>
            <w:r w:rsidRPr="00EE62FF">
              <w:rPr>
                <w:rFonts w:ascii="Arial" w:hAnsi="Arial" w:cs="Arial"/>
                <w:color w:val="222222"/>
                <w:sz w:val="18"/>
              </w:rPr>
              <w:t>Gross Margin Cap</w:t>
            </w:r>
          </w:p>
        </w:tc>
        <w:tc>
          <w:tcPr>
            <w:tcW w:w="1872" w:type="dxa"/>
            <w:tcBorders>
              <w:top w:val="single" w:sz="4" w:space="0" w:color="E0E0E0"/>
              <w:bottom w:val="single" w:sz="4" w:space="0" w:color="E0E0E0"/>
            </w:tcBorders>
            <w:shd w:val="clear" w:color="auto" w:fill="F9FAFC"/>
          </w:tcPr>
          <w:p w14:paraId="14611FAF" w14:textId="77777777" w:rsidR="0029198B" w:rsidRPr="00EE62FF" w:rsidRDefault="00000000">
            <w:pPr>
              <w:spacing w:before="60" w:after="60"/>
              <w:rPr>
                <w:rFonts w:ascii="Arial" w:hAnsi="Arial" w:cs="Arial"/>
              </w:rPr>
            </w:pPr>
            <w:r w:rsidRPr="00EE62FF">
              <w:rPr>
                <w:rFonts w:ascii="Arial" w:hAnsi="Arial" w:cs="Arial"/>
                <w:color w:val="222222"/>
                <w:sz w:val="18"/>
              </w:rPr>
              <w:t>Strictly Capped (14–15%)</w:t>
            </w:r>
          </w:p>
        </w:tc>
        <w:tc>
          <w:tcPr>
            <w:tcW w:w="1872" w:type="dxa"/>
            <w:tcBorders>
              <w:top w:val="single" w:sz="4" w:space="0" w:color="E0E0E0"/>
              <w:bottom w:val="single" w:sz="4" w:space="0" w:color="E0E0E0"/>
            </w:tcBorders>
            <w:shd w:val="clear" w:color="auto" w:fill="F9FAFC"/>
          </w:tcPr>
          <w:p w14:paraId="6D0939CA" w14:textId="77777777" w:rsidR="0029198B" w:rsidRPr="00EE62FF" w:rsidRDefault="00000000">
            <w:pPr>
              <w:spacing w:before="60" w:after="60"/>
              <w:rPr>
                <w:rFonts w:ascii="Arial" w:hAnsi="Arial" w:cs="Arial"/>
              </w:rPr>
            </w:pPr>
            <w:r w:rsidRPr="00EE62FF">
              <w:rPr>
                <w:rFonts w:ascii="Arial" w:hAnsi="Arial" w:cs="Arial"/>
                <w:color w:val="222222"/>
                <w:sz w:val="18"/>
              </w:rPr>
              <w:t>Variable (16–20%)</w:t>
            </w:r>
          </w:p>
        </w:tc>
        <w:tc>
          <w:tcPr>
            <w:tcW w:w="1872" w:type="dxa"/>
            <w:tcBorders>
              <w:top w:val="single" w:sz="4" w:space="0" w:color="E0E0E0"/>
              <w:bottom w:val="single" w:sz="4" w:space="0" w:color="E0E0E0"/>
            </w:tcBorders>
            <w:shd w:val="clear" w:color="auto" w:fill="F9FAFC"/>
          </w:tcPr>
          <w:p w14:paraId="15FAE396" w14:textId="77777777" w:rsidR="0029198B" w:rsidRPr="00EE62FF" w:rsidRDefault="00000000">
            <w:pPr>
              <w:spacing w:before="60" w:after="60"/>
              <w:rPr>
                <w:rFonts w:ascii="Arial" w:hAnsi="Arial" w:cs="Arial"/>
              </w:rPr>
            </w:pPr>
            <w:r w:rsidRPr="00EE62FF">
              <w:rPr>
                <w:rFonts w:ascii="Arial" w:hAnsi="Arial" w:cs="Arial"/>
                <w:color w:val="222222"/>
                <w:sz w:val="18"/>
              </w:rPr>
              <w:t>Variable (15–18%)</w:t>
            </w:r>
          </w:p>
        </w:tc>
        <w:tc>
          <w:tcPr>
            <w:tcW w:w="1872" w:type="dxa"/>
            <w:tcBorders>
              <w:top w:val="single" w:sz="4" w:space="0" w:color="E0E0E0"/>
              <w:bottom w:val="single" w:sz="4" w:space="0" w:color="E0E0E0"/>
            </w:tcBorders>
            <w:shd w:val="clear" w:color="auto" w:fill="F9FAFC"/>
          </w:tcPr>
          <w:p w14:paraId="54F9A5DE" w14:textId="77777777" w:rsidR="0029198B" w:rsidRPr="00EE62FF" w:rsidRDefault="00000000">
            <w:pPr>
              <w:spacing w:before="60" w:after="60"/>
              <w:rPr>
                <w:rFonts w:ascii="Arial" w:hAnsi="Arial" w:cs="Arial"/>
              </w:rPr>
            </w:pPr>
            <w:r w:rsidRPr="00EE62FF">
              <w:rPr>
                <w:rFonts w:ascii="Arial" w:hAnsi="Arial" w:cs="Arial"/>
                <w:color w:val="222222"/>
                <w:sz w:val="18"/>
              </w:rPr>
              <w:t>High (25–35%)</w:t>
            </w:r>
          </w:p>
        </w:tc>
      </w:tr>
      <w:tr w:rsidR="0029198B" w:rsidRPr="00EE62FF" w14:paraId="150F58D4" w14:textId="77777777">
        <w:trPr>
          <w:jc w:val="center"/>
        </w:trPr>
        <w:tc>
          <w:tcPr>
            <w:tcW w:w="1872" w:type="dxa"/>
            <w:tcBorders>
              <w:top w:val="single" w:sz="4" w:space="0" w:color="E0E0E0"/>
              <w:bottom w:val="single" w:sz="4" w:space="0" w:color="E0E0E0"/>
            </w:tcBorders>
            <w:shd w:val="clear" w:color="auto" w:fill="FFFFFF"/>
          </w:tcPr>
          <w:p w14:paraId="74F72247" w14:textId="77777777" w:rsidR="0029198B" w:rsidRPr="00EE62FF" w:rsidRDefault="00000000">
            <w:pPr>
              <w:spacing w:before="60" w:after="60"/>
              <w:rPr>
                <w:rFonts w:ascii="Arial" w:hAnsi="Arial" w:cs="Arial"/>
              </w:rPr>
            </w:pPr>
            <w:r w:rsidRPr="00EE62FF">
              <w:rPr>
                <w:rFonts w:ascii="Arial" w:hAnsi="Arial" w:cs="Arial"/>
                <w:color w:val="222222"/>
                <w:sz w:val="18"/>
              </w:rPr>
              <w:t>Private Label Share</w:t>
            </w:r>
          </w:p>
        </w:tc>
        <w:tc>
          <w:tcPr>
            <w:tcW w:w="1872" w:type="dxa"/>
            <w:tcBorders>
              <w:top w:val="single" w:sz="4" w:space="0" w:color="E0E0E0"/>
              <w:bottom w:val="single" w:sz="4" w:space="0" w:color="E0E0E0"/>
            </w:tcBorders>
            <w:shd w:val="clear" w:color="auto" w:fill="FFFFFF"/>
          </w:tcPr>
          <w:p w14:paraId="47EAF6E0" w14:textId="77777777" w:rsidR="0029198B" w:rsidRPr="00EE62FF" w:rsidRDefault="00000000">
            <w:pPr>
              <w:spacing w:before="60" w:after="60"/>
              <w:rPr>
                <w:rFonts w:ascii="Arial" w:hAnsi="Arial" w:cs="Arial"/>
              </w:rPr>
            </w:pPr>
            <w:r w:rsidRPr="00EE62FF">
              <w:rPr>
                <w:rFonts w:ascii="Arial" w:hAnsi="Arial" w:cs="Arial"/>
                <w:color w:val="222222"/>
                <w:sz w:val="18"/>
              </w:rPr>
              <w:t>High (Kirkland ~30%)</w:t>
            </w:r>
          </w:p>
        </w:tc>
        <w:tc>
          <w:tcPr>
            <w:tcW w:w="1872" w:type="dxa"/>
            <w:tcBorders>
              <w:top w:val="single" w:sz="4" w:space="0" w:color="E0E0E0"/>
              <w:bottom w:val="single" w:sz="4" w:space="0" w:color="E0E0E0"/>
            </w:tcBorders>
            <w:shd w:val="clear" w:color="auto" w:fill="FFFFFF"/>
          </w:tcPr>
          <w:p w14:paraId="1C0DDD99" w14:textId="77777777" w:rsidR="0029198B" w:rsidRPr="00EE62FF" w:rsidRDefault="00000000">
            <w:pPr>
              <w:spacing w:before="60" w:after="60"/>
              <w:rPr>
                <w:rFonts w:ascii="Arial" w:hAnsi="Arial" w:cs="Arial"/>
              </w:rPr>
            </w:pPr>
            <w:r w:rsidRPr="00EE62FF">
              <w:rPr>
                <w:rFonts w:ascii="Arial" w:hAnsi="Arial" w:cs="Arial"/>
                <w:color w:val="222222"/>
                <w:sz w:val="18"/>
              </w:rPr>
              <w:t>Low to Moderate</w:t>
            </w:r>
          </w:p>
        </w:tc>
        <w:tc>
          <w:tcPr>
            <w:tcW w:w="1872" w:type="dxa"/>
            <w:tcBorders>
              <w:top w:val="single" w:sz="4" w:space="0" w:color="E0E0E0"/>
              <w:bottom w:val="single" w:sz="4" w:space="0" w:color="E0E0E0"/>
            </w:tcBorders>
            <w:shd w:val="clear" w:color="auto" w:fill="FFFFFF"/>
          </w:tcPr>
          <w:p w14:paraId="5AFAF179" w14:textId="77777777" w:rsidR="0029198B" w:rsidRPr="00EE62FF" w:rsidRDefault="00000000">
            <w:pPr>
              <w:spacing w:before="60" w:after="60"/>
              <w:rPr>
                <w:rFonts w:ascii="Arial" w:hAnsi="Arial" w:cs="Arial"/>
              </w:rPr>
            </w:pPr>
            <w:r w:rsidRPr="00EE62FF">
              <w:rPr>
                <w:rFonts w:ascii="Arial" w:hAnsi="Arial" w:cs="Arial"/>
                <w:color w:val="222222"/>
                <w:sz w:val="18"/>
              </w:rPr>
              <w:t>Low to Moderate</w:t>
            </w:r>
          </w:p>
        </w:tc>
        <w:tc>
          <w:tcPr>
            <w:tcW w:w="1872" w:type="dxa"/>
            <w:tcBorders>
              <w:top w:val="single" w:sz="4" w:space="0" w:color="E0E0E0"/>
              <w:bottom w:val="single" w:sz="4" w:space="0" w:color="E0E0E0"/>
            </w:tcBorders>
            <w:shd w:val="clear" w:color="auto" w:fill="FFFFFF"/>
          </w:tcPr>
          <w:p w14:paraId="680EA651" w14:textId="77777777" w:rsidR="0029198B" w:rsidRPr="00EE62FF" w:rsidRDefault="00000000">
            <w:pPr>
              <w:spacing w:before="60" w:after="60"/>
              <w:rPr>
                <w:rFonts w:ascii="Arial" w:hAnsi="Arial" w:cs="Arial"/>
              </w:rPr>
            </w:pPr>
            <w:r w:rsidRPr="00EE62FF">
              <w:rPr>
                <w:rFonts w:ascii="Arial" w:hAnsi="Arial" w:cs="Arial"/>
                <w:color w:val="222222"/>
                <w:sz w:val="18"/>
              </w:rPr>
              <w:t>Moderate</w:t>
            </w:r>
          </w:p>
        </w:tc>
      </w:tr>
      <w:tr w:rsidR="0029198B" w:rsidRPr="00EE62FF" w14:paraId="77787DD7" w14:textId="77777777">
        <w:trPr>
          <w:jc w:val="center"/>
        </w:trPr>
        <w:tc>
          <w:tcPr>
            <w:tcW w:w="1872" w:type="dxa"/>
            <w:tcBorders>
              <w:top w:val="single" w:sz="4" w:space="0" w:color="E0E0E0"/>
              <w:bottom w:val="single" w:sz="4" w:space="0" w:color="E0E0E0"/>
            </w:tcBorders>
            <w:shd w:val="clear" w:color="auto" w:fill="F9FAFC"/>
          </w:tcPr>
          <w:p w14:paraId="08CF89F8" w14:textId="77777777" w:rsidR="0029198B" w:rsidRPr="00EE62FF" w:rsidRDefault="00000000">
            <w:pPr>
              <w:spacing w:before="60" w:after="60"/>
              <w:rPr>
                <w:rFonts w:ascii="Arial" w:hAnsi="Arial" w:cs="Arial"/>
              </w:rPr>
            </w:pPr>
            <w:r w:rsidRPr="00EE62FF">
              <w:rPr>
                <w:rFonts w:ascii="Arial" w:hAnsi="Arial" w:cs="Arial"/>
                <w:color w:val="222222"/>
                <w:sz w:val="18"/>
              </w:rPr>
              <w:t>Store Atmosphere</w:t>
            </w:r>
          </w:p>
        </w:tc>
        <w:tc>
          <w:tcPr>
            <w:tcW w:w="1872" w:type="dxa"/>
            <w:tcBorders>
              <w:top w:val="single" w:sz="4" w:space="0" w:color="E0E0E0"/>
              <w:bottom w:val="single" w:sz="4" w:space="0" w:color="E0E0E0"/>
            </w:tcBorders>
            <w:shd w:val="clear" w:color="auto" w:fill="F9FAFC"/>
          </w:tcPr>
          <w:p w14:paraId="1CECB77A" w14:textId="77777777" w:rsidR="0029198B" w:rsidRPr="00EE62FF" w:rsidRDefault="00000000">
            <w:pPr>
              <w:spacing w:before="60" w:after="60"/>
              <w:rPr>
                <w:rFonts w:ascii="Arial" w:hAnsi="Arial" w:cs="Arial"/>
              </w:rPr>
            </w:pPr>
            <w:r w:rsidRPr="00EE62FF">
              <w:rPr>
                <w:rFonts w:ascii="Arial" w:hAnsi="Arial" w:cs="Arial"/>
                <w:color w:val="222222"/>
                <w:sz w:val="18"/>
              </w:rPr>
              <w:t>Clean, High-End Industrial</w:t>
            </w:r>
          </w:p>
        </w:tc>
        <w:tc>
          <w:tcPr>
            <w:tcW w:w="1872" w:type="dxa"/>
            <w:tcBorders>
              <w:top w:val="single" w:sz="4" w:space="0" w:color="E0E0E0"/>
              <w:bottom w:val="single" w:sz="4" w:space="0" w:color="E0E0E0"/>
            </w:tcBorders>
            <w:shd w:val="clear" w:color="auto" w:fill="F9FAFC"/>
          </w:tcPr>
          <w:p w14:paraId="404788A1" w14:textId="77777777" w:rsidR="0029198B" w:rsidRPr="00EE62FF" w:rsidRDefault="00000000">
            <w:pPr>
              <w:spacing w:before="60" w:after="60"/>
              <w:rPr>
                <w:rFonts w:ascii="Arial" w:hAnsi="Arial" w:cs="Arial"/>
              </w:rPr>
            </w:pPr>
            <w:r w:rsidRPr="00EE62FF">
              <w:rPr>
                <w:rFonts w:ascii="Arial" w:hAnsi="Arial" w:cs="Arial"/>
                <w:color w:val="222222"/>
                <w:sz w:val="18"/>
              </w:rPr>
              <w:t>Basic Industrial Cash &amp; Carry</w:t>
            </w:r>
          </w:p>
        </w:tc>
        <w:tc>
          <w:tcPr>
            <w:tcW w:w="1872" w:type="dxa"/>
            <w:tcBorders>
              <w:top w:val="single" w:sz="4" w:space="0" w:color="E0E0E0"/>
              <w:bottom w:val="single" w:sz="4" w:space="0" w:color="E0E0E0"/>
            </w:tcBorders>
            <w:shd w:val="clear" w:color="auto" w:fill="F9FAFC"/>
          </w:tcPr>
          <w:p w14:paraId="13516301" w14:textId="77777777" w:rsidR="0029198B" w:rsidRPr="00EE62FF" w:rsidRDefault="00000000">
            <w:pPr>
              <w:spacing w:before="60" w:after="60"/>
              <w:rPr>
                <w:rFonts w:ascii="Arial" w:hAnsi="Arial" w:cs="Arial"/>
              </w:rPr>
            </w:pPr>
            <w:r w:rsidRPr="00EE62FF">
              <w:rPr>
                <w:rFonts w:ascii="Arial" w:hAnsi="Arial" w:cs="Arial"/>
                <w:color w:val="222222"/>
                <w:sz w:val="18"/>
              </w:rPr>
              <w:t>No-Frills Cash &amp; Carry</w:t>
            </w:r>
          </w:p>
        </w:tc>
        <w:tc>
          <w:tcPr>
            <w:tcW w:w="1872" w:type="dxa"/>
            <w:tcBorders>
              <w:top w:val="single" w:sz="4" w:space="0" w:color="E0E0E0"/>
              <w:bottom w:val="single" w:sz="4" w:space="0" w:color="E0E0E0"/>
            </w:tcBorders>
            <w:shd w:val="clear" w:color="auto" w:fill="F9FAFC"/>
          </w:tcPr>
          <w:p w14:paraId="344FE106" w14:textId="77777777" w:rsidR="0029198B" w:rsidRPr="00EE62FF" w:rsidRDefault="00000000">
            <w:pPr>
              <w:spacing w:before="60" w:after="60"/>
              <w:rPr>
                <w:rFonts w:ascii="Arial" w:hAnsi="Arial" w:cs="Arial"/>
              </w:rPr>
            </w:pPr>
            <w:r w:rsidRPr="00EE62FF">
              <w:rPr>
                <w:rFonts w:ascii="Arial" w:hAnsi="Arial" w:cs="Arial"/>
                <w:color w:val="222222"/>
                <w:sz w:val="18"/>
              </w:rPr>
              <w:t>Full-Service Supermarket</w:t>
            </w:r>
          </w:p>
        </w:tc>
      </w:tr>
    </w:tbl>
    <w:p w14:paraId="64809910" w14:textId="77777777" w:rsidR="0029198B" w:rsidRPr="00694806" w:rsidRDefault="0029198B" w:rsidP="00694806">
      <w:pPr>
        <w:spacing w:after="80" w:line="360" w:lineRule="auto"/>
        <w:jc w:val="both"/>
        <w:rPr>
          <w:rFonts w:ascii="Arial" w:hAnsi="Arial" w:cs="Arial"/>
          <w:sz w:val="24"/>
          <w:szCs w:val="24"/>
        </w:rPr>
      </w:pPr>
    </w:p>
    <w:p w14:paraId="347CF3AC"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This operational layout illustrates why directly copying North American store locations would fail in Brazil. Domestic Atacarejo competitors operate on slim margins but lack premium product lines and member services. Costco's competitive advantage in Brazil hinges on leveraging its proprietary private label and superior store environment to capture affluent urban consumers who currently lack a dedicated wholesale club experience.</w:t>
      </w:r>
    </w:p>
    <w:p w14:paraId="389CE6CD"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Institutional Void Analysis and Environmental Hazards</w:t>
      </w:r>
    </w:p>
    <w:p w14:paraId="764F0DBA"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Emerging markets often contain institutional voids—gaps in intermediaries, regulatory enforcement, and infrastructure. Khanna and Palepu's Institutional Void Framework provides a lens for evaluating Brazil's structural challenges beyond PESTLE indicators.</w:t>
      </w:r>
    </w:p>
    <w:p w14:paraId="51CE8ECE"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Logistics &amp; Contracting Voids:</w:t>
      </w:r>
      <w:r w:rsidRPr="00694806">
        <w:rPr>
          <w:rFonts w:ascii="Arial" w:hAnsi="Arial" w:cs="Arial"/>
          <w:sz w:val="24"/>
          <w:szCs w:val="24"/>
        </w:rPr>
        <w:t xml:space="preserve"> In Brazil, interstate logistics face security risks, toll variations, and highway congestion. Costco should develop dedicated logistics partnerships or invest in regional depots to protect cross-docking performance.</w:t>
      </w:r>
    </w:p>
    <w:p w14:paraId="7C4966F3"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Regulatory &amp; Judicial Ambiguity:</w:t>
      </w:r>
      <w:r w:rsidRPr="00694806">
        <w:rPr>
          <w:rFonts w:ascii="Arial" w:hAnsi="Arial" w:cs="Arial"/>
          <w:sz w:val="24"/>
          <w:szCs w:val="24"/>
        </w:rPr>
        <w:t xml:space="preserve"> Tax interpretations and municipal permits can create prolonged disputes and delays. Costco should establish robust internal legal audit mechanisms rather than relying only on external generalist firms.</w:t>
      </w:r>
    </w:p>
    <w:p w14:paraId="26FF6A9F"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lastRenderedPageBreak/>
        <w:t>Capital Market Frictions:</w:t>
      </w:r>
      <w:r w:rsidRPr="00694806">
        <w:rPr>
          <w:rFonts w:ascii="Arial" w:hAnsi="Arial" w:cs="Arial"/>
          <w:sz w:val="24"/>
          <w:szCs w:val="24"/>
        </w:rPr>
        <w:t xml:space="preserve"> Volatile Brazilian interest rates make local-currency debt expensive. Costco should use parent-company equity or specialised cross-border financing while hedging local currency exposure.</w:t>
      </w:r>
    </w:p>
    <w:p w14:paraId="2FAA106F"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Strategic Synthesis: The Eclectic (OLI) Paradigm</w:t>
      </w:r>
    </w:p>
    <w:p w14:paraId="2A452E6B"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To integrate these internal capabilities with external market factors, John Dunning's Eclectic (OLI) Paradigm provides a framework for evaluating foreign direct investment suitability through Ownership (O), Location (L), and Internalisation (I) advantages (Scribd, 2023).</w:t>
      </w:r>
    </w:p>
    <w:tbl>
      <w:tblPr>
        <w:tblW w:w="0" w:type="auto"/>
        <w:jc w:val="center"/>
        <w:tblLook w:val="04A0" w:firstRow="1" w:lastRow="0" w:firstColumn="1" w:lastColumn="0" w:noHBand="0" w:noVBand="1"/>
      </w:tblPr>
      <w:tblGrid>
        <w:gridCol w:w="9360"/>
      </w:tblGrid>
      <w:tr w:rsidR="0029198B" w:rsidRPr="00700844" w14:paraId="519C2542"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3B128C46" w14:textId="77777777" w:rsidR="0029198B" w:rsidRPr="00700844" w:rsidRDefault="00000000">
            <w:pPr>
              <w:spacing w:before="60" w:after="60"/>
              <w:rPr>
                <w:rFonts w:ascii="Arial" w:hAnsi="Arial" w:cs="Arial"/>
              </w:rPr>
            </w:pPr>
            <w:r w:rsidRPr="00700844">
              <w:rPr>
                <w:rFonts w:ascii="Arial" w:hAnsi="Arial" w:cs="Arial"/>
                <w:b/>
                <w:color w:val="1B365D"/>
                <w:sz w:val="20"/>
              </w:rPr>
              <w:t>Dunning's OLI Framework Breakdown for Costco</w:t>
            </w:r>
            <w:r w:rsidRPr="00700844">
              <w:rPr>
                <w:rFonts w:ascii="Arial" w:hAnsi="Arial" w:cs="Arial"/>
                <w:b/>
                <w:color w:val="1B365D"/>
                <w:sz w:val="20"/>
              </w:rPr>
              <w:br/>
            </w:r>
            <w:r w:rsidRPr="00700844">
              <w:rPr>
                <w:rFonts w:ascii="Arial" w:hAnsi="Arial" w:cs="Arial"/>
                <w:color w:val="222222"/>
                <w:sz w:val="19"/>
              </w:rPr>
              <w:t>OWNERSHIP ADVANTAGES: Kirkland Signature, Global Procurement, Membership Data Analytics</w:t>
            </w:r>
            <w:r w:rsidRPr="00700844">
              <w:rPr>
                <w:rFonts w:ascii="Arial" w:hAnsi="Arial" w:cs="Arial"/>
                <w:color w:val="222222"/>
                <w:sz w:val="19"/>
              </w:rPr>
              <w:br/>
              <w:t>LOCATION ADVANTAGES: Urban Density (SP/Rio), Middle-Class Scale, Digital Infrastructure</w:t>
            </w:r>
            <w:r w:rsidRPr="00700844">
              <w:rPr>
                <w:rFonts w:ascii="Arial" w:hAnsi="Arial" w:cs="Arial"/>
                <w:color w:val="222222"/>
                <w:sz w:val="19"/>
              </w:rPr>
              <w:br/>
              <w:t>INTERNALISATION ADVANTAGES: Protect Trade Secrets, Direct Quality Control, Preserve Culture</w:t>
            </w:r>
            <w:r w:rsidRPr="00700844">
              <w:rPr>
                <w:rFonts w:ascii="Arial" w:hAnsi="Arial" w:cs="Arial"/>
                <w:color w:val="222222"/>
                <w:sz w:val="19"/>
              </w:rPr>
              <w:br/>
              <w:t>=&gt; SYNTHESIS: Strongly favors Foreign Direct Investment over Licensing/Exporting.</w:t>
            </w:r>
          </w:p>
        </w:tc>
      </w:tr>
    </w:tbl>
    <w:p w14:paraId="6E4E27EB" w14:textId="77777777" w:rsidR="0029198B" w:rsidRPr="00EE62FF" w:rsidRDefault="0029198B">
      <w:pPr>
        <w:spacing w:after="80"/>
        <w:rPr>
          <w:rFonts w:ascii="Arial" w:hAnsi="Arial" w:cs="Arial"/>
        </w:rPr>
      </w:pPr>
    </w:p>
    <w:p w14:paraId="475E657F"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Ownership (O) Advantages: </w:t>
      </w:r>
      <w:r w:rsidRPr="00694806">
        <w:rPr>
          <w:rFonts w:ascii="Arial" w:hAnsi="Arial" w:cs="Arial"/>
          <w:color w:val="222222"/>
          <w:sz w:val="24"/>
          <w:szCs w:val="24"/>
        </w:rPr>
        <w:t>Costco possesses proprietary assets including the Kirkland Signature brand, advanced membership analytics, and high-volume global procurement scale (Scribd, 2023). Kirkland Signature offers national-brand quality at 20% to 30% lower prices (Alphabridge, 2025), providing a distinct private-label option that domestic competitors cannot easily replicate. This global buying scale provides cost advantages that support aggressive local pricing.</w:t>
      </w:r>
    </w:p>
    <w:p w14:paraId="0B688E2F"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Location (L) Advantages: </w:t>
      </w:r>
      <w:r w:rsidRPr="00694806">
        <w:rPr>
          <w:rFonts w:ascii="Arial" w:hAnsi="Arial" w:cs="Arial"/>
          <w:color w:val="222222"/>
          <w:sz w:val="24"/>
          <w:szCs w:val="24"/>
        </w:rPr>
        <w:t>Brazil offers dense metropolitan centers, specifically in southeastern regions like São Paulo and Rio de Janeiro (Altios, 2025). These areas contain target demographics with disposable income, personal vehicle ownership, and adequate home storage capacity. Additionally, Brazil's established digital payment infrastructure supports online membership services (Altios, 2025).</w:t>
      </w:r>
    </w:p>
    <w:p w14:paraId="45235AC5"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Internalisation (I) Advantages:</w:t>
      </w:r>
      <w:r w:rsidRPr="00694806">
        <w:rPr>
          <w:rFonts w:ascii="Arial" w:hAnsi="Arial" w:cs="Arial"/>
          <w:sz w:val="24"/>
          <w:szCs w:val="24"/>
        </w:rPr>
        <w:t xml:space="preserve"> Transaction Cost Economics (TCE) suggests firms internalize operations when licensing or franchising creates contractual and quality-control risks (Hill, 2023). Direct ownership protects Costco's logistics processes, pricing governance, and corporate culture (Scribd, 2023). Franchising could dilute the brand or increase margins, weakening the value proposition. Controlled internalisation is therefore essential.</w:t>
      </w:r>
    </w:p>
    <w:p w14:paraId="785E0C28"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lastRenderedPageBreak/>
        <w:t>3. Entry Mode Strategy and Strategic Synthesis</w:t>
      </w:r>
    </w:p>
    <w:p w14:paraId="4B055D81"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Costco's international entry history shows a deliberate balance between operational control and market risk (Alphabridge, 2025). In lower-distance markets such as Canada and the UK, it used Wholly Owned Subsidiaries (WOS) through greenfield expansion. In complex Asian markets such as Taiwan and South Korea, it initially used Joint Ventures (JV) to navigate real estate and regulation before buying partner stakes and assuming full ownership (Alphabridge, 2025).</w:t>
      </w:r>
    </w:p>
    <w:tbl>
      <w:tblPr>
        <w:tblW w:w="0" w:type="auto"/>
        <w:jc w:val="center"/>
        <w:tblLook w:val="04A0" w:firstRow="1" w:lastRow="0" w:firstColumn="1" w:lastColumn="0" w:noHBand="0" w:noVBand="1"/>
      </w:tblPr>
      <w:tblGrid>
        <w:gridCol w:w="9360"/>
      </w:tblGrid>
      <w:tr w:rsidR="0029198B" w:rsidRPr="00700844" w14:paraId="7F76E46F"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27E10B2F" w14:textId="77777777" w:rsidR="0029198B" w:rsidRPr="00700844" w:rsidRDefault="00000000">
            <w:pPr>
              <w:spacing w:before="60" w:after="60"/>
              <w:rPr>
                <w:rFonts w:ascii="Arial" w:hAnsi="Arial" w:cs="Arial"/>
              </w:rPr>
            </w:pPr>
            <w:r w:rsidRPr="00700844">
              <w:rPr>
                <w:rFonts w:ascii="Arial" w:hAnsi="Arial" w:cs="Arial"/>
                <w:b/>
                <w:color w:val="1B365D"/>
                <w:sz w:val="20"/>
              </w:rPr>
              <w:t>Figure 3.1: International Market Entry Continuum: Risk vs. Control Trade-off (Adapted from Hill, 2023)</w:t>
            </w:r>
            <w:r w:rsidRPr="00700844">
              <w:rPr>
                <w:rFonts w:ascii="Arial" w:hAnsi="Arial" w:cs="Arial"/>
                <w:b/>
                <w:color w:val="1B365D"/>
                <w:sz w:val="20"/>
              </w:rPr>
              <w:br/>
            </w:r>
            <w:r w:rsidRPr="00700844">
              <w:rPr>
                <w:rFonts w:ascii="Arial" w:hAnsi="Arial" w:cs="Arial"/>
                <w:color w:val="222222"/>
                <w:sz w:val="19"/>
              </w:rPr>
              <w:t>Low Control / Low Risk &lt;---------------------------------------------------&gt; High Control / High Risk</w:t>
            </w:r>
            <w:r w:rsidRPr="00700844">
              <w:rPr>
                <w:rFonts w:ascii="Arial" w:hAnsi="Arial" w:cs="Arial"/>
                <w:color w:val="222222"/>
                <w:sz w:val="19"/>
              </w:rPr>
              <w:br/>
              <w:t>• Direct Export (Unviable - Fails Bulk Model)</w:t>
            </w:r>
            <w:r w:rsidRPr="00700844">
              <w:rPr>
                <w:rFonts w:ascii="Arial" w:hAnsi="Arial" w:cs="Arial"/>
                <w:color w:val="222222"/>
                <w:sz w:val="19"/>
              </w:rPr>
              <w:br/>
              <w:t>• Licensing/Franchise (Unviable - High Agency Hazard)</w:t>
            </w:r>
            <w:r w:rsidRPr="00700844">
              <w:rPr>
                <w:rFonts w:ascii="Arial" w:hAnsi="Arial" w:cs="Arial"/>
                <w:color w:val="222222"/>
                <w:sz w:val="19"/>
              </w:rPr>
              <w:br/>
              <w:t>• 51/49 Joint Venture (OPTIMAL PILOT PHASE)</w:t>
            </w:r>
            <w:r w:rsidRPr="00700844">
              <w:rPr>
                <w:rFonts w:ascii="Arial" w:hAnsi="Arial" w:cs="Arial"/>
                <w:color w:val="222222"/>
                <w:sz w:val="19"/>
              </w:rPr>
              <w:br/>
              <w:t>• Wholly Owned Subsidiary (TARGET POST-2032)</w:t>
            </w:r>
          </w:p>
        </w:tc>
      </w:tr>
    </w:tbl>
    <w:p w14:paraId="0F2678C7" w14:textId="77777777" w:rsidR="0029198B" w:rsidRPr="00EE62FF" w:rsidRDefault="0029198B">
      <w:pPr>
        <w:spacing w:after="80"/>
        <w:rPr>
          <w:rFonts w:ascii="Arial" w:hAnsi="Arial" w:cs="Arial"/>
        </w:rPr>
      </w:pPr>
    </w:p>
    <w:p w14:paraId="51F426E9"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Comprehensive Evaluation of Alternative Entry Modes</w:t>
      </w:r>
    </w:p>
    <w:p w14:paraId="1E859076"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Selecting an entry mode requires evaluating control, resource commitment, risk exposure and speed to market. The main alternatives are assessed below:</w:t>
      </w:r>
    </w:p>
    <w:p w14:paraId="0503D437"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Direct Exporting:</w:t>
      </w:r>
      <w:r w:rsidRPr="00694806">
        <w:rPr>
          <w:rFonts w:ascii="Arial" w:hAnsi="Arial" w:cs="Arial"/>
          <w:sz w:val="24"/>
          <w:szCs w:val="24"/>
        </w:rPr>
        <w:t xml:space="preserve"> Minimal capital commitment and low resource involvement. Strategic Failure in Brazil: exporting without physical warehouses makes the membership model non-functional, while tariffs and port delays can remove Costco's cost advantage.</w:t>
      </w:r>
    </w:p>
    <w:p w14:paraId="7EF0F12F"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Franchising and Licensing:</w:t>
      </w:r>
      <w:r w:rsidRPr="00694806">
        <w:rPr>
          <w:rFonts w:ascii="Arial" w:hAnsi="Arial" w:cs="Arial"/>
          <w:sz w:val="24"/>
          <w:szCs w:val="24"/>
        </w:rPr>
        <w:t xml:space="preserve"> These reduce Costco's capital commitment and can accelerate expansion. Strategic Failure in Brazil: Transaction Cost Theory highlights agency hazards and monitoring costs. A franchisee could raise markups above the 14–15% limit, undermining pricing discipline, membership renewal, and brand equity.</w:t>
      </w:r>
    </w:p>
    <w:p w14:paraId="7C61828B"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Wholly Owned Subsidiary via Greenfield Investment:</w:t>
      </w:r>
      <w:r w:rsidRPr="00694806">
        <w:rPr>
          <w:rFonts w:ascii="Arial" w:hAnsi="Arial" w:cs="Arial"/>
          <w:sz w:val="24"/>
          <w:szCs w:val="24"/>
        </w:rPr>
        <w:t xml:space="preserve"> This provides full operational control and protects proprietary processes. Strategic Vulnerability in Brazil: Costco would face land acquisition, zoning, environmental approvals, and complex taxes without local assistance. Walmart's experience illustrates how exposure to 'Custo Brasil' can consume capital before scale is achieved.</w:t>
      </w:r>
    </w:p>
    <w:p w14:paraId="43DA130B"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lastRenderedPageBreak/>
        <w:t>Equity Joint Venture (51/49 Majority Ownership - Optimal Strategy):</w:t>
      </w:r>
      <w:r w:rsidRPr="00694806">
        <w:rPr>
          <w:rFonts w:ascii="Arial" w:hAnsi="Arial" w:cs="Arial"/>
          <w:sz w:val="24"/>
          <w:szCs w:val="24"/>
        </w:rPr>
        <w:t xml:space="preserve"> This balances resource commitment with operational control and supports organisational learning through local partners (Griffin &amp; Pustay, 2013). A Brazilian partner can provide access to real estate, zoning expertise, and tax navigation, while Costco's 51% stake preserves board control over pricing, membership governance, and human resource standards.</w:t>
      </w:r>
    </w:p>
    <w:p w14:paraId="20197347"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sz w:val="24"/>
          <w:szCs w:val="24"/>
        </w:rPr>
        <w:t>Entry Mode Strategy and Strategic Synthesis: In this section, 'strategic synthesis' means the integration of the earlier organisational, macro-environmental, competitive, OLI and risk analyses into one coherent entry recommendation. Rather than treating the choice of entry mode as an isolated decision, the section brings together the evidence on control, local knowledge, resource commitment, operational risk, regulatory complexity and long-term strategic fit to determine which mode best supports Costco's objectives in Brazil.</w:t>
      </w:r>
    </w:p>
    <w:p w14:paraId="0B681BF3"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An initial 51/49 Equity Joint Venture (JV) with a strong local partner is the most viable entry mode, providing a risk-managed bridge toward an eventual Wholly Owned Subsidiary.</w:t>
      </w:r>
    </w:p>
    <w:p w14:paraId="3404F2C0"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Strategic Action Plan for Brazil Market Entry</w:t>
      </w:r>
    </w:p>
    <w:p w14:paraId="3CE16F71"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Phase 1: Pilot Launch (Years 1–3): </w:t>
      </w:r>
      <w:r w:rsidRPr="00694806">
        <w:rPr>
          <w:rFonts w:ascii="Arial" w:hAnsi="Arial" w:cs="Arial"/>
          <w:color w:val="222222"/>
          <w:sz w:val="24"/>
          <w:szCs w:val="24"/>
        </w:rPr>
        <w:t>Establish a 51/49 JV to launch a controlled pilot of 3 to 4 warehouses in suburban Greater São Paulo. Secure local logistics partnerships to bypass transportation bottlenecks.</w:t>
      </w:r>
    </w:p>
    <w:p w14:paraId="2F7D04AA"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Phase 2: Localized Sourcing: </w:t>
      </w:r>
      <w:r w:rsidRPr="00694806">
        <w:rPr>
          <w:rFonts w:ascii="Arial" w:hAnsi="Arial" w:cs="Arial"/>
          <w:color w:val="222222"/>
          <w:sz w:val="24"/>
          <w:szCs w:val="24"/>
        </w:rPr>
        <w:t>Localize at least 70% of SKU inventory to eliminate high import tariff barriers and foreign exchange volatility, using Kirkland Signature for the remaining imported lines.</w:t>
      </w:r>
    </w:p>
    <w:p w14:paraId="6A28B397"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color w:val="222222"/>
          <w:sz w:val="24"/>
          <w:szCs w:val="24"/>
        </w:rPr>
        <w:t xml:space="preserve">Phase 3: Buyout &amp; Transition (Post-2032): </w:t>
      </w:r>
      <w:r w:rsidRPr="00694806">
        <w:rPr>
          <w:rFonts w:ascii="Arial" w:hAnsi="Arial" w:cs="Arial"/>
          <w:color w:val="222222"/>
          <w:sz w:val="24"/>
          <w:szCs w:val="24"/>
        </w:rPr>
        <w:t>Execute a contractually pre-negotiated call option to buy out the local partner's 49% stake once the dual-VAT reform stabilizes by 2032 (Trade.gov, 2025), converting the entity into a Wholly Owned Subsidiary for long-term regional scaling.</w:t>
      </w:r>
    </w:p>
    <w:p w14:paraId="367E8CC9"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lastRenderedPageBreak/>
        <w:t>Operational Implementation Roadmap &amp; Phased Execution Matrix</w:t>
      </w:r>
    </w:p>
    <w:p w14:paraId="2FEBC832"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Executing a strategic expansion into Brazil demands a structured timeline. The implementation roadmap below outlines the key operational milestones required over a five-year horizon:</w:t>
      </w:r>
    </w:p>
    <w:p w14:paraId="036C0374"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Secure 51/49 Equity Joint Venture Partnership Agreement</w:t>
      </w:r>
    </w:p>
    <w:p w14:paraId="61CD3216"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Establish Primary Cross-Dock Depot in Greater São Paulo</w:t>
      </w:r>
    </w:p>
    <w:p w14:paraId="180751A2"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Implement Custom ERP Software for Dual-VAT Compliance</w:t>
      </w:r>
    </w:p>
    <w:p w14:paraId="6BD36CF2"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Construct &amp; Launch 2 Pilot Warehouses (Campinas &amp; Alphaville)</w:t>
      </w:r>
    </w:p>
    <w:p w14:paraId="2907697D"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Contract Local Agribusiness &amp; Consumer Goods Suppliers (70% SKU Target)</w:t>
      </w:r>
    </w:p>
    <w:p w14:paraId="1C66B7B4"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Initiate Targeted Social Media Membership Campaigns (WhatsApp/Instagram)</w:t>
      </w:r>
    </w:p>
    <w:p w14:paraId="2BA23F52"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Open 2 Additional Warehouses in Southeastern Corridor (Rio de Janeiro/Belo Horizonte)</w:t>
      </w:r>
    </w:p>
    <w:p w14:paraId="0A63F8D8"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Achieve 85%+ Membership Renewal Rate across Pilot Warehouses</w:t>
      </w:r>
    </w:p>
    <w:p w14:paraId="384E37F5"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Optimize Cold-Chain Fleet Performance with Dedicated 3PL Partners</w:t>
      </w:r>
    </w:p>
    <w:p w14:paraId="2BC58267"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Evaluate Operational Cash Flows &amp; Dual-VAT Transition Metrics</w:t>
      </w:r>
    </w:p>
    <w:p w14:paraId="53287F6F"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color w:val="222222"/>
          <w:sz w:val="24"/>
          <w:szCs w:val="24"/>
        </w:rPr>
        <w:t>Prepare Pre-Negotiated Call Option Purchase to Buy Out Partner Equity (Target: 100% WOS)</w:t>
      </w:r>
    </w:p>
    <w:p w14:paraId="53ADB33E"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Strategic Recommendation Summary</w:t>
      </w:r>
      <w:r w:rsidRPr="00694806">
        <w:rPr>
          <w:rFonts w:ascii="Arial" w:hAnsi="Arial" w:cs="Arial"/>
          <w:sz w:val="24"/>
          <w:szCs w:val="24"/>
        </w:rPr>
        <w:br/>
        <w:t>A phased rollout reduces risk by testing demand and operating performance before wider expansion. The recommended 51/49 joint venture would give Costco majority control while providing local expertise in real estate, licensing, tax and logistics. The initial pilot should focus on high-income suburban Greater São Paulo, supported by approximately 70% local sourcing and selective Kirkland Signature imports. Performance evidence should determine whether Costco expands and eventually exercises a pre-negotiated option to move toward wholly owned operations. This approach preserves Costco's standardised core while selectively adapting activities where Brazil-specific conditions require localisation.</w:t>
      </w:r>
    </w:p>
    <w:p w14:paraId="49C23D45" w14:textId="77777777" w:rsidR="0029198B" w:rsidRPr="00700844" w:rsidRDefault="00000000">
      <w:pPr>
        <w:keepNext/>
        <w:spacing w:before="180" w:after="40"/>
        <w:rPr>
          <w:rFonts w:ascii="Arial" w:hAnsi="Arial" w:cs="Arial"/>
          <w:iCs/>
        </w:rPr>
      </w:pPr>
      <w:r w:rsidRPr="00700844">
        <w:rPr>
          <w:rFonts w:ascii="Arial" w:hAnsi="Arial" w:cs="Arial"/>
          <w:b/>
          <w:iCs/>
          <w:color w:val="1B365D"/>
        </w:rPr>
        <w:t>Risk Assessment, Mitigation Matrix, and Financial Feasibility</w:t>
      </w:r>
    </w:p>
    <w:tbl>
      <w:tblPr>
        <w:tblW w:w="0" w:type="auto"/>
        <w:jc w:val="center"/>
        <w:tblLook w:val="04A0" w:firstRow="1" w:lastRow="0" w:firstColumn="1" w:lastColumn="0" w:noHBand="0" w:noVBand="1"/>
      </w:tblPr>
      <w:tblGrid>
        <w:gridCol w:w="1728"/>
        <w:gridCol w:w="2592"/>
        <w:gridCol w:w="2592"/>
        <w:gridCol w:w="2448"/>
      </w:tblGrid>
      <w:tr w:rsidR="0029198B" w:rsidRPr="00700844" w14:paraId="6BA4DCBD" w14:textId="77777777">
        <w:trPr>
          <w:jc w:val="center"/>
        </w:trPr>
        <w:tc>
          <w:tcPr>
            <w:tcW w:w="1728" w:type="dxa"/>
            <w:tcBorders>
              <w:top w:val="single" w:sz="4" w:space="0" w:color="E0E0E0"/>
              <w:bottom w:val="single" w:sz="4" w:space="0" w:color="E0E0E0"/>
            </w:tcBorders>
            <w:shd w:val="clear" w:color="auto" w:fill="1B365D"/>
          </w:tcPr>
          <w:p w14:paraId="3BB5618C" w14:textId="77777777" w:rsidR="0029198B" w:rsidRPr="00700844" w:rsidRDefault="00000000">
            <w:pPr>
              <w:spacing w:before="60" w:after="60"/>
              <w:rPr>
                <w:rFonts w:ascii="Arial" w:hAnsi="Arial" w:cs="Arial"/>
                <w:iCs/>
              </w:rPr>
            </w:pPr>
            <w:r w:rsidRPr="00700844">
              <w:rPr>
                <w:rFonts w:ascii="Arial" w:hAnsi="Arial" w:cs="Arial"/>
                <w:b/>
                <w:iCs/>
                <w:color w:val="FFFFFF"/>
                <w:sz w:val="19"/>
              </w:rPr>
              <w:t>Threat Category</w:t>
            </w:r>
          </w:p>
        </w:tc>
        <w:tc>
          <w:tcPr>
            <w:tcW w:w="2592" w:type="dxa"/>
            <w:tcBorders>
              <w:top w:val="single" w:sz="4" w:space="0" w:color="E0E0E0"/>
              <w:bottom w:val="single" w:sz="4" w:space="0" w:color="E0E0E0"/>
            </w:tcBorders>
            <w:shd w:val="clear" w:color="auto" w:fill="1B365D"/>
          </w:tcPr>
          <w:p w14:paraId="386C1DC3" w14:textId="77777777" w:rsidR="0029198B" w:rsidRPr="00700844" w:rsidRDefault="00000000">
            <w:pPr>
              <w:spacing w:before="60" w:after="60"/>
              <w:rPr>
                <w:rFonts w:ascii="Arial" w:hAnsi="Arial" w:cs="Arial"/>
                <w:iCs/>
              </w:rPr>
            </w:pPr>
            <w:r w:rsidRPr="00700844">
              <w:rPr>
                <w:rFonts w:ascii="Arial" w:hAnsi="Arial" w:cs="Arial"/>
                <w:b/>
                <w:iCs/>
                <w:color w:val="FFFFFF"/>
                <w:sz w:val="19"/>
              </w:rPr>
              <w:t>Specific Risk Scenario</w:t>
            </w:r>
          </w:p>
        </w:tc>
        <w:tc>
          <w:tcPr>
            <w:tcW w:w="2592" w:type="dxa"/>
            <w:tcBorders>
              <w:top w:val="single" w:sz="4" w:space="0" w:color="E0E0E0"/>
              <w:bottom w:val="single" w:sz="4" w:space="0" w:color="E0E0E0"/>
            </w:tcBorders>
            <w:shd w:val="clear" w:color="auto" w:fill="1B365D"/>
          </w:tcPr>
          <w:p w14:paraId="26BE9CE1" w14:textId="77777777" w:rsidR="0029198B" w:rsidRPr="00700844" w:rsidRDefault="00000000">
            <w:pPr>
              <w:spacing w:before="60" w:after="60"/>
              <w:rPr>
                <w:rFonts w:ascii="Arial" w:hAnsi="Arial" w:cs="Arial"/>
                <w:iCs/>
              </w:rPr>
            </w:pPr>
            <w:r w:rsidRPr="00700844">
              <w:rPr>
                <w:rFonts w:ascii="Arial" w:hAnsi="Arial" w:cs="Arial"/>
                <w:b/>
                <w:iCs/>
                <w:color w:val="FFFFFF"/>
                <w:sz w:val="19"/>
              </w:rPr>
              <w:t>Operational Impact</w:t>
            </w:r>
          </w:p>
        </w:tc>
        <w:tc>
          <w:tcPr>
            <w:tcW w:w="2448" w:type="dxa"/>
            <w:tcBorders>
              <w:top w:val="single" w:sz="4" w:space="0" w:color="E0E0E0"/>
              <w:bottom w:val="single" w:sz="4" w:space="0" w:color="E0E0E0"/>
            </w:tcBorders>
            <w:shd w:val="clear" w:color="auto" w:fill="1B365D"/>
          </w:tcPr>
          <w:p w14:paraId="799531CF" w14:textId="77777777" w:rsidR="0029198B" w:rsidRPr="00700844" w:rsidRDefault="00000000">
            <w:pPr>
              <w:spacing w:before="60" w:after="60"/>
              <w:rPr>
                <w:rFonts w:ascii="Arial" w:hAnsi="Arial" w:cs="Arial"/>
                <w:iCs/>
              </w:rPr>
            </w:pPr>
            <w:r w:rsidRPr="00700844">
              <w:rPr>
                <w:rFonts w:ascii="Arial" w:hAnsi="Arial" w:cs="Arial"/>
                <w:b/>
                <w:iCs/>
                <w:color w:val="FFFFFF"/>
                <w:sz w:val="19"/>
              </w:rPr>
              <w:t>Mitigation Strategy</w:t>
            </w:r>
          </w:p>
        </w:tc>
      </w:tr>
      <w:tr w:rsidR="0029198B" w:rsidRPr="00700844" w14:paraId="49859B05" w14:textId="77777777">
        <w:trPr>
          <w:jc w:val="center"/>
        </w:trPr>
        <w:tc>
          <w:tcPr>
            <w:tcW w:w="1728" w:type="dxa"/>
            <w:tcBorders>
              <w:top w:val="single" w:sz="4" w:space="0" w:color="E0E0E0"/>
              <w:bottom w:val="single" w:sz="4" w:space="0" w:color="E0E0E0"/>
            </w:tcBorders>
            <w:shd w:val="clear" w:color="auto" w:fill="FFFFFF"/>
          </w:tcPr>
          <w:p w14:paraId="2EB53952" w14:textId="77777777" w:rsidR="0029198B" w:rsidRPr="00700844" w:rsidRDefault="00000000">
            <w:pPr>
              <w:spacing w:before="60" w:after="60"/>
              <w:rPr>
                <w:rFonts w:ascii="Arial" w:hAnsi="Arial" w:cs="Arial"/>
                <w:iCs/>
              </w:rPr>
            </w:pPr>
            <w:r w:rsidRPr="00700844">
              <w:rPr>
                <w:rFonts w:ascii="Arial" w:hAnsi="Arial" w:cs="Arial"/>
                <w:iCs/>
                <w:color w:val="222222"/>
                <w:sz w:val="18"/>
              </w:rPr>
              <w:t>Macro-Economic</w:t>
            </w:r>
          </w:p>
        </w:tc>
        <w:tc>
          <w:tcPr>
            <w:tcW w:w="2592" w:type="dxa"/>
            <w:tcBorders>
              <w:top w:val="single" w:sz="4" w:space="0" w:color="E0E0E0"/>
              <w:bottom w:val="single" w:sz="4" w:space="0" w:color="E0E0E0"/>
            </w:tcBorders>
            <w:shd w:val="clear" w:color="auto" w:fill="FFFFFF"/>
          </w:tcPr>
          <w:p w14:paraId="7964BF99" w14:textId="77777777" w:rsidR="0029198B" w:rsidRPr="00700844" w:rsidRDefault="00000000">
            <w:pPr>
              <w:spacing w:before="60" w:after="60"/>
              <w:rPr>
                <w:rFonts w:ascii="Arial" w:hAnsi="Arial" w:cs="Arial"/>
                <w:iCs/>
              </w:rPr>
            </w:pPr>
            <w:r w:rsidRPr="00700844">
              <w:rPr>
                <w:rFonts w:ascii="Arial" w:hAnsi="Arial" w:cs="Arial"/>
                <w:iCs/>
                <w:color w:val="222222"/>
                <w:sz w:val="18"/>
              </w:rPr>
              <w:t xml:space="preserve">BRL Currency Depreciation </w:t>
            </w:r>
            <w:r w:rsidRPr="00700844">
              <w:rPr>
                <w:rFonts w:ascii="Arial" w:hAnsi="Arial" w:cs="Arial"/>
                <w:iCs/>
                <w:color w:val="222222"/>
                <w:sz w:val="18"/>
              </w:rPr>
              <w:lastRenderedPageBreak/>
              <w:t>vs. USD</w:t>
            </w:r>
          </w:p>
        </w:tc>
        <w:tc>
          <w:tcPr>
            <w:tcW w:w="2592" w:type="dxa"/>
            <w:tcBorders>
              <w:top w:val="single" w:sz="4" w:space="0" w:color="E0E0E0"/>
              <w:bottom w:val="single" w:sz="4" w:space="0" w:color="E0E0E0"/>
            </w:tcBorders>
            <w:shd w:val="clear" w:color="auto" w:fill="FFFFFF"/>
          </w:tcPr>
          <w:p w14:paraId="2917555B" w14:textId="77777777" w:rsidR="0029198B" w:rsidRPr="00700844" w:rsidRDefault="00000000">
            <w:pPr>
              <w:spacing w:before="60" w:after="60"/>
              <w:rPr>
                <w:rFonts w:ascii="Arial" w:hAnsi="Arial" w:cs="Arial"/>
                <w:iCs/>
              </w:rPr>
            </w:pPr>
            <w:r w:rsidRPr="00700844">
              <w:rPr>
                <w:rFonts w:ascii="Arial" w:hAnsi="Arial" w:cs="Arial"/>
                <w:iCs/>
                <w:color w:val="222222"/>
                <w:sz w:val="18"/>
              </w:rPr>
              <w:lastRenderedPageBreak/>
              <w:t xml:space="preserve">Landed cost of imported </w:t>
            </w:r>
            <w:r w:rsidRPr="00700844">
              <w:rPr>
                <w:rFonts w:ascii="Arial" w:hAnsi="Arial" w:cs="Arial"/>
                <w:iCs/>
                <w:color w:val="222222"/>
                <w:sz w:val="18"/>
              </w:rPr>
              <w:lastRenderedPageBreak/>
              <w:t>Kirkland items increases dramatically.</w:t>
            </w:r>
          </w:p>
        </w:tc>
        <w:tc>
          <w:tcPr>
            <w:tcW w:w="2448" w:type="dxa"/>
            <w:tcBorders>
              <w:top w:val="single" w:sz="4" w:space="0" w:color="E0E0E0"/>
              <w:bottom w:val="single" w:sz="4" w:space="0" w:color="E0E0E0"/>
            </w:tcBorders>
            <w:shd w:val="clear" w:color="auto" w:fill="FFFFFF"/>
          </w:tcPr>
          <w:p w14:paraId="7F3258CD" w14:textId="77777777" w:rsidR="0029198B" w:rsidRPr="00700844" w:rsidRDefault="00000000">
            <w:pPr>
              <w:spacing w:before="60" w:after="60"/>
              <w:rPr>
                <w:rFonts w:ascii="Arial" w:hAnsi="Arial" w:cs="Arial"/>
                <w:iCs/>
              </w:rPr>
            </w:pPr>
            <w:r w:rsidRPr="00700844">
              <w:rPr>
                <w:rFonts w:ascii="Arial" w:hAnsi="Arial" w:cs="Arial"/>
                <w:iCs/>
                <w:color w:val="222222"/>
                <w:sz w:val="18"/>
              </w:rPr>
              <w:lastRenderedPageBreak/>
              <w:t xml:space="preserve">Shift to 70%+ local SKU </w:t>
            </w:r>
            <w:r w:rsidRPr="00700844">
              <w:rPr>
                <w:rFonts w:ascii="Arial" w:hAnsi="Arial" w:cs="Arial"/>
                <w:iCs/>
                <w:color w:val="222222"/>
                <w:sz w:val="18"/>
              </w:rPr>
              <w:lastRenderedPageBreak/>
              <w:t>sourcing; use FX hedging for import commitments.</w:t>
            </w:r>
          </w:p>
        </w:tc>
      </w:tr>
      <w:tr w:rsidR="0029198B" w:rsidRPr="00700844" w14:paraId="704897CF" w14:textId="77777777">
        <w:trPr>
          <w:jc w:val="center"/>
        </w:trPr>
        <w:tc>
          <w:tcPr>
            <w:tcW w:w="1728" w:type="dxa"/>
            <w:tcBorders>
              <w:top w:val="single" w:sz="4" w:space="0" w:color="E0E0E0"/>
              <w:bottom w:val="single" w:sz="4" w:space="0" w:color="E0E0E0"/>
            </w:tcBorders>
            <w:shd w:val="clear" w:color="auto" w:fill="F9FAFC"/>
          </w:tcPr>
          <w:p w14:paraId="2598F40C" w14:textId="77777777" w:rsidR="0029198B" w:rsidRPr="00700844" w:rsidRDefault="00000000">
            <w:pPr>
              <w:spacing w:before="60" w:after="60"/>
              <w:rPr>
                <w:rFonts w:ascii="Arial" w:hAnsi="Arial" w:cs="Arial"/>
                <w:iCs/>
              </w:rPr>
            </w:pPr>
            <w:r w:rsidRPr="00700844">
              <w:rPr>
                <w:rFonts w:ascii="Arial" w:hAnsi="Arial" w:cs="Arial"/>
                <w:iCs/>
                <w:color w:val="222222"/>
                <w:sz w:val="18"/>
              </w:rPr>
              <w:lastRenderedPageBreak/>
              <w:t>Regulatory / Tax</w:t>
            </w:r>
          </w:p>
        </w:tc>
        <w:tc>
          <w:tcPr>
            <w:tcW w:w="2592" w:type="dxa"/>
            <w:tcBorders>
              <w:top w:val="single" w:sz="4" w:space="0" w:color="E0E0E0"/>
              <w:bottom w:val="single" w:sz="4" w:space="0" w:color="E0E0E0"/>
            </w:tcBorders>
            <w:shd w:val="clear" w:color="auto" w:fill="F9FAFC"/>
          </w:tcPr>
          <w:p w14:paraId="77D7330B" w14:textId="77777777" w:rsidR="0029198B" w:rsidRPr="00700844" w:rsidRDefault="00000000">
            <w:pPr>
              <w:spacing w:before="60" w:after="60"/>
              <w:rPr>
                <w:rFonts w:ascii="Arial" w:hAnsi="Arial" w:cs="Arial"/>
                <w:iCs/>
              </w:rPr>
            </w:pPr>
            <w:r w:rsidRPr="00700844">
              <w:rPr>
                <w:rFonts w:ascii="Arial" w:hAnsi="Arial" w:cs="Arial"/>
                <w:iCs/>
                <w:color w:val="222222"/>
                <w:sz w:val="18"/>
              </w:rPr>
              <w:t>Complex Dual-VAT Compliance Errors</w:t>
            </w:r>
          </w:p>
        </w:tc>
        <w:tc>
          <w:tcPr>
            <w:tcW w:w="2592" w:type="dxa"/>
            <w:tcBorders>
              <w:top w:val="single" w:sz="4" w:space="0" w:color="E0E0E0"/>
              <w:bottom w:val="single" w:sz="4" w:space="0" w:color="E0E0E0"/>
            </w:tcBorders>
            <w:shd w:val="clear" w:color="auto" w:fill="F9FAFC"/>
          </w:tcPr>
          <w:p w14:paraId="15CE202A" w14:textId="77777777" w:rsidR="0029198B" w:rsidRPr="00700844" w:rsidRDefault="00000000">
            <w:pPr>
              <w:spacing w:before="60" w:after="60"/>
              <w:rPr>
                <w:rFonts w:ascii="Arial" w:hAnsi="Arial" w:cs="Arial"/>
                <w:iCs/>
              </w:rPr>
            </w:pPr>
            <w:r w:rsidRPr="00700844">
              <w:rPr>
                <w:rFonts w:ascii="Arial" w:hAnsi="Arial" w:cs="Arial"/>
                <w:iCs/>
                <w:color w:val="222222"/>
                <w:sz w:val="18"/>
              </w:rPr>
              <w:t>Heavy administrative fines from state/federal tax authorities.</w:t>
            </w:r>
          </w:p>
        </w:tc>
        <w:tc>
          <w:tcPr>
            <w:tcW w:w="2448" w:type="dxa"/>
            <w:tcBorders>
              <w:top w:val="single" w:sz="4" w:space="0" w:color="E0E0E0"/>
              <w:bottom w:val="single" w:sz="4" w:space="0" w:color="E0E0E0"/>
            </w:tcBorders>
            <w:shd w:val="clear" w:color="auto" w:fill="F9FAFC"/>
          </w:tcPr>
          <w:p w14:paraId="1FB4A5C7" w14:textId="77777777" w:rsidR="0029198B" w:rsidRPr="00700844" w:rsidRDefault="00000000">
            <w:pPr>
              <w:spacing w:before="60" w:after="60"/>
              <w:rPr>
                <w:rFonts w:ascii="Arial" w:hAnsi="Arial" w:cs="Arial"/>
                <w:iCs/>
              </w:rPr>
            </w:pPr>
            <w:r w:rsidRPr="00700844">
              <w:rPr>
                <w:rFonts w:ascii="Arial" w:hAnsi="Arial" w:cs="Arial"/>
                <w:iCs/>
                <w:color w:val="222222"/>
                <w:sz w:val="18"/>
              </w:rPr>
              <w:t>Deploy localized ERP architecture; retain embedded Brazilian legal &amp; tax audit teams.</w:t>
            </w:r>
          </w:p>
        </w:tc>
      </w:tr>
      <w:tr w:rsidR="0029198B" w:rsidRPr="00700844" w14:paraId="020BE726" w14:textId="77777777">
        <w:trPr>
          <w:jc w:val="center"/>
        </w:trPr>
        <w:tc>
          <w:tcPr>
            <w:tcW w:w="1728" w:type="dxa"/>
            <w:tcBorders>
              <w:top w:val="single" w:sz="4" w:space="0" w:color="E0E0E0"/>
              <w:bottom w:val="single" w:sz="4" w:space="0" w:color="E0E0E0"/>
            </w:tcBorders>
            <w:shd w:val="clear" w:color="auto" w:fill="FFFFFF"/>
          </w:tcPr>
          <w:p w14:paraId="2BF4DC35" w14:textId="77777777" w:rsidR="0029198B" w:rsidRPr="00700844" w:rsidRDefault="00000000">
            <w:pPr>
              <w:spacing w:before="60" w:after="60"/>
              <w:rPr>
                <w:rFonts w:ascii="Arial" w:hAnsi="Arial" w:cs="Arial"/>
                <w:iCs/>
              </w:rPr>
            </w:pPr>
            <w:r w:rsidRPr="00700844">
              <w:rPr>
                <w:rFonts w:ascii="Arial" w:hAnsi="Arial" w:cs="Arial"/>
                <w:iCs/>
                <w:color w:val="222222"/>
                <w:sz w:val="18"/>
              </w:rPr>
              <w:t>Operational</w:t>
            </w:r>
          </w:p>
        </w:tc>
        <w:tc>
          <w:tcPr>
            <w:tcW w:w="2592" w:type="dxa"/>
            <w:tcBorders>
              <w:top w:val="single" w:sz="4" w:space="0" w:color="E0E0E0"/>
              <w:bottom w:val="single" w:sz="4" w:space="0" w:color="E0E0E0"/>
            </w:tcBorders>
            <w:shd w:val="clear" w:color="auto" w:fill="FFFFFF"/>
          </w:tcPr>
          <w:p w14:paraId="6BB0A868" w14:textId="77777777" w:rsidR="0029198B" w:rsidRPr="00700844" w:rsidRDefault="00000000">
            <w:pPr>
              <w:spacing w:before="60" w:after="60"/>
              <w:rPr>
                <w:rFonts w:ascii="Arial" w:hAnsi="Arial" w:cs="Arial"/>
                <w:iCs/>
              </w:rPr>
            </w:pPr>
            <w:r w:rsidRPr="00700844">
              <w:rPr>
                <w:rFonts w:ascii="Arial" w:hAnsi="Arial" w:cs="Arial"/>
                <w:iCs/>
                <w:color w:val="222222"/>
                <w:sz w:val="18"/>
              </w:rPr>
              <w:t>Interstate Highway Disruptions / Strikes</w:t>
            </w:r>
          </w:p>
        </w:tc>
        <w:tc>
          <w:tcPr>
            <w:tcW w:w="2592" w:type="dxa"/>
            <w:tcBorders>
              <w:top w:val="single" w:sz="4" w:space="0" w:color="E0E0E0"/>
              <w:bottom w:val="single" w:sz="4" w:space="0" w:color="E0E0E0"/>
            </w:tcBorders>
            <w:shd w:val="clear" w:color="auto" w:fill="FFFFFF"/>
          </w:tcPr>
          <w:p w14:paraId="73397EBC" w14:textId="77777777" w:rsidR="0029198B" w:rsidRPr="00700844" w:rsidRDefault="00000000">
            <w:pPr>
              <w:spacing w:before="60" w:after="60"/>
              <w:rPr>
                <w:rFonts w:ascii="Arial" w:hAnsi="Arial" w:cs="Arial"/>
                <w:iCs/>
              </w:rPr>
            </w:pPr>
            <w:r w:rsidRPr="00700844">
              <w:rPr>
                <w:rFonts w:ascii="Arial" w:hAnsi="Arial" w:cs="Arial"/>
                <w:iCs/>
                <w:color w:val="222222"/>
                <w:sz w:val="18"/>
              </w:rPr>
              <w:t>Stock-outs across low-SKU warehouses; margin erosion.</w:t>
            </w:r>
          </w:p>
        </w:tc>
        <w:tc>
          <w:tcPr>
            <w:tcW w:w="2448" w:type="dxa"/>
            <w:tcBorders>
              <w:top w:val="single" w:sz="4" w:space="0" w:color="E0E0E0"/>
              <w:bottom w:val="single" w:sz="4" w:space="0" w:color="E0E0E0"/>
            </w:tcBorders>
            <w:shd w:val="clear" w:color="auto" w:fill="FFFFFF"/>
          </w:tcPr>
          <w:p w14:paraId="7FBFF44B" w14:textId="77777777" w:rsidR="0029198B" w:rsidRPr="00700844" w:rsidRDefault="00000000">
            <w:pPr>
              <w:spacing w:before="60" w:after="60"/>
              <w:rPr>
                <w:rFonts w:ascii="Arial" w:hAnsi="Arial" w:cs="Arial"/>
                <w:iCs/>
              </w:rPr>
            </w:pPr>
            <w:r w:rsidRPr="00700844">
              <w:rPr>
                <w:rFonts w:ascii="Arial" w:hAnsi="Arial" w:cs="Arial"/>
                <w:iCs/>
                <w:color w:val="222222"/>
                <w:sz w:val="18"/>
              </w:rPr>
              <w:t>Implement Vendor-Managed Inventory (VMI) at regional cross-dock hubs.</w:t>
            </w:r>
          </w:p>
        </w:tc>
      </w:tr>
      <w:tr w:rsidR="0029198B" w:rsidRPr="00700844" w14:paraId="2E83D12A" w14:textId="77777777">
        <w:trPr>
          <w:jc w:val="center"/>
        </w:trPr>
        <w:tc>
          <w:tcPr>
            <w:tcW w:w="1728" w:type="dxa"/>
            <w:tcBorders>
              <w:top w:val="single" w:sz="4" w:space="0" w:color="E0E0E0"/>
              <w:bottom w:val="single" w:sz="4" w:space="0" w:color="E0E0E0"/>
            </w:tcBorders>
            <w:shd w:val="clear" w:color="auto" w:fill="F9FAFC"/>
          </w:tcPr>
          <w:p w14:paraId="1DAF40B3" w14:textId="77777777" w:rsidR="0029198B" w:rsidRPr="00700844" w:rsidRDefault="00000000">
            <w:pPr>
              <w:spacing w:before="60" w:after="60"/>
              <w:rPr>
                <w:rFonts w:ascii="Arial" w:hAnsi="Arial" w:cs="Arial"/>
                <w:iCs/>
              </w:rPr>
            </w:pPr>
            <w:r w:rsidRPr="00700844">
              <w:rPr>
                <w:rFonts w:ascii="Arial" w:hAnsi="Arial" w:cs="Arial"/>
                <w:iCs/>
                <w:color w:val="222222"/>
                <w:sz w:val="18"/>
              </w:rPr>
              <w:t>Cultural</w:t>
            </w:r>
          </w:p>
        </w:tc>
        <w:tc>
          <w:tcPr>
            <w:tcW w:w="2592" w:type="dxa"/>
            <w:tcBorders>
              <w:top w:val="single" w:sz="4" w:space="0" w:color="E0E0E0"/>
              <w:bottom w:val="single" w:sz="4" w:space="0" w:color="E0E0E0"/>
            </w:tcBorders>
            <w:shd w:val="clear" w:color="auto" w:fill="F9FAFC"/>
          </w:tcPr>
          <w:p w14:paraId="6751C6BA" w14:textId="77777777" w:rsidR="0029198B" w:rsidRPr="00700844" w:rsidRDefault="00000000">
            <w:pPr>
              <w:spacing w:before="60" w:after="60"/>
              <w:rPr>
                <w:rFonts w:ascii="Arial" w:hAnsi="Arial" w:cs="Arial"/>
                <w:iCs/>
              </w:rPr>
            </w:pPr>
            <w:r w:rsidRPr="00700844">
              <w:rPr>
                <w:rFonts w:ascii="Arial" w:hAnsi="Arial" w:cs="Arial"/>
                <w:iCs/>
                <w:color w:val="222222"/>
                <w:sz w:val="18"/>
              </w:rPr>
              <w:t>Resistance to Upfront Annual Access Fee</w:t>
            </w:r>
          </w:p>
        </w:tc>
        <w:tc>
          <w:tcPr>
            <w:tcW w:w="2592" w:type="dxa"/>
            <w:tcBorders>
              <w:top w:val="single" w:sz="4" w:space="0" w:color="E0E0E0"/>
              <w:bottom w:val="single" w:sz="4" w:space="0" w:color="E0E0E0"/>
            </w:tcBorders>
            <w:shd w:val="clear" w:color="auto" w:fill="F9FAFC"/>
          </w:tcPr>
          <w:p w14:paraId="4741CB26" w14:textId="77777777" w:rsidR="0029198B" w:rsidRPr="00700844" w:rsidRDefault="00000000">
            <w:pPr>
              <w:spacing w:before="60" w:after="60"/>
              <w:rPr>
                <w:rFonts w:ascii="Arial" w:hAnsi="Arial" w:cs="Arial"/>
                <w:iCs/>
              </w:rPr>
            </w:pPr>
            <w:r w:rsidRPr="00700844">
              <w:rPr>
                <w:rFonts w:ascii="Arial" w:hAnsi="Arial" w:cs="Arial"/>
                <w:iCs/>
                <w:color w:val="222222"/>
                <w:sz w:val="18"/>
              </w:rPr>
              <w:t>Low membership conversion rate during initial launch phase.</w:t>
            </w:r>
          </w:p>
        </w:tc>
        <w:tc>
          <w:tcPr>
            <w:tcW w:w="2448" w:type="dxa"/>
            <w:tcBorders>
              <w:top w:val="single" w:sz="4" w:space="0" w:color="E0E0E0"/>
              <w:bottom w:val="single" w:sz="4" w:space="0" w:color="E0E0E0"/>
            </w:tcBorders>
            <w:shd w:val="clear" w:color="auto" w:fill="F9FAFC"/>
          </w:tcPr>
          <w:p w14:paraId="421B5B21" w14:textId="77777777" w:rsidR="0029198B" w:rsidRPr="00700844" w:rsidRDefault="00000000">
            <w:pPr>
              <w:spacing w:before="60" w:after="60"/>
              <w:rPr>
                <w:rFonts w:ascii="Arial" w:hAnsi="Arial" w:cs="Arial"/>
                <w:iCs/>
              </w:rPr>
            </w:pPr>
            <w:r w:rsidRPr="00700844">
              <w:rPr>
                <w:rFonts w:ascii="Arial" w:hAnsi="Arial" w:cs="Arial"/>
                <w:iCs/>
                <w:color w:val="222222"/>
                <w:sz w:val="18"/>
              </w:rPr>
              <w:t>Offer high-value introductory Kirkland incentives and localized digital trial offers.</w:t>
            </w:r>
          </w:p>
        </w:tc>
      </w:tr>
      <w:tr w:rsidR="0029198B" w:rsidRPr="00700844" w14:paraId="56B18457" w14:textId="77777777">
        <w:trPr>
          <w:jc w:val="center"/>
        </w:trPr>
        <w:tc>
          <w:tcPr>
            <w:tcW w:w="1728" w:type="dxa"/>
            <w:tcBorders>
              <w:top w:val="single" w:sz="4" w:space="0" w:color="E0E0E0"/>
              <w:bottom w:val="single" w:sz="4" w:space="0" w:color="E0E0E0"/>
            </w:tcBorders>
            <w:shd w:val="clear" w:color="auto" w:fill="FFFFFF"/>
          </w:tcPr>
          <w:p w14:paraId="11FBF960" w14:textId="77777777" w:rsidR="0029198B" w:rsidRPr="00700844" w:rsidRDefault="00000000">
            <w:pPr>
              <w:spacing w:before="60" w:after="60"/>
              <w:rPr>
                <w:rFonts w:ascii="Arial" w:hAnsi="Arial" w:cs="Arial"/>
                <w:iCs/>
              </w:rPr>
            </w:pPr>
            <w:r w:rsidRPr="00700844">
              <w:rPr>
                <w:rFonts w:ascii="Arial" w:hAnsi="Arial" w:cs="Arial"/>
                <w:iCs/>
                <w:color w:val="222222"/>
                <w:sz w:val="18"/>
              </w:rPr>
              <w:t>Labor</w:t>
            </w:r>
          </w:p>
        </w:tc>
        <w:tc>
          <w:tcPr>
            <w:tcW w:w="2592" w:type="dxa"/>
            <w:tcBorders>
              <w:top w:val="single" w:sz="4" w:space="0" w:color="E0E0E0"/>
              <w:bottom w:val="single" w:sz="4" w:space="0" w:color="E0E0E0"/>
            </w:tcBorders>
            <w:shd w:val="clear" w:color="auto" w:fill="FFFFFF"/>
          </w:tcPr>
          <w:p w14:paraId="0A9A856F" w14:textId="77777777" w:rsidR="0029198B" w:rsidRPr="00700844" w:rsidRDefault="00000000">
            <w:pPr>
              <w:spacing w:before="60" w:after="60"/>
              <w:rPr>
                <w:rFonts w:ascii="Arial" w:hAnsi="Arial" w:cs="Arial"/>
                <w:iCs/>
              </w:rPr>
            </w:pPr>
            <w:r w:rsidRPr="00700844">
              <w:rPr>
                <w:rFonts w:ascii="Arial" w:hAnsi="Arial" w:cs="Arial"/>
                <w:iCs/>
                <w:color w:val="222222"/>
                <w:sz w:val="18"/>
              </w:rPr>
              <w:t>CLT Litigation &amp; Structural Union Grievances</w:t>
            </w:r>
          </w:p>
        </w:tc>
        <w:tc>
          <w:tcPr>
            <w:tcW w:w="2592" w:type="dxa"/>
            <w:tcBorders>
              <w:top w:val="single" w:sz="4" w:space="0" w:color="E0E0E0"/>
              <w:bottom w:val="single" w:sz="4" w:space="0" w:color="E0E0E0"/>
            </w:tcBorders>
            <w:shd w:val="clear" w:color="auto" w:fill="FFFFFF"/>
          </w:tcPr>
          <w:p w14:paraId="64FDB795" w14:textId="77777777" w:rsidR="0029198B" w:rsidRPr="00700844" w:rsidRDefault="00000000">
            <w:pPr>
              <w:spacing w:before="60" w:after="60"/>
              <w:rPr>
                <w:rFonts w:ascii="Arial" w:hAnsi="Arial" w:cs="Arial"/>
                <w:iCs/>
              </w:rPr>
            </w:pPr>
            <w:r w:rsidRPr="00700844">
              <w:rPr>
                <w:rFonts w:ascii="Arial" w:hAnsi="Arial" w:cs="Arial"/>
                <w:iCs/>
                <w:color w:val="222222"/>
                <w:sz w:val="18"/>
              </w:rPr>
              <w:t>Payroll expenses rise; operational disputes.</w:t>
            </w:r>
          </w:p>
        </w:tc>
        <w:tc>
          <w:tcPr>
            <w:tcW w:w="2448" w:type="dxa"/>
            <w:tcBorders>
              <w:top w:val="single" w:sz="4" w:space="0" w:color="E0E0E0"/>
              <w:bottom w:val="single" w:sz="4" w:space="0" w:color="E0E0E0"/>
            </w:tcBorders>
            <w:shd w:val="clear" w:color="auto" w:fill="FFFFFF"/>
          </w:tcPr>
          <w:p w14:paraId="7478BB2C" w14:textId="77777777" w:rsidR="0029198B" w:rsidRPr="00700844" w:rsidRDefault="00000000">
            <w:pPr>
              <w:spacing w:before="60" w:after="60"/>
              <w:rPr>
                <w:rFonts w:ascii="Arial" w:hAnsi="Arial" w:cs="Arial"/>
                <w:iCs/>
              </w:rPr>
            </w:pPr>
            <w:r w:rsidRPr="00700844">
              <w:rPr>
                <w:rFonts w:ascii="Arial" w:hAnsi="Arial" w:cs="Arial"/>
                <w:iCs/>
                <w:color w:val="222222"/>
                <w:sz w:val="18"/>
              </w:rPr>
              <w:t>Adapt US scheduling models to fit mandatory CLT guidelines while keeping total pay high.</w:t>
            </w:r>
          </w:p>
        </w:tc>
      </w:tr>
    </w:tbl>
    <w:p w14:paraId="732ED319" w14:textId="77777777" w:rsidR="0029198B" w:rsidRPr="00EE62FF" w:rsidRDefault="0029198B">
      <w:pPr>
        <w:spacing w:after="80"/>
        <w:rPr>
          <w:rFonts w:ascii="Arial" w:hAnsi="Arial" w:cs="Arial"/>
        </w:rPr>
      </w:pPr>
    </w:p>
    <w:p w14:paraId="66654996"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Warehouse club entry requires substantial upfront capital for land, construction, structural steel, and initial inventory. A single warehouse requires tens of millions in capital expenditure.</w:t>
      </w:r>
    </w:p>
    <w:tbl>
      <w:tblPr>
        <w:tblW w:w="0" w:type="auto"/>
        <w:jc w:val="center"/>
        <w:tblLook w:val="04A0" w:firstRow="1" w:lastRow="0" w:firstColumn="1" w:lastColumn="0" w:noHBand="0" w:noVBand="1"/>
      </w:tblPr>
      <w:tblGrid>
        <w:gridCol w:w="9360"/>
      </w:tblGrid>
      <w:tr w:rsidR="0029198B" w:rsidRPr="00700844" w14:paraId="5A145511"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56C4E1B9" w14:textId="77777777" w:rsidR="0029198B" w:rsidRPr="00700844" w:rsidRDefault="00000000">
            <w:pPr>
              <w:spacing w:before="60" w:after="60"/>
              <w:rPr>
                <w:rFonts w:ascii="Arial" w:hAnsi="Arial" w:cs="Arial"/>
              </w:rPr>
            </w:pPr>
            <w:r w:rsidRPr="00700844">
              <w:rPr>
                <w:rFonts w:ascii="Arial" w:hAnsi="Arial" w:cs="Arial"/>
                <w:b/>
                <w:color w:val="1B365D"/>
                <w:sz w:val="20"/>
              </w:rPr>
              <w:t>Financial Cash Flow Trajectory</w:t>
            </w:r>
            <w:r w:rsidRPr="00700844">
              <w:rPr>
                <w:rFonts w:ascii="Arial" w:hAnsi="Arial" w:cs="Arial"/>
                <w:b/>
                <w:color w:val="1B365D"/>
                <w:sz w:val="20"/>
              </w:rPr>
              <w:br/>
            </w:r>
            <w:r w:rsidRPr="00700844">
              <w:rPr>
                <w:rFonts w:ascii="Arial" w:hAnsi="Arial" w:cs="Arial"/>
                <w:color w:val="222222"/>
                <w:sz w:val="19"/>
              </w:rPr>
              <w:t>[Upfront Capital Commitment] ──&gt; [High Opening Inventory Stock] ──&gt; [Negative Year 1 Free Cash Flow]</w:t>
            </w:r>
            <w:r w:rsidRPr="00700844">
              <w:rPr>
                <w:rFonts w:ascii="Arial" w:hAnsi="Arial" w:cs="Arial"/>
                <w:color w:val="222222"/>
                <w:sz w:val="19"/>
              </w:rPr>
              <w:br/>
              <w:t xml:space="preserve">                                                                                    │</w:t>
            </w:r>
            <w:r w:rsidRPr="00700844">
              <w:rPr>
                <w:rFonts w:ascii="Arial" w:hAnsi="Arial" w:cs="Arial"/>
                <w:color w:val="222222"/>
                <w:sz w:val="19"/>
              </w:rPr>
              <w:br/>
              <w:t xml:space="preserve">                                                                                    ▼</w:t>
            </w:r>
            <w:r w:rsidRPr="00700844">
              <w:rPr>
                <w:rFonts w:ascii="Arial" w:hAnsi="Arial" w:cs="Arial"/>
                <w:color w:val="222222"/>
                <w:sz w:val="19"/>
              </w:rPr>
              <w:br/>
              <w:t>[High Renewal Rates (90%+)] &lt;── [Low Margin + Upfront Membership Fees] ──&gt; [Positive Year 3 Operating Cash Flow]</w:t>
            </w:r>
          </w:p>
        </w:tc>
      </w:tr>
    </w:tbl>
    <w:p w14:paraId="5910455D" w14:textId="77777777" w:rsidR="0029198B" w:rsidRPr="00EE62FF" w:rsidRDefault="0029198B">
      <w:pPr>
        <w:spacing w:after="80"/>
        <w:rPr>
          <w:rFonts w:ascii="Arial" w:hAnsi="Arial" w:cs="Arial"/>
        </w:rPr>
      </w:pPr>
    </w:p>
    <w:p w14:paraId="6041F8F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Because membership fees are collected upfront, operating cash flow benefits from favourable working-capital dynamics. Members pay annual dues before purchases, while rapid inventory turns can occur before supplier payment terms expire. This cash-conversion cycle provides liquidity without heavy reliance on domestic short-term debt.</w:t>
      </w:r>
    </w:p>
    <w:p w14:paraId="5DF9296B"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Detailed Scenario Analysis: Economic Volatility and Exchange Rate Shifts</w:t>
      </w:r>
    </w:p>
    <w:p w14:paraId="3AB6DA38"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Given the historical volatility of the Brazilian Real (BRL) and shifting interest rate environments, strategic planning must evaluate performance under varying macroeconomic scenarios.</w:t>
      </w:r>
    </w:p>
    <w:p w14:paraId="13DE62D9"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Base Case Scenario (Moderate BRL Depreciation &amp; Steady GDP Growth):</w:t>
      </w:r>
      <w:r w:rsidRPr="00694806">
        <w:rPr>
          <w:rFonts w:ascii="Arial" w:hAnsi="Arial" w:cs="Arial"/>
          <w:sz w:val="24"/>
          <w:szCs w:val="24"/>
        </w:rPr>
        <w:t xml:space="preserve"> BRL depreciates at single-digit annual rates; dual-VAT reform follows legislative </w:t>
      </w:r>
      <w:r w:rsidRPr="00694806">
        <w:rPr>
          <w:rFonts w:ascii="Arial" w:hAnsi="Arial" w:cs="Arial"/>
          <w:sz w:val="24"/>
          <w:szCs w:val="24"/>
        </w:rPr>
        <w:lastRenderedPageBreak/>
        <w:t>schedules; inflation remains within target corridors. Strategic Response: maintain 70% local sourcing, 30% Kirkland/imported lines, open 3 to 4 warehouses in Greater São Paulo, and execute the partner buyout post-2032.</w:t>
      </w:r>
    </w:p>
    <w:p w14:paraId="5582E3C4"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Bullish Scenario (BRL Currency Appreciation &amp; Rapid Middle-Class Expansion):</w:t>
      </w:r>
      <w:r w:rsidRPr="00694806">
        <w:rPr>
          <w:rFonts w:ascii="Arial" w:hAnsi="Arial" w:cs="Arial"/>
          <w:sz w:val="24"/>
          <w:szCs w:val="24"/>
        </w:rPr>
        <w:t xml:space="preserve"> The currency strengthens, purchasing power expands, and tax reform simplifies inter-state commerce. Strategic Response: increase imported Kirkland SKUs, accelerate expansion into Curitiba and Porto Alegre, and shorten the JV buyout timeline.</w:t>
      </w:r>
    </w:p>
    <w:p w14:paraId="1968B43E"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b/>
          <w:sz w:val="24"/>
          <w:szCs w:val="24"/>
        </w:rPr>
        <w:t>Bearish Scenario (Severe BRL Devaluation, High Inflation &amp; Regulatory Gridlock):</w:t>
      </w:r>
      <w:r w:rsidRPr="00694806">
        <w:rPr>
          <w:rFonts w:ascii="Arial" w:hAnsi="Arial" w:cs="Arial"/>
          <w:sz w:val="24"/>
          <w:szCs w:val="24"/>
        </w:rPr>
        <w:t xml:space="preserve"> BRL depreciates sharply, inflation reduces real incomes, and permits face delays. Strategic Response: raise local sourcing above 85%, pause new warehouse capital expenditure, and focus on staple bulk goods as consumers trade down from traditional hypermarkets.</w:t>
      </w:r>
    </w:p>
    <w:p w14:paraId="60D7606D" w14:textId="77777777" w:rsidR="00700844" w:rsidRPr="00694806" w:rsidRDefault="00700844" w:rsidP="00694806">
      <w:pPr>
        <w:pStyle w:val="ListBullet"/>
        <w:numPr>
          <w:ilvl w:val="0"/>
          <w:numId w:val="0"/>
        </w:numPr>
        <w:spacing w:after="60" w:line="360" w:lineRule="auto"/>
        <w:ind w:left="360" w:hanging="360"/>
        <w:jc w:val="both"/>
        <w:rPr>
          <w:rFonts w:ascii="Arial" w:hAnsi="Arial" w:cs="Arial"/>
          <w:sz w:val="24"/>
          <w:szCs w:val="24"/>
        </w:rPr>
      </w:pPr>
    </w:p>
    <w:p w14:paraId="419B0E63" w14:textId="77777777" w:rsidR="00700844" w:rsidRPr="00694806" w:rsidRDefault="00700844" w:rsidP="00694806">
      <w:pPr>
        <w:pStyle w:val="ListBullet"/>
        <w:numPr>
          <w:ilvl w:val="0"/>
          <w:numId w:val="0"/>
        </w:numPr>
        <w:spacing w:after="60" w:line="360" w:lineRule="auto"/>
        <w:ind w:left="360" w:hanging="360"/>
        <w:jc w:val="both"/>
        <w:rPr>
          <w:rFonts w:ascii="Arial" w:hAnsi="Arial" w:cs="Arial"/>
          <w:sz w:val="24"/>
          <w:szCs w:val="24"/>
        </w:rPr>
      </w:pPr>
    </w:p>
    <w:p w14:paraId="7483CF2B" w14:textId="77777777" w:rsidR="00700844" w:rsidRDefault="00700844" w:rsidP="00700844">
      <w:pPr>
        <w:pStyle w:val="ListBullet"/>
        <w:numPr>
          <w:ilvl w:val="0"/>
          <w:numId w:val="0"/>
        </w:numPr>
        <w:spacing w:after="60"/>
        <w:ind w:left="360" w:hanging="360"/>
        <w:rPr>
          <w:rFonts w:ascii="Arial" w:hAnsi="Arial" w:cs="Arial"/>
        </w:rPr>
      </w:pPr>
    </w:p>
    <w:p w14:paraId="7FAF9157" w14:textId="77777777" w:rsidR="00700844" w:rsidRDefault="00700844" w:rsidP="00700844">
      <w:pPr>
        <w:pStyle w:val="ListBullet"/>
        <w:numPr>
          <w:ilvl w:val="0"/>
          <w:numId w:val="0"/>
        </w:numPr>
        <w:spacing w:after="60"/>
        <w:ind w:left="360" w:hanging="360"/>
        <w:rPr>
          <w:rFonts w:ascii="Arial" w:hAnsi="Arial" w:cs="Arial"/>
        </w:rPr>
      </w:pPr>
    </w:p>
    <w:p w14:paraId="0D67A607" w14:textId="77777777" w:rsidR="00700844" w:rsidRDefault="00700844" w:rsidP="00700844">
      <w:pPr>
        <w:pStyle w:val="ListBullet"/>
        <w:numPr>
          <w:ilvl w:val="0"/>
          <w:numId w:val="0"/>
        </w:numPr>
        <w:spacing w:after="60"/>
        <w:ind w:left="360" w:hanging="360"/>
        <w:rPr>
          <w:rFonts w:ascii="Arial" w:hAnsi="Arial" w:cs="Arial"/>
        </w:rPr>
      </w:pPr>
    </w:p>
    <w:p w14:paraId="5C5911EA" w14:textId="77777777" w:rsidR="003E54C7" w:rsidRDefault="003E54C7" w:rsidP="00700844">
      <w:pPr>
        <w:pStyle w:val="ListBullet"/>
        <w:numPr>
          <w:ilvl w:val="0"/>
          <w:numId w:val="0"/>
        </w:numPr>
        <w:spacing w:after="60"/>
        <w:ind w:left="360" w:hanging="360"/>
        <w:rPr>
          <w:rFonts w:ascii="Arial" w:hAnsi="Arial" w:cs="Arial"/>
        </w:rPr>
      </w:pPr>
    </w:p>
    <w:p w14:paraId="601120C3" w14:textId="77777777" w:rsidR="003E54C7" w:rsidRDefault="003E54C7" w:rsidP="00700844">
      <w:pPr>
        <w:pStyle w:val="ListBullet"/>
        <w:numPr>
          <w:ilvl w:val="0"/>
          <w:numId w:val="0"/>
        </w:numPr>
        <w:spacing w:after="60"/>
        <w:ind w:left="360" w:hanging="360"/>
        <w:rPr>
          <w:rFonts w:ascii="Arial" w:hAnsi="Arial" w:cs="Arial"/>
        </w:rPr>
      </w:pPr>
    </w:p>
    <w:p w14:paraId="0C22C21E" w14:textId="77777777" w:rsidR="003E54C7" w:rsidRDefault="003E54C7" w:rsidP="00700844">
      <w:pPr>
        <w:pStyle w:val="ListBullet"/>
        <w:numPr>
          <w:ilvl w:val="0"/>
          <w:numId w:val="0"/>
        </w:numPr>
        <w:spacing w:after="60"/>
        <w:ind w:left="360" w:hanging="360"/>
        <w:rPr>
          <w:rFonts w:ascii="Arial" w:hAnsi="Arial" w:cs="Arial"/>
        </w:rPr>
      </w:pPr>
    </w:p>
    <w:p w14:paraId="2C7DB43E" w14:textId="77777777" w:rsidR="003E54C7" w:rsidRDefault="003E54C7" w:rsidP="00700844">
      <w:pPr>
        <w:pStyle w:val="ListBullet"/>
        <w:numPr>
          <w:ilvl w:val="0"/>
          <w:numId w:val="0"/>
        </w:numPr>
        <w:spacing w:after="60"/>
        <w:ind w:left="360" w:hanging="360"/>
        <w:rPr>
          <w:rFonts w:ascii="Arial" w:hAnsi="Arial" w:cs="Arial"/>
        </w:rPr>
      </w:pPr>
    </w:p>
    <w:p w14:paraId="6D7882F7" w14:textId="77777777" w:rsidR="00700844" w:rsidRDefault="00700844" w:rsidP="00700844">
      <w:pPr>
        <w:pStyle w:val="ListBullet"/>
        <w:numPr>
          <w:ilvl w:val="0"/>
          <w:numId w:val="0"/>
        </w:numPr>
        <w:spacing w:after="60"/>
        <w:ind w:left="360" w:hanging="360"/>
        <w:rPr>
          <w:rFonts w:ascii="Arial" w:hAnsi="Arial" w:cs="Arial"/>
        </w:rPr>
      </w:pPr>
    </w:p>
    <w:p w14:paraId="434532C5" w14:textId="77777777" w:rsidR="003E54C7" w:rsidRDefault="003E54C7" w:rsidP="00700844">
      <w:pPr>
        <w:pStyle w:val="ListBullet"/>
        <w:numPr>
          <w:ilvl w:val="0"/>
          <w:numId w:val="0"/>
        </w:numPr>
        <w:spacing w:after="60"/>
        <w:ind w:left="360" w:hanging="360"/>
        <w:rPr>
          <w:rFonts w:ascii="Arial" w:hAnsi="Arial" w:cs="Arial"/>
        </w:rPr>
      </w:pPr>
    </w:p>
    <w:p w14:paraId="50B97EEA" w14:textId="77777777" w:rsidR="003E54C7" w:rsidRDefault="003E54C7" w:rsidP="00700844">
      <w:pPr>
        <w:pStyle w:val="ListBullet"/>
        <w:numPr>
          <w:ilvl w:val="0"/>
          <w:numId w:val="0"/>
        </w:numPr>
        <w:spacing w:after="60"/>
        <w:ind w:left="360" w:hanging="360"/>
        <w:rPr>
          <w:rFonts w:ascii="Arial" w:hAnsi="Arial" w:cs="Arial"/>
        </w:rPr>
      </w:pPr>
    </w:p>
    <w:p w14:paraId="7746BE8E" w14:textId="77777777" w:rsidR="003E54C7" w:rsidRDefault="003E54C7" w:rsidP="00700844">
      <w:pPr>
        <w:pStyle w:val="ListBullet"/>
        <w:numPr>
          <w:ilvl w:val="0"/>
          <w:numId w:val="0"/>
        </w:numPr>
        <w:spacing w:after="60"/>
        <w:ind w:left="360" w:hanging="360"/>
        <w:rPr>
          <w:rFonts w:ascii="Arial" w:hAnsi="Arial" w:cs="Arial"/>
        </w:rPr>
      </w:pPr>
    </w:p>
    <w:p w14:paraId="70094ED6" w14:textId="77777777" w:rsidR="003E54C7" w:rsidRDefault="003E54C7" w:rsidP="00700844">
      <w:pPr>
        <w:pStyle w:val="ListBullet"/>
        <w:numPr>
          <w:ilvl w:val="0"/>
          <w:numId w:val="0"/>
        </w:numPr>
        <w:spacing w:after="60"/>
        <w:ind w:left="360" w:hanging="360"/>
        <w:rPr>
          <w:rFonts w:ascii="Arial" w:hAnsi="Arial" w:cs="Arial"/>
        </w:rPr>
      </w:pPr>
    </w:p>
    <w:p w14:paraId="30224E52" w14:textId="77777777" w:rsidR="003E54C7" w:rsidRDefault="003E54C7" w:rsidP="00700844">
      <w:pPr>
        <w:pStyle w:val="ListBullet"/>
        <w:numPr>
          <w:ilvl w:val="0"/>
          <w:numId w:val="0"/>
        </w:numPr>
        <w:spacing w:after="60"/>
        <w:ind w:left="360" w:hanging="360"/>
        <w:rPr>
          <w:rFonts w:ascii="Arial" w:hAnsi="Arial" w:cs="Arial"/>
        </w:rPr>
      </w:pPr>
    </w:p>
    <w:p w14:paraId="2F236CE4" w14:textId="77777777" w:rsidR="003E54C7" w:rsidRDefault="003E54C7" w:rsidP="00700844">
      <w:pPr>
        <w:pStyle w:val="ListBullet"/>
        <w:numPr>
          <w:ilvl w:val="0"/>
          <w:numId w:val="0"/>
        </w:numPr>
        <w:spacing w:after="60"/>
        <w:ind w:left="360" w:hanging="360"/>
        <w:rPr>
          <w:rFonts w:ascii="Arial" w:hAnsi="Arial" w:cs="Arial"/>
        </w:rPr>
      </w:pPr>
    </w:p>
    <w:p w14:paraId="7D153D24" w14:textId="77777777" w:rsidR="003E54C7" w:rsidRDefault="003E54C7" w:rsidP="00700844">
      <w:pPr>
        <w:pStyle w:val="ListBullet"/>
        <w:numPr>
          <w:ilvl w:val="0"/>
          <w:numId w:val="0"/>
        </w:numPr>
        <w:spacing w:after="60"/>
        <w:ind w:left="360" w:hanging="360"/>
        <w:rPr>
          <w:rFonts w:ascii="Arial" w:hAnsi="Arial" w:cs="Arial"/>
        </w:rPr>
      </w:pPr>
    </w:p>
    <w:p w14:paraId="32D797DF" w14:textId="77777777" w:rsidR="003E54C7" w:rsidRDefault="003E54C7" w:rsidP="00700844">
      <w:pPr>
        <w:pStyle w:val="ListBullet"/>
        <w:numPr>
          <w:ilvl w:val="0"/>
          <w:numId w:val="0"/>
        </w:numPr>
        <w:spacing w:after="60"/>
        <w:ind w:left="360" w:hanging="360"/>
        <w:rPr>
          <w:rFonts w:ascii="Arial" w:hAnsi="Arial" w:cs="Arial"/>
        </w:rPr>
      </w:pPr>
    </w:p>
    <w:p w14:paraId="13EA215A" w14:textId="77777777" w:rsidR="003E54C7" w:rsidRDefault="003E54C7" w:rsidP="00700844">
      <w:pPr>
        <w:pStyle w:val="ListBullet"/>
        <w:numPr>
          <w:ilvl w:val="0"/>
          <w:numId w:val="0"/>
        </w:numPr>
        <w:spacing w:after="60"/>
        <w:ind w:left="360" w:hanging="360"/>
        <w:rPr>
          <w:rFonts w:ascii="Arial" w:hAnsi="Arial" w:cs="Arial"/>
        </w:rPr>
      </w:pPr>
    </w:p>
    <w:p w14:paraId="180E3D49" w14:textId="77777777" w:rsidR="003E54C7" w:rsidRDefault="003E54C7" w:rsidP="00700844">
      <w:pPr>
        <w:pStyle w:val="ListBullet"/>
        <w:numPr>
          <w:ilvl w:val="0"/>
          <w:numId w:val="0"/>
        </w:numPr>
        <w:spacing w:after="60"/>
        <w:ind w:left="360" w:hanging="360"/>
        <w:rPr>
          <w:rFonts w:ascii="Arial" w:hAnsi="Arial" w:cs="Arial"/>
        </w:rPr>
      </w:pPr>
    </w:p>
    <w:p w14:paraId="7551C6D9" w14:textId="77777777" w:rsidR="003E54C7" w:rsidRDefault="003E54C7" w:rsidP="00700844">
      <w:pPr>
        <w:pStyle w:val="ListBullet"/>
        <w:numPr>
          <w:ilvl w:val="0"/>
          <w:numId w:val="0"/>
        </w:numPr>
        <w:spacing w:after="60"/>
        <w:ind w:left="360" w:hanging="360"/>
        <w:rPr>
          <w:rFonts w:ascii="Arial" w:hAnsi="Arial" w:cs="Arial"/>
        </w:rPr>
      </w:pPr>
    </w:p>
    <w:p w14:paraId="5D466EE9" w14:textId="77777777" w:rsidR="003E54C7" w:rsidRDefault="003E54C7" w:rsidP="00700844">
      <w:pPr>
        <w:pStyle w:val="ListBullet"/>
        <w:numPr>
          <w:ilvl w:val="0"/>
          <w:numId w:val="0"/>
        </w:numPr>
        <w:spacing w:after="60"/>
        <w:ind w:left="360" w:hanging="360"/>
        <w:rPr>
          <w:rFonts w:ascii="Arial" w:hAnsi="Arial" w:cs="Arial"/>
        </w:rPr>
      </w:pPr>
    </w:p>
    <w:p w14:paraId="7219D90D" w14:textId="77777777" w:rsidR="003E54C7" w:rsidRDefault="003E54C7" w:rsidP="00700844">
      <w:pPr>
        <w:pStyle w:val="ListBullet"/>
        <w:numPr>
          <w:ilvl w:val="0"/>
          <w:numId w:val="0"/>
        </w:numPr>
        <w:spacing w:after="60"/>
        <w:ind w:left="360" w:hanging="360"/>
        <w:rPr>
          <w:rFonts w:ascii="Arial" w:hAnsi="Arial" w:cs="Arial"/>
        </w:rPr>
      </w:pPr>
    </w:p>
    <w:p w14:paraId="64A8C3F4" w14:textId="77777777" w:rsidR="003E54C7" w:rsidRPr="00694806" w:rsidRDefault="003E54C7" w:rsidP="00694806">
      <w:pPr>
        <w:keepNext/>
        <w:spacing w:before="320" w:after="120" w:line="360" w:lineRule="auto"/>
        <w:jc w:val="both"/>
        <w:rPr>
          <w:rFonts w:ascii="Arial" w:hAnsi="Arial" w:cs="Arial"/>
          <w:b/>
          <w:color w:val="1B365D"/>
          <w:sz w:val="24"/>
          <w:szCs w:val="24"/>
        </w:rPr>
      </w:pPr>
    </w:p>
    <w:p w14:paraId="397247C6" w14:textId="77777777" w:rsidR="00FB0844" w:rsidRPr="00694806" w:rsidRDefault="00000000" w:rsidP="00694806">
      <w:pPr>
        <w:spacing w:line="360" w:lineRule="auto"/>
        <w:jc w:val="both"/>
        <w:rPr>
          <w:rFonts w:ascii="Arial" w:hAnsi="Arial" w:cs="Arial"/>
          <w:sz w:val="24"/>
          <w:szCs w:val="24"/>
        </w:rPr>
      </w:pPr>
      <w:r w:rsidRPr="00694806">
        <w:rPr>
          <w:rFonts w:ascii="Arial" w:hAnsi="Arial" w:cs="Arial"/>
          <w:sz w:val="24"/>
          <w:szCs w:val="24"/>
        </w:rPr>
        <w:t>Section 1 Final Conclusion</w:t>
      </w:r>
    </w:p>
    <w:p w14:paraId="7038527D" w14:textId="77777777" w:rsidR="00FB0844" w:rsidRPr="00694806" w:rsidRDefault="00000000" w:rsidP="00694806">
      <w:pPr>
        <w:spacing w:line="360" w:lineRule="auto"/>
        <w:jc w:val="both"/>
        <w:rPr>
          <w:rFonts w:ascii="Arial" w:hAnsi="Arial" w:cs="Arial"/>
          <w:sz w:val="24"/>
          <w:szCs w:val="24"/>
        </w:rPr>
      </w:pPr>
      <w:r w:rsidRPr="00694806">
        <w:rPr>
          <w:rFonts w:ascii="Arial" w:hAnsi="Arial" w:cs="Arial"/>
          <w:sz w:val="24"/>
          <w:szCs w:val="24"/>
        </w:rPr>
        <w:t>The evidence supports a phased 51/49 joint venture as Costco's most suitable initial entry mode for Brazil. It balances the firm's need for control with the local knowledge required to manage regulatory, logistical and cultural complexity. A Greater São Paulo pilot, supported by local sourcing and clear performance measures, provides a controlled basis for learning before any transition to wholly owned operations.</w:t>
      </w:r>
    </w:p>
    <w:p w14:paraId="3BC18444" w14:textId="77777777" w:rsidR="0029198B" w:rsidRPr="00694806" w:rsidRDefault="00000000" w:rsidP="00694806">
      <w:pPr>
        <w:keepNext/>
        <w:spacing w:before="320" w:after="120" w:line="360" w:lineRule="auto"/>
        <w:jc w:val="both"/>
        <w:rPr>
          <w:rFonts w:ascii="Arial" w:hAnsi="Arial" w:cs="Arial"/>
          <w:sz w:val="24"/>
          <w:szCs w:val="24"/>
        </w:rPr>
      </w:pPr>
      <w:r w:rsidRPr="00694806">
        <w:rPr>
          <w:rFonts w:ascii="Arial" w:hAnsi="Arial" w:cs="Arial"/>
          <w:b/>
          <w:color w:val="1B365D"/>
          <w:sz w:val="24"/>
          <w:szCs w:val="24"/>
        </w:rPr>
        <w:t>Section 2: Reflective Account</w:t>
      </w:r>
    </w:p>
    <w:p w14:paraId="09FBEC1D"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This reflective account uses the Gibbs Reflective Cycle (Gibbs, 1988) to evaluate my learning and research process during preparation of the international business strategy report. The cycle covers Description, Feelings, Evaluation, Analysis, Conclusion, and Action Plan.</w:t>
      </w:r>
    </w:p>
    <w:tbl>
      <w:tblPr>
        <w:tblW w:w="0" w:type="auto"/>
        <w:jc w:val="center"/>
        <w:tblLook w:val="04A0" w:firstRow="1" w:lastRow="0" w:firstColumn="1" w:lastColumn="0" w:noHBand="0" w:noVBand="1"/>
      </w:tblPr>
      <w:tblGrid>
        <w:gridCol w:w="9360"/>
      </w:tblGrid>
      <w:tr w:rsidR="0029198B" w:rsidRPr="00700844" w14:paraId="60A745E8"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209DCBFC" w14:textId="77777777" w:rsidR="0029198B" w:rsidRPr="00700844" w:rsidRDefault="00000000">
            <w:pPr>
              <w:spacing w:before="60" w:after="60"/>
              <w:rPr>
                <w:rFonts w:ascii="Arial" w:hAnsi="Arial" w:cs="Arial"/>
              </w:rPr>
            </w:pPr>
            <w:r w:rsidRPr="00700844">
              <w:rPr>
                <w:rFonts w:ascii="Arial" w:hAnsi="Arial" w:cs="Arial"/>
                <w:b/>
                <w:color w:val="1B365D"/>
                <w:sz w:val="20"/>
              </w:rPr>
              <w:t>Gibbs Reflective Cycle</w:t>
            </w:r>
            <w:r w:rsidRPr="00700844">
              <w:rPr>
                <w:rFonts w:ascii="Arial" w:hAnsi="Arial" w:cs="Arial"/>
                <w:b/>
                <w:color w:val="1B365D"/>
                <w:sz w:val="20"/>
              </w:rPr>
              <w:br/>
            </w:r>
            <w:r w:rsidRPr="00700844">
              <w:rPr>
                <w:rFonts w:ascii="Arial" w:hAnsi="Arial" w:cs="Arial"/>
                <w:color w:val="222222"/>
                <w:sz w:val="19"/>
              </w:rPr>
              <w:t>[Description] ──&gt; [Feelings] ──&gt; [Evaluation] ──&gt; [Analysis] ──&gt; [Conclusion] ──&gt; [Action Plan]</w:t>
            </w:r>
          </w:p>
        </w:tc>
      </w:tr>
    </w:tbl>
    <w:p w14:paraId="0C31BA70" w14:textId="77777777" w:rsidR="0029198B" w:rsidRPr="00EE62FF" w:rsidRDefault="0029198B">
      <w:pPr>
        <w:spacing w:after="80"/>
        <w:rPr>
          <w:rFonts w:ascii="Arial" w:hAnsi="Arial" w:cs="Arial"/>
        </w:rPr>
      </w:pPr>
    </w:p>
    <w:p w14:paraId="6ACA1667"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t>Description</w:t>
      </w:r>
    </w:p>
    <w:p w14:paraId="65CA64B4"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The task required selecting Costco Wholesale and developing a strategy for entering Brazil, a market where it has not operated. The project combined corporate operational data with macro-environmental research using Dunning's OLI Paradigm, Bartlett and Ghoshal's I-R Grid, and PESTLE analysis.</w:t>
      </w:r>
    </w:p>
    <w:p w14:paraId="20862DD3"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t>Feelings</w:t>
      </w:r>
    </w:p>
    <w:p w14:paraId="5698C8B9"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Initially, I felt enthusiastic about studying Costco's membership-driven revenue model. However, researching Brazil created anxiety because of 'Custo Brasil' and the multi-year dual-VAT transition. I was concerned about connecting these complex realities to theoretical frameworks without relying on generic generalisations.</w:t>
      </w:r>
    </w:p>
    <w:p w14:paraId="3E594F94"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lastRenderedPageBreak/>
        <w:t>Evaluation</w:t>
      </w:r>
    </w:p>
    <w:p w14:paraId="034EA99A"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The main positive outcome was developing a functional understanding of how academic frameworks support real-world strategic decisions. Module lectures, readings and case</w:t>
      </w:r>
      <w:r w:rsidRPr="00EE62FF">
        <w:rPr>
          <w:rFonts w:ascii="Arial" w:hAnsi="Arial" w:cs="Arial"/>
        </w:rPr>
        <w:t xml:space="preserve"> </w:t>
      </w:r>
      <w:r w:rsidRPr="00694806">
        <w:rPr>
          <w:rFonts w:ascii="Arial" w:hAnsi="Arial" w:cs="Arial"/>
          <w:sz w:val="24"/>
          <w:szCs w:val="24"/>
        </w:rPr>
        <w:t>discussions helped me connect these frameworks to practical international expansion decisions. Applying OLI clarified why direct ownership or majority control is important for firms with valuable trade secrets (Scribd, 2023). The main challenge was critically evaluating frameworks rather than applying them uncritically while maintaining an analytical tone.</w:t>
      </w:r>
    </w:p>
    <w:p w14:paraId="7BCD1B56"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t>Analysis</w:t>
      </w:r>
    </w:p>
    <w:p w14:paraId="069E9A66"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Navigating Brazil's complex tax environment was an important learning point. Applying the VUCA framework (Volatility, Uncertainty, Complexity, Ambiguity) helped structure external challenges into actionable managerial steps (Bennett &amp; Lemoine, 2014).</w:t>
      </w:r>
    </w:p>
    <w:tbl>
      <w:tblPr>
        <w:tblW w:w="0" w:type="auto"/>
        <w:jc w:val="center"/>
        <w:tblLook w:val="04A0" w:firstRow="1" w:lastRow="0" w:firstColumn="1" w:lastColumn="0" w:noHBand="0" w:noVBand="1"/>
      </w:tblPr>
      <w:tblGrid>
        <w:gridCol w:w="2592"/>
        <w:gridCol w:w="3168"/>
        <w:gridCol w:w="3600"/>
      </w:tblGrid>
      <w:tr w:rsidR="0029198B" w:rsidRPr="00EE62FF" w14:paraId="41124CC6" w14:textId="77777777">
        <w:trPr>
          <w:jc w:val="center"/>
        </w:trPr>
        <w:tc>
          <w:tcPr>
            <w:tcW w:w="2592" w:type="dxa"/>
            <w:tcBorders>
              <w:top w:val="single" w:sz="4" w:space="0" w:color="E0E0E0"/>
              <w:bottom w:val="single" w:sz="4" w:space="0" w:color="E0E0E0"/>
            </w:tcBorders>
            <w:shd w:val="clear" w:color="auto" w:fill="1B365D"/>
          </w:tcPr>
          <w:p w14:paraId="0D95F1AE" w14:textId="77777777" w:rsidR="0029198B" w:rsidRPr="00EE62FF" w:rsidRDefault="00000000">
            <w:pPr>
              <w:spacing w:before="60" w:after="60"/>
              <w:rPr>
                <w:rFonts w:ascii="Arial" w:hAnsi="Arial" w:cs="Arial"/>
              </w:rPr>
            </w:pPr>
            <w:r w:rsidRPr="00EE62FF">
              <w:rPr>
                <w:rFonts w:ascii="Arial" w:hAnsi="Arial" w:cs="Arial"/>
                <w:b/>
                <w:color w:val="FFFFFF"/>
                <w:sz w:val="19"/>
              </w:rPr>
              <w:t>Operational Problem Type</w:t>
            </w:r>
          </w:p>
        </w:tc>
        <w:tc>
          <w:tcPr>
            <w:tcW w:w="3168" w:type="dxa"/>
            <w:tcBorders>
              <w:top w:val="single" w:sz="4" w:space="0" w:color="E0E0E0"/>
              <w:bottom w:val="single" w:sz="4" w:space="0" w:color="E0E0E0"/>
            </w:tcBorders>
            <w:shd w:val="clear" w:color="auto" w:fill="1B365D"/>
          </w:tcPr>
          <w:p w14:paraId="4C6563A5" w14:textId="77777777" w:rsidR="0029198B" w:rsidRPr="00EE62FF" w:rsidRDefault="00000000">
            <w:pPr>
              <w:spacing w:before="60" w:after="60"/>
              <w:rPr>
                <w:rFonts w:ascii="Arial" w:hAnsi="Arial" w:cs="Arial"/>
              </w:rPr>
            </w:pPr>
            <w:r w:rsidRPr="00EE62FF">
              <w:rPr>
                <w:rFonts w:ascii="Arial" w:hAnsi="Arial" w:cs="Arial"/>
                <w:b/>
                <w:color w:val="FFFFFF"/>
                <w:sz w:val="19"/>
              </w:rPr>
              <w:t>Strategic Classification</w:t>
            </w:r>
          </w:p>
        </w:tc>
        <w:tc>
          <w:tcPr>
            <w:tcW w:w="3600" w:type="dxa"/>
            <w:tcBorders>
              <w:top w:val="single" w:sz="4" w:space="0" w:color="E0E0E0"/>
              <w:bottom w:val="single" w:sz="4" w:space="0" w:color="E0E0E0"/>
            </w:tcBorders>
            <w:shd w:val="clear" w:color="auto" w:fill="1B365D"/>
          </w:tcPr>
          <w:p w14:paraId="68AC9D10" w14:textId="77777777" w:rsidR="0029198B" w:rsidRPr="00EE62FF" w:rsidRDefault="00000000">
            <w:pPr>
              <w:spacing w:before="60" w:after="60"/>
              <w:rPr>
                <w:rFonts w:ascii="Arial" w:hAnsi="Arial" w:cs="Arial"/>
              </w:rPr>
            </w:pPr>
            <w:r w:rsidRPr="00EE62FF">
              <w:rPr>
                <w:rFonts w:ascii="Arial" w:hAnsi="Arial" w:cs="Arial"/>
                <w:b/>
                <w:color w:val="FFFFFF"/>
                <w:sz w:val="19"/>
              </w:rPr>
              <w:t>Applicable Managerial Strategy</w:t>
            </w:r>
          </w:p>
        </w:tc>
      </w:tr>
      <w:tr w:rsidR="0029198B" w:rsidRPr="00EE62FF" w14:paraId="186B1556" w14:textId="77777777">
        <w:trPr>
          <w:jc w:val="center"/>
        </w:trPr>
        <w:tc>
          <w:tcPr>
            <w:tcW w:w="2592" w:type="dxa"/>
            <w:tcBorders>
              <w:top w:val="single" w:sz="4" w:space="0" w:color="E0E0E0"/>
              <w:bottom w:val="single" w:sz="4" w:space="0" w:color="E0E0E0"/>
            </w:tcBorders>
            <w:shd w:val="clear" w:color="auto" w:fill="FFFFFF"/>
          </w:tcPr>
          <w:p w14:paraId="76181939" w14:textId="77777777" w:rsidR="0029198B" w:rsidRPr="00EE62FF" w:rsidRDefault="00000000">
            <w:pPr>
              <w:spacing w:before="60" w:after="60"/>
              <w:rPr>
                <w:rFonts w:ascii="Arial" w:hAnsi="Arial" w:cs="Arial"/>
              </w:rPr>
            </w:pPr>
            <w:r w:rsidRPr="00EE62FF">
              <w:rPr>
                <w:rFonts w:ascii="Arial" w:hAnsi="Arial" w:cs="Arial"/>
                <w:color w:val="222222"/>
                <w:sz w:val="18"/>
              </w:rPr>
              <w:t>Technical Problems (Complicated)</w:t>
            </w:r>
          </w:p>
        </w:tc>
        <w:tc>
          <w:tcPr>
            <w:tcW w:w="3168" w:type="dxa"/>
            <w:tcBorders>
              <w:top w:val="single" w:sz="4" w:space="0" w:color="E0E0E0"/>
              <w:bottom w:val="single" w:sz="4" w:space="0" w:color="E0E0E0"/>
            </w:tcBorders>
            <w:shd w:val="clear" w:color="auto" w:fill="FFFFFF"/>
          </w:tcPr>
          <w:p w14:paraId="158CA2FC" w14:textId="77777777" w:rsidR="0029198B" w:rsidRPr="00EE62FF" w:rsidRDefault="00000000">
            <w:pPr>
              <w:spacing w:before="60" w:after="60"/>
              <w:rPr>
                <w:rFonts w:ascii="Arial" w:hAnsi="Arial" w:cs="Arial"/>
              </w:rPr>
            </w:pPr>
            <w:r w:rsidRPr="00EE62FF">
              <w:rPr>
                <w:rFonts w:ascii="Arial" w:hAnsi="Arial" w:cs="Arial"/>
                <w:color w:val="222222"/>
                <w:sz w:val="18"/>
              </w:rPr>
              <w:t>ERP Dual-VAT system updates, legal CLT labor compliance.</w:t>
            </w:r>
          </w:p>
        </w:tc>
        <w:tc>
          <w:tcPr>
            <w:tcW w:w="3600" w:type="dxa"/>
            <w:tcBorders>
              <w:top w:val="single" w:sz="4" w:space="0" w:color="E0E0E0"/>
              <w:bottom w:val="single" w:sz="4" w:space="0" w:color="E0E0E0"/>
            </w:tcBorders>
            <w:shd w:val="clear" w:color="auto" w:fill="FFFFFF"/>
          </w:tcPr>
          <w:p w14:paraId="4F555A03" w14:textId="77777777" w:rsidR="0029198B" w:rsidRPr="00EE62FF" w:rsidRDefault="00000000">
            <w:pPr>
              <w:spacing w:before="60" w:after="60"/>
              <w:rPr>
                <w:rFonts w:ascii="Arial" w:hAnsi="Arial" w:cs="Arial"/>
              </w:rPr>
            </w:pPr>
            <w:r w:rsidRPr="00EE62FF">
              <w:rPr>
                <w:rFonts w:ascii="Arial" w:hAnsi="Arial" w:cs="Arial"/>
                <w:color w:val="222222"/>
                <w:sz w:val="18"/>
              </w:rPr>
              <w:t>Solved via domain expert analysis, legal counsel, and software updates.</w:t>
            </w:r>
          </w:p>
        </w:tc>
      </w:tr>
      <w:tr w:rsidR="0029198B" w:rsidRPr="00EE62FF" w14:paraId="7EDBBC54" w14:textId="77777777">
        <w:trPr>
          <w:jc w:val="center"/>
        </w:trPr>
        <w:tc>
          <w:tcPr>
            <w:tcW w:w="2592" w:type="dxa"/>
            <w:tcBorders>
              <w:top w:val="single" w:sz="4" w:space="0" w:color="E0E0E0"/>
              <w:bottom w:val="single" w:sz="4" w:space="0" w:color="E0E0E0"/>
            </w:tcBorders>
            <w:shd w:val="clear" w:color="auto" w:fill="F9FAFC"/>
          </w:tcPr>
          <w:p w14:paraId="5F1E3B76" w14:textId="77777777" w:rsidR="0029198B" w:rsidRPr="00EE62FF" w:rsidRDefault="00000000">
            <w:pPr>
              <w:spacing w:before="60" w:after="60"/>
              <w:rPr>
                <w:rFonts w:ascii="Arial" w:hAnsi="Arial" w:cs="Arial"/>
              </w:rPr>
            </w:pPr>
            <w:r w:rsidRPr="00EE62FF">
              <w:rPr>
                <w:rFonts w:ascii="Arial" w:hAnsi="Arial" w:cs="Arial"/>
                <w:color w:val="222222"/>
                <w:sz w:val="18"/>
              </w:rPr>
              <w:t>Adaptive Challenges (Complex)</w:t>
            </w:r>
          </w:p>
        </w:tc>
        <w:tc>
          <w:tcPr>
            <w:tcW w:w="3168" w:type="dxa"/>
            <w:tcBorders>
              <w:top w:val="single" w:sz="4" w:space="0" w:color="E0E0E0"/>
              <w:bottom w:val="single" w:sz="4" w:space="0" w:color="E0E0E0"/>
            </w:tcBorders>
            <w:shd w:val="clear" w:color="auto" w:fill="F9FAFC"/>
          </w:tcPr>
          <w:p w14:paraId="25DC190D" w14:textId="77777777" w:rsidR="0029198B" w:rsidRPr="00EE62FF" w:rsidRDefault="00000000">
            <w:pPr>
              <w:spacing w:before="60" w:after="60"/>
              <w:rPr>
                <w:rFonts w:ascii="Arial" w:hAnsi="Arial" w:cs="Arial"/>
              </w:rPr>
            </w:pPr>
            <w:r w:rsidRPr="00EE62FF">
              <w:rPr>
                <w:rFonts w:ascii="Arial" w:hAnsi="Arial" w:cs="Arial"/>
                <w:color w:val="222222"/>
                <w:sz w:val="18"/>
              </w:rPr>
              <w:t>Shifting consumer habits to paid membership clubs in an established 'Atacarejo' market.</w:t>
            </w:r>
          </w:p>
        </w:tc>
        <w:tc>
          <w:tcPr>
            <w:tcW w:w="3600" w:type="dxa"/>
            <w:tcBorders>
              <w:top w:val="single" w:sz="4" w:space="0" w:color="E0E0E0"/>
              <w:bottom w:val="single" w:sz="4" w:space="0" w:color="E0E0E0"/>
            </w:tcBorders>
            <w:shd w:val="clear" w:color="auto" w:fill="F9FAFC"/>
          </w:tcPr>
          <w:p w14:paraId="07B9D2E1" w14:textId="77777777" w:rsidR="0029198B" w:rsidRPr="00EE62FF" w:rsidRDefault="00000000">
            <w:pPr>
              <w:spacing w:before="60" w:after="60"/>
              <w:rPr>
                <w:rFonts w:ascii="Arial" w:hAnsi="Arial" w:cs="Arial"/>
              </w:rPr>
            </w:pPr>
            <w:r w:rsidRPr="00EE62FF">
              <w:rPr>
                <w:rFonts w:ascii="Arial" w:hAnsi="Arial" w:cs="Arial"/>
                <w:color w:val="222222"/>
                <w:sz w:val="18"/>
              </w:rPr>
              <w:t>Requires organizational learning, trust-building, and localized marketing.</w:t>
            </w:r>
          </w:p>
        </w:tc>
      </w:tr>
    </w:tbl>
    <w:p w14:paraId="4ED4E45E" w14:textId="77777777" w:rsidR="0029198B" w:rsidRPr="00EE62FF" w:rsidRDefault="0029198B">
      <w:pPr>
        <w:spacing w:after="80"/>
        <w:rPr>
          <w:rFonts w:ascii="Arial" w:hAnsi="Arial" w:cs="Arial"/>
        </w:rPr>
      </w:pPr>
    </w:p>
    <w:p w14:paraId="5849BBBF"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The Cynefin Framework further showed that Brazil's retail environment operates within the Complex Domain (Probe-Sense-Respond) (Snowden &amp; Boone, 2007). This supported recommending a phased 3-to-4 store pilot before broader expansion. I recognised that strategic failures often occur when complex adaptive challenges are treated as simple technical operations.</w:t>
      </w:r>
    </w:p>
    <w:p w14:paraId="1FB460CF" w14:textId="77777777" w:rsidR="0029198B" w:rsidRPr="00694806" w:rsidRDefault="00000000" w:rsidP="00694806">
      <w:pPr>
        <w:keepNext/>
        <w:spacing w:before="180" w:after="40" w:line="360" w:lineRule="auto"/>
        <w:jc w:val="both"/>
        <w:rPr>
          <w:rFonts w:ascii="Arial" w:hAnsi="Arial" w:cs="Arial"/>
          <w:iCs/>
          <w:sz w:val="24"/>
          <w:szCs w:val="24"/>
        </w:rPr>
      </w:pPr>
      <w:r w:rsidRPr="00694806">
        <w:rPr>
          <w:rFonts w:ascii="Arial" w:hAnsi="Arial" w:cs="Arial"/>
          <w:b/>
          <w:iCs/>
          <w:color w:val="1B365D"/>
          <w:sz w:val="24"/>
          <w:szCs w:val="24"/>
        </w:rPr>
        <w:t>Methodological Reflection on Academic Sourcing and Data Synthesis</w:t>
      </w:r>
    </w:p>
    <w:p w14:paraId="65F2B78B"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Maintaining academic rigour required balancing primary institutional reports, corporate filings, and peer-reviewed international business literature. Generic business media can produce superficial strategic conclusions; for example, it may treat Brazil as a uniform consumer market while overlooking regional differences between states such as São Paulo and Rio de Janeiro.</w:t>
      </w:r>
    </w:p>
    <w:tbl>
      <w:tblPr>
        <w:tblW w:w="0" w:type="auto"/>
        <w:jc w:val="center"/>
        <w:tblLook w:val="04A0" w:firstRow="1" w:lastRow="0" w:firstColumn="1" w:lastColumn="0" w:noHBand="0" w:noVBand="1"/>
      </w:tblPr>
      <w:tblGrid>
        <w:gridCol w:w="9360"/>
      </w:tblGrid>
      <w:tr w:rsidR="0029198B" w:rsidRPr="00EE62FF" w14:paraId="3F6B90A9" w14:textId="77777777">
        <w:trPr>
          <w:jc w:val="center"/>
        </w:trPr>
        <w:tc>
          <w:tcPr>
            <w:tcW w:w="9360" w:type="dxa"/>
            <w:tcBorders>
              <w:left w:val="single" w:sz="24" w:space="0" w:color="1B365D"/>
            </w:tcBorders>
            <w:shd w:val="clear" w:color="auto" w:fill="F4F6F9"/>
            <w:tcMar>
              <w:top w:w="100" w:type="dxa"/>
              <w:left w:w="150" w:type="dxa"/>
              <w:bottom w:w="100" w:type="dxa"/>
              <w:right w:w="150" w:type="dxa"/>
            </w:tcMar>
          </w:tcPr>
          <w:p w14:paraId="2B78413D" w14:textId="77777777" w:rsidR="0029198B" w:rsidRPr="00700844" w:rsidRDefault="00000000">
            <w:pPr>
              <w:spacing w:before="60" w:after="60"/>
              <w:rPr>
                <w:rFonts w:ascii="Arial" w:hAnsi="Arial" w:cs="Arial"/>
              </w:rPr>
            </w:pPr>
            <w:r w:rsidRPr="00700844">
              <w:rPr>
                <w:rFonts w:ascii="Arial" w:hAnsi="Arial" w:cs="Arial"/>
                <w:b/>
                <w:color w:val="1B365D"/>
                <w:sz w:val="20"/>
              </w:rPr>
              <w:lastRenderedPageBreak/>
              <w:t>Data Triangulation Process</w:t>
            </w:r>
            <w:r w:rsidRPr="00700844">
              <w:rPr>
                <w:rFonts w:ascii="Arial" w:hAnsi="Arial" w:cs="Arial"/>
                <w:b/>
                <w:color w:val="1B365D"/>
                <w:sz w:val="20"/>
              </w:rPr>
              <w:br/>
            </w:r>
            <w:r w:rsidRPr="00700844">
              <w:rPr>
                <w:rFonts w:ascii="Arial" w:hAnsi="Arial" w:cs="Arial"/>
                <w:color w:val="222222"/>
                <w:sz w:val="19"/>
              </w:rPr>
              <w:t>[Primary Regulatory Guides] ──┐</w:t>
            </w:r>
            <w:r w:rsidRPr="00700844">
              <w:rPr>
                <w:rFonts w:ascii="Arial" w:hAnsi="Arial" w:cs="Arial"/>
                <w:color w:val="222222"/>
                <w:sz w:val="19"/>
              </w:rPr>
              <w:br/>
              <w:t xml:space="preserve">[Peer-Reviewed </w:t>
            </w:r>
            <w:r w:rsidR="005A1161" w:rsidRPr="00700844">
              <w:rPr>
                <w:rFonts w:ascii="Arial" w:hAnsi="Arial" w:cs="Arial"/>
                <w:color w:val="222222"/>
                <w:sz w:val="19"/>
              </w:rPr>
              <w:t>Literature]</w:t>
            </w:r>
            <w:r w:rsidR="005A1161">
              <w:rPr>
                <w:rFonts w:ascii="Arial" w:hAnsi="Arial" w:cs="Arial"/>
                <w:color w:val="222222"/>
                <w:sz w:val="19"/>
              </w:rPr>
              <w:t xml:space="preserve"> ─ </w:t>
            </w:r>
            <w:r w:rsidRPr="00700844">
              <w:rPr>
                <w:rFonts w:ascii="Arial" w:hAnsi="Arial" w:cs="Arial"/>
                <w:color w:val="222222"/>
                <w:sz w:val="19"/>
              </w:rPr>
              <w:t>─┼─&gt; [Methodological Triangulation] ──&gt; [Rigorous Academic Synthesis]</w:t>
            </w:r>
            <w:r w:rsidRPr="00700844">
              <w:rPr>
                <w:rFonts w:ascii="Arial" w:hAnsi="Arial" w:cs="Arial"/>
                <w:color w:val="222222"/>
                <w:sz w:val="19"/>
              </w:rPr>
              <w:br/>
              <w:t>[Corporate Financial Filings] ──┘</w:t>
            </w:r>
          </w:p>
        </w:tc>
      </w:tr>
    </w:tbl>
    <w:p w14:paraId="1C997285" w14:textId="77777777" w:rsidR="0029198B" w:rsidRPr="00EE62FF" w:rsidRDefault="0029198B">
      <w:pPr>
        <w:spacing w:after="80"/>
        <w:rPr>
          <w:rFonts w:ascii="Arial" w:hAnsi="Arial" w:cs="Arial"/>
        </w:rPr>
      </w:pPr>
    </w:p>
    <w:p w14:paraId="45CB2AF6"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I prioritised data triangulation because no single source type was sufficient to answer the assessment question reliably or connect theory with Costco's Brazilian entry conditions. Corporate and regulatory sources provided current factual evidence, while academic literature provided theoretical explanation; each also had limitations when used alone. I therefore cross-referenced government and corporate evidence with peer-reviewed international business literature. This allowed me to compare different perspectives, identify convergence, reduce reliance on a single potentially biased source, and test whether the final recommendation was supported by both empirical evidence and established theory.</w:t>
      </w:r>
    </w:p>
    <w:p w14:paraId="1E3C069F"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t>Conclusion</w:t>
      </w:r>
    </w:p>
    <w:p w14:paraId="7FD6C0C6"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sz w:val="24"/>
          <w:szCs w:val="24"/>
        </w:rPr>
        <w:t>This project demonstrated that theoretical models are practical decision-making tools rather than purely abstract academic exercises. Structuring the analysis around regulatory reports and academic literature provided a solid foundation for evaluating strategic entry choices.</w:t>
      </w:r>
    </w:p>
    <w:p w14:paraId="6CAE62EA" w14:textId="77777777" w:rsidR="0029198B" w:rsidRPr="00694806" w:rsidRDefault="00000000" w:rsidP="00694806">
      <w:pPr>
        <w:keepNext/>
        <w:spacing w:before="240" w:after="80" w:line="360" w:lineRule="auto"/>
        <w:jc w:val="both"/>
        <w:rPr>
          <w:rFonts w:ascii="Arial" w:hAnsi="Arial" w:cs="Arial"/>
          <w:sz w:val="24"/>
          <w:szCs w:val="24"/>
        </w:rPr>
      </w:pPr>
      <w:r w:rsidRPr="00694806">
        <w:rPr>
          <w:rFonts w:ascii="Arial" w:hAnsi="Arial" w:cs="Arial"/>
          <w:b/>
          <w:color w:val="5C768D"/>
          <w:sz w:val="24"/>
          <w:szCs w:val="24"/>
        </w:rPr>
        <w:t>Action Plan</w:t>
      </w:r>
    </w:p>
    <w:p w14:paraId="791595ED" w14:textId="77777777" w:rsidR="0029198B" w:rsidRPr="00694806" w:rsidRDefault="00000000" w:rsidP="00694806">
      <w:pPr>
        <w:spacing w:after="100" w:line="360" w:lineRule="auto"/>
        <w:jc w:val="both"/>
        <w:rPr>
          <w:rFonts w:ascii="Arial" w:hAnsi="Arial" w:cs="Arial"/>
          <w:sz w:val="24"/>
          <w:szCs w:val="24"/>
        </w:rPr>
      </w:pPr>
      <w:r w:rsidRPr="00694806">
        <w:rPr>
          <w:rFonts w:ascii="Arial" w:hAnsi="Arial" w:cs="Arial"/>
          <w:color w:val="222222"/>
          <w:sz w:val="24"/>
          <w:szCs w:val="24"/>
        </w:rPr>
        <w:t>In future strategic projects, I will:</w:t>
      </w:r>
    </w:p>
    <w:p w14:paraId="4C25AD18"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sz w:val="24"/>
          <w:szCs w:val="24"/>
        </w:rPr>
        <w:t>Map out target-market regulatory and tax structures early using primary government data to establish an empirical base before selecting entry modes.</w:t>
      </w:r>
    </w:p>
    <w:p w14:paraId="5C6E3F45"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sz w:val="24"/>
          <w:szCs w:val="24"/>
        </w:rPr>
        <w:t>Critically challenge theoretical models by highlighting their practical boundary conditions and operational limitations.</w:t>
      </w:r>
    </w:p>
    <w:p w14:paraId="0C7E13D5" w14:textId="77777777" w:rsidR="0029198B" w:rsidRPr="00694806" w:rsidRDefault="00000000" w:rsidP="00694806">
      <w:pPr>
        <w:pStyle w:val="ListBullet"/>
        <w:spacing w:after="60" w:line="360" w:lineRule="auto"/>
        <w:jc w:val="both"/>
        <w:rPr>
          <w:rFonts w:ascii="Arial" w:hAnsi="Arial" w:cs="Arial"/>
          <w:sz w:val="24"/>
          <w:szCs w:val="24"/>
        </w:rPr>
      </w:pPr>
      <w:r w:rsidRPr="00694806">
        <w:rPr>
          <w:rFonts w:ascii="Arial" w:hAnsi="Arial" w:cs="Arial"/>
          <w:sz w:val="24"/>
          <w:szCs w:val="24"/>
        </w:rPr>
        <w:t>Maintain an analytical academic tone focused on clear strategic implications and direct cause-and-effect conclusions.</w:t>
      </w:r>
    </w:p>
    <w:p w14:paraId="5BCB9D15" w14:textId="77777777" w:rsidR="00700844" w:rsidRDefault="00700844" w:rsidP="00700844">
      <w:pPr>
        <w:pStyle w:val="ListBullet"/>
        <w:numPr>
          <w:ilvl w:val="0"/>
          <w:numId w:val="0"/>
        </w:numPr>
        <w:spacing w:after="60"/>
        <w:ind w:left="360" w:hanging="360"/>
        <w:rPr>
          <w:rFonts w:ascii="Arial" w:hAnsi="Arial" w:cs="Arial"/>
        </w:rPr>
      </w:pPr>
    </w:p>
    <w:p w14:paraId="2D560C24" w14:textId="77777777" w:rsidR="00700844" w:rsidRDefault="00700844" w:rsidP="00700844">
      <w:pPr>
        <w:pStyle w:val="ListBullet"/>
        <w:numPr>
          <w:ilvl w:val="0"/>
          <w:numId w:val="0"/>
        </w:numPr>
        <w:spacing w:after="60"/>
        <w:ind w:left="360" w:hanging="360"/>
        <w:rPr>
          <w:rFonts w:ascii="Arial" w:hAnsi="Arial" w:cs="Arial"/>
        </w:rPr>
      </w:pPr>
    </w:p>
    <w:p w14:paraId="591C8EED" w14:textId="77777777" w:rsidR="00700844" w:rsidRDefault="00700844" w:rsidP="00700844">
      <w:pPr>
        <w:pStyle w:val="ListBullet"/>
        <w:numPr>
          <w:ilvl w:val="0"/>
          <w:numId w:val="0"/>
        </w:numPr>
        <w:spacing w:after="60"/>
        <w:ind w:left="360" w:hanging="360"/>
        <w:rPr>
          <w:rFonts w:ascii="Arial" w:hAnsi="Arial" w:cs="Arial"/>
        </w:rPr>
      </w:pPr>
    </w:p>
    <w:p w14:paraId="37A40FBC" w14:textId="77777777" w:rsidR="00700844" w:rsidRDefault="00700844">
      <w:pPr>
        <w:keepNext/>
        <w:spacing w:before="320" w:after="120"/>
        <w:rPr>
          <w:rFonts w:ascii="Arial" w:hAnsi="Arial" w:cs="Arial"/>
          <w:b/>
          <w:color w:val="1B365D"/>
          <w:sz w:val="30"/>
        </w:rPr>
      </w:pPr>
    </w:p>
    <w:p w14:paraId="2BFC7FE2" w14:textId="77777777" w:rsidR="0029198B" w:rsidRPr="00EE62FF" w:rsidRDefault="00000000">
      <w:pPr>
        <w:keepNext/>
        <w:spacing w:before="320" w:after="120"/>
        <w:rPr>
          <w:rFonts w:ascii="Arial" w:hAnsi="Arial" w:cs="Arial"/>
        </w:rPr>
      </w:pPr>
      <w:r w:rsidRPr="00EE62FF">
        <w:rPr>
          <w:rFonts w:ascii="Arial" w:hAnsi="Arial" w:cs="Arial"/>
          <w:b/>
          <w:color w:val="1B365D"/>
        </w:rPr>
        <w:t>References</w:t>
      </w:r>
    </w:p>
    <w:p w14:paraId="10C2B9C0" w14:textId="77777777" w:rsidR="0029198B" w:rsidRDefault="00000000">
      <w:pPr>
        <w:spacing w:after="80"/>
        <w:ind w:left="576" w:hanging="576"/>
        <w:rPr>
          <w:rFonts w:ascii="Arial" w:hAnsi="Arial" w:cs="Arial"/>
          <w:color w:val="222222"/>
          <w:sz w:val="20"/>
        </w:rPr>
      </w:pPr>
      <w:r w:rsidRPr="00EE62FF">
        <w:rPr>
          <w:rFonts w:ascii="Arial" w:hAnsi="Arial" w:cs="Arial"/>
          <w:color w:val="222222"/>
        </w:rPr>
        <w:t>Alphabridge. (2025). Costco's Strategy for Sustainable Growth: Discipline beats diversification. Corporate Strategy Series.</w:t>
      </w:r>
    </w:p>
    <w:p w14:paraId="195CBA84" w14:textId="77777777" w:rsidR="00702871" w:rsidRDefault="00702871">
      <w:pPr>
        <w:spacing w:after="80"/>
        <w:ind w:left="576" w:hanging="576"/>
        <w:rPr>
          <w:rFonts w:ascii="Arial" w:hAnsi="Arial" w:cs="Arial"/>
          <w:color w:val="222222"/>
          <w:sz w:val="20"/>
        </w:rPr>
      </w:pPr>
      <w:r>
        <w:rPr>
          <w:rFonts w:ascii="Arial" w:hAnsi="Arial" w:cs="Arial"/>
          <w:color w:val="222222"/>
        </w:rPr>
        <w:t xml:space="preserve">Costco. (2026). </w:t>
      </w:r>
      <w:r w:rsidRPr="00702871">
        <w:rPr>
          <w:rFonts w:ascii="Arial" w:hAnsi="Arial" w:cs="Arial"/>
          <w:color w:val="222222"/>
        </w:rPr>
        <w:t>Costco Wholesale Corporation Reports December Sales Results</w:t>
      </w:r>
    </w:p>
    <w:p w14:paraId="156C2389" w14:textId="77777777" w:rsidR="00702871" w:rsidRPr="00EE62FF" w:rsidRDefault="00702871">
      <w:pPr>
        <w:spacing w:after="80"/>
        <w:ind w:left="576" w:hanging="576"/>
        <w:rPr>
          <w:rFonts w:ascii="Arial" w:hAnsi="Arial" w:cs="Arial"/>
        </w:rPr>
      </w:pPr>
    </w:p>
    <w:p w14:paraId="709C007B" w14:textId="77777777" w:rsidR="0029198B" w:rsidRPr="00EE62FF" w:rsidRDefault="00000000">
      <w:pPr>
        <w:spacing w:after="80"/>
        <w:ind w:left="576" w:hanging="576"/>
        <w:rPr>
          <w:rFonts w:ascii="Arial" w:hAnsi="Arial" w:cs="Arial"/>
        </w:rPr>
      </w:pPr>
      <w:r w:rsidRPr="00EE62FF">
        <w:rPr>
          <w:rFonts w:ascii="Arial" w:hAnsi="Arial" w:cs="Arial"/>
          <w:color w:val="222222"/>
        </w:rPr>
        <w:t>Altios. (2025). Brazil Market Entry Strategy: Overcoming Challenges for Success. Global Business Publications.</w:t>
      </w:r>
    </w:p>
    <w:p w14:paraId="2BCB53FD" w14:textId="77777777" w:rsidR="0029198B" w:rsidRPr="00EE62FF" w:rsidRDefault="00000000">
      <w:pPr>
        <w:spacing w:after="80"/>
        <w:ind w:left="576" w:hanging="576"/>
        <w:rPr>
          <w:rFonts w:ascii="Arial" w:hAnsi="Arial" w:cs="Arial"/>
        </w:rPr>
      </w:pPr>
      <w:r w:rsidRPr="00EE62FF">
        <w:rPr>
          <w:rFonts w:ascii="Arial" w:hAnsi="Arial" w:cs="Arial"/>
          <w:color w:val="222222"/>
        </w:rPr>
        <w:t>Bartlett, C. A., &amp; Ghoshal, S. (1989). Managing Across Borders: The Transnational Solution. Boston: Harvard Business School Press.</w:t>
      </w:r>
    </w:p>
    <w:p w14:paraId="3261DA91" w14:textId="77777777" w:rsidR="0029198B" w:rsidRPr="00EE62FF" w:rsidRDefault="00000000">
      <w:pPr>
        <w:spacing w:after="80"/>
        <w:ind w:left="576" w:hanging="576"/>
        <w:rPr>
          <w:rFonts w:ascii="Arial" w:hAnsi="Arial" w:cs="Arial"/>
        </w:rPr>
      </w:pPr>
      <w:r w:rsidRPr="00EE62FF">
        <w:rPr>
          <w:rFonts w:ascii="Arial" w:hAnsi="Arial" w:cs="Arial"/>
          <w:color w:val="222222"/>
        </w:rPr>
        <w:t>Bartlett, C. A., &amp; Ghoshal, S. (2008). Transnational Management: Text, Cases, and Readings in Cross-Border Management (5th ed.). McGraw-Hill.</w:t>
      </w:r>
    </w:p>
    <w:p w14:paraId="6F0AB55B" w14:textId="77777777" w:rsidR="0029198B" w:rsidRPr="00EE62FF" w:rsidRDefault="00000000">
      <w:pPr>
        <w:spacing w:after="80"/>
        <w:ind w:left="576" w:hanging="576"/>
        <w:rPr>
          <w:rFonts w:ascii="Arial" w:hAnsi="Arial" w:cs="Arial"/>
        </w:rPr>
      </w:pPr>
      <w:r w:rsidRPr="00EE62FF">
        <w:rPr>
          <w:rFonts w:ascii="Arial" w:hAnsi="Arial" w:cs="Arial"/>
          <w:color w:val="222222"/>
        </w:rPr>
        <w:t>Bennett, N., &amp; Lemoine, G. J. (2014). What VUCA really means for you. Harvard Business Review, 92(1/2).</w:t>
      </w:r>
    </w:p>
    <w:p w14:paraId="08DC453F" w14:textId="77777777" w:rsidR="0029198B" w:rsidRPr="00EE62FF" w:rsidRDefault="00000000">
      <w:pPr>
        <w:spacing w:after="80"/>
        <w:ind w:left="576" w:hanging="576"/>
        <w:rPr>
          <w:rFonts w:ascii="Arial" w:hAnsi="Arial" w:cs="Arial"/>
        </w:rPr>
      </w:pPr>
      <w:r w:rsidRPr="00EE62FF">
        <w:rPr>
          <w:rFonts w:ascii="Arial" w:hAnsi="Arial" w:cs="Arial"/>
          <w:color w:val="222222"/>
        </w:rPr>
        <w:t>Collinson, S., Narula, R., &amp; Rugman, A. M. (2020). International Business (8th ed.). Essex: Pearson Education Limited.</w:t>
      </w:r>
    </w:p>
    <w:p w14:paraId="055925A2" w14:textId="77777777" w:rsidR="0029198B" w:rsidRPr="00EE62FF" w:rsidRDefault="00000000">
      <w:pPr>
        <w:spacing w:after="80"/>
        <w:ind w:left="576" w:hanging="576"/>
        <w:rPr>
          <w:rFonts w:ascii="Arial" w:hAnsi="Arial" w:cs="Arial"/>
        </w:rPr>
      </w:pPr>
      <w:r w:rsidRPr="00EE62FF">
        <w:rPr>
          <w:rFonts w:ascii="Arial" w:hAnsi="Arial" w:cs="Arial"/>
          <w:color w:val="222222"/>
        </w:rPr>
        <w:t>Daniels, J. D., Radebaugh, L. H., Sullivan, D. P., &amp; Click, R. W. (2022). International Business: Environments and Operations (17th ed.). Essex: Pearson Education Limited.</w:t>
      </w:r>
    </w:p>
    <w:p w14:paraId="48055D9E" w14:textId="77777777" w:rsidR="0029198B" w:rsidRPr="00EE62FF" w:rsidRDefault="00000000">
      <w:pPr>
        <w:spacing w:after="80"/>
        <w:ind w:left="576" w:hanging="576"/>
        <w:rPr>
          <w:rFonts w:ascii="Arial" w:hAnsi="Arial" w:cs="Arial"/>
        </w:rPr>
      </w:pPr>
      <w:r w:rsidRPr="00EE62FF">
        <w:rPr>
          <w:rFonts w:ascii="Arial" w:hAnsi="Arial" w:cs="Arial"/>
          <w:color w:val="222222"/>
        </w:rPr>
        <w:t>Dunning, J. H. (2000). The eclectic paradigm as an envelope for economic and business theories of MNE activity. International Business Review, 9(2), 163-190.</w:t>
      </w:r>
    </w:p>
    <w:p w14:paraId="10E53EDB" w14:textId="77777777" w:rsidR="0029198B" w:rsidRPr="00EE62FF" w:rsidRDefault="00000000">
      <w:pPr>
        <w:spacing w:after="80"/>
        <w:ind w:left="576" w:hanging="576"/>
        <w:rPr>
          <w:rFonts w:ascii="Arial" w:hAnsi="Arial" w:cs="Arial"/>
        </w:rPr>
      </w:pPr>
      <w:r w:rsidRPr="00EE62FF">
        <w:rPr>
          <w:rFonts w:ascii="Arial" w:hAnsi="Arial" w:cs="Arial"/>
          <w:color w:val="222222"/>
        </w:rPr>
        <w:t>Gibbs, G. (1988). Learning by Doing: A Guide to Writing and Learning Methods. Further Education Unit. Oxford Polytechnic.</w:t>
      </w:r>
    </w:p>
    <w:p w14:paraId="45A923D6" w14:textId="77777777" w:rsidR="0029198B" w:rsidRPr="00EE62FF" w:rsidRDefault="00000000">
      <w:pPr>
        <w:spacing w:after="80"/>
        <w:ind w:left="576" w:hanging="576"/>
        <w:rPr>
          <w:rFonts w:ascii="Arial" w:hAnsi="Arial" w:cs="Arial"/>
        </w:rPr>
      </w:pPr>
      <w:r w:rsidRPr="00EE62FF">
        <w:rPr>
          <w:rFonts w:ascii="Arial" w:hAnsi="Arial" w:cs="Arial"/>
          <w:color w:val="222222"/>
        </w:rPr>
        <w:t>Griffin, R. W., &amp; Pustay, M. W. (2013). International Business. Pearson.</w:t>
      </w:r>
    </w:p>
    <w:p w14:paraId="04D09F23" w14:textId="77777777" w:rsidR="0029198B" w:rsidRPr="00EE62FF" w:rsidRDefault="00000000">
      <w:pPr>
        <w:spacing w:after="80"/>
        <w:ind w:left="576" w:hanging="576"/>
        <w:rPr>
          <w:rFonts w:ascii="Arial" w:hAnsi="Arial" w:cs="Arial"/>
        </w:rPr>
      </w:pPr>
      <w:r w:rsidRPr="00EE62FF">
        <w:rPr>
          <w:rFonts w:ascii="Arial" w:hAnsi="Arial" w:cs="Arial"/>
          <w:color w:val="222222"/>
        </w:rPr>
        <w:t>Heifetz, R. A., &amp; Linsky, M. (2002). Leadership on the Line: Staying Alive through the Dangers of Leading. Harvard Business School Press.</w:t>
      </w:r>
    </w:p>
    <w:p w14:paraId="5275C5C0" w14:textId="77777777" w:rsidR="0029198B" w:rsidRPr="00EE62FF" w:rsidRDefault="00000000">
      <w:pPr>
        <w:spacing w:after="80"/>
        <w:ind w:left="576" w:hanging="576"/>
        <w:rPr>
          <w:rFonts w:ascii="Arial" w:hAnsi="Arial" w:cs="Arial"/>
        </w:rPr>
      </w:pPr>
      <w:r w:rsidRPr="00EE62FF">
        <w:rPr>
          <w:rFonts w:ascii="Arial" w:hAnsi="Arial" w:cs="Arial"/>
          <w:color w:val="222222"/>
        </w:rPr>
        <w:t>Hill, C. W. L. (2023). International Business: Competing in the Global Marketplace (14th ed.). New York: McGraw-Hill.</w:t>
      </w:r>
    </w:p>
    <w:p w14:paraId="0B302DE5" w14:textId="77777777" w:rsidR="0029198B" w:rsidRPr="00EE62FF" w:rsidRDefault="00000000">
      <w:pPr>
        <w:spacing w:after="80"/>
        <w:ind w:left="576" w:hanging="576"/>
        <w:rPr>
          <w:rFonts w:ascii="Arial" w:hAnsi="Arial" w:cs="Arial"/>
        </w:rPr>
      </w:pPr>
      <w:r w:rsidRPr="00EE62FF">
        <w:rPr>
          <w:rFonts w:ascii="Arial" w:hAnsi="Arial" w:cs="Arial"/>
          <w:color w:val="222222"/>
        </w:rPr>
        <w:t>Hofstede Insights. (2022). Country Comparison: Japan, Nigeria, United Kingdom, United States.</w:t>
      </w:r>
    </w:p>
    <w:p w14:paraId="525D672F" w14:textId="77777777" w:rsidR="0029198B" w:rsidRPr="00EE62FF" w:rsidRDefault="00000000">
      <w:pPr>
        <w:spacing w:after="80"/>
        <w:ind w:left="576" w:hanging="576"/>
        <w:rPr>
          <w:rFonts w:ascii="Arial" w:hAnsi="Arial" w:cs="Arial"/>
        </w:rPr>
      </w:pPr>
      <w:r w:rsidRPr="00EE62FF">
        <w:rPr>
          <w:rFonts w:ascii="Arial" w:hAnsi="Arial" w:cs="Arial"/>
          <w:color w:val="222222"/>
        </w:rPr>
        <w:t>Porter, M. E. (1985). Competitive Advantage: Creating and Sustaining Superior Performance. New York: Free Press.</w:t>
      </w:r>
    </w:p>
    <w:p w14:paraId="644C4A5E" w14:textId="77777777" w:rsidR="0029198B" w:rsidRPr="00EE62FF" w:rsidRDefault="00000000">
      <w:pPr>
        <w:spacing w:after="80"/>
        <w:ind w:left="576" w:hanging="576"/>
        <w:rPr>
          <w:rFonts w:ascii="Arial" w:hAnsi="Arial" w:cs="Arial"/>
        </w:rPr>
      </w:pPr>
      <w:r w:rsidRPr="00EE62FF">
        <w:rPr>
          <w:rFonts w:ascii="Arial" w:hAnsi="Arial" w:cs="Arial"/>
          <w:color w:val="222222"/>
        </w:rPr>
        <w:t>Scribd. (2016). Moving Costco from Canada to Brazil: Cultural Insights and Hofstede Dimensions.</w:t>
      </w:r>
    </w:p>
    <w:p w14:paraId="5DCDDF40" w14:textId="77777777" w:rsidR="0029198B" w:rsidRPr="00EE62FF" w:rsidRDefault="00000000">
      <w:pPr>
        <w:spacing w:after="80"/>
        <w:ind w:left="576" w:hanging="576"/>
        <w:rPr>
          <w:rFonts w:ascii="Arial" w:hAnsi="Arial" w:cs="Arial"/>
        </w:rPr>
      </w:pPr>
      <w:r w:rsidRPr="00EE62FF">
        <w:rPr>
          <w:rFonts w:ascii="Arial" w:hAnsi="Arial" w:cs="Arial"/>
          <w:color w:val="222222"/>
        </w:rPr>
        <w:t>Scribd. (2023). Dunning's OLI (Ownership, Location, and Internalisation) theory applied to Costco Wholesale global expansion.</w:t>
      </w:r>
    </w:p>
    <w:p w14:paraId="3DFA71B1" w14:textId="77777777" w:rsidR="0029198B" w:rsidRPr="00EE62FF" w:rsidRDefault="00000000">
      <w:pPr>
        <w:spacing w:after="80"/>
        <w:ind w:left="576" w:hanging="576"/>
        <w:rPr>
          <w:rFonts w:ascii="Arial" w:hAnsi="Arial" w:cs="Arial"/>
        </w:rPr>
      </w:pPr>
      <w:r w:rsidRPr="00EE62FF">
        <w:rPr>
          <w:rFonts w:ascii="Arial" w:hAnsi="Arial" w:cs="Arial"/>
          <w:color w:val="222222"/>
        </w:rPr>
        <w:t>SIAL Paris. (2025). The Costco phenomenon: global scale, local nuance and European recapitalisation strategies.</w:t>
      </w:r>
    </w:p>
    <w:p w14:paraId="4BE86C2A" w14:textId="77777777" w:rsidR="0029198B" w:rsidRPr="00EE62FF" w:rsidRDefault="00000000">
      <w:pPr>
        <w:spacing w:after="80"/>
        <w:ind w:left="576" w:hanging="576"/>
        <w:rPr>
          <w:rFonts w:ascii="Arial" w:hAnsi="Arial" w:cs="Arial"/>
        </w:rPr>
      </w:pPr>
      <w:r w:rsidRPr="00EE62FF">
        <w:rPr>
          <w:rFonts w:ascii="Arial" w:hAnsi="Arial" w:cs="Arial"/>
          <w:color w:val="222222"/>
        </w:rPr>
        <w:lastRenderedPageBreak/>
        <w:t>Snowden, D. J., &amp; Boone, M. E. (2007). A leader's framework for decision making. Harvard Business Review, 85(11), 68.</w:t>
      </w:r>
    </w:p>
    <w:p w14:paraId="2E8A716F" w14:textId="77777777" w:rsidR="0029198B" w:rsidRPr="00EE62FF" w:rsidRDefault="00000000">
      <w:pPr>
        <w:spacing w:after="80"/>
        <w:ind w:left="576" w:hanging="576"/>
        <w:rPr>
          <w:rFonts w:ascii="Arial" w:hAnsi="Arial" w:cs="Arial"/>
        </w:rPr>
      </w:pPr>
      <w:r w:rsidRPr="00EE62FF">
        <w:rPr>
          <w:rFonts w:ascii="Arial" w:hAnsi="Arial" w:cs="Arial"/>
          <w:color w:val="222222"/>
        </w:rPr>
        <w:t>Tarique, I., Briscoe, D. R., &amp; Schuler, R. S. (2015). International Human Resource Management: Policies and Practices for Multinational Enterprises (5th ed.). Routledge.</w:t>
      </w:r>
    </w:p>
    <w:p w14:paraId="102E7190" w14:textId="77777777" w:rsidR="0029198B" w:rsidRPr="00EE62FF" w:rsidRDefault="00000000">
      <w:pPr>
        <w:spacing w:after="80"/>
        <w:ind w:left="576" w:hanging="576"/>
        <w:rPr>
          <w:rFonts w:ascii="Arial" w:hAnsi="Arial" w:cs="Arial"/>
        </w:rPr>
      </w:pPr>
      <w:r w:rsidRPr="00EE62FF">
        <w:rPr>
          <w:rFonts w:ascii="Arial" w:hAnsi="Arial" w:cs="Arial"/>
          <w:color w:val="222222"/>
        </w:rPr>
        <w:t>Trade.gov. (2025). Brazil - Country Commercial Guide. International Trade Administration.</w:t>
      </w:r>
    </w:p>
    <w:p w14:paraId="60C76AAA" w14:textId="77777777" w:rsidR="0029198B" w:rsidRPr="00EE62FF" w:rsidRDefault="00000000">
      <w:pPr>
        <w:spacing w:after="80"/>
        <w:ind w:left="576" w:hanging="576"/>
        <w:rPr>
          <w:rFonts w:ascii="Arial" w:hAnsi="Arial" w:cs="Arial"/>
        </w:rPr>
      </w:pPr>
      <w:r w:rsidRPr="00EE62FF">
        <w:rPr>
          <w:rFonts w:ascii="Arial" w:hAnsi="Arial" w:cs="Arial"/>
          <w:color w:val="222222"/>
        </w:rPr>
        <w:t>Wild, J. J., &amp; Wild, K. L. (2023). International Business: The Challenges of Globalization (10th ed.). Pearson.</w:t>
      </w:r>
      <w:r w:rsidR="00AF2158">
        <w:rPr>
          <w:rFonts w:ascii="Arial" w:hAnsi="Arial" w:cs="Arial"/>
          <w:color w:val="222222"/>
        </w:rPr>
        <w:br/>
      </w:r>
      <w:r w:rsidR="00AF2158">
        <w:rPr>
          <w:rFonts w:ascii="Arial" w:hAnsi="Arial" w:cs="Arial"/>
          <w:color w:val="222222"/>
        </w:rPr>
        <w:br/>
      </w:r>
    </w:p>
    <w:sectPr w:rsidR="0029198B" w:rsidRPr="00EE62FF"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03270698">
    <w:abstractNumId w:val="8"/>
  </w:num>
  <w:num w:numId="2" w16cid:durableId="1511335322">
    <w:abstractNumId w:val="6"/>
  </w:num>
  <w:num w:numId="3" w16cid:durableId="125903087">
    <w:abstractNumId w:val="5"/>
  </w:num>
  <w:num w:numId="4" w16cid:durableId="1379889153">
    <w:abstractNumId w:val="4"/>
  </w:num>
  <w:num w:numId="5" w16cid:durableId="808984743">
    <w:abstractNumId w:val="7"/>
  </w:num>
  <w:num w:numId="6" w16cid:durableId="1012950387">
    <w:abstractNumId w:val="3"/>
  </w:num>
  <w:num w:numId="7" w16cid:durableId="1191795765">
    <w:abstractNumId w:val="2"/>
  </w:num>
  <w:num w:numId="8" w16cid:durableId="424150849">
    <w:abstractNumId w:val="1"/>
  </w:num>
  <w:num w:numId="9" w16cid:durableId="2121366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2661"/>
    <w:rsid w:val="001B02EE"/>
    <w:rsid w:val="0029198B"/>
    <w:rsid w:val="0029639D"/>
    <w:rsid w:val="00326F90"/>
    <w:rsid w:val="003E54C7"/>
    <w:rsid w:val="005A1161"/>
    <w:rsid w:val="00694806"/>
    <w:rsid w:val="00700844"/>
    <w:rsid w:val="00702871"/>
    <w:rsid w:val="009D0A2F"/>
    <w:rsid w:val="00AA1D8D"/>
    <w:rsid w:val="00AF2158"/>
    <w:rsid w:val="00B47730"/>
    <w:rsid w:val="00C271FD"/>
    <w:rsid w:val="00C71338"/>
    <w:rsid w:val="00CB0664"/>
    <w:rsid w:val="00EE62FF"/>
    <w:rsid w:val="00F26477"/>
    <w:rsid w:val="00F27BE0"/>
    <w:rsid w:val="00FB08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E3755C"/>
  <w14:defaultImageDpi w14:val="300"/>
  <w15:docId w15:val="{5DFD97B2-9E9B-4875-BF59-B863C039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23</Pages>
  <Words>6388</Words>
  <Characters>36417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Soham Yadav (2503139)</cp:lastModifiedBy>
  <cp:revision>7</cp:revision>
  <dcterms:created xsi:type="dcterms:W3CDTF">2013-12-23T23:15:00Z</dcterms:created>
  <dcterms:modified xsi:type="dcterms:W3CDTF">2026-08-14T09:02:00Z</dcterms:modified>
  <cp:category/>
</cp:coreProperties>
</file>