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6D039E4D"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p>
          <w:p w14:paraId="6A0F9624" w14:textId="77777777" w:rsidR="00CE2BE9" w:rsidRDefault="00CE2BE9" w:rsidP="005D3F07">
            <w:pPr>
              <w:overflowPunct/>
              <w:autoSpaceDE/>
              <w:autoSpaceDN/>
              <w:adjustRightInd/>
              <w:ind w:right="-957"/>
              <w:textAlignment w:val="auto"/>
              <w:rPr>
                <w:rFonts w:ascii="Times New Roman" w:hAnsi="Times New Roman" w:cs="Times New Roman"/>
                <w:b/>
                <w:color w:val="auto"/>
                <w:sz w:val="48"/>
              </w:rPr>
            </w:pPr>
          </w:p>
          <w:p w14:paraId="5D185A54" w14:textId="58266577" w:rsidR="00CE2BE9" w:rsidRDefault="00CE2BE9"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Jackie Crouch</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28A0FEB"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p>
          <w:p w14:paraId="6E6C529F" w14:textId="77777777" w:rsidR="00CE2BE9" w:rsidRDefault="00CE2BE9" w:rsidP="005D3F07">
            <w:pPr>
              <w:overflowPunct/>
              <w:autoSpaceDE/>
              <w:autoSpaceDN/>
              <w:adjustRightInd/>
              <w:ind w:right="-957"/>
              <w:textAlignment w:val="auto"/>
              <w:rPr>
                <w:rFonts w:ascii="Times New Roman" w:hAnsi="Times New Roman" w:cs="Times New Roman"/>
                <w:b/>
                <w:color w:val="auto"/>
                <w:sz w:val="48"/>
              </w:rPr>
            </w:pPr>
          </w:p>
          <w:p w14:paraId="44E8C79A" w14:textId="1051D46A" w:rsidR="00CE2BE9" w:rsidRDefault="00CE2BE9"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Jackiecrch@hotmail.co.uk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1BB7C4B7" w14:textId="77777777" w:rsidR="00CE2BE9" w:rsidRDefault="00CE2BE9" w:rsidP="005D3F07">
            <w:pPr>
              <w:overflowPunct/>
              <w:autoSpaceDE/>
              <w:autoSpaceDN/>
              <w:adjustRightInd/>
              <w:ind w:right="-957"/>
              <w:textAlignment w:val="auto"/>
              <w:rPr>
                <w:rFonts w:ascii="Times New Roman" w:hAnsi="Times New Roman" w:cs="Times New Roman"/>
                <w:b/>
                <w:color w:val="auto"/>
                <w:sz w:val="48"/>
              </w:rPr>
            </w:pPr>
          </w:p>
          <w:p w14:paraId="1D29F854" w14:textId="70D57AF9" w:rsidR="00CE2BE9" w:rsidRPr="005D3F07" w:rsidRDefault="00CE2BE9"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2422204</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FF7EBB">
            <w:pPr>
              <w:jc w:val="both"/>
              <w:rPr>
                <w:sz w:val="24"/>
                <w:szCs w:val="24"/>
              </w:rPr>
            </w:pPr>
          </w:p>
          <w:p w14:paraId="0318E819" w14:textId="77777777" w:rsidR="00FC0334" w:rsidRDefault="00FC0334" w:rsidP="00FF7EBB">
            <w:pPr>
              <w:jc w:val="both"/>
              <w:rPr>
                <w:sz w:val="24"/>
                <w:szCs w:val="24"/>
              </w:rPr>
            </w:pPr>
          </w:p>
          <w:p w14:paraId="123D6ADB" w14:textId="77777777" w:rsidR="004B06F7" w:rsidRPr="00154268" w:rsidRDefault="004B06F7" w:rsidP="004B06F7">
            <w:pPr>
              <w:rPr>
                <w:rFonts w:asciiTheme="minorHAnsi" w:hAnsiTheme="minorHAnsi" w:cstheme="minorHAnsi"/>
                <w:sz w:val="24"/>
                <w:szCs w:val="24"/>
              </w:rPr>
            </w:pPr>
            <w:r w:rsidRPr="004B06F7">
              <w:rPr>
                <w:rFonts w:asciiTheme="minorHAnsi" w:hAnsiTheme="minorHAnsi" w:cstheme="minorHAnsi"/>
                <w:sz w:val="24"/>
                <w:szCs w:val="24"/>
              </w:rPr>
              <w:t xml:space="preserve">Safeguarding in </w:t>
            </w:r>
            <w:r w:rsidRPr="00D668D2">
              <w:rPr>
                <w:rFonts w:asciiTheme="minorHAnsi" w:hAnsiTheme="minorHAnsi" w:cstheme="minorHAnsi"/>
                <w:sz w:val="24"/>
                <w:szCs w:val="24"/>
              </w:rPr>
              <w:t xml:space="preserve">Wales is underpinned by a distinct legislative and policy framework. The </w:t>
            </w:r>
            <w:r w:rsidRPr="004B06F7">
              <w:rPr>
                <w:rFonts w:asciiTheme="minorHAnsi" w:hAnsiTheme="minorHAnsi" w:cstheme="minorHAnsi"/>
                <w:sz w:val="24"/>
                <w:szCs w:val="24"/>
              </w:rPr>
              <w:t xml:space="preserve">key </w:t>
            </w:r>
            <w:r w:rsidRPr="00D668D2">
              <w:rPr>
                <w:rFonts w:asciiTheme="minorHAnsi" w:hAnsiTheme="minorHAnsi" w:cstheme="minorHAnsi"/>
                <w:sz w:val="24"/>
                <w:szCs w:val="24"/>
              </w:rPr>
              <w:t>piece of legislation is the Social Services and Well-being (Wales) Act</w:t>
            </w:r>
            <w:r w:rsidRPr="004B06F7">
              <w:rPr>
                <w:rFonts w:asciiTheme="minorHAnsi" w:hAnsiTheme="minorHAnsi" w:cstheme="minorHAnsi"/>
                <w:sz w:val="24"/>
                <w:szCs w:val="24"/>
              </w:rPr>
              <w:t xml:space="preserve">, </w:t>
            </w:r>
            <w:r w:rsidRPr="00D668D2">
              <w:rPr>
                <w:rFonts w:asciiTheme="minorHAnsi" w:hAnsiTheme="minorHAnsi" w:cstheme="minorHAnsi"/>
                <w:sz w:val="24"/>
                <w:szCs w:val="24"/>
              </w:rPr>
              <w:t xml:space="preserve">2014 (SSWBA), </w:t>
            </w:r>
            <w:r w:rsidRPr="004B06F7">
              <w:rPr>
                <w:rFonts w:asciiTheme="minorHAnsi" w:hAnsiTheme="minorHAnsi" w:cstheme="minorHAnsi"/>
                <w:sz w:val="24"/>
                <w:szCs w:val="24"/>
              </w:rPr>
              <w:t>providing</w:t>
            </w:r>
            <w:r w:rsidRPr="00D668D2">
              <w:rPr>
                <w:rFonts w:asciiTheme="minorHAnsi" w:hAnsiTheme="minorHAnsi" w:cstheme="minorHAnsi"/>
                <w:sz w:val="24"/>
                <w:szCs w:val="24"/>
              </w:rPr>
              <w:t xml:space="preserve"> the overarching basis for </w:t>
            </w:r>
            <w:r w:rsidRPr="004B06F7">
              <w:rPr>
                <w:rFonts w:asciiTheme="minorHAnsi" w:hAnsiTheme="minorHAnsi" w:cstheme="minorHAnsi"/>
                <w:sz w:val="24"/>
                <w:szCs w:val="24"/>
              </w:rPr>
              <w:t>S</w:t>
            </w:r>
            <w:r w:rsidRPr="00D668D2">
              <w:rPr>
                <w:rFonts w:asciiTheme="minorHAnsi" w:hAnsiTheme="minorHAnsi" w:cstheme="minorHAnsi"/>
                <w:sz w:val="24"/>
                <w:szCs w:val="24"/>
              </w:rPr>
              <w:t>afeguarding practice. Safeguarding children in</w:t>
            </w:r>
            <w:r w:rsidRPr="004B06F7">
              <w:rPr>
                <w:rFonts w:asciiTheme="minorHAnsi" w:hAnsiTheme="minorHAnsi" w:cstheme="minorHAnsi"/>
                <w:sz w:val="24"/>
                <w:szCs w:val="24"/>
              </w:rPr>
              <w:t xml:space="preserve">volves actions to promote their welfare and protect them from harm, abuse, and neglect. </w:t>
            </w:r>
            <w:r w:rsidRPr="00154268">
              <w:rPr>
                <w:rFonts w:asciiTheme="minorHAnsi" w:hAnsiTheme="minorHAnsi" w:cstheme="minorHAnsi"/>
                <w:sz w:val="24"/>
                <w:szCs w:val="24"/>
              </w:rPr>
              <w:t>In practice, safeguarding children involves recognising a range of risks, from neglect, physical and emotional abuse, to modern slavery, exploitation, and online abuse. The rise of contextual safeguarding approaches has also underlined the importance of considering risks beyond the family home, such as in schools and communities (Firmin, 2020).</w:t>
            </w:r>
          </w:p>
          <w:p w14:paraId="354E53A7" w14:textId="59390F5A" w:rsidR="004B06F7" w:rsidRPr="004B06F7" w:rsidRDefault="004B06F7" w:rsidP="004B06F7">
            <w:pPr>
              <w:spacing w:before="100" w:beforeAutospacing="1" w:after="100" w:afterAutospacing="1"/>
              <w:rPr>
                <w:rFonts w:asciiTheme="minorHAnsi" w:hAnsiTheme="minorHAnsi" w:cstheme="minorHAnsi"/>
                <w:sz w:val="24"/>
                <w:szCs w:val="24"/>
              </w:rPr>
            </w:pPr>
            <w:r w:rsidRPr="004B06F7">
              <w:rPr>
                <w:rFonts w:asciiTheme="minorHAnsi" w:hAnsiTheme="minorHAnsi" w:cstheme="minorHAnsi"/>
                <w:sz w:val="24"/>
                <w:szCs w:val="24"/>
              </w:rPr>
              <w:t xml:space="preserve">Whilst my practice primarily focuses on adults, social workers must understand the legal and policy framework to identify risks early and implement interventions (Howarth, 2018). </w:t>
            </w:r>
          </w:p>
          <w:p w14:paraId="215DE325" w14:textId="42406CA5" w:rsidR="004B06F7" w:rsidRPr="004B06F7" w:rsidRDefault="004B06F7" w:rsidP="004B06F7">
            <w:pPr>
              <w:spacing w:before="100" w:beforeAutospacing="1" w:after="100" w:afterAutospacing="1"/>
              <w:rPr>
                <w:rFonts w:asciiTheme="minorHAnsi" w:hAnsiTheme="minorHAnsi" w:cstheme="minorHAnsi"/>
                <w:sz w:val="24"/>
                <w:szCs w:val="24"/>
              </w:rPr>
            </w:pPr>
            <w:r w:rsidRPr="004B06F7">
              <w:rPr>
                <w:rFonts w:asciiTheme="minorHAnsi" w:hAnsiTheme="minorHAnsi" w:cstheme="minorHAnsi"/>
                <w:sz w:val="24"/>
                <w:szCs w:val="24"/>
              </w:rPr>
              <w:t>Within the SSWBA</w:t>
            </w:r>
            <w:r>
              <w:rPr>
                <w:rFonts w:asciiTheme="minorHAnsi" w:hAnsiTheme="minorHAnsi" w:cstheme="minorHAnsi"/>
                <w:sz w:val="24"/>
                <w:szCs w:val="24"/>
              </w:rPr>
              <w:t xml:space="preserve"> (2014)</w:t>
            </w:r>
            <w:r w:rsidRPr="004B06F7">
              <w:rPr>
                <w:rFonts w:asciiTheme="minorHAnsi" w:hAnsiTheme="minorHAnsi" w:cstheme="minorHAnsi"/>
                <w:sz w:val="24"/>
                <w:szCs w:val="24"/>
              </w:rPr>
              <w:t xml:space="preserve">, safeguarding duties are primarily set out in Part 7, which outlines local authorities’ and relevant agencies’ responsibilities to investigate whether a child is at risk of abuse, neglect, or other harm. The Act therefore redefines safeguarding to include overall well-being, acknowledging that child protection is closely linked to family support and risk prevention. </w:t>
            </w:r>
          </w:p>
          <w:p w14:paraId="52FE7CD4" w14:textId="23586C3F" w:rsidR="004B06F7" w:rsidRPr="00154268" w:rsidRDefault="004B06F7" w:rsidP="004B06F7">
            <w:pPr>
              <w:rPr>
                <w:rFonts w:asciiTheme="minorHAnsi" w:hAnsiTheme="minorHAnsi" w:cstheme="minorHAnsi"/>
                <w:sz w:val="24"/>
                <w:szCs w:val="24"/>
              </w:rPr>
            </w:pPr>
            <w:r w:rsidRPr="00D668D2">
              <w:rPr>
                <w:rFonts w:asciiTheme="minorHAnsi" w:hAnsiTheme="minorHAnsi" w:cstheme="minorHAnsi"/>
                <w:sz w:val="24"/>
                <w:szCs w:val="24"/>
              </w:rPr>
              <w:t xml:space="preserve">Although the Children Act 1989 </w:t>
            </w:r>
            <w:r w:rsidRPr="004B06F7">
              <w:rPr>
                <w:rFonts w:asciiTheme="minorHAnsi" w:hAnsiTheme="minorHAnsi" w:cstheme="minorHAnsi"/>
                <w:sz w:val="24"/>
                <w:szCs w:val="24"/>
              </w:rPr>
              <w:t xml:space="preserve">still applies </w:t>
            </w:r>
            <w:r w:rsidRPr="00D668D2">
              <w:rPr>
                <w:rFonts w:asciiTheme="minorHAnsi" w:hAnsiTheme="minorHAnsi" w:cstheme="minorHAnsi"/>
                <w:sz w:val="24"/>
                <w:szCs w:val="24"/>
              </w:rPr>
              <w:t>in Wales,</w:t>
            </w:r>
            <w:r w:rsidRPr="004B06F7">
              <w:rPr>
                <w:rFonts w:asciiTheme="minorHAnsi" w:hAnsiTheme="minorHAnsi" w:cstheme="minorHAnsi"/>
                <w:sz w:val="24"/>
                <w:szCs w:val="24"/>
              </w:rPr>
              <w:t xml:space="preserve"> it operates alongside SSWBA rather than as a standalone safeguarding legislation</w:t>
            </w:r>
            <w:r w:rsidRPr="00D668D2">
              <w:rPr>
                <w:rFonts w:asciiTheme="minorHAnsi" w:hAnsiTheme="minorHAnsi" w:cstheme="minorHAnsi"/>
                <w:sz w:val="24"/>
                <w:szCs w:val="24"/>
              </w:rPr>
              <w:t xml:space="preserve">. For example, Section 47 of the Children Act 1989, </w:t>
            </w:r>
            <w:r w:rsidRPr="004B06F7">
              <w:rPr>
                <w:rFonts w:asciiTheme="minorHAnsi" w:hAnsiTheme="minorHAnsi" w:cstheme="minorHAnsi"/>
                <w:sz w:val="24"/>
                <w:szCs w:val="24"/>
              </w:rPr>
              <w:t>which concerns</w:t>
            </w:r>
            <w:r w:rsidRPr="00D668D2">
              <w:rPr>
                <w:rFonts w:asciiTheme="minorHAnsi" w:hAnsiTheme="minorHAnsi" w:cstheme="minorHAnsi"/>
                <w:sz w:val="24"/>
                <w:szCs w:val="24"/>
              </w:rPr>
              <w:t xml:space="preserve"> the duty to investigate significant harm, continues to be used but </w:t>
            </w:r>
            <w:r w:rsidRPr="004B06F7">
              <w:rPr>
                <w:rFonts w:asciiTheme="minorHAnsi" w:hAnsiTheme="minorHAnsi" w:cstheme="minorHAnsi"/>
                <w:sz w:val="24"/>
                <w:szCs w:val="24"/>
              </w:rPr>
              <w:t>understood with the Welsh legislative framework.</w:t>
            </w:r>
            <w:r w:rsidRPr="00D668D2">
              <w:rPr>
                <w:rFonts w:asciiTheme="minorHAnsi" w:hAnsiTheme="minorHAnsi" w:cstheme="minorHAnsi"/>
                <w:sz w:val="24"/>
                <w:szCs w:val="24"/>
              </w:rPr>
              <w:t xml:space="preserve"> In contrast, the concept of a “child in need” under Section 17 has largely been superseded by the duties and assessment processes set out in the SSWBA, particularly those relating to care and support needs. </w:t>
            </w:r>
            <w:r w:rsidRPr="004B06F7">
              <w:rPr>
                <w:rFonts w:asciiTheme="minorHAnsi" w:hAnsiTheme="minorHAnsi" w:cstheme="minorHAnsi"/>
                <w:sz w:val="24"/>
                <w:szCs w:val="24"/>
              </w:rPr>
              <w:t xml:space="preserve">This highlights an important shift towards a needs-led model focused on well-being as opposed to just thresholds alone. The responsibilities of the local Authority towards looked-after children are clearly outlined in part 6 of the SSWBA, which highlights duties relating to accommodation, care planning, and corporate parenting. Corporate parenting is a significant principle in Wales which emphasises that local authorities and relevant agencies must act in the best interests of the children in their care and promote welfare and stability long term. </w:t>
            </w:r>
          </w:p>
          <w:p w14:paraId="70B168BF" w14:textId="4ECE4AAA" w:rsidR="004B06F7" w:rsidRPr="004B06F7" w:rsidRDefault="004B06F7" w:rsidP="004B06F7">
            <w:pPr>
              <w:spacing w:before="100" w:beforeAutospacing="1" w:after="100" w:afterAutospacing="1"/>
              <w:rPr>
                <w:rFonts w:asciiTheme="minorHAnsi" w:hAnsiTheme="minorHAnsi" w:cstheme="minorHAnsi"/>
                <w:sz w:val="24"/>
                <w:szCs w:val="24"/>
              </w:rPr>
            </w:pPr>
            <w:r w:rsidRPr="004B06F7">
              <w:rPr>
                <w:rFonts w:asciiTheme="minorHAnsi" w:hAnsiTheme="minorHAnsi" w:cstheme="minorHAnsi"/>
                <w:sz w:val="24"/>
                <w:szCs w:val="24"/>
              </w:rPr>
              <w:t>As well as legislation, safeguarding is also guided by national procedures. The Welsh Government’s “Working Together to Safeguard Children” (2018) sets out what all organisations and professionals should do. It focuses on helping children early, ensuring different agencies cooperate, and sharing information so nothing is missed (HM Government, 2018</w:t>
            </w:r>
            <w:r w:rsidRPr="004B06F7">
              <w:rPr>
                <w:rFonts w:asciiTheme="minorHAnsi" w:hAnsiTheme="minorHAnsi" w:cstheme="minorHAnsi"/>
                <w:sz w:val="24"/>
                <w:szCs w:val="24"/>
              </w:rPr>
              <w:t>).</w:t>
            </w:r>
            <w:r w:rsidRPr="004B06F7">
              <w:rPr>
                <w:rFonts w:asciiTheme="minorHAnsi" w:hAnsiTheme="minorHAnsi" w:cstheme="minorHAnsi"/>
                <w:sz w:val="24"/>
                <w:szCs w:val="24"/>
              </w:rPr>
              <w:t xml:space="preserve"> Additionally, the Wales Safeguarding procedures provide a consistent framework for how professionals should respond to safeguarding concerns, including reporting, information sharing, and decision-making. This guidance supports the multi-agency duties embedded within the SSWBA and reinforces </w:t>
            </w:r>
            <w:r w:rsidRPr="004B06F7">
              <w:rPr>
                <w:rFonts w:asciiTheme="minorHAnsi" w:hAnsiTheme="minorHAnsi" w:cstheme="minorHAnsi"/>
                <w:sz w:val="24"/>
                <w:szCs w:val="24"/>
              </w:rPr>
              <w:t>Safeguarding as</w:t>
            </w:r>
            <w:r w:rsidRPr="004B06F7">
              <w:rPr>
                <w:rFonts w:asciiTheme="minorHAnsi" w:hAnsiTheme="minorHAnsi" w:cstheme="minorHAnsi"/>
                <w:sz w:val="24"/>
                <w:szCs w:val="24"/>
              </w:rPr>
              <w:t xml:space="preserve"> a collective responsibility. </w:t>
            </w:r>
          </w:p>
          <w:p w14:paraId="268099A0" w14:textId="6BEFDDFA" w:rsidR="004B06F7" w:rsidRPr="004B06F7" w:rsidRDefault="004B06F7" w:rsidP="004B06F7">
            <w:pPr>
              <w:spacing w:before="100" w:beforeAutospacing="1" w:after="100" w:afterAutospacing="1"/>
              <w:rPr>
                <w:rFonts w:asciiTheme="minorHAnsi" w:hAnsiTheme="minorHAnsi" w:cstheme="minorHAnsi"/>
                <w:sz w:val="24"/>
                <w:szCs w:val="24"/>
              </w:rPr>
            </w:pPr>
            <w:r w:rsidRPr="00D668D2">
              <w:rPr>
                <w:rFonts w:asciiTheme="minorHAnsi" w:hAnsiTheme="minorHAnsi" w:cstheme="minorHAnsi"/>
                <w:sz w:val="24"/>
                <w:szCs w:val="24"/>
              </w:rPr>
              <w:t>Human rights considerations are integral to safeguarding in Wales. The Human Rights Act 1998 provides a legal framework that protects fundamental rights, such as the right to life, protection from inhuman or degrading treatment, and respect for private and family life. Safeguarding interventions must therefore balance protection with proportionality and respect for individual rights. Additionally,</w:t>
            </w:r>
            <w:r w:rsidRPr="004B06F7">
              <w:rPr>
                <w:rFonts w:asciiTheme="minorHAnsi" w:hAnsiTheme="minorHAnsi" w:cstheme="minorHAnsi"/>
                <w:sz w:val="24"/>
                <w:szCs w:val="24"/>
              </w:rPr>
              <w:t xml:space="preserve"> this rights-based approach is further reinforced by the United Nations Convention on the Rights of the Child (UNCRC) which underpins policy and decision making.</w:t>
            </w:r>
          </w:p>
          <w:p w14:paraId="20542125" w14:textId="6239926C" w:rsidR="004B06F7" w:rsidRPr="004B06F7" w:rsidRDefault="004B06F7" w:rsidP="004B06F7">
            <w:pPr>
              <w:spacing w:before="100" w:beforeAutospacing="1" w:after="100" w:afterAutospacing="1"/>
              <w:rPr>
                <w:rFonts w:asciiTheme="minorHAnsi" w:hAnsiTheme="minorHAnsi" w:cstheme="minorHAnsi"/>
                <w:sz w:val="24"/>
                <w:szCs w:val="24"/>
              </w:rPr>
            </w:pPr>
            <w:r w:rsidRPr="00D668D2">
              <w:rPr>
                <w:rFonts w:asciiTheme="minorHAnsi" w:hAnsiTheme="minorHAnsi" w:cstheme="minorHAnsi"/>
                <w:sz w:val="24"/>
                <w:szCs w:val="24"/>
              </w:rPr>
              <w:t xml:space="preserve">Overall, safeguarding children in Wales </w:t>
            </w:r>
            <w:r w:rsidRPr="004B06F7">
              <w:rPr>
                <w:rFonts w:asciiTheme="minorHAnsi" w:hAnsiTheme="minorHAnsi" w:cstheme="minorHAnsi"/>
                <w:sz w:val="24"/>
                <w:szCs w:val="24"/>
              </w:rPr>
              <w:t xml:space="preserve">requires a clear understanding of the SSWBA as the central legislative framework, supported by national procedures and strong emphasis on well-being, prevention, and rights. </w:t>
            </w:r>
          </w:p>
          <w:p w14:paraId="27BC6F51" w14:textId="07CA815D" w:rsidR="00CE2BE9" w:rsidRPr="00154268" w:rsidRDefault="00CE2BE9" w:rsidP="004B06F7">
            <w:pPr>
              <w:rPr>
                <w:rFonts w:asciiTheme="minorHAnsi" w:hAnsiTheme="minorHAnsi" w:cstheme="minorHAnsi"/>
                <w:sz w:val="24"/>
                <w:szCs w:val="24"/>
              </w:rPr>
            </w:pPr>
          </w:p>
          <w:p w14:paraId="030748ED" w14:textId="77777777" w:rsidR="00CE2BE9" w:rsidRPr="00154268" w:rsidRDefault="00CE2BE9" w:rsidP="00CE2BE9">
            <w:pPr>
              <w:rPr>
                <w:rFonts w:asciiTheme="minorHAnsi" w:hAnsiTheme="minorHAnsi" w:cstheme="minorHAnsi"/>
                <w:sz w:val="24"/>
                <w:szCs w:val="24"/>
              </w:rPr>
            </w:pPr>
          </w:p>
          <w:p w14:paraId="6D8CB8AF" w14:textId="4900FBAE" w:rsidR="00FC0334" w:rsidRPr="00CE2BE9" w:rsidRDefault="00CE2BE9" w:rsidP="00FF7EBB">
            <w:pPr>
              <w:jc w:val="both"/>
              <w:rPr>
                <w:b/>
                <w:bCs/>
                <w:sz w:val="24"/>
                <w:szCs w:val="24"/>
              </w:rPr>
            </w:pPr>
            <w:r w:rsidRPr="00CE2BE9">
              <w:rPr>
                <w:b/>
                <w:bCs/>
                <w:sz w:val="24"/>
                <w:szCs w:val="24"/>
              </w:rPr>
              <w:t>Word Count: 54</w:t>
            </w:r>
            <w:r w:rsidR="004B06F7">
              <w:rPr>
                <w:b/>
                <w:bCs/>
                <w:sz w:val="24"/>
                <w:szCs w:val="24"/>
              </w:rPr>
              <w:t>2</w:t>
            </w:r>
          </w:p>
          <w:p w14:paraId="4A95F4DB" w14:textId="77777777" w:rsidR="00FC0334" w:rsidRDefault="00FC0334" w:rsidP="00FF7EBB">
            <w:pPr>
              <w:jc w:val="both"/>
              <w:rPr>
                <w:sz w:val="24"/>
                <w:szCs w:val="24"/>
              </w:rPr>
            </w:pPr>
          </w:p>
          <w:p w14:paraId="75DF59E2" w14:textId="77777777" w:rsidR="00FC0334" w:rsidRDefault="00FC0334" w:rsidP="00FF7EBB">
            <w:pPr>
              <w:jc w:val="both"/>
              <w:rPr>
                <w:sz w:val="24"/>
                <w:szCs w:val="24"/>
              </w:rPr>
            </w:pPr>
          </w:p>
          <w:p w14:paraId="14883BA0" w14:textId="77777777" w:rsidR="00FC0334" w:rsidRDefault="00FC0334" w:rsidP="00FF7EBB">
            <w:pPr>
              <w:jc w:val="both"/>
              <w:rPr>
                <w:sz w:val="24"/>
                <w:szCs w:val="24"/>
              </w:rPr>
            </w:pPr>
          </w:p>
          <w:p w14:paraId="49641ACD" w14:textId="77777777" w:rsidR="00FC0334" w:rsidRDefault="00FC0334" w:rsidP="00FF7EBB">
            <w:pPr>
              <w:jc w:val="both"/>
              <w:rPr>
                <w:sz w:val="24"/>
                <w:szCs w:val="24"/>
              </w:rPr>
            </w:pPr>
          </w:p>
          <w:p w14:paraId="206514B9" w14:textId="77777777" w:rsidR="00FC0334" w:rsidRDefault="00FC0334" w:rsidP="00FF7EBB">
            <w:pPr>
              <w:jc w:val="both"/>
              <w:rPr>
                <w:sz w:val="24"/>
                <w:szCs w:val="24"/>
              </w:rPr>
            </w:pPr>
          </w:p>
          <w:p w14:paraId="60D8C669" w14:textId="77777777" w:rsidR="00FC0334" w:rsidRDefault="00FC0334" w:rsidP="00FF7EBB">
            <w:pPr>
              <w:jc w:val="both"/>
              <w:rPr>
                <w:sz w:val="24"/>
                <w:szCs w:val="24"/>
              </w:rPr>
            </w:pPr>
          </w:p>
          <w:p w14:paraId="774095BD" w14:textId="77777777" w:rsidR="00FC0334" w:rsidRPr="006108C9" w:rsidRDefault="00FC0334"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CABE426" w14:textId="77777777" w:rsidR="00FC0334" w:rsidRDefault="00FC0334" w:rsidP="00FC0334">
            <w:pPr>
              <w:jc w:val="both"/>
              <w:rPr>
                <w:sz w:val="24"/>
                <w:szCs w:val="24"/>
              </w:rPr>
            </w:pPr>
          </w:p>
          <w:p w14:paraId="12391DEB" w14:textId="7F376332" w:rsidR="004B06F7" w:rsidRPr="004B06F7" w:rsidRDefault="004B06F7" w:rsidP="004B06F7">
            <w:pPr>
              <w:rPr>
                <w:rFonts w:asciiTheme="minorHAnsi" w:hAnsiTheme="minorHAnsi" w:cstheme="minorHAnsi"/>
                <w:sz w:val="24"/>
                <w:szCs w:val="24"/>
              </w:rPr>
            </w:pPr>
            <w:r w:rsidRPr="004B06F7">
              <w:rPr>
                <w:rFonts w:asciiTheme="minorHAnsi" w:hAnsiTheme="minorHAnsi" w:cstheme="minorHAnsi"/>
                <w:sz w:val="24"/>
                <w:szCs w:val="24"/>
              </w:rPr>
              <w:t xml:space="preserve">Safeguarding in Wales, whether for adults or children, is underpinned by the shared aim of preventing harm and promoting wellbeing. However, significant differences in principles, </w:t>
            </w:r>
            <w:r>
              <w:rPr>
                <w:rFonts w:asciiTheme="minorHAnsi" w:hAnsiTheme="minorHAnsi" w:cstheme="minorHAnsi"/>
                <w:sz w:val="24"/>
                <w:szCs w:val="24"/>
              </w:rPr>
              <w:t xml:space="preserve">legislation, </w:t>
            </w:r>
            <w:r w:rsidRPr="004B06F7">
              <w:rPr>
                <w:rFonts w:asciiTheme="minorHAnsi" w:hAnsiTheme="minorHAnsi" w:cstheme="minorHAnsi"/>
                <w:sz w:val="24"/>
                <w:szCs w:val="24"/>
              </w:rPr>
              <w:t>professional duties, and decision-making frameworks shape practice across the two areas</w:t>
            </w:r>
            <w:r>
              <w:rPr>
                <w:rFonts w:asciiTheme="minorHAnsi" w:hAnsiTheme="minorHAnsi" w:cstheme="minorHAnsi"/>
                <w:sz w:val="24"/>
                <w:szCs w:val="24"/>
              </w:rPr>
              <w:t xml:space="preserve"> reflecting the legal status and developmental needs of adults and children (Braye and Preston-Shoot, 2016). </w:t>
            </w:r>
          </w:p>
          <w:p w14:paraId="1D6D4493" w14:textId="77777777" w:rsidR="004B06F7" w:rsidRDefault="004B06F7" w:rsidP="004B06F7">
            <w:pPr>
              <w:rPr>
                <w:rFonts w:asciiTheme="minorHAnsi" w:hAnsiTheme="minorHAnsi" w:cstheme="minorHAnsi"/>
                <w:sz w:val="24"/>
                <w:szCs w:val="24"/>
              </w:rPr>
            </w:pPr>
          </w:p>
          <w:p w14:paraId="37DF377C" w14:textId="77BB808D" w:rsidR="004B06F7" w:rsidRPr="004B06F7" w:rsidRDefault="004B06F7" w:rsidP="004B06F7">
            <w:pPr>
              <w:rPr>
                <w:rFonts w:asciiTheme="minorHAnsi" w:hAnsiTheme="minorHAnsi" w:cstheme="minorHAnsi"/>
                <w:sz w:val="24"/>
                <w:szCs w:val="24"/>
              </w:rPr>
            </w:pPr>
            <w:r w:rsidRPr="004B06F7">
              <w:rPr>
                <w:rFonts w:asciiTheme="minorHAnsi" w:hAnsiTheme="minorHAnsi" w:cstheme="minorHAnsi"/>
                <w:sz w:val="24"/>
                <w:szCs w:val="24"/>
              </w:rPr>
              <w:t xml:space="preserve">Adult safeguarding is strongly influenced by the principle of autonomy. The Mental Capacity Act 2005, which applies in Wales, establishes the presumption that adults have capacity unless assessed otherwise. This means adults are entitled to make their own decisions, even if </w:t>
            </w:r>
            <w:r>
              <w:rPr>
                <w:rFonts w:asciiTheme="minorHAnsi" w:hAnsiTheme="minorHAnsi" w:cstheme="minorHAnsi"/>
                <w:sz w:val="24"/>
                <w:szCs w:val="24"/>
              </w:rPr>
              <w:t>decisions appear unwise</w:t>
            </w:r>
            <w:r w:rsidRPr="004B06F7">
              <w:rPr>
                <w:rFonts w:asciiTheme="minorHAnsi" w:hAnsiTheme="minorHAnsi" w:cstheme="minorHAnsi"/>
                <w:sz w:val="24"/>
                <w:szCs w:val="24"/>
              </w:rPr>
              <w:t xml:space="preserve">. Practitioners must therefore work in ways that respect individual choice while managing concerns about safety. </w:t>
            </w:r>
            <w:r>
              <w:rPr>
                <w:rFonts w:asciiTheme="minorHAnsi" w:hAnsiTheme="minorHAnsi" w:cstheme="minorHAnsi"/>
                <w:sz w:val="24"/>
                <w:szCs w:val="24"/>
              </w:rPr>
              <w:t>Unless there is a lack of capacity, or a wider risk (</w:t>
            </w:r>
            <w:proofErr w:type="spellStart"/>
            <w:r>
              <w:rPr>
                <w:rFonts w:asciiTheme="minorHAnsi" w:hAnsiTheme="minorHAnsi" w:cstheme="minorHAnsi"/>
                <w:sz w:val="24"/>
                <w:szCs w:val="24"/>
              </w:rPr>
              <w:t>e.g</w:t>
            </w:r>
            <w:proofErr w:type="spellEnd"/>
            <w:r>
              <w:rPr>
                <w:rFonts w:asciiTheme="minorHAnsi" w:hAnsiTheme="minorHAnsi" w:cstheme="minorHAnsi"/>
                <w:sz w:val="24"/>
                <w:szCs w:val="24"/>
              </w:rPr>
              <w:t xml:space="preserve"> safeguarding others), professionals may need to respect the decision (Preston-Shoot, 2017). </w:t>
            </w:r>
            <w:r w:rsidRPr="004B06F7">
              <w:rPr>
                <w:rFonts w:asciiTheme="minorHAnsi" w:hAnsiTheme="minorHAnsi" w:cstheme="minorHAnsi"/>
                <w:sz w:val="24"/>
                <w:szCs w:val="24"/>
              </w:rPr>
              <w:t xml:space="preserve">The Social Services and Well-being (Wales) Act 2014 reinforces this by emphasising voice, control, and personal wellbeing. Local authorities have a duty to make enquiries where an adult is suspected to be at risk, yet intervention must remain proportionate and least restrictive. </w:t>
            </w:r>
          </w:p>
          <w:p w14:paraId="4F612273" w14:textId="4D41BE3B" w:rsidR="004B06F7" w:rsidRPr="004B06F7" w:rsidRDefault="004B06F7" w:rsidP="004B06F7">
            <w:pPr>
              <w:rPr>
                <w:rFonts w:asciiTheme="minorHAnsi" w:hAnsiTheme="minorHAnsi" w:cstheme="minorHAnsi"/>
                <w:sz w:val="24"/>
                <w:szCs w:val="24"/>
              </w:rPr>
            </w:pPr>
            <w:r>
              <w:rPr>
                <w:rFonts w:asciiTheme="minorHAnsi" w:hAnsiTheme="minorHAnsi" w:cstheme="minorHAnsi"/>
                <w:sz w:val="24"/>
                <w:szCs w:val="24"/>
              </w:rPr>
              <w:t xml:space="preserve">Contrastingly, </w:t>
            </w:r>
            <w:r w:rsidRPr="004B06F7">
              <w:rPr>
                <w:rFonts w:asciiTheme="minorHAnsi" w:hAnsiTheme="minorHAnsi" w:cstheme="minorHAnsi"/>
                <w:sz w:val="24"/>
                <w:szCs w:val="24"/>
              </w:rPr>
              <w:t>Safeguarding children</w:t>
            </w:r>
            <w:r>
              <w:rPr>
                <w:rFonts w:asciiTheme="minorHAnsi" w:hAnsiTheme="minorHAnsi" w:cstheme="minorHAnsi"/>
                <w:sz w:val="24"/>
                <w:szCs w:val="24"/>
              </w:rPr>
              <w:t xml:space="preserve"> </w:t>
            </w:r>
            <w:r w:rsidRPr="004B06F7">
              <w:rPr>
                <w:rFonts w:asciiTheme="minorHAnsi" w:hAnsiTheme="minorHAnsi" w:cstheme="minorHAnsi"/>
                <w:sz w:val="24"/>
                <w:szCs w:val="24"/>
              </w:rPr>
              <w:t>prioritises welfare and protection. The Social Services and Well-being (Wales) Act 2014 places clear duties on agencies to safeguard and promote the wellbeing of children, recognising that children are inherently more vulnerable. Unlike adults, children are not presumed to have full decision-making capacity. However, legal concepts such as Gillick competence acknowledge that some children under 16 may possess sufficient understanding to make certain decisions. The Fraser Guidelines further clarify this position, particularly in healthcare. Despite this recognition of emerging autonomy, professionals must act decisively when there is a risk of significant harm, even when this conflicts with the child's or parents' wishes. Protection, rather than choice, becomes the overriding concern.</w:t>
            </w:r>
          </w:p>
          <w:p w14:paraId="57426764" w14:textId="77777777" w:rsidR="004B06F7" w:rsidRPr="004B06F7" w:rsidRDefault="004B06F7" w:rsidP="004B06F7">
            <w:pPr>
              <w:rPr>
                <w:rFonts w:asciiTheme="minorHAnsi" w:hAnsiTheme="minorHAnsi" w:cstheme="minorHAnsi"/>
                <w:sz w:val="24"/>
                <w:szCs w:val="24"/>
              </w:rPr>
            </w:pPr>
            <w:r w:rsidRPr="004B06F7">
              <w:rPr>
                <w:rFonts w:asciiTheme="minorHAnsi" w:hAnsiTheme="minorHAnsi" w:cstheme="minorHAnsi"/>
                <w:sz w:val="24"/>
                <w:szCs w:val="24"/>
              </w:rPr>
              <w:t>Differences are also evident in how abuse and risk are understood. Adult safeguarding explicitly includes categories such as financial abuse, domestic abuse, neglect, and self-neglect, reflecting the lived realities of adulthood. While children may experience similar harms, responses are framed within child protection processes rather than mirroring adult safeguarding models. This distinction affects assessment, thresholds, and intervention strategies.</w:t>
            </w:r>
          </w:p>
          <w:p w14:paraId="7B3B3C99" w14:textId="77777777" w:rsidR="004B06F7" w:rsidRPr="004B06F7" w:rsidRDefault="004B06F7" w:rsidP="004B06F7">
            <w:pPr>
              <w:rPr>
                <w:rFonts w:asciiTheme="minorHAnsi" w:hAnsiTheme="minorHAnsi" w:cstheme="minorHAnsi"/>
                <w:sz w:val="24"/>
                <w:szCs w:val="24"/>
              </w:rPr>
            </w:pPr>
            <w:r w:rsidRPr="004B06F7">
              <w:rPr>
                <w:rFonts w:asciiTheme="minorHAnsi" w:hAnsiTheme="minorHAnsi" w:cstheme="minorHAnsi"/>
                <w:sz w:val="24"/>
                <w:szCs w:val="24"/>
              </w:rPr>
              <w:t>In Wales, both adult and children’s safeguarding operate through the Wales Safeguarding Procedures and regional Safeguarding Boards, highlighting the importance of multi-agency collaboration and information sharing. Nevertheless, procedural responses, timescales, and thresholds differ to reflect the differing legal status and needs of adults and children.</w:t>
            </w:r>
          </w:p>
          <w:p w14:paraId="2A90A076" w14:textId="77777777" w:rsidR="004B06F7" w:rsidRPr="004B06F7" w:rsidRDefault="004B06F7" w:rsidP="004B06F7">
            <w:pPr>
              <w:rPr>
                <w:rFonts w:asciiTheme="minorHAnsi" w:hAnsiTheme="minorHAnsi" w:cstheme="minorHAnsi"/>
                <w:sz w:val="24"/>
                <w:szCs w:val="24"/>
              </w:rPr>
            </w:pPr>
          </w:p>
          <w:p w14:paraId="0968917B" w14:textId="11648BE7" w:rsidR="004B06F7" w:rsidRDefault="004B06F7" w:rsidP="004B06F7">
            <w:pPr>
              <w:rPr>
                <w:rFonts w:ascii="AppleSystemUIFont" w:hAnsi="AppleSystemUIFont" w:cs="AppleSystemUIFont"/>
                <w:sz w:val="26"/>
                <w:szCs w:val="26"/>
              </w:rPr>
            </w:pPr>
            <w:r w:rsidRPr="004B06F7">
              <w:rPr>
                <w:rFonts w:asciiTheme="minorHAnsi" w:hAnsiTheme="minorHAnsi" w:cstheme="minorHAnsi"/>
                <w:sz w:val="24"/>
                <w:szCs w:val="24"/>
              </w:rPr>
              <w:t>Recognising these differences is essential for effective practice. Safeguarding requires not only knowledge of legislation but also an appreciation of how autonomy, capacity, and vulnerability shape professional responsibilities across the lifespan</w:t>
            </w:r>
            <w:r>
              <w:rPr>
                <w:rFonts w:ascii="AppleSystemUIFont" w:hAnsi="AppleSystemUIFont" w:cs="AppleSystemUIFont"/>
                <w:sz w:val="26"/>
                <w:szCs w:val="26"/>
              </w:rPr>
              <w:t>.</w:t>
            </w:r>
            <w:r>
              <w:rPr>
                <w:rFonts w:ascii="AppleSystemUIFont" w:hAnsi="AppleSystemUIFont" w:cs="AppleSystemUIFont"/>
                <w:sz w:val="26"/>
                <w:szCs w:val="26"/>
              </w:rPr>
              <w:t xml:space="preserve"> Both recognise that safeguarding is everyone’s responsibility, regardless of role or sector (NSPCC, 2022). </w:t>
            </w:r>
          </w:p>
          <w:p w14:paraId="49D10EF9" w14:textId="77777777" w:rsidR="00CE2BE9" w:rsidRDefault="00CE2BE9" w:rsidP="00FC0334">
            <w:pPr>
              <w:jc w:val="both"/>
              <w:rPr>
                <w:sz w:val="24"/>
                <w:szCs w:val="24"/>
              </w:rPr>
            </w:pPr>
          </w:p>
          <w:p w14:paraId="3071514F" w14:textId="1910824C" w:rsidR="00CE2BE9" w:rsidRPr="00CE2BE9" w:rsidRDefault="00CE2BE9" w:rsidP="00FC0334">
            <w:pPr>
              <w:jc w:val="both"/>
              <w:rPr>
                <w:b/>
                <w:bCs/>
                <w:sz w:val="24"/>
                <w:szCs w:val="24"/>
              </w:rPr>
            </w:pPr>
            <w:r w:rsidRPr="00CE2BE9">
              <w:rPr>
                <w:b/>
                <w:bCs/>
                <w:sz w:val="24"/>
                <w:szCs w:val="24"/>
              </w:rPr>
              <w:t>Word Count:</w:t>
            </w:r>
            <w:r>
              <w:rPr>
                <w:b/>
                <w:bCs/>
                <w:sz w:val="24"/>
                <w:szCs w:val="24"/>
              </w:rPr>
              <w:t xml:space="preserve"> 43</w:t>
            </w:r>
            <w:r w:rsidR="004B06F7">
              <w:rPr>
                <w:b/>
                <w:bCs/>
                <w:sz w:val="24"/>
                <w:szCs w:val="24"/>
              </w:rPr>
              <w:t>7</w:t>
            </w:r>
          </w:p>
          <w:p w14:paraId="795C6051" w14:textId="77777777" w:rsidR="00FC0334" w:rsidRDefault="00FC0334" w:rsidP="00FC0334">
            <w:pPr>
              <w:jc w:val="both"/>
              <w:rPr>
                <w:sz w:val="24"/>
                <w:szCs w:val="24"/>
              </w:rPr>
            </w:pPr>
          </w:p>
          <w:p w14:paraId="67E7ED72" w14:textId="77777777" w:rsidR="00FC0334" w:rsidRDefault="00FC0334" w:rsidP="00FC0334">
            <w:pPr>
              <w:jc w:val="both"/>
              <w:rPr>
                <w:sz w:val="24"/>
                <w:szCs w:val="24"/>
              </w:rPr>
            </w:pPr>
          </w:p>
          <w:p w14:paraId="478D2F84" w14:textId="77777777" w:rsidR="00FC0334" w:rsidRDefault="00FC0334" w:rsidP="00FC0334">
            <w:pPr>
              <w:jc w:val="both"/>
              <w:rPr>
                <w:sz w:val="24"/>
                <w:szCs w:val="24"/>
              </w:rPr>
            </w:pPr>
          </w:p>
          <w:p w14:paraId="0E64B386" w14:textId="77777777" w:rsidR="00FC0334" w:rsidRDefault="00FC0334" w:rsidP="00FC0334">
            <w:pPr>
              <w:jc w:val="both"/>
              <w:rPr>
                <w:sz w:val="24"/>
                <w:szCs w:val="24"/>
              </w:rPr>
            </w:pPr>
          </w:p>
          <w:p w14:paraId="4847C39E" w14:textId="77777777" w:rsidR="00FC0334" w:rsidRDefault="00FC0334" w:rsidP="00FC0334">
            <w:pPr>
              <w:jc w:val="both"/>
              <w:rPr>
                <w:sz w:val="24"/>
                <w:szCs w:val="24"/>
              </w:rPr>
            </w:pPr>
          </w:p>
          <w:p w14:paraId="04285720" w14:textId="77777777" w:rsidR="00FC0334" w:rsidRDefault="00FC0334" w:rsidP="00FC0334">
            <w:pPr>
              <w:jc w:val="both"/>
              <w:rPr>
                <w:sz w:val="24"/>
                <w:szCs w:val="24"/>
              </w:rPr>
            </w:pPr>
          </w:p>
          <w:p w14:paraId="1AA3081F" w14:textId="77777777" w:rsidR="00FC0334" w:rsidRDefault="00FC0334" w:rsidP="00FC0334">
            <w:pPr>
              <w:jc w:val="both"/>
              <w:rPr>
                <w:sz w:val="24"/>
                <w:szCs w:val="24"/>
              </w:rPr>
            </w:pPr>
          </w:p>
          <w:p w14:paraId="7B7B4827" w14:textId="77777777" w:rsidR="00FC0334" w:rsidRDefault="00FC0334" w:rsidP="00FC0334">
            <w:pPr>
              <w:jc w:val="both"/>
              <w:rPr>
                <w:sz w:val="24"/>
                <w:szCs w:val="24"/>
              </w:rPr>
            </w:pPr>
          </w:p>
          <w:p w14:paraId="438BF787" w14:textId="77777777" w:rsidR="00FC0334" w:rsidRPr="006108C9"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BA3A31" w14:textId="77777777" w:rsidR="00701A75" w:rsidRDefault="00701A75">
      <w:r>
        <w:separator/>
      </w:r>
    </w:p>
  </w:endnote>
  <w:endnote w:type="continuationSeparator" w:id="0">
    <w:p w14:paraId="2BE44411" w14:textId="77777777" w:rsidR="00701A75" w:rsidRDefault="00701A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ppleSystemUIFont">
    <w:altName w:val="Calibri"/>
    <w:panose1 w:val="020B0604020202020204"/>
    <w:charset w:val="00"/>
    <w:family w:val="auto"/>
    <w:pitch w:val="default"/>
    <w:sig w:usb0="00000003" w:usb1="00000000" w:usb2="00000000" w:usb3="00000000" w:csb0="00000001"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3B5A1C" w14:textId="77777777" w:rsidR="00701A75" w:rsidRDefault="00701A75">
      <w:r>
        <w:separator/>
      </w:r>
    </w:p>
  </w:footnote>
  <w:footnote w:type="continuationSeparator" w:id="0">
    <w:p w14:paraId="4C8E933E" w14:textId="77777777" w:rsidR="00701A75" w:rsidRDefault="00701A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6473"/>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06F7"/>
    <w:rsid w:val="004B3C58"/>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5D2A"/>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1A75"/>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2F20"/>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2BE9"/>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1258</Words>
  <Characters>7175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Jacqueline Crouch (2422204)</cp:lastModifiedBy>
  <cp:revision>2</cp:revision>
  <cp:lastPrinted>2020-02-11T19:20:00Z</cp:lastPrinted>
  <dcterms:created xsi:type="dcterms:W3CDTF">2026-02-24T15:25:00Z</dcterms:created>
  <dcterms:modified xsi:type="dcterms:W3CDTF">2026-02-24T15:25:00Z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