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B9154" w14:textId="77777777" w:rsidR="003E05AC" w:rsidRDefault="003E05AC" w:rsidP="003E05AC">
      <w:pPr>
        <w:rPr>
          <w:rFonts w:cs="Calibri"/>
        </w:rPr>
      </w:pPr>
      <w:bookmarkStart w:id="0" w:name="_Toc343429583"/>
      <w:r w:rsidRPr="000D539D">
        <w:rPr>
          <w:noProof/>
          <w:lang w:val="en-US" w:eastAsia="en-US"/>
        </w:rPr>
        <w:drawing>
          <wp:inline distT="0" distB="0" distL="0" distR="0" wp14:anchorId="0C721B39" wp14:editId="108B0518">
            <wp:extent cx="2223135" cy="688340"/>
            <wp:effectExtent l="0" t="0" r="12065" b="0"/>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23135" cy="688340"/>
                    </a:xfrm>
                    <a:prstGeom prst="rect">
                      <a:avLst/>
                    </a:prstGeom>
                    <a:noFill/>
                    <a:ln>
                      <a:noFill/>
                    </a:ln>
                  </pic:spPr>
                </pic:pic>
              </a:graphicData>
            </a:graphic>
          </wp:inline>
        </w:drawing>
      </w:r>
      <w:bookmarkEnd w:id="0"/>
    </w:p>
    <w:p w14:paraId="42531BDB" w14:textId="77777777" w:rsidR="003E05AC" w:rsidRDefault="003E05AC" w:rsidP="003E05AC">
      <w:pPr>
        <w:rPr>
          <w:rFonts w:ascii="Cambria" w:hAnsi="Cambria"/>
          <w:b/>
          <w:bCs/>
          <w:sz w:val="56"/>
        </w:rPr>
      </w:pPr>
    </w:p>
    <w:p w14:paraId="09608052" w14:textId="77777777" w:rsidR="00295867" w:rsidRDefault="00295867" w:rsidP="003E05AC">
      <w:pPr>
        <w:rPr>
          <w:rFonts w:ascii="Cambria" w:hAnsi="Cambria"/>
          <w:b/>
          <w:bCs/>
          <w:sz w:val="56"/>
        </w:rPr>
      </w:pPr>
    </w:p>
    <w:p w14:paraId="56278282" w14:textId="77777777" w:rsidR="003E05AC" w:rsidRDefault="003E05AC" w:rsidP="00B93C81">
      <w:pPr>
        <w:spacing w:after="120"/>
        <w:jc w:val="center"/>
        <w:rPr>
          <w:rFonts w:ascii="Cambria Math" w:hAnsi="Cambria Math"/>
          <w:b/>
          <w:bCs/>
          <w:sz w:val="48"/>
        </w:rPr>
      </w:pPr>
      <w:r w:rsidRPr="00AD4C2F">
        <w:rPr>
          <w:rFonts w:ascii="Cambria Math" w:hAnsi="Cambria Math"/>
          <w:b/>
          <w:bCs/>
          <w:sz w:val="48"/>
        </w:rPr>
        <w:t>SBMA71</w:t>
      </w:r>
      <w:r>
        <w:rPr>
          <w:rFonts w:ascii="Cambria Math" w:hAnsi="Cambria Math"/>
          <w:b/>
          <w:bCs/>
          <w:sz w:val="48"/>
        </w:rPr>
        <w:t>0</w:t>
      </w:r>
      <w:r w:rsidR="005371C6">
        <w:rPr>
          <w:rFonts w:ascii="Cambria Math" w:hAnsi="Cambria Math"/>
          <w:b/>
          <w:bCs/>
          <w:sz w:val="48"/>
        </w:rPr>
        <w:t>0</w:t>
      </w:r>
      <w:r w:rsidRPr="00AD4C2F">
        <w:rPr>
          <w:rFonts w:ascii="Cambria Math" w:hAnsi="Cambria Math"/>
          <w:b/>
          <w:bCs/>
          <w:sz w:val="48"/>
        </w:rPr>
        <w:t>D</w:t>
      </w:r>
      <w:r>
        <w:rPr>
          <w:rFonts w:ascii="Cambria Math" w:hAnsi="Cambria Math"/>
          <w:b/>
          <w:bCs/>
          <w:sz w:val="48"/>
        </w:rPr>
        <w:t xml:space="preserve">: </w:t>
      </w:r>
    </w:p>
    <w:p w14:paraId="44C6A252" w14:textId="77777777" w:rsidR="003E05AC" w:rsidRPr="006C1B61" w:rsidRDefault="005371C6" w:rsidP="00B93C81">
      <w:pPr>
        <w:spacing w:after="240"/>
        <w:jc w:val="center"/>
        <w:rPr>
          <w:rFonts w:ascii="Cambria Math" w:hAnsi="Cambria Math"/>
          <w:b/>
          <w:bCs/>
          <w:sz w:val="48"/>
        </w:rPr>
      </w:pPr>
      <w:r>
        <w:rPr>
          <w:rFonts w:ascii="Cambria Math" w:hAnsi="Cambria Math"/>
          <w:b/>
          <w:bCs/>
          <w:sz w:val="48"/>
        </w:rPr>
        <w:t>Financial Management</w:t>
      </w:r>
    </w:p>
    <w:p w14:paraId="134E0F9D" w14:textId="77777777" w:rsidR="003E05AC" w:rsidRPr="00AD4C2F" w:rsidRDefault="003E05AC" w:rsidP="003E05AC">
      <w:pPr>
        <w:jc w:val="center"/>
        <w:rPr>
          <w:rFonts w:ascii="Cambria Math" w:hAnsi="Cambria Math"/>
          <w:b/>
          <w:bCs/>
          <w:i/>
          <w:sz w:val="28"/>
          <w:szCs w:val="28"/>
        </w:rPr>
      </w:pPr>
      <w:r w:rsidRPr="00AD4C2F">
        <w:rPr>
          <w:rFonts w:ascii="Cambria Math" w:hAnsi="Cambria Math"/>
          <w:b/>
          <w:bCs/>
          <w:i/>
          <w:sz w:val="28"/>
          <w:szCs w:val="28"/>
        </w:rPr>
        <w:t>(</w:t>
      </w:r>
      <w:r>
        <w:rPr>
          <w:rFonts w:ascii="Cambria Math" w:hAnsi="Cambria Math"/>
          <w:b/>
          <w:bCs/>
          <w:i/>
          <w:sz w:val="28"/>
          <w:szCs w:val="28"/>
        </w:rPr>
        <w:t>Fall/Winter 2018-2019</w:t>
      </w:r>
      <w:r w:rsidRPr="00AD4C2F">
        <w:rPr>
          <w:rFonts w:ascii="Cambria Math" w:hAnsi="Cambria Math"/>
          <w:b/>
          <w:bCs/>
          <w:i/>
          <w:sz w:val="28"/>
          <w:szCs w:val="28"/>
        </w:rPr>
        <w:t>)</w:t>
      </w:r>
    </w:p>
    <w:p w14:paraId="34B9BC1F" w14:textId="77777777" w:rsidR="003E05AC" w:rsidRPr="00A86603" w:rsidRDefault="003E05AC" w:rsidP="003E05AC">
      <w:pPr>
        <w:jc w:val="center"/>
        <w:rPr>
          <w:rFonts w:ascii="Cambria Math" w:hAnsi="Cambria Math"/>
          <w:b/>
          <w:bCs/>
          <w:sz w:val="36"/>
          <w:szCs w:val="36"/>
        </w:rPr>
      </w:pPr>
    </w:p>
    <w:p w14:paraId="5472D30B" w14:textId="77777777" w:rsidR="003E05AC" w:rsidRDefault="003E05AC" w:rsidP="003E05AC">
      <w:pPr>
        <w:jc w:val="center"/>
        <w:rPr>
          <w:rFonts w:ascii="Cambria Math" w:hAnsi="Cambria Math"/>
          <w:b/>
          <w:bCs/>
          <w:sz w:val="36"/>
          <w:szCs w:val="36"/>
        </w:rPr>
      </w:pPr>
    </w:p>
    <w:p w14:paraId="54172868" w14:textId="77777777" w:rsidR="00295867" w:rsidRDefault="00295867" w:rsidP="003E05AC">
      <w:pPr>
        <w:jc w:val="center"/>
        <w:rPr>
          <w:rFonts w:ascii="Cambria Math" w:hAnsi="Cambria Math"/>
          <w:b/>
          <w:bCs/>
          <w:sz w:val="36"/>
          <w:szCs w:val="36"/>
        </w:rPr>
      </w:pPr>
    </w:p>
    <w:p w14:paraId="17760EB3" w14:textId="77777777" w:rsidR="003E05AC" w:rsidRPr="00BF6B26" w:rsidRDefault="005371C6" w:rsidP="003E05AC">
      <w:pPr>
        <w:jc w:val="center"/>
        <w:rPr>
          <w:rFonts w:ascii="Cambria Math" w:hAnsi="Cambria Math"/>
          <w:b/>
          <w:bCs/>
          <w:sz w:val="44"/>
          <w:szCs w:val="36"/>
          <w:u w:val="single"/>
        </w:rPr>
      </w:pPr>
      <w:r>
        <w:rPr>
          <w:rFonts w:ascii="Cambria Math" w:hAnsi="Cambria Math"/>
          <w:b/>
          <w:bCs/>
          <w:sz w:val="44"/>
          <w:szCs w:val="36"/>
          <w:u w:val="single"/>
        </w:rPr>
        <w:t>Assessments Part 1 &amp; 2</w:t>
      </w:r>
      <w:r w:rsidR="003E05AC" w:rsidRPr="00BF6B26">
        <w:rPr>
          <w:rFonts w:ascii="Cambria Math" w:hAnsi="Cambria Math"/>
          <w:b/>
          <w:bCs/>
          <w:sz w:val="44"/>
          <w:szCs w:val="36"/>
          <w:u w:val="single"/>
        </w:rPr>
        <w:t>:</w:t>
      </w:r>
    </w:p>
    <w:p w14:paraId="271EB89A" w14:textId="77777777" w:rsidR="003E05AC" w:rsidRDefault="003E05AC" w:rsidP="003E05AC">
      <w:pPr>
        <w:rPr>
          <w:rFonts w:ascii="Cambria Math" w:hAnsi="Cambria Math"/>
          <w:b/>
          <w:bCs/>
          <w:sz w:val="36"/>
          <w:szCs w:val="36"/>
        </w:rPr>
      </w:pPr>
    </w:p>
    <w:p w14:paraId="609CC209" w14:textId="77777777" w:rsidR="005371C6" w:rsidRPr="00A86603" w:rsidRDefault="005371C6" w:rsidP="003E05AC">
      <w:pPr>
        <w:rPr>
          <w:rFonts w:ascii="Cambria Math" w:hAnsi="Cambria Math"/>
          <w:b/>
          <w:bCs/>
          <w:sz w:val="36"/>
          <w:szCs w:val="36"/>
        </w:rPr>
      </w:pPr>
    </w:p>
    <w:p w14:paraId="78CCC828" w14:textId="77777777" w:rsidR="005371C6" w:rsidRDefault="005371C6" w:rsidP="003E05AC">
      <w:pPr>
        <w:spacing w:after="240"/>
        <w:jc w:val="center"/>
        <w:rPr>
          <w:rFonts w:ascii="Cambria Math" w:hAnsi="Cambria Math" w:cs="Calibri"/>
          <w:b/>
          <w:sz w:val="48"/>
        </w:rPr>
      </w:pPr>
      <w:r>
        <w:rPr>
          <w:rFonts w:ascii="Cambria Math" w:hAnsi="Cambria Math" w:cs="Calibri"/>
          <w:b/>
          <w:sz w:val="48"/>
        </w:rPr>
        <w:t xml:space="preserve">Part 1: </w:t>
      </w:r>
      <w:proofErr w:type="spellStart"/>
      <w:r>
        <w:rPr>
          <w:rFonts w:ascii="Cambria Math" w:hAnsi="Cambria Math" w:cs="Calibri"/>
          <w:b/>
          <w:sz w:val="48"/>
        </w:rPr>
        <w:t>easyJet</w:t>
      </w:r>
      <w:proofErr w:type="spellEnd"/>
      <w:r>
        <w:rPr>
          <w:rFonts w:ascii="Cambria Math" w:hAnsi="Cambria Math" w:cs="Calibri"/>
          <w:b/>
          <w:sz w:val="48"/>
        </w:rPr>
        <w:t xml:space="preserve"> </w:t>
      </w:r>
    </w:p>
    <w:p w14:paraId="63278E28" w14:textId="77777777" w:rsidR="005371C6" w:rsidRDefault="005371C6" w:rsidP="005371C6">
      <w:pPr>
        <w:spacing w:after="240"/>
        <w:jc w:val="center"/>
        <w:rPr>
          <w:rFonts w:ascii="Cambria Math" w:hAnsi="Cambria Math" w:cs="Calibri"/>
          <w:b/>
          <w:sz w:val="48"/>
        </w:rPr>
      </w:pPr>
    </w:p>
    <w:p w14:paraId="7F857675" w14:textId="77777777" w:rsidR="003E05AC" w:rsidRPr="00BF6B26" w:rsidRDefault="005371C6" w:rsidP="005371C6">
      <w:pPr>
        <w:spacing w:after="240"/>
        <w:jc w:val="center"/>
        <w:rPr>
          <w:rFonts w:ascii="Cambria Math" w:hAnsi="Cambria Math" w:cs="Calibri"/>
          <w:b/>
          <w:sz w:val="48"/>
        </w:rPr>
      </w:pPr>
      <w:r>
        <w:rPr>
          <w:rFonts w:ascii="Cambria Math" w:hAnsi="Cambria Math" w:cs="Calibri"/>
          <w:b/>
          <w:sz w:val="48"/>
        </w:rPr>
        <w:t xml:space="preserve">Part 2: </w:t>
      </w:r>
      <w:r w:rsidR="003E05AC">
        <w:rPr>
          <w:rFonts w:ascii="Cambria Math" w:hAnsi="Cambria Math" w:cs="Calibri"/>
          <w:b/>
          <w:sz w:val="48"/>
        </w:rPr>
        <w:t>James PLC</w:t>
      </w:r>
      <w:r w:rsidR="003E05AC" w:rsidRPr="00141115">
        <w:rPr>
          <w:rFonts w:ascii="Cambria Math" w:hAnsi="Cambria Math" w:cs="Calibri"/>
          <w:b/>
          <w:sz w:val="48"/>
        </w:rPr>
        <w:t xml:space="preserve"> </w:t>
      </w:r>
    </w:p>
    <w:p w14:paraId="3E1E7638" w14:textId="77777777" w:rsidR="003E05AC" w:rsidRDefault="003E05AC" w:rsidP="003E05AC">
      <w:pPr>
        <w:jc w:val="center"/>
        <w:rPr>
          <w:rFonts w:ascii="Cambria" w:hAnsi="Cambria"/>
          <w:b/>
          <w:bCs/>
          <w:sz w:val="56"/>
        </w:rPr>
      </w:pPr>
    </w:p>
    <w:p w14:paraId="31AA04CE" w14:textId="77777777" w:rsidR="003E05AC" w:rsidRDefault="003E05AC" w:rsidP="003E05AC">
      <w:pPr>
        <w:spacing w:after="240"/>
        <w:jc w:val="center"/>
        <w:rPr>
          <w:rFonts w:ascii="Cambria Math" w:hAnsi="Cambria Math"/>
          <w:bCs/>
        </w:rPr>
      </w:pPr>
    </w:p>
    <w:p w14:paraId="62873118" w14:textId="77777777" w:rsidR="003E05AC" w:rsidRDefault="003E05AC" w:rsidP="003E05AC">
      <w:pPr>
        <w:spacing w:after="240"/>
        <w:jc w:val="center"/>
        <w:rPr>
          <w:rFonts w:ascii="Cambria Math" w:hAnsi="Cambria Math"/>
          <w:bCs/>
        </w:rPr>
      </w:pPr>
    </w:p>
    <w:p w14:paraId="1E3FC142" w14:textId="77777777" w:rsidR="003E05AC" w:rsidRPr="009622D5" w:rsidRDefault="003E05AC" w:rsidP="003E05AC">
      <w:pPr>
        <w:spacing w:after="240"/>
        <w:rPr>
          <w:rFonts w:ascii="Cambria Math" w:hAnsi="Cambria Math"/>
          <w:bCs/>
        </w:rPr>
      </w:pPr>
    </w:p>
    <w:p w14:paraId="0EE5BEF2" w14:textId="77777777" w:rsidR="003E05AC" w:rsidRPr="003A3C8B" w:rsidRDefault="003E05AC" w:rsidP="003E05AC">
      <w:pPr>
        <w:spacing w:after="120"/>
        <w:jc w:val="right"/>
        <w:rPr>
          <w:rFonts w:ascii="Cambria Math" w:hAnsi="Cambria Math"/>
          <w:bCs/>
        </w:rPr>
      </w:pPr>
      <w:r w:rsidRPr="003A3C8B">
        <w:rPr>
          <w:rFonts w:ascii="Cambria Math" w:hAnsi="Cambria Math"/>
          <w:bCs/>
        </w:rPr>
        <w:t>Student: Kyle DeFreitas</w:t>
      </w:r>
    </w:p>
    <w:p w14:paraId="1EDB05B6" w14:textId="77777777" w:rsidR="003E05AC" w:rsidRPr="003A3C8B" w:rsidRDefault="003E05AC" w:rsidP="003E05AC">
      <w:pPr>
        <w:spacing w:after="120"/>
        <w:jc w:val="right"/>
        <w:rPr>
          <w:rFonts w:ascii="Cambria Math" w:hAnsi="Cambria Math"/>
          <w:bCs/>
        </w:rPr>
      </w:pPr>
      <w:r w:rsidRPr="003A3C8B">
        <w:rPr>
          <w:rFonts w:ascii="Cambria Math" w:hAnsi="Cambria Math"/>
          <w:bCs/>
        </w:rPr>
        <w:t>Student #: 1704706</w:t>
      </w:r>
    </w:p>
    <w:p w14:paraId="5376C8A5" w14:textId="38DEAB91" w:rsidR="003E05AC" w:rsidRPr="004126CD" w:rsidRDefault="003E05AC" w:rsidP="00295867">
      <w:pPr>
        <w:spacing w:after="120"/>
        <w:jc w:val="right"/>
        <w:rPr>
          <w:rFonts w:ascii="Cambria Math" w:hAnsi="Cambria Math" w:cs="Calibri"/>
        </w:rPr>
      </w:pPr>
      <w:r w:rsidRPr="004126CD">
        <w:rPr>
          <w:rFonts w:ascii="Cambria Math" w:hAnsi="Cambria Math" w:cs="Calibri"/>
        </w:rPr>
        <w:t>Word Count</w:t>
      </w:r>
      <w:r w:rsidR="005371C6" w:rsidRPr="004126CD">
        <w:rPr>
          <w:rFonts w:ascii="Cambria Math" w:hAnsi="Cambria Math" w:cs="Calibri"/>
        </w:rPr>
        <w:t xml:space="preserve"> Part 1</w:t>
      </w:r>
      <w:r w:rsidRPr="004126CD">
        <w:rPr>
          <w:rFonts w:ascii="Cambria Math" w:hAnsi="Cambria Math" w:cs="Calibri"/>
        </w:rPr>
        <w:t xml:space="preserve">:  </w:t>
      </w:r>
      <w:r w:rsidR="00C44F68" w:rsidRPr="004126CD">
        <w:rPr>
          <w:rFonts w:ascii="Cambria Math" w:hAnsi="Cambria Math" w:cs="Calibri"/>
          <w:color w:val="000000" w:themeColor="text1"/>
        </w:rPr>
        <w:t>2,</w:t>
      </w:r>
      <w:r w:rsidR="004126CD" w:rsidRPr="004126CD">
        <w:rPr>
          <w:rFonts w:ascii="Cambria Math" w:hAnsi="Cambria Math" w:cs="Calibri"/>
          <w:color w:val="000000" w:themeColor="text1"/>
        </w:rPr>
        <w:t>66</w:t>
      </w:r>
      <w:r w:rsidR="0079734A">
        <w:rPr>
          <w:rFonts w:ascii="Cambria Math" w:hAnsi="Cambria Math" w:cs="Calibri"/>
          <w:color w:val="000000" w:themeColor="text1"/>
        </w:rPr>
        <w:t>0</w:t>
      </w:r>
    </w:p>
    <w:p w14:paraId="0EFC3E42" w14:textId="41B20573" w:rsidR="005371C6" w:rsidRDefault="005371C6" w:rsidP="005371C6">
      <w:pPr>
        <w:spacing w:after="240"/>
        <w:jc w:val="right"/>
        <w:rPr>
          <w:rFonts w:ascii="Times" w:hAnsi="Times" w:cs="Arial"/>
          <w:b/>
          <w:sz w:val="22"/>
          <w:szCs w:val="22"/>
        </w:rPr>
        <w:sectPr w:rsidR="005371C6" w:rsidSect="008206B9">
          <w:footerReference w:type="even" r:id="rId10"/>
          <w:footerReference w:type="default" r:id="rId11"/>
          <w:pgSz w:w="12240" w:h="15840"/>
          <w:pgMar w:top="1440" w:right="1440" w:bottom="1440" w:left="1440" w:header="708" w:footer="708" w:gutter="0"/>
          <w:cols w:space="708"/>
          <w:docGrid w:linePitch="360"/>
        </w:sectPr>
      </w:pPr>
      <w:r w:rsidRPr="004126CD">
        <w:rPr>
          <w:rFonts w:ascii="Cambria Math" w:hAnsi="Cambria Math" w:cs="Calibri"/>
        </w:rPr>
        <w:t>Word Count</w:t>
      </w:r>
      <w:r w:rsidR="006C7BFC" w:rsidRPr="004126CD">
        <w:rPr>
          <w:rFonts w:ascii="Cambria Math" w:hAnsi="Cambria Math" w:cs="Calibri"/>
        </w:rPr>
        <w:t xml:space="preserve"> Part 2</w:t>
      </w:r>
      <w:r w:rsidRPr="004126CD">
        <w:rPr>
          <w:rFonts w:ascii="Cambria Math" w:hAnsi="Cambria Math" w:cs="Calibri"/>
        </w:rPr>
        <w:t xml:space="preserve">:  </w:t>
      </w:r>
      <w:r w:rsidR="00564DB2" w:rsidRPr="004126CD">
        <w:rPr>
          <w:rFonts w:ascii="Cambria Math" w:hAnsi="Cambria Math" w:cs="Calibri"/>
        </w:rPr>
        <w:t>2,6</w:t>
      </w:r>
      <w:r w:rsidR="00B66A9F" w:rsidRPr="004126CD">
        <w:rPr>
          <w:rFonts w:ascii="Cambria Math" w:hAnsi="Cambria Math" w:cs="Calibri"/>
        </w:rPr>
        <w:t>68</w:t>
      </w:r>
    </w:p>
    <w:sdt>
      <w:sdtPr>
        <w:rPr>
          <w:rFonts w:ascii="Times New Roman" w:eastAsia="Times New Roman" w:hAnsi="Times New Roman" w:cs="Times New Roman"/>
          <w:b w:val="0"/>
          <w:bCs w:val="0"/>
          <w:color w:val="auto"/>
          <w:sz w:val="20"/>
          <w:szCs w:val="20"/>
          <w:lang w:val="en-GB" w:eastAsia="en-GB"/>
        </w:rPr>
        <w:id w:val="719634379"/>
        <w:docPartObj>
          <w:docPartGallery w:val="Table of Contents"/>
          <w:docPartUnique/>
        </w:docPartObj>
      </w:sdtPr>
      <w:sdtEndPr>
        <w:rPr>
          <w:noProof/>
        </w:rPr>
      </w:sdtEndPr>
      <w:sdtContent>
        <w:p w14:paraId="3AD7A8DE" w14:textId="5B92DA81" w:rsidR="00B837D6" w:rsidRPr="00C7553C" w:rsidRDefault="00895CB6" w:rsidP="00C7553C">
          <w:pPr>
            <w:pStyle w:val="TOCHeading"/>
            <w:spacing w:before="240" w:after="120"/>
            <w:ind w:left="426" w:hanging="426"/>
            <w:jc w:val="center"/>
            <w:rPr>
              <w:rFonts w:ascii="Times" w:hAnsi="Times"/>
            </w:rPr>
          </w:pPr>
          <w:r w:rsidRPr="00C7553C">
            <w:rPr>
              <w:rFonts w:ascii="Times" w:hAnsi="Times"/>
              <w:color w:val="000000" w:themeColor="text1"/>
              <w:u w:val="single"/>
            </w:rPr>
            <w:t>Table of Contents</w:t>
          </w:r>
        </w:p>
        <w:p w14:paraId="5C1DA202" w14:textId="77777777" w:rsidR="00442E8B" w:rsidRPr="009C083D" w:rsidRDefault="00895CB6" w:rsidP="009C083D">
          <w:pPr>
            <w:pStyle w:val="TOC1"/>
            <w:rPr>
              <w:rFonts w:eastAsiaTheme="minorEastAsia" w:cstheme="minorBidi"/>
              <w:lang w:val="en-US" w:eastAsia="en-US"/>
            </w:rPr>
          </w:pPr>
          <w:r w:rsidRPr="009C083D">
            <w:fldChar w:fldCharType="begin"/>
          </w:r>
          <w:r w:rsidRPr="009C083D">
            <w:instrText xml:space="preserve"> TOC \o "1-3" \h \z \u </w:instrText>
          </w:r>
          <w:r w:rsidRPr="009C083D">
            <w:fldChar w:fldCharType="separate"/>
          </w:r>
          <w:hyperlink w:anchor="_Toc535615913" w:history="1">
            <w:r w:rsidR="00442E8B" w:rsidRPr="009C083D">
              <w:rPr>
                <w:rStyle w:val="Hyperlink"/>
                <w:szCs w:val="21"/>
              </w:rPr>
              <w:t>Assessment 1: EasyJet</w:t>
            </w:r>
            <w:r w:rsidR="00442E8B" w:rsidRPr="009C083D">
              <w:rPr>
                <w:webHidden/>
              </w:rPr>
              <w:tab/>
            </w:r>
            <w:r w:rsidR="00442E8B" w:rsidRPr="009C083D">
              <w:rPr>
                <w:webHidden/>
              </w:rPr>
              <w:fldChar w:fldCharType="begin"/>
            </w:r>
            <w:r w:rsidR="00442E8B" w:rsidRPr="009C083D">
              <w:rPr>
                <w:webHidden/>
              </w:rPr>
              <w:instrText xml:space="preserve"> PAGEREF _Toc535615913 \h </w:instrText>
            </w:r>
            <w:r w:rsidR="00442E8B" w:rsidRPr="009C083D">
              <w:rPr>
                <w:webHidden/>
              </w:rPr>
            </w:r>
            <w:r w:rsidR="00442E8B" w:rsidRPr="009C083D">
              <w:rPr>
                <w:webHidden/>
              </w:rPr>
              <w:fldChar w:fldCharType="separate"/>
            </w:r>
            <w:r w:rsidR="00DC3C36">
              <w:rPr>
                <w:webHidden/>
              </w:rPr>
              <w:t>3</w:t>
            </w:r>
            <w:r w:rsidR="00442E8B" w:rsidRPr="009C083D">
              <w:rPr>
                <w:webHidden/>
              </w:rPr>
              <w:fldChar w:fldCharType="end"/>
            </w:r>
          </w:hyperlink>
        </w:p>
        <w:p w14:paraId="77DCFE9D" w14:textId="77777777" w:rsidR="00442E8B" w:rsidRPr="00DC3C36" w:rsidRDefault="00102E32" w:rsidP="009C083D">
          <w:pPr>
            <w:pStyle w:val="TOC1"/>
            <w:rPr>
              <w:rFonts w:eastAsiaTheme="minorEastAsia" w:cstheme="minorBidi"/>
              <w:sz w:val="22"/>
              <w:szCs w:val="22"/>
              <w:lang w:val="en-US" w:eastAsia="en-US"/>
            </w:rPr>
          </w:pPr>
          <w:hyperlink w:anchor="_Toc535615914" w:history="1">
            <w:r w:rsidR="00442E8B" w:rsidRPr="00DC3C36">
              <w:rPr>
                <w:rStyle w:val="Hyperlink"/>
                <w:sz w:val="22"/>
                <w:szCs w:val="22"/>
              </w:rPr>
              <w:t>Executive Summary</w:t>
            </w:r>
            <w:r w:rsidR="00442E8B" w:rsidRPr="00DC3C36">
              <w:rPr>
                <w:webHidden/>
                <w:sz w:val="22"/>
                <w:szCs w:val="22"/>
              </w:rPr>
              <w:tab/>
            </w:r>
            <w:r w:rsidR="00442E8B" w:rsidRPr="00DC3C36">
              <w:rPr>
                <w:webHidden/>
                <w:sz w:val="22"/>
                <w:szCs w:val="22"/>
              </w:rPr>
              <w:fldChar w:fldCharType="begin"/>
            </w:r>
            <w:r w:rsidR="00442E8B" w:rsidRPr="00DC3C36">
              <w:rPr>
                <w:webHidden/>
                <w:sz w:val="22"/>
                <w:szCs w:val="22"/>
              </w:rPr>
              <w:instrText xml:space="preserve"> PAGEREF _Toc535615914 \h </w:instrText>
            </w:r>
            <w:r w:rsidR="00442E8B" w:rsidRPr="00DC3C36">
              <w:rPr>
                <w:webHidden/>
                <w:sz w:val="22"/>
                <w:szCs w:val="22"/>
              </w:rPr>
            </w:r>
            <w:r w:rsidR="00442E8B" w:rsidRPr="00DC3C36">
              <w:rPr>
                <w:webHidden/>
                <w:sz w:val="22"/>
                <w:szCs w:val="22"/>
              </w:rPr>
              <w:fldChar w:fldCharType="separate"/>
            </w:r>
            <w:r w:rsidR="00DC3C36">
              <w:rPr>
                <w:webHidden/>
                <w:sz w:val="22"/>
                <w:szCs w:val="22"/>
              </w:rPr>
              <w:t>4</w:t>
            </w:r>
            <w:r w:rsidR="00442E8B" w:rsidRPr="00DC3C36">
              <w:rPr>
                <w:webHidden/>
                <w:sz w:val="22"/>
                <w:szCs w:val="22"/>
              </w:rPr>
              <w:fldChar w:fldCharType="end"/>
            </w:r>
          </w:hyperlink>
        </w:p>
        <w:p w14:paraId="7420CFB5" w14:textId="77777777" w:rsidR="00442E8B" w:rsidRPr="00DC3C36" w:rsidRDefault="00102E32" w:rsidP="009C083D">
          <w:pPr>
            <w:pStyle w:val="TOC1"/>
            <w:rPr>
              <w:rFonts w:eastAsiaTheme="minorEastAsia" w:cstheme="minorBidi"/>
              <w:sz w:val="22"/>
              <w:szCs w:val="22"/>
              <w:lang w:val="en-US" w:eastAsia="en-US"/>
            </w:rPr>
          </w:pPr>
          <w:hyperlink w:anchor="_Toc535615915" w:history="1">
            <w:r w:rsidR="00442E8B" w:rsidRPr="00DC3C36">
              <w:rPr>
                <w:rStyle w:val="Hyperlink"/>
                <w:sz w:val="22"/>
                <w:szCs w:val="22"/>
              </w:rPr>
              <w:t>1.</w:t>
            </w:r>
            <w:r w:rsidR="00442E8B" w:rsidRPr="00DC3C36">
              <w:rPr>
                <w:rFonts w:eastAsiaTheme="minorEastAsia" w:cstheme="minorBidi"/>
                <w:sz w:val="22"/>
                <w:szCs w:val="22"/>
                <w:lang w:val="en-US" w:eastAsia="en-US"/>
              </w:rPr>
              <w:tab/>
            </w:r>
            <w:r w:rsidR="00442E8B" w:rsidRPr="00DC3C36">
              <w:rPr>
                <w:rStyle w:val="Hyperlink"/>
                <w:sz w:val="22"/>
                <w:szCs w:val="22"/>
              </w:rPr>
              <w:t>Introduction</w:t>
            </w:r>
            <w:r w:rsidR="00442E8B" w:rsidRPr="00DC3C36">
              <w:rPr>
                <w:webHidden/>
                <w:sz w:val="22"/>
                <w:szCs w:val="22"/>
              </w:rPr>
              <w:tab/>
            </w:r>
            <w:r w:rsidR="00442E8B" w:rsidRPr="00DC3C36">
              <w:rPr>
                <w:webHidden/>
                <w:sz w:val="22"/>
                <w:szCs w:val="22"/>
              </w:rPr>
              <w:fldChar w:fldCharType="begin"/>
            </w:r>
            <w:r w:rsidR="00442E8B" w:rsidRPr="00DC3C36">
              <w:rPr>
                <w:webHidden/>
                <w:sz w:val="22"/>
                <w:szCs w:val="22"/>
              </w:rPr>
              <w:instrText xml:space="preserve"> PAGEREF _Toc535615915 \h </w:instrText>
            </w:r>
            <w:r w:rsidR="00442E8B" w:rsidRPr="00DC3C36">
              <w:rPr>
                <w:webHidden/>
                <w:sz w:val="22"/>
                <w:szCs w:val="22"/>
              </w:rPr>
            </w:r>
            <w:r w:rsidR="00442E8B" w:rsidRPr="00DC3C36">
              <w:rPr>
                <w:webHidden/>
                <w:sz w:val="22"/>
                <w:szCs w:val="22"/>
              </w:rPr>
              <w:fldChar w:fldCharType="separate"/>
            </w:r>
            <w:r w:rsidR="00DC3C36">
              <w:rPr>
                <w:webHidden/>
                <w:sz w:val="22"/>
                <w:szCs w:val="22"/>
              </w:rPr>
              <w:t>4</w:t>
            </w:r>
            <w:r w:rsidR="00442E8B" w:rsidRPr="00DC3C36">
              <w:rPr>
                <w:webHidden/>
                <w:sz w:val="22"/>
                <w:szCs w:val="22"/>
              </w:rPr>
              <w:fldChar w:fldCharType="end"/>
            </w:r>
          </w:hyperlink>
        </w:p>
        <w:p w14:paraId="29CD4A91" w14:textId="77777777" w:rsidR="00442E8B" w:rsidRPr="00DC3C36" w:rsidRDefault="00102E32" w:rsidP="009C083D">
          <w:pPr>
            <w:pStyle w:val="TOC1"/>
            <w:rPr>
              <w:rFonts w:eastAsiaTheme="minorEastAsia" w:cstheme="minorBidi"/>
              <w:sz w:val="22"/>
              <w:szCs w:val="22"/>
              <w:lang w:val="en-US" w:eastAsia="en-US"/>
            </w:rPr>
          </w:pPr>
          <w:hyperlink w:anchor="_Toc535615916" w:history="1">
            <w:r w:rsidR="00442E8B" w:rsidRPr="00DC3C36">
              <w:rPr>
                <w:rStyle w:val="Hyperlink"/>
                <w:sz w:val="22"/>
                <w:szCs w:val="22"/>
              </w:rPr>
              <w:t>2.</w:t>
            </w:r>
            <w:r w:rsidR="00442E8B" w:rsidRPr="00DC3C36">
              <w:rPr>
                <w:rFonts w:eastAsiaTheme="minorEastAsia" w:cstheme="minorBidi"/>
                <w:sz w:val="22"/>
                <w:szCs w:val="22"/>
                <w:lang w:val="en-US" w:eastAsia="en-US"/>
              </w:rPr>
              <w:tab/>
            </w:r>
            <w:r w:rsidR="00442E8B" w:rsidRPr="00DC3C36">
              <w:rPr>
                <w:rStyle w:val="Hyperlink"/>
                <w:sz w:val="22"/>
                <w:szCs w:val="22"/>
              </w:rPr>
              <w:t>EasyJet 5-Year Ratio Results</w:t>
            </w:r>
            <w:r w:rsidR="00442E8B" w:rsidRPr="00DC3C36">
              <w:rPr>
                <w:webHidden/>
                <w:sz w:val="22"/>
                <w:szCs w:val="22"/>
              </w:rPr>
              <w:tab/>
            </w:r>
            <w:r w:rsidR="00442E8B" w:rsidRPr="00DC3C36">
              <w:rPr>
                <w:webHidden/>
                <w:sz w:val="22"/>
                <w:szCs w:val="22"/>
              </w:rPr>
              <w:fldChar w:fldCharType="begin"/>
            </w:r>
            <w:r w:rsidR="00442E8B" w:rsidRPr="00DC3C36">
              <w:rPr>
                <w:webHidden/>
                <w:sz w:val="22"/>
                <w:szCs w:val="22"/>
              </w:rPr>
              <w:instrText xml:space="preserve"> PAGEREF _Toc535615916 \h </w:instrText>
            </w:r>
            <w:r w:rsidR="00442E8B" w:rsidRPr="00DC3C36">
              <w:rPr>
                <w:webHidden/>
                <w:sz w:val="22"/>
                <w:szCs w:val="22"/>
              </w:rPr>
            </w:r>
            <w:r w:rsidR="00442E8B" w:rsidRPr="00DC3C36">
              <w:rPr>
                <w:webHidden/>
                <w:sz w:val="22"/>
                <w:szCs w:val="22"/>
              </w:rPr>
              <w:fldChar w:fldCharType="separate"/>
            </w:r>
            <w:r w:rsidR="00DC3C36">
              <w:rPr>
                <w:webHidden/>
                <w:sz w:val="22"/>
                <w:szCs w:val="22"/>
              </w:rPr>
              <w:t>6</w:t>
            </w:r>
            <w:r w:rsidR="00442E8B" w:rsidRPr="00DC3C36">
              <w:rPr>
                <w:webHidden/>
                <w:sz w:val="22"/>
                <w:szCs w:val="22"/>
              </w:rPr>
              <w:fldChar w:fldCharType="end"/>
            </w:r>
          </w:hyperlink>
        </w:p>
        <w:p w14:paraId="43B2613C" w14:textId="77777777" w:rsidR="00442E8B" w:rsidRPr="00DC3C36" w:rsidRDefault="00102E32" w:rsidP="009C083D">
          <w:pPr>
            <w:pStyle w:val="TOC1"/>
            <w:rPr>
              <w:rFonts w:eastAsiaTheme="minorEastAsia" w:cstheme="minorBidi"/>
              <w:sz w:val="22"/>
              <w:szCs w:val="22"/>
              <w:lang w:val="en-US" w:eastAsia="en-US"/>
            </w:rPr>
          </w:pPr>
          <w:hyperlink w:anchor="_Toc535615917" w:history="1">
            <w:r w:rsidR="00442E8B" w:rsidRPr="00DC3C36">
              <w:rPr>
                <w:rStyle w:val="Hyperlink"/>
                <w:sz w:val="22"/>
                <w:szCs w:val="22"/>
              </w:rPr>
              <w:t>3.</w:t>
            </w:r>
            <w:r w:rsidR="00442E8B" w:rsidRPr="00DC3C36">
              <w:rPr>
                <w:rFonts w:eastAsiaTheme="minorEastAsia" w:cstheme="minorBidi"/>
                <w:sz w:val="22"/>
                <w:szCs w:val="22"/>
                <w:lang w:val="en-US" w:eastAsia="en-US"/>
              </w:rPr>
              <w:tab/>
            </w:r>
            <w:r w:rsidR="00442E8B" w:rsidRPr="00DC3C36">
              <w:rPr>
                <w:rStyle w:val="Hyperlink"/>
                <w:sz w:val="22"/>
                <w:szCs w:val="22"/>
              </w:rPr>
              <w:t>Analysis of EasyJet’s 5-Year Ratio Results</w:t>
            </w:r>
            <w:r w:rsidR="00442E8B" w:rsidRPr="00DC3C36">
              <w:rPr>
                <w:webHidden/>
                <w:sz w:val="22"/>
                <w:szCs w:val="22"/>
              </w:rPr>
              <w:tab/>
            </w:r>
            <w:r w:rsidR="00442E8B" w:rsidRPr="00DC3C36">
              <w:rPr>
                <w:webHidden/>
                <w:sz w:val="22"/>
                <w:szCs w:val="22"/>
              </w:rPr>
              <w:fldChar w:fldCharType="begin"/>
            </w:r>
            <w:r w:rsidR="00442E8B" w:rsidRPr="00DC3C36">
              <w:rPr>
                <w:webHidden/>
                <w:sz w:val="22"/>
                <w:szCs w:val="22"/>
              </w:rPr>
              <w:instrText xml:space="preserve"> PAGEREF _Toc535615917 \h </w:instrText>
            </w:r>
            <w:r w:rsidR="00442E8B" w:rsidRPr="00DC3C36">
              <w:rPr>
                <w:webHidden/>
                <w:sz w:val="22"/>
                <w:szCs w:val="22"/>
              </w:rPr>
            </w:r>
            <w:r w:rsidR="00442E8B" w:rsidRPr="00DC3C36">
              <w:rPr>
                <w:webHidden/>
                <w:sz w:val="22"/>
                <w:szCs w:val="22"/>
              </w:rPr>
              <w:fldChar w:fldCharType="separate"/>
            </w:r>
            <w:r w:rsidR="00DC3C36">
              <w:rPr>
                <w:webHidden/>
                <w:sz w:val="22"/>
                <w:szCs w:val="22"/>
              </w:rPr>
              <w:t>6</w:t>
            </w:r>
            <w:r w:rsidR="00442E8B" w:rsidRPr="00DC3C36">
              <w:rPr>
                <w:webHidden/>
                <w:sz w:val="22"/>
                <w:szCs w:val="22"/>
              </w:rPr>
              <w:fldChar w:fldCharType="end"/>
            </w:r>
          </w:hyperlink>
        </w:p>
        <w:p w14:paraId="2D491C5B"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18" w:history="1">
            <w:r w:rsidR="00442E8B" w:rsidRPr="009C083D">
              <w:rPr>
                <w:rStyle w:val="Hyperlink"/>
                <w:rFonts w:ascii="Times" w:hAnsi="Times"/>
                <w:noProof/>
                <w:sz w:val="22"/>
                <w:szCs w:val="22"/>
              </w:rPr>
              <w:t>3.1.</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noProof/>
                <w:sz w:val="22"/>
                <w:szCs w:val="22"/>
              </w:rPr>
              <w:t>Limitations of Financial Ratios</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_Toc535615918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6</w:t>
            </w:r>
            <w:r w:rsidR="00442E8B" w:rsidRPr="009C083D">
              <w:rPr>
                <w:rFonts w:ascii="Times" w:hAnsi="Times"/>
                <w:noProof/>
                <w:webHidden/>
                <w:sz w:val="22"/>
                <w:szCs w:val="22"/>
              </w:rPr>
              <w:fldChar w:fldCharType="end"/>
            </w:r>
          </w:hyperlink>
        </w:p>
        <w:p w14:paraId="68D19590"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19" w:history="1">
            <w:r w:rsidR="00442E8B" w:rsidRPr="009C083D">
              <w:rPr>
                <w:rStyle w:val="Hyperlink"/>
                <w:rFonts w:ascii="Times" w:hAnsi="Times"/>
                <w:noProof/>
                <w:sz w:val="22"/>
                <w:szCs w:val="22"/>
              </w:rPr>
              <w:t>3.2.</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noProof/>
                <w:sz w:val="22"/>
                <w:szCs w:val="22"/>
              </w:rPr>
              <w:t>Profitability</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_Toc535615919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8</w:t>
            </w:r>
            <w:r w:rsidR="00442E8B" w:rsidRPr="009C083D">
              <w:rPr>
                <w:rFonts w:ascii="Times" w:hAnsi="Times"/>
                <w:noProof/>
                <w:webHidden/>
                <w:sz w:val="22"/>
                <w:szCs w:val="22"/>
              </w:rPr>
              <w:fldChar w:fldCharType="end"/>
            </w:r>
          </w:hyperlink>
        </w:p>
        <w:p w14:paraId="4B63B298" w14:textId="77777777" w:rsidR="00442E8B" w:rsidRPr="009C083D" w:rsidRDefault="00102E32" w:rsidP="009C083D">
          <w:pPr>
            <w:pStyle w:val="TOC1"/>
            <w:tabs>
              <w:tab w:val="left" w:pos="1134"/>
            </w:tabs>
            <w:ind w:left="1134" w:hanging="567"/>
            <w:rPr>
              <w:rFonts w:eastAsiaTheme="minorEastAsia" w:cstheme="minorBidi"/>
              <w:b w:val="0"/>
              <w:sz w:val="22"/>
              <w:szCs w:val="22"/>
              <w:lang w:val="en-US" w:eastAsia="en-US"/>
            </w:rPr>
          </w:pPr>
          <w:hyperlink w:anchor="_Toc535615920" w:history="1">
            <w:r w:rsidR="00442E8B" w:rsidRPr="009C083D">
              <w:rPr>
                <w:rStyle w:val="Hyperlink"/>
                <w:b w:val="0"/>
                <w:sz w:val="22"/>
                <w:szCs w:val="22"/>
              </w:rPr>
              <w:t>3.3.</w:t>
            </w:r>
            <w:r w:rsidR="00442E8B" w:rsidRPr="009C083D">
              <w:rPr>
                <w:rFonts w:eastAsiaTheme="minorEastAsia" w:cstheme="minorBidi"/>
                <w:b w:val="0"/>
                <w:sz w:val="22"/>
                <w:szCs w:val="22"/>
                <w:lang w:val="en-US" w:eastAsia="en-US"/>
              </w:rPr>
              <w:tab/>
            </w:r>
            <w:r w:rsidR="00442E8B" w:rsidRPr="009C083D">
              <w:rPr>
                <w:rStyle w:val="Hyperlink"/>
                <w:b w:val="0"/>
                <w:sz w:val="22"/>
                <w:szCs w:val="22"/>
              </w:rPr>
              <w:t>Efficiency</w:t>
            </w:r>
            <w:r w:rsidR="00442E8B" w:rsidRPr="009C083D">
              <w:rPr>
                <w:b w:val="0"/>
                <w:webHidden/>
                <w:sz w:val="22"/>
                <w:szCs w:val="22"/>
              </w:rPr>
              <w:tab/>
            </w:r>
            <w:r w:rsidR="00442E8B" w:rsidRPr="009C083D">
              <w:rPr>
                <w:b w:val="0"/>
                <w:webHidden/>
                <w:sz w:val="22"/>
                <w:szCs w:val="22"/>
              </w:rPr>
              <w:fldChar w:fldCharType="begin"/>
            </w:r>
            <w:r w:rsidR="00442E8B" w:rsidRPr="009C083D">
              <w:rPr>
                <w:b w:val="0"/>
                <w:webHidden/>
                <w:sz w:val="22"/>
                <w:szCs w:val="22"/>
              </w:rPr>
              <w:instrText xml:space="preserve"> PAGEREF _Toc535615920 \h </w:instrText>
            </w:r>
            <w:r w:rsidR="00442E8B" w:rsidRPr="009C083D">
              <w:rPr>
                <w:b w:val="0"/>
                <w:webHidden/>
                <w:sz w:val="22"/>
                <w:szCs w:val="22"/>
              </w:rPr>
            </w:r>
            <w:r w:rsidR="00442E8B" w:rsidRPr="009C083D">
              <w:rPr>
                <w:b w:val="0"/>
                <w:webHidden/>
                <w:sz w:val="22"/>
                <w:szCs w:val="22"/>
              </w:rPr>
              <w:fldChar w:fldCharType="separate"/>
            </w:r>
            <w:r w:rsidR="00DC3C36">
              <w:rPr>
                <w:b w:val="0"/>
                <w:webHidden/>
                <w:sz w:val="22"/>
                <w:szCs w:val="22"/>
              </w:rPr>
              <w:t>9</w:t>
            </w:r>
            <w:r w:rsidR="00442E8B" w:rsidRPr="009C083D">
              <w:rPr>
                <w:b w:val="0"/>
                <w:webHidden/>
                <w:sz w:val="22"/>
                <w:szCs w:val="22"/>
              </w:rPr>
              <w:fldChar w:fldCharType="end"/>
            </w:r>
          </w:hyperlink>
        </w:p>
        <w:p w14:paraId="4AC73FAB"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21" w:history="1">
            <w:r w:rsidR="00442E8B" w:rsidRPr="009C083D">
              <w:rPr>
                <w:rStyle w:val="Hyperlink"/>
                <w:rFonts w:ascii="Times" w:hAnsi="Times"/>
                <w:noProof/>
                <w:sz w:val="22"/>
                <w:szCs w:val="22"/>
              </w:rPr>
              <w:t>3.4.</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noProof/>
                <w:sz w:val="22"/>
                <w:szCs w:val="22"/>
              </w:rPr>
              <w:t>Liquidity</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_Toc535615921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10</w:t>
            </w:r>
            <w:r w:rsidR="00442E8B" w:rsidRPr="009C083D">
              <w:rPr>
                <w:rFonts w:ascii="Times" w:hAnsi="Times"/>
                <w:noProof/>
                <w:webHidden/>
                <w:sz w:val="22"/>
                <w:szCs w:val="22"/>
              </w:rPr>
              <w:fldChar w:fldCharType="end"/>
            </w:r>
          </w:hyperlink>
        </w:p>
        <w:p w14:paraId="58E263C7"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22" w:history="1">
            <w:r w:rsidR="00442E8B" w:rsidRPr="009C083D">
              <w:rPr>
                <w:rStyle w:val="Hyperlink"/>
                <w:rFonts w:ascii="Times" w:hAnsi="Times"/>
                <w:noProof/>
                <w:sz w:val="22"/>
                <w:szCs w:val="22"/>
              </w:rPr>
              <w:t>3.5.</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noProof/>
                <w:sz w:val="22"/>
                <w:szCs w:val="22"/>
              </w:rPr>
              <w:t>Investment</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_Toc535615922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10</w:t>
            </w:r>
            <w:r w:rsidR="00442E8B" w:rsidRPr="009C083D">
              <w:rPr>
                <w:rFonts w:ascii="Times" w:hAnsi="Times"/>
                <w:noProof/>
                <w:webHidden/>
                <w:sz w:val="22"/>
                <w:szCs w:val="22"/>
              </w:rPr>
              <w:fldChar w:fldCharType="end"/>
            </w:r>
          </w:hyperlink>
        </w:p>
        <w:p w14:paraId="001AAF46"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23" w:history="1">
            <w:r w:rsidR="00442E8B" w:rsidRPr="009C083D">
              <w:rPr>
                <w:rStyle w:val="Hyperlink"/>
                <w:rFonts w:ascii="Times" w:hAnsi="Times"/>
                <w:noProof/>
                <w:sz w:val="22"/>
                <w:szCs w:val="22"/>
              </w:rPr>
              <w:t>3.6.</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noProof/>
                <w:sz w:val="22"/>
                <w:szCs w:val="22"/>
              </w:rPr>
              <w:t>Gearing</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_Toc535615923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11</w:t>
            </w:r>
            <w:r w:rsidR="00442E8B" w:rsidRPr="009C083D">
              <w:rPr>
                <w:rFonts w:ascii="Times" w:hAnsi="Times"/>
                <w:noProof/>
                <w:webHidden/>
                <w:sz w:val="22"/>
                <w:szCs w:val="22"/>
              </w:rPr>
              <w:fldChar w:fldCharType="end"/>
            </w:r>
          </w:hyperlink>
        </w:p>
        <w:p w14:paraId="1AC2CC13" w14:textId="77777777" w:rsidR="00442E8B" w:rsidRPr="009C083D" w:rsidRDefault="00102E32" w:rsidP="009C083D">
          <w:pPr>
            <w:pStyle w:val="TOC1"/>
            <w:rPr>
              <w:rFonts w:eastAsiaTheme="minorEastAsia" w:cstheme="minorBidi"/>
              <w:sz w:val="22"/>
              <w:szCs w:val="22"/>
              <w:lang w:val="en-US" w:eastAsia="en-US"/>
            </w:rPr>
          </w:pPr>
          <w:hyperlink w:anchor="_Toc535615924" w:history="1">
            <w:r w:rsidR="00442E8B" w:rsidRPr="009C083D">
              <w:rPr>
                <w:rStyle w:val="Hyperlink"/>
                <w:sz w:val="22"/>
                <w:szCs w:val="22"/>
              </w:rPr>
              <w:t>4.</w:t>
            </w:r>
            <w:r w:rsidR="00442E8B" w:rsidRPr="009C083D">
              <w:rPr>
                <w:rFonts w:eastAsiaTheme="minorEastAsia" w:cstheme="minorBidi"/>
                <w:sz w:val="22"/>
                <w:szCs w:val="22"/>
                <w:lang w:val="en-US" w:eastAsia="en-US"/>
              </w:rPr>
              <w:tab/>
            </w:r>
            <w:r w:rsidR="00442E8B" w:rsidRPr="009C083D">
              <w:rPr>
                <w:rStyle w:val="Hyperlink"/>
                <w:sz w:val="22"/>
                <w:szCs w:val="22"/>
              </w:rPr>
              <w:t>Conclusion</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_Toc535615924 \h </w:instrText>
            </w:r>
            <w:r w:rsidR="00442E8B" w:rsidRPr="009C083D">
              <w:rPr>
                <w:webHidden/>
                <w:sz w:val="22"/>
                <w:szCs w:val="22"/>
              </w:rPr>
            </w:r>
            <w:r w:rsidR="00442E8B" w:rsidRPr="009C083D">
              <w:rPr>
                <w:webHidden/>
                <w:sz w:val="22"/>
                <w:szCs w:val="22"/>
              </w:rPr>
              <w:fldChar w:fldCharType="separate"/>
            </w:r>
            <w:r w:rsidR="00DC3C36">
              <w:rPr>
                <w:webHidden/>
                <w:sz w:val="22"/>
                <w:szCs w:val="22"/>
              </w:rPr>
              <w:t>11</w:t>
            </w:r>
            <w:r w:rsidR="00442E8B" w:rsidRPr="009C083D">
              <w:rPr>
                <w:webHidden/>
                <w:sz w:val="22"/>
                <w:szCs w:val="22"/>
              </w:rPr>
              <w:fldChar w:fldCharType="end"/>
            </w:r>
          </w:hyperlink>
        </w:p>
        <w:p w14:paraId="3E1BBEDC" w14:textId="77777777" w:rsidR="00442E8B" w:rsidRPr="009C083D" w:rsidRDefault="00102E32" w:rsidP="009C083D">
          <w:pPr>
            <w:pStyle w:val="TOC1"/>
            <w:rPr>
              <w:rFonts w:eastAsiaTheme="minorEastAsia" w:cstheme="minorBidi"/>
              <w:sz w:val="22"/>
              <w:szCs w:val="22"/>
              <w:lang w:val="en-US" w:eastAsia="en-US"/>
            </w:rPr>
          </w:pPr>
          <w:hyperlink w:anchor="_Toc535615925" w:history="1">
            <w:r w:rsidR="00442E8B" w:rsidRPr="009C083D">
              <w:rPr>
                <w:rStyle w:val="Hyperlink"/>
                <w:sz w:val="22"/>
                <w:szCs w:val="22"/>
              </w:rPr>
              <w:t>5.</w:t>
            </w:r>
            <w:r w:rsidR="00442E8B" w:rsidRPr="009C083D">
              <w:rPr>
                <w:rFonts w:eastAsiaTheme="minorEastAsia" w:cstheme="minorBidi"/>
                <w:sz w:val="22"/>
                <w:szCs w:val="22"/>
                <w:lang w:val="en-US" w:eastAsia="en-US"/>
              </w:rPr>
              <w:tab/>
            </w:r>
            <w:r w:rsidR="00442E8B" w:rsidRPr="009C083D">
              <w:rPr>
                <w:rStyle w:val="Hyperlink"/>
                <w:sz w:val="22"/>
                <w:szCs w:val="22"/>
              </w:rPr>
              <w:t>Recommendations</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_Toc535615925 \h </w:instrText>
            </w:r>
            <w:r w:rsidR="00442E8B" w:rsidRPr="009C083D">
              <w:rPr>
                <w:webHidden/>
                <w:sz w:val="22"/>
                <w:szCs w:val="22"/>
              </w:rPr>
            </w:r>
            <w:r w:rsidR="00442E8B" w:rsidRPr="009C083D">
              <w:rPr>
                <w:webHidden/>
                <w:sz w:val="22"/>
                <w:szCs w:val="22"/>
              </w:rPr>
              <w:fldChar w:fldCharType="separate"/>
            </w:r>
            <w:r w:rsidR="00DC3C36">
              <w:rPr>
                <w:webHidden/>
                <w:sz w:val="22"/>
                <w:szCs w:val="22"/>
              </w:rPr>
              <w:t>12</w:t>
            </w:r>
            <w:r w:rsidR="00442E8B" w:rsidRPr="009C083D">
              <w:rPr>
                <w:webHidden/>
                <w:sz w:val="22"/>
                <w:szCs w:val="22"/>
              </w:rPr>
              <w:fldChar w:fldCharType="end"/>
            </w:r>
          </w:hyperlink>
        </w:p>
        <w:p w14:paraId="4975CA80" w14:textId="77777777" w:rsidR="00442E8B" w:rsidRPr="009C083D" w:rsidRDefault="00102E32" w:rsidP="009C083D">
          <w:pPr>
            <w:pStyle w:val="TOC1"/>
            <w:rPr>
              <w:rFonts w:eastAsiaTheme="minorEastAsia" w:cstheme="minorBidi"/>
              <w:b w:val="0"/>
              <w:i/>
              <w:sz w:val="22"/>
              <w:szCs w:val="22"/>
              <w:lang w:val="en-US" w:eastAsia="en-US"/>
            </w:rPr>
          </w:pPr>
          <w:hyperlink w:anchor="_Toc535615926" w:history="1">
            <w:r w:rsidR="00442E8B" w:rsidRPr="009C083D">
              <w:rPr>
                <w:rStyle w:val="Hyperlink"/>
                <w:b w:val="0"/>
                <w:i/>
                <w:sz w:val="22"/>
                <w:szCs w:val="22"/>
              </w:rPr>
              <w:t>Appendix I:  Methodologies for and Explanatory Notes on Calculations</w:t>
            </w:r>
            <w:r w:rsidR="00442E8B" w:rsidRPr="009C083D">
              <w:rPr>
                <w:b w:val="0"/>
                <w:i/>
                <w:webHidden/>
                <w:sz w:val="22"/>
                <w:szCs w:val="22"/>
              </w:rPr>
              <w:tab/>
            </w:r>
            <w:r w:rsidR="00442E8B" w:rsidRPr="009C083D">
              <w:rPr>
                <w:b w:val="0"/>
                <w:i/>
                <w:webHidden/>
                <w:sz w:val="22"/>
                <w:szCs w:val="22"/>
              </w:rPr>
              <w:fldChar w:fldCharType="begin"/>
            </w:r>
            <w:r w:rsidR="00442E8B" w:rsidRPr="009C083D">
              <w:rPr>
                <w:b w:val="0"/>
                <w:i/>
                <w:webHidden/>
                <w:sz w:val="22"/>
                <w:szCs w:val="22"/>
              </w:rPr>
              <w:instrText xml:space="preserve"> PAGEREF _Toc535615926 \h </w:instrText>
            </w:r>
            <w:r w:rsidR="00442E8B" w:rsidRPr="009C083D">
              <w:rPr>
                <w:b w:val="0"/>
                <w:i/>
                <w:webHidden/>
                <w:sz w:val="22"/>
                <w:szCs w:val="22"/>
              </w:rPr>
            </w:r>
            <w:r w:rsidR="00442E8B" w:rsidRPr="009C083D">
              <w:rPr>
                <w:b w:val="0"/>
                <w:i/>
                <w:webHidden/>
                <w:sz w:val="22"/>
                <w:szCs w:val="22"/>
              </w:rPr>
              <w:fldChar w:fldCharType="separate"/>
            </w:r>
            <w:r w:rsidR="00DC3C36">
              <w:rPr>
                <w:b w:val="0"/>
                <w:i/>
                <w:webHidden/>
                <w:sz w:val="22"/>
                <w:szCs w:val="22"/>
              </w:rPr>
              <w:t>13</w:t>
            </w:r>
            <w:r w:rsidR="00442E8B" w:rsidRPr="009C083D">
              <w:rPr>
                <w:b w:val="0"/>
                <w:i/>
                <w:webHidden/>
                <w:sz w:val="22"/>
                <w:szCs w:val="22"/>
              </w:rPr>
              <w:fldChar w:fldCharType="end"/>
            </w:r>
          </w:hyperlink>
        </w:p>
        <w:p w14:paraId="46E65C67" w14:textId="77777777" w:rsidR="00442E8B" w:rsidRPr="009C083D" w:rsidRDefault="00102E32" w:rsidP="009C083D">
          <w:pPr>
            <w:pStyle w:val="TOC1"/>
            <w:rPr>
              <w:rFonts w:eastAsiaTheme="minorEastAsia" w:cstheme="minorBidi"/>
              <w:b w:val="0"/>
              <w:i/>
              <w:sz w:val="22"/>
              <w:szCs w:val="22"/>
              <w:lang w:val="en-US" w:eastAsia="en-US"/>
            </w:rPr>
          </w:pPr>
          <w:hyperlink w:anchor="_Toc535615927" w:history="1">
            <w:r w:rsidR="00442E8B" w:rsidRPr="009C083D">
              <w:rPr>
                <w:rStyle w:val="Hyperlink"/>
                <w:b w:val="0"/>
                <w:i/>
                <w:sz w:val="22"/>
                <w:szCs w:val="22"/>
              </w:rPr>
              <w:t>Appendix III: EasyJet 5-Year Income Statement</w:t>
            </w:r>
            <w:r w:rsidR="00442E8B" w:rsidRPr="009C083D">
              <w:rPr>
                <w:b w:val="0"/>
                <w:i/>
                <w:webHidden/>
                <w:sz w:val="22"/>
                <w:szCs w:val="22"/>
              </w:rPr>
              <w:tab/>
            </w:r>
            <w:r w:rsidR="00442E8B" w:rsidRPr="009C083D">
              <w:rPr>
                <w:b w:val="0"/>
                <w:i/>
                <w:webHidden/>
                <w:sz w:val="22"/>
                <w:szCs w:val="22"/>
              </w:rPr>
              <w:fldChar w:fldCharType="begin"/>
            </w:r>
            <w:r w:rsidR="00442E8B" w:rsidRPr="009C083D">
              <w:rPr>
                <w:b w:val="0"/>
                <w:i/>
                <w:webHidden/>
                <w:sz w:val="22"/>
                <w:szCs w:val="22"/>
              </w:rPr>
              <w:instrText xml:space="preserve"> PAGEREF _Toc535615927 \h </w:instrText>
            </w:r>
            <w:r w:rsidR="00442E8B" w:rsidRPr="009C083D">
              <w:rPr>
                <w:b w:val="0"/>
                <w:i/>
                <w:webHidden/>
                <w:sz w:val="22"/>
                <w:szCs w:val="22"/>
              </w:rPr>
            </w:r>
            <w:r w:rsidR="00442E8B" w:rsidRPr="009C083D">
              <w:rPr>
                <w:b w:val="0"/>
                <w:i/>
                <w:webHidden/>
                <w:sz w:val="22"/>
                <w:szCs w:val="22"/>
              </w:rPr>
              <w:fldChar w:fldCharType="separate"/>
            </w:r>
            <w:r w:rsidR="00DC3C36">
              <w:rPr>
                <w:b w:val="0"/>
                <w:i/>
                <w:webHidden/>
                <w:sz w:val="22"/>
                <w:szCs w:val="22"/>
              </w:rPr>
              <w:t>16</w:t>
            </w:r>
            <w:r w:rsidR="00442E8B" w:rsidRPr="009C083D">
              <w:rPr>
                <w:b w:val="0"/>
                <w:i/>
                <w:webHidden/>
                <w:sz w:val="22"/>
                <w:szCs w:val="22"/>
              </w:rPr>
              <w:fldChar w:fldCharType="end"/>
            </w:r>
          </w:hyperlink>
        </w:p>
        <w:p w14:paraId="0E73B556" w14:textId="77777777" w:rsidR="00442E8B" w:rsidRPr="009C083D" w:rsidRDefault="00102E32" w:rsidP="009C083D">
          <w:pPr>
            <w:pStyle w:val="TOC1"/>
            <w:rPr>
              <w:rFonts w:eastAsiaTheme="minorEastAsia" w:cstheme="minorBidi"/>
              <w:b w:val="0"/>
              <w:i/>
              <w:sz w:val="22"/>
              <w:szCs w:val="22"/>
              <w:lang w:val="en-US" w:eastAsia="en-US"/>
            </w:rPr>
          </w:pPr>
          <w:hyperlink w:anchor="_Toc535615928" w:history="1">
            <w:r w:rsidR="00442E8B" w:rsidRPr="009C083D">
              <w:rPr>
                <w:rStyle w:val="Hyperlink"/>
                <w:b w:val="0"/>
                <w:i/>
                <w:sz w:val="22"/>
                <w:szCs w:val="22"/>
              </w:rPr>
              <w:t>Appendix IV: EasyJet 5-Year Balance Sheet</w:t>
            </w:r>
            <w:r w:rsidR="00442E8B" w:rsidRPr="009C083D">
              <w:rPr>
                <w:b w:val="0"/>
                <w:i/>
                <w:webHidden/>
                <w:sz w:val="22"/>
                <w:szCs w:val="22"/>
              </w:rPr>
              <w:tab/>
            </w:r>
            <w:r w:rsidR="00442E8B" w:rsidRPr="009C083D">
              <w:rPr>
                <w:b w:val="0"/>
                <w:i/>
                <w:webHidden/>
                <w:sz w:val="22"/>
                <w:szCs w:val="22"/>
              </w:rPr>
              <w:fldChar w:fldCharType="begin"/>
            </w:r>
            <w:r w:rsidR="00442E8B" w:rsidRPr="009C083D">
              <w:rPr>
                <w:b w:val="0"/>
                <w:i/>
                <w:webHidden/>
                <w:sz w:val="22"/>
                <w:szCs w:val="22"/>
              </w:rPr>
              <w:instrText xml:space="preserve"> PAGEREF _Toc535615928 \h </w:instrText>
            </w:r>
            <w:r w:rsidR="00442E8B" w:rsidRPr="009C083D">
              <w:rPr>
                <w:b w:val="0"/>
                <w:i/>
                <w:webHidden/>
                <w:sz w:val="22"/>
                <w:szCs w:val="22"/>
              </w:rPr>
            </w:r>
            <w:r w:rsidR="00442E8B" w:rsidRPr="009C083D">
              <w:rPr>
                <w:b w:val="0"/>
                <w:i/>
                <w:webHidden/>
                <w:sz w:val="22"/>
                <w:szCs w:val="22"/>
              </w:rPr>
              <w:fldChar w:fldCharType="separate"/>
            </w:r>
            <w:r w:rsidR="00DC3C36">
              <w:rPr>
                <w:b w:val="0"/>
                <w:i/>
                <w:webHidden/>
                <w:sz w:val="22"/>
                <w:szCs w:val="22"/>
              </w:rPr>
              <w:t>17</w:t>
            </w:r>
            <w:r w:rsidR="00442E8B" w:rsidRPr="009C083D">
              <w:rPr>
                <w:b w:val="0"/>
                <w:i/>
                <w:webHidden/>
                <w:sz w:val="22"/>
                <w:szCs w:val="22"/>
              </w:rPr>
              <w:fldChar w:fldCharType="end"/>
            </w:r>
          </w:hyperlink>
        </w:p>
        <w:p w14:paraId="08005686" w14:textId="77777777" w:rsidR="00442E8B" w:rsidRPr="009C083D" w:rsidRDefault="00102E32" w:rsidP="009C083D">
          <w:pPr>
            <w:pStyle w:val="TOC1"/>
            <w:spacing w:after="240"/>
            <w:rPr>
              <w:rFonts w:eastAsiaTheme="minorEastAsia" w:cstheme="minorBidi"/>
              <w:b w:val="0"/>
              <w:i/>
              <w:sz w:val="22"/>
              <w:szCs w:val="22"/>
              <w:lang w:val="en-US" w:eastAsia="en-US"/>
            </w:rPr>
          </w:pPr>
          <w:hyperlink w:anchor="_Toc535615929" w:history="1">
            <w:r w:rsidR="00442E8B" w:rsidRPr="009C083D">
              <w:rPr>
                <w:rStyle w:val="Hyperlink"/>
                <w:b w:val="0"/>
                <w:i/>
                <w:sz w:val="22"/>
                <w:szCs w:val="22"/>
              </w:rPr>
              <w:t>Appendix V: EasyJet 5-Year Cash Flow</w:t>
            </w:r>
            <w:r w:rsidR="00442E8B" w:rsidRPr="009C083D">
              <w:rPr>
                <w:b w:val="0"/>
                <w:i/>
                <w:webHidden/>
                <w:sz w:val="22"/>
                <w:szCs w:val="22"/>
              </w:rPr>
              <w:tab/>
            </w:r>
            <w:r w:rsidR="00442E8B" w:rsidRPr="009C083D">
              <w:rPr>
                <w:b w:val="0"/>
                <w:i/>
                <w:webHidden/>
                <w:sz w:val="22"/>
                <w:szCs w:val="22"/>
              </w:rPr>
              <w:fldChar w:fldCharType="begin"/>
            </w:r>
            <w:r w:rsidR="00442E8B" w:rsidRPr="009C083D">
              <w:rPr>
                <w:b w:val="0"/>
                <w:i/>
                <w:webHidden/>
                <w:sz w:val="22"/>
                <w:szCs w:val="22"/>
              </w:rPr>
              <w:instrText xml:space="preserve"> PAGEREF _Toc535615929 \h </w:instrText>
            </w:r>
            <w:r w:rsidR="00442E8B" w:rsidRPr="009C083D">
              <w:rPr>
                <w:b w:val="0"/>
                <w:i/>
                <w:webHidden/>
                <w:sz w:val="22"/>
                <w:szCs w:val="22"/>
              </w:rPr>
            </w:r>
            <w:r w:rsidR="00442E8B" w:rsidRPr="009C083D">
              <w:rPr>
                <w:b w:val="0"/>
                <w:i/>
                <w:webHidden/>
                <w:sz w:val="22"/>
                <w:szCs w:val="22"/>
              </w:rPr>
              <w:fldChar w:fldCharType="separate"/>
            </w:r>
            <w:r w:rsidR="00DC3C36">
              <w:rPr>
                <w:b w:val="0"/>
                <w:i/>
                <w:webHidden/>
                <w:sz w:val="22"/>
                <w:szCs w:val="22"/>
              </w:rPr>
              <w:t>18</w:t>
            </w:r>
            <w:r w:rsidR="00442E8B" w:rsidRPr="009C083D">
              <w:rPr>
                <w:b w:val="0"/>
                <w:i/>
                <w:webHidden/>
                <w:sz w:val="22"/>
                <w:szCs w:val="22"/>
              </w:rPr>
              <w:fldChar w:fldCharType="end"/>
            </w:r>
          </w:hyperlink>
        </w:p>
        <w:p w14:paraId="10040197" w14:textId="5516A035" w:rsidR="00442E8B" w:rsidRPr="009C083D" w:rsidRDefault="00102E32" w:rsidP="009C083D">
          <w:pPr>
            <w:pStyle w:val="TOC1"/>
            <w:rPr>
              <w:rFonts w:eastAsiaTheme="minorEastAsia" w:cstheme="minorBidi"/>
              <w:lang w:val="en-US" w:eastAsia="en-US"/>
            </w:rPr>
          </w:pPr>
          <w:hyperlink w:anchor="_Toc535615930" w:history="1">
            <w:r w:rsidR="00442E8B" w:rsidRPr="009C083D">
              <w:rPr>
                <w:rStyle w:val="Hyperlink"/>
              </w:rPr>
              <w:t>Assessment</w:t>
            </w:r>
            <w:r w:rsidR="00DC3C36">
              <w:rPr>
                <w:rStyle w:val="Hyperlink"/>
              </w:rPr>
              <w:t xml:space="preserve"> 2</w:t>
            </w:r>
            <w:r w:rsidR="00442E8B" w:rsidRPr="009C083D">
              <w:rPr>
                <w:rStyle w:val="Hyperlink"/>
              </w:rPr>
              <w:t>: James PLC</w:t>
            </w:r>
            <w:r w:rsidR="00442E8B" w:rsidRPr="009C083D">
              <w:rPr>
                <w:webHidden/>
              </w:rPr>
              <w:tab/>
            </w:r>
            <w:r w:rsidR="00442E8B" w:rsidRPr="009C083D">
              <w:rPr>
                <w:webHidden/>
              </w:rPr>
              <w:fldChar w:fldCharType="begin"/>
            </w:r>
            <w:r w:rsidR="00442E8B" w:rsidRPr="009C083D">
              <w:rPr>
                <w:webHidden/>
              </w:rPr>
              <w:instrText xml:space="preserve"> PAGEREF _Toc535615930 \h </w:instrText>
            </w:r>
            <w:r w:rsidR="00442E8B" w:rsidRPr="009C083D">
              <w:rPr>
                <w:webHidden/>
              </w:rPr>
            </w:r>
            <w:r w:rsidR="00442E8B" w:rsidRPr="009C083D">
              <w:rPr>
                <w:webHidden/>
              </w:rPr>
              <w:fldChar w:fldCharType="separate"/>
            </w:r>
            <w:r w:rsidR="00DC3C36">
              <w:rPr>
                <w:webHidden/>
              </w:rPr>
              <w:t>19</w:t>
            </w:r>
            <w:r w:rsidR="00442E8B" w:rsidRPr="009C083D">
              <w:rPr>
                <w:webHidden/>
              </w:rPr>
              <w:fldChar w:fldCharType="end"/>
            </w:r>
          </w:hyperlink>
        </w:p>
        <w:p w14:paraId="04BDA619" w14:textId="77777777" w:rsidR="00442E8B" w:rsidRPr="009C083D" w:rsidRDefault="00102E32" w:rsidP="009C083D">
          <w:pPr>
            <w:pStyle w:val="TOC1"/>
            <w:rPr>
              <w:rFonts w:eastAsiaTheme="minorEastAsia" w:cstheme="minorBidi"/>
              <w:sz w:val="22"/>
              <w:szCs w:val="22"/>
              <w:lang w:val="en-US" w:eastAsia="en-US"/>
            </w:rPr>
          </w:pPr>
          <w:hyperlink w:anchor="_Toc535615931" w:history="1">
            <w:r w:rsidR="00442E8B" w:rsidRPr="009C083D">
              <w:rPr>
                <w:rStyle w:val="Hyperlink"/>
                <w:sz w:val="22"/>
                <w:szCs w:val="22"/>
              </w:rPr>
              <w:t>1.</w:t>
            </w:r>
            <w:r w:rsidR="00442E8B" w:rsidRPr="009C083D">
              <w:rPr>
                <w:rFonts w:eastAsiaTheme="minorEastAsia" w:cstheme="minorBidi"/>
                <w:sz w:val="22"/>
                <w:szCs w:val="22"/>
                <w:lang w:val="en-US" w:eastAsia="en-US"/>
              </w:rPr>
              <w:tab/>
            </w:r>
            <w:r w:rsidR="00442E8B" w:rsidRPr="009C083D">
              <w:rPr>
                <w:rStyle w:val="Hyperlink"/>
                <w:sz w:val="22"/>
                <w:szCs w:val="22"/>
              </w:rPr>
              <w:t>Executive Summary</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_Toc535615931 \h </w:instrText>
            </w:r>
            <w:r w:rsidR="00442E8B" w:rsidRPr="009C083D">
              <w:rPr>
                <w:webHidden/>
                <w:sz w:val="22"/>
                <w:szCs w:val="22"/>
              </w:rPr>
            </w:r>
            <w:r w:rsidR="00442E8B" w:rsidRPr="009C083D">
              <w:rPr>
                <w:webHidden/>
                <w:sz w:val="22"/>
                <w:szCs w:val="22"/>
              </w:rPr>
              <w:fldChar w:fldCharType="separate"/>
            </w:r>
            <w:r w:rsidR="00DC3C36">
              <w:rPr>
                <w:webHidden/>
                <w:sz w:val="22"/>
                <w:szCs w:val="22"/>
              </w:rPr>
              <w:t>20</w:t>
            </w:r>
            <w:r w:rsidR="00442E8B" w:rsidRPr="009C083D">
              <w:rPr>
                <w:webHidden/>
                <w:sz w:val="22"/>
                <w:szCs w:val="22"/>
              </w:rPr>
              <w:fldChar w:fldCharType="end"/>
            </w:r>
          </w:hyperlink>
        </w:p>
        <w:p w14:paraId="7A99AEF2" w14:textId="77777777" w:rsidR="00442E8B" w:rsidRPr="009C083D" w:rsidRDefault="00102E32" w:rsidP="009C083D">
          <w:pPr>
            <w:pStyle w:val="TOC1"/>
            <w:rPr>
              <w:rFonts w:eastAsiaTheme="minorEastAsia" w:cstheme="minorBidi"/>
              <w:sz w:val="22"/>
              <w:szCs w:val="22"/>
              <w:lang w:val="en-US" w:eastAsia="en-US"/>
            </w:rPr>
          </w:pPr>
          <w:hyperlink w:anchor="_Toc535615932" w:history="1">
            <w:r w:rsidR="00442E8B" w:rsidRPr="009C083D">
              <w:rPr>
                <w:rStyle w:val="Hyperlink"/>
                <w:sz w:val="22"/>
                <w:szCs w:val="22"/>
              </w:rPr>
              <w:t>2.</w:t>
            </w:r>
            <w:r w:rsidR="00442E8B" w:rsidRPr="009C083D">
              <w:rPr>
                <w:rFonts w:eastAsiaTheme="minorEastAsia" w:cstheme="minorBidi"/>
                <w:sz w:val="22"/>
                <w:szCs w:val="22"/>
                <w:lang w:val="en-US" w:eastAsia="en-US"/>
              </w:rPr>
              <w:tab/>
            </w:r>
            <w:r w:rsidR="00442E8B" w:rsidRPr="009C083D">
              <w:rPr>
                <w:rStyle w:val="Hyperlink"/>
                <w:sz w:val="22"/>
                <w:szCs w:val="22"/>
              </w:rPr>
              <w:t>Introduction</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_Toc535615932 \h </w:instrText>
            </w:r>
            <w:r w:rsidR="00442E8B" w:rsidRPr="009C083D">
              <w:rPr>
                <w:webHidden/>
                <w:sz w:val="22"/>
                <w:szCs w:val="22"/>
              </w:rPr>
            </w:r>
            <w:r w:rsidR="00442E8B" w:rsidRPr="009C083D">
              <w:rPr>
                <w:webHidden/>
                <w:sz w:val="22"/>
                <w:szCs w:val="22"/>
              </w:rPr>
              <w:fldChar w:fldCharType="separate"/>
            </w:r>
            <w:r w:rsidR="00DC3C36">
              <w:rPr>
                <w:webHidden/>
                <w:sz w:val="22"/>
                <w:szCs w:val="22"/>
              </w:rPr>
              <w:t>21</w:t>
            </w:r>
            <w:r w:rsidR="00442E8B" w:rsidRPr="009C083D">
              <w:rPr>
                <w:webHidden/>
                <w:sz w:val="22"/>
                <w:szCs w:val="22"/>
              </w:rPr>
              <w:fldChar w:fldCharType="end"/>
            </w:r>
          </w:hyperlink>
        </w:p>
        <w:p w14:paraId="74D97E02" w14:textId="77777777" w:rsidR="00442E8B" w:rsidRPr="009C083D" w:rsidRDefault="00102E32" w:rsidP="009C083D">
          <w:pPr>
            <w:pStyle w:val="TOC1"/>
            <w:rPr>
              <w:rFonts w:eastAsiaTheme="minorEastAsia" w:cstheme="minorBidi"/>
              <w:sz w:val="22"/>
              <w:szCs w:val="22"/>
              <w:lang w:val="en-US" w:eastAsia="en-US"/>
            </w:rPr>
          </w:pPr>
          <w:hyperlink w:anchor="_Toc535615933" w:history="1">
            <w:r w:rsidR="00442E8B" w:rsidRPr="009C083D">
              <w:rPr>
                <w:rStyle w:val="Hyperlink"/>
                <w:sz w:val="22"/>
                <w:szCs w:val="22"/>
              </w:rPr>
              <w:t>3.</w:t>
            </w:r>
            <w:r w:rsidR="00442E8B" w:rsidRPr="009C083D">
              <w:rPr>
                <w:rFonts w:eastAsiaTheme="minorEastAsia" w:cstheme="minorBidi"/>
                <w:sz w:val="22"/>
                <w:szCs w:val="22"/>
                <w:lang w:val="en-US" w:eastAsia="en-US"/>
              </w:rPr>
              <w:tab/>
            </w:r>
            <w:r w:rsidR="00442E8B" w:rsidRPr="009C083D">
              <w:rPr>
                <w:rStyle w:val="Hyperlink"/>
                <w:sz w:val="22"/>
                <w:szCs w:val="22"/>
              </w:rPr>
              <w:t>Evaluation of the Three Investment Options and Selection of One Option</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_Toc535615933 \h </w:instrText>
            </w:r>
            <w:r w:rsidR="00442E8B" w:rsidRPr="009C083D">
              <w:rPr>
                <w:webHidden/>
                <w:sz w:val="22"/>
                <w:szCs w:val="22"/>
              </w:rPr>
            </w:r>
            <w:r w:rsidR="00442E8B" w:rsidRPr="009C083D">
              <w:rPr>
                <w:webHidden/>
                <w:sz w:val="22"/>
                <w:szCs w:val="22"/>
              </w:rPr>
              <w:fldChar w:fldCharType="separate"/>
            </w:r>
            <w:r w:rsidR="00DC3C36">
              <w:rPr>
                <w:webHidden/>
                <w:sz w:val="22"/>
                <w:szCs w:val="22"/>
              </w:rPr>
              <w:t>22</w:t>
            </w:r>
            <w:r w:rsidR="00442E8B" w:rsidRPr="009C083D">
              <w:rPr>
                <w:webHidden/>
                <w:sz w:val="22"/>
                <w:szCs w:val="22"/>
              </w:rPr>
              <w:fldChar w:fldCharType="end"/>
            </w:r>
          </w:hyperlink>
        </w:p>
        <w:p w14:paraId="56C41BEB" w14:textId="77777777" w:rsidR="00442E8B" w:rsidRPr="009C083D" w:rsidRDefault="00102E32" w:rsidP="009C083D">
          <w:pPr>
            <w:pStyle w:val="TOC1"/>
            <w:rPr>
              <w:rFonts w:eastAsiaTheme="minorEastAsia" w:cstheme="minorBidi"/>
              <w:sz w:val="22"/>
              <w:szCs w:val="22"/>
              <w:lang w:val="en-US" w:eastAsia="en-US"/>
            </w:rPr>
          </w:pPr>
          <w:hyperlink w:anchor="_Toc535615934" w:history="1">
            <w:r w:rsidR="00442E8B" w:rsidRPr="009C083D">
              <w:rPr>
                <w:rStyle w:val="Hyperlink"/>
                <w:sz w:val="22"/>
                <w:szCs w:val="22"/>
              </w:rPr>
              <w:t>4.</w:t>
            </w:r>
            <w:r w:rsidR="00442E8B" w:rsidRPr="009C083D">
              <w:rPr>
                <w:rFonts w:eastAsiaTheme="minorEastAsia" w:cstheme="minorBidi"/>
                <w:sz w:val="22"/>
                <w:szCs w:val="22"/>
                <w:lang w:val="en-US" w:eastAsia="en-US"/>
              </w:rPr>
              <w:tab/>
            </w:r>
            <w:r w:rsidR="00442E8B" w:rsidRPr="009C083D">
              <w:rPr>
                <w:rStyle w:val="Hyperlink"/>
                <w:sz w:val="22"/>
                <w:szCs w:val="22"/>
              </w:rPr>
              <w:t>Approximate Internal Rate of Return (IRR) for Option C</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_Toc535615934 \h </w:instrText>
            </w:r>
            <w:r w:rsidR="00442E8B" w:rsidRPr="009C083D">
              <w:rPr>
                <w:webHidden/>
                <w:sz w:val="22"/>
                <w:szCs w:val="22"/>
              </w:rPr>
            </w:r>
            <w:r w:rsidR="00442E8B" w:rsidRPr="009C083D">
              <w:rPr>
                <w:webHidden/>
                <w:sz w:val="22"/>
                <w:szCs w:val="22"/>
              </w:rPr>
              <w:fldChar w:fldCharType="separate"/>
            </w:r>
            <w:r w:rsidR="00DC3C36">
              <w:rPr>
                <w:webHidden/>
                <w:sz w:val="22"/>
                <w:szCs w:val="22"/>
              </w:rPr>
              <w:t>23</w:t>
            </w:r>
            <w:r w:rsidR="00442E8B" w:rsidRPr="009C083D">
              <w:rPr>
                <w:webHidden/>
                <w:sz w:val="22"/>
                <w:szCs w:val="22"/>
              </w:rPr>
              <w:fldChar w:fldCharType="end"/>
            </w:r>
          </w:hyperlink>
        </w:p>
        <w:p w14:paraId="3C6FF6B0" w14:textId="77777777" w:rsidR="00442E8B" w:rsidRPr="009C083D" w:rsidRDefault="00102E32" w:rsidP="009C083D">
          <w:pPr>
            <w:pStyle w:val="TOC1"/>
            <w:rPr>
              <w:rFonts w:eastAsiaTheme="minorEastAsia" w:cstheme="minorBidi"/>
              <w:sz w:val="22"/>
              <w:szCs w:val="22"/>
              <w:lang w:val="en-US" w:eastAsia="en-US"/>
            </w:rPr>
          </w:pPr>
          <w:hyperlink w:anchor="_Toc535615935" w:history="1">
            <w:r w:rsidR="00442E8B" w:rsidRPr="009C083D">
              <w:rPr>
                <w:rStyle w:val="Hyperlink"/>
                <w:sz w:val="22"/>
                <w:szCs w:val="22"/>
              </w:rPr>
              <w:t>5.</w:t>
            </w:r>
            <w:r w:rsidR="00442E8B" w:rsidRPr="009C083D">
              <w:rPr>
                <w:rFonts w:eastAsiaTheme="minorEastAsia" w:cstheme="minorBidi"/>
                <w:sz w:val="22"/>
                <w:szCs w:val="22"/>
                <w:lang w:val="en-US" w:eastAsia="en-US"/>
              </w:rPr>
              <w:tab/>
            </w:r>
            <w:r w:rsidR="00442E8B" w:rsidRPr="009C083D">
              <w:rPr>
                <w:rStyle w:val="Hyperlink"/>
                <w:sz w:val="22"/>
                <w:szCs w:val="22"/>
              </w:rPr>
              <w:t>Interpretation of Evaluation Results</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_Toc535615935 \h </w:instrText>
            </w:r>
            <w:r w:rsidR="00442E8B" w:rsidRPr="009C083D">
              <w:rPr>
                <w:webHidden/>
                <w:sz w:val="22"/>
                <w:szCs w:val="22"/>
              </w:rPr>
            </w:r>
            <w:r w:rsidR="00442E8B" w:rsidRPr="009C083D">
              <w:rPr>
                <w:webHidden/>
                <w:sz w:val="22"/>
                <w:szCs w:val="22"/>
              </w:rPr>
              <w:fldChar w:fldCharType="separate"/>
            </w:r>
            <w:r w:rsidR="00DC3C36">
              <w:rPr>
                <w:webHidden/>
                <w:sz w:val="22"/>
                <w:szCs w:val="22"/>
              </w:rPr>
              <w:t>24</w:t>
            </w:r>
            <w:r w:rsidR="00442E8B" w:rsidRPr="009C083D">
              <w:rPr>
                <w:webHidden/>
                <w:sz w:val="22"/>
                <w:szCs w:val="22"/>
              </w:rPr>
              <w:fldChar w:fldCharType="end"/>
            </w:r>
          </w:hyperlink>
        </w:p>
        <w:p w14:paraId="2E57A27E"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36" w:history="1">
            <w:r w:rsidR="00442E8B" w:rsidRPr="009C083D">
              <w:rPr>
                <w:rStyle w:val="Hyperlink"/>
                <w:rFonts w:ascii="Times" w:hAnsi="Times"/>
                <w:noProof/>
                <w:sz w:val="22"/>
                <w:szCs w:val="22"/>
              </w:rPr>
              <w:t>5.1.</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noProof/>
                <w:sz w:val="22"/>
                <w:szCs w:val="22"/>
              </w:rPr>
              <w:t>NPV as the Best Method of Investment Appraisal</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_Toc535615936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24</w:t>
            </w:r>
            <w:r w:rsidR="00442E8B" w:rsidRPr="009C083D">
              <w:rPr>
                <w:rFonts w:ascii="Times" w:hAnsi="Times"/>
                <w:noProof/>
                <w:webHidden/>
                <w:sz w:val="22"/>
                <w:szCs w:val="22"/>
              </w:rPr>
              <w:fldChar w:fldCharType="end"/>
            </w:r>
          </w:hyperlink>
        </w:p>
        <w:p w14:paraId="73018C78"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37" w:history="1">
            <w:r w:rsidR="00442E8B" w:rsidRPr="009C083D">
              <w:rPr>
                <w:rStyle w:val="Hyperlink"/>
                <w:rFonts w:ascii="Times" w:hAnsi="Times"/>
                <w:noProof/>
                <w:sz w:val="22"/>
                <w:szCs w:val="22"/>
              </w:rPr>
              <w:t>5.2.</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noProof/>
                <w:sz w:val="22"/>
                <w:szCs w:val="22"/>
              </w:rPr>
              <w:t>Non-Discounting Methods of IA: Continued Popularity amongst Decision Makers</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_Toc535615937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24</w:t>
            </w:r>
            <w:r w:rsidR="00442E8B" w:rsidRPr="009C083D">
              <w:rPr>
                <w:rFonts w:ascii="Times" w:hAnsi="Times"/>
                <w:noProof/>
                <w:webHidden/>
                <w:sz w:val="22"/>
                <w:szCs w:val="22"/>
              </w:rPr>
              <w:fldChar w:fldCharType="end"/>
            </w:r>
          </w:hyperlink>
        </w:p>
        <w:p w14:paraId="1D76C97D"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38" w:history="1">
            <w:r w:rsidR="00442E8B" w:rsidRPr="009C083D">
              <w:rPr>
                <w:rStyle w:val="Hyperlink"/>
                <w:rFonts w:ascii="Times" w:hAnsi="Times"/>
                <w:noProof/>
                <w:sz w:val="22"/>
                <w:szCs w:val="22"/>
              </w:rPr>
              <w:t>5.3.</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noProof/>
                <w:sz w:val="22"/>
                <w:szCs w:val="22"/>
              </w:rPr>
              <w:t>Other Factors to Consider before Making an Investment Decision</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_Toc535615938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25</w:t>
            </w:r>
            <w:r w:rsidR="00442E8B" w:rsidRPr="009C083D">
              <w:rPr>
                <w:rFonts w:ascii="Times" w:hAnsi="Times"/>
                <w:noProof/>
                <w:webHidden/>
                <w:sz w:val="22"/>
                <w:szCs w:val="22"/>
              </w:rPr>
              <w:fldChar w:fldCharType="end"/>
            </w:r>
          </w:hyperlink>
        </w:p>
        <w:p w14:paraId="711C777B" w14:textId="77777777" w:rsidR="00442E8B" w:rsidRPr="009C083D" w:rsidRDefault="00102E32" w:rsidP="009C083D">
          <w:pPr>
            <w:pStyle w:val="TOC1"/>
            <w:rPr>
              <w:rFonts w:eastAsiaTheme="minorEastAsia" w:cstheme="minorBidi"/>
              <w:sz w:val="22"/>
              <w:szCs w:val="22"/>
              <w:lang w:val="en-US" w:eastAsia="en-US"/>
            </w:rPr>
          </w:pPr>
          <w:hyperlink w:anchor="_Toc535615939" w:history="1">
            <w:r w:rsidR="00442E8B" w:rsidRPr="009C083D">
              <w:rPr>
                <w:rStyle w:val="Hyperlink"/>
                <w:rFonts w:cs="Arial"/>
                <w:sz w:val="22"/>
                <w:szCs w:val="22"/>
              </w:rPr>
              <w:t>6.</w:t>
            </w:r>
            <w:r w:rsidR="00442E8B" w:rsidRPr="009C083D">
              <w:rPr>
                <w:rFonts w:eastAsiaTheme="minorEastAsia" w:cstheme="minorBidi"/>
                <w:sz w:val="22"/>
                <w:szCs w:val="22"/>
                <w:lang w:val="en-US" w:eastAsia="en-US"/>
              </w:rPr>
              <w:tab/>
            </w:r>
            <w:r w:rsidR="00442E8B" w:rsidRPr="009C083D">
              <w:rPr>
                <w:rStyle w:val="Hyperlink"/>
                <w:rFonts w:cs="Arial"/>
                <w:sz w:val="22"/>
                <w:szCs w:val="22"/>
              </w:rPr>
              <w:t>Determining the Optimal Investment Policy</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_Toc535615939 \h </w:instrText>
            </w:r>
            <w:r w:rsidR="00442E8B" w:rsidRPr="009C083D">
              <w:rPr>
                <w:webHidden/>
                <w:sz w:val="22"/>
                <w:szCs w:val="22"/>
              </w:rPr>
            </w:r>
            <w:r w:rsidR="00442E8B" w:rsidRPr="009C083D">
              <w:rPr>
                <w:webHidden/>
                <w:sz w:val="22"/>
                <w:szCs w:val="22"/>
              </w:rPr>
              <w:fldChar w:fldCharType="separate"/>
            </w:r>
            <w:r w:rsidR="00DC3C36">
              <w:rPr>
                <w:webHidden/>
                <w:sz w:val="22"/>
                <w:szCs w:val="22"/>
              </w:rPr>
              <w:t>26</w:t>
            </w:r>
            <w:r w:rsidR="00442E8B" w:rsidRPr="009C083D">
              <w:rPr>
                <w:webHidden/>
                <w:sz w:val="22"/>
                <w:szCs w:val="22"/>
              </w:rPr>
              <w:fldChar w:fldCharType="end"/>
            </w:r>
          </w:hyperlink>
        </w:p>
        <w:p w14:paraId="6C2096ED"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40" w:history="1">
            <w:r w:rsidR="00442E8B" w:rsidRPr="009C083D">
              <w:rPr>
                <w:rStyle w:val="Hyperlink"/>
                <w:rFonts w:ascii="Times" w:hAnsi="Times" w:cs="Arial"/>
                <w:noProof/>
                <w:sz w:val="22"/>
                <w:szCs w:val="22"/>
              </w:rPr>
              <w:t>6.1.</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cs="Arial"/>
                <w:noProof/>
                <w:sz w:val="22"/>
                <w:szCs w:val="22"/>
              </w:rPr>
              <w:t>Reliance on NPV Only</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_Toc535615940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27</w:t>
            </w:r>
            <w:r w:rsidR="00442E8B" w:rsidRPr="009C083D">
              <w:rPr>
                <w:rFonts w:ascii="Times" w:hAnsi="Times"/>
                <w:noProof/>
                <w:webHidden/>
                <w:sz w:val="22"/>
                <w:szCs w:val="22"/>
              </w:rPr>
              <w:fldChar w:fldCharType="end"/>
            </w:r>
          </w:hyperlink>
        </w:p>
        <w:p w14:paraId="394AFC02" w14:textId="77777777" w:rsidR="00442E8B" w:rsidRPr="009C083D" w:rsidRDefault="00102E32" w:rsidP="009C083D">
          <w:pPr>
            <w:pStyle w:val="TOC2"/>
            <w:tabs>
              <w:tab w:val="left" w:pos="1134"/>
              <w:tab w:val="right" w:leader="dot" w:pos="9350"/>
            </w:tabs>
            <w:ind w:left="1134" w:hanging="567"/>
            <w:rPr>
              <w:rFonts w:ascii="Times" w:eastAsiaTheme="minorEastAsia" w:hAnsi="Times" w:cstheme="minorBidi"/>
              <w:noProof/>
              <w:sz w:val="22"/>
              <w:szCs w:val="22"/>
              <w:lang w:val="en-US" w:eastAsia="en-US"/>
            </w:rPr>
          </w:pPr>
          <w:hyperlink w:anchor="_Toc535615941" w:history="1">
            <w:r w:rsidR="00442E8B" w:rsidRPr="009C083D">
              <w:rPr>
                <w:rStyle w:val="Hyperlink"/>
                <w:rFonts w:ascii="Times" w:hAnsi="Times" w:cs="Arial"/>
                <w:noProof/>
                <w:sz w:val="22"/>
                <w:szCs w:val="22"/>
              </w:rPr>
              <w:t>6.2.</w:t>
            </w:r>
            <w:r w:rsidR="00442E8B" w:rsidRPr="009C083D">
              <w:rPr>
                <w:rFonts w:ascii="Times" w:eastAsiaTheme="minorEastAsia" w:hAnsi="Times" w:cstheme="minorBidi"/>
                <w:noProof/>
                <w:sz w:val="22"/>
                <w:szCs w:val="22"/>
                <w:lang w:val="en-US" w:eastAsia="en-US"/>
              </w:rPr>
              <w:tab/>
            </w:r>
            <w:r w:rsidR="00442E8B" w:rsidRPr="009C083D">
              <w:rPr>
                <w:rStyle w:val="Hyperlink"/>
                <w:rFonts w:ascii="Times" w:hAnsi="Times" w:cs="Arial"/>
                <w:noProof/>
                <w:sz w:val="22"/>
                <w:szCs w:val="22"/>
              </w:rPr>
              <w:t>Reliance on NPV and other ratios</w:t>
            </w:r>
            <w:r w:rsidR="00442E8B" w:rsidRPr="009C083D">
              <w:rPr>
                <w:rFonts w:ascii="Times" w:hAnsi="Times"/>
                <w:noProof/>
                <w:webHidden/>
                <w:sz w:val="22"/>
                <w:szCs w:val="22"/>
              </w:rPr>
              <w:tab/>
            </w:r>
            <w:r w:rsidR="00442E8B" w:rsidRPr="009C083D">
              <w:rPr>
                <w:rFonts w:ascii="Times" w:hAnsi="Times"/>
                <w:noProof/>
                <w:webHidden/>
                <w:sz w:val="22"/>
                <w:szCs w:val="22"/>
              </w:rPr>
              <w:fldChar w:fldCharType="begin"/>
            </w:r>
            <w:r w:rsidR="00442E8B" w:rsidRPr="009C083D">
              <w:rPr>
                <w:rFonts w:ascii="Times" w:hAnsi="Times"/>
                <w:noProof/>
                <w:webHidden/>
                <w:sz w:val="22"/>
                <w:szCs w:val="22"/>
              </w:rPr>
              <w:instrText xml:space="preserve"> PAGEREF _Toc535615941 \h </w:instrText>
            </w:r>
            <w:r w:rsidR="00442E8B" w:rsidRPr="009C083D">
              <w:rPr>
                <w:rFonts w:ascii="Times" w:hAnsi="Times"/>
                <w:noProof/>
                <w:webHidden/>
                <w:sz w:val="22"/>
                <w:szCs w:val="22"/>
              </w:rPr>
            </w:r>
            <w:r w:rsidR="00442E8B" w:rsidRPr="009C083D">
              <w:rPr>
                <w:rFonts w:ascii="Times" w:hAnsi="Times"/>
                <w:noProof/>
                <w:webHidden/>
                <w:sz w:val="22"/>
                <w:szCs w:val="22"/>
              </w:rPr>
              <w:fldChar w:fldCharType="separate"/>
            </w:r>
            <w:r w:rsidR="00DC3C36">
              <w:rPr>
                <w:rFonts w:ascii="Times" w:hAnsi="Times"/>
                <w:noProof/>
                <w:webHidden/>
                <w:sz w:val="22"/>
                <w:szCs w:val="22"/>
              </w:rPr>
              <w:t>28</w:t>
            </w:r>
            <w:r w:rsidR="00442E8B" w:rsidRPr="009C083D">
              <w:rPr>
                <w:rFonts w:ascii="Times" w:hAnsi="Times"/>
                <w:noProof/>
                <w:webHidden/>
                <w:sz w:val="22"/>
                <w:szCs w:val="22"/>
              </w:rPr>
              <w:fldChar w:fldCharType="end"/>
            </w:r>
          </w:hyperlink>
        </w:p>
        <w:p w14:paraId="0CB2A096" w14:textId="77777777" w:rsidR="00442E8B" w:rsidRPr="009C083D" w:rsidRDefault="00102E32" w:rsidP="009C083D">
          <w:pPr>
            <w:pStyle w:val="TOC1"/>
            <w:rPr>
              <w:rFonts w:eastAsiaTheme="minorEastAsia" w:cstheme="minorBidi"/>
              <w:sz w:val="22"/>
              <w:szCs w:val="22"/>
              <w:lang w:val="en-US" w:eastAsia="en-US"/>
            </w:rPr>
          </w:pPr>
          <w:hyperlink w:anchor="_Toc535615942" w:history="1">
            <w:r w:rsidR="00442E8B" w:rsidRPr="009C083D">
              <w:rPr>
                <w:rStyle w:val="Hyperlink"/>
                <w:rFonts w:cs="Arial"/>
                <w:sz w:val="22"/>
                <w:szCs w:val="22"/>
              </w:rPr>
              <w:t>7.</w:t>
            </w:r>
            <w:r w:rsidR="00442E8B" w:rsidRPr="009C083D">
              <w:rPr>
                <w:rFonts w:eastAsiaTheme="minorEastAsia" w:cstheme="minorBidi"/>
                <w:sz w:val="22"/>
                <w:szCs w:val="22"/>
                <w:lang w:val="en-US" w:eastAsia="en-US"/>
              </w:rPr>
              <w:tab/>
            </w:r>
            <w:r w:rsidR="00442E8B" w:rsidRPr="009C083D">
              <w:rPr>
                <w:rStyle w:val="Hyperlink"/>
                <w:rFonts w:cs="Arial"/>
                <w:sz w:val="22"/>
                <w:szCs w:val="22"/>
              </w:rPr>
              <w:t>Potential Sources of Finance for the Investment</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_Toc535615942 \h </w:instrText>
            </w:r>
            <w:r w:rsidR="00442E8B" w:rsidRPr="009C083D">
              <w:rPr>
                <w:webHidden/>
                <w:sz w:val="22"/>
                <w:szCs w:val="22"/>
              </w:rPr>
            </w:r>
            <w:r w:rsidR="00442E8B" w:rsidRPr="009C083D">
              <w:rPr>
                <w:webHidden/>
                <w:sz w:val="22"/>
                <w:szCs w:val="22"/>
              </w:rPr>
              <w:fldChar w:fldCharType="separate"/>
            </w:r>
            <w:r w:rsidR="00DC3C36">
              <w:rPr>
                <w:webHidden/>
                <w:sz w:val="22"/>
                <w:szCs w:val="22"/>
              </w:rPr>
              <w:t>30</w:t>
            </w:r>
            <w:r w:rsidR="00442E8B" w:rsidRPr="009C083D">
              <w:rPr>
                <w:webHidden/>
                <w:sz w:val="22"/>
                <w:szCs w:val="22"/>
              </w:rPr>
              <w:fldChar w:fldCharType="end"/>
            </w:r>
          </w:hyperlink>
        </w:p>
        <w:p w14:paraId="3BC75563" w14:textId="77777777" w:rsidR="00442E8B" w:rsidRPr="009C083D" w:rsidRDefault="00102E32" w:rsidP="009C083D">
          <w:pPr>
            <w:pStyle w:val="TOC1"/>
            <w:rPr>
              <w:rFonts w:eastAsiaTheme="minorEastAsia" w:cstheme="minorBidi"/>
              <w:b w:val="0"/>
              <w:i/>
              <w:sz w:val="22"/>
              <w:szCs w:val="22"/>
              <w:lang w:val="en-US" w:eastAsia="en-US"/>
            </w:rPr>
          </w:pPr>
          <w:hyperlink w:anchor="_Toc535615943" w:history="1">
            <w:r w:rsidR="00442E8B" w:rsidRPr="009C083D">
              <w:rPr>
                <w:rStyle w:val="Hyperlink"/>
                <w:rFonts w:cs="Arial"/>
                <w:b w:val="0"/>
                <w:i/>
                <w:sz w:val="22"/>
                <w:szCs w:val="22"/>
              </w:rPr>
              <w:t>Annex I: Shortcomings of Solely Using ARR, PP and IRR for IA</w:t>
            </w:r>
            <w:r w:rsidR="00442E8B" w:rsidRPr="009C083D">
              <w:rPr>
                <w:b w:val="0"/>
                <w:i/>
                <w:webHidden/>
                <w:sz w:val="22"/>
                <w:szCs w:val="22"/>
              </w:rPr>
              <w:tab/>
            </w:r>
            <w:r w:rsidR="00442E8B" w:rsidRPr="009C083D">
              <w:rPr>
                <w:b w:val="0"/>
                <w:i/>
                <w:webHidden/>
                <w:sz w:val="22"/>
                <w:szCs w:val="22"/>
              </w:rPr>
              <w:fldChar w:fldCharType="begin"/>
            </w:r>
            <w:r w:rsidR="00442E8B" w:rsidRPr="009C083D">
              <w:rPr>
                <w:b w:val="0"/>
                <w:i/>
                <w:webHidden/>
                <w:sz w:val="22"/>
                <w:szCs w:val="22"/>
              </w:rPr>
              <w:instrText xml:space="preserve"> PAGEREF _Toc535615943 \h </w:instrText>
            </w:r>
            <w:r w:rsidR="00442E8B" w:rsidRPr="009C083D">
              <w:rPr>
                <w:b w:val="0"/>
                <w:i/>
                <w:webHidden/>
                <w:sz w:val="22"/>
                <w:szCs w:val="22"/>
              </w:rPr>
            </w:r>
            <w:r w:rsidR="00442E8B" w:rsidRPr="009C083D">
              <w:rPr>
                <w:b w:val="0"/>
                <w:i/>
                <w:webHidden/>
                <w:sz w:val="22"/>
                <w:szCs w:val="22"/>
              </w:rPr>
              <w:fldChar w:fldCharType="separate"/>
            </w:r>
            <w:r w:rsidR="00DC3C36">
              <w:rPr>
                <w:b w:val="0"/>
                <w:i/>
                <w:webHidden/>
                <w:sz w:val="22"/>
                <w:szCs w:val="22"/>
              </w:rPr>
              <w:t>31</w:t>
            </w:r>
            <w:r w:rsidR="00442E8B" w:rsidRPr="009C083D">
              <w:rPr>
                <w:b w:val="0"/>
                <w:i/>
                <w:webHidden/>
                <w:sz w:val="22"/>
                <w:szCs w:val="22"/>
              </w:rPr>
              <w:fldChar w:fldCharType="end"/>
            </w:r>
          </w:hyperlink>
        </w:p>
        <w:p w14:paraId="692387F6" w14:textId="77777777" w:rsidR="00442E8B" w:rsidRPr="009C083D" w:rsidRDefault="00102E32" w:rsidP="009C083D">
          <w:pPr>
            <w:pStyle w:val="TOC1"/>
            <w:rPr>
              <w:rFonts w:eastAsiaTheme="minorEastAsia" w:cstheme="minorBidi"/>
              <w:b w:val="0"/>
              <w:i/>
              <w:sz w:val="22"/>
              <w:szCs w:val="22"/>
              <w:lang w:val="en-US" w:eastAsia="en-US"/>
            </w:rPr>
          </w:pPr>
          <w:hyperlink w:anchor="_Toc535615944" w:history="1">
            <w:r w:rsidR="00442E8B" w:rsidRPr="009C083D">
              <w:rPr>
                <w:rStyle w:val="Hyperlink"/>
                <w:rFonts w:cs="Arial"/>
                <w:b w:val="0"/>
                <w:i/>
                <w:sz w:val="22"/>
                <w:szCs w:val="22"/>
              </w:rPr>
              <w:t>Annex II: The Importance of CSR</w:t>
            </w:r>
            <w:r w:rsidR="00442E8B" w:rsidRPr="009C083D">
              <w:rPr>
                <w:b w:val="0"/>
                <w:i/>
                <w:webHidden/>
                <w:sz w:val="22"/>
                <w:szCs w:val="22"/>
              </w:rPr>
              <w:tab/>
            </w:r>
            <w:r w:rsidR="00442E8B" w:rsidRPr="009C083D">
              <w:rPr>
                <w:b w:val="0"/>
                <w:i/>
                <w:webHidden/>
                <w:sz w:val="22"/>
                <w:szCs w:val="22"/>
              </w:rPr>
              <w:fldChar w:fldCharType="begin"/>
            </w:r>
            <w:r w:rsidR="00442E8B" w:rsidRPr="009C083D">
              <w:rPr>
                <w:b w:val="0"/>
                <w:i/>
                <w:webHidden/>
                <w:sz w:val="22"/>
                <w:szCs w:val="22"/>
              </w:rPr>
              <w:instrText xml:space="preserve"> PAGEREF _Toc535615944 \h </w:instrText>
            </w:r>
            <w:r w:rsidR="00442E8B" w:rsidRPr="009C083D">
              <w:rPr>
                <w:b w:val="0"/>
                <w:i/>
                <w:webHidden/>
                <w:sz w:val="22"/>
                <w:szCs w:val="22"/>
              </w:rPr>
            </w:r>
            <w:r w:rsidR="00442E8B" w:rsidRPr="009C083D">
              <w:rPr>
                <w:b w:val="0"/>
                <w:i/>
                <w:webHidden/>
                <w:sz w:val="22"/>
                <w:szCs w:val="22"/>
              </w:rPr>
              <w:fldChar w:fldCharType="separate"/>
            </w:r>
            <w:r w:rsidR="00DC3C36">
              <w:rPr>
                <w:b w:val="0"/>
                <w:i/>
                <w:webHidden/>
                <w:sz w:val="22"/>
                <w:szCs w:val="22"/>
              </w:rPr>
              <w:t>32</w:t>
            </w:r>
            <w:r w:rsidR="00442E8B" w:rsidRPr="009C083D">
              <w:rPr>
                <w:b w:val="0"/>
                <w:i/>
                <w:webHidden/>
                <w:sz w:val="22"/>
                <w:szCs w:val="22"/>
              </w:rPr>
              <w:fldChar w:fldCharType="end"/>
            </w:r>
          </w:hyperlink>
        </w:p>
        <w:p w14:paraId="1323CFC5" w14:textId="77777777" w:rsidR="00442E8B" w:rsidRPr="009C083D" w:rsidRDefault="00102E32" w:rsidP="009C083D">
          <w:pPr>
            <w:pStyle w:val="TOC1"/>
            <w:spacing w:after="240"/>
            <w:rPr>
              <w:rFonts w:eastAsiaTheme="minorEastAsia" w:cstheme="minorBidi"/>
              <w:b w:val="0"/>
              <w:i/>
              <w:sz w:val="22"/>
              <w:szCs w:val="22"/>
              <w:lang w:val="en-US" w:eastAsia="en-US"/>
            </w:rPr>
          </w:pPr>
          <w:hyperlink w:anchor="_Toc535615945" w:history="1">
            <w:r w:rsidR="00442E8B" w:rsidRPr="009C083D">
              <w:rPr>
                <w:rStyle w:val="Hyperlink"/>
                <w:b w:val="0"/>
                <w:i/>
                <w:sz w:val="22"/>
                <w:szCs w:val="22"/>
              </w:rPr>
              <w:t>Annex III: Advantages and Disadvantages of different Types of Long-Term Financing</w:t>
            </w:r>
            <w:r w:rsidR="00442E8B" w:rsidRPr="009C083D">
              <w:rPr>
                <w:b w:val="0"/>
                <w:i/>
                <w:webHidden/>
                <w:sz w:val="22"/>
                <w:szCs w:val="22"/>
              </w:rPr>
              <w:tab/>
            </w:r>
            <w:r w:rsidR="00442E8B" w:rsidRPr="009C083D">
              <w:rPr>
                <w:b w:val="0"/>
                <w:i/>
                <w:webHidden/>
                <w:sz w:val="22"/>
                <w:szCs w:val="22"/>
              </w:rPr>
              <w:fldChar w:fldCharType="begin"/>
            </w:r>
            <w:r w:rsidR="00442E8B" w:rsidRPr="009C083D">
              <w:rPr>
                <w:b w:val="0"/>
                <w:i/>
                <w:webHidden/>
                <w:sz w:val="22"/>
                <w:szCs w:val="22"/>
              </w:rPr>
              <w:instrText xml:space="preserve"> PAGEREF _Toc535615945 \h </w:instrText>
            </w:r>
            <w:r w:rsidR="00442E8B" w:rsidRPr="009C083D">
              <w:rPr>
                <w:b w:val="0"/>
                <w:i/>
                <w:webHidden/>
                <w:sz w:val="22"/>
                <w:szCs w:val="22"/>
              </w:rPr>
            </w:r>
            <w:r w:rsidR="00442E8B" w:rsidRPr="009C083D">
              <w:rPr>
                <w:b w:val="0"/>
                <w:i/>
                <w:webHidden/>
                <w:sz w:val="22"/>
                <w:szCs w:val="22"/>
              </w:rPr>
              <w:fldChar w:fldCharType="separate"/>
            </w:r>
            <w:r w:rsidR="00DC3C36">
              <w:rPr>
                <w:b w:val="0"/>
                <w:i/>
                <w:webHidden/>
                <w:sz w:val="22"/>
                <w:szCs w:val="22"/>
              </w:rPr>
              <w:t>33</w:t>
            </w:r>
            <w:r w:rsidR="00442E8B" w:rsidRPr="009C083D">
              <w:rPr>
                <w:b w:val="0"/>
                <w:i/>
                <w:webHidden/>
                <w:sz w:val="22"/>
                <w:szCs w:val="22"/>
              </w:rPr>
              <w:fldChar w:fldCharType="end"/>
            </w:r>
          </w:hyperlink>
        </w:p>
        <w:p w14:paraId="5FE68584" w14:textId="77777777" w:rsidR="00442E8B" w:rsidRPr="009C083D" w:rsidRDefault="00102E32" w:rsidP="009C083D">
          <w:pPr>
            <w:pStyle w:val="TOC1"/>
            <w:rPr>
              <w:rFonts w:eastAsiaTheme="minorEastAsia" w:cstheme="minorBidi"/>
              <w:sz w:val="22"/>
              <w:szCs w:val="22"/>
              <w:lang w:val="en-US" w:eastAsia="en-US"/>
            </w:rPr>
          </w:pPr>
          <w:hyperlink w:anchor="_Toc535615946" w:history="1">
            <w:r w:rsidR="00442E8B" w:rsidRPr="009C083D">
              <w:rPr>
                <w:rStyle w:val="Hyperlink"/>
                <w:rFonts w:cs="Arial"/>
                <w:sz w:val="22"/>
                <w:szCs w:val="22"/>
              </w:rPr>
              <w:t>Bibliography</w:t>
            </w:r>
            <w:r w:rsidR="00442E8B" w:rsidRPr="009C083D">
              <w:rPr>
                <w:webHidden/>
                <w:sz w:val="22"/>
                <w:szCs w:val="22"/>
              </w:rPr>
              <w:tab/>
            </w:r>
            <w:r w:rsidR="00442E8B" w:rsidRPr="009C083D">
              <w:rPr>
                <w:webHidden/>
                <w:sz w:val="22"/>
                <w:szCs w:val="22"/>
              </w:rPr>
              <w:fldChar w:fldCharType="begin"/>
            </w:r>
            <w:r w:rsidR="00442E8B" w:rsidRPr="009C083D">
              <w:rPr>
                <w:webHidden/>
                <w:sz w:val="22"/>
                <w:szCs w:val="22"/>
              </w:rPr>
              <w:instrText xml:space="preserve"> PAGEREF _Toc535615946 \h </w:instrText>
            </w:r>
            <w:r w:rsidR="00442E8B" w:rsidRPr="009C083D">
              <w:rPr>
                <w:webHidden/>
                <w:sz w:val="22"/>
                <w:szCs w:val="22"/>
              </w:rPr>
            </w:r>
            <w:r w:rsidR="00442E8B" w:rsidRPr="009C083D">
              <w:rPr>
                <w:webHidden/>
                <w:sz w:val="22"/>
                <w:szCs w:val="22"/>
              </w:rPr>
              <w:fldChar w:fldCharType="separate"/>
            </w:r>
            <w:r w:rsidR="00DC3C36">
              <w:rPr>
                <w:webHidden/>
                <w:sz w:val="22"/>
                <w:szCs w:val="22"/>
              </w:rPr>
              <w:t>35</w:t>
            </w:r>
            <w:r w:rsidR="00442E8B" w:rsidRPr="009C083D">
              <w:rPr>
                <w:webHidden/>
                <w:sz w:val="22"/>
                <w:szCs w:val="22"/>
              </w:rPr>
              <w:fldChar w:fldCharType="end"/>
            </w:r>
          </w:hyperlink>
        </w:p>
        <w:p w14:paraId="06677447" w14:textId="3FB64EB3" w:rsidR="006A01E8" w:rsidRPr="009C083D" w:rsidRDefault="00895CB6" w:rsidP="009C083D">
          <w:pPr>
            <w:ind w:left="426" w:hanging="426"/>
            <w:sectPr w:rsidR="006A01E8" w:rsidRPr="009C083D" w:rsidSect="009C083D">
              <w:footerReference w:type="even" r:id="rId12"/>
              <w:footerReference w:type="default" r:id="rId13"/>
              <w:pgSz w:w="12240" w:h="15840"/>
              <w:pgMar w:top="1202" w:right="1440" w:bottom="1440" w:left="1440" w:header="708" w:footer="708" w:gutter="0"/>
              <w:cols w:space="708"/>
              <w:docGrid w:linePitch="360"/>
            </w:sectPr>
          </w:pPr>
          <w:r w:rsidRPr="009C083D">
            <w:rPr>
              <w:rFonts w:ascii="Times" w:hAnsi="Times"/>
              <w:b/>
              <w:bCs/>
              <w:noProof/>
              <w:sz w:val="22"/>
              <w:szCs w:val="21"/>
            </w:rPr>
            <w:fldChar w:fldCharType="end"/>
          </w:r>
        </w:p>
      </w:sdtContent>
    </w:sdt>
    <w:p w14:paraId="5FB9E9CE" w14:textId="495CA47E" w:rsidR="007672DE" w:rsidRPr="00B837D6" w:rsidRDefault="007672DE" w:rsidP="007672DE">
      <w:pPr>
        <w:outlineLvl w:val="0"/>
        <w:rPr>
          <w:b/>
          <w:sz w:val="28"/>
          <w:u w:val="single"/>
        </w:rPr>
      </w:pPr>
      <w:bookmarkStart w:id="1" w:name="_Toc535596746"/>
      <w:bookmarkStart w:id="2" w:name="_Toc535615913"/>
      <w:r w:rsidRPr="00B837D6">
        <w:rPr>
          <w:b/>
          <w:sz w:val="28"/>
          <w:u w:val="single"/>
        </w:rPr>
        <w:lastRenderedPageBreak/>
        <w:t>Assessment 1: Ea</w:t>
      </w:r>
      <w:r w:rsidR="00B837D6">
        <w:rPr>
          <w:b/>
          <w:sz w:val="28"/>
          <w:u w:val="single"/>
        </w:rPr>
        <w:t>s</w:t>
      </w:r>
      <w:r w:rsidRPr="00B837D6">
        <w:rPr>
          <w:b/>
          <w:sz w:val="28"/>
          <w:u w:val="single"/>
        </w:rPr>
        <w:t>yJet</w:t>
      </w:r>
      <w:bookmarkEnd w:id="1"/>
      <w:bookmarkEnd w:id="2"/>
    </w:p>
    <w:p w14:paraId="7A4B65C4" w14:textId="77777777" w:rsidR="007672DE" w:rsidRDefault="007672DE" w:rsidP="007672DE">
      <w:pPr>
        <w:jc w:val="both"/>
      </w:pPr>
    </w:p>
    <w:p w14:paraId="398BF98E" w14:textId="77777777" w:rsidR="007672DE" w:rsidRPr="00442E8B" w:rsidRDefault="007672DE" w:rsidP="007672DE">
      <w:pPr>
        <w:jc w:val="both"/>
        <w:rPr>
          <w:sz w:val="22"/>
          <w:szCs w:val="22"/>
        </w:rPr>
      </w:pPr>
      <w:r w:rsidRPr="00442E8B">
        <w:rPr>
          <w:sz w:val="22"/>
          <w:szCs w:val="22"/>
        </w:rPr>
        <w:t xml:space="preserve">Select a company whose shares are traded on the London Stock Exchange and is part of the FTSE 100 Index. Download its most recent annual report(s) covering the financial statements for the last 2 years. </w:t>
      </w:r>
    </w:p>
    <w:p w14:paraId="49F17F0C" w14:textId="77777777" w:rsidR="007672DE" w:rsidRPr="00442E8B" w:rsidRDefault="007672DE" w:rsidP="007672DE">
      <w:pPr>
        <w:jc w:val="both"/>
        <w:rPr>
          <w:sz w:val="22"/>
          <w:szCs w:val="22"/>
        </w:rPr>
      </w:pPr>
    </w:p>
    <w:p w14:paraId="50A3CD9E" w14:textId="77777777" w:rsidR="007672DE" w:rsidRPr="00442E8B" w:rsidRDefault="007672DE" w:rsidP="007672DE">
      <w:pPr>
        <w:jc w:val="both"/>
        <w:rPr>
          <w:sz w:val="22"/>
          <w:szCs w:val="22"/>
        </w:rPr>
      </w:pPr>
      <w:r w:rsidRPr="00442E8B">
        <w:rPr>
          <w:sz w:val="22"/>
          <w:szCs w:val="22"/>
        </w:rPr>
        <w:t>You are required to present a business report to the directors of the company. Within your report you should:</w:t>
      </w:r>
    </w:p>
    <w:p w14:paraId="37141392" w14:textId="77777777" w:rsidR="007672DE" w:rsidRPr="00442E8B" w:rsidRDefault="007672DE" w:rsidP="007672DE">
      <w:pPr>
        <w:jc w:val="both"/>
        <w:rPr>
          <w:sz w:val="22"/>
          <w:szCs w:val="22"/>
        </w:rPr>
      </w:pPr>
    </w:p>
    <w:p w14:paraId="183F9478" w14:textId="77777777" w:rsidR="007672DE" w:rsidRPr="00442E8B" w:rsidRDefault="007672DE" w:rsidP="00442E8B">
      <w:pPr>
        <w:pStyle w:val="ListParagraph"/>
        <w:numPr>
          <w:ilvl w:val="0"/>
          <w:numId w:val="29"/>
        </w:numPr>
        <w:spacing w:after="120" w:line="259" w:lineRule="auto"/>
        <w:ind w:left="426" w:hanging="284"/>
        <w:contextualSpacing w:val="0"/>
        <w:jc w:val="both"/>
        <w:rPr>
          <w:sz w:val="22"/>
          <w:szCs w:val="22"/>
        </w:rPr>
      </w:pPr>
      <w:r w:rsidRPr="00442E8B">
        <w:rPr>
          <w:sz w:val="22"/>
          <w:szCs w:val="22"/>
        </w:rPr>
        <w:t>Calculate profitability, liquidity, gearing, efficiency and investor ratios for a minimum of the past 2 years.</w:t>
      </w:r>
    </w:p>
    <w:p w14:paraId="5A2F7D8F" w14:textId="77777777" w:rsidR="007672DE" w:rsidRPr="00442E8B" w:rsidRDefault="007672DE" w:rsidP="00442E8B">
      <w:pPr>
        <w:pStyle w:val="ListParagraph"/>
        <w:numPr>
          <w:ilvl w:val="0"/>
          <w:numId w:val="29"/>
        </w:numPr>
        <w:spacing w:after="120" w:line="259" w:lineRule="auto"/>
        <w:ind w:left="426" w:hanging="284"/>
        <w:contextualSpacing w:val="0"/>
        <w:jc w:val="both"/>
        <w:rPr>
          <w:sz w:val="22"/>
          <w:szCs w:val="22"/>
        </w:rPr>
      </w:pPr>
      <w:r w:rsidRPr="00442E8B">
        <w:rPr>
          <w:sz w:val="22"/>
          <w:szCs w:val="22"/>
        </w:rPr>
        <w:t>Critically evaluate the ratios calculated. In your analysis. You should consider possible reasons for changes in ratios over the period and discuss the limitations of ratio analysis.</w:t>
      </w:r>
    </w:p>
    <w:p w14:paraId="6AF0B91A" w14:textId="77777777" w:rsidR="007672DE" w:rsidRPr="00442E8B" w:rsidRDefault="007672DE" w:rsidP="007672DE">
      <w:pPr>
        <w:pStyle w:val="ListParagraph"/>
        <w:numPr>
          <w:ilvl w:val="0"/>
          <w:numId w:val="29"/>
        </w:numPr>
        <w:spacing w:line="259" w:lineRule="auto"/>
        <w:ind w:left="426" w:hanging="284"/>
        <w:jc w:val="both"/>
        <w:rPr>
          <w:sz w:val="22"/>
          <w:szCs w:val="22"/>
        </w:rPr>
      </w:pPr>
      <w:r w:rsidRPr="00442E8B">
        <w:rPr>
          <w:sz w:val="22"/>
          <w:szCs w:val="22"/>
        </w:rPr>
        <w:t>Based on your analysis, make recommendations on how to improve the financial management of the company.</w:t>
      </w:r>
    </w:p>
    <w:p w14:paraId="2FFA18B3" w14:textId="77777777" w:rsidR="007672DE" w:rsidRPr="00442E8B" w:rsidRDefault="007672DE" w:rsidP="007672DE">
      <w:pPr>
        <w:pStyle w:val="ListParagraph"/>
        <w:ind w:left="0"/>
        <w:jc w:val="right"/>
        <w:rPr>
          <w:b/>
          <w:sz w:val="22"/>
          <w:szCs w:val="22"/>
        </w:rPr>
      </w:pPr>
      <w:r w:rsidRPr="00442E8B">
        <w:rPr>
          <w:b/>
          <w:sz w:val="22"/>
          <w:szCs w:val="22"/>
        </w:rPr>
        <w:t>(40%)</w:t>
      </w:r>
    </w:p>
    <w:p w14:paraId="2892676A" w14:textId="77777777" w:rsidR="007672DE" w:rsidRPr="00442E8B" w:rsidRDefault="007672DE" w:rsidP="007672DE">
      <w:pPr>
        <w:jc w:val="right"/>
        <w:rPr>
          <w:b/>
          <w:sz w:val="22"/>
          <w:szCs w:val="22"/>
        </w:rPr>
      </w:pPr>
      <w:r w:rsidRPr="00442E8B">
        <w:rPr>
          <w:b/>
          <w:sz w:val="22"/>
          <w:szCs w:val="22"/>
        </w:rPr>
        <w:t xml:space="preserve"> (2,500 words)</w:t>
      </w:r>
    </w:p>
    <w:p w14:paraId="139625ED" w14:textId="77777777" w:rsidR="007672DE" w:rsidRDefault="007672DE" w:rsidP="007672DE">
      <w:pPr>
        <w:tabs>
          <w:tab w:val="left" w:pos="1134"/>
        </w:tabs>
        <w:jc w:val="both"/>
        <w:outlineLvl w:val="0"/>
        <w:rPr>
          <w:b/>
          <w:sz w:val="22"/>
          <w:szCs w:val="22"/>
        </w:rPr>
        <w:sectPr w:rsidR="007672DE">
          <w:pgSz w:w="11906" w:h="16838"/>
          <w:pgMar w:top="1440" w:right="1440" w:bottom="1440" w:left="1440" w:header="708" w:footer="708" w:gutter="0"/>
          <w:cols w:space="708"/>
          <w:docGrid w:linePitch="360"/>
        </w:sectPr>
      </w:pPr>
    </w:p>
    <w:p w14:paraId="0239B577" w14:textId="77777777" w:rsidR="007672DE" w:rsidRPr="004454F8" w:rsidRDefault="007672DE" w:rsidP="007672DE">
      <w:pPr>
        <w:tabs>
          <w:tab w:val="left" w:pos="1134"/>
        </w:tabs>
        <w:jc w:val="both"/>
        <w:outlineLvl w:val="0"/>
        <w:rPr>
          <w:b/>
          <w:sz w:val="22"/>
          <w:szCs w:val="22"/>
        </w:rPr>
      </w:pPr>
      <w:bookmarkStart w:id="3" w:name="_Toc535596747"/>
      <w:bookmarkStart w:id="4" w:name="_Toc535615914"/>
      <w:r w:rsidRPr="004454F8">
        <w:rPr>
          <w:b/>
          <w:sz w:val="22"/>
          <w:szCs w:val="22"/>
        </w:rPr>
        <w:lastRenderedPageBreak/>
        <w:t>Executive Summary</w:t>
      </w:r>
      <w:bookmarkEnd w:id="3"/>
      <w:bookmarkEnd w:id="4"/>
    </w:p>
    <w:p w14:paraId="7AF34AD4" w14:textId="77777777" w:rsidR="007672DE" w:rsidRPr="004454F8" w:rsidRDefault="007672DE" w:rsidP="007672DE">
      <w:pPr>
        <w:tabs>
          <w:tab w:val="left" w:pos="1134"/>
        </w:tabs>
        <w:jc w:val="both"/>
        <w:rPr>
          <w:b/>
          <w:sz w:val="22"/>
          <w:szCs w:val="22"/>
        </w:rPr>
      </w:pPr>
    </w:p>
    <w:p w14:paraId="796F5859" w14:textId="493DA00E" w:rsidR="007672DE" w:rsidRDefault="00442E8B" w:rsidP="00442E8B">
      <w:pPr>
        <w:spacing w:line="480" w:lineRule="auto"/>
        <w:ind w:firstLine="425"/>
        <w:jc w:val="both"/>
        <w:rPr>
          <w:sz w:val="22"/>
          <w:szCs w:val="22"/>
        </w:rPr>
      </w:pPr>
      <w:r>
        <w:rPr>
          <w:sz w:val="22"/>
          <w:szCs w:val="22"/>
        </w:rPr>
        <w:t xml:space="preserve">With </w:t>
      </w:r>
      <w:r w:rsidR="009C083D">
        <w:rPr>
          <w:sz w:val="22"/>
          <w:szCs w:val="22"/>
        </w:rPr>
        <w:t>respect</w:t>
      </w:r>
      <w:r>
        <w:rPr>
          <w:sz w:val="22"/>
          <w:szCs w:val="22"/>
        </w:rPr>
        <w:t xml:space="preserve"> to EasyJet PLC, the present business report: c</w:t>
      </w:r>
      <w:r w:rsidRPr="00442E8B">
        <w:rPr>
          <w:sz w:val="22"/>
          <w:szCs w:val="22"/>
        </w:rPr>
        <w:t>alculate</w:t>
      </w:r>
      <w:r>
        <w:rPr>
          <w:sz w:val="22"/>
          <w:szCs w:val="22"/>
        </w:rPr>
        <w:t>s</w:t>
      </w:r>
      <w:r w:rsidRPr="00442E8B">
        <w:rPr>
          <w:sz w:val="22"/>
          <w:szCs w:val="22"/>
        </w:rPr>
        <w:t xml:space="preserve"> profitability, liquidity, gearing, efficiency and investor ratios 2</w:t>
      </w:r>
      <w:r>
        <w:rPr>
          <w:sz w:val="22"/>
          <w:szCs w:val="22"/>
        </w:rPr>
        <w:t>+ years; c</w:t>
      </w:r>
      <w:r w:rsidRPr="00442E8B">
        <w:rPr>
          <w:sz w:val="22"/>
          <w:szCs w:val="22"/>
        </w:rPr>
        <w:t>ritically evaluate</w:t>
      </w:r>
      <w:r>
        <w:rPr>
          <w:sz w:val="22"/>
          <w:szCs w:val="22"/>
        </w:rPr>
        <w:t>s the ratios calculated,</w:t>
      </w:r>
      <w:r w:rsidRPr="00442E8B">
        <w:rPr>
          <w:sz w:val="22"/>
          <w:szCs w:val="22"/>
        </w:rPr>
        <w:t xml:space="preserve"> consider</w:t>
      </w:r>
      <w:r>
        <w:rPr>
          <w:sz w:val="22"/>
          <w:szCs w:val="22"/>
        </w:rPr>
        <w:t>s</w:t>
      </w:r>
      <w:r w:rsidRPr="00442E8B">
        <w:rPr>
          <w:sz w:val="22"/>
          <w:szCs w:val="22"/>
        </w:rPr>
        <w:t xml:space="preserve"> possible reasons for changes in ratios over the period</w:t>
      </w:r>
      <w:r>
        <w:rPr>
          <w:sz w:val="22"/>
          <w:szCs w:val="22"/>
        </w:rPr>
        <w:t>,</w:t>
      </w:r>
      <w:r w:rsidRPr="00442E8B">
        <w:rPr>
          <w:sz w:val="22"/>
          <w:szCs w:val="22"/>
        </w:rPr>
        <w:t xml:space="preserve"> and discuss</w:t>
      </w:r>
      <w:r>
        <w:rPr>
          <w:sz w:val="22"/>
          <w:szCs w:val="22"/>
        </w:rPr>
        <w:t>es</w:t>
      </w:r>
      <w:r w:rsidRPr="00442E8B">
        <w:rPr>
          <w:sz w:val="22"/>
          <w:szCs w:val="22"/>
        </w:rPr>
        <w:t xml:space="preserve"> the limitations of ratio analysis</w:t>
      </w:r>
      <w:r>
        <w:rPr>
          <w:sz w:val="22"/>
          <w:szCs w:val="22"/>
        </w:rPr>
        <w:t>; and b</w:t>
      </w:r>
      <w:r w:rsidRPr="00442E8B">
        <w:rPr>
          <w:sz w:val="22"/>
          <w:szCs w:val="22"/>
        </w:rPr>
        <w:t xml:space="preserve">ased on </w:t>
      </w:r>
      <w:r>
        <w:rPr>
          <w:sz w:val="22"/>
          <w:szCs w:val="22"/>
        </w:rPr>
        <w:t xml:space="preserve">the overall </w:t>
      </w:r>
      <w:r w:rsidRPr="00442E8B">
        <w:rPr>
          <w:sz w:val="22"/>
          <w:szCs w:val="22"/>
        </w:rPr>
        <w:t>analysis</w:t>
      </w:r>
      <w:r>
        <w:rPr>
          <w:sz w:val="22"/>
          <w:szCs w:val="22"/>
        </w:rPr>
        <w:t xml:space="preserve"> of EasyJet</w:t>
      </w:r>
      <w:r w:rsidRPr="00442E8B">
        <w:rPr>
          <w:sz w:val="22"/>
          <w:szCs w:val="22"/>
        </w:rPr>
        <w:t>, make</w:t>
      </w:r>
      <w:r>
        <w:rPr>
          <w:sz w:val="22"/>
          <w:szCs w:val="22"/>
        </w:rPr>
        <w:t>s</w:t>
      </w:r>
      <w:r w:rsidRPr="00442E8B">
        <w:rPr>
          <w:sz w:val="22"/>
          <w:szCs w:val="22"/>
        </w:rPr>
        <w:t xml:space="preserve"> recommendations on how to improve the financial management of the company.</w:t>
      </w:r>
    </w:p>
    <w:p w14:paraId="2F793643" w14:textId="55046E75" w:rsidR="009C083D" w:rsidRPr="009C083D" w:rsidRDefault="00442E8B" w:rsidP="009C083D">
      <w:pPr>
        <w:spacing w:line="480" w:lineRule="auto"/>
        <w:ind w:firstLine="425"/>
        <w:jc w:val="both"/>
        <w:rPr>
          <w:sz w:val="22"/>
          <w:szCs w:val="22"/>
        </w:rPr>
      </w:pPr>
      <w:r>
        <w:rPr>
          <w:sz w:val="22"/>
          <w:szCs w:val="22"/>
        </w:rPr>
        <w:t xml:space="preserve">Based on the analysis, </w:t>
      </w:r>
      <w:r w:rsidRPr="00E824F2">
        <w:rPr>
          <w:rFonts w:ascii="Times" w:hAnsi="Times"/>
          <w:color w:val="000000" w:themeColor="text1"/>
          <w:sz w:val="22"/>
          <w:szCs w:val="22"/>
        </w:rPr>
        <w:t xml:space="preserve">EasyJet is doing well across all ratios, except for </w:t>
      </w:r>
      <w:r w:rsidRPr="00E824F2">
        <w:rPr>
          <w:rFonts w:ascii="Times" w:hAnsi="Times"/>
          <w:i/>
          <w:color w:val="000000" w:themeColor="text1"/>
          <w:sz w:val="22"/>
          <w:szCs w:val="22"/>
        </w:rPr>
        <w:t>current ratio</w:t>
      </w:r>
      <w:r w:rsidRPr="00E824F2">
        <w:rPr>
          <w:rFonts w:ascii="Times" w:hAnsi="Times"/>
          <w:color w:val="000000" w:themeColor="text1"/>
          <w:sz w:val="22"/>
          <w:szCs w:val="22"/>
        </w:rPr>
        <w:t xml:space="preserve"> and </w:t>
      </w:r>
      <w:r w:rsidRPr="00E824F2">
        <w:rPr>
          <w:rFonts w:ascii="Times" w:hAnsi="Times"/>
          <w:i/>
          <w:color w:val="000000" w:themeColor="text1"/>
          <w:sz w:val="22"/>
          <w:szCs w:val="22"/>
        </w:rPr>
        <w:t>P/ER</w:t>
      </w:r>
      <w:r w:rsidRPr="00E824F2">
        <w:rPr>
          <w:rFonts w:ascii="Times" w:hAnsi="Times"/>
          <w:color w:val="000000" w:themeColor="text1"/>
          <w:sz w:val="22"/>
          <w:szCs w:val="22"/>
        </w:rPr>
        <w:t xml:space="preserve">, which need to be monitored. Aside from this, there have been positive increases across all </w:t>
      </w:r>
      <w:r w:rsidR="009C083D">
        <w:rPr>
          <w:rFonts w:ascii="Times" w:hAnsi="Times"/>
          <w:color w:val="000000" w:themeColor="text1"/>
          <w:sz w:val="22"/>
          <w:szCs w:val="22"/>
        </w:rPr>
        <w:t xml:space="preserve">other </w:t>
      </w:r>
      <w:r w:rsidRPr="00E824F2">
        <w:rPr>
          <w:rFonts w:ascii="Times" w:hAnsi="Times"/>
          <w:color w:val="000000" w:themeColor="text1"/>
          <w:sz w:val="22"/>
          <w:szCs w:val="22"/>
        </w:rPr>
        <w:t xml:space="preserve">ratios, resulting from, </w:t>
      </w:r>
      <w:r w:rsidRPr="00E824F2">
        <w:rPr>
          <w:rFonts w:ascii="Times" w:hAnsi="Times"/>
          <w:i/>
          <w:color w:val="000000" w:themeColor="text1"/>
          <w:sz w:val="22"/>
          <w:szCs w:val="22"/>
        </w:rPr>
        <w:t xml:space="preserve">inter alia, </w:t>
      </w:r>
      <w:r w:rsidRPr="00E824F2">
        <w:rPr>
          <w:rFonts w:ascii="Times" w:hAnsi="Times"/>
          <w:color w:val="000000" w:themeColor="text1"/>
          <w:sz w:val="22"/>
          <w:szCs w:val="22"/>
        </w:rPr>
        <w:t>major capital investments made and returns already being borne. Despite these positive increases, EasyJet can still consider some ways forward with respect to improving financial management within the company</w:t>
      </w:r>
      <w:r w:rsidR="009C083D">
        <w:rPr>
          <w:rFonts w:ascii="Times" w:hAnsi="Times"/>
          <w:color w:val="000000" w:themeColor="text1"/>
          <w:sz w:val="22"/>
          <w:szCs w:val="22"/>
        </w:rPr>
        <w:t xml:space="preserve">, including by: monitoring </w:t>
      </w:r>
      <w:r w:rsidR="009C083D">
        <w:rPr>
          <w:i/>
          <w:sz w:val="22"/>
          <w:szCs w:val="22"/>
        </w:rPr>
        <w:t>average settlement period for trade r</w:t>
      </w:r>
      <w:r w:rsidR="009C083D" w:rsidRPr="0094709B">
        <w:rPr>
          <w:i/>
          <w:sz w:val="22"/>
          <w:szCs w:val="22"/>
        </w:rPr>
        <w:t xml:space="preserve">eceivables </w:t>
      </w:r>
      <w:r w:rsidR="009C083D" w:rsidRPr="0094709B">
        <w:rPr>
          <w:sz w:val="22"/>
          <w:szCs w:val="22"/>
        </w:rPr>
        <w:t xml:space="preserve">and </w:t>
      </w:r>
      <w:r w:rsidR="009C083D">
        <w:rPr>
          <w:i/>
          <w:sz w:val="22"/>
          <w:szCs w:val="22"/>
        </w:rPr>
        <w:t>trade p</w:t>
      </w:r>
      <w:r w:rsidR="009C083D" w:rsidRPr="0094709B">
        <w:rPr>
          <w:i/>
          <w:sz w:val="22"/>
          <w:szCs w:val="22"/>
        </w:rPr>
        <w:t>ayables</w:t>
      </w:r>
      <w:r w:rsidR="009C083D">
        <w:rPr>
          <w:sz w:val="22"/>
          <w:szCs w:val="22"/>
        </w:rPr>
        <w:t xml:space="preserve">; improving and aligning their </w:t>
      </w:r>
      <w:r w:rsidR="009C083D" w:rsidRPr="0094709B">
        <w:rPr>
          <w:i/>
          <w:sz w:val="22"/>
          <w:szCs w:val="22"/>
        </w:rPr>
        <w:t xml:space="preserve">Annual Financial Report </w:t>
      </w:r>
      <w:r w:rsidR="009C083D">
        <w:rPr>
          <w:sz w:val="22"/>
          <w:szCs w:val="22"/>
        </w:rPr>
        <w:t>with</w:t>
      </w:r>
      <w:r w:rsidR="009C083D" w:rsidRPr="0094709B">
        <w:rPr>
          <w:sz w:val="22"/>
          <w:szCs w:val="22"/>
        </w:rPr>
        <w:t xml:space="preserve"> the </w:t>
      </w:r>
      <w:r w:rsidR="009C083D" w:rsidRPr="0094709B">
        <w:rPr>
          <w:i/>
          <w:color w:val="333333"/>
          <w:sz w:val="22"/>
          <w:szCs w:val="22"/>
        </w:rPr>
        <w:t>International Integrated Reporting Council’s Integrated Reporting Framework (IIRF)</w:t>
      </w:r>
      <w:r w:rsidR="009C083D">
        <w:rPr>
          <w:color w:val="333333"/>
          <w:sz w:val="22"/>
          <w:szCs w:val="22"/>
        </w:rPr>
        <w:t>; and</w:t>
      </w:r>
      <w:r w:rsidR="009C083D">
        <w:rPr>
          <w:sz w:val="22"/>
          <w:szCs w:val="22"/>
        </w:rPr>
        <w:t xml:space="preserve"> </w:t>
      </w:r>
      <w:r w:rsidR="009C083D" w:rsidRPr="0094709B">
        <w:rPr>
          <w:sz w:val="22"/>
          <w:szCs w:val="22"/>
        </w:rPr>
        <w:t>develop</w:t>
      </w:r>
      <w:r w:rsidR="009C083D">
        <w:rPr>
          <w:sz w:val="22"/>
          <w:szCs w:val="22"/>
        </w:rPr>
        <w:t>ing</w:t>
      </w:r>
      <w:r w:rsidR="009C083D" w:rsidRPr="0094709B">
        <w:rPr>
          <w:sz w:val="22"/>
          <w:szCs w:val="22"/>
        </w:rPr>
        <w:t xml:space="preserve"> specific</w:t>
      </w:r>
      <w:r w:rsidR="009C083D">
        <w:rPr>
          <w:sz w:val="22"/>
          <w:szCs w:val="22"/>
        </w:rPr>
        <w:t xml:space="preserve"> annual</w:t>
      </w:r>
      <w:r w:rsidR="009C083D" w:rsidRPr="0094709B">
        <w:rPr>
          <w:sz w:val="22"/>
          <w:szCs w:val="22"/>
        </w:rPr>
        <w:t xml:space="preserve"> financial performance </w:t>
      </w:r>
      <w:r w:rsidR="009C083D">
        <w:rPr>
          <w:sz w:val="22"/>
          <w:szCs w:val="22"/>
        </w:rPr>
        <w:t xml:space="preserve">management </w:t>
      </w:r>
      <w:r w:rsidR="009C083D" w:rsidRPr="0094709B">
        <w:rPr>
          <w:sz w:val="22"/>
          <w:szCs w:val="22"/>
        </w:rPr>
        <w:t>targets</w:t>
      </w:r>
      <w:r w:rsidR="009C083D">
        <w:rPr>
          <w:sz w:val="22"/>
          <w:szCs w:val="22"/>
        </w:rPr>
        <w:t>.</w:t>
      </w:r>
    </w:p>
    <w:p w14:paraId="3746D18A" w14:textId="77777777" w:rsidR="00442E8B" w:rsidRPr="00442E8B" w:rsidRDefault="00442E8B" w:rsidP="00442E8B">
      <w:pPr>
        <w:jc w:val="both"/>
        <w:rPr>
          <w:sz w:val="22"/>
          <w:szCs w:val="22"/>
        </w:rPr>
      </w:pPr>
    </w:p>
    <w:p w14:paraId="3F9D3F79" w14:textId="77777777" w:rsidR="007672DE" w:rsidRPr="004454F8" w:rsidRDefault="007672DE" w:rsidP="00442E8B">
      <w:pPr>
        <w:pStyle w:val="ListParagraph"/>
        <w:numPr>
          <w:ilvl w:val="0"/>
          <w:numId w:val="37"/>
        </w:numPr>
        <w:tabs>
          <w:tab w:val="left" w:pos="1134"/>
        </w:tabs>
        <w:ind w:left="426" w:hanging="437"/>
        <w:jc w:val="both"/>
        <w:outlineLvl w:val="0"/>
        <w:rPr>
          <w:b/>
          <w:sz w:val="22"/>
          <w:szCs w:val="22"/>
        </w:rPr>
      </w:pPr>
      <w:bookmarkStart w:id="5" w:name="_Toc535615915"/>
      <w:r w:rsidRPr="004454F8">
        <w:rPr>
          <w:b/>
          <w:sz w:val="22"/>
          <w:szCs w:val="22"/>
        </w:rPr>
        <w:t>Introduction</w:t>
      </w:r>
      <w:bookmarkEnd w:id="5"/>
    </w:p>
    <w:p w14:paraId="0E98E997" w14:textId="77777777" w:rsidR="007672DE" w:rsidRPr="004454F8" w:rsidRDefault="007672DE" w:rsidP="007672DE">
      <w:pPr>
        <w:pStyle w:val="ListParagraph"/>
        <w:tabs>
          <w:tab w:val="left" w:pos="1134"/>
        </w:tabs>
        <w:ind w:left="426"/>
        <w:jc w:val="both"/>
        <w:rPr>
          <w:b/>
          <w:sz w:val="22"/>
          <w:szCs w:val="22"/>
        </w:rPr>
      </w:pPr>
    </w:p>
    <w:p w14:paraId="10623C3F" w14:textId="7F083EFD" w:rsidR="00B837D6" w:rsidRDefault="007672DE" w:rsidP="00B837D6">
      <w:pPr>
        <w:tabs>
          <w:tab w:val="left" w:pos="284"/>
        </w:tabs>
        <w:spacing w:line="480" w:lineRule="auto"/>
        <w:ind w:firstLine="425"/>
        <w:jc w:val="both"/>
        <w:rPr>
          <w:sz w:val="22"/>
          <w:szCs w:val="22"/>
        </w:rPr>
      </w:pPr>
      <w:r w:rsidRPr="004454F8">
        <w:rPr>
          <w:sz w:val="22"/>
          <w:szCs w:val="22"/>
        </w:rPr>
        <w:t xml:space="preserve">EasyJet PLC is a low-cost European airline which is part of the FTSE 100 Index and traded on the London Stock Exchange (LSE 2018). EasyJet’s success can be attributed to a number of key </w:t>
      </w:r>
      <w:r w:rsidRPr="004454F8">
        <w:rPr>
          <w:color w:val="000000" w:themeColor="text1"/>
          <w:sz w:val="22"/>
          <w:szCs w:val="22"/>
        </w:rPr>
        <w:t>operational characteristics, including its: (</w:t>
      </w:r>
      <w:proofErr w:type="spellStart"/>
      <w:r w:rsidRPr="004454F8">
        <w:rPr>
          <w:color w:val="000000" w:themeColor="text1"/>
          <w:sz w:val="22"/>
          <w:szCs w:val="22"/>
        </w:rPr>
        <w:t>i</w:t>
      </w:r>
      <w:proofErr w:type="spellEnd"/>
      <w:r w:rsidRPr="004454F8">
        <w:rPr>
          <w:color w:val="000000" w:themeColor="text1"/>
          <w:sz w:val="22"/>
          <w:szCs w:val="22"/>
        </w:rPr>
        <w:t xml:space="preserve">) </w:t>
      </w:r>
      <w:r w:rsidRPr="004454F8">
        <w:rPr>
          <w:i/>
          <w:color w:val="000000" w:themeColor="text1"/>
          <w:sz w:val="22"/>
          <w:szCs w:val="22"/>
        </w:rPr>
        <w:t>capital:</w:t>
      </w:r>
      <w:r w:rsidRPr="004454F8">
        <w:rPr>
          <w:color w:val="000000" w:themeColor="text1"/>
          <w:sz w:val="22"/>
          <w:szCs w:val="22"/>
        </w:rPr>
        <w:t xml:space="preserve"> as of 30 September 2018, EasyJet had a market capitalization of £5 billion and a net cash position of £396 million (</w:t>
      </w:r>
      <w:r w:rsidR="00412455">
        <w:rPr>
          <w:color w:val="000000" w:themeColor="text1"/>
          <w:sz w:val="22"/>
          <w:szCs w:val="22"/>
        </w:rPr>
        <w:t xml:space="preserve">2017: </w:t>
      </w:r>
      <w:r w:rsidRPr="004454F8">
        <w:rPr>
          <w:color w:val="000000" w:themeColor="text1"/>
          <w:sz w:val="22"/>
          <w:szCs w:val="22"/>
        </w:rPr>
        <w:t>£357</w:t>
      </w:r>
      <w:r w:rsidR="00412455">
        <w:rPr>
          <w:color w:val="000000" w:themeColor="text1"/>
          <w:sz w:val="22"/>
          <w:szCs w:val="22"/>
        </w:rPr>
        <w:t xml:space="preserve"> million</w:t>
      </w:r>
      <w:r w:rsidRPr="004454F8">
        <w:rPr>
          <w:color w:val="000000" w:themeColor="text1"/>
          <w:sz w:val="22"/>
          <w:szCs w:val="22"/>
        </w:rPr>
        <w:t xml:space="preserve">); (ii) </w:t>
      </w:r>
      <w:r w:rsidRPr="004454F8">
        <w:rPr>
          <w:i/>
          <w:color w:val="000000" w:themeColor="text1"/>
          <w:sz w:val="22"/>
          <w:szCs w:val="22"/>
        </w:rPr>
        <w:t>aircraft:</w:t>
      </w:r>
      <w:r w:rsidRPr="004454F8">
        <w:rPr>
          <w:color w:val="000000" w:themeColor="text1"/>
          <w:sz w:val="22"/>
          <w:szCs w:val="22"/>
        </w:rPr>
        <w:t xml:space="preserve"> Easy</w:t>
      </w:r>
      <w:r w:rsidR="00412455">
        <w:rPr>
          <w:color w:val="000000" w:themeColor="text1"/>
          <w:sz w:val="22"/>
          <w:szCs w:val="22"/>
        </w:rPr>
        <w:t xml:space="preserve">Jet had 315 aircraft as of 2018 (2017: </w:t>
      </w:r>
      <w:r w:rsidRPr="004454F8">
        <w:rPr>
          <w:color w:val="000000" w:themeColor="text1"/>
          <w:sz w:val="22"/>
          <w:szCs w:val="22"/>
        </w:rPr>
        <w:t xml:space="preserve">279 </w:t>
      </w:r>
      <w:r w:rsidR="00412455">
        <w:rPr>
          <w:color w:val="000000" w:themeColor="text1"/>
          <w:sz w:val="22"/>
          <w:szCs w:val="22"/>
        </w:rPr>
        <w:t>aircraft)</w:t>
      </w:r>
      <w:r w:rsidRPr="004454F8">
        <w:rPr>
          <w:color w:val="000000" w:themeColor="text1"/>
          <w:sz w:val="22"/>
          <w:szCs w:val="22"/>
        </w:rPr>
        <w:t xml:space="preserve">; (iii) </w:t>
      </w:r>
      <w:r w:rsidRPr="004454F8">
        <w:rPr>
          <w:i/>
          <w:color w:val="000000" w:themeColor="text1"/>
          <w:sz w:val="22"/>
          <w:szCs w:val="22"/>
        </w:rPr>
        <w:t xml:space="preserve">people: </w:t>
      </w:r>
      <w:r w:rsidRPr="004454F8">
        <w:rPr>
          <w:color w:val="000000" w:themeColor="text1"/>
          <w:sz w:val="22"/>
          <w:szCs w:val="22"/>
        </w:rPr>
        <w:t xml:space="preserve">EasyJet had 14,605 employees, </w:t>
      </w:r>
      <w:r w:rsidR="00412455">
        <w:rPr>
          <w:color w:val="000000" w:themeColor="text1"/>
          <w:sz w:val="22"/>
          <w:szCs w:val="22"/>
        </w:rPr>
        <w:t>(2017: 12,181)</w:t>
      </w:r>
      <w:r w:rsidRPr="004454F8">
        <w:rPr>
          <w:color w:val="000000" w:themeColor="text1"/>
          <w:sz w:val="22"/>
          <w:szCs w:val="22"/>
        </w:rPr>
        <w:t xml:space="preserve">; (iv) </w:t>
      </w:r>
      <w:r w:rsidRPr="004454F8">
        <w:rPr>
          <w:i/>
          <w:color w:val="000000" w:themeColor="text1"/>
          <w:sz w:val="22"/>
          <w:szCs w:val="22"/>
        </w:rPr>
        <w:t xml:space="preserve">technology: </w:t>
      </w:r>
      <w:r w:rsidRPr="004454F8">
        <w:rPr>
          <w:color w:val="000000" w:themeColor="text1"/>
          <w:sz w:val="22"/>
          <w:szCs w:val="22"/>
        </w:rPr>
        <w:t>EasyJet achieved 615 million visits across all of its digital platforms</w:t>
      </w:r>
      <w:r w:rsidR="00412455">
        <w:rPr>
          <w:color w:val="000000" w:themeColor="text1"/>
          <w:sz w:val="22"/>
          <w:szCs w:val="22"/>
        </w:rPr>
        <w:t>(2017:</w:t>
      </w:r>
      <w:r w:rsidRPr="004454F8">
        <w:rPr>
          <w:color w:val="000000" w:themeColor="text1"/>
          <w:sz w:val="22"/>
          <w:szCs w:val="22"/>
        </w:rPr>
        <w:t xml:space="preserve"> 567 million </w:t>
      </w:r>
      <w:r w:rsidR="00412455">
        <w:rPr>
          <w:color w:val="000000" w:themeColor="text1"/>
          <w:sz w:val="22"/>
          <w:szCs w:val="22"/>
        </w:rPr>
        <w:t>visits)</w:t>
      </w:r>
      <w:r w:rsidRPr="004454F8">
        <w:rPr>
          <w:color w:val="000000" w:themeColor="text1"/>
          <w:sz w:val="22"/>
          <w:szCs w:val="22"/>
        </w:rPr>
        <w:t xml:space="preserve">; </w:t>
      </w:r>
      <w:r w:rsidR="00C44F68">
        <w:rPr>
          <w:color w:val="000000" w:themeColor="text1"/>
          <w:sz w:val="22"/>
          <w:szCs w:val="22"/>
        </w:rPr>
        <w:t xml:space="preserve">and </w:t>
      </w:r>
      <w:r w:rsidRPr="004454F8">
        <w:rPr>
          <w:color w:val="000000" w:themeColor="text1"/>
          <w:sz w:val="22"/>
          <w:szCs w:val="22"/>
        </w:rPr>
        <w:t xml:space="preserve">(v) </w:t>
      </w:r>
      <w:r w:rsidRPr="004454F8">
        <w:rPr>
          <w:i/>
          <w:color w:val="000000" w:themeColor="text1"/>
          <w:sz w:val="22"/>
          <w:szCs w:val="22"/>
        </w:rPr>
        <w:t>reach:</w:t>
      </w:r>
      <w:r w:rsidRPr="004454F8">
        <w:rPr>
          <w:color w:val="000000" w:themeColor="text1"/>
          <w:sz w:val="22"/>
          <w:szCs w:val="22"/>
        </w:rPr>
        <w:t xml:space="preserve"> EasyJet operates at</w:t>
      </w:r>
      <w:r w:rsidR="00412455">
        <w:rPr>
          <w:color w:val="000000" w:themeColor="text1"/>
          <w:sz w:val="22"/>
          <w:szCs w:val="22"/>
        </w:rPr>
        <w:t xml:space="preserve"> 156 airports across 979 routes (2017: </w:t>
      </w:r>
      <w:r w:rsidRPr="004454F8">
        <w:rPr>
          <w:color w:val="000000" w:themeColor="text1"/>
          <w:sz w:val="22"/>
          <w:szCs w:val="22"/>
        </w:rPr>
        <w:t xml:space="preserve">138 </w:t>
      </w:r>
      <w:r w:rsidR="00412455">
        <w:rPr>
          <w:color w:val="000000" w:themeColor="text1"/>
          <w:sz w:val="22"/>
          <w:szCs w:val="22"/>
        </w:rPr>
        <w:t xml:space="preserve">airports, </w:t>
      </w:r>
      <w:r w:rsidRPr="004454F8">
        <w:rPr>
          <w:color w:val="000000" w:themeColor="text1"/>
          <w:sz w:val="22"/>
          <w:szCs w:val="22"/>
        </w:rPr>
        <w:t>862</w:t>
      </w:r>
      <w:r w:rsidR="00412455">
        <w:rPr>
          <w:color w:val="000000" w:themeColor="text1"/>
          <w:sz w:val="22"/>
          <w:szCs w:val="22"/>
        </w:rPr>
        <w:t xml:space="preserve"> routes)</w:t>
      </w:r>
      <w:r w:rsidRPr="004454F8">
        <w:rPr>
          <w:color w:val="000000" w:themeColor="text1"/>
          <w:sz w:val="22"/>
          <w:szCs w:val="22"/>
        </w:rPr>
        <w:t xml:space="preserve">. Additionally, in terms of policy and strategy, EasyJet follows: the </w:t>
      </w:r>
      <w:r w:rsidRPr="004454F8">
        <w:rPr>
          <w:i/>
          <w:color w:val="000000" w:themeColor="text1"/>
          <w:sz w:val="22"/>
          <w:szCs w:val="22"/>
        </w:rPr>
        <w:t>UK Corporate Governance Code</w:t>
      </w:r>
      <w:r w:rsidRPr="004454F8">
        <w:rPr>
          <w:color w:val="000000" w:themeColor="text1"/>
          <w:sz w:val="22"/>
          <w:szCs w:val="22"/>
        </w:rPr>
        <w:t xml:space="preserve">; a set of </w:t>
      </w:r>
      <w:r w:rsidRPr="004454F8">
        <w:rPr>
          <w:i/>
          <w:color w:val="000000" w:themeColor="text1"/>
          <w:sz w:val="22"/>
          <w:szCs w:val="22"/>
        </w:rPr>
        <w:t>ethics</w:t>
      </w:r>
      <w:r w:rsidRPr="004454F8">
        <w:rPr>
          <w:color w:val="000000" w:themeColor="text1"/>
          <w:sz w:val="22"/>
          <w:szCs w:val="22"/>
        </w:rPr>
        <w:t xml:space="preserve"> and </w:t>
      </w:r>
      <w:r w:rsidRPr="004454F8">
        <w:rPr>
          <w:i/>
          <w:color w:val="000000" w:themeColor="text1"/>
          <w:sz w:val="22"/>
          <w:szCs w:val="22"/>
        </w:rPr>
        <w:t>corporate social responsibility policies</w:t>
      </w:r>
      <w:r w:rsidR="00C44F68">
        <w:rPr>
          <w:color w:val="000000" w:themeColor="text1"/>
          <w:sz w:val="22"/>
          <w:szCs w:val="22"/>
        </w:rPr>
        <w:t>, which codify how it must operate (</w:t>
      </w:r>
      <w:r w:rsidRPr="004454F8">
        <w:rPr>
          <w:color w:val="000000" w:themeColor="text1"/>
          <w:sz w:val="22"/>
          <w:szCs w:val="22"/>
        </w:rPr>
        <w:t xml:space="preserve">the former emphasizes openness, transparency, and honesty, and the latter safety, environmental sustainability, positive </w:t>
      </w:r>
      <w:r w:rsidR="00C44F68">
        <w:rPr>
          <w:color w:val="000000" w:themeColor="text1"/>
          <w:sz w:val="22"/>
          <w:szCs w:val="22"/>
        </w:rPr>
        <w:t xml:space="preserve">societal </w:t>
      </w:r>
      <w:r w:rsidRPr="004454F8">
        <w:rPr>
          <w:color w:val="000000" w:themeColor="text1"/>
          <w:sz w:val="22"/>
          <w:szCs w:val="22"/>
        </w:rPr>
        <w:t xml:space="preserve">contributions, </w:t>
      </w:r>
      <w:r w:rsidR="00412455">
        <w:rPr>
          <w:color w:val="000000" w:themeColor="text1"/>
          <w:sz w:val="22"/>
          <w:szCs w:val="22"/>
        </w:rPr>
        <w:t xml:space="preserve">and </w:t>
      </w:r>
      <w:r w:rsidRPr="004454F8">
        <w:rPr>
          <w:color w:val="000000" w:themeColor="text1"/>
          <w:sz w:val="22"/>
          <w:szCs w:val="22"/>
        </w:rPr>
        <w:t xml:space="preserve">commitment to human </w:t>
      </w:r>
      <w:r w:rsidRPr="004454F8">
        <w:rPr>
          <w:color w:val="000000" w:themeColor="text1"/>
          <w:sz w:val="22"/>
          <w:szCs w:val="22"/>
        </w:rPr>
        <w:lastRenderedPageBreak/>
        <w:t>rights</w:t>
      </w:r>
      <w:r w:rsidRPr="004454F8">
        <w:rPr>
          <w:rStyle w:val="FootnoteReference"/>
          <w:color w:val="000000" w:themeColor="text1"/>
          <w:sz w:val="22"/>
          <w:szCs w:val="22"/>
        </w:rPr>
        <w:footnoteReference w:id="1"/>
      </w:r>
      <w:r w:rsidR="00412455">
        <w:rPr>
          <w:color w:val="000000" w:themeColor="text1"/>
          <w:sz w:val="22"/>
          <w:szCs w:val="22"/>
        </w:rPr>
        <w:t>,</w:t>
      </w:r>
      <w:r w:rsidRPr="004454F8">
        <w:rPr>
          <w:color w:val="000000" w:themeColor="text1"/>
          <w:sz w:val="22"/>
          <w:szCs w:val="22"/>
        </w:rPr>
        <w:t xml:space="preserve"> </w:t>
      </w:r>
      <w:r w:rsidR="00412455">
        <w:rPr>
          <w:color w:val="000000" w:themeColor="text1"/>
          <w:sz w:val="22"/>
          <w:szCs w:val="22"/>
        </w:rPr>
        <w:t>u</w:t>
      </w:r>
      <w:r w:rsidRPr="004454F8">
        <w:rPr>
          <w:color w:val="000000" w:themeColor="text1"/>
          <w:sz w:val="22"/>
          <w:szCs w:val="22"/>
        </w:rPr>
        <w:t xml:space="preserve">pholding the </w:t>
      </w:r>
      <w:r w:rsidRPr="004454F8">
        <w:rPr>
          <w:i/>
          <w:color w:val="000000" w:themeColor="text1"/>
          <w:sz w:val="22"/>
          <w:szCs w:val="22"/>
        </w:rPr>
        <w:t>Modern Slavery Act</w:t>
      </w:r>
      <w:r w:rsidRPr="004454F8">
        <w:rPr>
          <w:rStyle w:val="FootnoteReference"/>
          <w:i/>
          <w:color w:val="000000" w:themeColor="text1"/>
          <w:sz w:val="22"/>
          <w:szCs w:val="22"/>
        </w:rPr>
        <w:footnoteReference w:id="2"/>
      </w:r>
      <w:r w:rsidRPr="004454F8">
        <w:rPr>
          <w:color w:val="000000" w:themeColor="text1"/>
          <w:sz w:val="22"/>
          <w:szCs w:val="22"/>
        </w:rPr>
        <w:t xml:space="preserve">, </w:t>
      </w:r>
      <w:r w:rsidR="004126CD">
        <w:rPr>
          <w:color w:val="000000" w:themeColor="text1"/>
          <w:sz w:val="22"/>
          <w:szCs w:val="22"/>
        </w:rPr>
        <w:t>and</w:t>
      </w:r>
      <w:r w:rsidRPr="004454F8">
        <w:rPr>
          <w:color w:val="000000" w:themeColor="text1"/>
          <w:sz w:val="22"/>
          <w:szCs w:val="22"/>
        </w:rPr>
        <w:t xml:space="preserve"> eliminating any gender pay gaps</w:t>
      </w:r>
      <w:r w:rsidR="005458EE">
        <w:rPr>
          <w:color w:val="000000" w:themeColor="text1"/>
          <w:sz w:val="22"/>
          <w:szCs w:val="22"/>
        </w:rPr>
        <w:t>)</w:t>
      </w:r>
      <w:r w:rsidRPr="004454F8">
        <w:rPr>
          <w:color w:val="000000" w:themeColor="text1"/>
          <w:sz w:val="22"/>
          <w:szCs w:val="22"/>
        </w:rPr>
        <w:t xml:space="preserve"> (EasyJet 2016, 2017, 2018a &amp; no date A, B, C, D, E, F, G; FRC 2018); and a strategy which seeks to ensure EasyJet can continue to benefit from its competitive advantages, including its, “unparalleled network and market positions, efficient low cost model, well-known brand and strong balance sheet” (EasyJet PLC 2018, </w:t>
      </w:r>
      <w:proofErr w:type="spellStart"/>
      <w:r w:rsidRPr="004454F8">
        <w:rPr>
          <w:color w:val="000000" w:themeColor="text1"/>
          <w:sz w:val="22"/>
          <w:szCs w:val="22"/>
        </w:rPr>
        <w:t>pgph</w:t>
      </w:r>
      <w:proofErr w:type="spellEnd"/>
      <w:r w:rsidRPr="004454F8">
        <w:rPr>
          <w:color w:val="000000" w:themeColor="text1"/>
          <w:sz w:val="22"/>
          <w:szCs w:val="22"/>
        </w:rPr>
        <w:t xml:space="preserve">. 6). </w:t>
      </w:r>
      <w:r w:rsidRPr="004454F8">
        <w:rPr>
          <w:sz w:val="22"/>
          <w:szCs w:val="22"/>
        </w:rPr>
        <w:t>Collectively, these key characteristics have led EasyJet to consistently grow from year to year, both in terms of its operations and revenue, despite numerous other competitors</w:t>
      </w:r>
      <w:r w:rsidR="005458EE">
        <w:rPr>
          <w:sz w:val="22"/>
          <w:szCs w:val="22"/>
        </w:rPr>
        <w:t xml:space="preserve"> (e.g. </w:t>
      </w:r>
      <w:proofErr w:type="spellStart"/>
      <w:r w:rsidRPr="004454F8">
        <w:rPr>
          <w:sz w:val="22"/>
          <w:szCs w:val="22"/>
        </w:rPr>
        <w:t>RyanAir</w:t>
      </w:r>
      <w:proofErr w:type="spellEnd"/>
      <w:r w:rsidR="005458EE">
        <w:rPr>
          <w:sz w:val="22"/>
          <w:szCs w:val="22"/>
        </w:rPr>
        <w:t>,</w:t>
      </w:r>
      <w:r w:rsidRPr="004454F8">
        <w:rPr>
          <w:sz w:val="22"/>
          <w:szCs w:val="22"/>
        </w:rPr>
        <w:t xml:space="preserve"> </w:t>
      </w:r>
      <w:proofErr w:type="spellStart"/>
      <w:r w:rsidRPr="004454F8">
        <w:rPr>
          <w:sz w:val="22"/>
          <w:szCs w:val="22"/>
        </w:rPr>
        <w:t>Eurowings</w:t>
      </w:r>
      <w:proofErr w:type="spellEnd"/>
      <w:r w:rsidR="004126CD">
        <w:rPr>
          <w:sz w:val="22"/>
          <w:szCs w:val="22"/>
        </w:rPr>
        <w:t>)</w:t>
      </w:r>
      <w:r w:rsidRPr="004454F8">
        <w:rPr>
          <w:sz w:val="22"/>
          <w:szCs w:val="22"/>
        </w:rPr>
        <w:t xml:space="preserve"> (</w:t>
      </w:r>
      <w:proofErr w:type="spellStart"/>
      <w:r w:rsidRPr="004454F8">
        <w:rPr>
          <w:sz w:val="22"/>
          <w:szCs w:val="22"/>
        </w:rPr>
        <w:t>Waltenberger</w:t>
      </w:r>
      <w:proofErr w:type="spellEnd"/>
      <w:r w:rsidRPr="004454F8">
        <w:rPr>
          <w:sz w:val="22"/>
          <w:szCs w:val="22"/>
        </w:rPr>
        <w:t xml:space="preserve"> &amp; Ruff-Stahl 2018).</w:t>
      </w:r>
    </w:p>
    <w:p w14:paraId="1A4A12C9" w14:textId="263885A0" w:rsidR="007672DE" w:rsidRPr="004454F8" w:rsidRDefault="007672DE" w:rsidP="00B837D6">
      <w:pPr>
        <w:tabs>
          <w:tab w:val="left" w:pos="284"/>
        </w:tabs>
        <w:spacing w:line="480" w:lineRule="auto"/>
        <w:ind w:firstLine="425"/>
        <w:jc w:val="both"/>
        <w:rPr>
          <w:sz w:val="22"/>
          <w:szCs w:val="22"/>
        </w:rPr>
      </w:pPr>
      <w:r w:rsidRPr="004454F8">
        <w:rPr>
          <w:sz w:val="22"/>
          <w:szCs w:val="22"/>
        </w:rPr>
        <w:t>This business report will</w:t>
      </w:r>
      <w:r w:rsidR="005458EE">
        <w:rPr>
          <w:sz w:val="22"/>
          <w:szCs w:val="22"/>
        </w:rPr>
        <w:t xml:space="preserve"> now </w:t>
      </w:r>
      <w:r w:rsidRPr="004454F8">
        <w:rPr>
          <w:sz w:val="22"/>
          <w:szCs w:val="22"/>
        </w:rPr>
        <w:t xml:space="preserve">examine EasyJet’s profit, loss, balance sheet, and </w:t>
      </w:r>
      <w:proofErr w:type="spellStart"/>
      <w:r w:rsidRPr="004454F8">
        <w:rPr>
          <w:sz w:val="22"/>
          <w:szCs w:val="22"/>
        </w:rPr>
        <w:t>cashflow</w:t>
      </w:r>
      <w:proofErr w:type="spellEnd"/>
      <w:r w:rsidRPr="004454F8">
        <w:rPr>
          <w:sz w:val="22"/>
          <w:szCs w:val="22"/>
        </w:rPr>
        <w:t xml:space="preserve"> reports </w:t>
      </w:r>
      <w:r w:rsidR="005458EE">
        <w:rPr>
          <w:sz w:val="22"/>
          <w:szCs w:val="22"/>
        </w:rPr>
        <w:t>over the past few years</w:t>
      </w:r>
      <w:r w:rsidRPr="004454F8">
        <w:rPr>
          <w:sz w:val="22"/>
          <w:szCs w:val="22"/>
        </w:rPr>
        <w:t xml:space="preserve">, in order to calculate </w:t>
      </w:r>
      <w:r w:rsidR="005458EE">
        <w:rPr>
          <w:sz w:val="22"/>
          <w:szCs w:val="22"/>
        </w:rPr>
        <w:t>and</w:t>
      </w:r>
      <w:r w:rsidRPr="004454F8">
        <w:rPr>
          <w:sz w:val="22"/>
          <w:szCs w:val="22"/>
        </w:rPr>
        <w:t xml:space="preserve"> critically assess and evaluate ratios related to the company’s profitability, liquidity, gearing, efficiency and investor ratios, so as to make recommendations to senior management on how EasyJet could possibly improve the financial management in the future.</w:t>
      </w:r>
    </w:p>
    <w:p w14:paraId="26BF6C62" w14:textId="77777777" w:rsidR="007672DE" w:rsidRPr="004454F8" w:rsidRDefault="007672DE" w:rsidP="007672DE">
      <w:pPr>
        <w:tabs>
          <w:tab w:val="left" w:pos="1134"/>
        </w:tabs>
        <w:jc w:val="both"/>
        <w:rPr>
          <w:sz w:val="22"/>
          <w:szCs w:val="22"/>
        </w:rPr>
      </w:pPr>
    </w:p>
    <w:p w14:paraId="18ADAA65" w14:textId="77777777" w:rsidR="007672DE" w:rsidRPr="004454F8" w:rsidRDefault="007672DE" w:rsidP="007672DE">
      <w:pPr>
        <w:tabs>
          <w:tab w:val="left" w:pos="1134"/>
        </w:tabs>
        <w:jc w:val="both"/>
        <w:rPr>
          <w:sz w:val="22"/>
          <w:szCs w:val="22"/>
        </w:rPr>
      </w:pPr>
    </w:p>
    <w:p w14:paraId="596EA068" w14:textId="77777777" w:rsidR="007672DE" w:rsidRPr="004454F8" w:rsidRDefault="007672DE" w:rsidP="007672DE">
      <w:pPr>
        <w:pStyle w:val="ListParagraph"/>
        <w:numPr>
          <w:ilvl w:val="0"/>
          <w:numId w:val="37"/>
        </w:numPr>
        <w:tabs>
          <w:tab w:val="left" w:pos="1134"/>
        </w:tabs>
        <w:ind w:left="426" w:hanging="426"/>
        <w:rPr>
          <w:b/>
          <w:color w:val="000000" w:themeColor="text1"/>
          <w:sz w:val="22"/>
          <w:szCs w:val="22"/>
        </w:rPr>
        <w:sectPr w:rsidR="007672DE" w:rsidRPr="004454F8">
          <w:pgSz w:w="11906" w:h="16838"/>
          <w:pgMar w:top="1440" w:right="1440" w:bottom="1440" w:left="1440" w:header="708" w:footer="708" w:gutter="0"/>
          <w:cols w:space="708"/>
          <w:docGrid w:linePitch="360"/>
        </w:sectPr>
      </w:pPr>
    </w:p>
    <w:p w14:paraId="040CAD12" w14:textId="77777777" w:rsidR="007672DE" w:rsidRPr="004454F8" w:rsidRDefault="007672DE" w:rsidP="007672DE">
      <w:pPr>
        <w:pStyle w:val="ListParagraph"/>
        <w:numPr>
          <w:ilvl w:val="0"/>
          <w:numId w:val="37"/>
        </w:numPr>
        <w:tabs>
          <w:tab w:val="left" w:pos="1134"/>
        </w:tabs>
        <w:spacing w:after="120"/>
        <w:ind w:left="426" w:hanging="426"/>
        <w:outlineLvl w:val="0"/>
        <w:rPr>
          <w:b/>
          <w:color w:val="000000" w:themeColor="text1"/>
          <w:sz w:val="22"/>
          <w:szCs w:val="22"/>
        </w:rPr>
      </w:pPr>
      <w:bookmarkStart w:id="6" w:name="_Toc535596748"/>
      <w:bookmarkStart w:id="7" w:name="_Toc535615916"/>
      <w:r w:rsidRPr="004454F8">
        <w:rPr>
          <w:b/>
          <w:color w:val="000000" w:themeColor="text1"/>
          <w:sz w:val="22"/>
          <w:szCs w:val="22"/>
        </w:rPr>
        <w:lastRenderedPageBreak/>
        <w:t>EasyJet 5-Year Ratio Results</w:t>
      </w:r>
      <w:r w:rsidRPr="004454F8">
        <w:rPr>
          <w:rStyle w:val="FootnoteReference"/>
          <w:b/>
          <w:color w:val="000000" w:themeColor="text1"/>
          <w:sz w:val="22"/>
          <w:szCs w:val="22"/>
        </w:rPr>
        <w:footnoteReference w:id="3"/>
      </w:r>
      <w:bookmarkEnd w:id="6"/>
      <w:bookmarkEnd w:id="7"/>
    </w:p>
    <w:p w14:paraId="7558459B" w14:textId="77777777" w:rsidR="007672DE" w:rsidRPr="004454F8" w:rsidRDefault="007672DE" w:rsidP="007672DE">
      <w:pPr>
        <w:tabs>
          <w:tab w:val="left" w:pos="1134"/>
        </w:tabs>
        <w:rPr>
          <w:color w:val="000000" w:themeColor="text1"/>
          <w:sz w:val="22"/>
          <w:szCs w:val="22"/>
        </w:rPr>
      </w:pPr>
      <w:r w:rsidRPr="004454F8">
        <w:rPr>
          <w:noProof/>
          <w:sz w:val="22"/>
          <w:szCs w:val="22"/>
          <w:lang w:val="en-US" w:eastAsia="en-US"/>
        </w:rPr>
        <w:drawing>
          <wp:inline distT="0" distB="0" distL="0" distR="0" wp14:anchorId="0922DC9C" wp14:editId="197608C4">
            <wp:extent cx="5731510" cy="4603578"/>
            <wp:effectExtent l="19050" t="19050" r="21590" b="260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4603578"/>
                    </a:xfrm>
                    <a:prstGeom prst="rect">
                      <a:avLst/>
                    </a:prstGeom>
                    <a:ln>
                      <a:solidFill>
                        <a:schemeClr val="tx1"/>
                      </a:solidFill>
                    </a:ln>
                  </pic:spPr>
                </pic:pic>
              </a:graphicData>
            </a:graphic>
          </wp:inline>
        </w:drawing>
      </w:r>
    </w:p>
    <w:p w14:paraId="567342BE" w14:textId="77777777" w:rsidR="007672DE" w:rsidRDefault="007672DE" w:rsidP="007672DE">
      <w:pPr>
        <w:pStyle w:val="ListParagraph"/>
        <w:tabs>
          <w:tab w:val="left" w:pos="1134"/>
        </w:tabs>
        <w:ind w:left="426"/>
        <w:rPr>
          <w:b/>
          <w:color w:val="000000" w:themeColor="text1"/>
          <w:sz w:val="22"/>
          <w:szCs w:val="22"/>
        </w:rPr>
      </w:pPr>
    </w:p>
    <w:p w14:paraId="616B0126" w14:textId="77777777" w:rsidR="005458EE" w:rsidRPr="004454F8" w:rsidRDefault="005458EE" w:rsidP="007672DE">
      <w:pPr>
        <w:pStyle w:val="ListParagraph"/>
        <w:tabs>
          <w:tab w:val="left" w:pos="1134"/>
        </w:tabs>
        <w:ind w:left="426"/>
        <w:rPr>
          <w:b/>
          <w:color w:val="000000" w:themeColor="text1"/>
          <w:sz w:val="22"/>
          <w:szCs w:val="22"/>
        </w:rPr>
      </w:pPr>
    </w:p>
    <w:p w14:paraId="1ED4618C" w14:textId="77777777" w:rsidR="007672DE" w:rsidRPr="004454F8" w:rsidRDefault="007672DE" w:rsidP="007672DE">
      <w:pPr>
        <w:pStyle w:val="ListParagraph"/>
        <w:numPr>
          <w:ilvl w:val="0"/>
          <w:numId w:val="37"/>
        </w:numPr>
        <w:tabs>
          <w:tab w:val="left" w:pos="1134"/>
        </w:tabs>
        <w:ind w:left="426" w:hanging="426"/>
        <w:outlineLvl w:val="0"/>
        <w:rPr>
          <w:b/>
          <w:color w:val="000000" w:themeColor="text1"/>
          <w:sz w:val="22"/>
          <w:szCs w:val="22"/>
        </w:rPr>
      </w:pPr>
      <w:bookmarkStart w:id="8" w:name="_Toc535596749"/>
      <w:bookmarkStart w:id="9" w:name="_Toc535615917"/>
      <w:r w:rsidRPr="004454F8">
        <w:rPr>
          <w:b/>
          <w:color w:val="000000" w:themeColor="text1"/>
          <w:sz w:val="22"/>
          <w:szCs w:val="22"/>
        </w:rPr>
        <w:t>Analysis of EasyJet’s 5-Year Ratio Results</w:t>
      </w:r>
      <w:bookmarkEnd w:id="8"/>
      <w:bookmarkEnd w:id="9"/>
      <w:r w:rsidRPr="004454F8">
        <w:rPr>
          <w:b/>
          <w:color w:val="000000" w:themeColor="text1"/>
          <w:sz w:val="22"/>
          <w:szCs w:val="22"/>
        </w:rPr>
        <w:t xml:space="preserve"> </w:t>
      </w:r>
    </w:p>
    <w:p w14:paraId="54AEE843" w14:textId="77777777" w:rsidR="007672DE" w:rsidRPr="004454F8" w:rsidRDefault="007672DE" w:rsidP="007672DE">
      <w:pPr>
        <w:pStyle w:val="ListParagraph"/>
        <w:tabs>
          <w:tab w:val="left" w:pos="1134"/>
        </w:tabs>
        <w:ind w:left="426"/>
        <w:rPr>
          <w:b/>
          <w:color w:val="000000" w:themeColor="text1"/>
          <w:sz w:val="22"/>
          <w:szCs w:val="22"/>
        </w:rPr>
      </w:pPr>
    </w:p>
    <w:p w14:paraId="55113937" w14:textId="77777777" w:rsidR="007672DE" w:rsidRPr="004454F8" w:rsidRDefault="007672DE" w:rsidP="007672DE">
      <w:pPr>
        <w:pStyle w:val="ListParagraph"/>
        <w:numPr>
          <w:ilvl w:val="1"/>
          <w:numId w:val="37"/>
        </w:numPr>
        <w:tabs>
          <w:tab w:val="left" w:pos="1134"/>
        </w:tabs>
        <w:ind w:left="426" w:hanging="426"/>
        <w:jc w:val="both"/>
        <w:outlineLvl w:val="1"/>
        <w:rPr>
          <w:b/>
          <w:color w:val="000000" w:themeColor="text1"/>
          <w:sz w:val="22"/>
          <w:szCs w:val="22"/>
          <w:u w:val="single"/>
        </w:rPr>
      </w:pPr>
      <w:bookmarkStart w:id="10" w:name="_Toc535596750"/>
      <w:bookmarkStart w:id="11" w:name="_Toc535615918"/>
      <w:r w:rsidRPr="004454F8">
        <w:rPr>
          <w:b/>
          <w:color w:val="000000" w:themeColor="text1"/>
          <w:sz w:val="22"/>
          <w:szCs w:val="22"/>
          <w:u w:val="single"/>
        </w:rPr>
        <w:t>Limitations of Financial Ratios</w:t>
      </w:r>
      <w:bookmarkEnd w:id="10"/>
      <w:bookmarkEnd w:id="11"/>
    </w:p>
    <w:p w14:paraId="10CCDBE2" w14:textId="77777777" w:rsidR="007672DE" w:rsidRPr="004454F8" w:rsidRDefault="007672DE" w:rsidP="007672DE">
      <w:pPr>
        <w:pStyle w:val="ListParagraph"/>
        <w:tabs>
          <w:tab w:val="left" w:pos="1134"/>
        </w:tabs>
        <w:ind w:left="426"/>
        <w:jc w:val="both"/>
        <w:rPr>
          <w:color w:val="000000" w:themeColor="text1"/>
          <w:sz w:val="22"/>
          <w:szCs w:val="22"/>
          <w:u w:val="single"/>
        </w:rPr>
      </w:pPr>
    </w:p>
    <w:p w14:paraId="5F857BBD" w14:textId="69CB5F4D" w:rsidR="00B837D6" w:rsidRDefault="00B837D6" w:rsidP="00B837D6">
      <w:pPr>
        <w:tabs>
          <w:tab w:val="left" w:pos="426"/>
        </w:tabs>
        <w:spacing w:line="480" w:lineRule="auto"/>
        <w:jc w:val="both"/>
        <w:rPr>
          <w:color w:val="000000" w:themeColor="text1"/>
          <w:sz w:val="22"/>
          <w:szCs w:val="22"/>
        </w:rPr>
      </w:pPr>
      <w:r>
        <w:rPr>
          <w:color w:val="000000" w:themeColor="text1"/>
          <w:sz w:val="22"/>
          <w:szCs w:val="22"/>
        </w:rPr>
        <w:tab/>
      </w:r>
      <w:r w:rsidR="005458EE">
        <w:rPr>
          <w:color w:val="000000" w:themeColor="text1"/>
          <w:sz w:val="22"/>
          <w:szCs w:val="22"/>
        </w:rPr>
        <w:t>Financial ratios (FR)</w:t>
      </w:r>
      <w:r w:rsidR="007672DE" w:rsidRPr="004454F8">
        <w:rPr>
          <w:color w:val="000000" w:themeColor="text1"/>
          <w:sz w:val="22"/>
          <w:szCs w:val="22"/>
        </w:rPr>
        <w:t xml:space="preserve">, derived from analysing </w:t>
      </w:r>
      <w:r w:rsidR="00860DEE">
        <w:rPr>
          <w:color w:val="000000" w:themeColor="text1"/>
          <w:sz w:val="22"/>
          <w:szCs w:val="22"/>
        </w:rPr>
        <w:t>balance sheets, cash flow, and income statements (i.e. financial statements</w:t>
      </w:r>
      <w:r w:rsidR="007672DE" w:rsidRPr="004454F8">
        <w:rPr>
          <w:color w:val="000000" w:themeColor="text1"/>
          <w:sz w:val="22"/>
          <w:szCs w:val="22"/>
        </w:rPr>
        <w:t>), serve as a quick and simple way of assessing a business’ financial well-being, position and performance, including in relation to the health of other similar businesses which may have</w:t>
      </w:r>
      <w:bookmarkStart w:id="12" w:name="_GoBack"/>
      <w:bookmarkEnd w:id="12"/>
      <w:r w:rsidR="007672DE" w:rsidRPr="004454F8">
        <w:rPr>
          <w:color w:val="000000" w:themeColor="text1"/>
          <w:sz w:val="22"/>
          <w:szCs w:val="22"/>
        </w:rPr>
        <w:t xml:space="preserve"> a larger scale of operations within the same sector (</w:t>
      </w:r>
      <w:proofErr w:type="spellStart"/>
      <w:r w:rsidR="007672DE" w:rsidRPr="004454F8">
        <w:rPr>
          <w:color w:val="000000" w:themeColor="text1"/>
          <w:sz w:val="22"/>
          <w:szCs w:val="22"/>
        </w:rPr>
        <w:t>Atrill</w:t>
      </w:r>
      <w:proofErr w:type="spellEnd"/>
      <w:r w:rsidR="007672DE" w:rsidRPr="004454F8">
        <w:rPr>
          <w:color w:val="000000" w:themeColor="text1"/>
          <w:sz w:val="22"/>
          <w:szCs w:val="22"/>
        </w:rPr>
        <w:t xml:space="preserve"> 2012</w:t>
      </w:r>
      <w:r w:rsidR="005458EE">
        <w:rPr>
          <w:color w:val="000000" w:themeColor="text1"/>
          <w:sz w:val="22"/>
          <w:szCs w:val="22"/>
        </w:rPr>
        <w:t xml:space="preserve"> </w:t>
      </w:r>
      <w:r w:rsidR="007672DE" w:rsidRPr="004454F8">
        <w:rPr>
          <w:color w:val="000000" w:themeColor="text1"/>
          <w:sz w:val="22"/>
          <w:szCs w:val="22"/>
        </w:rPr>
        <w:t>&amp; 2013). However, FRs come with a number of important limitations, some</w:t>
      </w:r>
      <w:r>
        <w:rPr>
          <w:color w:val="000000" w:themeColor="text1"/>
          <w:sz w:val="22"/>
          <w:szCs w:val="22"/>
        </w:rPr>
        <w:t xml:space="preserve"> of which will now be explored.</w:t>
      </w:r>
    </w:p>
    <w:p w14:paraId="6A324475" w14:textId="46861031" w:rsidR="007672DE" w:rsidRPr="00B837D6" w:rsidRDefault="00B837D6" w:rsidP="00B837D6">
      <w:pPr>
        <w:tabs>
          <w:tab w:val="left" w:pos="426"/>
        </w:tabs>
        <w:spacing w:line="480" w:lineRule="auto"/>
        <w:jc w:val="both"/>
        <w:rPr>
          <w:color w:val="000000" w:themeColor="text1"/>
          <w:sz w:val="22"/>
          <w:szCs w:val="22"/>
        </w:rPr>
      </w:pPr>
      <w:r>
        <w:rPr>
          <w:color w:val="000000" w:themeColor="text1"/>
          <w:sz w:val="22"/>
          <w:szCs w:val="22"/>
        </w:rPr>
        <w:tab/>
      </w:r>
      <w:r w:rsidR="007672DE" w:rsidRPr="004454F8">
        <w:rPr>
          <w:color w:val="000000" w:themeColor="text1"/>
          <w:sz w:val="22"/>
          <w:szCs w:val="22"/>
        </w:rPr>
        <w:t xml:space="preserve">First, there is no standard set of agreed-upon FRs to calculate; definition for what a correct FR is made up of; standard method for calculating numerous types of different FRs; nor is there a standard set of content in financial statements that companies can equally draw from in order make an equal </w:t>
      </w:r>
      <w:r w:rsidR="007672DE" w:rsidRPr="004454F8">
        <w:rPr>
          <w:color w:val="000000" w:themeColor="text1"/>
          <w:sz w:val="22"/>
          <w:szCs w:val="22"/>
        </w:rPr>
        <w:lastRenderedPageBreak/>
        <w:t xml:space="preserve">comparison. It is therefore imperative, insofar as possible, to be consistent in the way ratios are calculated. Second, the choice and interpretation of ratios are normally contingent on the judgement, opinion and subjectivity of an analyst (or numerous analysts) who will rely heavily on a </w:t>
      </w:r>
      <w:proofErr w:type="gramStart"/>
      <w:r w:rsidR="007672DE" w:rsidRPr="004454F8">
        <w:rPr>
          <w:color w:val="000000" w:themeColor="text1"/>
          <w:sz w:val="22"/>
          <w:szCs w:val="22"/>
        </w:rPr>
        <w:t>firm’s</w:t>
      </w:r>
      <w:proofErr w:type="gramEnd"/>
      <w:r w:rsidR="007672DE" w:rsidRPr="004454F8">
        <w:rPr>
          <w:color w:val="000000" w:themeColor="text1"/>
          <w:sz w:val="22"/>
          <w:szCs w:val="22"/>
        </w:rPr>
        <w:t xml:space="preserve"> published financial statements. In the absence of standard definition</w:t>
      </w:r>
      <w:r w:rsidR="005458EE">
        <w:rPr>
          <w:color w:val="000000" w:themeColor="text1"/>
          <w:sz w:val="22"/>
          <w:szCs w:val="22"/>
        </w:rPr>
        <w:t>s</w:t>
      </w:r>
      <w:r w:rsidR="007672DE" w:rsidRPr="004454F8">
        <w:rPr>
          <w:color w:val="000000" w:themeColor="text1"/>
          <w:sz w:val="22"/>
          <w:szCs w:val="22"/>
        </w:rPr>
        <w:t xml:space="preserve">, not only does this leave room for possible manipulation of figures, but the information generated </w:t>
      </w:r>
      <w:r w:rsidR="005458EE">
        <w:rPr>
          <w:color w:val="000000" w:themeColor="text1"/>
          <w:sz w:val="22"/>
          <w:szCs w:val="22"/>
        </w:rPr>
        <w:t xml:space="preserve">is </w:t>
      </w:r>
      <w:r w:rsidR="007672DE" w:rsidRPr="004454F8">
        <w:rPr>
          <w:color w:val="000000" w:themeColor="text1"/>
          <w:sz w:val="22"/>
          <w:szCs w:val="22"/>
        </w:rPr>
        <w:t xml:space="preserve">reliant upon the quality (and quantity) of data available. Third, calculating a ratio is not an end in itself and needs to answer ‘why?’ the ratio is the way it is – only then can a sounder interpretation of predictability be made. However, these interpretations are still contingent upon the experience and skills of the analyst. Fourth, financial statements can be inaccurate due to effects of inflation. For example, the measurement of profits can be distorted during a time of inflation because inventories acquired months before they are sold will mean that the expense of that inventory will not reflect the current price at time of sale, the result of which is that expenses are understated and profits overstated, thereby skewing any subsequent ratio calculations related to profitability for comparative purposes. Fifth, there are no two businesses which, whether local or international, are the same in terms of financial policies, methods and reporting periods, which means there will always be limitations to a comparative FR analysis. Sixth, once cannot exclusively rely on FR as a predictor of future success or failure, as there are other characteristics in a firm vital to helping determine position and performance, including total sales revenue, capital employed, and profit figures, </w:t>
      </w:r>
      <w:r w:rsidR="007672DE" w:rsidRPr="004454F8">
        <w:rPr>
          <w:i/>
          <w:color w:val="000000" w:themeColor="text1"/>
          <w:sz w:val="22"/>
          <w:szCs w:val="22"/>
        </w:rPr>
        <w:t xml:space="preserve">inter alia </w:t>
      </w:r>
      <w:r w:rsidR="007672DE" w:rsidRPr="004454F8">
        <w:rPr>
          <w:color w:val="000000" w:themeColor="text1"/>
          <w:sz w:val="22"/>
          <w:szCs w:val="22"/>
        </w:rPr>
        <w:t xml:space="preserve">(Davis 1976, p. 14-15; Gibson 2009, p. 178; </w:t>
      </w:r>
      <w:proofErr w:type="spellStart"/>
      <w:r w:rsidR="007672DE" w:rsidRPr="004454F8">
        <w:rPr>
          <w:color w:val="000000" w:themeColor="text1"/>
          <w:sz w:val="22"/>
          <w:szCs w:val="22"/>
        </w:rPr>
        <w:t>Atrill</w:t>
      </w:r>
      <w:proofErr w:type="spellEnd"/>
      <w:r w:rsidR="007672DE" w:rsidRPr="004454F8">
        <w:rPr>
          <w:color w:val="000000" w:themeColor="text1"/>
          <w:sz w:val="22"/>
          <w:szCs w:val="22"/>
        </w:rPr>
        <w:t xml:space="preserve"> 2012, p. 217-218 &amp; 2013, p. 109-112; </w:t>
      </w:r>
      <w:proofErr w:type="spellStart"/>
      <w:r w:rsidR="007672DE" w:rsidRPr="004454F8">
        <w:rPr>
          <w:sz w:val="22"/>
          <w:szCs w:val="22"/>
        </w:rPr>
        <w:t>Schoenebeck</w:t>
      </w:r>
      <w:proofErr w:type="spellEnd"/>
      <w:r w:rsidR="007672DE" w:rsidRPr="004454F8">
        <w:rPr>
          <w:sz w:val="22"/>
          <w:szCs w:val="22"/>
        </w:rPr>
        <w:t xml:space="preserve"> &amp; </w:t>
      </w:r>
      <w:proofErr w:type="spellStart"/>
      <w:r w:rsidR="007672DE" w:rsidRPr="004454F8">
        <w:rPr>
          <w:sz w:val="22"/>
          <w:szCs w:val="22"/>
        </w:rPr>
        <w:t>Holtzman</w:t>
      </w:r>
      <w:proofErr w:type="spellEnd"/>
      <w:r w:rsidR="007672DE" w:rsidRPr="004454F8">
        <w:rPr>
          <w:color w:val="000000" w:themeColor="text1"/>
          <w:sz w:val="22"/>
          <w:szCs w:val="22"/>
        </w:rPr>
        <w:t xml:space="preserve"> 2013, p. 323; Hughes et al. no date).</w:t>
      </w:r>
      <w:r w:rsidR="007672DE" w:rsidRPr="004454F8">
        <w:rPr>
          <w:i/>
          <w:color w:val="000000" w:themeColor="text1"/>
          <w:sz w:val="22"/>
          <w:szCs w:val="22"/>
        </w:rPr>
        <w:t xml:space="preserve"> </w:t>
      </w:r>
      <w:r w:rsidR="007672DE" w:rsidRPr="004454F8">
        <w:rPr>
          <w:color w:val="000000" w:themeColor="text1"/>
          <w:sz w:val="22"/>
          <w:szCs w:val="22"/>
        </w:rPr>
        <w:t xml:space="preserve">Thus, bearing in mind these </w:t>
      </w:r>
      <w:r w:rsidR="005458EE">
        <w:rPr>
          <w:color w:val="000000" w:themeColor="text1"/>
          <w:sz w:val="22"/>
          <w:szCs w:val="22"/>
        </w:rPr>
        <w:t>l</w:t>
      </w:r>
      <w:r w:rsidR="007672DE" w:rsidRPr="004454F8">
        <w:rPr>
          <w:color w:val="000000" w:themeColor="text1"/>
          <w:sz w:val="22"/>
          <w:szCs w:val="22"/>
        </w:rPr>
        <w:t xml:space="preserve">imitations, the subsequent analysis will focus on the following FRs as they are seemingly important for decision-making purposes: </w:t>
      </w:r>
      <w:r w:rsidR="007672DE" w:rsidRPr="004454F8">
        <w:rPr>
          <w:i/>
          <w:color w:val="000000" w:themeColor="text1"/>
          <w:sz w:val="22"/>
          <w:szCs w:val="22"/>
        </w:rPr>
        <w:t xml:space="preserve">profitability, efficiency, liquidity, gearing and investment </w:t>
      </w:r>
      <w:r w:rsidR="007672DE" w:rsidRPr="004454F8">
        <w:rPr>
          <w:color w:val="000000" w:themeColor="text1"/>
          <w:sz w:val="22"/>
          <w:szCs w:val="22"/>
        </w:rPr>
        <w:t>(</w:t>
      </w:r>
      <w:proofErr w:type="spellStart"/>
      <w:r w:rsidR="007672DE" w:rsidRPr="004454F8">
        <w:rPr>
          <w:color w:val="000000" w:themeColor="text1"/>
          <w:sz w:val="22"/>
          <w:szCs w:val="22"/>
        </w:rPr>
        <w:t>Atrill</w:t>
      </w:r>
      <w:proofErr w:type="spellEnd"/>
      <w:r w:rsidR="007672DE" w:rsidRPr="004454F8">
        <w:rPr>
          <w:color w:val="000000" w:themeColor="text1"/>
          <w:sz w:val="22"/>
          <w:szCs w:val="22"/>
        </w:rPr>
        <w:t xml:space="preserve"> 2012 &amp; 2013).</w:t>
      </w:r>
    </w:p>
    <w:p w14:paraId="25791D50" w14:textId="77777777" w:rsidR="007672DE" w:rsidRPr="004454F8" w:rsidRDefault="007672DE" w:rsidP="007672DE">
      <w:pPr>
        <w:tabs>
          <w:tab w:val="left" w:pos="1134"/>
        </w:tabs>
        <w:jc w:val="both"/>
        <w:rPr>
          <w:color w:val="000000" w:themeColor="text1"/>
          <w:sz w:val="22"/>
          <w:szCs w:val="22"/>
        </w:rPr>
      </w:pPr>
    </w:p>
    <w:p w14:paraId="705341C1" w14:textId="77777777" w:rsidR="00B837D6" w:rsidRDefault="00B837D6" w:rsidP="007672DE">
      <w:pPr>
        <w:pStyle w:val="ListParagraph"/>
        <w:numPr>
          <w:ilvl w:val="1"/>
          <w:numId w:val="37"/>
        </w:numPr>
        <w:tabs>
          <w:tab w:val="left" w:pos="1134"/>
        </w:tabs>
        <w:ind w:left="426" w:hanging="426"/>
        <w:outlineLvl w:val="1"/>
        <w:rPr>
          <w:b/>
          <w:color w:val="000000" w:themeColor="text1"/>
          <w:sz w:val="22"/>
          <w:szCs w:val="22"/>
          <w:u w:val="single"/>
        </w:rPr>
        <w:sectPr w:rsidR="00B837D6">
          <w:pgSz w:w="11906" w:h="16838"/>
          <w:pgMar w:top="1440" w:right="1440" w:bottom="1440" w:left="1440" w:header="708" w:footer="708" w:gutter="0"/>
          <w:cols w:space="708"/>
          <w:docGrid w:linePitch="360"/>
        </w:sectPr>
      </w:pPr>
      <w:bookmarkStart w:id="13" w:name="_Toc535596751"/>
    </w:p>
    <w:p w14:paraId="3266539D" w14:textId="71C6BD26" w:rsidR="007672DE" w:rsidRPr="004454F8" w:rsidRDefault="007672DE" w:rsidP="007672DE">
      <w:pPr>
        <w:pStyle w:val="ListParagraph"/>
        <w:numPr>
          <w:ilvl w:val="1"/>
          <w:numId w:val="37"/>
        </w:numPr>
        <w:tabs>
          <w:tab w:val="left" w:pos="1134"/>
        </w:tabs>
        <w:ind w:left="426" w:hanging="426"/>
        <w:outlineLvl w:val="1"/>
        <w:rPr>
          <w:color w:val="000000" w:themeColor="text1"/>
          <w:sz w:val="22"/>
          <w:szCs w:val="22"/>
          <w:u w:val="single"/>
        </w:rPr>
      </w:pPr>
      <w:bookmarkStart w:id="14" w:name="_Toc535615919"/>
      <w:r w:rsidRPr="004454F8">
        <w:rPr>
          <w:b/>
          <w:color w:val="000000" w:themeColor="text1"/>
          <w:sz w:val="22"/>
          <w:szCs w:val="22"/>
          <w:u w:val="single"/>
        </w:rPr>
        <w:lastRenderedPageBreak/>
        <w:t>Profitability</w:t>
      </w:r>
      <w:r w:rsidRPr="004454F8">
        <w:rPr>
          <w:rStyle w:val="FootnoteReference"/>
          <w:color w:val="000000" w:themeColor="text1"/>
          <w:sz w:val="22"/>
          <w:szCs w:val="22"/>
        </w:rPr>
        <w:footnoteReference w:id="4"/>
      </w:r>
      <w:bookmarkEnd w:id="13"/>
      <w:bookmarkEnd w:id="14"/>
    </w:p>
    <w:p w14:paraId="1AA287CD" w14:textId="77777777" w:rsidR="007672DE" w:rsidRPr="004454F8" w:rsidRDefault="007672DE" w:rsidP="007672DE">
      <w:pPr>
        <w:tabs>
          <w:tab w:val="left" w:pos="1134"/>
        </w:tabs>
        <w:rPr>
          <w:color w:val="000000" w:themeColor="text1"/>
          <w:sz w:val="22"/>
          <w:szCs w:val="22"/>
        </w:rPr>
      </w:pPr>
    </w:p>
    <w:p w14:paraId="68408E2D" w14:textId="77777777" w:rsidR="007672DE" w:rsidRPr="00D63C67" w:rsidRDefault="007672DE" w:rsidP="007672DE">
      <w:pPr>
        <w:pStyle w:val="ListParagraph"/>
        <w:numPr>
          <w:ilvl w:val="2"/>
          <w:numId w:val="37"/>
        </w:numPr>
        <w:tabs>
          <w:tab w:val="left" w:pos="1134"/>
        </w:tabs>
        <w:rPr>
          <w:i/>
          <w:color w:val="000000" w:themeColor="text1"/>
          <w:sz w:val="22"/>
          <w:szCs w:val="22"/>
        </w:rPr>
      </w:pPr>
      <w:r w:rsidRPr="00D63C67">
        <w:rPr>
          <w:i/>
          <w:color w:val="000000" w:themeColor="text1"/>
          <w:sz w:val="22"/>
          <w:szCs w:val="22"/>
        </w:rPr>
        <w:t>Return on Ordinary Shareholders’ Funds (ROSF)</w:t>
      </w:r>
    </w:p>
    <w:p w14:paraId="0F9B31DD" w14:textId="77777777" w:rsidR="007672DE" w:rsidRPr="00D63C67" w:rsidRDefault="007672DE" w:rsidP="007672DE">
      <w:pPr>
        <w:tabs>
          <w:tab w:val="left" w:pos="1134"/>
        </w:tabs>
        <w:rPr>
          <w:color w:val="000000" w:themeColor="text1"/>
          <w:sz w:val="22"/>
          <w:szCs w:val="22"/>
        </w:rPr>
      </w:pPr>
    </w:p>
    <w:p w14:paraId="4FD492C6" w14:textId="26845F61" w:rsidR="007672DE" w:rsidRPr="00D63C67" w:rsidRDefault="00D63C67" w:rsidP="00D63C67">
      <w:pPr>
        <w:tabs>
          <w:tab w:val="left" w:pos="426"/>
        </w:tabs>
        <w:spacing w:line="480" w:lineRule="auto"/>
        <w:jc w:val="both"/>
        <w:rPr>
          <w:color w:val="000000" w:themeColor="text1"/>
          <w:sz w:val="22"/>
          <w:szCs w:val="22"/>
        </w:rPr>
      </w:pPr>
      <w:r>
        <w:rPr>
          <w:color w:val="000000" w:themeColor="text1"/>
          <w:sz w:val="22"/>
          <w:szCs w:val="22"/>
        </w:rPr>
        <w:tab/>
      </w:r>
      <w:r w:rsidR="007672DE" w:rsidRPr="00D63C67">
        <w:rPr>
          <w:color w:val="000000" w:themeColor="text1"/>
          <w:sz w:val="22"/>
          <w:szCs w:val="22"/>
        </w:rPr>
        <w:t>Non-headline profits for EasyJet in 2017 and 2018, amounted to £305 million and £358 million (17.38% increase), respectively. As a result, non-headline ROSF rose from 11.10% in 2017 to 11.81% in 2018, representing an increase of 0.71%. More interestingly, however, is the rise in headline profits during this same period from £325 million in 2017 to £466 million in 2018 (43.38% increase), thus resulting in a 3.55% rise in ROSF, from 11.83% to 15.38%. This increase in headline profits would suggest that the £133 million employed by EasyJet in non-headline items during 2018 (i.e. for developing a new commercial IT platform, acquiring Air-Berlin assets (aircraft, crew) and integrating the Berlin-</w:t>
      </w:r>
      <w:proofErr w:type="spellStart"/>
      <w:r w:rsidR="007672DE" w:rsidRPr="00D63C67">
        <w:rPr>
          <w:color w:val="000000" w:themeColor="text1"/>
          <w:sz w:val="22"/>
          <w:szCs w:val="22"/>
        </w:rPr>
        <w:t>Tegel</w:t>
      </w:r>
      <w:proofErr w:type="spellEnd"/>
      <w:r w:rsidR="007672DE" w:rsidRPr="00D63C67">
        <w:rPr>
          <w:color w:val="000000" w:themeColor="text1"/>
          <w:sz w:val="22"/>
          <w:szCs w:val="22"/>
        </w:rPr>
        <w:t xml:space="preserve"> Airport into operations, the sale and leaseback of 10 of EasyJet’s oldest A319 aircraft, resolving Air Operator Certificates to continue operations in both the UK and European Union (EU) post-Brexit, and completing an organizational review (EasyJet 2018, p. 12)</w:t>
      </w:r>
      <w:r w:rsidR="00350C01">
        <w:rPr>
          <w:color w:val="000000" w:themeColor="text1"/>
          <w:sz w:val="22"/>
          <w:szCs w:val="22"/>
        </w:rPr>
        <w:t>)</w:t>
      </w:r>
      <w:r w:rsidR="007672DE" w:rsidRPr="00D63C67">
        <w:rPr>
          <w:color w:val="000000" w:themeColor="text1"/>
          <w:sz w:val="22"/>
          <w:szCs w:val="22"/>
        </w:rPr>
        <w:t xml:space="preserve"> ultimately led to EasyJet’s growth and higher profitability. This is very positive, given that EasyJet’s Compound Annual Growth Rate (CAGR) between 2014-18 for non-headline items is -4.68%, and -2.81% for headline items between 2016-18.</w:t>
      </w:r>
    </w:p>
    <w:p w14:paraId="290F8535" w14:textId="77777777" w:rsidR="007672DE" w:rsidRPr="00D63C67" w:rsidRDefault="007672DE" w:rsidP="007672DE">
      <w:pPr>
        <w:tabs>
          <w:tab w:val="left" w:pos="1134"/>
        </w:tabs>
        <w:rPr>
          <w:color w:val="000000" w:themeColor="text1"/>
          <w:sz w:val="22"/>
          <w:szCs w:val="22"/>
        </w:rPr>
      </w:pPr>
    </w:p>
    <w:p w14:paraId="5375FC79" w14:textId="77777777" w:rsidR="007672DE" w:rsidRPr="00D63C67" w:rsidRDefault="007672DE" w:rsidP="007672DE">
      <w:pPr>
        <w:pStyle w:val="ListParagraph"/>
        <w:numPr>
          <w:ilvl w:val="2"/>
          <w:numId w:val="37"/>
        </w:numPr>
        <w:tabs>
          <w:tab w:val="left" w:pos="1134"/>
        </w:tabs>
        <w:rPr>
          <w:i/>
          <w:color w:val="000000" w:themeColor="text1"/>
          <w:sz w:val="22"/>
          <w:szCs w:val="22"/>
        </w:rPr>
      </w:pPr>
      <w:r w:rsidRPr="00D63C67">
        <w:rPr>
          <w:i/>
          <w:color w:val="000000" w:themeColor="text1"/>
          <w:sz w:val="22"/>
          <w:szCs w:val="22"/>
        </w:rPr>
        <w:t>Return on Capital Employed (ROCE)</w:t>
      </w:r>
    </w:p>
    <w:p w14:paraId="70638CF7" w14:textId="77777777" w:rsidR="007672DE" w:rsidRPr="00D63C67" w:rsidRDefault="007672DE" w:rsidP="007672DE">
      <w:pPr>
        <w:tabs>
          <w:tab w:val="left" w:pos="1134"/>
        </w:tabs>
        <w:rPr>
          <w:color w:val="000000" w:themeColor="text1"/>
          <w:sz w:val="22"/>
          <w:szCs w:val="22"/>
        </w:rPr>
      </w:pPr>
    </w:p>
    <w:p w14:paraId="3623C5DC" w14:textId="7ECD72D7" w:rsidR="007672DE" w:rsidRPr="00D63C67" w:rsidRDefault="00D63C67" w:rsidP="00D63C67">
      <w:pPr>
        <w:tabs>
          <w:tab w:val="left" w:pos="426"/>
        </w:tabs>
        <w:spacing w:line="480" w:lineRule="auto"/>
        <w:jc w:val="both"/>
        <w:rPr>
          <w:sz w:val="22"/>
          <w:szCs w:val="22"/>
        </w:rPr>
      </w:pPr>
      <w:r>
        <w:rPr>
          <w:color w:val="000000" w:themeColor="text1"/>
          <w:sz w:val="22"/>
          <w:szCs w:val="22"/>
        </w:rPr>
        <w:tab/>
      </w:r>
      <w:r w:rsidR="007672DE" w:rsidRPr="00D63C67">
        <w:rPr>
          <w:color w:val="000000" w:themeColor="text1"/>
          <w:sz w:val="22"/>
          <w:szCs w:val="22"/>
        </w:rPr>
        <w:t xml:space="preserve">Non-headline ROCE rose from 11.3% in 2017 to 11.5% in 2018, while headline ROCE rose from 11.9% to 14.4% in 2018. Despite increased current and non-current liabilities, there was a 2.5% increase for the latter resulting from higher retained earnings of £965 million (year-on-year +9.8%) in 2018, achieved through an increase in current assets (year-on-year +17.1%); an increase in sales (15.4% growth); and a decrease in </w:t>
      </w:r>
      <w:r w:rsidR="007672DE" w:rsidRPr="00D63C67">
        <w:rPr>
          <w:sz w:val="22"/>
          <w:szCs w:val="22"/>
        </w:rPr>
        <w:t xml:space="preserve">headline net finance charges of 30.4%, driven by higher dividends and interest receivable from higher cash balances, as well as favourable interest rates (EasyJet 2018, p. 33). This ROCE increase can further be attributed to the </w:t>
      </w:r>
      <w:r w:rsidR="007672DE" w:rsidRPr="00D63C67">
        <w:rPr>
          <w:color w:val="000000" w:themeColor="text1"/>
          <w:sz w:val="22"/>
          <w:szCs w:val="22"/>
        </w:rPr>
        <w:t>expanded EasyJet fleet (from 279 in 2017 to 315 in 2018), new operations from Berlin-</w:t>
      </w:r>
      <w:proofErr w:type="spellStart"/>
      <w:r w:rsidR="007672DE" w:rsidRPr="00D63C67">
        <w:rPr>
          <w:color w:val="000000" w:themeColor="text1"/>
          <w:sz w:val="22"/>
          <w:szCs w:val="22"/>
        </w:rPr>
        <w:t>Tegel</w:t>
      </w:r>
      <w:proofErr w:type="spellEnd"/>
      <w:r w:rsidR="007672DE" w:rsidRPr="00D63C67">
        <w:rPr>
          <w:color w:val="000000" w:themeColor="text1"/>
          <w:sz w:val="22"/>
          <w:szCs w:val="22"/>
        </w:rPr>
        <w:t xml:space="preserve"> Airport, larger staff base (14,605 in 2018, versus </w:t>
      </w:r>
      <w:r w:rsidR="007672DE" w:rsidRPr="00D63C67">
        <w:rPr>
          <w:color w:val="000000" w:themeColor="text1"/>
          <w:sz w:val="22"/>
          <w:szCs w:val="22"/>
        </w:rPr>
        <w:lastRenderedPageBreak/>
        <w:t>12,181 in 2017), and completed sale and leaseback of EasyJet’s 10 oldest A319 aircraft</w:t>
      </w:r>
      <w:r w:rsidR="00F00020">
        <w:rPr>
          <w:color w:val="000000" w:themeColor="text1"/>
          <w:sz w:val="22"/>
          <w:szCs w:val="22"/>
        </w:rPr>
        <w:t xml:space="preserve"> (EasyJet 2018).</w:t>
      </w:r>
    </w:p>
    <w:p w14:paraId="156A5294" w14:textId="77777777" w:rsidR="007672DE" w:rsidRPr="00D63C67" w:rsidRDefault="007672DE" w:rsidP="007672DE">
      <w:pPr>
        <w:tabs>
          <w:tab w:val="left" w:pos="1134"/>
        </w:tabs>
        <w:rPr>
          <w:color w:val="000000" w:themeColor="text1"/>
          <w:sz w:val="22"/>
          <w:szCs w:val="22"/>
        </w:rPr>
      </w:pPr>
    </w:p>
    <w:p w14:paraId="2AEEC073" w14:textId="77777777" w:rsidR="007672DE" w:rsidRPr="00D63C67" w:rsidRDefault="007672DE" w:rsidP="00D63C67">
      <w:pPr>
        <w:pStyle w:val="ListParagraph"/>
        <w:numPr>
          <w:ilvl w:val="2"/>
          <w:numId w:val="37"/>
        </w:numPr>
        <w:tabs>
          <w:tab w:val="left" w:pos="1134"/>
        </w:tabs>
        <w:spacing w:line="480" w:lineRule="auto"/>
        <w:rPr>
          <w:i/>
          <w:color w:val="000000" w:themeColor="text1"/>
          <w:sz w:val="22"/>
          <w:szCs w:val="22"/>
        </w:rPr>
      </w:pPr>
      <w:r w:rsidRPr="00D63C67">
        <w:rPr>
          <w:i/>
          <w:color w:val="000000" w:themeColor="text1"/>
          <w:sz w:val="22"/>
          <w:szCs w:val="22"/>
        </w:rPr>
        <w:t>Operating Profit Margin/Loss (OPM/L)</w:t>
      </w:r>
    </w:p>
    <w:p w14:paraId="2459B699" w14:textId="52130D29" w:rsidR="007672DE" w:rsidRPr="00D63C67" w:rsidRDefault="007672DE" w:rsidP="00D63C67">
      <w:pPr>
        <w:tabs>
          <w:tab w:val="left" w:pos="1134"/>
        </w:tabs>
        <w:spacing w:line="480" w:lineRule="auto"/>
        <w:ind w:firstLine="426"/>
        <w:jc w:val="both"/>
        <w:rPr>
          <w:sz w:val="22"/>
          <w:szCs w:val="22"/>
        </w:rPr>
      </w:pPr>
      <w:r w:rsidRPr="00D63C67">
        <w:rPr>
          <w:color w:val="000000" w:themeColor="text1"/>
          <w:sz w:val="22"/>
          <w:szCs w:val="22"/>
        </w:rPr>
        <w:t xml:space="preserve">From 2017 to 2018, non-headline OPM/L decreased from 8% to 7.8%, while headline OPM/L increased from 8.48% to 10.04% The decrease in the former can be attributed to increased expenses related to an expanded EasyJet fleet, employee base, and areas of operation (see 3.2.2.), while the latter’s increase can be attributed to increased sales and decreased net financing charges, but was limited due to a </w:t>
      </w:r>
      <w:r w:rsidRPr="00D63C67">
        <w:rPr>
          <w:sz w:val="22"/>
          <w:szCs w:val="22"/>
        </w:rPr>
        <w:t xml:space="preserve">marketing cost per seat increase of 6.0%, driven by expenditures in relation to new </w:t>
      </w:r>
      <w:proofErr w:type="spellStart"/>
      <w:r w:rsidRPr="00D63C67">
        <w:rPr>
          <w:sz w:val="22"/>
          <w:szCs w:val="22"/>
        </w:rPr>
        <w:t>Tegel</w:t>
      </w:r>
      <w:proofErr w:type="spellEnd"/>
      <w:r w:rsidRPr="00D63C67">
        <w:rPr>
          <w:sz w:val="22"/>
          <w:szCs w:val="22"/>
        </w:rPr>
        <w:t xml:space="preserve"> routes and a new advertising campaign (EasyJet 2018). An </w:t>
      </w:r>
      <w:r w:rsidRPr="00D63C67">
        <w:rPr>
          <w:color w:val="000000" w:themeColor="text1"/>
          <w:sz w:val="22"/>
          <w:szCs w:val="22"/>
        </w:rPr>
        <w:t>overall increase in operating costs of 14.38% from 2017 to 2018 limited both non-headline and headline OPM/L growth, including with respect to an 11.5% increase in fuel costs in 2018.</w:t>
      </w:r>
    </w:p>
    <w:p w14:paraId="20BED59D" w14:textId="77777777" w:rsidR="007672DE" w:rsidRPr="00D63C67" w:rsidRDefault="007672DE" w:rsidP="007672DE">
      <w:pPr>
        <w:tabs>
          <w:tab w:val="left" w:pos="1134"/>
        </w:tabs>
        <w:rPr>
          <w:color w:val="000000" w:themeColor="text1"/>
          <w:sz w:val="22"/>
          <w:szCs w:val="22"/>
        </w:rPr>
      </w:pPr>
    </w:p>
    <w:p w14:paraId="5415AD31" w14:textId="77777777" w:rsidR="007672DE" w:rsidRPr="00D63C67" w:rsidRDefault="007672DE" w:rsidP="007672DE">
      <w:pPr>
        <w:pStyle w:val="ListParagraph"/>
        <w:numPr>
          <w:ilvl w:val="2"/>
          <w:numId w:val="37"/>
        </w:numPr>
        <w:tabs>
          <w:tab w:val="left" w:pos="1134"/>
        </w:tabs>
        <w:rPr>
          <w:i/>
          <w:color w:val="000000" w:themeColor="text1"/>
          <w:sz w:val="22"/>
          <w:szCs w:val="22"/>
        </w:rPr>
      </w:pPr>
      <w:r w:rsidRPr="00D63C67">
        <w:rPr>
          <w:i/>
          <w:color w:val="000000" w:themeColor="text1"/>
          <w:sz w:val="22"/>
          <w:szCs w:val="22"/>
        </w:rPr>
        <w:t>Gross Profit Margin (GPM)</w:t>
      </w:r>
    </w:p>
    <w:p w14:paraId="5EA223BD" w14:textId="77777777" w:rsidR="007672DE" w:rsidRPr="00D63C67" w:rsidRDefault="007672DE" w:rsidP="007672DE">
      <w:pPr>
        <w:tabs>
          <w:tab w:val="left" w:pos="1134"/>
        </w:tabs>
        <w:jc w:val="both"/>
        <w:rPr>
          <w:sz w:val="22"/>
          <w:szCs w:val="22"/>
        </w:rPr>
      </w:pPr>
    </w:p>
    <w:p w14:paraId="0D41FBEE" w14:textId="51AA20F7" w:rsidR="007672DE" w:rsidRPr="004454F8" w:rsidRDefault="00D63C67" w:rsidP="00D63C67">
      <w:pPr>
        <w:tabs>
          <w:tab w:val="left" w:pos="426"/>
        </w:tabs>
        <w:spacing w:line="480" w:lineRule="auto"/>
        <w:jc w:val="both"/>
        <w:rPr>
          <w:sz w:val="22"/>
          <w:szCs w:val="22"/>
        </w:rPr>
      </w:pPr>
      <w:r>
        <w:rPr>
          <w:sz w:val="22"/>
          <w:szCs w:val="22"/>
        </w:rPr>
        <w:tab/>
      </w:r>
      <w:r w:rsidR="007672DE" w:rsidRPr="00D63C67">
        <w:rPr>
          <w:sz w:val="22"/>
          <w:szCs w:val="22"/>
        </w:rPr>
        <w:t xml:space="preserve">From 2017-2018, non-headline GPM increased slightly from 14.05% to 14.17%, while headline GPM increased from 14.52% to 16.24%. The increase in both instances can again be attributed to </w:t>
      </w:r>
      <w:proofErr w:type="spellStart"/>
      <w:r w:rsidR="007672DE" w:rsidRPr="00D63C67">
        <w:rPr>
          <w:sz w:val="22"/>
          <w:szCs w:val="22"/>
        </w:rPr>
        <w:t>Easyjet’s</w:t>
      </w:r>
      <w:proofErr w:type="spellEnd"/>
      <w:r w:rsidR="007672DE" w:rsidRPr="00D63C67">
        <w:rPr>
          <w:sz w:val="22"/>
          <w:szCs w:val="22"/>
        </w:rPr>
        <w:t xml:space="preserve"> expansion (see 3.2.2.), as well as its profits resulting from an increase in cost per seat, which, including fuel costs, went up by 4.4% to £55.87 (2017: £53.52), ultimately driven by exchange rates, inflation, and cost of disruption. These profits are will help EasyJet continue working towards exp</w:t>
      </w:r>
      <w:r w:rsidR="00F00020">
        <w:rPr>
          <w:sz w:val="22"/>
          <w:szCs w:val="22"/>
        </w:rPr>
        <w:t>anding its fleet to 385 by 2022 (EasyJet 2018).</w:t>
      </w:r>
    </w:p>
    <w:p w14:paraId="376A8D03" w14:textId="77777777" w:rsidR="007672DE" w:rsidRPr="004454F8" w:rsidRDefault="007672DE" w:rsidP="007672DE">
      <w:pPr>
        <w:tabs>
          <w:tab w:val="left" w:pos="1134"/>
        </w:tabs>
        <w:rPr>
          <w:color w:val="000000" w:themeColor="text1"/>
          <w:sz w:val="22"/>
          <w:szCs w:val="22"/>
        </w:rPr>
      </w:pPr>
    </w:p>
    <w:p w14:paraId="0DB084BC" w14:textId="77777777" w:rsidR="007672DE" w:rsidRPr="00D63C67" w:rsidRDefault="007672DE" w:rsidP="007672DE">
      <w:pPr>
        <w:pStyle w:val="ListParagraph"/>
        <w:numPr>
          <w:ilvl w:val="1"/>
          <w:numId w:val="37"/>
        </w:numPr>
        <w:tabs>
          <w:tab w:val="left" w:pos="1134"/>
        </w:tabs>
        <w:ind w:left="426" w:hanging="426"/>
        <w:outlineLvl w:val="0"/>
        <w:rPr>
          <w:b/>
          <w:sz w:val="22"/>
          <w:szCs w:val="22"/>
        </w:rPr>
      </w:pPr>
      <w:bookmarkStart w:id="15" w:name="_Toc535596752"/>
      <w:bookmarkStart w:id="16" w:name="_Toc535615920"/>
      <w:r w:rsidRPr="00D63C67">
        <w:rPr>
          <w:b/>
          <w:sz w:val="22"/>
          <w:szCs w:val="22"/>
        </w:rPr>
        <w:t>Efficiency</w:t>
      </w:r>
      <w:bookmarkEnd w:id="15"/>
      <w:bookmarkEnd w:id="16"/>
    </w:p>
    <w:p w14:paraId="47E0CF34" w14:textId="77777777" w:rsidR="007672DE" w:rsidRPr="00D63C67" w:rsidRDefault="007672DE" w:rsidP="007672DE">
      <w:pPr>
        <w:rPr>
          <w:sz w:val="22"/>
          <w:szCs w:val="22"/>
        </w:rPr>
      </w:pPr>
    </w:p>
    <w:p w14:paraId="1679CC7E" w14:textId="77777777" w:rsidR="007672DE" w:rsidRPr="00D63C67" w:rsidRDefault="007672DE" w:rsidP="00D63C67">
      <w:pPr>
        <w:pStyle w:val="ListParagraph"/>
        <w:numPr>
          <w:ilvl w:val="2"/>
          <w:numId w:val="37"/>
        </w:numPr>
        <w:spacing w:line="480" w:lineRule="auto"/>
        <w:rPr>
          <w:i/>
          <w:sz w:val="22"/>
          <w:szCs w:val="22"/>
        </w:rPr>
      </w:pPr>
      <w:r w:rsidRPr="00D63C67">
        <w:rPr>
          <w:i/>
          <w:sz w:val="22"/>
          <w:szCs w:val="22"/>
        </w:rPr>
        <w:t>Sales revenue per employee</w:t>
      </w:r>
    </w:p>
    <w:p w14:paraId="59A6C601" w14:textId="7B8DBF99" w:rsidR="007672DE" w:rsidRPr="00F00020" w:rsidRDefault="007672DE" w:rsidP="00D63C67">
      <w:pPr>
        <w:spacing w:line="480" w:lineRule="auto"/>
        <w:ind w:firstLine="426"/>
        <w:jc w:val="both"/>
        <w:rPr>
          <w:sz w:val="22"/>
          <w:szCs w:val="22"/>
        </w:rPr>
      </w:pPr>
      <w:r w:rsidRPr="00D63C67">
        <w:rPr>
          <w:sz w:val="22"/>
          <w:szCs w:val="22"/>
          <w:shd w:val="clear" w:color="auto" w:fill="FFFFFF"/>
        </w:rPr>
        <w:t xml:space="preserve">Sales revenue per employee rose by 0.2 from 2017-2018, to a total of </w:t>
      </w:r>
      <w:r w:rsidR="00350C01" w:rsidRPr="00D63C67">
        <w:rPr>
          <w:sz w:val="22"/>
          <w:szCs w:val="22"/>
        </w:rPr>
        <w:t>£</w:t>
      </w:r>
      <w:r w:rsidRPr="00D63C67">
        <w:rPr>
          <w:sz w:val="22"/>
          <w:szCs w:val="22"/>
          <w:shd w:val="clear" w:color="auto" w:fill="FFFFFF"/>
        </w:rPr>
        <w:t>0.45 million, thereby reflecting the increase in its employee staff base, but with a maintained level of efficiency and productivity that created profits. This</w:t>
      </w:r>
      <w:r w:rsidR="00350C01">
        <w:rPr>
          <w:sz w:val="22"/>
          <w:szCs w:val="22"/>
          <w:shd w:val="clear" w:color="auto" w:fill="FFFFFF"/>
        </w:rPr>
        <w:t xml:space="preserve"> increase can be attributed to E</w:t>
      </w:r>
      <w:r w:rsidRPr="00D63C67">
        <w:rPr>
          <w:sz w:val="22"/>
          <w:szCs w:val="22"/>
          <w:shd w:val="clear" w:color="auto" w:fill="FFFFFF"/>
        </w:rPr>
        <w:t>asyJet’s initiatives to retain staff (e.g. 6.5% turnover in 2018, versus 7.4% in 2017) through an employee engagement and listening programme, its being f</w:t>
      </w:r>
      <w:r w:rsidR="00F00020">
        <w:rPr>
          <w:sz w:val="22"/>
          <w:szCs w:val="22"/>
        </w:rPr>
        <w:t>eatured on Glassdoo</w:t>
      </w:r>
      <w:r w:rsidRPr="00D63C67">
        <w:rPr>
          <w:sz w:val="22"/>
          <w:szCs w:val="22"/>
        </w:rPr>
        <w:t xml:space="preserve">r UK as a “Top 50 places to work” in the UK Employees’ </w:t>
      </w:r>
      <w:r w:rsidRPr="00D63C67">
        <w:rPr>
          <w:sz w:val="22"/>
          <w:szCs w:val="22"/>
        </w:rPr>
        <w:lastRenderedPageBreak/>
        <w:t xml:space="preserve">as voted by </w:t>
      </w:r>
      <w:proofErr w:type="spellStart"/>
      <w:r w:rsidRPr="00D63C67">
        <w:rPr>
          <w:sz w:val="22"/>
          <w:szCs w:val="22"/>
        </w:rPr>
        <w:t>easyJet</w:t>
      </w:r>
      <w:proofErr w:type="spellEnd"/>
      <w:r w:rsidRPr="00D63C67">
        <w:rPr>
          <w:sz w:val="22"/>
          <w:szCs w:val="22"/>
        </w:rPr>
        <w:t xml:space="preserve"> employees, and its having developed one single set of employee values to guide activities (known as </w:t>
      </w:r>
      <w:r w:rsidRPr="00D63C67">
        <w:rPr>
          <w:i/>
          <w:sz w:val="22"/>
          <w:szCs w:val="22"/>
        </w:rPr>
        <w:t>Our Promise</w:t>
      </w:r>
      <w:r w:rsidRPr="00D63C67">
        <w:rPr>
          <w:sz w:val="22"/>
          <w:szCs w:val="22"/>
        </w:rPr>
        <w:t>)</w:t>
      </w:r>
      <w:r w:rsidR="00F00020">
        <w:rPr>
          <w:i/>
          <w:sz w:val="22"/>
          <w:szCs w:val="22"/>
        </w:rPr>
        <w:t xml:space="preserve"> </w:t>
      </w:r>
      <w:r w:rsidR="00F00020">
        <w:rPr>
          <w:sz w:val="22"/>
          <w:szCs w:val="22"/>
        </w:rPr>
        <w:t>(EasyJet 2018).</w:t>
      </w:r>
    </w:p>
    <w:p w14:paraId="6E06F219" w14:textId="77777777" w:rsidR="007672DE" w:rsidRPr="00D63C67" w:rsidRDefault="007672DE" w:rsidP="007672DE">
      <w:pPr>
        <w:rPr>
          <w:color w:val="000000" w:themeColor="text1"/>
          <w:sz w:val="22"/>
          <w:szCs w:val="22"/>
        </w:rPr>
      </w:pPr>
    </w:p>
    <w:p w14:paraId="1B828BD7" w14:textId="77777777" w:rsidR="007672DE" w:rsidRPr="00D63C67" w:rsidRDefault="007672DE" w:rsidP="00D63C67">
      <w:pPr>
        <w:pStyle w:val="ListParagraph"/>
        <w:numPr>
          <w:ilvl w:val="2"/>
          <w:numId w:val="37"/>
        </w:numPr>
        <w:spacing w:line="480" w:lineRule="auto"/>
        <w:rPr>
          <w:i/>
          <w:color w:val="000000" w:themeColor="text1"/>
          <w:sz w:val="22"/>
          <w:szCs w:val="22"/>
        </w:rPr>
      </w:pPr>
      <w:r w:rsidRPr="00D63C67">
        <w:rPr>
          <w:i/>
          <w:color w:val="000000" w:themeColor="text1"/>
          <w:sz w:val="22"/>
          <w:szCs w:val="22"/>
        </w:rPr>
        <w:t>Sales Revenue to Capital Employed (SRCE)</w:t>
      </w:r>
    </w:p>
    <w:p w14:paraId="7A3B7A2A" w14:textId="07FC495F" w:rsidR="007672DE" w:rsidRPr="00F00020" w:rsidRDefault="007672DE" w:rsidP="00D63C67">
      <w:pPr>
        <w:spacing w:line="480" w:lineRule="auto"/>
        <w:ind w:firstLine="426"/>
        <w:jc w:val="both"/>
        <w:rPr>
          <w:color w:val="000000" w:themeColor="text1"/>
          <w:sz w:val="22"/>
          <w:szCs w:val="22"/>
        </w:rPr>
      </w:pPr>
      <w:r w:rsidRPr="00D63C67">
        <w:rPr>
          <w:color w:val="000000" w:themeColor="text1"/>
          <w:sz w:val="22"/>
          <w:szCs w:val="22"/>
        </w:rPr>
        <w:t xml:space="preserve">SRCE increased from 2017 to 2018 by 7.4%, which means that there was a decent rise overall in the productivity of and </w:t>
      </w:r>
      <w:r w:rsidRPr="00D63C67">
        <w:rPr>
          <w:sz w:val="22"/>
          <w:szCs w:val="22"/>
        </w:rPr>
        <w:t xml:space="preserve">use of </w:t>
      </w:r>
      <w:r w:rsidR="00350C01" w:rsidRPr="00D63C67">
        <w:rPr>
          <w:sz w:val="22"/>
          <w:szCs w:val="22"/>
        </w:rPr>
        <w:t>EasyJet’s</w:t>
      </w:r>
      <w:r w:rsidRPr="00D63C67">
        <w:rPr>
          <w:sz w:val="22"/>
          <w:szCs w:val="22"/>
        </w:rPr>
        <w:t xml:space="preserve"> assets. These can be attributed to </w:t>
      </w:r>
      <w:r w:rsidR="00350C01" w:rsidRPr="00D63C67">
        <w:rPr>
          <w:sz w:val="22"/>
          <w:szCs w:val="22"/>
        </w:rPr>
        <w:t>EasyJet’s</w:t>
      </w:r>
      <w:r w:rsidRPr="00D63C67">
        <w:rPr>
          <w:sz w:val="22"/>
          <w:szCs w:val="22"/>
        </w:rPr>
        <w:t xml:space="preserve"> core objective to remain a low-cost airline, which requires that it drives efficiency and invests only where it matters most (e.g. acquisition of Air-Berlin assets). To do this, EasyJet seeks to invest in both short- and long-term initiatives, including with respect to: the conclusion of longer-term deals with airports and ground handlers to improve economies of scale; working closely with fuel providers to optimize commercial and logistical arrangements; use of data science to support predictive maintenance if its fleet, in close cooperation with Airbus; revamping its IT systems for simplicity and flexibility; increasing seats its existing fleet by refitting interiors; and increasing standby aircraft availability, </w:t>
      </w:r>
      <w:r w:rsidRPr="00D63C67">
        <w:rPr>
          <w:i/>
          <w:sz w:val="22"/>
          <w:szCs w:val="22"/>
        </w:rPr>
        <w:t>inter alia</w:t>
      </w:r>
      <w:r w:rsidR="00F00020">
        <w:rPr>
          <w:i/>
          <w:sz w:val="22"/>
          <w:szCs w:val="22"/>
        </w:rPr>
        <w:t xml:space="preserve"> </w:t>
      </w:r>
      <w:r w:rsidR="00F00020">
        <w:rPr>
          <w:sz w:val="22"/>
          <w:szCs w:val="22"/>
        </w:rPr>
        <w:t>(EasyJet 2018).</w:t>
      </w:r>
    </w:p>
    <w:p w14:paraId="56CA8CE6" w14:textId="77777777" w:rsidR="007672DE" w:rsidRPr="00D63C67" w:rsidRDefault="007672DE" w:rsidP="007672DE">
      <w:pPr>
        <w:rPr>
          <w:color w:val="000000" w:themeColor="text1"/>
          <w:sz w:val="22"/>
          <w:szCs w:val="22"/>
        </w:rPr>
      </w:pPr>
    </w:p>
    <w:p w14:paraId="338C4645" w14:textId="77777777" w:rsidR="007672DE" w:rsidRPr="00D63C67" w:rsidRDefault="007672DE" w:rsidP="007672DE">
      <w:pPr>
        <w:pStyle w:val="ListParagraph"/>
        <w:numPr>
          <w:ilvl w:val="1"/>
          <w:numId w:val="37"/>
        </w:numPr>
        <w:tabs>
          <w:tab w:val="left" w:pos="1134"/>
        </w:tabs>
        <w:ind w:left="426" w:hanging="426"/>
        <w:outlineLvl w:val="1"/>
        <w:rPr>
          <w:b/>
          <w:color w:val="000000" w:themeColor="text1"/>
          <w:sz w:val="22"/>
          <w:szCs w:val="22"/>
        </w:rPr>
      </w:pPr>
      <w:bookmarkStart w:id="17" w:name="_Toc535596753"/>
      <w:bookmarkStart w:id="18" w:name="_Toc535615921"/>
      <w:r w:rsidRPr="00D63C67">
        <w:rPr>
          <w:b/>
          <w:color w:val="000000" w:themeColor="text1"/>
          <w:sz w:val="22"/>
          <w:szCs w:val="22"/>
        </w:rPr>
        <w:t>Liquidity</w:t>
      </w:r>
      <w:bookmarkEnd w:id="17"/>
      <w:bookmarkEnd w:id="18"/>
    </w:p>
    <w:p w14:paraId="2770A26E" w14:textId="77777777" w:rsidR="007672DE" w:rsidRPr="00D63C67" w:rsidRDefault="007672DE" w:rsidP="007672DE">
      <w:pPr>
        <w:tabs>
          <w:tab w:val="left" w:pos="1134"/>
        </w:tabs>
        <w:rPr>
          <w:color w:val="000000" w:themeColor="text1"/>
          <w:sz w:val="22"/>
          <w:szCs w:val="22"/>
        </w:rPr>
      </w:pPr>
    </w:p>
    <w:p w14:paraId="271415E0" w14:textId="77777777" w:rsidR="007672DE" w:rsidRPr="00D63C67" w:rsidRDefault="007672DE" w:rsidP="00D63C67">
      <w:pPr>
        <w:pStyle w:val="ListParagraph"/>
        <w:numPr>
          <w:ilvl w:val="2"/>
          <w:numId w:val="37"/>
        </w:numPr>
        <w:tabs>
          <w:tab w:val="left" w:pos="1134"/>
        </w:tabs>
        <w:spacing w:line="480" w:lineRule="auto"/>
        <w:rPr>
          <w:i/>
          <w:color w:val="000000" w:themeColor="text1"/>
          <w:sz w:val="22"/>
          <w:szCs w:val="22"/>
        </w:rPr>
      </w:pPr>
      <w:r w:rsidRPr="00D63C67">
        <w:rPr>
          <w:i/>
          <w:color w:val="000000" w:themeColor="text1"/>
          <w:sz w:val="22"/>
          <w:szCs w:val="22"/>
        </w:rPr>
        <w:t>Current Ratio</w:t>
      </w:r>
    </w:p>
    <w:p w14:paraId="489809E4" w14:textId="3FECC705" w:rsidR="007672DE" w:rsidRPr="00D63C67" w:rsidRDefault="007672DE" w:rsidP="00D63C67">
      <w:pPr>
        <w:tabs>
          <w:tab w:val="left" w:pos="1134"/>
        </w:tabs>
        <w:spacing w:line="480" w:lineRule="auto"/>
        <w:ind w:firstLine="426"/>
        <w:jc w:val="both"/>
        <w:rPr>
          <w:color w:val="000000" w:themeColor="text1"/>
          <w:sz w:val="22"/>
          <w:szCs w:val="22"/>
        </w:rPr>
      </w:pPr>
      <w:r w:rsidRPr="00D63C67">
        <w:rPr>
          <w:color w:val="000000" w:themeColor="text1"/>
          <w:sz w:val="22"/>
          <w:szCs w:val="22"/>
        </w:rPr>
        <w:t xml:space="preserve">EasyJet’s current ratio decreased from 1.04 in 2017 to 0.97 in 2018, because short-term liabilities increased by 23.4% year-on-year, due to significant capital investments made which amounted to £133 million (see 3.2.1.), and because of an increase in current liabilities (23.4% year-on-year). Despite this, </w:t>
      </w:r>
      <w:r w:rsidRPr="00D63C67">
        <w:rPr>
          <w:sz w:val="22"/>
          <w:szCs w:val="22"/>
        </w:rPr>
        <w:t>total net assets remain solid and EasyJet is in a good position to pay its debts.</w:t>
      </w:r>
    </w:p>
    <w:p w14:paraId="0BC04FAA" w14:textId="77777777" w:rsidR="007672DE" w:rsidRPr="00D63C67" w:rsidRDefault="007672DE" w:rsidP="007672DE">
      <w:pPr>
        <w:tabs>
          <w:tab w:val="left" w:pos="1134"/>
        </w:tabs>
        <w:rPr>
          <w:color w:val="000000" w:themeColor="text1"/>
          <w:sz w:val="22"/>
          <w:szCs w:val="22"/>
        </w:rPr>
      </w:pPr>
    </w:p>
    <w:p w14:paraId="6BBCEC72" w14:textId="77777777" w:rsidR="007672DE" w:rsidRPr="00D63C67" w:rsidRDefault="007672DE" w:rsidP="007672DE">
      <w:pPr>
        <w:pStyle w:val="ListParagraph"/>
        <w:numPr>
          <w:ilvl w:val="1"/>
          <w:numId w:val="37"/>
        </w:numPr>
        <w:tabs>
          <w:tab w:val="left" w:pos="1134"/>
        </w:tabs>
        <w:ind w:left="426" w:hanging="426"/>
        <w:outlineLvl w:val="1"/>
        <w:rPr>
          <w:b/>
          <w:sz w:val="22"/>
          <w:szCs w:val="22"/>
        </w:rPr>
      </w:pPr>
      <w:bookmarkStart w:id="19" w:name="_Toc535596754"/>
      <w:bookmarkStart w:id="20" w:name="_Toc535615922"/>
      <w:r w:rsidRPr="00D63C67">
        <w:rPr>
          <w:b/>
          <w:sz w:val="22"/>
          <w:szCs w:val="22"/>
        </w:rPr>
        <w:t>Investment</w:t>
      </w:r>
      <w:bookmarkEnd w:id="19"/>
      <w:bookmarkEnd w:id="20"/>
    </w:p>
    <w:p w14:paraId="49C7BA63" w14:textId="77777777" w:rsidR="007672DE" w:rsidRPr="00D63C67" w:rsidRDefault="007672DE" w:rsidP="007672DE">
      <w:pPr>
        <w:tabs>
          <w:tab w:val="left" w:pos="1134"/>
        </w:tabs>
        <w:jc w:val="both"/>
        <w:rPr>
          <w:sz w:val="22"/>
          <w:szCs w:val="22"/>
        </w:rPr>
      </w:pPr>
    </w:p>
    <w:p w14:paraId="0E46543D" w14:textId="77777777" w:rsidR="007672DE" w:rsidRPr="00D63C67" w:rsidRDefault="007672DE" w:rsidP="00D63C67">
      <w:pPr>
        <w:pStyle w:val="ListParagraph"/>
        <w:numPr>
          <w:ilvl w:val="2"/>
          <w:numId w:val="37"/>
        </w:numPr>
        <w:tabs>
          <w:tab w:val="left" w:pos="1134"/>
        </w:tabs>
        <w:spacing w:line="480" w:lineRule="auto"/>
        <w:jc w:val="both"/>
        <w:rPr>
          <w:i/>
          <w:sz w:val="22"/>
          <w:szCs w:val="22"/>
        </w:rPr>
      </w:pPr>
      <w:r w:rsidRPr="00D63C67">
        <w:rPr>
          <w:i/>
          <w:sz w:val="22"/>
          <w:szCs w:val="22"/>
        </w:rPr>
        <w:t xml:space="preserve">Dividend </w:t>
      </w:r>
      <w:proofErr w:type="spellStart"/>
      <w:r w:rsidRPr="00D63C67">
        <w:rPr>
          <w:i/>
          <w:sz w:val="22"/>
          <w:szCs w:val="22"/>
        </w:rPr>
        <w:t>Payout</w:t>
      </w:r>
      <w:proofErr w:type="spellEnd"/>
      <w:r w:rsidRPr="00D63C67">
        <w:rPr>
          <w:i/>
          <w:sz w:val="22"/>
          <w:szCs w:val="22"/>
        </w:rPr>
        <w:t xml:space="preserve"> Ratio</w:t>
      </w:r>
    </w:p>
    <w:p w14:paraId="3B1A6DB2" w14:textId="77777777" w:rsidR="007672DE" w:rsidRDefault="007672DE" w:rsidP="00D63C67">
      <w:pPr>
        <w:tabs>
          <w:tab w:val="left" w:pos="1134"/>
        </w:tabs>
        <w:ind w:firstLine="426"/>
        <w:jc w:val="both"/>
        <w:rPr>
          <w:sz w:val="22"/>
          <w:szCs w:val="22"/>
        </w:rPr>
      </w:pPr>
      <w:r w:rsidRPr="00D63C67">
        <w:rPr>
          <w:sz w:val="22"/>
          <w:szCs w:val="22"/>
        </w:rPr>
        <w:t>EasyJet’s policy, in this respect, is to pay shareholders 50% of headline earnings.</w:t>
      </w:r>
    </w:p>
    <w:p w14:paraId="74976D7E" w14:textId="77777777" w:rsidR="00F00020" w:rsidRPr="004454F8" w:rsidRDefault="00F00020" w:rsidP="00D63C67">
      <w:pPr>
        <w:tabs>
          <w:tab w:val="left" w:pos="1134"/>
        </w:tabs>
        <w:ind w:firstLine="426"/>
        <w:jc w:val="both"/>
        <w:rPr>
          <w:sz w:val="22"/>
          <w:szCs w:val="22"/>
        </w:rPr>
      </w:pPr>
    </w:p>
    <w:p w14:paraId="7FEF0EB7" w14:textId="77777777" w:rsidR="007672DE" w:rsidRPr="004454F8" w:rsidRDefault="007672DE" w:rsidP="007672DE">
      <w:pPr>
        <w:tabs>
          <w:tab w:val="left" w:pos="1134"/>
        </w:tabs>
        <w:jc w:val="both"/>
        <w:rPr>
          <w:sz w:val="22"/>
          <w:szCs w:val="22"/>
        </w:rPr>
      </w:pPr>
    </w:p>
    <w:p w14:paraId="11148682" w14:textId="77777777" w:rsidR="007672DE" w:rsidRPr="0032006B" w:rsidRDefault="007672DE" w:rsidP="00D63C67">
      <w:pPr>
        <w:pStyle w:val="ListParagraph"/>
        <w:numPr>
          <w:ilvl w:val="2"/>
          <w:numId w:val="37"/>
        </w:numPr>
        <w:tabs>
          <w:tab w:val="left" w:pos="1134"/>
        </w:tabs>
        <w:spacing w:line="480" w:lineRule="auto"/>
        <w:jc w:val="both"/>
        <w:rPr>
          <w:i/>
          <w:sz w:val="22"/>
          <w:szCs w:val="22"/>
        </w:rPr>
      </w:pPr>
      <w:r w:rsidRPr="0032006B">
        <w:rPr>
          <w:i/>
          <w:sz w:val="22"/>
          <w:szCs w:val="22"/>
        </w:rPr>
        <w:t>Dividend Yield Ratio (DYO)</w:t>
      </w:r>
    </w:p>
    <w:p w14:paraId="5B78DECD" w14:textId="6F459814" w:rsidR="007672DE" w:rsidRPr="004454F8" w:rsidRDefault="007672DE" w:rsidP="00D63C67">
      <w:pPr>
        <w:tabs>
          <w:tab w:val="left" w:pos="1134"/>
        </w:tabs>
        <w:spacing w:line="480" w:lineRule="auto"/>
        <w:ind w:firstLine="426"/>
        <w:jc w:val="both"/>
        <w:rPr>
          <w:sz w:val="22"/>
          <w:szCs w:val="22"/>
        </w:rPr>
      </w:pPr>
      <w:r w:rsidRPr="0032006B">
        <w:rPr>
          <w:sz w:val="22"/>
          <w:szCs w:val="22"/>
        </w:rPr>
        <w:t xml:space="preserve">EasyJet’s DYO more than doubled from 2017 to 2018, increasing from 2.41% to 5.1%, respectively, which means that </w:t>
      </w:r>
      <w:r w:rsidR="00CD4A76" w:rsidRPr="0032006B">
        <w:rPr>
          <w:sz w:val="22"/>
          <w:szCs w:val="22"/>
        </w:rPr>
        <w:t xml:space="preserve">the cash return on shareholders’ investment </w:t>
      </w:r>
      <w:r w:rsidR="00081439" w:rsidRPr="0032006B">
        <w:rPr>
          <w:sz w:val="22"/>
          <w:szCs w:val="22"/>
        </w:rPr>
        <w:t>h</w:t>
      </w:r>
      <w:r w:rsidR="00D767CB" w:rsidRPr="0032006B">
        <w:rPr>
          <w:sz w:val="22"/>
          <w:szCs w:val="22"/>
        </w:rPr>
        <w:t>a</w:t>
      </w:r>
      <w:r w:rsidR="00081439" w:rsidRPr="0032006B">
        <w:rPr>
          <w:sz w:val="22"/>
          <w:szCs w:val="22"/>
        </w:rPr>
        <w:t>s increased</w:t>
      </w:r>
      <w:r w:rsidR="005D3909" w:rsidRPr="0032006B">
        <w:rPr>
          <w:sz w:val="22"/>
          <w:szCs w:val="22"/>
        </w:rPr>
        <w:t>.</w:t>
      </w:r>
      <w:r w:rsidR="00D767CB" w:rsidRPr="0032006B">
        <w:rPr>
          <w:sz w:val="22"/>
          <w:szCs w:val="22"/>
        </w:rPr>
        <w:t xml:space="preserve"> This reflects an increase</w:t>
      </w:r>
      <w:r w:rsidR="00D767CB">
        <w:rPr>
          <w:sz w:val="22"/>
          <w:szCs w:val="22"/>
        </w:rPr>
        <w:t xml:space="preserve"> of 43% in the pr</w:t>
      </w:r>
      <w:r w:rsidR="0032006B">
        <w:rPr>
          <w:sz w:val="22"/>
          <w:szCs w:val="22"/>
        </w:rPr>
        <w:t xml:space="preserve">oposed dividend, after a strong financial performance in 2018 </w:t>
      </w:r>
      <w:r w:rsidR="0032006B">
        <w:rPr>
          <w:sz w:val="22"/>
          <w:szCs w:val="22"/>
        </w:rPr>
        <w:lastRenderedPageBreak/>
        <w:t>(</w:t>
      </w:r>
      <w:r w:rsidR="00F00020">
        <w:rPr>
          <w:sz w:val="22"/>
          <w:szCs w:val="22"/>
        </w:rPr>
        <w:t>EasyJet 2018</w:t>
      </w:r>
      <w:r w:rsidR="0032006B">
        <w:rPr>
          <w:sz w:val="22"/>
          <w:szCs w:val="22"/>
        </w:rPr>
        <w:t xml:space="preserve">, p. 10). </w:t>
      </w:r>
      <w:r w:rsidR="00052802">
        <w:rPr>
          <w:sz w:val="22"/>
          <w:szCs w:val="22"/>
        </w:rPr>
        <w:t>This decision may well be an attempt to boost confidence of the shareholders in the future performances of the company, in particular in light of the decrease in the P/ER.</w:t>
      </w:r>
    </w:p>
    <w:p w14:paraId="47083371" w14:textId="77777777" w:rsidR="007672DE" w:rsidRPr="004454F8" w:rsidRDefault="007672DE" w:rsidP="007672DE">
      <w:pPr>
        <w:tabs>
          <w:tab w:val="left" w:pos="1134"/>
        </w:tabs>
        <w:jc w:val="both"/>
        <w:rPr>
          <w:color w:val="000000" w:themeColor="text1"/>
          <w:sz w:val="22"/>
          <w:szCs w:val="22"/>
        </w:rPr>
      </w:pPr>
    </w:p>
    <w:p w14:paraId="20AA4F25" w14:textId="77777777" w:rsidR="007672DE" w:rsidRPr="00D63C67" w:rsidRDefault="007672DE" w:rsidP="00D63C67">
      <w:pPr>
        <w:pStyle w:val="ListParagraph"/>
        <w:numPr>
          <w:ilvl w:val="2"/>
          <w:numId w:val="37"/>
        </w:numPr>
        <w:tabs>
          <w:tab w:val="left" w:pos="1134"/>
        </w:tabs>
        <w:spacing w:line="480" w:lineRule="auto"/>
        <w:jc w:val="both"/>
        <w:rPr>
          <w:i/>
          <w:sz w:val="22"/>
          <w:szCs w:val="22"/>
        </w:rPr>
      </w:pPr>
      <w:r w:rsidRPr="00D63C67">
        <w:rPr>
          <w:i/>
          <w:sz w:val="22"/>
          <w:szCs w:val="22"/>
        </w:rPr>
        <w:t>Earnings per Share (EPS)</w:t>
      </w:r>
    </w:p>
    <w:p w14:paraId="40AAF0CB" w14:textId="77777777" w:rsidR="007672DE" w:rsidRPr="004454F8" w:rsidRDefault="007672DE" w:rsidP="00D63C67">
      <w:pPr>
        <w:tabs>
          <w:tab w:val="left" w:pos="1134"/>
        </w:tabs>
        <w:spacing w:line="480" w:lineRule="auto"/>
        <w:ind w:firstLine="426"/>
        <w:jc w:val="both"/>
        <w:rPr>
          <w:sz w:val="22"/>
          <w:szCs w:val="22"/>
        </w:rPr>
      </w:pPr>
      <w:r w:rsidRPr="00D63C67">
        <w:rPr>
          <w:sz w:val="22"/>
          <w:szCs w:val="22"/>
        </w:rPr>
        <w:t xml:space="preserve">EPS rose by 16% from 2017 to 2018, increasing from 77.4 pence to 90.90 pence. This is the result of an increase in net profit (after tax) of 43% year-on-year. This rise will certainly be welcomed by shareholders and some of these earnings could be retained for other capital </w:t>
      </w:r>
      <w:r w:rsidRPr="00F00020">
        <w:rPr>
          <w:sz w:val="22"/>
          <w:szCs w:val="22"/>
        </w:rPr>
        <w:t>investments.</w:t>
      </w:r>
      <w:r w:rsidRPr="004454F8">
        <w:rPr>
          <w:sz w:val="22"/>
          <w:szCs w:val="22"/>
        </w:rPr>
        <w:t xml:space="preserve"> </w:t>
      </w:r>
    </w:p>
    <w:p w14:paraId="78E477FB" w14:textId="77777777" w:rsidR="007672DE" w:rsidRPr="004454F8" w:rsidRDefault="007672DE" w:rsidP="007672DE">
      <w:pPr>
        <w:tabs>
          <w:tab w:val="left" w:pos="1134"/>
        </w:tabs>
        <w:jc w:val="both"/>
        <w:rPr>
          <w:sz w:val="22"/>
          <w:szCs w:val="22"/>
        </w:rPr>
      </w:pPr>
    </w:p>
    <w:p w14:paraId="6FDBC906" w14:textId="77777777" w:rsidR="007672DE" w:rsidRPr="00217B5C" w:rsidRDefault="007672DE" w:rsidP="00D63C67">
      <w:pPr>
        <w:pStyle w:val="ListParagraph"/>
        <w:numPr>
          <w:ilvl w:val="2"/>
          <w:numId w:val="37"/>
        </w:numPr>
        <w:tabs>
          <w:tab w:val="left" w:pos="1134"/>
        </w:tabs>
        <w:spacing w:line="480" w:lineRule="auto"/>
        <w:jc w:val="both"/>
        <w:rPr>
          <w:i/>
          <w:sz w:val="22"/>
          <w:szCs w:val="22"/>
        </w:rPr>
      </w:pPr>
      <w:r w:rsidRPr="00217B5C">
        <w:rPr>
          <w:i/>
          <w:sz w:val="22"/>
          <w:szCs w:val="22"/>
        </w:rPr>
        <w:t>Price/Earnings Ratio (P/ER)</w:t>
      </w:r>
    </w:p>
    <w:p w14:paraId="5DBBDA4C" w14:textId="44BC6AB7" w:rsidR="007672DE" w:rsidRPr="004454F8" w:rsidRDefault="007672DE" w:rsidP="00D63C67">
      <w:pPr>
        <w:tabs>
          <w:tab w:val="left" w:pos="1134"/>
        </w:tabs>
        <w:spacing w:line="480" w:lineRule="auto"/>
        <w:ind w:firstLine="426"/>
        <w:jc w:val="both"/>
        <w:rPr>
          <w:b/>
          <w:sz w:val="22"/>
          <w:szCs w:val="22"/>
        </w:rPr>
      </w:pPr>
      <w:r w:rsidRPr="00217B5C">
        <w:rPr>
          <w:sz w:val="22"/>
          <w:szCs w:val="22"/>
        </w:rPr>
        <w:t xml:space="preserve">P/ER declined significantly from 2017 to 2018, falling from 21.96 to 12.65, respectively. </w:t>
      </w:r>
      <w:r w:rsidR="0032006B" w:rsidRPr="00217B5C">
        <w:rPr>
          <w:sz w:val="22"/>
          <w:szCs w:val="22"/>
        </w:rPr>
        <w:t>As this ratio “</w:t>
      </w:r>
      <w:r w:rsidR="00412455">
        <w:rPr>
          <w:sz w:val="22"/>
          <w:szCs w:val="22"/>
        </w:rPr>
        <w:t>provide[s] a useful guide to market confidence concerning the future [of a business</w:t>
      </w:r>
      <w:r w:rsidR="0032006B" w:rsidRPr="00217B5C">
        <w:rPr>
          <w:sz w:val="22"/>
          <w:szCs w:val="22"/>
        </w:rPr>
        <w:t>”,</w:t>
      </w:r>
      <w:r w:rsidR="00412455">
        <w:rPr>
          <w:sz w:val="22"/>
          <w:szCs w:val="22"/>
        </w:rPr>
        <w:t xml:space="preserve"> (</w:t>
      </w:r>
      <w:proofErr w:type="spellStart"/>
      <w:r w:rsidR="00412455">
        <w:rPr>
          <w:sz w:val="22"/>
          <w:szCs w:val="22"/>
        </w:rPr>
        <w:t>Atrill</w:t>
      </w:r>
      <w:proofErr w:type="spellEnd"/>
      <w:r w:rsidR="00412455">
        <w:rPr>
          <w:sz w:val="22"/>
          <w:szCs w:val="22"/>
        </w:rPr>
        <w:t xml:space="preserve"> 2013, p. 212),</w:t>
      </w:r>
      <w:r w:rsidR="0032006B" w:rsidRPr="00217B5C">
        <w:rPr>
          <w:sz w:val="22"/>
          <w:szCs w:val="22"/>
        </w:rPr>
        <w:t xml:space="preserve"> this shows that </w:t>
      </w:r>
      <w:r w:rsidR="00EB4E6B" w:rsidRPr="00217B5C">
        <w:rPr>
          <w:sz w:val="22"/>
          <w:szCs w:val="22"/>
        </w:rPr>
        <w:t>in spite of what EasyJet</w:t>
      </w:r>
      <w:r w:rsidR="00EB4E6B">
        <w:rPr>
          <w:sz w:val="22"/>
          <w:szCs w:val="22"/>
        </w:rPr>
        <w:t xml:space="preserve"> sees as a su</w:t>
      </w:r>
      <w:r w:rsidR="00217B5C">
        <w:rPr>
          <w:sz w:val="22"/>
          <w:szCs w:val="22"/>
        </w:rPr>
        <w:t xml:space="preserve">ccessful performance in 2018, there are concerns over the future earning power of the company. </w:t>
      </w:r>
    </w:p>
    <w:p w14:paraId="0AB27DD7" w14:textId="77777777" w:rsidR="007672DE" w:rsidRPr="004454F8" w:rsidRDefault="007672DE" w:rsidP="007672DE">
      <w:pPr>
        <w:pStyle w:val="ListParagraph"/>
        <w:tabs>
          <w:tab w:val="left" w:pos="1134"/>
        </w:tabs>
        <w:ind w:left="426"/>
        <w:jc w:val="both"/>
        <w:rPr>
          <w:sz w:val="22"/>
          <w:szCs w:val="22"/>
        </w:rPr>
      </w:pPr>
    </w:p>
    <w:p w14:paraId="7C92479E" w14:textId="77777777" w:rsidR="007672DE" w:rsidRPr="004454F8" w:rsidRDefault="007672DE" w:rsidP="007672DE">
      <w:pPr>
        <w:pStyle w:val="ListParagraph"/>
        <w:numPr>
          <w:ilvl w:val="1"/>
          <w:numId w:val="37"/>
        </w:numPr>
        <w:tabs>
          <w:tab w:val="left" w:pos="1134"/>
        </w:tabs>
        <w:ind w:left="567" w:hanging="567"/>
        <w:jc w:val="both"/>
        <w:outlineLvl w:val="1"/>
        <w:rPr>
          <w:sz w:val="22"/>
          <w:szCs w:val="22"/>
        </w:rPr>
      </w:pPr>
      <w:bookmarkStart w:id="21" w:name="_Toc535596755"/>
      <w:bookmarkStart w:id="22" w:name="_Toc535615923"/>
      <w:r w:rsidRPr="004454F8">
        <w:rPr>
          <w:b/>
          <w:sz w:val="22"/>
          <w:szCs w:val="22"/>
        </w:rPr>
        <w:t>Gearing</w:t>
      </w:r>
      <w:bookmarkEnd w:id="21"/>
      <w:bookmarkEnd w:id="22"/>
    </w:p>
    <w:p w14:paraId="12D2602D" w14:textId="77777777" w:rsidR="007672DE" w:rsidRPr="004454F8" w:rsidRDefault="007672DE" w:rsidP="007672DE">
      <w:pPr>
        <w:tabs>
          <w:tab w:val="left" w:pos="1134"/>
        </w:tabs>
        <w:jc w:val="both"/>
        <w:rPr>
          <w:sz w:val="22"/>
          <w:szCs w:val="22"/>
        </w:rPr>
      </w:pPr>
    </w:p>
    <w:p w14:paraId="2BC067DB" w14:textId="77777777" w:rsidR="007672DE" w:rsidRPr="005D52D9" w:rsidRDefault="007672DE" w:rsidP="00D63C67">
      <w:pPr>
        <w:pStyle w:val="ListParagraph"/>
        <w:numPr>
          <w:ilvl w:val="2"/>
          <w:numId w:val="37"/>
        </w:numPr>
        <w:tabs>
          <w:tab w:val="left" w:pos="1134"/>
        </w:tabs>
        <w:spacing w:line="480" w:lineRule="auto"/>
        <w:jc w:val="both"/>
        <w:rPr>
          <w:i/>
          <w:sz w:val="22"/>
          <w:szCs w:val="22"/>
        </w:rPr>
      </w:pPr>
      <w:r w:rsidRPr="005D52D9">
        <w:rPr>
          <w:i/>
          <w:sz w:val="22"/>
          <w:szCs w:val="22"/>
        </w:rPr>
        <w:t>Gearing Ratio</w:t>
      </w:r>
    </w:p>
    <w:p w14:paraId="0F5CF74E" w14:textId="393E110C" w:rsidR="007672DE" w:rsidRPr="005D52D9" w:rsidRDefault="007672DE" w:rsidP="00D63C67">
      <w:pPr>
        <w:tabs>
          <w:tab w:val="left" w:pos="1134"/>
        </w:tabs>
        <w:spacing w:line="480" w:lineRule="auto"/>
        <w:ind w:firstLine="426"/>
        <w:jc w:val="both"/>
        <w:rPr>
          <w:sz w:val="22"/>
          <w:szCs w:val="22"/>
        </w:rPr>
      </w:pPr>
      <w:r w:rsidRPr="005D52D9">
        <w:rPr>
          <w:sz w:val="22"/>
          <w:szCs w:val="22"/>
        </w:rPr>
        <w:t>Eas</w:t>
      </w:r>
      <w:r w:rsidR="005D52D9" w:rsidRPr="005D52D9">
        <w:rPr>
          <w:sz w:val="22"/>
          <w:szCs w:val="22"/>
        </w:rPr>
        <w:t xml:space="preserve">yJet’s gearing ratio increased </w:t>
      </w:r>
      <w:r w:rsidRPr="005D52D9">
        <w:rPr>
          <w:sz w:val="22"/>
          <w:szCs w:val="22"/>
        </w:rPr>
        <w:t xml:space="preserve">slightly between 2017 and 2018, from 35.3% to 35.61%, which </w:t>
      </w:r>
      <w:r w:rsidR="0015712C" w:rsidRPr="005D52D9">
        <w:rPr>
          <w:sz w:val="22"/>
          <w:szCs w:val="22"/>
        </w:rPr>
        <w:t>remains stable</w:t>
      </w:r>
      <w:r w:rsidRPr="005D52D9">
        <w:rPr>
          <w:sz w:val="22"/>
          <w:szCs w:val="22"/>
        </w:rPr>
        <w:t>.</w:t>
      </w:r>
    </w:p>
    <w:p w14:paraId="7C882E65" w14:textId="77777777" w:rsidR="007672DE" w:rsidRPr="005D52D9" w:rsidRDefault="007672DE" w:rsidP="007672DE">
      <w:pPr>
        <w:tabs>
          <w:tab w:val="left" w:pos="1134"/>
        </w:tabs>
        <w:jc w:val="both"/>
        <w:rPr>
          <w:i/>
          <w:sz w:val="22"/>
          <w:szCs w:val="22"/>
        </w:rPr>
      </w:pPr>
    </w:p>
    <w:p w14:paraId="0F68C856" w14:textId="77777777" w:rsidR="007672DE" w:rsidRPr="00D63C67" w:rsidRDefault="007672DE" w:rsidP="00D63C67">
      <w:pPr>
        <w:pStyle w:val="ListParagraph"/>
        <w:numPr>
          <w:ilvl w:val="2"/>
          <w:numId w:val="37"/>
        </w:numPr>
        <w:tabs>
          <w:tab w:val="left" w:pos="1134"/>
        </w:tabs>
        <w:spacing w:line="480" w:lineRule="auto"/>
        <w:jc w:val="both"/>
        <w:rPr>
          <w:i/>
          <w:sz w:val="22"/>
          <w:szCs w:val="22"/>
        </w:rPr>
      </w:pPr>
      <w:r w:rsidRPr="00D63C67">
        <w:rPr>
          <w:i/>
          <w:sz w:val="22"/>
          <w:szCs w:val="22"/>
        </w:rPr>
        <w:t>Interest Cover Ratio (ICO)</w:t>
      </w:r>
    </w:p>
    <w:p w14:paraId="41DA5798" w14:textId="77777777" w:rsidR="007672DE" w:rsidRPr="004454F8" w:rsidRDefault="007672DE" w:rsidP="00D63C67">
      <w:pPr>
        <w:tabs>
          <w:tab w:val="left" w:pos="1134"/>
        </w:tabs>
        <w:spacing w:line="480" w:lineRule="auto"/>
        <w:ind w:firstLine="426"/>
        <w:jc w:val="both"/>
        <w:rPr>
          <w:sz w:val="22"/>
          <w:szCs w:val="22"/>
          <w:shd w:val="clear" w:color="auto" w:fill="FFFFFF"/>
        </w:rPr>
      </w:pPr>
      <w:r w:rsidRPr="00D63C67">
        <w:rPr>
          <w:sz w:val="22"/>
          <w:szCs w:val="22"/>
          <w:shd w:val="clear" w:color="auto" w:fill="FFFFFF"/>
        </w:rPr>
        <w:t>EasyJet’s ICO improved from 13.93 in 2017 to 15.33 in 2018, with positive year-on-year operating profit increases of 43% after tax and resulting from reduced charges in net finance. Moreover, d</w:t>
      </w:r>
      <w:r w:rsidRPr="00D63C67">
        <w:rPr>
          <w:sz w:val="22"/>
          <w:szCs w:val="22"/>
        </w:rPr>
        <w:t>espite increases in short- and long-term liabilities of 20.9% and 11.2%, respectively, total net assets remain significantly above both, which means EasyJet is still in a strong position to pay its debts and associated interest rates.</w:t>
      </w:r>
    </w:p>
    <w:p w14:paraId="39103897" w14:textId="77777777" w:rsidR="007672DE" w:rsidRPr="004454F8" w:rsidRDefault="007672DE" w:rsidP="007672DE">
      <w:pPr>
        <w:tabs>
          <w:tab w:val="left" w:pos="1134"/>
        </w:tabs>
        <w:jc w:val="both"/>
        <w:rPr>
          <w:sz w:val="22"/>
          <w:szCs w:val="22"/>
        </w:rPr>
      </w:pPr>
    </w:p>
    <w:p w14:paraId="3E57B94B" w14:textId="77777777" w:rsidR="007672DE" w:rsidRPr="004454F8" w:rsidRDefault="007672DE" w:rsidP="00D63C67">
      <w:pPr>
        <w:pStyle w:val="ListParagraph"/>
        <w:numPr>
          <w:ilvl w:val="0"/>
          <w:numId w:val="37"/>
        </w:numPr>
        <w:tabs>
          <w:tab w:val="left" w:pos="1134"/>
        </w:tabs>
        <w:spacing w:line="480" w:lineRule="auto"/>
        <w:ind w:left="426" w:hanging="426"/>
        <w:jc w:val="both"/>
        <w:outlineLvl w:val="0"/>
        <w:rPr>
          <w:b/>
          <w:sz w:val="22"/>
          <w:szCs w:val="22"/>
        </w:rPr>
      </w:pPr>
      <w:bookmarkStart w:id="23" w:name="_Toc535596756"/>
      <w:bookmarkStart w:id="24" w:name="_Toc535615924"/>
      <w:r w:rsidRPr="004454F8">
        <w:rPr>
          <w:b/>
          <w:sz w:val="22"/>
          <w:szCs w:val="22"/>
        </w:rPr>
        <w:t>Conclusion</w:t>
      </w:r>
      <w:bookmarkEnd w:id="23"/>
      <w:bookmarkEnd w:id="24"/>
    </w:p>
    <w:p w14:paraId="466C542D" w14:textId="0B56B5AA" w:rsidR="007672DE" w:rsidRPr="00E824F2" w:rsidRDefault="007672DE" w:rsidP="00E824F2">
      <w:pPr>
        <w:pStyle w:val="p1"/>
        <w:spacing w:line="480" w:lineRule="auto"/>
        <w:ind w:firstLine="426"/>
        <w:jc w:val="both"/>
        <w:rPr>
          <w:color w:val="000000" w:themeColor="text1"/>
          <w:sz w:val="22"/>
          <w:szCs w:val="22"/>
        </w:rPr>
      </w:pPr>
      <w:r w:rsidRPr="00E824F2">
        <w:rPr>
          <w:color w:val="000000" w:themeColor="text1"/>
          <w:sz w:val="22"/>
          <w:szCs w:val="22"/>
        </w:rPr>
        <w:t xml:space="preserve">Overall, EasyJet is doing quite well across all ratios, except for </w:t>
      </w:r>
      <w:r w:rsidRPr="00E824F2">
        <w:rPr>
          <w:i/>
          <w:color w:val="000000" w:themeColor="text1"/>
          <w:sz w:val="22"/>
          <w:szCs w:val="22"/>
        </w:rPr>
        <w:t>current ratio</w:t>
      </w:r>
      <w:r w:rsidRPr="00E824F2">
        <w:rPr>
          <w:color w:val="000000" w:themeColor="text1"/>
          <w:sz w:val="22"/>
          <w:szCs w:val="22"/>
        </w:rPr>
        <w:t xml:space="preserve"> and </w:t>
      </w:r>
      <w:r w:rsidRPr="00E824F2">
        <w:rPr>
          <w:i/>
          <w:color w:val="000000" w:themeColor="text1"/>
          <w:sz w:val="22"/>
          <w:szCs w:val="22"/>
        </w:rPr>
        <w:t>P/ER</w:t>
      </w:r>
      <w:r w:rsidRPr="00E824F2">
        <w:rPr>
          <w:color w:val="000000" w:themeColor="text1"/>
          <w:sz w:val="22"/>
          <w:szCs w:val="22"/>
        </w:rPr>
        <w:t xml:space="preserve">, </w:t>
      </w:r>
      <w:r w:rsidR="00BC569E" w:rsidRPr="00E824F2">
        <w:rPr>
          <w:color w:val="000000" w:themeColor="text1"/>
          <w:sz w:val="22"/>
          <w:szCs w:val="22"/>
        </w:rPr>
        <w:t>which need to be monitored</w:t>
      </w:r>
      <w:r w:rsidRPr="00E824F2">
        <w:rPr>
          <w:color w:val="000000" w:themeColor="text1"/>
          <w:sz w:val="22"/>
          <w:szCs w:val="22"/>
        </w:rPr>
        <w:t xml:space="preserve">. </w:t>
      </w:r>
      <w:r w:rsidR="0094709B" w:rsidRPr="00E824F2">
        <w:rPr>
          <w:color w:val="000000" w:themeColor="text1"/>
          <w:sz w:val="22"/>
          <w:szCs w:val="22"/>
        </w:rPr>
        <w:t>T</w:t>
      </w:r>
      <w:r w:rsidR="00B479EE" w:rsidRPr="00E824F2">
        <w:rPr>
          <w:color w:val="000000" w:themeColor="text1"/>
          <w:sz w:val="22"/>
          <w:szCs w:val="22"/>
        </w:rPr>
        <w:t>he latter could be influen</w:t>
      </w:r>
      <w:r w:rsidR="00E824F2" w:rsidRPr="00E824F2">
        <w:rPr>
          <w:color w:val="000000" w:themeColor="text1"/>
          <w:sz w:val="22"/>
          <w:szCs w:val="22"/>
        </w:rPr>
        <w:t>ced by external factors affecting the industry, such as extreme weather, terrorism, air traffic management restrictions, strikes, epidemics/pandemics,</w:t>
      </w:r>
      <w:r w:rsidR="00412455">
        <w:rPr>
          <w:color w:val="000000" w:themeColor="text1"/>
          <w:sz w:val="22"/>
          <w:szCs w:val="22"/>
        </w:rPr>
        <w:t xml:space="preserve"> or</w:t>
      </w:r>
      <w:r w:rsidR="00E824F2" w:rsidRPr="00E824F2">
        <w:rPr>
          <w:color w:val="000000" w:themeColor="text1"/>
          <w:sz w:val="22"/>
          <w:szCs w:val="22"/>
        </w:rPr>
        <w:t xml:space="preserve"> </w:t>
      </w:r>
      <w:r w:rsidR="00E824F2" w:rsidRPr="00E824F2">
        <w:rPr>
          <w:color w:val="000000" w:themeColor="text1"/>
          <w:sz w:val="22"/>
          <w:szCs w:val="22"/>
        </w:rPr>
        <w:lastRenderedPageBreak/>
        <w:t>changes in government regulation (e.g. possible Brexit) (EasyJet 2018)</w:t>
      </w:r>
      <w:r w:rsidR="00B479EE" w:rsidRPr="00E824F2">
        <w:rPr>
          <w:color w:val="000000" w:themeColor="text1"/>
          <w:sz w:val="22"/>
          <w:szCs w:val="22"/>
        </w:rPr>
        <w:t>. EasyJet has made significant capital investments</w:t>
      </w:r>
      <w:r w:rsidR="0094709B" w:rsidRPr="00E824F2">
        <w:rPr>
          <w:color w:val="000000" w:themeColor="text1"/>
          <w:sz w:val="22"/>
          <w:szCs w:val="22"/>
        </w:rPr>
        <w:t xml:space="preserve"> despite this, but p</w:t>
      </w:r>
      <w:r w:rsidR="00D63C67" w:rsidRPr="00E824F2">
        <w:rPr>
          <w:color w:val="000000" w:themeColor="text1"/>
          <w:sz w:val="22"/>
          <w:szCs w:val="22"/>
        </w:rPr>
        <w:t>otential investors may</w:t>
      </w:r>
      <w:r w:rsidR="0094709B" w:rsidRPr="00E824F2">
        <w:rPr>
          <w:color w:val="000000" w:themeColor="text1"/>
          <w:sz w:val="22"/>
          <w:szCs w:val="22"/>
        </w:rPr>
        <w:t xml:space="preserve"> very well be waiting to see whether EasyJet can turn these investments into profits first</w:t>
      </w:r>
      <w:r w:rsidR="00D63C67" w:rsidRPr="00E824F2">
        <w:rPr>
          <w:color w:val="000000" w:themeColor="text1"/>
          <w:sz w:val="22"/>
          <w:szCs w:val="22"/>
        </w:rPr>
        <w:t xml:space="preserve"> </w:t>
      </w:r>
      <w:r w:rsidR="0094709B" w:rsidRPr="00E824F2">
        <w:rPr>
          <w:color w:val="000000" w:themeColor="text1"/>
          <w:sz w:val="22"/>
          <w:szCs w:val="22"/>
        </w:rPr>
        <w:t xml:space="preserve">before investing more. </w:t>
      </w:r>
      <w:r w:rsidRPr="00E824F2">
        <w:rPr>
          <w:color w:val="000000" w:themeColor="text1"/>
          <w:sz w:val="22"/>
          <w:szCs w:val="22"/>
        </w:rPr>
        <w:t xml:space="preserve">Aside from this, there have been positive increases across all other ratios, resulting from, </w:t>
      </w:r>
      <w:r w:rsidRPr="00E824F2">
        <w:rPr>
          <w:i/>
          <w:color w:val="000000" w:themeColor="text1"/>
          <w:sz w:val="22"/>
          <w:szCs w:val="22"/>
        </w:rPr>
        <w:t xml:space="preserve">inter alia, </w:t>
      </w:r>
      <w:r w:rsidRPr="00E824F2">
        <w:rPr>
          <w:color w:val="000000" w:themeColor="text1"/>
          <w:sz w:val="22"/>
          <w:szCs w:val="22"/>
        </w:rPr>
        <w:t>the major capital investments made and the returns that are already being borne. Despite these positive increases, EasyJet can still consider some ways forward with respect to improving financial management within the company.</w:t>
      </w:r>
    </w:p>
    <w:p w14:paraId="44E62BB2" w14:textId="77777777" w:rsidR="007672DE" w:rsidRPr="004454F8" w:rsidRDefault="007672DE" w:rsidP="007672DE">
      <w:pPr>
        <w:tabs>
          <w:tab w:val="left" w:pos="1134"/>
        </w:tabs>
        <w:jc w:val="both"/>
        <w:rPr>
          <w:sz w:val="22"/>
          <w:szCs w:val="22"/>
        </w:rPr>
      </w:pPr>
    </w:p>
    <w:p w14:paraId="4D273457" w14:textId="77777777" w:rsidR="007672DE" w:rsidRPr="0094709B" w:rsidRDefault="007672DE" w:rsidP="007672DE">
      <w:pPr>
        <w:pStyle w:val="ListParagraph"/>
        <w:numPr>
          <w:ilvl w:val="0"/>
          <w:numId w:val="37"/>
        </w:numPr>
        <w:tabs>
          <w:tab w:val="left" w:pos="1134"/>
        </w:tabs>
        <w:ind w:left="426" w:hanging="426"/>
        <w:jc w:val="both"/>
        <w:outlineLvl w:val="0"/>
        <w:rPr>
          <w:sz w:val="22"/>
          <w:szCs w:val="22"/>
        </w:rPr>
      </w:pPr>
      <w:bookmarkStart w:id="25" w:name="_Toc535596757"/>
      <w:bookmarkStart w:id="26" w:name="_Toc535615925"/>
      <w:r w:rsidRPr="0094709B">
        <w:rPr>
          <w:b/>
          <w:sz w:val="22"/>
          <w:szCs w:val="22"/>
        </w:rPr>
        <w:t>Recommendations</w:t>
      </w:r>
      <w:bookmarkEnd w:id="25"/>
      <w:bookmarkEnd w:id="26"/>
    </w:p>
    <w:p w14:paraId="740FBDED" w14:textId="77777777" w:rsidR="007672DE" w:rsidRPr="0094709B" w:rsidRDefault="007672DE" w:rsidP="007672DE">
      <w:pPr>
        <w:tabs>
          <w:tab w:val="left" w:pos="1134"/>
        </w:tabs>
        <w:jc w:val="both"/>
        <w:rPr>
          <w:sz w:val="22"/>
          <w:szCs w:val="22"/>
        </w:rPr>
      </w:pPr>
    </w:p>
    <w:p w14:paraId="1AF62283" w14:textId="799BDE95" w:rsidR="007672DE" w:rsidRPr="0094709B" w:rsidRDefault="007672DE" w:rsidP="0094709B">
      <w:pPr>
        <w:pStyle w:val="ListParagraph"/>
        <w:numPr>
          <w:ilvl w:val="0"/>
          <w:numId w:val="40"/>
        </w:numPr>
        <w:tabs>
          <w:tab w:val="left" w:pos="1134"/>
        </w:tabs>
        <w:spacing w:line="480" w:lineRule="auto"/>
        <w:ind w:left="714" w:hanging="357"/>
        <w:jc w:val="both"/>
        <w:rPr>
          <w:sz w:val="22"/>
          <w:szCs w:val="22"/>
        </w:rPr>
      </w:pPr>
      <w:r w:rsidRPr="0094709B">
        <w:rPr>
          <w:sz w:val="22"/>
          <w:szCs w:val="22"/>
        </w:rPr>
        <w:t xml:space="preserve">The </w:t>
      </w:r>
      <w:r w:rsidRPr="0094709B">
        <w:rPr>
          <w:i/>
          <w:sz w:val="22"/>
          <w:szCs w:val="22"/>
        </w:rPr>
        <w:t xml:space="preserve">Average Settlement Period for Trade Receivables </w:t>
      </w:r>
      <w:r w:rsidRPr="0094709B">
        <w:rPr>
          <w:sz w:val="22"/>
          <w:szCs w:val="22"/>
        </w:rPr>
        <w:t xml:space="preserve">and </w:t>
      </w:r>
      <w:r w:rsidRPr="0094709B">
        <w:rPr>
          <w:i/>
          <w:sz w:val="22"/>
          <w:szCs w:val="22"/>
        </w:rPr>
        <w:t>Trade Payables</w:t>
      </w:r>
      <w:r w:rsidRPr="0094709B">
        <w:rPr>
          <w:sz w:val="22"/>
          <w:szCs w:val="22"/>
        </w:rPr>
        <w:t xml:space="preserve"> is not available. This information should be monitored and reported on as part of the annual report as it provides useful insights on the efficiency with which the </w:t>
      </w:r>
      <w:r w:rsidRPr="0094709B">
        <w:rPr>
          <w:i/>
          <w:sz w:val="22"/>
          <w:szCs w:val="22"/>
        </w:rPr>
        <w:t>portion of sales</w:t>
      </w:r>
      <w:r w:rsidRPr="0094709B">
        <w:rPr>
          <w:sz w:val="22"/>
          <w:szCs w:val="22"/>
        </w:rPr>
        <w:t xml:space="preserve"> and </w:t>
      </w:r>
      <w:r w:rsidRPr="0094709B">
        <w:rPr>
          <w:i/>
          <w:sz w:val="22"/>
          <w:szCs w:val="22"/>
        </w:rPr>
        <w:t>purchases made on credit</w:t>
      </w:r>
      <w:r w:rsidRPr="0094709B">
        <w:rPr>
          <w:sz w:val="22"/>
          <w:szCs w:val="22"/>
        </w:rPr>
        <w:t xml:space="preserve"> are paid/recuperated. </w:t>
      </w:r>
    </w:p>
    <w:p w14:paraId="6F96C757" w14:textId="276EA5B4" w:rsidR="007672DE" w:rsidRPr="004126CD" w:rsidRDefault="007672DE" w:rsidP="004126CD">
      <w:pPr>
        <w:pStyle w:val="ListParagraph"/>
        <w:numPr>
          <w:ilvl w:val="0"/>
          <w:numId w:val="40"/>
        </w:numPr>
        <w:tabs>
          <w:tab w:val="left" w:pos="1134"/>
        </w:tabs>
        <w:spacing w:line="480" w:lineRule="auto"/>
        <w:ind w:left="714" w:hanging="357"/>
        <w:jc w:val="both"/>
        <w:rPr>
          <w:sz w:val="22"/>
          <w:szCs w:val="22"/>
        </w:rPr>
      </w:pPr>
      <w:r w:rsidRPr="0094709B">
        <w:rPr>
          <w:sz w:val="22"/>
          <w:szCs w:val="22"/>
        </w:rPr>
        <w:t xml:space="preserve">The </w:t>
      </w:r>
      <w:r w:rsidRPr="0094709B">
        <w:rPr>
          <w:i/>
          <w:sz w:val="22"/>
          <w:szCs w:val="22"/>
        </w:rPr>
        <w:t xml:space="preserve">Annual Financial Report </w:t>
      </w:r>
      <w:r w:rsidRPr="0094709B">
        <w:rPr>
          <w:sz w:val="22"/>
          <w:szCs w:val="22"/>
        </w:rPr>
        <w:t xml:space="preserve">for EasyJet </w:t>
      </w:r>
      <w:r w:rsidR="00D63C67" w:rsidRPr="0094709B">
        <w:rPr>
          <w:sz w:val="22"/>
          <w:szCs w:val="22"/>
        </w:rPr>
        <w:t>is difficult to</w:t>
      </w:r>
      <w:r w:rsidRPr="0094709B">
        <w:rPr>
          <w:sz w:val="22"/>
          <w:szCs w:val="22"/>
        </w:rPr>
        <w:t xml:space="preserve"> navigate</w:t>
      </w:r>
      <w:r w:rsidR="00D63C67" w:rsidRPr="0094709B">
        <w:rPr>
          <w:sz w:val="22"/>
          <w:szCs w:val="22"/>
        </w:rPr>
        <w:t xml:space="preserve"> and</w:t>
      </w:r>
      <w:r w:rsidRPr="0094709B">
        <w:rPr>
          <w:sz w:val="22"/>
          <w:szCs w:val="22"/>
        </w:rPr>
        <w:t xml:space="preserve"> explanations on figures provided are not always clear. </w:t>
      </w:r>
      <w:r w:rsidR="004126CD">
        <w:rPr>
          <w:sz w:val="22"/>
          <w:szCs w:val="22"/>
        </w:rPr>
        <w:t xml:space="preserve">It is also </w:t>
      </w:r>
      <w:r w:rsidRPr="004126CD">
        <w:rPr>
          <w:sz w:val="22"/>
          <w:szCs w:val="22"/>
        </w:rPr>
        <w:t>difficult to identify the terminology and associated figures that should be used in calculating ratio results.</w:t>
      </w:r>
      <w:r w:rsidR="00D63C67" w:rsidRPr="004126CD">
        <w:rPr>
          <w:sz w:val="22"/>
          <w:szCs w:val="22"/>
        </w:rPr>
        <w:t xml:space="preserve"> EasyJet should therefore seek to amend these aspects of its report to ensure information is clearer.</w:t>
      </w:r>
    </w:p>
    <w:p w14:paraId="066A46F3" w14:textId="3257E367" w:rsidR="007672DE" w:rsidRPr="0094709B" w:rsidRDefault="007672DE" w:rsidP="0094709B">
      <w:pPr>
        <w:pStyle w:val="ListParagraph"/>
        <w:numPr>
          <w:ilvl w:val="0"/>
          <w:numId w:val="40"/>
        </w:numPr>
        <w:tabs>
          <w:tab w:val="left" w:pos="1134"/>
        </w:tabs>
        <w:spacing w:line="480" w:lineRule="auto"/>
        <w:ind w:left="714" w:hanging="357"/>
        <w:jc w:val="both"/>
        <w:rPr>
          <w:sz w:val="22"/>
          <w:szCs w:val="22"/>
        </w:rPr>
      </w:pPr>
      <w:r w:rsidRPr="0094709B">
        <w:rPr>
          <w:sz w:val="22"/>
          <w:szCs w:val="22"/>
        </w:rPr>
        <w:t xml:space="preserve">EasyJet’s </w:t>
      </w:r>
      <w:r w:rsidRPr="0094709B">
        <w:rPr>
          <w:i/>
          <w:sz w:val="22"/>
          <w:szCs w:val="22"/>
        </w:rPr>
        <w:t xml:space="preserve">Annual Financial Report </w:t>
      </w:r>
      <w:r w:rsidR="00412455">
        <w:rPr>
          <w:sz w:val="22"/>
          <w:szCs w:val="22"/>
        </w:rPr>
        <w:t>should</w:t>
      </w:r>
      <w:r w:rsidRPr="0094709B">
        <w:rPr>
          <w:sz w:val="22"/>
          <w:szCs w:val="22"/>
        </w:rPr>
        <w:t xml:space="preserve"> follow the </w:t>
      </w:r>
      <w:r w:rsidRPr="0094709B">
        <w:rPr>
          <w:i/>
          <w:color w:val="333333"/>
          <w:sz w:val="22"/>
          <w:szCs w:val="22"/>
        </w:rPr>
        <w:t xml:space="preserve">International Integrated Reporting Council’s Integrated Reporting Framework (IIRF) </w:t>
      </w:r>
      <w:r w:rsidRPr="0094709B">
        <w:rPr>
          <w:color w:val="333333"/>
          <w:sz w:val="22"/>
          <w:szCs w:val="22"/>
        </w:rPr>
        <w:t>structure</w:t>
      </w:r>
      <w:r w:rsidR="00412455">
        <w:rPr>
          <w:color w:val="333333"/>
          <w:sz w:val="22"/>
          <w:szCs w:val="22"/>
        </w:rPr>
        <w:t xml:space="preserve">, as it </w:t>
      </w:r>
      <w:r w:rsidRPr="0094709B">
        <w:rPr>
          <w:color w:val="333333"/>
          <w:sz w:val="22"/>
          <w:szCs w:val="22"/>
        </w:rPr>
        <w:t>does not look in-depth</w:t>
      </w:r>
      <w:r w:rsidR="0094709B">
        <w:rPr>
          <w:color w:val="333333"/>
          <w:sz w:val="22"/>
          <w:szCs w:val="22"/>
        </w:rPr>
        <w:t xml:space="preserve"> </w:t>
      </w:r>
      <w:r w:rsidRPr="0094709B">
        <w:rPr>
          <w:color w:val="333333"/>
          <w:sz w:val="22"/>
          <w:szCs w:val="22"/>
        </w:rPr>
        <w:t>at medium- to long-term risks, or the possibility and magnitude of these associated risks</w:t>
      </w:r>
      <w:r w:rsidR="00AA5228" w:rsidRPr="0094709B">
        <w:rPr>
          <w:color w:val="333333"/>
          <w:sz w:val="22"/>
          <w:szCs w:val="22"/>
        </w:rPr>
        <w:t xml:space="preserve"> (IIRF 2013)</w:t>
      </w:r>
      <w:r w:rsidRPr="0094709B">
        <w:rPr>
          <w:color w:val="333333"/>
          <w:sz w:val="22"/>
          <w:szCs w:val="22"/>
        </w:rPr>
        <w:t>.</w:t>
      </w:r>
      <w:r w:rsidR="00AA5228" w:rsidRPr="0094709B">
        <w:rPr>
          <w:color w:val="333333"/>
          <w:sz w:val="22"/>
          <w:szCs w:val="22"/>
        </w:rPr>
        <w:t xml:space="preserve"> </w:t>
      </w:r>
      <w:r w:rsidR="00412455">
        <w:rPr>
          <w:color w:val="333333"/>
          <w:sz w:val="22"/>
          <w:szCs w:val="22"/>
        </w:rPr>
        <w:t>A</w:t>
      </w:r>
      <w:r w:rsidRPr="0094709B">
        <w:rPr>
          <w:color w:val="333333"/>
          <w:sz w:val="22"/>
          <w:szCs w:val="22"/>
        </w:rPr>
        <w:t xml:space="preserve">pplying this framework </w:t>
      </w:r>
      <w:r w:rsidR="00D63C67" w:rsidRPr="0094709B">
        <w:rPr>
          <w:color w:val="333333"/>
          <w:sz w:val="22"/>
          <w:szCs w:val="22"/>
        </w:rPr>
        <w:t xml:space="preserve">to </w:t>
      </w:r>
      <w:r w:rsidRPr="0094709B">
        <w:rPr>
          <w:color w:val="333333"/>
          <w:sz w:val="22"/>
          <w:szCs w:val="22"/>
        </w:rPr>
        <w:t>future reports</w:t>
      </w:r>
      <w:r w:rsidR="00412455">
        <w:rPr>
          <w:color w:val="333333"/>
          <w:sz w:val="22"/>
          <w:szCs w:val="22"/>
        </w:rPr>
        <w:t xml:space="preserve"> could</w:t>
      </w:r>
      <w:r w:rsidRPr="0094709B">
        <w:rPr>
          <w:color w:val="333333"/>
          <w:sz w:val="22"/>
          <w:szCs w:val="22"/>
        </w:rPr>
        <w:t xml:space="preserve"> help </w:t>
      </w:r>
      <w:r w:rsidR="00412455">
        <w:rPr>
          <w:color w:val="333333"/>
          <w:sz w:val="22"/>
          <w:szCs w:val="22"/>
        </w:rPr>
        <w:t>management</w:t>
      </w:r>
      <w:r w:rsidRPr="0094709B">
        <w:rPr>
          <w:color w:val="333333"/>
          <w:sz w:val="22"/>
          <w:szCs w:val="22"/>
        </w:rPr>
        <w:t xml:space="preserve"> </w:t>
      </w:r>
      <w:r w:rsidR="00412455">
        <w:rPr>
          <w:color w:val="333333"/>
          <w:sz w:val="22"/>
          <w:szCs w:val="22"/>
        </w:rPr>
        <w:t xml:space="preserve">better </w:t>
      </w:r>
      <w:r w:rsidRPr="0094709B">
        <w:rPr>
          <w:color w:val="333333"/>
          <w:sz w:val="22"/>
          <w:szCs w:val="22"/>
        </w:rPr>
        <w:t>navigat</w:t>
      </w:r>
      <w:r w:rsidR="00412455">
        <w:rPr>
          <w:color w:val="333333"/>
          <w:sz w:val="22"/>
          <w:szCs w:val="22"/>
        </w:rPr>
        <w:t>e</w:t>
      </w:r>
      <w:r w:rsidRPr="0094709B">
        <w:rPr>
          <w:color w:val="333333"/>
          <w:sz w:val="22"/>
          <w:szCs w:val="22"/>
        </w:rPr>
        <w:t xml:space="preserve"> the </w:t>
      </w:r>
      <w:r w:rsidR="00D63C67" w:rsidRPr="0094709B">
        <w:rPr>
          <w:color w:val="333333"/>
          <w:sz w:val="22"/>
          <w:szCs w:val="22"/>
        </w:rPr>
        <w:t>report</w:t>
      </w:r>
      <w:r w:rsidR="00412455">
        <w:rPr>
          <w:color w:val="333333"/>
          <w:sz w:val="22"/>
          <w:szCs w:val="22"/>
        </w:rPr>
        <w:t xml:space="preserve"> for </w:t>
      </w:r>
      <w:r w:rsidRPr="0094709B">
        <w:rPr>
          <w:color w:val="333333"/>
          <w:sz w:val="22"/>
          <w:szCs w:val="22"/>
        </w:rPr>
        <w:t>purposes of lessons learned and strategic planning.</w:t>
      </w:r>
    </w:p>
    <w:p w14:paraId="363092F2" w14:textId="20A42147" w:rsidR="007672DE" w:rsidRPr="0094709B" w:rsidRDefault="00D63C67" w:rsidP="0094709B">
      <w:pPr>
        <w:pStyle w:val="ListParagraph"/>
        <w:numPr>
          <w:ilvl w:val="0"/>
          <w:numId w:val="40"/>
        </w:numPr>
        <w:tabs>
          <w:tab w:val="left" w:pos="1134"/>
        </w:tabs>
        <w:spacing w:line="480" w:lineRule="auto"/>
        <w:ind w:left="714" w:hanging="357"/>
        <w:jc w:val="both"/>
        <w:rPr>
          <w:sz w:val="22"/>
          <w:szCs w:val="22"/>
        </w:rPr>
      </w:pPr>
      <w:r w:rsidRPr="0094709B">
        <w:rPr>
          <w:sz w:val="22"/>
          <w:szCs w:val="22"/>
        </w:rPr>
        <w:t>EasyJet should develop specific</w:t>
      </w:r>
      <w:r w:rsidR="00C44F68">
        <w:rPr>
          <w:sz w:val="22"/>
          <w:szCs w:val="22"/>
        </w:rPr>
        <w:t xml:space="preserve"> annual</w:t>
      </w:r>
      <w:r w:rsidRPr="0094709B">
        <w:rPr>
          <w:sz w:val="22"/>
          <w:szCs w:val="22"/>
        </w:rPr>
        <w:t xml:space="preserve"> </w:t>
      </w:r>
      <w:r w:rsidR="00B479EE" w:rsidRPr="0094709B">
        <w:rPr>
          <w:sz w:val="22"/>
          <w:szCs w:val="22"/>
        </w:rPr>
        <w:t xml:space="preserve">financial performance </w:t>
      </w:r>
      <w:r w:rsidR="009C083D">
        <w:rPr>
          <w:sz w:val="22"/>
          <w:szCs w:val="22"/>
        </w:rPr>
        <w:t xml:space="preserve">management </w:t>
      </w:r>
      <w:r w:rsidR="00B479EE" w:rsidRPr="0094709B">
        <w:rPr>
          <w:sz w:val="22"/>
          <w:szCs w:val="22"/>
        </w:rPr>
        <w:t>targets</w:t>
      </w:r>
      <w:r w:rsidRPr="0094709B">
        <w:rPr>
          <w:sz w:val="22"/>
          <w:szCs w:val="22"/>
        </w:rPr>
        <w:t xml:space="preserve"> in the form of a strategic plan,</w:t>
      </w:r>
      <w:r w:rsidR="00B479EE" w:rsidRPr="0094709B">
        <w:rPr>
          <w:sz w:val="22"/>
          <w:szCs w:val="22"/>
        </w:rPr>
        <w:t xml:space="preserve"> </w:t>
      </w:r>
      <w:r w:rsidRPr="0094709B">
        <w:rPr>
          <w:sz w:val="22"/>
          <w:szCs w:val="22"/>
        </w:rPr>
        <w:t xml:space="preserve">in order to monitor and evaluate </w:t>
      </w:r>
      <w:r w:rsidR="0094709B" w:rsidRPr="0094709B">
        <w:rPr>
          <w:sz w:val="22"/>
          <w:szCs w:val="22"/>
        </w:rPr>
        <w:t xml:space="preserve">financial </w:t>
      </w:r>
      <w:r w:rsidRPr="0094709B">
        <w:rPr>
          <w:sz w:val="22"/>
          <w:szCs w:val="22"/>
        </w:rPr>
        <w:t>progress and setbacks annually.</w:t>
      </w:r>
    </w:p>
    <w:p w14:paraId="4661D0FE" w14:textId="77777777" w:rsidR="008E7207" w:rsidRPr="008E7207" w:rsidRDefault="008E7207" w:rsidP="008E7207">
      <w:pPr>
        <w:tabs>
          <w:tab w:val="left" w:pos="1134"/>
        </w:tabs>
        <w:ind w:left="360"/>
        <w:jc w:val="both"/>
        <w:rPr>
          <w:sz w:val="22"/>
          <w:szCs w:val="22"/>
        </w:rPr>
      </w:pPr>
    </w:p>
    <w:p w14:paraId="00823060" w14:textId="77777777" w:rsidR="007672DE" w:rsidRPr="004454F8" w:rsidRDefault="007672DE" w:rsidP="007672DE">
      <w:pPr>
        <w:tabs>
          <w:tab w:val="left" w:pos="1134"/>
        </w:tabs>
        <w:jc w:val="both"/>
        <w:rPr>
          <w:sz w:val="22"/>
          <w:szCs w:val="22"/>
        </w:rPr>
      </w:pPr>
    </w:p>
    <w:p w14:paraId="1D8679EA" w14:textId="77777777" w:rsidR="007672DE" w:rsidRPr="00504620" w:rsidRDefault="007672DE" w:rsidP="007672DE">
      <w:pPr>
        <w:tabs>
          <w:tab w:val="left" w:pos="1134"/>
        </w:tabs>
        <w:jc w:val="both"/>
        <w:rPr>
          <w:sz w:val="22"/>
          <w:szCs w:val="22"/>
        </w:rPr>
        <w:sectPr w:rsidR="007672DE" w:rsidRPr="00504620">
          <w:pgSz w:w="11906" w:h="16838"/>
          <w:pgMar w:top="1440" w:right="1440" w:bottom="1440" w:left="1440" w:header="708" w:footer="708" w:gutter="0"/>
          <w:cols w:space="708"/>
          <w:docGrid w:linePitch="360"/>
        </w:sectPr>
      </w:pPr>
    </w:p>
    <w:p w14:paraId="4AFFD1D6" w14:textId="77777777" w:rsidR="007672DE" w:rsidRPr="0018390B" w:rsidRDefault="007672DE" w:rsidP="007672DE">
      <w:pPr>
        <w:tabs>
          <w:tab w:val="left" w:pos="1134"/>
        </w:tabs>
        <w:spacing w:after="120"/>
        <w:jc w:val="center"/>
        <w:outlineLvl w:val="0"/>
        <w:rPr>
          <w:rFonts w:ascii="Times" w:hAnsi="Times"/>
          <w:b/>
          <w:u w:val="single"/>
        </w:rPr>
      </w:pPr>
      <w:bookmarkStart w:id="27" w:name="_Toc535596758"/>
      <w:bookmarkStart w:id="28" w:name="_Toc535615926"/>
      <w:r w:rsidRPr="001F48BD">
        <w:rPr>
          <w:rFonts w:ascii="Times" w:hAnsi="Times"/>
          <w:b/>
          <w:u w:val="single"/>
        </w:rPr>
        <w:lastRenderedPageBreak/>
        <w:t xml:space="preserve">Appendix I:  </w:t>
      </w:r>
      <w:r>
        <w:rPr>
          <w:rFonts w:ascii="Times" w:hAnsi="Times"/>
          <w:b/>
          <w:u w:val="single"/>
        </w:rPr>
        <w:t xml:space="preserve">Methodologies for and </w:t>
      </w:r>
      <w:r w:rsidRPr="001F48BD">
        <w:rPr>
          <w:rFonts w:ascii="Times" w:hAnsi="Times"/>
          <w:b/>
          <w:u w:val="single"/>
        </w:rPr>
        <w:t>Explanatory Notes on Calculations</w:t>
      </w:r>
      <w:r>
        <w:rPr>
          <w:rStyle w:val="FootnoteReference"/>
          <w:rFonts w:ascii="Times" w:hAnsi="Times"/>
          <w:b/>
          <w:u w:val="single"/>
        </w:rPr>
        <w:footnoteReference w:id="5"/>
      </w:r>
      <w:bookmarkEnd w:id="27"/>
      <w:bookmarkEnd w:id="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2046"/>
      </w:tblGrid>
      <w:tr w:rsidR="007672DE" w:rsidRPr="00B837D6" w14:paraId="27D257ED" w14:textId="77777777" w:rsidTr="00B837D6">
        <w:tc>
          <w:tcPr>
            <w:tcW w:w="7196" w:type="dxa"/>
            <w:shd w:val="clear" w:color="auto" w:fill="4472C4" w:themeFill="accent1"/>
            <w:vAlign w:val="center"/>
          </w:tcPr>
          <w:p w14:paraId="5321DD30" w14:textId="77777777" w:rsidR="007672DE" w:rsidRPr="00B837D6" w:rsidRDefault="007672DE" w:rsidP="00B837D6">
            <w:pPr>
              <w:tabs>
                <w:tab w:val="left" w:pos="1134"/>
              </w:tabs>
              <w:jc w:val="center"/>
              <w:rPr>
                <w:rFonts w:ascii="Times" w:hAnsi="Times"/>
                <w:b/>
                <w:color w:val="FFFFFF" w:themeColor="background1"/>
                <w:sz w:val="21"/>
              </w:rPr>
            </w:pPr>
            <w:r w:rsidRPr="00B837D6">
              <w:rPr>
                <w:rFonts w:ascii="Times" w:hAnsi="Times"/>
                <w:b/>
                <w:color w:val="FFFFFF" w:themeColor="background1"/>
                <w:sz w:val="21"/>
              </w:rPr>
              <w:t>Table 1: Calculations</w:t>
            </w:r>
            <w:r w:rsidRPr="00B837D6">
              <w:rPr>
                <w:rStyle w:val="FootnoteReference"/>
                <w:rFonts w:ascii="Times" w:hAnsi="Times"/>
                <w:b/>
                <w:color w:val="FFFFFF" w:themeColor="background1"/>
                <w:sz w:val="21"/>
              </w:rPr>
              <w:footnoteReference w:id="6"/>
            </w:r>
          </w:p>
        </w:tc>
        <w:tc>
          <w:tcPr>
            <w:tcW w:w="2046" w:type="dxa"/>
            <w:shd w:val="clear" w:color="auto" w:fill="4472C4" w:themeFill="accent1"/>
            <w:vAlign w:val="center"/>
          </w:tcPr>
          <w:p w14:paraId="552F65E2" w14:textId="77777777" w:rsidR="007672DE" w:rsidRPr="00B837D6" w:rsidRDefault="007672DE" w:rsidP="00B837D6">
            <w:pPr>
              <w:tabs>
                <w:tab w:val="left" w:pos="1134"/>
              </w:tabs>
              <w:jc w:val="center"/>
              <w:rPr>
                <w:rFonts w:ascii="Times" w:hAnsi="Times"/>
                <w:b/>
                <w:color w:val="FFFFFF" w:themeColor="background1"/>
                <w:sz w:val="21"/>
              </w:rPr>
            </w:pPr>
            <w:r w:rsidRPr="00B837D6">
              <w:rPr>
                <w:rFonts w:ascii="Times" w:hAnsi="Times"/>
                <w:b/>
                <w:color w:val="FFFFFF" w:themeColor="background1"/>
                <w:sz w:val="21"/>
              </w:rPr>
              <w:t>Note</w:t>
            </w:r>
          </w:p>
          <w:p w14:paraId="16647B13" w14:textId="77777777" w:rsidR="007672DE" w:rsidRPr="00B837D6" w:rsidRDefault="007672DE" w:rsidP="00B837D6">
            <w:pPr>
              <w:tabs>
                <w:tab w:val="left" w:pos="1134"/>
              </w:tabs>
              <w:jc w:val="center"/>
              <w:rPr>
                <w:rFonts w:ascii="Times" w:hAnsi="Times"/>
                <w:b/>
                <w:color w:val="FFFFFF" w:themeColor="background1"/>
                <w:sz w:val="21"/>
              </w:rPr>
            </w:pPr>
            <w:r w:rsidRPr="00B837D6">
              <w:rPr>
                <w:rFonts w:ascii="Times" w:hAnsi="Times"/>
                <w:b/>
                <w:color w:val="FFFFFF" w:themeColor="background1"/>
                <w:sz w:val="21"/>
              </w:rPr>
              <w:t>(see Appendix II)</w:t>
            </w:r>
          </w:p>
        </w:tc>
      </w:tr>
      <w:tr w:rsidR="007672DE" w:rsidRPr="00B837D6" w14:paraId="20E66161" w14:textId="77777777" w:rsidTr="00B837D6">
        <w:trPr>
          <w:trHeight w:val="340"/>
        </w:trPr>
        <w:tc>
          <w:tcPr>
            <w:tcW w:w="9242" w:type="dxa"/>
            <w:gridSpan w:val="2"/>
            <w:shd w:val="clear" w:color="auto" w:fill="D9E2F3" w:themeFill="accent1" w:themeFillTint="33"/>
            <w:vAlign w:val="center"/>
          </w:tcPr>
          <w:p w14:paraId="4B83F8A3" w14:textId="77777777" w:rsidR="007672DE" w:rsidRPr="00B837D6" w:rsidRDefault="007672DE" w:rsidP="007672DE">
            <w:pPr>
              <w:tabs>
                <w:tab w:val="left" w:pos="1134"/>
              </w:tabs>
              <w:spacing w:before="40" w:after="40"/>
              <w:rPr>
                <w:rFonts w:ascii="Times" w:hAnsi="Times"/>
                <w:b/>
              </w:rPr>
            </w:pPr>
            <w:r w:rsidRPr="00B837D6">
              <w:rPr>
                <w:rFonts w:ascii="Times" w:hAnsi="Times"/>
                <w:b/>
              </w:rPr>
              <w:t>PROFITABILITY RATIOS</w:t>
            </w:r>
          </w:p>
        </w:tc>
      </w:tr>
      <w:tr w:rsidR="007672DE" w:rsidRPr="00B837D6" w14:paraId="32E09F91" w14:textId="77777777" w:rsidTr="00B837D6">
        <w:tc>
          <w:tcPr>
            <w:tcW w:w="7196" w:type="dxa"/>
            <w:vAlign w:val="center"/>
          </w:tcPr>
          <w:p w14:paraId="413289C0" w14:textId="77777777" w:rsidR="007672DE" w:rsidRPr="00B837D6" w:rsidRDefault="007672DE" w:rsidP="007672DE">
            <w:pPr>
              <w:tabs>
                <w:tab w:val="left" w:pos="426"/>
                <w:tab w:val="left" w:pos="1134"/>
              </w:tabs>
              <w:spacing w:before="40" w:after="40"/>
              <w:rPr>
                <w:rFonts w:ascii="Times" w:hAnsi="Times"/>
                <w:b/>
              </w:rPr>
            </w:pPr>
            <w:r w:rsidRPr="00B837D6">
              <w:rPr>
                <w:rFonts w:ascii="Times" w:hAnsi="Times"/>
                <w:b/>
              </w:rPr>
              <w:t xml:space="preserve">Return on Ordinary Shareholders’ Funds (ROSF): </w:t>
            </w:r>
          </w:p>
          <w:p w14:paraId="4ADB577A" w14:textId="77777777" w:rsidR="007672DE" w:rsidRPr="00B837D6" w:rsidRDefault="007672DE" w:rsidP="007672DE">
            <w:pPr>
              <w:pStyle w:val="ListParagraph"/>
              <w:numPr>
                <w:ilvl w:val="0"/>
                <w:numId w:val="35"/>
              </w:numPr>
              <w:tabs>
                <w:tab w:val="left" w:pos="1134"/>
              </w:tabs>
              <w:spacing w:before="40" w:after="40"/>
              <w:ind w:left="284" w:hanging="284"/>
              <w:contextualSpacing w:val="0"/>
              <w:rPr>
                <w:rFonts w:ascii="Times" w:hAnsi="Times"/>
              </w:rPr>
            </w:pPr>
            <w:r w:rsidRPr="00B837D6">
              <w:rPr>
                <w:rFonts w:ascii="Times" w:hAnsi="Times"/>
              </w:rPr>
              <w:t>ROSF =</w:t>
            </w:r>
            <w:r w:rsidRPr="00B837D6">
              <w:rPr>
                <w:rFonts w:ascii="Times" w:hAnsi="Times"/>
                <w:b/>
              </w:rPr>
              <w:t xml:space="preserve"> (</w:t>
            </w:r>
            <w:r w:rsidRPr="00B837D6">
              <w:rPr>
                <w:rFonts w:ascii="Times" w:hAnsi="Times"/>
              </w:rPr>
              <w:t>Profit for the year</w:t>
            </w:r>
            <w:r w:rsidRPr="00B837D6">
              <w:t xml:space="preserve"> </w:t>
            </w:r>
            <w:r w:rsidRPr="00B837D6">
              <w:rPr>
                <w:rFonts w:ascii="Times" w:hAnsi="Times"/>
              </w:rPr>
              <w:t xml:space="preserve">/ </w:t>
            </w:r>
            <w:proofErr w:type="spellStart"/>
            <w:r w:rsidRPr="00B837D6">
              <w:rPr>
                <w:rFonts w:ascii="Times" w:hAnsi="Times"/>
                <w:bCs/>
                <w:color w:val="000000" w:themeColor="text1"/>
              </w:rPr>
              <w:t>Year</w:t>
            </w:r>
            <w:proofErr w:type="spellEnd"/>
            <w:r w:rsidRPr="00B837D6">
              <w:rPr>
                <w:rFonts w:ascii="Times" w:hAnsi="Times"/>
                <w:bCs/>
                <w:color w:val="000000" w:themeColor="text1"/>
              </w:rPr>
              <w:t xml:space="preserve"> Average of Total Shareholder Equity</w:t>
            </w:r>
            <w:r w:rsidRPr="00B837D6">
              <w:rPr>
                <w:rFonts w:ascii="Times" w:hAnsi="Times"/>
              </w:rPr>
              <w:t>) x 100</w:t>
            </w:r>
          </w:p>
        </w:tc>
        <w:tc>
          <w:tcPr>
            <w:tcW w:w="2046" w:type="dxa"/>
            <w:vAlign w:val="center"/>
          </w:tcPr>
          <w:p w14:paraId="5BB7BD28"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1</w:t>
            </w:r>
          </w:p>
        </w:tc>
      </w:tr>
      <w:tr w:rsidR="007672DE" w:rsidRPr="00B837D6" w14:paraId="303E2FF7" w14:textId="77777777" w:rsidTr="00B837D6">
        <w:tc>
          <w:tcPr>
            <w:tcW w:w="7196" w:type="dxa"/>
            <w:vAlign w:val="center"/>
          </w:tcPr>
          <w:p w14:paraId="6E565710" w14:textId="77777777" w:rsidR="007672DE" w:rsidRPr="00B837D6" w:rsidRDefault="007672DE" w:rsidP="007672DE">
            <w:pPr>
              <w:tabs>
                <w:tab w:val="left" w:pos="1134"/>
                <w:tab w:val="left" w:pos="1276"/>
              </w:tabs>
              <w:spacing w:before="40" w:after="40"/>
              <w:ind w:left="426" w:hanging="426"/>
              <w:rPr>
                <w:rFonts w:ascii="Times" w:hAnsi="Times"/>
                <w:b/>
              </w:rPr>
            </w:pPr>
            <w:r w:rsidRPr="00B837D6">
              <w:rPr>
                <w:rFonts w:ascii="Times" w:hAnsi="Times"/>
                <w:b/>
              </w:rPr>
              <w:t>Return on Capital Employed (ROCE):</w:t>
            </w:r>
          </w:p>
          <w:p w14:paraId="0156F568" w14:textId="77777777" w:rsidR="007672DE" w:rsidRPr="00B837D6" w:rsidRDefault="007672DE" w:rsidP="007672DE">
            <w:pPr>
              <w:pStyle w:val="ListParagraph"/>
              <w:numPr>
                <w:ilvl w:val="0"/>
                <w:numId w:val="35"/>
              </w:numPr>
              <w:tabs>
                <w:tab w:val="left" w:pos="1134"/>
              </w:tabs>
              <w:spacing w:before="40" w:after="40"/>
              <w:ind w:left="284" w:hanging="284"/>
              <w:rPr>
                <w:rFonts w:ascii="Times" w:hAnsi="Times"/>
                <w:b/>
              </w:rPr>
            </w:pPr>
            <w:r w:rsidRPr="00B837D6">
              <w:rPr>
                <w:rFonts w:ascii="Times" w:hAnsi="Times"/>
              </w:rPr>
              <w:t xml:space="preserve">ROCE = ((Total Operating Profit / </w:t>
            </w:r>
            <w:r w:rsidRPr="00B837D6">
              <w:rPr>
                <w:rFonts w:ascii="Times" w:hAnsi="Times"/>
                <w:bCs/>
                <w:color w:val="000000" w:themeColor="text1"/>
              </w:rPr>
              <w:t>Year Average of Total Shareholder Equity</w:t>
            </w:r>
            <w:r w:rsidRPr="00B837D6">
              <w:rPr>
                <w:rFonts w:ascii="Times" w:hAnsi="Times"/>
              </w:rPr>
              <w:t>) + Non-Current Liabilities) x 100</w:t>
            </w:r>
          </w:p>
        </w:tc>
        <w:tc>
          <w:tcPr>
            <w:tcW w:w="2046" w:type="dxa"/>
            <w:vAlign w:val="center"/>
          </w:tcPr>
          <w:p w14:paraId="00113C2D"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2</w:t>
            </w:r>
          </w:p>
        </w:tc>
      </w:tr>
      <w:tr w:rsidR="007672DE" w:rsidRPr="00B837D6" w14:paraId="2972B348" w14:textId="77777777" w:rsidTr="00B837D6">
        <w:tc>
          <w:tcPr>
            <w:tcW w:w="7196" w:type="dxa"/>
            <w:vAlign w:val="center"/>
          </w:tcPr>
          <w:p w14:paraId="5CC2DCBF" w14:textId="77777777" w:rsidR="007672DE" w:rsidRPr="00B837D6" w:rsidRDefault="007672DE" w:rsidP="007672DE">
            <w:pPr>
              <w:tabs>
                <w:tab w:val="left" w:pos="1134"/>
                <w:tab w:val="left" w:pos="1276"/>
              </w:tabs>
              <w:spacing w:before="40" w:after="40"/>
              <w:ind w:left="426" w:hanging="426"/>
              <w:rPr>
                <w:rFonts w:ascii="Times" w:hAnsi="Times"/>
                <w:b/>
              </w:rPr>
            </w:pPr>
            <w:r w:rsidRPr="00B837D6">
              <w:rPr>
                <w:rFonts w:ascii="Times" w:hAnsi="Times"/>
                <w:b/>
              </w:rPr>
              <w:t>Operating Profit Margin/Loss (OPF/L):</w:t>
            </w:r>
          </w:p>
          <w:p w14:paraId="3A9B8017" w14:textId="77777777" w:rsidR="007672DE" w:rsidRPr="00B837D6" w:rsidRDefault="007672DE" w:rsidP="007672DE">
            <w:pPr>
              <w:pStyle w:val="ListParagraph"/>
              <w:numPr>
                <w:ilvl w:val="0"/>
                <w:numId w:val="35"/>
              </w:numPr>
              <w:tabs>
                <w:tab w:val="left" w:pos="1134"/>
                <w:tab w:val="left" w:pos="1276"/>
              </w:tabs>
              <w:spacing w:before="40" w:after="40"/>
              <w:ind w:left="284" w:hanging="284"/>
              <w:rPr>
                <w:rFonts w:ascii="Times" w:hAnsi="Times"/>
              </w:rPr>
            </w:pPr>
            <w:r w:rsidRPr="00B837D6">
              <w:rPr>
                <w:rFonts w:ascii="Times" w:hAnsi="Times"/>
              </w:rPr>
              <w:t xml:space="preserve">OPF/L = (Total Operating Profit / Revenue) x 100 </w:t>
            </w:r>
          </w:p>
        </w:tc>
        <w:tc>
          <w:tcPr>
            <w:tcW w:w="2046" w:type="dxa"/>
            <w:vAlign w:val="center"/>
          </w:tcPr>
          <w:p w14:paraId="7A8DB557"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3</w:t>
            </w:r>
          </w:p>
        </w:tc>
      </w:tr>
      <w:tr w:rsidR="007672DE" w:rsidRPr="00B837D6" w14:paraId="32095109" w14:textId="77777777" w:rsidTr="00B837D6">
        <w:tc>
          <w:tcPr>
            <w:tcW w:w="7196" w:type="dxa"/>
            <w:vAlign w:val="center"/>
          </w:tcPr>
          <w:p w14:paraId="3054A18E" w14:textId="77777777" w:rsidR="007672DE" w:rsidRPr="00B837D6" w:rsidRDefault="007672DE" w:rsidP="007672DE">
            <w:pPr>
              <w:tabs>
                <w:tab w:val="left" w:pos="1134"/>
                <w:tab w:val="left" w:pos="1276"/>
              </w:tabs>
              <w:spacing w:before="40" w:after="40"/>
              <w:ind w:left="426" w:hanging="426"/>
              <w:rPr>
                <w:rFonts w:ascii="Times" w:hAnsi="Times"/>
                <w:b/>
              </w:rPr>
            </w:pPr>
            <w:r w:rsidRPr="00B837D6">
              <w:rPr>
                <w:rFonts w:ascii="Times" w:hAnsi="Times"/>
                <w:b/>
              </w:rPr>
              <w:t xml:space="preserve">Gross Profit Margin (GPM) </w:t>
            </w:r>
          </w:p>
          <w:p w14:paraId="39C69A9B" w14:textId="77777777" w:rsidR="007672DE" w:rsidRPr="00B837D6" w:rsidRDefault="007672DE" w:rsidP="007672DE">
            <w:pPr>
              <w:pStyle w:val="ListParagraph"/>
              <w:numPr>
                <w:ilvl w:val="0"/>
                <w:numId w:val="35"/>
              </w:numPr>
              <w:tabs>
                <w:tab w:val="left" w:pos="1134"/>
                <w:tab w:val="left" w:pos="1276"/>
              </w:tabs>
              <w:spacing w:before="40" w:after="40"/>
              <w:ind w:left="284" w:hanging="284"/>
              <w:rPr>
                <w:rFonts w:ascii="Times" w:hAnsi="Times"/>
                <w:b/>
              </w:rPr>
            </w:pPr>
            <w:r w:rsidRPr="00B837D6">
              <w:rPr>
                <w:rFonts w:ascii="Times" w:hAnsi="Times"/>
              </w:rPr>
              <w:t>GPM/BHF = (Revenue – Cost of Sales) x 100</w:t>
            </w:r>
          </w:p>
        </w:tc>
        <w:tc>
          <w:tcPr>
            <w:tcW w:w="2046" w:type="dxa"/>
            <w:vAlign w:val="center"/>
          </w:tcPr>
          <w:p w14:paraId="1325F3DE"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4</w:t>
            </w:r>
          </w:p>
        </w:tc>
      </w:tr>
      <w:tr w:rsidR="007672DE" w:rsidRPr="00B837D6" w14:paraId="1F4E98DF" w14:textId="77777777" w:rsidTr="00B837D6">
        <w:trPr>
          <w:trHeight w:val="71"/>
        </w:trPr>
        <w:tc>
          <w:tcPr>
            <w:tcW w:w="9242" w:type="dxa"/>
            <w:gridSpan w:val="2"/>
            <w:shd w:val="clear" w:color="auto" w:fill="D9E2F3" w:themeFill="accent1" w:themeFillTint="33"/>
            <w:vAlign w:val="center"/>
          </w:tcPr>
          <w:p w14:paraId="2A768164" w14:textId="77777777" w:rsidR="007672DE" w:rsidRPr="00B837D6" w:rsidRDefault="007672DE" w:rsidP="007672DE">
            <w:pPr>
              <w:tabs>
                <w:tab w:val="left" w:pos="1134"/>
              </w:tabs>
              <w:spacing w:before="40" w:after="40"/>
              <w:jc w:val="center"/>
              <w:rPr>
                <w:rFonts w:ascii="Times" w:hAnsi="Times"/>
              </w:rPr>
            </w:pPr>
            <w:r w:rsidRPr="00B837D6">
              <w:rPr>
                <w:rFonts w:ascii="Times" w:hAnsi="Times"/>
                <w:b/>
              </w:rPr>
              <w:t>EFFICIENCY RATIOS</w:t>
            </w:r>
          </w:p>
        </w:tc>
      </w:tr>
      <w:tr w:rsidR="007672DE" w:rsidRPr="00B837D6" w14:paraId="46039749" w14:textId="77777777" w:rsidTr="00B837D6">
        <w:tc>
          <w:tcPr>
            <w:tcW w:w="7196" w:type="dxa"/>
            <w:vAlign w:val="center"/>
          </w:tcPr>
          <w:p w14:paraId="254B57B0" w14:textId="77777777" w:rsidR="007672DE" w:rsidRPr="00B837D6" w:rsidRDefault="007672DE" w:rsidP="007672DE">
            <w:pPr>
              <w:tabs>
                <w:tab w:val="left" w:pos="1134"/>
              </w:tabs>
              <w:spacing w:before="40" w:after="40"/>
              <w:ind w:left="426" w:hanging="426"/>
              <w:rPr>
                <w:rFonts w:ascii="Times" w:hAnsi="Times"/>
                <w:b/>
              </w:rPr>
            </w:pPr>
            <w:r w:rsidRPr="00B837D6">
              <w:rPr>
                <w:rFonts w:ascii="Times" w:hAnsi="Times"/>
                <w:b/>
              </w:rPr>
              <w:t>Average Inventories Turnover Period (AITP):</w:t>
            </w:r>
          </w:p>
          <w:p w14:paraId="566FC903" w14:textId="77777777" w:rsidR="007672DE" w:rsidRPr="00B837D6" w:rsidRDefault="007672DE" w:rsidP="007672DE">
            <w:pPr>
              <w:pStyle w:val="ListParagraph"/>
              <w:numPr>
                <w:ilvl w:val="0"/>
                <w:numId w:val="35"/>
              </w:numPr>
              <w:tabs>
                <w:tab w:val="left" w:pos="1134"/>
              </w:tabs>
              <w:spacing w:before="40" w:after="40"/>
              <w:ind w:left="284" w:hanging="284"/>
              <w:rPr>
                <w:rFonts w:ascii="Times" w:hAnsi="Times"/>
                <w:b/>
              </w:rPr>
            </w:pPr>
            <w:r w:rsidRPr="00B837D6">
              <w:rPr>
                <w:rFonts w:ascii="Times" w:hAnsi="Times"/>
              </w:rPr>
              <w:t>AITP = (Average Inventories Held / Cost of Sales) x 100</w:t>
            </w:r>
          </w:p>
        </w:tc>
        <w:tc>
          <w:tcPr>
            <w:tcW w:w="2046" w:type="dxa"/>
            <w:vAlign w:val="center"/>
          </w:tcPr>
          <w:p w14:paraId="197F5C46"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w:t>
            </w:r>
          </w:p>
        </w:tc>
      </w:tr>
      <w:tr w:rsidR="007672DE" w:rsidRPr="00B837D6" w14:paraId="1D49A76F" w14:textId="77777777" w:rsidTr="00B837D6">
        <w:tc>
          <w:tcPr>
            <w:tcW w:w="7196" w:type="dxa"/>
            <w:vAlign w:val="center"/>
          </w:tcPr>
          <w:p w14:paraId="12CFABA8" w14:textId="77777777" w:rsidR="007672DE" w:rsidRPr="00B837D6" w:rsidRDefault="007672DE" w:rsidP="007672DE">
            <w:pPr>
              <w:tabs>
                <w:tab w:val="left" w:pos="1134"/>
              </w:tabs>
              <w:spacing w:before="40" w:after="40"/>
              <w:ind w:left="426" w:hanging="426"/>
              <w:rPr>
                <w:rFonts w:ascii="Times" w:hAnsi="Times"/>
                <w:b/>
              </w:rPr>
            </w:pPr>
            <w:r w:rsidRPr="00B837D6">
              <w:rPr>
                <w:rFonts w:ascii="Times" w:hAnsi="Times"/>
                <w:b/>
              </w:rPr>
              <w:t>Average Settlement Period for Trade Receivables (ASPTR):</w:t>
            </w:r>
          </w:p>
          <w:p w14:paraId="43F9013B" w14:textId="77777777" w:rsidR="007672DE" w:rsidRPr="00B837D6" w:rsidRDefault="007672DE" w:rsidP="007672DE">
            <w:pPr>
              <w:pStyle w:val="ListParagraph"/>
              <w:numPr>
                <w:ilvl w:val="0"/>
                <w:numId w:val="35"/>
              </w:numPr>
              <w:tabs>
                <w:tab w:val="left" w:pos="1134"/>
              </w:tabs>
              <w:spacing w:before="40" w:after="40"/>
              <w:ind w:left="284" w:hanging="284"/>
              <w:rPr>
                <w:rFonts w:ascii="Times" w:hAnsi="Times"/>
              </w:rPr>
            </w:pPr>
            <w:r w:rsidRPr="00B837D6">
              <w:rPr>
                <w:rFonts w:ascii="Times" w:hAnsi="Times"/>
              </w:rPr>
              <w:t>ASPTR = (Average Trade and Other Receivables / Credit Sales Revenue) x 365</w:t>
            </w:r>
          </w:p>
        </w:tc>
        <w:tc>
          <w:tcPr>
            <w:tcW w:w="2046" w:type="dxa"/>
            <w:vAlign w:val="center"/>
          </w:tcPr>
          <w:p w14:paraId="42B10CED"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5</w:t>
            </w:r>
          </w:p>
        </w:tc>
      </w:tr>
      <w:tr w:rsidR="007672DE" w:rsidRPr="00B837D6" w14:paraId="0424DF7F" w14:textId="77777777" w:rsidTr="00B837D6">
        <w:tc>
          <w:tcPr>
            <w:tcW w:w="7196" w:type="dxa"/>
            <w:vAlign w:val="center"/>
          </w:tcPr>
          <w:p w14:paraId="2DA8FDCE" w14:textId="77777777" w:rsidR="007672DE" w:rsidRPr="00B837D6" w:rsidRDefault="007672DE" w:rsidP="007672DE">
            <w:pPr>
              <w:tabs>
                <w:tab w:val="left" w:pos="1134"/>
              </w:tabs>
              <w:spacing w:before="40" w:after="40"/>
              <w:ind w:left="426" w:hanging="426"/>
              <w:rPr>
                <w:rFonts w:ascii="Times" w:hAnsi="Times"/>
                <w:b/>
              </w:rPr>
            </w:pPr>
            <w:r w:rsidRPr="00B837D6">
              <w:rPr>
                <w:rFonts w:ascii="Times" w:hAnsi="Times"/>
                <w:b/>
              </w:rPr>
              <w:t>Average Settlement Period for Trade Payables (ASPTP):</w:t>
            </w:r>
          </w:p>
          <w:p w14:paraId="471D8F51" w14:textId="77777777" w:rsidR="007672DE" w:rsidRPr="00B837D6" w:rsidRDefault="007672DE" w:rsidP="007672DE">
            <w:pPr>
              <w:pStyle w:val="ListParagraph"/>
              <w:numPr>
                <w:ilvl w:val="0"/>
                <w:numId w:val="35"/>
              </w:numPr>
              <w:tabs>
                <w:tab w:val="left" w:pos="1134"/>
              </w:tabs>
              <w:spacing w:before="40" w:after="40"/>
              <w:ind w:left="284" w:hanging="284"/>
              <w:rPr>
                <w:rFonts w:ascii="Times" w:hAnsi="Times"/>
                <w:b/>
              </w:rPr>
            </w:pPr>
            <w:r w:rsidRPr="00B837D6">
              <w:rPr>
                <w:rFonts w:ascii="Times" w:hAnsi="Times"/>
              </w:rPr>
              <w:t>ASPTP = (Average Trade and Other Payables / Credit Purchases) x 365</w:t>
            </w:r>
          </w:p>
        </w:tc>
        <w:tc>
          <w:tcPr>
            <w:tcW w:w="2046" w:type="dxa"/>
            <w:vAlign w:val="center"/>
          </w:tcPr>
          <w:p w14:paraId="540FFB34"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6</w:t>
            </w:r>
          </w:p>
        </w:tc>
      </w:tr>
      <w:tr w:rsidR="007672DE" w:rsidRPr="00B837D6" w14:paraId="41197C4C" w14:textId="77777777" w:rsidTr="00B837D6">
        <w:tc>
          <w:tcPr>
            <w:tcW w:w="7196" w:type="dxa"/>
            <w:vAlign w:val="center"/>
          </w:tcPr>
          <w:p w14:paraId="159ECA4E" w14:textId="77777777" w:rsidR="007672DE" w:rsidRPr="00B837D6" w:rsidRDefault="007672DE" w:rsidP="007672DE">
            <w:pPr>
              <w:tabs>
                <w:tab w:val="left" w:pos="1134"/>
              </w:tabs>
              <w:spacing w:before="40" w:after="40"/>
              <w:ind w:left="426" w:hanging="426"/>
              <w:rPr>
                <w:rFonts w:ascii="Times" w:hAnsi="Times"/>
                <w:b/>
              </w:rPr>
            </w:pPr>
            <w:r w:rsidRPr="00B837D6">
              <w:rPr>
                <w:rFonts w:ascii="Times" w:hAnsi="Times"/>
                <w:b/>
              </w:rPr>
              <w:t>Sales Revenue to Capital Employed (SRCE):</w:t>
            </w:r>
          </w:p>
          <w:p w14:paraId="07C3CA89" w14:textId="77777777" w:rsidR="007672DE" w:rsidRPr="00B837D6" w:rsidRDefault="007672DE" w:rsidP="007672DE">
            <w:pPr>
              <w:pStyle w:val="ListParagraph"/>
              <w:numPr>
                <w:ilvl w:val="0"/>
                <w:numId w:val="35"/>
              </w:numPr>
              <w:tabs>
                <w:tab w:val="left" w:pos="1134"/>
              </w:tabs>
              <w:spacing w:before="40" w:after="40"/>
              <w:ind w:left="284" w:hanging="284"/>
              <w:rPr>
                <w:rFonts w:ascii="Times" w:hAnsi="Times"/>
              </w:rPr>
            </w:pPr>
            <w:r w:rsidRPr="00B837D6">
              <w:rPr>
                <w:rFonts w:ascii="Times" w:hAnsi="Times"/>
              </w:rPr>
              <w:t>SRCE = Revenue / (Ordinary Share Capital + Reserves + Non-Current Liabilities)</w:t>
            </w:r>
          </w:p>
        </w:tc>
        <w:tc>
          <w:tcPr>
            <w:tcW w:w="2046" w:type="dxa"/>
            <w:vAlign w:val="center"/>
          </w:tcPr>
          <w:p w14:paraId="7D3DA615"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7</w:t>
            </w:r>
          </w:p>
        </w:tc>
      </w:tr>
      <w:tr w:rsidR="007672DE" w:rsidRPr="00B837D6" w14:paraId="4DD5A35D" w14:textId="77777777" w:rsidTr="00B837D6">
        <w:tc>
          <w:tcPr>
            <w:tcW w:w="7196" w:type="dxa"/>
            <w:vAlign w:val="center"/>
          </w:tcPr>
          <w:p w14:paraId="09C25571" w14:textId="77777777" w:rsidR="007672DE" w:rsidRPr="00B837D6" w:rsidRDefault="007672DE" w:rsidP="007672DE">
            <w:pPr>
              <w:tabs>
                <w:tab w:val="left" w:pos="1134"/>
              </w:tabs>
              <w:spacing w:before="40" w:after="40"/>
              <w:ind w:left="426" w:hanging="426"/>
              <w:rPr>
                <w:rFonts w:ascii="Times" w:hAnsi="Times"/>
              </w:rPr>
            </w:pPr>
            <w:r w:rsidRPr="00B837D6">
              <w:rPr>
                <w:rFonts w:ascii="Times" w:hAnsi="Times"/>
                <w:b/>
              </w:rPr>
              <w:t>Sales Revenue Per Employee (SRPE):</w:t>
            </w:r>
          </w:p>
          <w:p w14:paraId="7F547DC1" w14:textId="77777777" w:rsidR="007672DE" w:rsidRPr="00B837D6" w:rsidRDefault="007672DE" w:rsidP="007672DE">
            <w:pPr>
              <w:pStyle w:val="ListParagraph"/>
              <w:numPr>
                <w:ilvl w:val="0"/>
                <w:numId w:val="35"/>
              </w:numPr>
              <w:tabs>
                <w:tab w:val="left" w:pos="1134"/>
              </w:tabs>
              <w:spacing w:before="40" w:after="40"/>
              <w:ind w:left="284" w:hanging="284"/>
              <w:rPr>
                <w:rFonts w:ascii="Times" w:hAnsi="Times"/>
              </w:rPr>
            </w:pPr>
            <w:r w:rsidRPr="00B837D6">
              <w:rPr>
                <w:rFonts w:ascii="Times" w:hAnsi="Times"/>
              </w:rPr>
              <w:t xml:space="preserve">SRPE = Revenue / Number of Employees </w:t>
            </w:r>
          </w:p>
        </w:tc>
        <w:tc>
          <w:tcPr>
            <w:tcW w:w="2046" w:type="dxa"/>
            <w:vAlign w:val="center"/>
          </w:tcPr>
          <w:p w14:paraId="67694DAC"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8</w:t>
            </w:r>
          </w:p>
        </w:tc>
      </w:tr>
      <w:tr w:rsidR="007672DE" w:rsidRPr="00B837D6" w14:paraId="6184A364" w14:textId="77777777" w:rsidTr="00B837D6">
        <w:tc>
          <w:tcPr>
            <w:tcW w:w="9242" w:type="dxa"/>
            <w:gridSpan w:val="2"/>
            <w:shd w:val="clear" w:color="auto" w:fill="D9E2F3" w:themeFill="accent1" w:themeFillTint="33"/>
            <w:vAlign w:val="center"/>
          </w:tcPr>
          <w:p w14:paraId="17E9057F" w14:textId="77777777" w:rsidR="007672DE" w:rsidRPr="00B837D6" w:rsidRDefault="007672DE" w:rsidP="007672DE">
            <w:pPr>
              <w:tabs>
                <w:tab w:val="left" w:pos="1134"/>
              </w:tabs>
              <w:spacing w:before="40" w:after="40"/>
              <w:rPr>
                <w:rFonts w:ascii="Times" w:hAnsi="Times"/>
                <w:b/>
              </w:rPr>
            </w:pPr>
            <w:r w:rsidRPr="00B837D6">
              <w:rPr>
                <w:rFonts w:ascii="Times" w:hAnsi="Times"/>
                <w:b/>
              </w:rPr>
              <w:t>LIQUIDITY RATIOS</w:t>
            </w:r>
          </w:p>
        </w:tc>
      </w:tr>
      <w:tr w:rsidR="007672DE" w:rsidRPr="00B837D6" w14:paraId="0B3E060D" w14:textId="77777777" w:rsidTr="00B837D6">
        <w:tc>
          <w:tcPr>
            <w:tcW w:w="7196" w:type="dxa"/>
            <w:vAlign w:val="center"/>
          </w:tcPr>
          <w:p w14:paraId="387D0D65" w14:textId="77777777" w:rsidR="007672DE" w:rsidRPr="00B837D6" w:rsidRDefault="007672DE" w:rsidP="007672DE">
            <w:pPr>
              <w:tabs>
                <w:tab w:val="left" w:pos="1134"/>
              </w:tabs>
              <w:ind w:left="426" w:hanging="426"/>
              <w:rPr>
                <w:rFonts w:ascii="Times" w:hAnsi="Times"/>
                <w:b/>
              </w:rPr>
            </w:pPr>
            <w:r w:rsidRPr="00B837D6">
              <w:rPr>
                <w:rFonts w:ascii="Times" w:hAnsi="Times"/>
                <w:b/>
              </w:rPr>
              <w:t>Current Ratio (CR):</w:t>
            </w:r>
          </w:p>
          <w:p w14:paraId="30779BE8" w14:textId="77777777" w:rsidR="007672DE" w:rsidRPr="00B837D6" w:rsidRDefault="007672DE" w:rsidP="007672DE">
            <w:pPr>
              <w:pStyle w:val="ListParagraph"/>
              <w:numPr>
                <w:ilvl w:val="0"/>
                <w:numId w:val="35"/>
              </w:numPr>
              <w:tabs>
                <w:tab w:val="left" w:pos="1134"/>
                <w:tab w:val="left" w:pos="1276"/>
              </w:tabs>
              <w:spacing w:before="40" w:after="40"/>
              <w:ind w:left="284" w:hanging="284"/>
              <w:rPr>
                <w:rFonts w:ascii="Times" w:hAnsi="Times"/>
                <w:b/>
                <w:lang w:val="fr-FR"/>
              </w:rPr>
            </w:pPr>
            <w:r w:rsidRPr="00B837D6">
              <w:rPr>
                <w:rFonts w:ascii="Times" w:hAnsi="Times"/>
                <w:lang w:val="fr-FR"/>
              </w:rPr>
              <w:t xml:space="preserve">CR = </w:t>
            </w:r>
            <w:proofErr w:type="spellStart"/>
            <w:r w:rsidRPr="00B837D6">
              <w:rPr>
                <w:rFonts w:ascii="Times" w:hAnsi="Times"/>
                <w:lang w:val="fr-FR"/>
              </w:rPr>
              <w:t>Current</w:t>
            </w:r>
            <w:proofErr w:type="spellEnd"/>
            <w:r w:rsidRPr="00B837D6">
              <w:rPr>
                <w:rFonts w:ascii="Times" w:hAnsi="Times"/>
                <w:lang w:val="fr-FR"/>
              </w:rPr>
              <w:t xml:space="preserve"> </w:t>
            </w:r>
            <w:proofErr w:type="spellStart"/>
            <w:r w:rsidRPr="00B837D6">
              <w:rPr>
                <w:rFonts w:ascii="Times" w:hAnsi="Times"/>
                <w:lang w:val="fr-FR"/>
              </w:rPr>
              <w:t>Assets</w:t>
            </w:r>
            <w:proofErr w:type="spellEnd"/>
            <w:r w:rsidRPr="00B837D6">
              <w:rPr>
                <w:rFonts w:ascii="Times" w:hAnsi="Times"/>
                <w:lang w:val="fr-FR"/>
              </w:rPr>
              <w:t xml:space="preserve"> / </w:t>
            </w:r>
            <w:proofErr w:type="spellStart"/>
            <w:r w:rsidRPr="00B837D6">
              <w:rPr>
                <w:rFonts w:ascii="Times" w:hAnsi="Times"/>
                <w:lang w:val="fr-FR"/>
              </w:rPr>
              <w:t>Current</w:t>
            </w:r>
            <w:proofErr w:type="spellEnd"/>
            <w:r w:rsidRPr="00B837D6">
              <w:rPr>
                <w:rFonts w:ascii="Times" w:hAnsi="Times"/>
                <w:lang w:val="fr-FR"/>
              </w:rPr>
              <w:t xml:space="preserve"> </w:t>
            </w:r>
            <w:proofErr w:type="spellStart"/>
            <w:r w:rsidRPr="00B837D6">
              <w:rPr>
                <w:rFonts w:ascii="Times" w:hAnsi="Times"/>
                <w:lang w:val="fr-FR"/>
              </w:rPr>
              <w:t>Liabilities</w:t>
            </w:r>
            <w:proofErr w:type="spellEnd"/>
          </w:p>
        </w:tc>
        <w:tc>
          <w:tcPr>
            <w:tcW w:w="2046" w:type="dxa"/>
            <w:vAlign w:val="center"/>
          </w:tcPr>
          <w:p w14:paraId="77A4E04E"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w:t>
            </w:r>
          </w:p>
        </w:tc>
      </w:tr>
      <w:tr w:rsidR="007672DE" w:rsidRPr="00B837D6" w14:paraId="703DDDE7" w14:textId="77777777" w:rsidTr="00B837D6">
        <w:trPr>
          <w:trHeight w:val="507"/>
        </w:trPr>
        <w:tc>
          <w:tcPr>
            <w:tcW w:w="7196" w:type="dxa"/>
            <w:vAlign w:val="center"/>
          </w:tcPr>
          <w:p w14:paraId="657AE1FC" w14:textId="77777777" w:rsidR="007672DE" w:rsidRPr="00B837D6" w:rsidRDefault="007672DE" w:rsidP="007672DE">
            <w:pPr>
              <w:tabs>
                <w:tab w:val="left" w:pos="1134"/>
              </w:tabs>
              <w:ind w:left="426" w:hanging="426"/>
              <w:rPr>
                <w:rFonts w:ascii="Times" w:hAnsi="Times"/>
                <w:b/>
              </w:rPr>
            </w:pPr>
            <w:r w:rsidRPr="00B837D6">
              <w:rPr>
                <w:rFonts w:ascii="Times" w:hAnsi="Times"/>
                <w:b/>
              </w:rPr>
              <w:t>Acid Test Ratio (ATR):</w:t>
            </w:r>
          </w:p>
          <w:p w14:paraId="363C6267" w14:textId="77777777" w:rsidR="007672DE" w:rsidRPr="00B837D6" w:rsidRDefault="007672DE" w:rsidP="007672DE">
            <w:pPr>
              <w:pStyle w:val="ListParagraph"/>
              <w:numPr>
                <w:ilvl w:val="0"/>
                <w:numId w:val="35"/>
              </w:numPr>
              <w:tabs>
                <w:tab w:val="left" w:pos="1134"/>
              </w:tabs>
              <w:ind w:left="284" w:hanging="284"/>
              <w:rPr>
                <w:rFonts w:ascii="Times" w:hAnsi="Times"/>
              </w:rPr>
            </w:pPr>
            <w:r w:rsidRPr="00B837D6">
              <w:rPr>
                <w:rFonts w:ascii="Times" w:hAnsi="Times"/>
              </w:rPr>
              <w:t>ATR = Current Assets / Current Liabilities</w:t>
            </w:r>
          </w:p>
        </w:tc>
        <w:tc>
          <w:tcPr>
            <w:tcW w:w="2046" w:type="dxa"/>
            <w:vAlign w:val="center"/>
          </w:tcPr>
          <w:p w14:paraId="4597EBCC"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9</w:t>
            </w:r>
          </w:p>
        </w:tc>
      </w:tr>
      <w:tr w:rsidR="007672DE" w:rsidRPr="00B837D6" w14:paraId="3B11F315" w14:textId="77777777" w:rsidTr="00B837D6">
        <w:tc>
          <w:tcPr>
            <w:tcW w:w="9242" w:type="dxa"/>
            <w:gridSpan w:val="2"/>
            <w:shd w:val="clear" w:color="auto" w:fill="D9E2F3" w:themeFill="accent1" w:themeFillTint="33"/>
            <w:vAlign w:val="center"/>
          </w:tcPr>
          <w:p w14:paraId="1076DD3C" w14:textId="77777777" w:rsidR="007672DE" w:rsidRPr="00B837D6" w:rsidRDefault="007672DE" w:rsidP="007672DE">
            <w:pPr>
              <w:tabs>
                <w:tab w:val="left" w:pos="1134"/>
              </w:tabs>
              <w:spacing w:before="40" w:after="40"/>
              <w:rPr>
                <w:rFonts w:ascii="Times" w:hAnsi="Times"/>
              </w:rPr>
            </w:pPr>
            <w:r w:rsidRPr="00B837D6">
              <w:rPr>
                <w:rFonts w:ascii="Times" w:hAnsi="Times"/>
                <w:b/>
              </w:rPr>
              <w:t>INVESTMENT RATIOS</w:t>
            </w:r>
          </w:p>
        </w:tc>
      </w:tr>
      <w:tr w:rsidR="007672DE" w:rsidRPr="00B837D6" w14:paraId="1523086D" w14:textId="77777777" w:rsidTr="00B837D6">
        <w:tc>
          <w:tcPr>
            <w:tcW w:w="7196" w:type="dxa"/>
            <w:vAlign w:val="center"/>
          </w:tcPr>
          <w:p w14:paraId="3AA72D84" w14:textId="77777777" w:rsidR="007672DE" w:rsidRPr="00B837D6" w:rsidRDefault="007672DE" w:rsidP="007672DE">
            <w:pPr>
              <w:tabs>
                <w:tab w:val="left" w:pos="1134"/>
              </w:tabs>
              <w:rPr>
                <w:rFonts w:ascii="Times" w:hAnsi="Times"/>
                <w:b/>
              </w:rPr>
            </w:pPr>
            <w:r w:rsidRPr="00B837D6">
              <w:rPr>
                <w:rFonts w:ascii="Times" w:hAnsi="Times"/>
                <w:b/>
              </w:rPr>
              <w:t xml:space="preserve">Dividend </w:t>
            </w:r>
            <w:proofErr w:type="spellStart"/>
            <w:r w:rsidRPr="00B837D6">
              <w:rPr>
                <w:rFonts w:ascii="Times" w:hAnsi="Times"/>
                <w:b/>
              </w:rPr>
              <w:t>Payout</w:t>
            </w:r>
            <w:proofErr w:type="spellEnd"/>
            <w:r w:rsidRPr="00B837D6">
              <w:rPr>
                <w:rFonts w:ascii="Times" w:hAnsi="Times"/>
                <w:b/>
              </w:rPr>
              <w:t xml:space="preserve"> Ratio (DPR):</w:t>
            </w:r>
          </w:p>
          <w:p w14:paraId="3A8A0655" w14:textId="77777777" w:rsidR="007672DE" w:rsidRPr="00B837D6" w:rsidRDefault="007672DE" w:rsidP="007672DE">
            <w:pPr>
              <w:pStyle w:val="ListParagraph"/>
              <w:numPr>
                <w:ilvl w:val="0"/>
                <w:numId w:val="35"/>
              </w:numPr>
              <w:tabs>
                <w:tab w:val="left" w:pos="1134"/>
                <w:tab w:val="left" w:pos="1276"/>
              </w:tabs>
              <w:spacing w:before="40" w:after="40"/>
              <w:ind w:left="284" w:hanging="284"/>
              <w:rPr>
                <w:rFonts w:ascii="Times" w:hAnsi="Times"/>
                <w:b/>
              </w:rPr>
            </w:pPr>
            <w:r w:rsidRPr="00B837D6">
              <w:rPr>
                <w:rFonts w:ascii="Times" w:hAnsi="Times"/>
              </w:rPr>
              <w:t>DPR = ((0.5 x Headline Profit After Tax) / Headline Profit After Tax) x 100</w:t>
            </w:r>
          </w:p>
        </w:tc>
        <w:tc>
          <w:tcPr>
            <w:tcW w:w="2046" w:type="dxa"/>
            <w:vAlign w:val="center"/>
          </w:tcPr>
          <w:p w14:paraId="5C21BB80"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10</w:t>
            </w:r>
          </w:p>
        </w:tc>
      </w:tr>
      <w:tr w:rsidR="007672DE" w:rsidRPr="00B837D6" w14:paraId="1906EDBB" w14:textId="77777777" w:rsidTr="00B837D6">
        <w:tc>
          <w:tcPr>
            <w:tcW w:w="7196" w:type="dxa"/>
            <w:vAlign w:val="center"/>
          </w:tcPr>
          <w:p w14:paraId="7C06F8CA" w14:textId="77777777" w:rsidR="007672DE" w:rsidRPr="00B837D6" w:rsidRDefault="007672DE" w:rsidP="007672DE">
            <w:pPr>
              <w:tabs>
                <w:tab w:val="left" w:pos="1134"/>
              </w:tabs>
              <w:rPr>
                <w:rFonts w:ascii="Times" w:hAnsi="Times"/>
                <w:b/>
              </w:rPr>
            </w:pPr>
            <w:r w:rsidRPr="00B837D6">
              <w:rPr>
                <w:rFonts w:ascii="Times" w:hAnsi="Times"/>
                <w:b/>
              </w:rPr>
              <w:t>Dividend Yield Ratio (DYR):</w:t>
            </w:r>
          </w:p>
          <w:p w14:paraId="32834A41" w14:textId="77777777" w:rsidR="007672DE" w:rsidRPr="00B837D6" w:rsidRDefault="007672DE" w:rsidP="007672DE">
            <w:pPr>
              <w:pStyle w:val="ListParagraph"/>
              <w:numPr>
                <w:ilvl w:val="0"/>
                <w:numId w:val="35"/>
              </w:numPr>
              <w:tabs>
                <w:tab w:val="left" w:pos="1134"/>
                <w:tab w:val="left" w:pos="1276"/>
              </w:tabs>
              <w:spacing w:before="40" w:after="40"/>
              <w:ind w:left="284" w:hanging="284"/>
              <w:rPr>
                <w:rFonts w:ascii="Times" w:hAnsi="Times"/>
                <w:b/>
              </w:rPr>
            </w:pPr>
            <w:r w:rsidRPr="00B837D6">
              <w:rPr>
                <w:rFonts w:ascii="Times" w:hAnsi="Times"/>
              </w:rPr>
              <w:t>DYR = ((Dividend per share / (1 – dividend tax credit rate of income)) / Market Value per Share) x 100</w:t>
            </w:r>
          </w:p>
        </w:tc>
        <w:tc>
          <w:tcPr>
            <w:tcW w:w="2046" w:type="dxa"/>
            <w:vAlign w:val="center"/>
          </w:tcPr>
          <w:p w14:paraId="71C4769A"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w:t>
            </w:r>
          </w:p>
        </w:tc>
      </w:tr>
      <w:tr w:rsidR="007672DE" w:rsidRPr="00B837D6" w14:paraId="3B1BA6F3" w14:textId="77777777" w:rsidTr="00B837D6">
        <w:tc>
          <w:tcPr>
            <w:tcW w:w="7196" w:type="dxa"/>
            <w:vAlign w:val="center"/>
          </w:tcPr>
          <w:p w14:paraId="39DAD51C" w14:textId="77777777" w:rsidR="007672DE" w:rsidRPr="00B837D6" w:rsidRDefault="007672DE" w:rsidP="007672DE">
            <w:pPr>
              <w:tabs>
                <w:tab w:val="left" w:pos="1134"/>
              </w:tabs>
              <w:rPr>
                <w:rFonts w:ascii="Times" w:hAnsi="Times"/>
                <w:b/>
              </w:rPr>
            </w:pPr>
            <w:r w:rsidRPr="00B837D6">
              <w:rPr>
                <w:rFonts w:ascii="Times" w:hAnsi="Times"/>
                <w:b/>
              </w:rPr>
              <w:t>Earnings per Share (EPS):</w:t>
            </w:r>
          </w:p>
          <w:p w14:paraId="1B2E532A" w14:textId="77777777" w:rsidR="007672DE" w:rsidRPr="00B837D6" w:rsidRDefault="007672DE" w:rsidP="007672DE">
            <w:pPr>
              <w:pStyle w:val="ListParagraph"/>
              <w:numPr>
                <w:ilvl w:val="0"/>
                <w:numId w:val="35"/>
              </w:numPr>
              <w:tabs>
                <w:tab w:val="left" w:pos="1134"/>
                <w:tab w:val="left" w:pos="1276"/>
              </w:tabs>
              <w:spacing w:before="40" w:after="40"/>
              <w:ind w:left="284" w:hanging="284"/>
              <w:rPr>
                <w:rFonts w:ascii="Times" w:hAnsi="Times"/>
                <w:b/>
              </w:rPr>
            </w:pPr>
            <w:r w:rsidRPr="00B837D6">
              <w:rPr>
                <w:rFonts w:ascii="Times" w:hAnsi="Times"/>
              </w:rPr>
              <w:t>EPS = Earnings available to ordinary shareholders / Number of Ordinary Shares in Issue</w:t>
            </w:r>
          </w:p>
        </w:tc>
        <w:tc>
          <w:tcPr>
            <w:tcW w:w="2046" w:type="dxa"/>
            <w:vAlign w:val="center"/>
          </w:tcPr>
          <w:p w14:paraId="5B392A61"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11</w:t>
            </w:r>
          </w:p>
        </w:tc>
      </w:tr>
      <w:tr w:rsidR="007672DE" w14:paraId="33862854" w14:textId="77777777" w:rsidTr="00B837D6">
        <w:tc>
          <w:tcPr>
            <w:tcW w:w="7196" w:type="dxa"/>
            <w:vAlign w:val="center"/>
          </w:tcPr>
          <w:p w14:paraId="2EE09EB5" w14:textId="77777777" w:rsidR="007672DE" w:rsidRPr="00B837D6" w:rsidRDefault="007672DE" w:rsidP="007672DE">
            <w:pPr>
              <w:tabs>
                <w:tab w:val="left" w:pos="1134"/>
              </w:tabs>
              <w:rPr>
                <w:rFonts w:ascii="Times" w:hAnsi="Times"/>
                <w:b/>
              </w:rPr>
            </w:pPr>
            <w:r w:rsidRPr="00B837D6">
              <w:rPr>
                <w:rFonts w:ascii="Times" w:hAnsi="Times"/>
                <w:b/>
              </w:rPr>
              <w:t>Price/Earnings Ratio (P/ER):</w:t>
            </w:r>
          </w:p>
          <w:p w14:paraId="7A3544D7" w14:textId="77777777" w:rsidR="007672DE" w:rsidRPr="00B837D6" w:rsidRDefault="007672DE" w:rsidP="007672DE">
            <w:pPr>
              <w:pStyle w:val="ListParagraph"/>
              <w:numPr>
                <w:ilvl w:val="0"/>
                <w:numId w:val="35"/>
              </w:numPr>
              <w:tabs>
                <w:tab w:val="left" w:pos="1134"/>
                <w:tab w:val="left" w:pos="1276"/>
              </w:tabs>
              <w:spacing w:before="40" w:after="40"/>
              <w:ind w:left="284" w:hanging="284"/>
              <w:rPr>
                <w:rFonts w:ascii="Times" w:hAnsi="Times"/>
                <w:b/>
              </w:rPr>
            </w:pPr>
            <w:r w:rsidRPr="00B837D6">
              <w:rPr>
                <w:rFonts w:ascii="Times" w:hAnsi="Times"/>
              </w:rPr>
              <w:t>P/ER = Market Value per Share / Earnings per Share</w:t>
            </w:r>
          </w:p>
        </w:tc>
        <w:tc>
          <w:tcPr>
            <w:tcW w:w="2046" w:type="dxa"/>
            <w:vAlign w:val="center"/>
          </w:tcPr>
          <w:p w14:paraId="689EEA0F"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12</w:t>
            </w:r>
          </w:p>
        </w:tc>
      </w:tr>
    </w:tbl>
    <w:p w14:paraId="3CC5E10D" w14:textId="77777777" w:rsidR="007672DE" w:rsidRDefault="007672DE" w:rsidP="007672DE">
      <w:pPr>
        <w:tabs>
          <w:tab w:val="left" w:pos="1134"/>
        </w:tabs>
        <w:spacing w:before="40" w:after="40"/>
        <w:rPr>
          <w:rFonts w:ascii="Times" w:hAnsi="Times"/>
          <w:b/>
        </w:rPr>
        <w:sectPr w:rsidR="007672DE" w:rsidSect="007672DE">
          <w:pgSz w:w="11906" w:h="16838"/>
          <w:pgMar w:top="1440" w:right="1440" w:bottom="1143" w:left="1440"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3"/>
        <w:gridCol w:w="1479"/>
      </w:tblGrid>
      <w:tr w:rsidR="007672DE" w14:paraId="50FA1753" w14:textId="77777777" w:rsidTr="00B837D6">
        <w:tc>
          <w:tcPr>
            <w:tcW w:w="9242" w:type="dxa"/>
            <w:gridSpan w:val="2"/>
            <w:shd w:val="clear" w:color="auto" w:fill="D9E2F3" w:themeFill="accent1" w:themeFillTint="33"/>
            <w:vAlign w:val="center"/>
          </w:tcPr>
          <w:p w14:paraId="0E5794F4" w14:textId="77777777" w:rsidR="007672DE" w:rsidRPr="000D3D12" w:rsidRDefault="007672DE" w:rsidP="007672DE">
            <w:pPr>
              <w:tabs>
                <w:tab w:val="left" w:pos="1134"/>
              </w:tabs>
              <w:spacing w:before="40" w:after="40"/>
              <w:rPr>
                <w:rFonts w:ascii="Times" w:hAnsi="Times"/>
              </w:rPr>
            </w:pPr>
            <w:r w:rsidRPr="000D3D12">
              <w:rPr>
                <w:rFonts w:ascii="Times" w:hAnsi="Times"/>
                <w:b/>
              </w:rPr>
              <w:lastRenderedPageBreak/>
              <w:t>GEARING RATIOS</w:t>
            </w:r>
          </w:p>
        </w:tc>
      </w:tr>
      <w:tr w:rsidR="007672DE" w14:paraId="7A03C918" w14:textId="77777777" w:rsidTr="00B837D6">
        <w:tc>
          <w:tcPr>
            <w:tcW w:w="7763" w:type="dxa"/>
            <w:vAlign w:val="center"/>
          </w:tcPr>
          <w:p w14:paraId="255DBE52" w14:textId="77777777" w:rsidR="007672DE" w:rsidRPr="00B837D6" w:rsidRDefault="007672DE" w:rsidP="007672DE">
            <w:pPr>
              <w:tabs>
                <w:tab w:val="left" w:pos="1134"/>
              </w:tabs>
              <w:ind w:left="426" w:hanging="426"/>
              <w:rPr>
                <w:rFonts w:ascii="Times" w:hAnsi="Times"/>
                <w:b/>
              </w:rPr>
            </w:pPr>
            <w:r w:rsidRPr="00B837D6">
              <w:rPr>
                <w:rFonts w:ascii="Times" w:hAnsi="Times"/>
                <w:b/>
              </w:rPr>
              <w:t>Gearing Ratio (GR):</w:t>
            </w:r>
          </w:p>
          <w:p w14:paraId="185B0A3C" w14:textId="77777777" w:rsidR="007672DE" w:rsidRPr="00B837D6" w:rsidRDefault="007672DE" w:rsidP="007672DE">
            <w:pPr>
              <w:pStyle w:val="ListParagraph"/>
              <w:numPr>
                <w:ilvl w:val="0"/>
                <w:numId w:val="35"/>
              </w:numPr>
              <w:tabs>
                <w:tab w:val="left" w:pos="1134"/>
              </w:tabs>
              <w:ind w:left="284" w:hanging="284"/>
              <w:rPr>
                <w:rFonts w:ascii="Times" w:hAnsi="Times"/>
              </w:rPr>
            </w:pPr>
            <w:r w:rsidRPr="00B837D6">
              <w:rPr>
                <w:rFonts w:ascii="Times" w:hAnsi="Times"/>
              </w:rPr>
              <w:t>GR = (Non-Current Liabilities / (</w:t>
            </w:r>
            <w:r w:rsidRPr="00B837D6">
              <w:rPr>
                <w:rFonts w:ascii="Times" w:hAnsi="Times"/>
                <w:bCs/>
                <w:color w:val="000000" w:themeColor="text1"/>
              </w:rPr>
              <w:t>Year Average of Total Shareholder Equity</w:t>
            </w:r>
            <w:r w:rsidRPr="00B837D6">
              <w:rPr>
                <w:rFonts w:ascii="Times" w:hAnsi="Times"/>
              </w:rPr>
              <w:t xml:space="preserve"> + Non-Current Liabilities)) x 100</w:t>
            </w:r>
          </w:p>
        </w:tc>
        <w:tc>
          <w:tcPr>
            <w:tcW w:w="1479" w:type="dxa"/>
            <w:vAlign w:val="center"/>
          </w:tcPr>
          <w:p w14:paraId="77A46D58"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13</w:t>
            </w:r>
          </w:p>
        </w:tc>
      </w:tr>
      <w:tr w:rsidR="007672DE" w14:paraId="0D1D527F" w14:textId="77777777" w:rsidTr="00B837D6">
        <w:tc>
          <w:tcPr>
            <w:tcW w:w="7763" w:type="dxa"/>
            <w:vAlign w:val="center"/>
          </w:tcPr>
          <w:p w14:paraId="7E468EEF" w14:textId="77777777" w:rsidR="007672DE" w:rsidRPr="00B837D6" w:rsidRDefault="007672DE" w:rsidP="007672DE">
            <w:pPr>
              <w:tabs>
                <w:tab w:val="left" w:pos="1134"/>
              </w:tabs>
              <w:ind w:left="426" w:hanging="426"/>
              <w:rPr>
                <w:rFonts w:ascii="Times" w:hAnsi="Times"/>
                <w:b/>
              </w:rPr>
            </w:pPr>
            <w:r w:rsidRPr="00B837D6">
              <w:rPr>
                <w:rFonts w:ascii="Times" w:hAnsi="Times"/>
                <w:b/>
              </w:rPr>
              <w:t>Interest Cover Ratio (ICR):</w:t>
            </w:r>
          </w:p>
          <w:p w14:paraId="73E65258" w14:textId="77777777" w:rsidR="007672DE" w:rsidRPr="00B837D6" w:rsidRDefault="007672DE" w:rsidP="007672DE">
            <w:pPr>
              <w:pStyle w:val="ListParagraph"/>
              <w:numPr>
                <w:ilvl w:val="0"/>
                <w:numId w:val="35"/>
              </w:numPr>
              <w:tabs>
                <w:tab w:val="left" w:pos="1134"/>
                <w:tab w:val="left" w:pos="1276"/>
              </w:tabs>
              <w:spacing w:before="40" w:after="40"/>
              <w:ind w:left="284" w:hanging="284"/>
              <w:rPr>
                <w:rFonts w:ascii="Times" w:hAnsi="Times"/>
                <w:b/>
              </w:rPr>
            </w:pPr>
            <w:r w:rsidRPr="00B837D6">
              <w:rPr>
                <w:rFonts w:ascii="Times" w:hAnsi="Times"/>
              </w:rPr>
              <w:t>ICR = Total Operating Profit / Interest Payable</w:t>
            </w:r>
          </w:p>
        </w:tc>
        <w:tc>
          <w:tcPr>
            <w:tcW w:w="1479" w:type="dxa"/>
            <w:vAlign w:val="center"/>
          </w:tcPr>
          <w:p w14:paraId="65F1ECFB"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w:t>
            </w:r>
          </w:p>
        </w:tc>
      </w:tr>
      <w:tr w:rsidR="007672DE" w14:paraId="4B6CC4AA" w14:textId="77777777" w:rsidTr="00B837D6">
        <w:tc>
          <w:tcPr>
            <w:tcW w:w="9242" w:type="dxa"/>
            <w:gridSpan w:val="2"/>
            <w:shd w:val="clear" w:color="auto" w:fill="D9E2F3" w:themeFill="accent1" w:themeFillTint="33"/>
            <w:vAlign w:val="center"/>
          </w:tcPr>
          <w:p w14:paraId="38F28889" w14:textId="77777777" w:rsidR="007672DE" w:rsidRPr="00B837D6" w:rsidRDefault="007672DE" w:rsidP="007672DE">
            <w:pPr>
              <w:tabs>
                <w:tab w:val="left" w:pos="1134"/>
              </w:tabs>
              <w:spacing w:before="40" w:after="40"/>
              <w:rPr>
                <w:rFonts w:ascii="Times" w:hAnsi="Times"/>
              </w:rPr>
            </w:pPr>
            <w:r w:rsidRPr="00B837D6">
              <w:rPr>
                <w:rFonts w:ascii="Times" w:hAnsi="Times"/>
                <w:b/>
              </w:rPr>
              <w:t>OTHER CALCULATIONS</w:t>
            </w:r>
          </w:p>
        </w:tc>
      </w:tr>
      <w:tr w:rsidR="007672DE" w14:paraId="0ECBEAAE" w14:textId="77777777" w:rsidTr="00B837D6">
        <w:tc>
          <w:tcPr>
            <w:tcW w:w="7763" w:type="dxa"/>
            <w:vAlign w:val="center"/>
          </w:tcPr>
          <w:p w14:paraId="26C17FE2" w14:textId="77777777" w:rsidR="007672DE" w:rsidRPr="00B837D6" w:rsidRDefault="007672DE" w:rsidP="007672DE">
            <w:pPr>
              <w:tabs>
                <w:tab w:val="left" w:pos="1134"/>
              </w:tabs>
              <w:ind w:left="426" w:hanging="426"/>
              <w:rPr>
                <w:rFonts w:ascii="Times" w:hAnsi="Times"/>
                <w:u w:val="single"/>
              </w:rPr>
            </w:pPr>
            <w:r w:rsidRPr="00B837D6">
              <w:rPr>
                <w:rFonts w:ascii="Times" w:hAnsi="Times"/>
                <w:b/>
              </w:rPr>
              <w:t>Year-on-Year (YoY) Growth:</w:t>
            </w:r>
            <w:r w:rsidRPr="00B837D6">
              <w:rPr>
                <w:rFonts w:ascii="Times" w:hAnsi="Times"/>
              </w:rPr>
              <w:t xml:space="preserve"> </w:t>
            </w:r>
          </w:p>
          <w:p w14:paraId="6853B793" w14:textId="77777777" w:rsidR="007672DE" w:rsidRPr="00B837D6" w:rsidRDefault="007672DE" w:rsidP="007672DE">
            <w:pPr>
              <w:pStyle w:val="ListParagraph"/>
              <w:numPr>
                <w:ilvl w:val="0"/>
                <w:numId w:val="35"/>
              </w:numPr>
              <w:tabs>
                <w:tab w:val="left" w:pos="1134"/>
              </w:tabs>
              <w:ind w:left="284" w:hanging="284"/>
              <w:rPr>
                <w:rFonts w:ascii="Times" w:hAnsi="Times"/>
              </w:rPr>
            </w:pPr>
            <w:r w:rsidRPr="00B837D6">
              <w:rPr>
                <w:rFonts w:ascii="Times" w:hAnsi="Times"/>
              </w:rPr>
              <w:t xml:space="preserve">YoY = ((Current Year Figure – Previous Year Figure) / Previous Year Figure) x 100 </w:t>
            </w:r>
          </w:p>
          <w:p w14:paraId="6EB65E43" w14:textId="77777777" w:rsidR="007672DE" w:rsidRPr="00B837D6" w:rsidRDefault="007672DE" w:rsidP="007672DE">
            <w:pPr>
              <w:tabs>
                <w:tab w:val="left" w:pos="1134"/>
                <w:tab w:val="left" w:pos="1276"/>
              </w:tabs>
              <w:spacing w:before="40" w:after="40"/>
              <w:ind w:left="426" w:hanging="426"/>
              <w:rPr>
                <w:rFonts w:ascii="Times" w:hAnsi="Times"/>
                <w:b/>
              </w:rPr>
            </w:pPr>
            <w:r w:rsidRPr="00B837D6">
              <w:rPr>
                <w:rFonts w:ascii="Times" w:hAnsi="Times"/>
              </w:rPr>
              <w:t>(Blitz 2018)</w:t>
            </w:r>
          </w:p>
        </w:tc>
        <w:tc>
          <w:tcPr>
            <w:tcW w:w="1479" w:type="dxa"/>
            <w:vAlign w:val="center"/>
          </w:tcPr>
          <w:p w14:paraId="654B24B4"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w:t>
            </w:r>
          </w:p>
        </w:tc>
      </w:tr>
      <w:tr w:rsidR="007672DE" w14:paraId="10F4CCEF" w14:textId="77777777" w:rsidTr="00B837D6">
        <w:tc>
          <w:tcPr>
            <w:tcW w:w="7763" w:type="dxa"/>
            <w:vAlign w:val="center"/>
          </w:tcPr>
          <w:p w14:paraId="3FF6CE28" w14:textId="77777777" w:rsidR="007672DE" w:rsidRPr="00B837D6" w:rsidRDefault="007672DE" w:rsidP="007672DE">
            <w:pPr>
              <w:tabs>
                <w:tab w:val="left" w:pos="1134"/>
              </w:tabs>
              <w:ind w:left="426" w:hanging="426"/>
              <w:rPr>
                <w:rFonts w:ascii="Times" w:hAnsi="Times"/>
                <w:b/>
              </w:rPr>
            </w:pPr>
            <w:r w:rsidRPr="00B837D6">
              <w:rPr>
                <w:rFonts w:ascii="Times" w:hAnsi="Times"/>
                <w:b/>
              </w:rPr>
              <w:t>Compound Annual Growth Rate (CAGR):</w:t>
            </w:r>
          </w:p>
          <w:tbl>
            <w:tblPr>
              <w:tblW w:w="4248" w:type="dxa"/>
              <w:tblLayout w:type="fixed"/>
              <w:tblLook w:val="04A0" w:firstRow="1" w:lastRow="0" w:firstColumn="1" w:lastColumn="0" w:noHBand="0" w:noVBand="1"/>
            </w:tblPr>
            <w:tblGrid>
              <w:gridCol w:w="284"/>
              <w:gridCol w:w="3964"/>
            </w:tblGrid>
            <w:tr w:rsidR="007672DE" w:rsidRPr="00B837D6" w14:paraId="7C9B85FC" w14:textId="77777777" w:rsidTr="007672DE">
              <w:trPr>
                <w:trHeight w:val="646"/>
              </w:trPr>
              <w:tc>
                <w:tcPr>
                  <w:tcW w:w="284" w:type="dxa"/>
                  <w:vAlign w:val="center"/>
                </w:tcPr>
                <w:p w14:paraId="7A4FB02A" w14:textId="77777777" w:rsidR="007672DE" w:rsidRPr="00B837D6" w:rsidRDefault="007672DE" w:rsidP="007672DE">
                  <w:pPr>
                    <w:pStyle w:val="ListParagraph"/>
                    <w:numPr>
                      <w:ilvl w:val="0"/>
                      <w:numId w:val="35"/>
                    </w:numPr>
                    <w:tabs>
                      <w:tab w:val="left" w:pos="1134"/>
                    </w:tabs>
                    <w:ind w:hanging="827"/>
                    <w:rPr>
                      <w:rFonts w:ascii="Times" w:hAnsi="Times"/>
                      <w:b/>
                    </w:rPr>
                  </w:pPr>
                </w:p>
              </w:tc>
              <w:tc>
                <w:tcPr>
                  <w:tcW w:w="3964" w:type="dxa"/>
                </w:tcPr>
                <w:p w14:paraId="5E264114" w14:textId="77777777" w:rsidR="007672DE" w:rsidRPr="00B837D6" w:rsidRDefault="007672DE" w:rsidP="007672DE">
                  <w:pPr>
                    <w:tabs>
                      <w:tab w:val="left" w:pos="1134"/>
                    </w:tabs>
                    <w:ind w:right="1052"/>
                    <w:rPr>
                      <w:rFonts w:ascii="Times" w:hAnsi="Times"/>
                      <w:b/>
                    </w:rPr>
                  </w:pPr>
                  <w:r w:rsidRPr="00B837D6">
                    <w:rPr>
                      <w:rFonts w:ascii="Helvetica" w:hAnsi="Helvetica" w:cs="Helvetica"/>
                      <w:noProof/>
                      <w:lang w:val="en-US" w:eastAsia="en-US"/>
                    </w:rPr>
                    <w:drawing>
                      <wp:inline distT="0" distB="0" distL="0" distR="0" wp14:anchorId="603B149A" wp14:editId="55924A23">
                        <wp:extent cx="2293661" cy="42403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t="5073" b="8789"/>
                                <a:stretch/>
                              </pic:blipFill>
                              <pic:spPr bwMode="auto">
                                <a:xfrm>
                                  <a:off x="0" y="0"/>
                                  <a:ext cx="2437797" cy="45068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570200F" w14:textId="77777777" w:rsidR="007672DE" w:rsidRPr="00B837D6" w:rsidRDefault="007672DE" w:rsidP="007672DE">
            <w:pPr>
              <w:tabs>
                <w:tab w:val="left" w:pos="1134"/>
                <w:tab w:val="left" w:pos="1276"/>
              </w:tabs>
              <w:spacing w:before="40" w:after="40"/>
              <w:rPr>
                <w:rFonts w:ascii="Times" w:hAnsi="Times"/>
                <w:b/>
              </w:rPr>
            </w:pPr>
            <w:r w:rsidRPr="00B837D6">
              <w:rPr>
                <w:rFonts w:ascii="Times" w:hAnsi="Times"/>
              </w:rPr>
              <w:t>(</w:t>
            </w:r>
            <w:proofErr w:type="spellStart"/>
            <w:r w:rsidRPr="00B837D6">
              <w:rPr>
                <w:rFonts w:ascii="Times" w:hAnsi="Times"/>
              </w:rPr>
              <w:t>Jagerson</w:t>
            </w:r>
            <w:proofErr w:type="spellEnd"/>
            <w:r w:rsidRPr="00B837D6">
              <w:rPr>
                <w:rFonts w:ascii="Times" w:hAnsi="Times"/>
              </w:rPr>
              <w:t xml:space="preserve"> 2019)</w:t>
            </w:r>
          </w:p>
        </w:tc>
        <w:tc>
          <w:tcPr>
            <w:tcW w:w="1479" w:type="dxa"/>
            <w:vAlign w:val="center"/>
          </w:tcPr>
          <w:p w14:paraId="698AE80B" w14:textId="77777777" w:rsidR="007672DE" w:rsidRPr="00B837D6" w:rsidRDefault="007672DE" w:rsidP="007672DE">
            <w:pPr>
              <w:tabs>
                <w:tab w:val="left" w:pos="1134"/>
              </w:tabs>
              <w:spacing w:before="40" w:after="40"/>
              <w:jc w:val="center"/>
              <w:rPr>
                <w:rFonts w:ascii="Times" w:hAnsi="Times"/>
              </w:rPr>
            </w:pPr>
            <w:r w:rsidRPr="00B837D6">
              <w:rPr>
                <w:rFonts w:ascii="Times" w:hAnsi="Times"/>
              </w:rPr>
              <w:t>-</w:t>
            </w:r>
          </w:p>
        </w:tc>
      </w:tr>
    </w:tbl>
    <w:p w14:paraId="1A66A59F" w14:textId="77777777" w:rsidR="007672DE" w:rsidRPr="007926CB" w:rsidRDefault="007672DE" w:rsidP="007672DE">
      <w:pPr>
        <w:tabs>
          <w:tab w:val="left" w:pos="1134"/>
        </w:tabs>
        <w:rPr>
          <w:rFonts w:ascii="Times" w:hAnsi="Times"/>
          <w:u w:val="single"/>
        </w:rPr>
      </w:pPr>
    </w:p>
    <w:p w14:paraId="6EEC9276" w14:textId="77777777" w:rsidR="007672DE" w:rsidRDefault="007672DE" w:rsidP="007672DE">
      <w:pPr>
        <w:tabs>
          <w:tab w:val="left" w:pos="1134"/>
        </w:tabs>
        <w:spacing w:after="120"/>
        <w:rPr>
          <w:rFonts w:ascii="Times" w:hAnsi="Times"/>
          <w:u w:val="single"/>
        </w:rPr>
        <w:sectPr w:rsidR="007672DE" w:rsidSect="007672DE">
          <w:pgSz w:w="11906" w:h="16838"/>
          <w:pgMar w:top="1440" w:right="1440" w:bottom="1143" w:left="1440" w:header="708" w:footer="708" w:gutter="0"/>
          <w:cols w:space="708"/>
          <w:docGrid w:linePitch="360"/>
        </w:sectPr>
      </w:pPr>
    </w:p>
    <w:p w14:paraId="04BBA092" w14:textId="77777777" w:rsidR="007672DE" w:rsidRDefault="007672DE" w:rsidP="007672DE">
      <w:pPr>
        <w:tabs>
          <w:tab w:val="left" w:pos="1134"/>
        </w:tabs>
        <w:spacing w:after="120"/>
        <w:rPr>
          <w:rFonts w:ascii="Times" w:hAnsi="Times"/>
          <w:u w:val="single"/>
        </w:rPr>
      </w:pPr>
      <w:r w:rsidRPr="001F48BD">
        <w:rPr>
          <w:rFonts w:ascii="Times" w:hAnsi="Times"/>
          <w:b/>
          <w:u w:val="single"/>
        </w:rPr>
        <w:lastRenderedPageBreak/>
        <w:t>Appendix I</w:t>
      </w:r>
      <w:r>
        <w:rPr>
          <w:rFonts w:ascii="Times" w:hAnsi="Times"/>
          <w:b/>
          <w:u w:val="single"/>
        </w:rPr>
        <w:t>I</w:t>
      </w:r>
      <w:r w:rsidRPr="001F48BD">
        <w:rPr>
          <w:rFonts w:ascii="Times" w:hAnsi="Times"/>
          <w:b/>
          <w:u w:val="single"/>
        </w:rPr>
        <w:t xml:space="preserve">:  </w:t>
      </w:r>
      <w:r>
        <w:rPr>
          <w:rFonts w:ascii="Times" w:hAnsi="Times"/>
          <w:b/>
          <w:u w:val="single"/>
        </w:rPr>
        <w:t xml:space="preserve">Methodologies for and </w:t>
      </w:r>
      <w:r w:rsidRPr="001F48BD">
        <w:rPr>
          <w:rFonts w:ascii="Times" w:hAnsi="Times"/>
          <w:b/>
          <w:u w:val="single"/>
        </w:rPr>
        <w:t>Explanatory Notes on Calculations</w:t>
      </w:r>
    </w:p>
    <w:p w14:paraId="2D0BC380" w14:textId="77777777" w:rsidR="007672DE" w:rsidRDefault="007672DE" w:rsidP="007672DE">
      <w:pPr>
        <w:tabs>
          <w:tab w:val="left" w:pos="1134"/>
        </w:tabs>
        <w:spacing w:after="120"/>
        <w:rPr>
          <w:rFonts w:ascii="Times" w:hAnsi="Time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8682"/>
      </w:tblGrid>
      <w:tr w:rsidR="007672DE" w:rsidRPr="00A33145" w14:paraId="41C976A6" w14:textId="77777777" w:rsidTr="00B837D6">
        <w:trPr>
          <w:trHeight w:val="71"/>
        </w:trPr>
        <w:tc>
          <w:tcPr>
            <w:tcW w:w="9350" w:type="dxa"/>
            <w:gridSpan w:val="2"/>
            <w:shd w:val="clear" w:color="auto" w:fill="4472C4" w:themeFill="accent1"/>
          </w:tcPr>
          <w:p w14:paraId="3757E3C3" w14:textId="77777777" w:rsidR="007672DE" w:rsidRPr="0018390B" w:rsidRDefault="007672DE" w:rsidP="007672DE">
            <w:pPr>
              <w:spacing w:before="40" w:after="40"/>
              <w:rPr>
                <w:rFonts w:ascii="Times" w:hAnsi="Times"/>
                <w:b/>
                <w:color w:val="FFFFFF" w:themeColor="background1"/>
              </w:rPr>
            </w:pPr>
            <w:r w:rsidRPr="0018390B">
              <w:rPr>
                <w:rFonts w:ascii="Times" w:hAnsi="Times"/>
                <w:b/>
                <w:color w:val="FFFFFF" w:themeColor="background1"/>
              </w:rPr>
              <w:t>Table 2: Notes</w:t>
            </w:r>
          </w:p>
        </w:tc>
      </w:tr>
      <w:tr w:rsidR="007672DE" w:rsidRPr="00A33145" w14:paraId="32DF90AC" w14:textId="77777777" w:rsidTr="00B837D6">
        <w:trPr>
          <w:trHeight w:val="704"/>
        </w:trPr>
        <w:tc>
          <w:tcPr>
            <w:tcW w:w="562" w:type="dxa"/>
            <w:vAlign w:val="center"/>
          </w:tcPr>
          <w:p w14:paraId="68D98ABB" w14:textId="77777777" w:rsidR="007672DE" w:rsidRPr="00A33145" w:rsidRDefault="007672DE" w:rsidP="007672DE">
            <w:pPr>
              <w:spacing w:before="40" w:after="40"/>
              <w:jc w:val="center"/>
              <w:rPr>
                <w:rFonts w:ascii="Times" w:hAnsi="Times"/>
              </w:rPr>
            </w:pPr>
            <w:r w:rsidRPr="00A33145">
              <w:rPr>
                <w:rFonts w:ascii="Times" w:hAnsi="Times"/>
              </w:rPr>
              <w:t>1</w:t>
            </w:r>
          </w:p>
        </w:tc>
        <w:tc>
          <w:tcPr>
            <w:tcW w:w="8788" w:type="dxa"/>
          </w:tcPr>
          <w:p w14:paraId="7CAC0C42" w14:textId="77777777" w:rsidR="007672DE" w:rsidRPr="00A33145" w:rsidRDefault="007672DE" w:rsidP="007672DE">
            <w:pPr>
              <w:pStyle w:val="ListParagraph"/>
              <w:numPr>
                <w:ilvl w:val="0"/>
                <w:numId w:val="36"/>
              </w:numPr>
              <w:spacing w:before="40" w:after="40"/>
              <w:ind w:left="321" w:hanging="284"/>
              <w:contextualSpacing w:val="0"/>
              <w:rPr>
                <w:rFonts w:ascii="Times" w:hAnsi="Times"/>
              </w:rPr>
            </w:pPr>
            <w:r w:rsidRPr="00A33145">
              <w:rPr>
                <w:rFonts w:ascii="Times" w:hAnsi="Times"/>
              </w:rPr>
              <w:t xml:space="preserve">‘Profit for the year’ is calculated </w:t>
            </w:r>
            <w:r w:rsidRPr="00A33145">
              <w:rPr>
                <w:rFonts w:ascii="Times" w:hAnsi="Times"/>
                <w:i/>
              </w:rPr>
              <w:t>less any preference dividend</w:t>
            </w:r>
            <w:r w:rsidRPr="00A33145">
              <w:rPr>
                <w:rFonts w:ascii="Times" w:hAnsi="Times"/>
              </w:rPr>
              <w:t>.</w:t>
            </w:r>
          </w:p>
          <w:p w14:paraId="6F5F487E" w14:textId="77777777" w:rsidR="007672DE" w:rsidRPr="00A33145" w:rsidRDefault="007672DE" w:rsidP="007672DE">
            <w:pPr>
              <w:pStyle w:val="ListParagraph"/>
              <w:numPr>
                <w:ilvl w:val="0"/>
                <w:numId w:val="36"/>
              </w:numPr>
              <w:spacing w:before="40" w:after="40"/>
              <w:ind w:left="321" w:hanging="284"/>
              <w:contextualSpacing w:val="0"/>
              <w:rPr>
                <w:rFonts w:ascii="Times" w:hAnsi="Times"/>
              </w:rPr>
            </w:pPr>
            <w:r w:rsidRPr="00A33145">
              <w:rPr>
                <w:rFonts w:ascii="Times" w:hAnsi="Times"/>
                <w:bCs/>
                <w:color w:val="000000" w:themeColor="text1"/>
              </w:rPr>
              <w:t xml:space="preserve">‘Year Average of Total Shareholder Equity’ is </w:t>
            </w:r>
            <w:r w:rsidRPr="00A33145">
              <w:rPr>
                <w:rFonts w:ascii="Times" w:hAnsi="Times"/>
              </w:rPr>
              <w:t xml:space="preserve">calculated as: </w:t>
            </w:r>
            <w:r w:rsidRPr="00A33145">
              <w:rPr>
                <w:rFonts w:ascii="Times" w:hAnsi="Times"/>
                <w:i/>
              </w:rPr>
              <w:t>(Ordinary Share Capital + Reserves) / 2</w:t>
            </w:r>
            <w:r w:rsidRPr="00A33145">
              <w:rPr>
                <w:rFonts w:ascii="Times" w:hAnsi="Times"/>
              </w:rPr>
              <w:t xml:space="preserve">. This is in line with the suggestion of </w:t>
            </w:r>
            <w:proofErr w:type="spellStart"/>
            <w:r w:rsidRPr="00A33145">
              <w:rPr>
                <w:rFonts w:ascii="Times" w:hAnsi="Times"/>
              </w:rPr>
              <w:t>Atrill</w:t>
            </w:r>
            <w:proofErr w:type="spellEnd"/>
            <w:r w:rsidRPr="00A33145">
              <w:rPr>
                <w:rFonts w:ascii="Times" w:hAnsi="Times"/>
              </w:rPr>
              <w:t xml:space="preserve"> and </w:t>
            </w:r>
            <w:proofErr w:type="spellStart"/>
            <w:r w:rsidRPr="00A33145">
              <w:rPr>
                <w:rFonts w:ascii="Times" w:hAnsi="Times"/>
              </w:rPr>
              <w:t>McLaney</w:t>
            </w:r>
            <w:proofErr w:type="spellEnd"/>
            <w:r w:rsidRPr="00A33145">
              <w:rPr>
                <w:rFonts w:ascii="Times" w:hAnsi="Times"/>
              </w:rPr>
              <w:t xml:space="preserve"> (2013, p. 186), who note that the </w:t>
            </w:r>
            <w:r w:rsidRPr="00A33145">
              <w:rPr>
                <w:rFonts w:ascii="Times" w:hAnsi="Times"/>
                <w:i/>
              </w:rPr>
              <w:t xml:space="preserve">average </w:t>
            </w:r>
            <w:r w:rsidRPr="00A33145">
              <w:rPr>
                <w:rFonts w:ascii="Times" w:hAnsi="Times"/>
              </w:rPr>
              <w:t>of the figures for ordinary shareholders’ funds as they were at the beginning and end of each year, respectively, should be used, because it is a figure that is more representative.</w:t>
            </w:r>
          </w:p>
          <w:p w14:paraId="356D082E" w14:textId="77777777" w:rsidR="007672DE" w:rsidRPr="00A33145" w:rsidRDefault="007672DE" w:rsidP="007672DE">
            <w:pPr>
              <w:pStyle w:val="ListParagraph"/>
              <w:numPr>
                <w:ilvl w:val="0"/>
                <w:numId w:val="36"/>
              </w:numPr>
              <w:spacing w:before="40" w:after="40"/>
              <w:ind w:left="321" w:hanging="284"/>
              <w:contextualSpacing w:val="0"/>
              <w:rPr>
                <w:rFonts w:ascii="Times" w:hAnsi="Times"/>
              </w:rPr>
            </w:pPr>
            <w:r w:rsidRPr="00A33145">
              <w:rPr>
                <w:rFonts w:ascii="Times" w:hAnsi="Times"/>
              </w:rPr>
              <w:t>‘</w:t>
            </w:r>
            <w:r w:rsidRPr="00A33145">
              <w:rPr>
                <w:rFonts w:ascii="Times" w:hAnsi="Times"/>
                <w:lang w:val="en-CA"/>
              </w:rPr>
              <w:t xml:space="preserve">Ordinary Share Capital’ includes: Share Capital and Share Premium, as per </w:t>
            </w:r>
            <w:r>
              <w:rPr>
                <w:rFonts w:ascii="Times" w:hAnsi="Times"/>
                <w:lang w:val="en-CA"/>
              </w:rPr>
              <w:t xml:space="preserve">EasyJet’s Balance Sheet in </w:t>
            </w:r>
            <w:r w:rsidRPr="00A33145">
              <w:rPr>
                <w:rFonts w:ascii="Times" w:hAnsi="Times"/>
                <w:lang w:val="en-CA"/>
              </w:rPr>
              <w:t xml:space="preserve">Appendix </w:t>
            </w:r>
            <w:r>
              <w:rPr>
                <w:rFonts w:ascii="Times" w:hAnsi="Times"/>
                <w:lang w:val="en-CA"/>
              </w:rPr>
              <w:t>IV</w:t>
            </w:r>
            <w:r w:rsidRPr="00A33145">
              <w:rPr>
                <w:rFonts w:ascii="Times" w:hAnsi="Times"/>
                <w:lang w:val="en-CA"/>
              </w:rPr>
              <w:t>.</w:t>
            </w:r>
          </w:p>
        </w:tc>
      </w:tr>
      <w:tr w:rsidR="007672DE" w:rsidRPr="00A33145" w14:paraId="2DD52926" w14:textId="77777777" w:rsidTr="00B837D6">
        <w:trPr>
          <w:trHeight w:val="256"/>
        </w:trPr>
        <w:tc>
          <w:tcPr>
            <w:tcW w:w="562" w:type="dxa"/>
            <w:vAlign w:val="center"/>
          </w:tcPr>
          <w:p w14:paraId="45BDE6A8" w14:textId="77777777" w:rsidR="007672DE" w:rsidRPr="00A33145" w:rsidRDefault="007672DE" w:rsidP="007672DE">
            <w:pPr>
              <w:spacing w:before="40" w:after="40"/>
              <w:jc w:val="center"/>
              <w:rPr>
                <w:rFonts w:ascii="Times" w:hAnsi="Times"/>
              </w:rPr>
            </w:pPr>
            <w:r w:rsidRPr="00A33145">
              <w:rPr>
                <w:rFonts w:ascii="Times" w:hAnsi="Times"/>
              </w:rPr>
              <w:t>2</w:t>
            </w:r>
          </w:p>
        </w:tc>
        <w:tc>
          <w:tcPr>
            <w:tcW w:w="8788" w:type="dxa"/>
          </w:tcPr>
          <w:p w14:paraId="2146A282" w14:textId="77777777" w:rsidR="007672DE" w:rsidRPr="00A33145" w:rsidRDefault="007672DE" w:rsidP="007672DE">
            <w:pPr>
              <w:pStyle w:val="ListParagraph"/>
              <w:numPr>
                <w:ilvl w:val="0"/>
                <w:numId w:val="36"/>
              </w:numPr>
              <w:spacing w:before="40" w:after="40"/>
              <w:ind w:left="321" w:hanging="284"/>
              <w:rPr>
                <w:rFonts w:ascii="Times" w:hAnsi="Times"/>
              </w:rPr>
            </w:pPr>
            <w:r w:rsidRPr="00A33145">
              <w:rPr>
                <w:rFonts w:ascii="Times" w:hAnsi="Times"/>
                <w:bCs/>
                <w:color w:val="000000" w:themeColor="text1"/>
              </w:rPr>
              <w:t xml:space="preserve">‘Year Average of Total Shareholder Equity’ is </w:t>
            </w:r>
            <w:r w:rsidRPr="00A33145">
              <w:rPr>
                <w:rFonts w:ascii="Times" w:hAnsi="Times"/>
              </w:rPr>
              <w:t xml:space="preserve">calculated as: </w:t>
            </w:r>
            <w:r w:rsidRPr="00A33145">
              <w:rPr>
                <w:rFonts w:ascii="Times" w:hAnsi="Times"/>
                <w:i/>
              </w:rPr>
              <w:t>(Ordinary Share Capital + Reserves) / 2</w:t>
            </w:r>
            <w:r w:rsidRPr="00A33145">
              <w:rPr>
                <w:rFonts w:ascii="Times" w:hAnsi="Times"/>
              </w:rPr>
              <w:t xml:space="preserve">. Again, this calculation is in line with the recommendation of </w:t>
            </w:r>
            <w:proofErr w:type="spellStart"/>
            <w:r w:rsidRPr="00A33145">
              <w:rPr>
                <w:rFonts w:ascii="Times" w:hAnsi="Times"/>
              </w:rPr>
              <w:t>Atrill</w:t>
            </w:r>
            <w:proofErr w:type="spellEnd"/>
            <w:r w:rsidRPr="00A33145">
              <w:rPr>
                <w:rFonts w:ascii="Times" w:hAnsi="Times"/>
              </w:rPr>
              <w:t xml:space="preserve"> and </w:t>
            </w:r>
            <w:proofErr w:type="spellStart"/>
            <w:r w:rsidRPr="00A33145">
              <w:rPr>
                <w:rFonts w:ascii="Times" w:hAnsi="Times"/>
              </w:rPr>
              <w:t>McLaney</w:t>
            </w:r>
            <w:proofErr w:type="spellEnd"/>
            <w:r w:rsidRPr="00A33145">
              <w:rPr>
                <w:rFonts w:ascii="Times" w:hAnsi="Times"/>
              </w:rPr>
              <w:t xml:space="preserve"> (2013, p. 187), as the </w:t>
            </w:r>
            <w:r w:rsidRPr="00A33145">
              <w:rPr>
                <w:rFonts w:ascii="Times" w:hAnsi="Times"/>
                <w:i/>
              </w:rPr>
              <w:t xml:space="preserve">average </w:t>
            </w:r>
            <w:r w:rsidRPr="00A33145">
              <w:rPr>
                <w:rFonts w:ascii="Times" w:hAnsi="Times"/>
              </w:rPr>
              <w:t>figure for capital employed was used in order to be more representative.</w:t>
            </w:r>
          </w:p>
        </w:tc>
      </w:tr>
      <w:tr w:rsidR="007672DE" w:rsidRPr="00A33145" w14:paraId="5A92AEEA" w14:textId="77777777" w:rsidTr="00B837D6">
        <w:trPr>
          <w:trHeight w:val="256"/>
        </w:trPr>
        <w:tc>
          <w:tcPr>
            <w:tcW w:w="562" w:type="dxa"/>
            <w:vAlign w:val="center"/>
          </w:tcPr>
          <w:p w14:paraId="65985B10" w14:textId="77777777" w:rsidR="007672DE" w:rsidRPr="00A33145" w:rsidRDefault="007672DE" w:rsidP="007672DE">
            <w:pPr>
              <w:spacing w:before="40" w:after="40"/>
              <w:jc w:val="center"/>
              <w:rPr>
                <w:rFonts w:ascii="Times" w:hAnsi="Times"/>
              </w:rPr>
            </w:pPr>
            <w:r w:rsidRPr="00A33145">
              <w:rPr>
                <w:rFonts w:ascii="Times" w:hAnsi="Times"/>
              </w:rPr>
              <w:t>3</w:t>
            </w:r>
          </w:p>
        </w:tc>
        <w:tc>
          <w:tcPr>
            <w:tcW w:w="8788" w:type="dxa"/>
          </w:tcPr>
          <w:p w14:paraId="20EA60DC" w14:textId="77777777" w:rsidR="007672DE" w:rsidRPr="00A33145" w:rsidRDefault="007672DE" w:rsidP="007672DE">
            <w:pPr>
              <w:pStyle w:val="ListParagraph"/>
              <w:numPr>
                <w:ilvl w:val="0"/>
                <w:numId w:val="36"/>
              </w:numPr>
              <w:spacing w:before="40" w:after="40"/>
              <w:ind w:left="321" w:hanging="284"/>
              <w:rPr>
                <w:rFonts w:ascii="Times" w:hAnsi="Times"/>
              </w:rPr>
            </w:pPr>
            <w:r w:rsidRPr="00A33145">
              <w:rPr>
                <w:rFonts w:ascii="Times" w:hAnsi="Times"/>
              </w:rPr>
              <w:t xml:space="preserve">‘Cost of goods sold’ could have also been used, but </w:t>
            </w:r>
            <w:r>
              <w:rPr>
                <w:rFonts w:ascii="Times" w:hAnsi="Times"/>
              </w:rPr>
              <w:t>EasyJet</w:t>
            </w:r>
            <w:r w:rsidRPr="00A33145">
              <w:rPr>
                <w:rFonts w:ascii="Times" w:hAnsi="Times"/>
              </w:rPr>
              <w:t xml:space="preserve"> provided their total Revenue.</w:t>
            </w:r>
          </w:p>
        </w:tc>
      </w:tr>
      <w:tr w:rsidR="007672DE" w:rsidRPr="00A33145" w14:paraId="605024B4" w14:textId="77777777" w:rsidTr="00B837D6">
        <w:trPr>
          <w:trHeight w:val="256"/>
        </w:trPr>
        <w:tc>
          <w:tcPr>
            <w:tcW w:w="562" w:type="dxa"/>
            <w:vAlign w:val="center"/>
          </w:tcPr>
          <w:p w14:paraId="484D1C6D" w14:textId="77777777" w:rsidR="007672DE" w:rsidRPr="00A33145" w:rsidRDefault="007672DE" w:rsidP="007672DE">
            <w:pPr>
              <w:spacing w:before="40" w:after="40"/>
              <w:jc w:val="center"/>
              <w:rPr>
                <w:rFonts w:ascii="Times" w:hAnsi="Times"/>
              </w:rPr>
            </w:pPr>
            <w:r w:rsidRPr="00A33145">
              <w:rPr>
                <w:rFonts w:ascii="Times" w:hAnsi="Times"/>
              </w:rPr>
              <w:t>4</w:t>
            </w:r>
          </w:p>
        </w:tc>
        <w:tc>
          <w:tcPr>
            <w:tcW w:w="8788" w:type="dxa"/>
          </w:tcPr>
          <w:p w14:paraId="51485E22" w14:textId="77777777" w:rsidR="007672DE" w:rsidRPr="00A33145" w:rsidRDefault="007672DE" w:rsidP="007672DE">
            <w:pPr>
              <w:pStyle w:val="ListParagraph"/>
              <w:numPr>
                <w:ilvl w:val="0"/>
                <w:numId w:val="36"/>
              </w:numPr>
              <w:spacing w:before="40" w:after="40"/>
              <w:ind w:left="321" w:hanging="284"/>
              <w:rPr>
                <w:rFonts w:ascii="Times" w:hAnsi="Times"/>
              </w:rPr>
            </w:pPr>
            <w:r w:rsidRPr="00A33145">
              <w:rPr>
                <w:rFonts w:ascii="Times" w:hAnsi="Times"/>
              </w:rPr>
              <w:t xml:space="preserve">‘Cost of Sales’ is represented as ‘Total EBITDA’ as per </w:t>
            </w:r>
            <w:r>
              <w:rPr>
                <w:rFonts w:ascii="Times" w:hAnsi="Times"/>
              </w:rPr>
              <w:t xml:space="preserve">EasyJet’s Income Statement in </w:t>
            </w:r>
            <w:r w:rsidRPr="00A33145">
              <w:rPr>
                <w:rFonts w:ascii="Times" w:hAnsi="Times"/>
              </w:rPr>
              <w:t>Appendix II</w:t>
            </w:r>
            <w:r>
              <w:rPr>
                <w:rFonts w:ascii="Times" w:hAnsi="Times"/>
              </w:rPr>
              <w:t>I</w:t>
            </w:r>
            <w:r w:rsidRPr="00A33145">
              <w:rPr>
                <w:rFonts w:ascii="Times" w:hAnsi="Times"/>
              </w:rPr>
              <w:t>.</w:t>
            </w:r>
          </w:p>
        </w:tc>
      </w:tr>
      <w:tr w:rsidR="007672DE" w:rsidRPr="00A33145" w14:paraId="2DCF4E6C" w14:textId="77777777" w:rsidTr="00B837D6">
        <w:trPr>
          <w:trHeight w:val="256"/>
        </w:trPr>
        <w:tc>
          <w:tcPr>
            <w:tcW w:w="562" w:type="dxa"/>
            <w:vAlign w:val="center"/>
          </w:tcPr>
          <w:p w14:paraId="7D9CEBDF" w14:textId="77777777" w:rsidR="007672DE" w:rsidRPr="002B0A13" w:rsidRDefault="007672DE" w:rsidP="007672DE">
            <w:pPr>
              <w:spacing w:before="40" w:after="40"/>
              <w:jc w:val="center"/>
              <w:rPr>
                <w:rFonts w:ascii="Times" w:hAnsi="Times"/>
              </w:rPr>
            </w:pPr>
            <w:r w:rsidRPr="002B0A13">
              <w:rPr>
                <w:rFonts w:ascii="Times" w:hAnsi="Times"/>
              </w:rPr>
              <w:t>5</w:t>
            </w:r>
          </w:p>
        </w:tc>
        <w:tc>
          <w:tcPr>
            <w:tcW w:w="8788" w:type="dxa"/>
          </w:tcPr>
          <w:p w14:paraId="0811CC17" w14:textId="77777777" w:rsidR="007672DE" w:rsidRPr="002B0A13" w:rsidRDefault="007672DE" w:rsidP="007672DE">
            <w:pPr>
              <w:pStyle w:val="ListParagraph"/>
              <w:numPr>
                <w:ilvl w:val="0"/>
                <w:numId w:val="36"/>
              </w:numPr>
              <w:spacing w:before="40" w:after="40"/>
              <w:ind w:left="321" w:hanging="284"/>
              <w:rPr>
                <w:rFonts w:ascii="Times" w:hAnsi="Times"/>
              </w:rPr>
            </w:pPr>
            <w:r w:rsidRPr="002B0A13">
              <w:rPr>
                <w:rFonts w:ascii="Times" w:hAnsi="Times"/>
              </w:rPr>
              <w:t xml:space="preserve">‘Credit Sales Revenue’ is represented as ‘Trade Receivables’ as per </w:t>
            </w:r>
            <w:r>
              <w:rPr>
                <w:rFonts w:ascii="Times" w:hAnsi="Times"/>
              </w:rPr>
              <w:t>EasyJet</w:t>
            </w:r>
            <w:r w:rsidRPr="002B0A13">
              <w:rPr>
                <w:rFonts w:ascii="Times" w:hAnsi="Times"/>
              </w:rPr>
              <w:t>’s Annual Reports for 2014, 2015, 2016, 2017 and 2018.</w:t>
            </w:r>
          </w:p>
        </w:tc>
      </w:tr>
      <w:tr w:rsidR="007672DE" w:rsidRPr="00A33145" w14:paraId="0F4B8ED4" w14:textId="77777777" w:rsidTr="00B837D6">
        <w:trPr>
          <w:trHeight w:val="256"/>
        </w:trPr>
        <w:tc>
          <w:tcPr>
            <w:tcW w:w="562" w:type="dxa"/>
            <w:vAlign w:val="center"/>
          </w:tcPr>
          <w:p w14:paraId="05004454" w14:textId="77777777" w:rsidR="007672DE" w:rsidRPr="00A33145" w:rsidRDefault="007672DE" w:rsidP="007672DE">
            <w:pPr>
              <w:spacing w:before="40" w:after="40"/>
              <w:jc w:val="center"/>
              <w:rPr>
                <w:rFonts w:ascii="Times" w:hAnsi="Times"/>
              </w:rPr>
            </w:pPr>
            <w:r w:rsidRPr="00A33145">
              <w:rPr>
                <w:rFonts w:ascii="Times" w:hAnsi="Times"/>
              </w:rPr>
              <w:t>6</w:t>
            </w:r>
          </w:p>
        </w:tc>
        <w:tc>
          <w:tcPr>
            <w:tcW w:w="8788" w:type="dxa"/>
          </w:tcPr>
          <w:p w14:paraId="7649FBBE" w14:textId="77777777" w:rsidR="007672DE" w:rsidRPr="00A33145" w:rsidRDefault="007672DE" w:rsidP="007672DE">
            <w:pPr>
              <w:pStyle w:val="ListParagraph"/>
              <w:numPr>
                <w:ilvl w:val="0"/>
                <w:numId w:val="36"/>
              </w:numPr>
              <w:spacing w:before="40" w:after="40"/>
              <w:ind w:left="321" w:hanging="284"/>
              <w:rPr>
                <w:rFonts w:ascii="Times" w:hAnsi="Times"/>
              </w:rPr>
            </w:pPr>
            <w:r w:rsidRPr="00A33145">
              <w:rPr>
                <w:rFonts w:ascii="Times" w:hAnsi="Times"/>
              </w:rPr>
              <w:t xml:space="preserve">‘Credit Purchases’ are represented as the sum of ‘Purchase of Property, Plant and Equipment’ and ‘Purchase of Intangible Assets’, as per </w:t>
            </w:r>
            <w:r>
              <w:rPr>
                <w:rFonts w:ascii="Times" w:hAnsi="Times"/>
              </w:rPr>
              <w:t xml:space="preserve">EasyJet’s Balance Sheet in </w:t>
            </w:r>
            <w:r w:rsidRPr="00A33145">
              <w:rPr>
                <w:rFonts w:ascii="Times" w:hAnsi="Times"/>
              </w:rPr>
              <w:t>Appendix I</w:t>
            </w:r>
            <w:r>
              <w:rPr>
                <w:rFonts w:ascii="Times" w:hAnsi="Times"/>
              </w:rPr>
              <w:t>V</w:t>
            </w:r>
            <w:r w:rsidRPr="00A33145">
              <w:rPr>
                <w:rFonts w:ascii="Times" w:hAnsi="Times"/>
              </w:rPr>
              <w:t>.</w:t>
            </w:r>
          </w:p>
        </w:tc>
      </w:tr>
      <w:tr w:rsidR="007672DE" w:rsidRPr="00A33145" w14:paraId="5B0AC9F5" w14:textId="77777777" w:rsidTr="00B837D6">
        <w:trPr>
          <w:trHeight w:val="256"/>
        </w:trPr>
        <w:tc>
          <w:tcPr>
            <w:tcW w:w="562" w:type="dxa"/>
            <w:vAlign w:val="center"/>
          </w:tcPr>
          <w:p w14:paraId="60B31695" w14:textId="77777777" w:rsidR="007672DE" w:rsidRPr="00A33145" w:rsidRDefault="007672DE" w:rsidP="007672DE">
            <w:pPr>
              <w:spacing w:before="40" w:after="40"/>
              <w:jc w:val="center"/>
              <w:rPr>
                <w:rFonts w:ascii="Times" w:hAnsi="Times"/>
              </w:rPr>
            </w:pPr>
            <w:r>
              <w:rPr>
                <w:rFonts w:ascii="Times" w:hAnsi="Times"/>
              </w:rPr>
              <w:t>7</w:t>
            </w:r>
          </w:p>
        </w:tc>
        <w:tc>
          <w:tcPr>
            <w:tcW w:w="8788" w:type="dxa"/>
          </w:tcPr>
          <w:p w14:paraId="51763B7A" w14:textId="77777777" w:rsidR="007672DE" w:rsidRDefault="007672DE" w:rsidP="007672DE">
            <w:pPr>
              <w:pStyle w:val="ListParagraph"/>
              <w:numPr>
                <w:ilvl w:val="0"/>
                <w:numId w:val="36"/>
              </w:numPr>
              <w:spacing w:before="40" w:after="40"/>
              <w:ind w:left="321" w:hanging="284"/>
              <w:rPr>
                <w:rFonts w:ascii="Times" w:hAnsi="Times"/>
              </w:rPr>
            </w:pPr>
            <w:r>
              <w:rPr>
                <w:rFonts w:ascii="Times" w:hAnsi="Times"/>
              </w:rPr>
              <w:t>‘Ordinary Share Capital’ is represented as the sum of ‘Share Capital’ and ‘Share Premium’ as per EasyJet’s Balance Sheet in Appendix IV.</w:t>
            </w:r>
          </w:p>
          <w:p w14:paraId="3FD49FFF" w14:textId="77777777" w:rsidR="007672DE" w:rsidRPr="00A33145" w:rsidRDefault="007672DE" w:rsidP="007672DE">
            <w:pPr>
              <w:pStyle w:val="ListParagraph"/>
              <w:numPr>
                <w:ilvl w:val="0"/>
                <w:numId w:val="36"/>
              </w:numPr>
              <w:spacing w:before="40" w:after="40"/>
              <w:ind w:left="321" w:hanging="284"/>
              <w:rPr>
                <w:rFonts w:ascii="Times" w:hAnsi="Times"/>
              </w:rPr>
            </w:pPr>
            <w:r>
              <w:rPr>
                <w:rFonts w:ascii="Times" w:hAnsi="Times"/>
              </w:rPr>
              <w:t>‘Reserves’ is represented as the sums of ‘Hedging Reserve’, ‘Hedging Reserve’ and ‘Retained Earnings’ as per EasyJet’s Balance Sheet in Appendix IV.</w:t>
            </w:r>
          </w:p>
        </w:tc>
      </w:tr>
      <w:tr w:rsidR="007672DE" w:rsidRPr="00A33145" w14:paraId="079CB3D5" w14:textId="77777777" w:rsidTr="00B837D6">
        <w:trPr>
          <w:trHeight w:val="256"/>
        </w:trPr>
        <w:tc>
          <w:tcPr>
            <w:tcW w:w="562" w:type="dxa"/>
            <w:vAlign w:val="center"/>
          </w:tcPr>
          <w:p w14:paraId="47F2B16B" w14:textId="77777777" w:rsidR="007672DE" w:rsidRDefault="007672DE" w:rsidP="007672DE">
            <w:pPr>
              <w:spacing w:before="40" w:after="40"/>
              <w:jc w:val="center"/>
              <w:rPr>
                <w:rFonts w:ascii="Times" w:hAnsi="Times"/>
              </w:rPr>
            </w:pPr>
            <w:r>
              <w:rPr>
                <w:rFonts w:ascii="Times" w:hAnsi="Times"/>
              </w:rPr>
              <w:t>8</w:t>
            </w:r>
          </w:p>
        </w:tc>
        <w:tc>
          <w:tcPr>
            <w:tcW w:w="8788" w:type="dxa"/>
          </w:tcPr>
          <w:p w14:paraId="448D218C" w14:textId="77777777" w:rsidR="007672DE" w:rsidRDefault="007672DE" w:rsidP="007672DE">
            <w:pPr>
              <w:pStyle w:val="ListParagraph"/>
              <w:numPr>
                <w:ilvl w:val="0"/>
                <w:numId w:val="36"/>
              </w:numPr>
              <w:spacing w:before="40" w:after="40"/>
              <w:ind w:left="321" w:hanging="284"/>
              <w:rPr>
                <w:rFonts w:ascii="Times" w:hAnsi="Times"/>
              </w:rPr>
            </w:pPr>
            <w:r>
              <w:rPr>
                <w:rFonts w:ascii="Times" w:hAnsi="Times"/>
              </w:rPr>
              <w:t>Number of Employees per year:</w:t>
            </w:r>
          </w:p>
          <w:p w14:paraId="754CE33B" w14:textId="77777777" w:rsidR="007672DE" w:rsidRDefault="007672DE" w:rsidP="007672DE">
            <w:pPr>
              <w:pStyle w:val="ListParagraph"/>
              <w:numPr>
                <w:ilvl w:val="1"/>
                <w:numId w:val="36"/>
              </w:numPr>
              <w:spacing w:before="40" w:after="40"/>
              <w:ind w:left="746" w:hanging="284"/>
              <w:rPr>
                <w:rFonts w:ascii="Times" w:hAnsi="Times"/>
              </w:rPr>
            </w:pPr>
            <w:r>
              <w:rPr>
                <w:rFonts w:ascii="Times" w:hAnsi="Times"/>
              </w:rPr>
              <w:t>2014:</w:t>
            </w:r>
            <w:r>
              <w:rPr>
                <w:rFonts w:ascii="Times" w:hAnsi="Times"/>
              </w:rPr>
              <w:tab/>
              <w:t>9,649 (EasyJet 2014, p. 38)</w:t>
            </w:r>
          </w:p>
          <w:p w14:paraId="21B63370" w14:textId="77777777" w:rsidR="007672DE" w:rsidRDefault="007672DE" w:rsidP="007672DE">
            <w:pPr>
              <w:pStyle w:val="ListParagraph"/>
              <w:numPr>
                <w:ilvl w:val="1"/>
                <w:numId w:val="36"/>
              </w:numPr>
              <w:spacing w:before="40" w:after="40"/>
              <w:ind w:left="746" w:hanging="284"/>
              <w:rPr>
                <w:rFonts w:ascii="Times" w:hAnsi="Times"/>
              </w:rPr>
            </w:pPr>
            <w:r>
              <w:rPr>
                <w:rFonts w:ascii="Times" w:hAnsi="Times"/>
              </w:rPr>
              <w:t>2015:</w:t>
            </w:r>
            <w:r>
              <w:rPr>
                <w:rFonts w:ascii="Times" w:hAnsi="Times"/>
              </w:rPr>
              <w:tab/>
              <w:t>10,104 (EasyJet 2016, p. 37</w:t>
            </w:r>
          </w:p>
          <w:p w14:paraId="65E023D4" w14:textId="77777777" w:rsidR="007672DE" w:rsidRDefault="007672DE" w:rsidP="007672DE">
            <w:pPr>
              <w:pStyle w:val="ListParagraph"/>
              <w:numPr>
                <w:ilvl w:val="1"/>
                <w:numId w:val="36"/>
              </w:numPr>
              <w:spacing w:before="40" w:after="40"/>
              <w:ind w:left="746" w:hanging="284"/>
              <w:rPr>
                <w:rFonts w:ascii="Times" w:hAnsi="Times"/>
              </w:rPr>
            </w:pPr>
            <w:r>
              <w:rPr>
                <w:rFonts w:ascii="Times" w:hAnsi="Times"/>
              </w:rPr>
              <w:t xml:space="preserve">2016: </w:t>
            </w:r>
            <w:r>
              <w:rPr>
                <w:rFonts w:ascii="Times" w:hAnsi="Times"/>
              </w:rPr>
              <w:tab/>
              <w:t>10,774 (EasyJet 2016, p. 37)</w:t>
            </w:r>
          </w:p>
          <w:p w14:paraId="62CB7B8B" w14:textId="77777777" w:rsidR="007672DE" w:rsidRDefault="007672DE" w:rsidP="007672DE">
            <w:pPr>
              <w:pStyle w:val="ListParagraph"/>
              <w:numPr>
                <w:ilvl w:val="1"/>
                <w:numId w:val="36"/>
              </w:numPr>
              <w:spacing w:before="40" w:after="40"/>
              <w:ind w:left="746" w:hanging="284"/>
              <w:rPr>
                <w:rFonts w:ascii="Times" w:hAnsi="Times"/>
              </w:rPr>
            </w:pPr>
            <w:r>
              <w:rPr>
                <w:rFonts w:ascii="Times" w:hAnsi="Times"/>
              </w:rPr>
              <w:t>2017:</w:t>
            </w:r>
            <w:r>
              <w:rPr>
                <w:rFonts w:ascii="Times" w:hAnsi="Times"/>
              </w:rPr>
              <w:tab/>
              <w:t>12,181 (EasyJet 2018, p. 18)</w:t>
            </w:r>
          </w:p>
          <w:p w14:paraId="334F632E" w14:textId="77777777" w:rsidR="007672DE" w:rsidRDefault="007672DE" w:rsidP="007672DE">
            <w:pPr>
              <w:pStyle w:val="ListParagraph"/>
              <w:numPr>
                <w:ilvl w:val="1"/>
                <w:numId w:val="36"/>
              </w:numPr>
              <w:spacing w:before="40" w:after="40"/>
              <w:ind w:left="746" w:hanging="284"/>
              <w:rPr>
                <w:rFonts w:ascii="Times" w:hAnsi="Times"/>
              </w:rPr>
            </w:pPr>
            <w:r>
              <w:rPr>
                <w:rFonts w:ascii="Times" w:hAnsi="Times"/>
              </w:rPr>
              <w:t>2018:</w:t>
            </w:r>
            <w:r>
              <w:rPr>
                <w:rFonts w:ascii="Times" w:hAnsi="Times"/>
              </w:rPr>
              <w:tab/>
              <w:t>14,605 (EasyJet 2018, p. 18)</w:t>
            </w:r>
          </w:p>
        </w:tc>
      </w:tr>
      <w:tr w:rsidR="007672DE" w:rsidRPr="00A33145" w14:paraId="5D6EBAB0" w14:textId="77777777" w:rsidTr="00B837D6">
        <w:trPr>
          <w:trHeight w:val="256"/>
        </w:trPr>
        <w:tc>
          <w:tcPr>
            <w:tcW w:w="562" w:type="dxa"/>
            <w:vAlign w:val="center"/>
          </w:tcPr>
          <w:p w14:paraId="21AB96DF" w14:textId="77777777" w:rsidR="007672DE" w:rsidRPr="00A33145" w:rsidRDefault="007672DE" w:rsidP="007672DE">
            <w:pPr>
              <w:spacing w:before="40" w:after="40"/>
              <w:jc w:val="center"/>
              <w:rPr>
                <w:rFonts w:ascii="Times" w:hAnsi="Times"/>
              </w:rPr>
            </w:pPr>
            <w:r>
              <w:rPr>
                <w:rFonts w:ascii="Times" w:hAnsi="Times"/>
              </w:rPr>
              <w:t>9</w:t>
            </w:r>
          </w:p>
        </w:tc>
        <w:tc>
          <w:tcPr>
            <w:tcW w:w="8788" w:type="dxa"/>
          </w:tcPr>
          <w:p w14:paraId="4EC7AE18" w14:textId="77777777" w:rsidR="007672DE" w:rsidRPr="00A33145" w:rsidRDefault="007672DE" w:rsidP="007672DE">
            <w:pPr>
              <w:pStyle w:val="ListParagraph"/>
              <w:numPr>
                <w:ilvl w:val="0"/>
                <w:numId w:val="36"/>
              </w:numPr>
              <w:spacing w:before="40" w:after="40"/>
              <w:ind w:left="321" w:hanging="284"/>
              <w:rPr>
                <w:rFonts w:ascii="Times" w:hAnsi="Times"/>
              </w:rPr>
            </w:pPr>
            <w:r>
              <w:rPr>
                <w:rFonts w:ascii="Times" w:hAnsi="Times"/>
              </w:rPr>
              <w:t>EasyJet has no ‘inventory’ thus ‘Acid Test Ratio’ is the same as the ‘Current Ratio’.</w:t>
            </w:r>
          </w:p>
        </w:tc>
      </w:tr>
      <w:tr w:rsidR="007672DE" w:rsidRPr="00A33145" w14:paraId="72EBEB9C" w14:textId="77777777" w:rsidTr="00B837D6">
        <w:trPr>
          <w:trHeight w:val="256"/>
        </w:trPr>
        <w:tc>
          <w:tcPr>
            <w:tcW w:w="562" w:type="dxa"/>
            <w:vAlign w:val="center"/>
          </w:tcPr>
          <w:p w14:paraId="7BFCE852" w14:textId="77777777" w:rsidR="007672DE" w:rsidRDefault="007672DE" w:rsidP="007672DE">
            <w:pPr>
              <w:spacing w:before="40" w:after="40"/>
              <w:jc w:val="center"/>
              <w:rPr>
                <w:rFonts w:ascii="Times" w:hAnsi="Times"/>
              </w:rPr>
            </w:pPr>
            <w:r>
              <w:rPr>
                <w:rFonts w:ascii="Times" w:hAnsi="Times"/>
              </w:rPr>
              <w:t>10</w:t>
            </w:r>
          </w:p>
        </w:tc>
        <w:tc>
          <w:tcPr>
            <w:tcW w:w="8788" w:type="dxa"/>
          </w:tcPr>
          <w:p w14:paraId="306991B1" w14:textId="77777777" w:rsidR="007672DE" w:rsidRPr="006F0D47" w:rsidRDefault="007672DE" w:rsidP="007672DE">
            <w:pPr>
              <w:pStyle w:val="ListParagraph"/>
              <w:numPr>
                <w:ilvl w:val="0"/>
                <w:numId w:val="36"/>
              </w:numPr>
              <w:spacing w:before="40" w:after="40"/>
              <w:ind w:left="321" w:hanging="284"/>
              <w:rPr>
                <w:rFonts w:ascii="Times" w:hAnsi="Times"/>
                <w:szCs w:val="22"/>
              </w:rPr>
            </w:pPr>
            <w:r w:rsidRPr="006F0D47">
              <w:rPr>
                <w:rFonts w:ascii="Times" w:hAnsi="Times"/>
                <w:szCs w:val="22"/>
              </w:rPr>
              <w:t xml:space="preserve">‘Dividends Announced for the Year’ replaced by ‘Headline Profit After Tax’, as per </w:t>
            </w:r>
            <w:r>
              <w:rPr>
                <w:rFonts w:ascii="Times" w:hAnsi="Times"/>
                <w:szCs w:val="22"/>
              </w:rPr>
              <w:t>EasyJet</w:t>
            </w:r>
            <w:r w:rsidRPr="006F0D47">
              <w:rPr>
                <w:rFonts w:ascii="Times" w:hAnsi="Times"/>
                <w:szCs w:val="22"/>
              </w:rPr>
              <w:t xml:space="preserve">’s Income Statement in Appendix III, and because </w:t>
            </w:r>
            <w:r>
              <w:rPr>
                <w:rFonts w:ascii="Times" w:hAnsi="Times"/>
                <w:szCs w:val="22"/>
              </w:rPr>
              <w:t>EasyJet</w:t>
            </w:r>
            <w:r w:rsidRPr="006F0D47">
              <w:rPr>
                <w:rFonts w:ascii="Times" w:hAnsi="Times"/>
                <w:szCs w:val="22"/>
              </w:rPr>
              <w:t xml:space="preserve">’s dividend policy is to pay shareholders 50% of headline earnings, this variable has been integrated into the calculation.  </w:t>
            </w:r>
          </w:p>
          <w:p w14:paraId="5D070F89" w14:textId="77777777" w:rsidR="007672DE" w:rsidRPr="006F0D47" w:rsidRDefault="007672DE" w:rsidP="007672DE">
            <w:pPr>
              <w:pStyle w:val="ListParagraph"/>
              <w:numPr>
                <w:ilvl w:val="0"/>
                <w:numId w:val="36"/>
              </w:numPr>
              <w:spacing w:before="40" w:after="40"/>
              <w:ind w:left="321" w:hanging="284"/>
              <w:rPr>
                <w:rFonts w:ascii="Times" w:hAnsi="Times"/>
                <w:szCs w:val="22"/>
              </w:rPr>
            </w:pPr>
            <w:r w:rsidRPr="006F0D47">
              <w:rPr>
                <w:rFonts w:ascii="Times" w:hAnsi="Times"/>
                <w:szCs w:val="22"/>
              </w:rPr>
              <w:t xml:space="preserve">‘Earning for the Year Available for Dividends’ replaced by ‘Headline Profit After Tax’, as per </w:t>
            </w:r>
            <w:r>
              <w:rPr>
                <w:rFonts w:ascii="Times" w:hAnsi="Times"/>
                <w:szCs w:val="22"/>
              </w:rPr>
              <w:t>EasyJet</w:t>
            </w:r>
            <w:r w:rsidRPr="006F0D47">
              <w:rPr>
                <w:rFonts w:ascii="Times" w:hAnsi="Times"/>
                <w:szCs w:val="22"/>
              </w:rPr>
              <w:t>’s Income Statement in Appendix III.</w:t>
            </w:r>
          </w:p>
        </w:tc>
      </w:tr>
      <w:tr w:rsidR="007672DE" w:rsidRPr="00A33145" w14:paraId="53FD50C4" w14:textId="77777777" w:rsidTr="00B837D6">
        <w:trPr>
          <w:trHeight w:val="256"/>
        </w:trPr>
        <w:tc>
          <w:tcPr>
            <w:tcW w:w="562" w:type="dxa"/>
            <w:vAlign w:val="center"/>
          </w:tcPr>
          <w:p w14:paraId="5FBAAEA4" w14:textId="77777777" w:rsidR="007672DE" w:rsidRDefault="007672DE" w:rsidP="007672DE">
            <w:pPr>
              <w:spacing w:before="40" w:after="40"/>
              <w:jc w:val="center"/>
              <w:rPr>
                <w:rFonts w:ascii="Times" w:hAnsi="Times"/>
              </w:rPr>
            </w:pPr>
            <w:r>
              <w:rPr>
                <w:rFonts w:ascii="Times" w:hAnsi="Times"/>
              </w:rPr>
              <w:t>11</w:t>
            </w:r>
          </w:p>
        </w:tc>
        <w:tc>
          <w:tcPr>
            <w:tcW w:w="8788" w:type="dxa"/>
          </w:tcPr>
          <w:p w14:paraId="17CAA3DF" w14:textId="77777777" w:rsidR="007672DE" w:rsidRPr="006F0D47" w:rsidRDefault="007672DE" w:rsidP="007672DE">
            <w:pPr>
              <w:pStyle w:val="p1"/>
              <w:numPr>
                <w:ilvl w:val="0"/>
                <w:numId w:val="38"/>
              </w:numPr>
              <w:ind w:left="330" w:hanging="280"/>
              <w:rPr>
                <w:sz w:val="20"/>
                <w:szCs w:val="22"/>
              </w:rPr>
            </w:pPr>
            <w:r w:rsidRPr="006F0D47">
              <w:rPr>
                <w:sz w:val="20"/>
                <w:szCs w:val="22"/>
              </w:rPr>
              <w:t xml:space="preserve">To make this calculation, </w:t>
            </w:r>
            <w:r>
              <w:rPr>
                <w:sz w:val="20"/>
                <w:szCs w:val="22"/>
              </w:rPr>
              <w:t>EasyJet</w:t>
            </w:r>
            <w:r w:rsidRPr="006F0D47">
              <w:rPr>
                <w:sz w:val="20"/>
                <w:szCs w:val="22"/>
              </w:rPr>
              <w:t xml:space="preserve"> divides the ‘Total profit for the year’ by the ‘Weighted average number of ordinary shares used to calculate basic earnings per share.’</w:t>
            </w:r>
          </w:p>
        </w:tc>
      </w:tr>
      <w:tr w:rsidR="007672DE" w:rsidRPr="00A33145" w14:paraId="6728D244" w14:textId="77777777" w:rsidTr="00B837D6">
        <w:trPr>
          <w:trHeight w:val="256"/>
        </w:trPr>
        <w:tc>
          <w:tcPr>
            <w:tcW w:w="562" w:type="dxa"/>
            <w:vAlign w:val="center"/>
          </w:tcPr>
          <w:p w14:paraId="3810563B" w14:textId="77777777" w:rsidR="007672DE" w:rsidRDefault="007672DE" w:rsidP="007672DE">
            <w:pPr>
              <w:spacing w:before="40" w:after="40"/>
              <w:jc w:val="center"/>
              <w:rPr>
                <w:rFonts w:ascii="Times" w:hAnsi="Times"/>
              </w:rPr>
            </w:pPr>
            <w:r>
              <w:rPr>
                <w:rFonts w:ascii="Times" w:hAnsi="Times"/>
              </w:rPr>
              <w:t>12</w:t>
            </w:r>
          </w:p>
        </w:tc>
        <w:tc>
          <w:tcPr>
            <w:tcW w:w="8788" w:type="dxa"/>
          </w:tcPr>
          <w:p w14:paraId="65C8E5E8" w14:textId="77777777" w:rsidR="007672DE" w:rsidRPr="00366DDD" w:rsidRDefault="007672DE" w:rsidP="007672DE">
            <w:pPr>
              <w:pStyle w:val="ListParagraph"/>
              <w:numPr>
                <w:ilvl w:val="0"/>
                <w:numId w:val="36"/>
              </w:numPr>
              <w:spacing w:before="40" w:after="40"/>
              <w:ind w:left="321" w:hanging="284"/>
              <w:rPr>
                <w:rFonts w:ascii="Times" w:hAnsi="Times"/>
                <w:szCs w:val="22"/>
              </w:rPr>
            </w:pPr>
            <w:r>
              <w:rPr>
                <w:rFonts w:ascii="Times" w:hAnsi="Times"/>
                <w:szCs w:val="22"/>
              </w:rPr>
              <w:t>‘</w:t>
            </w:r>
            <w:r w:rsidRPr="00366DDD">
              <w:rPr>
                <w:rFonts w:ascii="Times" w:hAnsi="Times"/>
                <w:szCs w:val="22"/>
              </w:rPr>
              <w:t>Market Value per Share’</w:t>
            </w:r>
            <w:r>
              <w:rPr>
                <w:rFonts w:ascii="Times" w:hAnsi="Times"/>
                <w:szCs w:val="22"/>
              </w:rPr>
              <w:t>]’</w:t>
            </w:r>
            <w:r w:rsidRPr="00366DDD">
              <w:rPr>
                <w:rFonts w:ascii="Times" w:hAnsi="Times"/>
                <w:szCs w:val="22"/>
              </w:rPr>
              <w:t xml:space="preserve"> calculated</w:t>
            </w:r>
            <w:r>
              <w:rPr>
                <w:rFonts w:ascii="Times" w:hAnsi="Times"/>
                <w:szCs w:val="22"/>
              </w:rPr>
              <w:t xml:space="preserve"> by dividing</w:t>
            </w:r>
            <w:r w:rsidRPr="00366DDD">
              <w:rPr>
                <w:rFonts w:ascii="Times" w:hAnsi="Times"/>
                <w:szCs w:val="22"/>
              </w:rPr>
              <w:t xml:space="preserve"> </w:t>
            </w:r>
            <w:r>
              <w:rPr>
                <w:rFonts w:ascii="Times" w:hAnsi="Times"/>
                <w:szCs w:val="22"/>
              </w:rPr>
              <w:t>‘</w:t>
            </w:r>
            <w:r w:rsidRPr="00943CEC">
              <w:rPr>
                <w:rFonts w:ascii="Times" w:hAnsi="Times"/>
                <w:szCs w:val="22"/>
              </w:rPr>
              <w:t>Market value at year end (£ million)</w:t>
            </w:r>
            <w:r>
              <w:rPr>
                <w:rFonts w:ascii="Times" w:hAnsi="Times"/>
                <w:szCs w:val="22"/>
              </w:rPr>
              <w:t>’</w:t>
            </w:r>
            <w:r w:rsidRPr="00943CEC">
              <w:rPr>
                <w:rFonts w:ascii="Times" w:hAnsi="Times"/>
                <w:szCs w:val="22"/>
              </w:rPr>
              <w:t xml:space="preserve"> </w:t>
            </w:r>
            <w:r>
              <w:rPr>
                <w:rFonts w:ascii="Times" w:hAnsi="Times"/>
                <w:szCs w:val="22"/>
              </w:rPr>
              <w:t>by ‘Number of shares (million).’</w:t>
            </w:r>
            <w:r w:rsidRPr="00943CEC">
              <w:rPr>
                <w:rFonts w:ascii="Times" w:hAnsi="Times"/>
                <w:szCs w:val="22"/>
              </w:rPr>
              <w:t xml:space="preserve"> For more information, please see </w:t>
            </w:r>
            <w:r>
              <w:rPr>
                <w:rFonts w:ascii="Times" w:hAnsi="Times"/>
                <w:szCs w:val="22"/>
              </w:rPr>
              <w:t>EasyJet</w:t>
            </w:r>
            <w:r w:rsidRPr="00943CEC">
              <w:rPr>
                <w:rFonts w:ascii="Times" w:hAnsi="Times"/>
                <w:szCs w:val="22"/>
              </w:rPr>
              <w:t xml:space="preserve"> PLC 2014, p. 118; 2015, p. 108; 20</w:t>
            </w:r>
            <w:r>
              <w:rPr>
                <w:rFonts w:ascii="Times" w:hAnsi="Times"/>
                <w:szCs w:val="22"/>
              </w:rPr>
              <w:t>16, p. 104</w:t>
            </w:r>
            <w:r w:rsidRPr="00943CEC">
              <w:rPr>
                <w:rFonts w:ascii="Times" w:hAnsi="Times"/>
                <w:szCs w:val="22"/>
              </w:rPr>
              <w:t>; 2017, p. 115; 2018, p. 139).</w:t>
            </w:r>
          </w:p>
        </w:tc>
      </w:tr>
      <w:tr w:rsidR="007672DE" w:rsidRPr="00A33145" w14:paraId="5D1772D9" w14:textId="77777777" w:rsidTr="00B837D6">
        <w:trPr>
          <w:trHeight w:val="256"/>
        </w:trPr>
        <w:tc>
          <w:tcPr>
            <w:tcW w:w="562" w:type="dxa"/>
            <w:vAlign w:val="center"/>
          </w:tcPr>
          <w:p w14:paraId="24176481" w14:textId="77777777" w:rsidR="007672DE" w:rsidRPr="00A33145" w:rsidRDefault="007672DE" w:rsidP="007672DE">
            <w:pPr>
              <w:spacing w:before="40" w:after="40"/>
              <w:jc w:val="center"/>
              <w:rPr>
                <w:rFonts w:ascii="Times" w:hAnsi="Times"/>
              </w:rPr>
            </w:pPr>
            <w:r>
              <w:rPr>
                <w:rFonts w:ascii="Times" w:hAnsi="Times"/>
              </w:rPr>
              <w:t>13</w:t>
            </w:r>
          </w:p>
        </w:tc>
        <w:tc>
          <w:tcPr>
            <w:tcW w:w="8788" w:type="dxa"/>
          </w:tcPr>
          <w:p w14:paraId="30776E9F" w14:textId="77777777" w:rsidR="007672DE" w:rsidRPr="00C10256" w:rsidRDefault="007672DE" w:rsidP="007672DE">
            <w:pPr>
              <w:pStyle w:val="ListParagraph"/>
              <w:numPr>
                <w:ilvl w:val="0"/>
                <w:numId w:val="36"/>
              </w:numPr>
              <w:spacing w:before="40" w:after="40"/>
              <w:ind w:left="321" w:hanging="284"/>
              <w:rPr>
                <w:rFonts w:ascii="Times" w:hAnsi="Times"/>
              </w:rPr>
            </w:pPr>
            <w:r w:rsidRPr="00C10256">
              <w:rPr>
                <w:rFonts w:ascii="Times" w:hAnsi="Times"/>
              </w:rPr>
              <w:t xml:space="preserve">Calculation based on Long-term </w:t>
            </w:r>
            <w:r w:rsidRPr="00C10256">
              <w:rPr>
                <w:rFonts w:ascii="Times" w:hAnsi="Times"/>
                <w:i/>
              </w:rPr>
              <w:t xml:space="preserve">(non-current) </w:t>
            </w:r>
            <w:r w:rsidRPr="00C10256">
              <w:rPr>
                <w:rFonts w:ascii="Times" w:hAnsi="Times"/>
              </w:rPr>
              <w:t>Liabilities.</w:t>
            </w:r>
          </w:p>
          <w:p w14:paraId="70DBA7B8" w14:textId="77777777" w:rsidR="007672DE" w:rsidRPr="00C10256" w:rsidRDefault="007672DE" w:rsidP="007672DE">
            <w:pPr>
              <w:pStyle w:val="ListParagraph"/>
              <w:numPr>
                <w:ilvl w:val="0"/>
                <w:numId w:val="36"/>
              </w:numPr>
              <w:spacing w:before="40" w:after="40"/>
              <w:ind w:left="321" w:hanging="284"/>
              <w:rPr>
                <w:rFonts w:ascii="Times" w:hAnsi="Times"/>
              </w:rPr>
            </w:pPr>
            <w:r w:rsidRPr="00C10256">
              <w:rPr>
                <w:rFonts w:ascii="Times" w:hAnsi="Times"/>
                <w:bCs/>
                <w:color w:val="000000" w:themeColor="text1"/>
              </w:rPr>
              <w:t xml:space="preserve">‘Year Average of Total Shareholder Equity’ is </w:t>
            </w:r>
            <w:r w:rsidRPr="00C10256">
              <w:rPr>
                <w:rFonts w:ascii="Times" w:hAnsi="Times"/>
              </w:rPr>
              <w:t xml:space="preserve">calculated as: </w:t>
            </w:r>
            <w:r w:rsidRPr="00C10256">
              <w:rPr>
                <w:rFonts w:ascii="Times" w:hAnsi="Times"/>
                <w:i/>
              </w:rPr>
              <w:t>(Ordinary Share Capital + Reserves) / 2</w:t>
            </w:r>
            <w:r w:rsidRPr="00C10256">
              <w:rPr>
                <w:rFonts w:ascii="Times" w:hAnsi="Times"/>
              </w:rPr>
              <w:t xml:space="preserve">. This is in line with the recommendation of </w:t>
            </w:r>
            <w:proofErr w:type="spellStart"/>
            <w:r w:rsidRPr="00C10256">
              <w:rPr>
                <w:rFonts w:ascii="Times" w:hAnsi="Times"/>
              </w:rPr>
              <w:t>Atrill</w:t>
            </w:r>
            <w:proofErr w:type="spellEnd"/>
            <w:r w:rsidRPr="00C10256">
              <w:rPr>
                <w:rFonts w:ascii="Times" w:hAnsi="Times"/>
              </w:rPr>
              <w:t xml:space="preserve"> and </w:t>
            </w:r>
            <w:proofErr w:type="spellStart"/>
            <w:r w:rsidRPr="00C10256">
              <w:rPr>
                <w:rFonts w:ascii="Times" w:hAnsi="Times"/>
              </w:rPr>
              <w:t>McLaney</w:t>
            </w:r>
            <w:proofErr w:type="spellEnd"/>
            <w:r w:rsidRPr="00C10256">
              <w:rPr>
                <w:rFonts w:ascii="Times" w:hAnsi="Times"/>
              </w:rPr>
              <w:t xml:space="preserve"> (2013, p. 186), who, as noted previously, suggest that the </w:t>
            </w:r>
            <w:r w:rsidRPr="00C10256">
              <w:rPr>
                <w:rFonts w:ascii="Times" w:hAnsi="Times"/>
                <w:i/>
              </w:rPr>
              <w:t xml:space="preserve">average </w:t>
            </w:r>
            <w:r w:rsidRPr="00C10256">
              <w:rPr>
                <w:rFonts w:ascii="Times" w:hAnsi="Times"/>
              </w:rPr>
              <w:t xml:space="preserve">of the figures for ordinary shareholders’ funds as they were at the beginning and end of each year, respectively, should be used so as to have </w:t>
            </w:r>
            <w:proofErr w:type="gramStart"/>
            <w:r w:rsidRPr="00C10256">
              <w:rPr>
                <w:rFonts w:ascii="Times" w:hAnsi="Times"/>
              </w:rPr>
              <w:t>a  figure</w:t>
            </w:r>
            <w:proofErr w:type="gramEnd"/>
            <w:r w:rsidRPr="00C10256">
              <w:rPr>
                <w:rFonts w:ascii="Times" w:hAnsi="Times"/>
              </w:rPr>
              <w:t xml:space="preserve"> that is more representative.</w:t>
            </w:r>
          </w:p>
          <w:p w14:paraId="35BE3581" w14:textId="77777777" w:rsidR="007672DE" w:rsidRPr="00C10256" w:rsidRDefault="007672DE" w:rsidP="007672DE">
            <w:pPr>
              <w:pStyle w:val="ListParagraph"/>
              <w:numPr>
                <w:ilvl w:val="0"/>
                <w:numId w:val="36"/>
              </w:numPr>
              <w:spacing w:before="40" w:after="40"/>
              <w:ind w:left="321" w:hanging="284"/>
              <w:rPr>
                <w:rFonts w:ascii="Times" w:hAnsi="Times"/>
              </w:rPr>
            </w:pPr>
            <w:r w:rsidRPr="00C10256">
              <w:rPr>
                <w:rFonts w:ascii="Times" w:hAnsi="Times"/>
              </w:rPr>
              <w:t xml:space="preserve">‘Reserves’ is represented as the sums of ‘Hedging Reserve’, ‘Hedging Reserve’ and ‘Retained Earnings’ as per </w:t>
            </w:r>
            <w:r>
              <w:rPr>
                <w:rFonts w:ascii="Times" w:hAnsi="Times"/>
              </w:rPr>
              <w:t>EasyJet</w:t>
            </w:r>
            <w:r w:rsidRPr="00C10256">
              <w:rPr>
                <w:rFonts w:ascii="Times" w:hAnsi="Times"/>
              </w:rPr>
              <w:t>’s Balance Sheet Appendix IV.</w:t>
            </w:r>
          </w:p>
        </w:tc>
      </w:tr>
    </w:tbl>
    <w:p w14:paraId="679DD8A1" w14:textId="77777777" w:rsidR="007672DE" w:rsidRDefault="007672DE" w:rsidP="007672DE">
      <w:pPr>
        <w:tabs>
          <w:tab w:val="left" w:pos="1134"/>
        </w:tabs>
        <w:spacing w:after="120"/>
        <w:rPr>
          <w:rFonts w:ascii="Times" w:hAnsi="Times"/>
          <w:u w:val="single"/>
        </w:rPr>
      </w:pPr>
    </w:p>
    <w:p w14:paraId="2D8C849C" w14:textId="77777777" w:rsidR="007672DE" w:rsidRDefault="007672DE" w:rsidP="007672DE">
      <w:pPr>
        <w:tabs>
          <w:tab w:val="left" w:pos="1134"/>
        </w:tabs>
        <w:spacing w:after="120"/>
        <w:rPr>
          <w:rFonts w:ascii="Times" w:hAnsi="Times"/>
          <w:u w:val="single"/>
        </w:rPr>
      </w:pPr>
    </w:p>
    <w:p w14:paraId="02C832A3" w14:textId="77777777" w:rsidR="007672DE" w:rsidRDefault="007672DE" w:rsidP="007672DE">
      <w:pPr>
        <w:tabs>
          <w:tab w:val="left" w:pos="1134"/>
        </w:tabs>
        <w:spacing w:after="120"/>
        <w:rPr>
          <w:rFonts w:ascii="Times" w:hAnsi="Times"/>
          <w:u w:val="single"/>
        </w:rPr>
      </w:pPr>
    </w:p>
    <w:p w14:paraId="554B4226" w14:textId="77777777" w:rsidR="007672DE" w:rsidRPr="007926CB" w:rsidRDefault="007672DE" w:rsidP="007672DE">
      <w:pPr>
        <w:tabs>
          <w:tab w:val="left" w:pos="1134"/>
        </w:tabs>
        <w:spacing w:after="120"/>
        <w:rPr>
          <w:rFonts w:ascii="Times" w:hAnsi="Times"/>
          <w:u w:val="single"/>
        </w:rPr>
        <w:sectPr w:rsidR="007672DE" w:rsidRPr="007926CB" w:rsidSect="007672DE">
          <w:pgSz w:w="11906" w:h="16838"/>
          <w:pgMar w:top="1440" w:right="1440" w:bottom="1143" w:left="1440" w:header="708" w:footer="708" w:gutter="0"/>
          <w:cols w:space="708"/>
          <w:docGrid w:linePitch="360"/>
        </w:sectPr>
      </w:pPr>
    </w:p>
    <w:p w14:paraId="433588B8" w14:textId="77777777" w:rsidR="007672DE" w:rsidRDefault="007672DE" w:rsidP="007672DE">
      <w:pPr>
        <w:tabs>
          <w:tab w:val="left" w:pos="1134"/>
        </w:tabs>
        <w:spacing w:after="120"/>
        <w:jc w:val="center"/>
        <w:outlineLvl w:val="0"/>
        <w:rPr>
          <w:rFonts w:ascii="Times" w:hAnsi="Times"/>
          <w:b/>
          <w:u w:val="single"/>
        </w:rPr>
      </w:pPr>
      <w:bookmarkStart w:id="29" w:name="_Toc535596759"/>
      <w:bookmarkStart w:id="30" w:name="_Toc535615927"/>
      <w:r>
        <w:rPr>
          <w:rFonts w:ascii="Times" w:hAnsi="Times"/>
          <w:b/>
          <w:u w:val="single"/>
        </w:rPr>
        <w:lastRenderedPageBreak/>
        <w:t xml:space="preserve">Appendix III: EasyJet </w:t>
      </w:r>
      <w:r w:rsidRPr="00436427">
        <w:rPr>
          <w:rFonts w:ascii="Times" w:hAnsi="Times"/>
          <w:b/>
          <w:u w:val="single"/>
        </w:rPr>
        <w:t>5-Year Income Statement</w:t>
      </w:r>
      <w:bookmarkEnd w:id="29"/>
      <w:bookmarkEnd w:id="30"/>
    </w:p>
    <w:tbl>
      <w:tblPr>
        <w:tblW w:w="1105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3"/>
        <w:gridCol w:w="1134"/>
        <w:gridCol w:w="1067"/>
        <w:gridCol w:w="1059"/>
        <w:gridCol w:w="1134"/>
        <w:gridCol w:w="1134"/>
        <w:gridCol w:w="851"/>
        <w:gridCol w:w="1275"/>
      </w:tblGrid>
      <w:tr w:rsidR="007672DE" w:rsidRPr="003C1B5E" w14:paraId="6E21A1D2" w14:textId="77777777" w:rsidTr="007672DE">
        <w:trPr>
          <w:trHeight w:val="89"/>
        </w:trPr>
        <w:tc>
          <w:tcPr>
            <w:tcW w:w="3403" w:type="dxa"/>
            <w:shd w:val="clear" w:color="000000" w:fill="C65911"/>
            <w:vAlign w:val="center"/>
            <w:hideMark/>
          </w:tcPr>
          <w:p w14:paraId="77CACE50" w14:textId="77777777" w:rsidR="007672DE" w:rsidRPr="003C1B5E" w:rsidRDefault="007672DE" w:rsidP="007672DE">
            <w:pPr>
              <w:rPr>
                <w:rFonts w:ascii="Calibri" w:hAnsi="Calibri"/>
                <w:b/>
                <w:bCs/>
                <w:color w:val="FFFFFF"/>
                <w:sz w:val="18"/>
                <w:szCs w:val="18"/>
              </w:rPr>
            </w:pPr>
            <w:r>
              <w:rPr>
                <w:rFonts w:ascii="Calibri (Body)" w:hAnsi="Calibri (Body)"/>
                <w:b/>
                <w:bCs/>
                <w:color w:val="FFFFFF"/>
                <w:sz w:val="21"/>
                <w:szCs w:val="18"/>
              </w:rPr>
              <w:t>EasyJet</w:t>
            </w:r>
            <w:r w:rsidRPr="003C1B5E">
              <w:rPr>
                <w:rFonts w:ascii="Calibri (Body)" w:hAnsi="Calibri (Body)"/>
                <w:b/>
                <w:bCs/>
                <w:color w:val="FFFFFF"/>
                <w:sz w:val="21"/>
                <w:szCs w:val="18"/>
              </w:rPr>
              <w:t xml:space="preserve"> 5-Year Income Statement</w:t>
            </w:r>
            <w:r w:rsidRPr="003C1B5E">
              <w:rPr>
                <w:rFonts w:ascii="Calibri" w:hAnsi="Calibri"/>
                <w:b/>
                <w:bCs/>
                <w:color w:val="FFFFFF"/>
                <w:sz w:val="18"/>
                <w:szCs w:val="18"/>
              </w:rPr>
              <w:br/>
            </w:r>
            <w:r w:rsidRPr="003C1B5E">
              <w:rPr>
                <w:rFonts w:ascii="Calibri (Body)" w:hAnsi="Calibri (Body)"/>
                <w:i/>
                <w:iCs/>
                <w:color w:val="FFFFFF"/>
                <w:sz w:val="18"/>
                <w:szCs w:val="18"/>
              </w:rPr>
              <w:t>Note: Fiscal year is October to September.</w:t>
            </w:r>
          </w:p>
        </w:tc>
        <w:tc>
          <w:tcPr>
            <w:tcW w:w="1134" w:type="dxa"/>
            <w:shd w:val="clear" w:color="000000" w:fill="FCE4D6"/>
            <w:vAlign w:val="center"/>
            <w:hideMark/>
          </w:tcPr>
          <w:p w14:paraId="3A59BA3D" w14:textId="77777777" w:rsidR="007672DE" w:rsidRPr="003C1B5E" w:rsidRDefault="007672DE" w:rsidP="007672DE">
            <w:pPr>
              <w:jc w:val="center"/>
              <w:rPr>
                <w:rFonts w:ascii="Calibri" w:hAnsi="Calibri"/>
                <w:b/>
                <w:bCs/>
                <w:color w:val="000000"/>
                <w:sz w:val="18"/>
                <w:szCs w:val="18"/>
              </w:rPr>
            </w:pPr>
            <w:r w:rsidRPr="003C1B5E">
              <w:rPr>
                <w:rFonts w:ascii="Calibri" w:hAnsi="Calibri"/>
                <w:b/>
                <w:bCs/>
                <w:color w:val="000000"/>
                <w:sz w:val="18"/>
                <w:szCs w:val="18"/>
              </w:rPr>
              <w:t>2014</w:t>
            </w:r>
            <w:r w:rsidRPr="003C1B5E">
              <w:rPr>
                <w:rFonts w:ascii="Calibri" w:hAnsi="Calibri"/>
                <w:b/>
                <w:bCs/>
                <w:color w:val="000000"/>
                <w:sz w:val="18"/>
                <w:szCs w:val="18"/>
              </w:rPr>
              <w:br/>
              <w:t>(£ millions)</w:t>
            </w:r>
          </w:p>
        </w:tc>
        <w:tc>
          <w:tcPr>
            <w:tcW w:w="1067" w:type="dxa"/>
            <w:shd w:val="clear" w:color="000000" w:fill="FCE4D6"/>
            <w:vAlign w:val="center"/>
            <w:hideMark/>
          </w:tcPr>
          <w:p w14:paraId="1F4A94A6" w14:textId="77777777" w:rsidR="007672DE" w:rsidRPr="003C1B5E" w:rsidRDefault="007672DE" w:rsidP="007672DE">
            <w:pPr>
              <w:jc w:val="center"/>
              <w:rPr>
                <w:rFonts w:ascii="Calibri" w:hAnsi="Calibri"/>
                <w:b/>
                <w:bCs/>
                <w:color w:val="000000"/>
                <w:sz w:val="18"/>
                <w:szCs w:val="18"/>
              </w:rPr>
            </w:pPr>
            <w:r w:rsidRPr="003C1B5E">
              <w:rPr>
                <w:rFonts w:ascii="Calibri" w:hAnsi="Calibri"/>
                <w:b/>
                <w:bCs/>
                <w:color w:val="000000"/>
                <w:sz w:val="18"/>
                <w:szCs w:val="18"/>
              </w:rPr>
              <w:t>2015</w:t>
            </w:r>
            <w:r w:rsidRPr="003C1B5E">
              <w:rPr>
                <w:rFonts w:ascii="Calibri" w:hAnsi="Calibri"/>
                <w:b/>
                <w:bCs/>
                <w:color w:val="000000"/>
                <w:sz w:val="18"/>
                <w:szCs w:val="18"/>
              </w:rPr>
              <w:br/>
              <w:t>(£ millions)</w:t>
            </w:r>
          </w:p>
        </w:tc>
        <w:tc>
          <w:tcPr>
            <w:tcW w:w="1059" w:type="dxa"/>
            <w:shd w:val="clear" w:color="000000" w:fill="FCE4D6"/>
            <w:vAlign w:val="center"/>
            <w:hideMark/>
          </w:tcPr>
          <w:p w14:paraId="0B3559A8" w14:textId="77777777" w:rsidR="007672DE" w:rsidRPr="003C1B5E" w:rsidRDefault="007672DE" w:rsidP="007672DE">
            <w:pPr>
              <w:jc w:val="center"/>
              <w:rPr>
                <w:rFonts w:ascii="Calibri" w:hAnsi="Calibri"/>
                <w:b/>
                <w:bCs/>
                <w:color w:val="000000"/>
                <w:sz w:val="18"/>
                <w:szCs w:val="18"/>
              </w:rPr>
            </w:pPr>
            <w:r w:rsidRPr="003C1B5E">
              <w:rPr>
                <w:rFonts w:ascii="Calibri" w:hAnsi="Calibri"/>
                <w:b/>
                <w:bCs/>
                <w:color w:val="000000"/>
                <w:sz w:val="18"/>
                <w:szCs w:val="18"/>
              </w:rPr>
              <w:t>2016</w:t>
            </w:r>
            <w:r w:rsidRPr="003C1B5E">
              <w:rPr>
                <w:rFonts w:ascii="Calibri" w:hAnsi="Calibri"/>
                <w:b/>
                <w:bCs/>
                <w:color w:val="000000"/>
                <w:sz w:val="18"/>
                <w:szCs w:val="18"/>
              </w:rPr>
              <w:br/>
              <w:t>(£ millions)</w:t>
            </w:r>
          </w:p>
        </w:tc>
        <w:tc>
          <w:tcPr>
            <w:tcW w:w="1134" w:type="dxa"/>
            <w:shd w:val="clear" w:color="000000" w:fill="FCE4D6"/>
            <w:vAlign w:val="center"/>
            <w:hideMark/>
          </w:tcPr>
          <w:p w14:paraId="18BD4219" w14:textId="77777777" w:rsidR="007672DE" w:rsidRPr="003C1B5E" w:rsidRDefault="007672DE" w:rsidP="007672DE">
            <w:pPr>
              <w:jc w:val="center"/>
              <w:rPr>
                <w:rFonts w:ascii="Calibri" w:hAnsi="Calibri"/>
                <w:b/>
                <w:bCs/>
                <w:color w:val="000000"/>
                <w:sz w:val="18"/>
                <w:szCs w:val="18"/>
              </w:rPr>
            </w:pPr>
            <w:r w:rsidRPr="003C1B5E">
              <w:rPr>
                <w:rFonts w:ascii="Calibri" w:hAnsi="Calibri"/>
                <w:b/>
                <w:bCs/>
                <w:color w:val="000000"/>
                <w:sz w:val="18"/>
                <w:szCs w:val="18"/>
              </w:rPr>
              <w:t>2017</w:t>
            </w:r>
            <w:r w:rsidRPr="003C1B5E">
              <w:rPr>
                <w:rFonts w:ascii="Calibri" w:hAnsi="Calibri"/>
                <w:b/>
                <w:bCs/>
                <w:color w:val="000000"/>
                <w:sz w:val="18"/>
                <w:szCs w:val="18"/>
              </w:rPr>
              <w:br/>
              <w:t>(£ millions)</w:t>
            </w:r>
          </w:p>
        </w:tc>
        <w:tc>
          <w:tcPr>
            <w:tcW w:w="1134" w:type="dxa"/>
            <w:shd w:val="clear" w:color="000000" w:fill="FCE4D6"/>
            <w:vAlign w:val="center"/>
            <w:hideMark/>
          </w:tcPr>
          <w:p w14:paraId="2F9D782C" w14:textId="77777777" w:rsidR="007672DE" w:rsidRPr="003C1B5E" w:rsidRDefault="007672DE" w:rsidP="007672DE">
            <w:pPr>
              <w:jc w:val="center"/>
              <w:rPr>
                <w:rFonts w:ascii="Calibri" w:hAnsi="Calibri"/>
                <w:b/>
                <w:bCs/>
                <w:color w:val="000000"/>
                <w:sz w:val="18"/>
                <w:szCs w:val="18"/>
              </w:rPr>
            </w:pPr>
            <w:r w:rsidRPr="003C1B5E">
              <w:rPr>
                <w:rFonts w:ascii="Calibri" w:hAnsi="Calibri"/>
                <w:b/>
                <w:bCs/>
                <w:color w:val="000000"/>
                <w:sz w:val="18"/>
                <w:szCs w:val="18"/>
              </w:rPr>
              <w:t>2018</w:t>
            </w:r>
            <w:r w:rsidRPr="003C1B5E">
              <w:rPr>
                <w:rFonts w:ascii="Calibri" w:hAnsi="Calibri"/>
                <w:b/>
                <w:bCs/>
                <w:color w:val="000000"/>
                <w:sz w:val="18"/>
                <w:szCs w:val="18"/>
              </w:rPr>
              <w:br/>
              <w:t>(£ millions)</w:t>
            </w:r>
          </w:p>
        </w:tc>
        <w:tc>
          <w:tcPr>
            <w:tcW w:w="851" w:type="dxa"/>
            <w:shd w:val="clear" w:color="000000" w:fill="00B050"/>
            <w:vAlign w:val="center"/>
            <w:hideMark/>
          </w:tcPr>
          <w:p w14:paraId="47180793"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Year-on-Year Growth</w:t>
            </w:r>
          </w:p>
        </w:tc>
        <w:tc>
          <w:tcPr>
            <w:tcW w:w="1275" w:type="dxa"/>
            <w:shd w:val="clear" w:color="000000" w:fill="00B050"/>
            <w:vAlign w:val="center"/>
            <w:hideMark/>
          </w:tcPr>
          <w:p w14:paraId="7FE77933"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5-year Compound Annual Growth Rate</w:t>
            </w:r>
          </w:p>
        </w:tc>
      </w:tr>
      <w:tr w:rsidR="007672DE" w:rsidRPr="003C1B5E" w14:paraId="0709C8DE" w14:textId="77777777" w:rsidTr="007672DE">
        <w:trPr>
          <w:trHeight w:val="94"/>
        </w:trPr>
        <w:tc>
          <w:tcPr>
            <w:tcW w:w="3403" w:type="dxa"/>
            <w:shd w:val="clear" w:color="000000" w:fill="808080"/>
            <w:vAlign w:val="bottom"/>
            <w:hideMark/>
          </w:tcPr>
          <w:p w14:paraId="1B49DEB7" w14:textId="77777777" w:rsidR="007672DE" w:rsidRPr="003C1B5E" w:rsidRDefault="007672DE" w:rsidP="007672DE">
            <w:pPr>
              <w:rPr>
                <w:rFonts w:ascii="Calibri" w:hAnsi="Calibri"/>
                <w:b/>
                <w:bCs/>
                <w:color w:val="FFFFFF"/>
                <w:sz w:val="18"/>
                <w:szCs w:val="18"/>
              </w:rPr>
            </w:pPr>
            <w:r w:rsidRPr="003C1B5E">
              <w:rPr>
                <w:rFonts w:ascii="Calibri" w:hAnsi="Calibri"/>
                <w:b/>
                <w:bCs/>
                <w:color w:val="FFFFFF"/>
                <w:sz w:val="21"/>
                <w:szCs w:val="18"/>
              </w:rPr>
              <w:t>Income Statement</w:t>
            </w:r>
          </w:p>
        </w:tc>
        <w:tc>
          <w:tcPr>
            <w:tcW w:w="1134" w:type="dxa"/>
            <w:shd w:val="clear" w:color="000000" w:fill="808080"/>
            <w:noWrap/>
            <w:vAlign w:val="center"/>
            <w:hideMark/>
          </w:tcPr>
          <w:p w14:paraId="7BF1DBD5"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c>
          <w:tcPr>
            <w:tcW w:w="1067" w:type="dxa"/>
            <w:shd w:val="clear" w:color="000000" w:fill="808080"/>
            <w:noWrap/>
            <w:vAlign w:val="center"/>
            <w:hideMark/>
          </w:tcPr>
          <w:p w14:paraId="088B73EB"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c>
          <w:tcPr>
            <w:tcW w:w="1059" w:type="dxa"/>
            <w:shd w:val="clear" w:color="000000" w:fill="808080"/>
            <w:noWrap/>
            <w:vAlign w:val="center"/>
            <w:hideMark/>
          </w:tcPr>
          <w:p w14:paraId="68EAA375"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c>
          <w:tcPr>
            <w:tcW w:w="1134" w:type="dxa"/>
            <w:shd w:val="clear" w:color="000000" w:fill="808080"/>
            <w:noWrap/>
            <w:vAlign w:val="center"/>
            <w:hideMark/>
          </w:tcPr>
          <w:p w14:paraId="0C8DBC57"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c>
          <w:tcPr>
            <w:tcW w:w="1134" w:type="dxa"/>
            <w:shd w:val="clear" w:color="000000" w:fill="808080"/>
            <w:noWrap/>
            <w:vAlign w:val="center"/>
            <w:hideMark/>
          </w:tcPr>
          <w:p w14:paraId="347EFA3F"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c>
          <w:tcPr>
            <w:tcW w:w="851" w:type="dxa"/>
            <w:shd w:val="clear" w:color="000000" w:fill="808080"/>
            <w:noWrap/>
            <w:vAlign w:val="center"/>
            <w:hideMark/>
          </w:tcPr>
          <w:p w14:paraId="065315E9"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c>
          <w:tcPr>
            <w:tcW w:w="1275" w:type="dxa"/>
            <w:shd w:val="clear" w:color="000000" w:fill="808080"/>
            <w:noWrap/>
            <w:vAlign w:val="center"/>
            <w:hideMark/>
          </w:tcPr>
          <w:p w14:paraId="3C7C4903"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r>
      <w:tr w:rsidR="007672DE" w:rsidRPr="003C1B5E" w14:paraId="7565805C" w14:textId="77777777" w:rsidTr="007672DE">
        <w:trPr>
          <w:trHeight w:val="71"/>
        </w:trPr>
        <w:tc>
          <w:tcPr>
            <w:tcW w:w="3403" w:type="dxa"/>
            <w:shd w:val="clear" w:color="auto" w:fill="auto"/>
            <w:noWrap/>
            <w:vAlign w:val="bottom"/>
            <w:hideMark/>
          </w:tcPr>
          <w:p w14:paraId="1D6B98C9"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Revenue</w:t>
            </w:r>
          </w:p>
        </w:tc>
        <w:tc>
          <w:tcPr>
            <w:tcW w:w="1134" w:type="dxa"/>
            <w:shd w:val="clear" w:color="auto" w:fill="auto"/>
            <w:noWrap/>
            <w:vAlign w:val="bottom"/>
            <w:hideMark/>
          </w:tcPr>
          <w:p w14:paraId="43D109F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4,527</w:t>
            </w:r>
          </w:p>
        </w:tc>
        <w:tc>
          <w:tcPr>
            <w:tcW w:w="1067" w:type="dxa"/>
            <w:shd w:val="clear" w:color="auto" w:fill="auto"/>
            <w:noWrap/>
            <w:vAlign w:val="bottom"/>
            <w:hideMark/>
          </w:tcPr>
          <w:p w14:paraId="45785CB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4,698</w:t>
            </w:r>
          </w:p>
        </w:tc>
        <w:tc>
          <w:tcPr>
            <w:tcW w:w="1059" w:type="dxa"/>
            <w:shd w:val="clear" w:color="auto" w:fill="auto"/>
            <w:noWrap/>
            <w:vAlign w:val="bottom"/>
            <w:hideMark/>
          </w:tcPr>
          <w:p w14:paraId="3589A85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4,699</w:t>
            </w:r>
          </w:p>
        </w:tc>
        <w:tc>
          <w:tcPr>
            <w:tcW w:w="1134" w:type="dxa"/>
            <w:shd w:val="clear" w:color="auto" w:fill="auto"/>
            <w:noWrap/>
            <w:vAlign w:val="bottom"/>
            <w:hideMark/>
          </w:tcPr>
          <w:p w14:paraId="7D0C76A8"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5,047</w:t>
            </w:r>
          </w:p>
        </w:tc>
        <w:tc>
          <w:tcPr>
            <w:tcW w:w="1134" w:type="dxa"/>
            <w:shd w:val="clear" w:color="auto" w:fill="auto"/>
            <w:noWrap/>
            <w:vAlign w:val="bottom"/>
            <w:hideMark/>
          </w:tcPr>
          <w:p w14:paraId="623115CC"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5,898</w:t>
            </w:r>
          </w:p>
        </w:tc>
        <w:tc>
          <w:tcPr>
            <w:tcW w:w="851" w:type="dxa"/>
            <w:shd w:val="clear" w:color="000000" w:fill="E2EFDA"/>
            <w:noWrap/>
            <w:vAlign w:val="bottom"/>
            <w:hideMark/>
          </w:tcPr>
          <w:p w14:paraId="101E1C3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17%</w:t>
            </w:r>
          </w:p>
        </w:tc>
        <w:tc>
          <w:tcPr>
            <w:tcW w:w="1275" w:type="dxa"/>
            <w:shd w:val="clear" w:color="000000" w:fill="E2EFDA"/>
            <w:noWrap/>
            <w:vAlign w:val="center"/>
            <w:hideMark/>
          </w:tcPr>
          <w:p w14:paraId="6E2DFD9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6.84%</w:t>
            </w:r>
          </w:p>
        </w:tc>
      </w:tr>
      <w:tr w:rsidR="007672DE" w:rsidRPr="003C1B5E" w14:paraId="6B8CC248" w14:textId="77777777" w:rsidTr="007672DE">
        <w:trPr>
          <w:trHeight w:val="71"/>
        </w:trPr>
        <w:tc>
          <w:tcPr>
            <w:tcW w:w="3403" w:type="dxa"/>
            <w:shd w:val="clear" w:color="auto" w:fill="auto"/>
            <w:vAlign w:val="center"/>
            <w:hideMark/>
          </w:tcPr>
          <w:p w14:paraId="51FA3DC9"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 xml:space="preserve">Total EBITDAR </w:t>
            </w:r>
            <w:r w:rsidRPr="003C1B5E">
              <w:rPr>
                <w:rFonts w:ascii="Calibri" w:hAnsi="Calibri"/>
                <w:i/>
                <w:color w:val="000000"/>
                <w:sz w:val="18"/>
                <w:szCs w:val="18"/>
              </w:rPr>
              <w:t>(Earnings before interest, taxes, depreciation, amortisation and aircraft dry leasing costs)</w:t>
            </w:r>
          </w:p>
        </w:tc>
        <w:tc>
          <w:tcPr>
            <w:tcW w:w="1134" w:type="dxa"/>
            <w:shd w:val="clear" w:color="auto" w:fill="auto"/>
            <w:noWrap/>
            <w:vAlign w:val="center"/>
            <w:hideMark/>
          </w:tcPr>
          <w:p w14:paraId="0821254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823</w:t>
            </w:r>
          </w:p>
        </w:tc>
        <w:tc>
          <w:tcPr>
            <w:tcW w:w="1067" w:type="dxa"/>
            <w:shd w:val="clear" w:color="auto" w:fill="auto"/>
            <w:noWrap/>
            <w:vAlign w:val="center"/>
            <w:hideMark/>
          </w:tcPr>
          <w:p w14:paraId="7AA100A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940</w:t>
            </w:r>
          </w:p>
        </w:tc>
        <w:tc>
          <w:tcPr>
            <w:tcW w:w="1059" w:type="dxa"/>
            <w:shd w:val="clear" w:color="auto" w:fill="auto"/>
            <w:noWrap/>
            <w:vAlign w:val="center"/>
            <w:hideMark/>
          </w:tcPr>
          <w:p w14:paraId="0DA2959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770</w:t>
            </w:r>
          </w:p>
        </w:tc>
        <w:tc>
          <w:tcPr>
            <w:tcW w:w="1134" w:type="dxa"/>
            <w:shd w:val="clear" w:color="auto" w:fill="auto"/>
            <w:noWrap/>
            <w:vAlign w:val="center"/>
            <w:hideMark/>
          </w:tcPr>
          <w:p w14:paraId="31512E4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709</w:t>
            </w:r>
          </w:p>
        </w:tc>
        <w:tc>
          <w:tcPr>
            <w:tcW w:w="1134" w:type="dxa"/>
            <w:shd w:val="clear" w:color="auto" w:fill="auto"/>
            <w:noWrap/>
            <w:vAlign w:val="center"/>
            <w:hideMark/>
          </w:tcPr>
          <w:p w14:paraId="126A0A28"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836</w:t>
            </w:r>
          </w:p>
        </w:tc>
        <w:tc>
          <w:tcPr>
            <w:tcW w:w="851" w:type="dxa"/>
            <w:shd w:val="clear" w:color="000000" w:fill="E2EFDA"/>
            <w:noWrap/>
            <w:vAlign w:val="center"/>
            <w:hideMark/>
          </w:tcPr>
          <w:p w14:paraId="09144D4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18%</w:t>
            </w:r>
          </w:p>
        </w:tc>
        <w:tc>
          <w:tcPr>
            <w:tcW w:w="1275" w:type="dxa"/>
            <w:shd w:val="clear" w:color="000000" w:fill="E2EFDA"/>
            <w:noWrap/>
            <w:vAlign w:val="center"/>
            <w:hideMark/>
          </w:tcPr>
          <w:p w14:paraId="6AE4EE0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0.39%</w:t>
            </w:r>
          </w:p>
        </w:tc>
      </w:tr>
      <w:tr w:rsidR="007672DE" w:rsidRPr="003C1B5E" w14:paraId="7F58398B" w14:textId="77777777" w:rsidTr="007672DE">
        <w:trPr>
          <w:trHeight w:val="81"/>
        </w:trPr>
        <w:tc>
          <w:tcPr>
            <w:tcW w:w="3403" w:type="dxa"/>
            <w:shd w:val="clear" w:color="auto" w:fill="auto"/>
            <w:noWrap/>
            <w:vAlign w:val="bottom"/>
            <w:hideMark/>
          </w:tcPr>
          <w:p w14:paraId="12063D78" w14:textId="77777777" w:rsidR="007672DE" w:rsidRPr="003C1B5E" w:rsidRDefault="007672DE" w:rsidP="007672DE">
            <w:pPr>
              <w:rPr>
                <w:rFonts w:ascii="Calibri" w:hAnsi="Calibri"/>
                <w:color w:val="000000"/>
                <w:sz w:val="18"/>
                <w:szCs w:val="18"/>
              </w:rPr>
            </w:pPr>
            <w:proofErr w:type="spellStart"/>
            <w:r w:rsidRPr="003C1B5E">
              <w:rPr>
                <w:rFonts w:ascii="Calibri" w:hAnsi="Calibri"/>
                <w:color w:val="000000"/>
                <w:sz w:val="18"/>
                <w:szCs w:val="18"/>
              </w:rPr>
              <w:t>Headine</w:t>
            </w:r>
            <w:proofErr w:type="spellEnd"/>
            <w:r w:rsidRPr="003C1B5E">
              <w:rPr>
                <w:rFonts w:ascii="Calibri" w:hAnsi="Calibri"/>
                <w:color w:val="000000"/>
                <w:sz w:val="18"/>
                <w:szCs w:val="18"/>
              </w:rPr>
              <w:t xml:space="preserve"> EBITDAR</w:t>
            </w:r>
          </w:p>
        </w:tc>
        <w:tc>
          <w:tcPr>
            <w:tcW w:w="1134" w:type="dxa"/>
            <w:shd w:val="clear" w:color="auto" w:fill="auto"/>
            <w:noWrap/>
            <w:vAlign w:val="center"/>
            <w:hideMark/>
          </w:tcPr>
          <w:p w14:paraId="1470DB1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67" w:type="dxa"/>
            <w:shd w:val="clear" w:color="auto" w:fill="auto"/>
            <w:noWrap/>
            <w:vAlign w:val="center"/>
            <w:hideMark/>
          </w:tcPr>
          <w:p w14:paraId="4890F70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7C6208A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764</w:t>
            </w:r>
          </w:p>
        </w:tc>
        <w:tc>
          <w:tcPr>
            <w:tcW w:w="1134" w:type="dxa"/>
            <w:shd w:val="clear" w:color="auto" w:fill="auto"/>
            <w:noWrap/>
            <w:vAlign w:val="bottom"/>
            <w:hideMark/>
          </w:tcPr>
          <w:p w14:paraId="57F20C1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733</w:t>
            </w:r>
          </w:p>
        </w:tc>
        <w:tc>
          <w:tcPr>
            <w:tcW w:w="1134" w:type="dxa"/>
            <w:shd w:val="clear" w:color="auto" w:fill="auto"/>
            <w:noWrap/>
            <w:vAlign w:val="bottom"/>
            <w:hideMark/>
          </w:tcPr>
          <w:p w14:paraId="7BC59A2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958</w:t>
            </w:r>
          </w:p>
        </w:tc>
        <w:tc>
          <w:tcPr>
            <w:tcW w:w="851" w:type="dxa"/>
            <w:shd w:val="clear" w:color="000000" w:fill="E2EFDA"/>
            <w:noWrap/>
            <w:vAlign w:val="bottom"/>
            <w:hideMark/>
          </w:tcPr>
          <w:p w14:paraId="66B7A9E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31%</w:t>
            </w:r>
          </w:p>
        </w:tc>
        <w:tc>
          <w:tcPr>
            <w:tcW w:w="1275" w:type="dxa"/>
            <w:shd w:val="clear" w:color="000000" w:fill="E2EFDA"/>
            <w:noWrap/>
            <w:vAlign w:val="center"/>
            <w:hideMark/>
          </w:tcPr>
          <w:p w14:paraId="2EFEC85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114084CC" w14:textId="77777777" w:rsidTr="007672DE">
        <w:trPr>
          <w:trHeight w:val="81"/>
        </w:trPr>
        <w:tc>
          <w:tcPr>
            <w:tcW w:w="3403" w:type="dxa"/>
            <w:shd w:val="clear" w:color="auto" w:fill="auto"/>
            <w:noWrap/>
            <w:vAlign w:val="bottom"/>
            <w:hideMark/>
          </w:tcPr>
          <w:p w14:paraId="76A49370"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Total Operating Profit</w:t>
            </w:r>
          </w:p>
        </w:tc>
        <w:tc>
          <w:tcPr>
            <w:tcW w:w="1134" w:type="dxa"/>
            <w:shd w:val="clear" w:color="auto" w:fill="auto"/>
            <w:noWrap/>
            <w:vAlign w:val="bottom"/>
            <w:hideMark/>
          </w:tcPr>
          <w:p w14:paraId="22B918F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581</w:t>
            </w:r>
          </w:p>
        </w:tc>
        <w:tc>
          <w:tcPr>
            <w:tcW w:w="1067" w:type="dxa"/>
            <w:shd w:val="clear" w:color="auto" w:fill="auto"/>
            <w:noWrap/>
            <w:vAlign w:val="bottom"/>
            <w:hideMark/>
          </w:tcPr>
          <w:p w14:paraId="31FF772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688</w:t>
            </w:r>
          </w:p>
        </w:tc>
        <w:tc>
          <w:tcPr>
            <w:tcW w:w="1059" w:type="dxa"/>
            <w:shd w:val="clear" w:color="auto" w:fill="auto"/>
            <w:noWrap/>
            <w:vAlign w:val="bottom"/>
            <w:hideMark/>
          </w:tcPr>
          <w:p w14:paraId="308AC838"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510</w:t>
            </w:r>
          </w:p>
        </w:tc>
        <w:tc>
          <w:tcPr>
            <w:tcW w:w="1134" w:type="dxa"/>
            <w:shd w:val="clear" w:color="auto" w:fill="auto"/>
            <w:noWrap/>
            <w:vAlign w:val="bottom"/>
            <w:hideMark/>
          </w:tcPr>
          <w:p w14:paraId="572FD6E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404</w:t>
            </w:r>
          </w:p>
        </w:tc>
        <w:tc>
          <w:tcPr>
            <w:tcW w:w="1134" w:type="dxa"/>
            <w:shd w:val="clear" w:color="auto" w:fill="auto"/>
            <w:noWrap/>
            <w:vAlign w:val="bottom"/>
            <w:hideMark/>
          </w:tcPr>
          <w:p w14:paraId="6154052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460</w:t>
            </w:r>
          </w:p>
        </w:tc>
        <w:tc>
          <w:tcPr>
            <w:tcW w:w="851" w:type="dxa"/>
            <w:shd w:val="clear" w:color="000000" w:fill="E2EFDA"/>
            <w:noWrap/>
            <w:vAlign w:val="bottom"/>
            <w:hideMark/>
          </w:tcPr>
          <w:p w14:paraId="6F55991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14%</w:t>
            </w:r>
          </w:p>
        </w:tc>
        <w:tc>
          <w:tcPr>
            <w:tcW w:w="1275" w:type="dxa"/>
            <w:shd w:val="clear" w:color="000000" w:fill="E2EFDA"/>
            <w:noWrap/>
            <w:vAlign w:val="center"/>
            <w:hideMark/>
          </w:tcPr>
          <w:p w14:paraId="41DE892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-5.67%</w:t>
            </w:r>
          </w:p>
        </w:tc>
      </w:tr>
      <w:tr w:rsidR="007672DE" w:rsidRPr="003C1B5E" w14:paraId="7633A88F" w14:textId="77777777" w:rsidTr="007672DE">
        <w:trPr>
          <w:trHeight w:val="71"/>
        </w:trPr>
        <w:tc>
          <w:tcPr>
            <w:tcW w:w="3403" w:type="dxa"/>
            <w:shd w:val="clear" w:color="auto" w:fill="auto"/>
            <w:noWrap/>
            <w:vAlign w:val="bottom"/>
            <w:hideMark/>
          </w:tcPr>
          <w:p w14:paraId="7333419A"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Headline Operating Profit</w:t>
            </w:r>
          </w:p>
        </w:tc>
        <w:tc>
          <w:tcPr>
            <w:tcW w:w="1134" w:type="dxa"/>
            <w:shd w:val="clear" w:color="auto" w:fill="auto"/>
            <w:noWrap/>
            <w:vAlign w:val="center"/>
            <w:hideMark/>
          </w:tcPr>
          <w:p w14:paraId="1068935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67" w:type="dxa"/>
            <w:shd w:val="clear" w:color="auto" w:fill="auto"/>
            <w:noWrap/>
            <w:vAlign w:val="center"/>
            <w:hideMark/>
          </w:tcPr>
          <w:p w14:paraId="16E8C40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7AB4F118"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504</w:t>
            </w:r>
          </w:p>
        </w:tc>
        <w:tc>
          <w:tcPr>
            <w:tcW w:w="1134" w:type="dxa"/>
            <w:shd w:val="clear" w:color="auto" w:fill="auto"/>
            <w:noWrap/>
            <w:vAlign w:val="bottom"/>
            <w:hideMark/>
          </w:tcPr>
          <w:p w14:paraId="0A921A8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428</w:t>
            </w:r>
          </w:p>
        </w:tc>
        <w:tc>
          <w:tcPr>
            <w:tcW w:w="1134" w:type="dxa"/>
            <w:shd w:val="clear" w:color="auto" w:fill="auto"/>
            <w:noWrap/>
            <w:vAlign w:val="bottom"/>
            <w:hideMark/>
          </w:tcPr>
          <w:p w14:paraId="2210B42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592</w:t>
            </w:r>
          </w:p>
        </w:tc>
        <w:tc>
          <w:tcPr>
            <w:tcW w:w="851" w:type="dxa"/>
            <w:shd w:val="clear" w:color="000000" w:fill="E2EFDA"/>
            <w:noWrap/>
            <w:vAlign w:val="bottom"/>
            <w:hideMark/>
          </w:tcPr>
          <w:p w14:paraId="75DB8FA8"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38%</w:t>
            </w:r>
          </w:p>
        </w:tc>
        <w:tc>
          <w:tcPr>
            <w:tcW w:w="1275" w:type="dxa"/>
            <w:shd w:val="clear" w:color="000000" w:fill="E2EFDA"/>
            <w:noWrap/>
            <w:vAlign w:val="center"/>
            <w:hideMark/>
          </w:tcPr>
          <w:p w14:paraId="0323244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3CD6D650" w14:textId="77777777" w:rsidTr="007672DE">
        <w:trPr>
          <w:trHeight w:val="71"/>
        </w:trPr>
        <w:tc>
          <w:tcPr>
            <w:tcW w:w="3403" w:type="dxa"/>
            <w:shd w:val="clear" w:color="auto" w:fill="auto"/>
            <w:noWrap/>
            <w:vAlign w:val="bottom"/>
            <w:hideMark/>
          </w:tcPr>
          <w:p w14:paraId="36D65DF4"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Total Profit before Tax</w:t>
            </w:r>
          </w:p>
        </w:tc>
        <w:tc>
          <w:tcPr>
            <w:tcW w:w="1134" w:type="dxa"/>
            <w:shd w:val="clear" w:color="auto" w:fill="auto"/>
            <w:noWrap/>
            <w:vAlign w:val="bottom"/>
            <w:hideMark/>
          </w:tcPr>
          <w:p w14:paraId="58DF28B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581</w:t>
            </w:r>
          </w:p>
        </w:tc>
        <w:tc>
          <w:tcPr>
            <w:tcW w:w="1067" w:type="dxa"/>
            <w:shd w:val="clear" w:color="auto" w:fill="auto"/>
            <w:noWrap/>
            <w:vAlign w:val="bottom"/>
            <w:hideMark/>
          </w:tcPr>
          <w:p w14:paraId="0428D9F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688</w:t>
            </w:r>
          </w:p>
        </w:tc>
        <w:tc>
          <w:tcPr>
            <w:tcW w:w="1059" w:type="dxa"/>
            <w:shd w:val="clear" w:color="auto" w:fill="auto"/>
            <w:noWrap/>
            <w:vAlign w:val="bottom"/>
            <w:hideMark/>
          </w:tcPr>
          <w:p w14:paraId="2E3F373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507</w:t>
            </w:r>
          </w:p>
        </w:tc>
        <w:tc>
          <w:tcPr>
            <w:tcW w:w="1134" w:type="dxa"/>
            <w:shd w:val="clear" w:color="auto" w:fill="auto"/>
            <w:noWrap/>
            <w:vAlign w:val="bottom"/>
            <w:hideMark/>
          </w:tcPr>
          <w:p w14:paraId="4A3537C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385</w:t>
            </w:r>
          </w:p>
        </w:tc>
        <w:tc>
          <w:tcPr>
            <w:tcW w:w="1134" w:type="dxa"/>
            <w:shd w:val="clear" w:color="auto" w:fill="auto"/>
            <w:noWrap/>
            <w:vAlign w:val="bottom"/>
            <w:hideMark/>
          </w:tcPr>
          <w:p w14:paraId="76AAADF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445</w:t>
            </w:r>
          </w:p>
        </w:tc>
        <w:tc>
          <w:tcPr>
            <w:tcW w:w="851" w:type="dxa"/>
            <w:shd w:val="clear" w:color="000000" w:fill="E2EFDA"/>
            <w:noWrap/>
            <w:vAlign w:val="bottom"/>
            <w:hideMark/>
          </w:tcPr>
          <w:p w14:paraId="0CE14F5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16%</w:t>
            </w:r>
          </w:p>
        </w:tc>
        <w:tc>
          <w:tcPr>
            <w:tcW w:w="1275" w:type="dxa"/>
            <w:shd w:val="clear" w:color="000000" w:fill="E2EFDA"/>
            <w:noWrap/>
            <w:vAlign w:val="center"/>
            <w:hideMark/>
          </w:tcPr>
          <w:p w14:paraId="3AADE92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-6.45%</w:t>
            </w:r>
          </w:p>
        </w:tc>
      </w:tr>
      <w:tr w:rsidR="007672DE" w:rsidRPr="003C1B5E" w14:paraId="12C40C87" w14:textId="77777777" w:rsidTr="007672DE">
        <w:trPr>
          <w:trHeight w:val="71"/>
        </w:trPr>
        <w:tc>
          <w:tcPr>
            <w:tcW w:w="3403" w:type="dxa"/>
            <w:shd w:val="clear" w:color="auto" w:fill="auto"/>
            <w:noWrap/>
            <w:vAlign w:val="bottom"/>
            <w:hideMark/>
          </w:tcPr>
          <w:p w14:paraId="18E87DAD"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Headline Profit before Tax</w:t>
            </w:r>
          </w:p>
        </w:tc>
        <w:tc>
          <w:tcPr>
            <w:tcW w:w="1134" w:type="dxa"/>
            <w:shd w:val="clear" w:color="auto" w:fill="auto"/>
            <w:noWrap/>
            <w:vAlign w:val="center"/>
            <w:hideMark/>
          </w:tcPr>
          <w:p w14:paraId="2A2A1BA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67" w:type="dxa"/>
            <w:shd w:val="clear" w:color="auto" w:fill="auto"/>
            <w:noWrap/>
            <w:vAlign w:val="center"/>
            <w:hideMark/>
          </w:tcPr>
          <w:p w14:paraId="2C74C72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17087D4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494</w:t>
            </w:r>
          </w:p>
        </w:tc>
        <w:tc>
          <w:tcPr>
            <w:tcW w:w="1134" w:type="dxa"/>
            <w:shd w:val="clear" w:color="auto" w:fill="auto"/>
            <w:noWrap/>
            <w:vAlign w:val="bottom"/>
            <w:hideMark/>
          </w:tcPr>
          <w:p w14:paraId="3BBA03E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408</w:t>
            </w:r>
          </w:p>
        </w:tc>
        <w:tc>
          <w:tcPr>
            <w:tcW w:w="1134" w:type="dxa"/>
            <w:shd w:val="clear" w:color="auto" w:fill="auto"/>
            <w:noWrap/>
            <w:vAlign w:val="bottom"/>
            <w:hideMark/>
          </w:tcPr>
          <w:p w14:paraId="6A346DDC"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578</w:t>
            </w:r>
          </w:p>
        </w:tc>
        <w:tc>
          <w:tcPr>
            <w:tcW w:w="851" w:type="dxa"/>
            <w:shd w:val="clear" w:color="000000" w:fill="E2EFDA"/>
            <w:noWrap/>
            <w:vAlign w:val="bottom"/>
            <w:hideMark/>
          </w:tcPr>
          <w:p w14:paraId="786792E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42%</w:t>
            </w:r>
          </w:p>
        </w:tc>
        <w:tc>
          <w:tcPr>
            <w:tcW w:w="1275" w:type="dxa"/>
            <w:shd w:val="clear" w:color="000000" w:fill="E2EFDA"/>
            <w:noWrap/>
            <w:vAlign w:val="center"/>
            <w:hideMark/>
          </w:tcPr>
          <w:p w14:paraId="387C473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251110B1" w14:textId="77777777" w:rsidTr="007672DE">
        <w:trPr>
          <w:trHeight w:val="71"/>
        </w:trPr>
        <w:tc>
          <w:tcPr>
            <w:tcW w:w="3403" w:type="dxa"/>
            <w:shd w:val="clear" w:color="auto" w:fill="auto"/>
            <w:noWrap/>
            <w:vAlign w:val="bottom"/>
            <w:hideMark/>
          </w:tcPr>
          <w:p w14:paraId="062155D6"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Total Profit after Tax</w:t>
            </w:r>
          </w:p>
        </w:tc>
        <w:tc>
          <w:tcPr>
            <w:tcW w:w="1134" w:type="dxa"/>
            <w:shd w:val="clear" w:color="auto" w:fill="auto"/>
            <w:noWrap/>
            <w:vAlign w:val="bottom"/>
            <w:hideMark/>
          </w:tcPr>
          <w:p w14:paraId="47E6AE7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450</w:t>
            </w:r>
          </w:p>
        </w:tc>
        <w:tc>
          <w:tcPr>
            <w:tcW w:w="1067" w:type="dxa"/>
            <w:shd w:val="clear" w:color="auto" w:fill="auto"/>
            <w:noWrap/>
            <w:vAlign w:val="bottom"/>
            <w:hideMark/>
          </w:tcPr>
          <w:p w14:paraId="77BFB5C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548</w:t>
            </w:r>
          </w:p>
        </w:tc>
        <w:tc>
          <w:tcPr>
            <w:tcW w:w="1059" w:type="dxa"/>
            <w:shd w:val="clear" w:color="auto" w:fill="auto"/>
            <w:noWrap/>
            <w:vAlign w:val="bottom"/>
            <w:hideMark/>
          </w:tcPr>
          <w:p w14:paraId="10ADE6D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437</w:t>
            </w:r>
          </w:p>
        </w:tc>
        <w:tc>
          <w:tcPr>
            <w:tcW w:w="1134" w:type="dxa"/>
            <w:shd w:val="clear" w:color="auto" w:fill="auto"/>
            <w:noWrap/>
            <w:vAlign w:val="bottom"/>
            <w:hideMark/>
          </w:tcPr>
          <w:p w14:paraId="7A7CB11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305</w:t>
            </w:r>
          </w:p>
        </w:tc>
        <w:tc>
          <w:tcPr>
            <w:tcW w:w="1134" w:type="dxa"/>
            <w:shd w:val="clear" w:color="auto" w:fill="auto"/>
            <w:noWrap/>
            <w:vAlign w:val="bottom"/>
            <w:hideMark/>
          </w:tcPr>
          <w:p w14:paraId="1CA1F4E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358</w:t>
            </w:r>
          </w:p>
        </w:tc>
        <w:tc>
          <w:tcPr>
            <w:tcW w:w="851" w:type="dxa"/>
            <w:shd w:val="clear" w:color="000000" w:fill="E2EFDA"/>
            <w:noWrap/>
            <w:vAlign w:val="bottom"/>
            <w:hideMark/>
          </w:tcPr>
          <w:p w14:paraId="0C3C209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17%</w:t>
            </w:r>
          </w:p>
        </w:tc>
        <w:tc>
          <w:tcPr>
            <w:tcW w:w="1275" w:type="dxa"/>
            <w:shd w:val="clear" w:color="000000" w:fill="E2EFDA"/>
            <w:noWrap/>
            <w:vAlign w:val="center"/>
            <w:hideMark/>
          </w:tcPr>
          <w:p w14:paraId="79BB64A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-5.56%</w:t>
            </w:r>
          </w:p>
        </w:tc>
      </w:tr>
      <w:tr w:rsidR="007672DE" w:rsidRPr="003C1B5E" w14:paraId="06BC2605" w14:textId="77777777" w:rsidTr="007672DE">
        <w:trPr>
          <w:trHeight w:val="71"/>
        </w:trPr>
        <w:tc>
          <w:tcPr>
            <w:tcW w:w="3403" w:type="dxa"/>
            <w:shd w:val="clear" w:color="auto" w:fill="auto"/>
            <w:noWrap/>
            <w:vAlign w:val="bottom"/>
            <w:hideMark/>
          </w:tcPr>
          <w:p w14:paraId="1ABA2ECB"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Headline Profit after Tax</w:t>
            </w:r>
          </w:p>
        </w:tc>
        <w:tc>
          <w:tcPr>
            <w:tcW w:w="1134" w:type="dxa"/>
            <w:shd w:val="clear" w:color="auto" w:fill="auto"/>
            <w:noWrap/>
            <w:vAlign w:val="center"/>
            <w:hideMark/>
          </w:tcPr>
          <w:p w14:paraId="73A1E91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67" w:type="dxa"/>
            <w:shd w:val="clear" w:color="auto" w:fill="auto"/>
            <w:noWrap/>
            <w:vAlign w:val="center"/>
            <w:hideMark/>
          </w:tcPr>
          <w:p w14:paraId="25777B1C"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73BAA8B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427</w:t>
            </w:r>
          </w:p>
        </w:tc>
        <w:tc>
          <w:tcPr>
            <w:tcW w:w="1134" w:type="dxa"/>
            <w:shd w:val="clear" w:color="auto" w:fill="auto"/>
            <w:noWrap/>
            <w:vAlign w:val="bottom"/>
            <w:hideMark/>
          </w:tcPr>
          <w:p w14:paraId="5AE7D35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325</w:t>
            </w:r>
          </w:p>
        </w:tc>
        <w:tc>
          <w:tcPr>
            <w:tcW w:w="1134" w:type="dxa"/>
            <w:shd w:val="clear" w:color="auto" w:fill="auto"/>
            <w:noWrap/>
            <w:vAlign w:val="bottom"/>
            <w:hideMark/>
          </w:tcPr>
          <w:p w14:paraId="0AA2AC1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466</w:t>
            </w:r>
          </w:p>
        </w:tc>
        <w:tc>
          <w:tcPr>
            <w:tcW w:w="851" w:type="dxa"/>
            <w:shd w:val="clear" w:color="000000" w:fill="E2EFDA"/>
            <w:noWrap/>
            <w:vAlign w:val="bottom"/>
            <w:hideMark/>
          </w:tcPr>
          <w:p w14:paraId="1DAF88E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43%</w:t>
            </w:r>
          </w:p>
        </w:tc>
        <w:tc>
          <w:tcPr>
            <w:tcW w:w="1275" w:type="dxa"/>
            <w:shd w:val="clear" w:color="000000" w:fill="E2EFDA"/>
            <w:noWrap/>
            <w:vAlign w:val="center"/>
            <w:hideMark/>
          </w:tcPr>
          <w:p w14:paraId="7224BEE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7A532639" w14:textId="77777777" w:rsidTr="007672DE">
        <w:trPr>
          <w:trHeight w:val="71"/>
        </w:trPr>
        <w:tc>
          <w:tcPr>
            <w:tcW w:w="11057" w:type="dxa"/>
            <w:gridSpan w:val="8"/>
            <w:shd w:val="clear" w:color="000000" w:fill="F2F2F2"/>
            <w:noWrap/>
            <w:vAlign w:val="bottom"/>
            <w:hideMark/>
          </w:tcPr>
          <w:p w14:paraId="7B0B4496" w14:textId="77777777" w:rsidR="007672DE" w:rsidRPr="003C1B5E" w:rsidRDefault="007672DE" w:rsidP="007672DE">
            <w:pPr>
              <w:rPr>
                <w:rFonts w:ascii="Calibri" w:hAnsi="Calibri"/>
                <w:color w:val="000000"/>
                <w:sz w:val="13"/>
                <w:szCs w:val="18"/>
              </w:rPr>
            </w:pPr>
            <w:r w:rsidRPr="003C1B5E">
              <w:rPr>
                <w:rFonts w:ascii="Calibri" w:hAnsi="Calibri"/>
                <w:color w:val="000000"/>
                <w:sz w:val="18"/>
                <w:szCs w:val="18"/>
              </w:rPr>
              <w:t> </w:t>
            </w:r>
          </w:p>
        </w:tc>
      </w:tr>
      <w:tr w:rsidR="007672DE" w:rsidRPr="003C1B5E" w14:paraId="34D04584" w14:textId="77777777" w:rsidTr="007672DE">
        <w:trPr>
          <w:trHeight w:val="71"/>
        </w:trPr>
        <w:tc>
          <w:tcPr>
            <w:tcW w:w="3403" w:type="dxa"/>
            <w:shd w:val="clear" w:color="auto" w:fill="auto"/>
            <w:noWrap/>
            <w:vAlign w:val="bottom"/>
            <w:hideMark/>
          </w:tcPr>
          <w:p w14:paraId="62EE6319"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Basic total earnings per share – pence</w:t>
            </w:r>
          </w:p>
        </w:tc>
        <w:tc>
          <w:tcPr>
            <w:tcW w:w="1134" w:type="dxa"/>
            <w:shd w:val="clear" w:color="auto" w:fill="auto"/>
            <w:noWrap/>
            <w:vAlign w:val="bottom"/>
            <w:hideMark/>
          </w:tcPr>
          <w:p w14:paraId="6E5CA2C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115</w:t>
            </w:r>
          </w:p>
        </w:tc>
        <w:tc>
          <w:tcPr>
            <w:tcW w:w="1067" w:type="dxa"/>
            <w:shd w:val="clear" w:color="auto" w:fill="auto"/>
            <w:noWrap/>
            <w:vAlign w:val="bottom"/>
            <w:hideMark/>
          </w:tcPr>
          <w:p w14:paraId="72DE81D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139</w:t>
            </w:r>
          </w:p>
        </w:tc>
        <w:tc>
          <w:tcPr>
            <w:tcW w:w="1059" w:type="dxa"/>
            <w:shd w:val="clear" w:color="auto" w:fill="auto"/>
            <w:noWrap/>
            <w:vAlign w:val="bottom"/>
            <w:hideMark/>
          </w:tcPr>
          <w:p w14:paraId="5D2705C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111</w:t>
            </w:r>
          </w:p>
        </w:tc>
        <w:tc>
          <w:tcPr>
            <w:tcW w:w="1134" w:type="dxa"/>
            <w:shd w:val="clear" w:color="auto" w:fill="auto"/>
            <w:noWrap/>
            <w:vAlign w:val="bottom"/>
            <w:hideMark/>
          </w:tcPr>
          <w:p w14:paraId="3D151E2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77</w:t>
            </w:r>
          </w:p>
        </w:tc>
        <w:tc>
          <w:tcPr>
            <w:tcW w:w="1134" w:type="dxa"/>
            <w:shd w:val="clear" w:color="auto" w:fill="auto"/>
            <w:noWrap/>
            <w:vAlign w:val="bottom"/>
            <w:hideMark/>
          </w:tcPr>
          <w:p w14:paraId="6E31770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91</w:t>
            </w:r>
          </w:p>
        </w:tc>
        <w:tc>
          <w:tcPr>
            <w:tcW w:w="851" w:type="dxa"/>
            <w:shd w:val="clear" w:color="000000" w:fill="E2EFDA"/>
            <w:noWrap/>
            <w:vAlign w:val="bottom"/>
            <w:hideMark/>
          </w:tcPr>
          <w:p w14:paraId="7AAF693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17%</w:t>
            </w:r>
          </w:p>
        </w:tc>
        <w:tc>
          <w:tcPr>
            <w:tcW w:w="1275" w:type="dxa"/>
            <w:shd w:val="clear" w:color="000000" w:fill="E2EFDA"/>
            <w:noWrap/>
            <w:vAlign w:val="center"/>
            <w:hideMark/>
          </w:tcPr>
          <w:p w14:paraId="3663FC3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-5.61%</w:t>
            </w:r>
          </w:p>
        </w:tc>
      </w:tr>
      <w:tr w:rsidR="007672DE" w:rsidRPr="003C1B5E" w14:paraId="2403F26F" w14:textId="77777777" w:rsidTr="007672DE">
        <w:trPr>
          <w:trHeight w:val="71"/>
        </w:trPr>
        <w:tc>
          <w:tcPr>
            <w:tcW w:w="3403" w:type="dxa"/>
            <w:shd w:val="clear" w:color="auto" w:fill="auto"/>
            <w:noWrap/>
            <w:vAlign w:val="bottom"/>
            <w:hideMark/>
          </w:tcPr>
          <w:p w14:paraId="3507A9E0"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Basic headline earnings per share – pence</w:t>
            </w:r>
          </w:p>
        </w:tc>
        <w:tc>
          <w:tcPr>
            <w:tcW w:w="1134" w:type="dxa"/>
            <w:shd w:val="clear" w:color="auto" w:fill="auto"/>
            <w:noWrap/>
            <w:vAlign w:val="center"/>
            <w:hideMark/>
          </w:tcPr>
          <w:p w14:paraId="020CD6D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67" w:type="dxa"/>
            <w:shd w:val="clear" w:color="auto" w:fill="auto"/>
            <w:noWrap/>
            <w:vAlign w:val="center"/>
            <w:hideMark/>
          </w:tcPr>
          <w:p w14:paraId="4199944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3BDA097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108</w:t>
            </w:r>
          </w:p>
        </w:tc>
        <w:tc>
          <w:tcPr>
            <w:tcW w:w="1134" w:type="dxa"/>
            <w:shd w:val="clear" w:color="auto" w:fill="auto"/>
            <w:noWrap/>
            <w:vAlign w:val="bottom"/>
            <w:hideMark/>
          </w:tcPr>
          <w:p w14:paraId="36A8ED8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83</w:t>
            </w:r>
          </w:p>
        </w:tc>
        <w:tc>
          <w:tcPr>
            <w:tcW w:w="1134" w:type="dxa"/>
            <w:shd w:val="clear" w:color="auto" w:fill="auto"/>
            <w:noWrap/>
            <w:vAlign w:val="bottom"/>
            <w:hideMark/>
          </w:tcPr>
          <w:p w14:paraId="09ACED5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118</w:t>
            </w:r>
          </w:p>
        </w:tc>
        <w:tc>
          <w:tcPr>
            <w:tcW w:w="851" w:type="dxa"/>
            <w:shd w:val="clear" w:color="000000" w:fill="E2EFDA"/>
            <w:noWrap/>
            <w:vAlign w:val="bottom"/>
            <w:hideMark/>
          </w:tcPr>
          <w:p w14:paraId="4A1B181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43%</w:t>
            </w:r>
          </w:p>
        </w:tc>
        <w:tc>
          <w:tcPr>
            <w:tcW w:w="1275" w:type="dxa"/>
            <w:shd w:val="clear" w:color="000000" w:fill="E2EFDA"/>
            <w:noWrap/>
            <w:vAlign w:val="center"/>
            <w:hideMark/>
          </w:tcPr>
          <w:p w14:paraId="0C79497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5B3CC101" w14:textId="77777777" w:rsidTr="007672DE">
        <w:trPr>
          <w:trHeight w:val="71"/>
        </w:trPr>
        <w:tc>
          <w:tcPr>
            <w:tcW w:w="3403" w:type="dxa"/>
            <w:shd w:val="clear" w:color="auto" w:fill="auto"/>
            <w:noWrap/>
            <w:vAlign w:val="bottom"/>
            <w:hideMark/>
          </w:tcPr>
          <w:p w14:paraId="46785980"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Diluted total earnings per share – pence</w:t>
            </w:r>
          </w:p>
        </w:tc>
        <w:tc>
          <w:tcPr>
            <w:tcW w:w="1134" w:type="dxa"/>
            <w:shd w:val="clear" w:color="auto" w:fill="auto"/>
            <w:noWrap/>
            <w:vAlign w:val="bottom"/>
            <w:hideMark/>
          </w:tcPr>
          <w:p w14:paraId="120E60C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113</w:t>
            </w:r>
          </w:p>
        </w:tc>
        <w:tc>
          <w:tcPr>
            <w:tcW w:w="1067" w:type="dxa"/>
            <w:shd w:val="clear" w:color="auto" w:fill="auto"/>
            <w:noWrap/>
            <w:vAlign w:val="bottom"/>
            <w:hideMark/>
          </w:tcPr>
          <w:p w14:paraId="4CA3DE5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138</w:t>
            </w:r>
          </w:p>
        </w:tc>
        <w:tc>
          <w:tcPr>
            <w:tcW w:w="1059" w:type="dxa"/>
            <w:shd w:val="clear" w:color="auto" w:fill="auto"/>
            <w:noWrap/>
            <w:vAlign w:val="bottom"/>
            <w:hideMark/>
          </w:tcPr>
          <w:p w14:paraId="4595182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110</w:t>
            </w:r>
          </w:p>
        </w:tc>
        <w:tc>
          <w:tcPr>
            <w:tcW w:w="1134" w:type="dxa"/>
            <w:shd w:val="clear" w:color="auto" w:fill="auto"/>
            <w:noWrap/>
            <w:vAlign w:val="bottom"/>
            <w:hideMark/>
          </w:tcPr>
          <w:p w14:paraId="03CC6FA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77</w:t>
            </w:r>
          </w:p>
        </w:tc>
        <w:tc>
          <w:tcPr>
            <w:tcW w:w="1134" w:type="dxa"/>
            <w:shd w:val="clear" w:color="auto" w:fill="auto"/>
            <w:noWrap/>
            <w:vAlign w:val="bottom"/>
            <w:hideMark/>
          </w:tcPr>
          <w:p w14:paraId="54E336B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90</w:t>
            </w:r>
          </w:p>
        </w:tc>
        <w:tc>
          <w:tcPr>
            <w:tcW w:w="851" w:type="dxa"/>
            <w:shd w:val="clear" w:color="000000" w:fill="E2EFDA"/>
            <w:noWrap/>
            <w:vAlign w:val="bottom"/>
            <w:hideMark/>
          </w:tcPr>
          <w:p w14:paraId="2BB6483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17%</w:t>
            </w:r>
          </w:p>
        </w:tc>
        <w:tc>
          <w:tcPr>
            <w:tcW w:w="1275" w:type="dxa"/>
            <w:shd w:val="clear" w:color="000000" w:fill="E2EFDA"/>
            <w:noWrap/>
            <w:vAlign w:val="center"/>
            <w:hideMark/>
          </w:tcPr>
          <w:p w14:paraId="0AFE5CD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-5.52%</w:t>
            </w:r>
          </w:p>
        </w:tc>
      </w:tr>
      <w:tr w:rsidR="007672DE" w:rsidRPr="003C1B5E" w14:paraId="43C56155" w14:textId="77777777" w:rsidTr="007672DE">
        <w:trPr>
          <w:trHeight w:val="71"/>
        </w:trPr>
        <w:tc>
          <w:tcPr>
            <w:tcW w:w="3403" w:type="dxa"/>
            <w:shd w:val="clear" w:color="auto" w:fill="auto"/>
            <w:noWrap/>
            <w:vAlign w:val="bottom"/>
            <w:hideMark/>
          </w:tcPr>
          <w:p w14:paraId="44C52AD7"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Diluted headline earnings per share – pence</w:t>
            </w:r>
          </w:p>
        </w:tc>
        <w:tc>
          <w:tcPr>
            <w:tcW w:w="1134" w:type="dxa"/>
            <w:shd w:val="clear" w:color="auto" w:fill="auto"/>
            <w:noWrap/>
            <w:vAlign w:val="center"/>
            <w:hideMark/>
          </w:tcPr>
          <w:p w14:paraId="5B094E0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67" w:type="dxa"/>
            <w:shd w:val="clear" w:color="auto" w:fill="auto"/>
            <w:noWrap/>
            <w:vAlign w:val="center"/>
            <w:hideMark/>
          </w:tcPr>
          <w:p w14:paraId="0F0326C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06F4728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108</w:t>
            </w:r>
          </w:p>
        </w:tc>
        <w:tc>
          <w:tcPr>
            <w:tcW w:w="1134" w:type="dxa"/>
            <w:shd w:val="clear" w:color="auto" w:fill="auto"/>
            <w:noWrap/>
            <w:vAlign w:val="bottom"/>
            <w:hideMark/>
          </w:tcPr>
          <w:p w14:paraId="6ADA2F4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82</w:t>
            </w:r>
          </w:p>
        </w:tc>
        <w:tc>
          <w:tcPr>
            <w:tcW w:w="1134" w:type="dxa"/>
            <w:shd w:val="clear" w:color="auto" w:fill="auto"/>
            <w:noWrap/>
            <w:vAlign w:val="bottom"/>
            <w:hideMark/>
          </w:tcPr>
          <w:p w14:paraId="4F55BF1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117</w:t>
            </w:r>
          </w:p>
        </w:tc>
        <w:tc>
          <w:tcPr>
            <w:tcW w:w="851" w:type="dxa"/>
            <w:shd w:val="clear" w:color="000000" w:fill="E2EFDA"/>
            <w:noWrap/>
            <w:vAlign w:val="bottom"/>
            <w:hideMark/>
          </w:tcPr>
          <w:p w14:paraId="2791BE7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43%</w:t>
            </w:r>
          </w:p>
        </w:tc>
        <w:tc>
          <w:tcPr>
            <w:tcW w:w="1275" w:type="dxa"/>
            <w:shd w:val="clear" w:color="000000" w:fill="E2EFDA"/>
            <w:noWrap/>
            <w:vAlign w:val="center"/>
            <w:hideMark/>
          </w:tcPr>
          <w:p w14:paraId="1D438EA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53509C17" w14:textId="77777777" w:rsidTr="007672DE">
        <w:trPr>
          <w:trHeight w:val="71"/>
        </w:trPr>
        <w:tc>
          <w:tcPr>
            <w:tcW w:w="3403" w:type="dxa"/>
            <w:shd w:val="clear" w:color="auto" w:fill="auto"/>
            <w:noWrap/>
            <w:vAlign w:val="bottom"/>
            <w:hideMark/>
          </w:tcPr>
          <w:p w14:paraId="0633D598"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Ordinary dividend per share – pence</w:t>
            </w:r>
          </w:p>
        </w:tc>
        <w:tc>
          <w:tcPr>
            <w:tcW w:w="1134" w:type="dxa"/>
            <w:shd w:val="clear" w:color="auto" w:fill="auto"/>
            <w:noWrap/>
            <w:vAlign w:val="bottom"/>
            <w:hideMark/>
          </w:tcPr>
          <w:p w14:paraId="0D95E84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45</w:t>
            </w:r>
          </w:p>
        </w:tc>
        <w:tc>
          <w:tcPr>
            <w:tcW w:w="1067" w:type="dxa"/>
            <w:shd w:val="clear" w:color="auto" w:fill="auto"/>
            <w:noWrap/>
            <w:vAlign w:val="bottom"/>
            <w:hideMark/>
          </w:tcPr>
          <w:p w14:paraId="4AFCF79C"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55</w:t>
            </w:r>
          </w:p>
        </w:tc>
        <w:tc>
          <w:tcPr>
            <w:tcW w:w="1059" w:type="dxa"/>
            <w:shd w:val="clear" w:color="auto" w:fill="auto"/>
            <w:noWrap/>
            <w:vAlign w:val="bottom"/>
            <w:hideMark/>
          </w:tcPr>
          <w:p w14:paraId="65B3F34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54</w:t>
            </w:r>
          </w:p>
        </w:tc>
        <w:tc>
          <w:tcPr>
            <w:tcW w:w="1134" w:type="dxa"/>
            <w:shd w:val="clear" w:color="auto" w:fill="auto"/>
            <w:noWrap/>
            <w:vAlign w:val="bottom"/>
            <w:hideMark/>
          </w:tcPr>
          <w:p w14:paraId="4388382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41</w:t>
            </w:r>
          </w:p>
        </w:tc>
        <w:tc>
          <w:tcPr>
            <w:tcW w:w="1134" w:type="dxa"/>
            <w:shd w:val="clear" w:color="auto" w:fill="auto"/>
            <w:noWrap/>
            <w:vAlign w:val="bottom"/>
            <w:hideMark/>
          </w:tcPr>
          <w:p w14:paraId="5BDE9F0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59</w:t>
            </w:r>
          </w:p>
        </w:tc>
        <w:tc>
          <w:tcPr>
            <w:tcW w:w="851" w:type="dxa"/>
            <w:shd w:val="clear" w:color="000000" w:fill="E2EFDA"/>
            <w:noWrap/>
            <w:vAlign w:val="bottom"/>
            <w:hideMark/>
          </w:tcPr>
          <w:p w14:paraId="0686F91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43%</w:t>
            </w:r>
          </w:p>
        </w:tc>
        <w:tc>
          <w:tcPr>
            <w:tcW w:w="1275" w:type="dxa"/>
            <w:shd w:val="clear" w:color="000000" w:fill="E2EFDA"/>
            <w:noWrap/>
            <w:vAlign w:val="center"/>
            <w:hideMark/>
          </w:tcPr>
          <w:p w14:paraId="030E369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6.59%</w:t>
            </w:r>
          </w:p>
        </w:tc>
      </w:tr>
      <w:tr w:rsidR="007672DE" w:rsidRPr="003C1B5E" w14:paraId="4D7E2860" w14:textId="77777777" w:rsidTr="007672DE">
        <w:trPr>
          <w:trHeight w:val="71"/>
        </w:trPr>
        <w:tc>
          <w:tcPr>
            <w:tcW w:w="3403" w:type="dxa"/>
            <w:shd w:val="clear" w:color="000000" w:fill="808080"/>
            <w:vAlign w:val="bottom"/>
            <w:hideMark/>
          </w:tcPr>
          <w:p w14:paraId="5680ED68" w14:textId="77777777" w:rsidR="007672DE" w:rsidRPr="003C1B5E" w:rsidRDefault="007672DE" w:rsidP="007672DE">
            <w:pPr>
              <w:rPr>
                <w:rFonts w:ascii="Calibri" w:hAnsi="Calibri"/>
                <w:b/>
                <w:bCs/>
                <w:color w:val="FFFFFF"/>
                <w:sz w:val="18"/>
                <w:szCs w:val="18"/>
              </w:rPr>
            </w:pPr>
            <w:r w:rsidRPr="003C1B5E">
              <w:rPr>
                <w:rFonts w:ascii="Calibri" w:hAnsi="Calibri"/>
                <w:b/>
                <w:bCs/>
                <w:color w:val="FFFFFF"/>
                <w:sz w:val="21"/>
                <w:szCs w:val="18"/>
              </w:rPr>
              <w:t>Statement of Financial Positions</w:t>
            </w:r>
          </w:p>
        </w:tc>
        <w:tc>
          <w:tcPr>
            <w:tcW w:w="1134" w:type="dxa"/>
            <w:shd w:val="clear" w:color="000000" w:fill="808080"/>
            <w:noWrap/>
            <w:vAlign w:val="center"/>
            <w:hideMark/>
          </w:tcPr>
          <w:p w14:paraId="2B209177"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067" w:type="dxa"/>
            <w:shd w:val="clear" w:color="000000" w:fill="808080"/>
            <w:noWrap/>
            <w:vAlign w:val="center"/>
            <w:hideMark/>
          </w:tcPr>
          <w:p w14:paraId="1B793E2D"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059" w:type="dxa"/>
            <w:shd w:val="clear" w:color="000000" w:fill="808080"/>
            <w:noWrap/>
            <w:vAlign w:val="center"/>
            <w:hideMark/>
          </w:tcPr>
          <w:p w14:paraId="155303D1"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134" w:type="dxa"/>
            <w:shd w:val="clear" w:color="000000" w:fill="808080"/>
            <w:noWrap/>
            <w:vAlign w:val="center"/>
            <w:hideMark/>
          </w:tcPr>
          <w:p w14:paraId="2CC616A2"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134" w:type="dxa"/>
            <w:shd w:val="clear" w:color="000000" w:fill="808080"/>
            <w:noWrap/>
            <w:vAlign w:val="center"/>
            <w:hideMark/>
          </w:tcPr>
          <w:p w14:paraId="465F170C"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851" w:type="dxa"/>
            <w:shd w:val="clear" w:color="000000" w:fill="808080"/>
            <w:noWrap/>
            <w:vAlign w:val="center"/>
            <w:hideMark/>
          </w:tcPr>
          <w:p w14:paraId="49040B2A"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c>
          <w:tcPr>
            <w:tcW w:w="1275" w:type="dxa"/>
            <w:shd w:val="clear" w:color="000000" w:fill="808080"/>
            <w:noWrap/>
            <w:vAlign w:val="center"/>
            <w:hideMark/>
          </w:tcPr>
          <w:p w14:paraId="3B2D2200"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r>
      <w:tr w:rsidR="007672DE" w:rsidRPr="003C1B5E" w14:paraId="7FA7F7C9" w14:textId="77777777" w:rsidTr="007672DE">
        <w:trPr>
          <w:trHeight w:val="71"/>
        </w:trPr>
        <w:tc>
          <w:tcPr>
            <w:tcW w:w="3403" w:type="dxa"/>
            <w:shd w:val="clear" w:color="auto" w:fill="auto"/>
            <w:noWrap/>
            <w:vAlign w:val="bottom"/>
            <w:hideMark/>
          </w:tcPr>
          <w:p w14:paraId="7BDFC490"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Non-current assets</w:t>
            </w:r>
          </w:p>
        </w:tc>
        <w:tc>
          <w:tcPr>
            <w:tcW w:w="1134" w:type="dxa"/>
            <w:shd w:val="clear" w:color="auto" w:fill="auto"/>
            <w:noWrap/>
            <w:vAlign w:val="bottom"/>
            <w:hideMark/>
          </w:tcPr>
          <w:p w14:paraId="5284B26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3,221</w:t>
            </w:r>
          </w:p>
        </w:tc>
        <w:tc>
          <w:tcPr>
            <w:tcW w:w="1067" w:type="dxa"/>
            <w:shd w:val="clear" w:color="auto" w:fill="auto"/>
            <w:noWrap/>
            <w:vAlign w:val="bottom"/>
            <w:hideMark/>
          </w:tcPr>
          <w:p w14:paraId="47BD47C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3,549</w:t>
            </w:r>
          </w:p>
        </w:tc>
        <w:tc>
          <w:tcPr>
            <w:tcW w:w="1059" w:type="dxa"/>
            <w:shd w:val="clear" w:color="auto" w:fill="auto"/>
            <w:noWrap/>
            <w:vAlign w:val="bottom"/>
            <w:hideMark/>
          </w:tcPr>
          <w:p w14:paraId="43776AC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4,042</w:t>
            </w:r>
          </w:p>
        </w:tc>
        <w:tc>
          <w:tcPr>
            <w:tcW w:w="1134" w:type="dxa"/>
            <w:shd w:val="clear" w:color="auto" w:fill="auto"/>
            <w:noWrap/>
            <w:vAlign w:val="bottom"/>
            <w:hideMark/>
          </w:tcPr>
          <w:p w14:paraId="5747DA5C"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4,237</w:t>
            </w:r>
          </w:p>
        </w:tc>
        <w:tc>
          <w:tcPr>
            <w:tcW w:w="1134" w:type="dxa"/>
            <w:shd w:val="clear" w:color="auto" w:fill="auto"/>
            <w:noWrap/>
            <w:vAlign w:val="bottom"/>
            <w:hideMark/>
          </w:tcPr>
          <w:p w14:paraId="7A90F09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4,994</w:t>
            </w:r>
          </w:p>
        </w:tc>
        <w:tc>
          <w:tcPr>
            <w:tcW w:w="851" w:type="dxa"/>
            <w:shd w:val="clear" w:color="000000" w:fill="E2EFDA"/>
            <w:noWrap/>
            <w:vAlign w:val="bottom"/>
            <w:hideMark/>
          </w:tcPr>
          <w:p w14:paraId="256B6DC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18%</w:t>
            </w:r>
          </w:p>
        </w:tc>
        <w:tc>
          <w:tcPr>
            <w:tcW w:w="1275" w:type="dxa"/>
            <w:shd w:val="clear" w:color="000000" w:fill="E2EFDA"/>
            <w:noWrap/>
            <w:vAlign w:val="center"/>
            <w:hideMark/>
          </w:tcPr>
          <w:p w14:paraId="25606FA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11.59%</w:t>
            </w:r>
          </w:p>
        </w:tc>
      </w:tr>
      <w:tr w:rsidR="007672DE" w:rsidRPr="003C1B5E" w14:paraId="53AEC12C" w14:textId="77777777" w:rsidTr="007672DE">
        <w:trPr>
          <w:trHeight w:val="71"/>
        </w:trPr>
        <w:tc>
          <w:tcPr>
            <w:tcW w:w="3403" w:type="dxa"/>
            <w:shd w:val="clear" w:color="auto" w:fill="auto"/>
            <w:noWrap/>
            <w:vAlign w:val="bottom"/>
            <w:hideMark/>
          </w:tcPr>
          <w:p w14:paraId="69D9DAF8"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Current assets</w:t>
            </w:r>
          </w:p>
        </w:tc>
        <w:tc>
          <w:tcPr>
            <w:tcW w:w="1134" w:type="dxa"/>
            <w:shd w:val="clear" w:color="auto" w:fill="auto"/>
            <w:noWrap/>
            <w:vAlign w:val="bottom"/>
            <w:hideMark/>
          </w:tcPr>
          <w:p w14:paraId="65B24D2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1,261</w:t>
            </w:r>
          </w:p>
        </w:tc>
        <w:tc>
          <w:tcPr>
            <w:tcW w:w="1067" w:type="dxa"/>
            <w:shd w:val="clear" w:color="auto" w:fill="auto"/>
            <w:noWrap/>
            <w:vAlign w:val="bottom"/>
            <w:hideMark/>
          </w:tcPr>
          <w:p w14:paraId="0446FB6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1,279</w:t>
            </w:r>
          </w:p>
        </w:tc>
        <w:tc>
          <w:tcPr>
            <w:tcW w:w="1059" w:type="dxa"/>
            <w:shd w:val="clear" w:color="auto" w:fill="auto"/>
            <w:noWrap/>
            <w:vAlign w:val="bottom"/>
            <w:hideMark/>
          </w:tcPr>
          <w:p w14:paraId="322792A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1,442</w:t>
            </w:r>
          </w:p>
        </w:tc>
        <w:tc>
          <w:tcPr>
            <w:tcW w:w="1134" w:type="dxa"/>
            <w:shd w:val="clear" w:color="auto" w:fill="auto"/>
            <w:noWrap/>
            <w:vAlign w:val="bottom"/>
            <w:hideMark/>
          </w:tcPr>
          <w:p w14:paraId="3331202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1,734</w:t>
            </w:r>
          </w:p>
        </w:tc>
        <w:tc>
          <w:tcPr>
            <w:tcW w:w="1134" w:type="dxa"/>
            <w:shd w:val="clear" w:color="auto" w:fill="auto"/>
            <w:noWrap/>
            <w:vAlign w:val="bottom"/>
            <w:hideMark/>
          </w:tcPr>
          <w:p w14:paraId="7EAA4C3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2,001</w:t>
            </w:r>
          </w:p>
        </w:tc>
        <w:tc>
          <w:tcPr>
            <w:tcW w:w="851" w:type="dxa"/>
            <w:shd w:val="clear" w:color="000000" w:fill="E2EFDA"/>
            <w:noWrap/>
            <w:vAlign w:val="bottom"/>
            <w:hideMark/>
          </w:tcPr>
          <w:p w14:paraId="663A6C4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15%</w:t>
            </w:r>
          </w:p>
        </w:tc>
        <w:tc>
          <w:tcPr>
            <w:tcW w:w="1275" w:type="dxa"/>
            <w:shd w:val="clear" w:color="000000" w:fill="E2EFDA"/>
            <w:noWrap/>
            <w:vAlign w:val="center"/>
            <w:hideMark/>
          </w:tcPr>
          <w:p w14:paraId="6A582C7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12.24%</w:t>
            </w:r>
          </w:p>
        </w:tc>
      </w:tr>
      <w:tr w:rsidR="007672DE" w:rsidRPr="003C1B5E" w14:paraId="3ED57CEA" w14:textId="77777777" w:rsidTr="007672DE">
        <w:trPr>
          <w:trHeight w:val="71"/>
        </w:trPr>
        <w:tc>
          <w:tcPr>
            <w:tcW w:w="3403" w:type="dxa"/>
            <w:shd w:val="clear" w:color="auto" w:fill="auto"/>
            <w:noWrap/>
            <w:vAlign w:val="bottom"/>
            <w:hideMark/>
          </w:tcPr>
          <w:p w14:paraId="72359D0F"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Current liabilities</w:t>
            </w:r>
          </w:p>
        </w:tc>
        <w:tc>
          <w:tcPr>
            <w:tcW w:w="1134" w:type="dxa"/>
            <w:shd w:val="clear" w:color="auto" w:fill="auto"/>
            <w:noWrap/>
            <w:vAlign w:val="bottom"/>
            <w:hideMark/>
          </w:tcPr>
          <w:p w14:paraId="0DD72DC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-1,420</w:t>
            </w:r>
          </w:p>
        </w:tc>
        <w:tc>
          <w:tcPr>
            <w:tcW w:w="1067" w:type="dxa"/>
            <w:shd w:val="clear" w:color="auto" w:fill="auto"/>
            <w:noWrap/>
            <w:vAlign w:val="bottom"/>
            <w:hideMark/>
          </w:tcPr>
          <w:p w14:paraId="13030EC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-1,768</w:t>
            </w:r>
          </w:p>
        </w:tc>
        <w:tc>
          <w:tcPr>
            <w:tcW w:w="1059" w:type="dxa"/>
            <w:shd w:val="clear" w:color="auto" w:fill="auto"/>
            <w:noWrap/>
            <w:vAlign w:val="bottom"/>
            <w:hideMark/>
          </w:tcPr>
          <w:p w14:paraId="775A643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-1,569</w:t>
            </w:r>
          </w:p>
        </w:tc>
        <w:tc>
          <w:tcPr>
            <w:tcW w:w="1134" w:type="dxa"/>
            <w:shd w:val="clear" w:color="auto" w:fill="auto"/>
            <w:noWrap/>
            <w:vAlign w:val="bottom"/>
            <w:hideMark/>
          </w:tcPr>
          <w:p w14:paraId="61C4A61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-1,670</w:t>
            </w:r>
          </w:p>
        </w:tc>
        <w:tc>
          <w:tcPr>
            <w:tcW w:w="1134" w:type="dxa"/>
            <w:shd w:val="clear" w:color="auto" w:fill="auto"/>
            <w:noWrap/>
            <w:vAlign w:val="bottom"/>
            <w:hideMark/>
          </w:tcPr>
          <w:p w14:paraId="5023CAA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-2,060</w:t>
            </w:r>
          </w:p>
        </w:tc>
        <w:tc>
          <w:tcPr>
            <w:tcW w:w="851" w:type="dxa"/>
            <w:shd w:val="clear" w:color="000000" w:fill="E2EFDA"/>
            <w:noWrap/>
            <w:vAlign w:val="bottom"/>
            <w:hideMark/>
          </w:tcPr>
          <w:p w14:paraId="0821E81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23%</w:t>
            </w:r>
          </w:p>
        </w:tc>
        <w:tc>
          <w:tcPr>
            <w:tcW w:w="1275" w:type="dxa"/>
            <w:shd w:val="clear" w:color="000000" w:fill="E2EFDA"/>
            <w:noWrap/>
            <w:vAlign w:val="center"/>
            <w:hideMark/>
          </w:tcPr>
          <w:p w14:paraId="17D0C2F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9.75%</w:t>
            </w:r>
          </w:p>
        </w:tc>
      </w:tr>
      <w:tr w:rsidR="007672DE" w:rsidRPr="003C1B5E" w14:paraId="44F4B011" w14:textId="77777777" w:rsidTr="007672DE">
        <w:trPr>
          <w:trHeight w:val="71"/>
        </w:trPr>
        <w:tc>
          <w:tcPr>
            <w:tcW w:w="3403" w:type="dxa"/>
            <w:shd w:val="clear" w:color="auto" w:fill="auto"/>
            <w:noWrap/>
            <w:vAlign w:val="bottom"/>
            <w:hideMark/>
          </w:tcPr>
          <w:p w14:paraId="1F25F367"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Non-current liabilities</w:t>
            </w:r>
          </w:p>
        </w:tc>
        <w:tc>
          <w:tcPr>
            <w:tcW w:w="1134" w:type="dxa"/>
            <w:shd w:val="clear" w:color="auto" w:fill="auto"/>
            <w:noWrap/>
            <w:vAlign w:val="bottom"/>
            <w:hideMark/>
          </w:tcPr>
          <w:p w14:paraId="0DF77A7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-890</w:t>
            </w:r>
          </w:p>
        </w:tc>
        <w:tc>
          <w:tcPr>
            <w:tcW w:w="1067" w:type="dxa"/>
            <w:shd w:val="clear" w:color="auto" w:fill="auto"/>
            <w:noWrap/>
            <w:vAlign w:val="bottom"/>
            <w:hideMark/>
          </w:tcPr>
          <w:p w14:paraId="6A218B48"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-811</w:t>
            </w:r>
          </w:p>
        </w:tc>
        <w:tc>
          <w:tcPr>
            <w:tcW w:w="1059" w:type="dxa"/>
            <w:shd w:val="clear" w:color="auto" w:fill="auto"/>
            <w:noWrap/>
            <w:vAlign w:val="bottom"/>
            <w:hideMark/>
          </w:tcPr>
          <w:p w14:paraId="23E92C8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-1,221</w:t>
            </w:r>
          </w:p>
        </w:tc>
        <w:tc>
          <w:tcPr>
            <w:tcW w:w="1134" w:type="dxa"/>
            <w:shd w:val="clear" w:color="auto" w:fill="auto"/>
            <w:noWrap/>
            <w:vAlign w:val="bottom"/>
            <w:hideMark/>
          </w:tcPr>
          <w:p w14:paraId="435D71E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-1,499</w:t>
            </w:r>
          </w:p>
        </w:tc>
        <w:tc>
          <w:tcPr>
            <w:tcW w:w="1134" w:type="dxa"/>
            <w:shd w:val="clear" w:color="auto" w:fill="auto"/>
            <w:noWrap/>
            <w:vAlign w:val="bottom"/>
            <w:hideMark/>
          </w:tcPr>
          <w:p w14:paraId="72E6D23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-1,676</w:t>
            </w:r>
          </w:p>
        </w:tc>
        <w:tc>
          <w:tcPr>
            <w:tcW w:w="851" w:type="dxa"/>
            <w:shd w:val="clear" w:color="000000" w:fill="E2EFDA"/>
            <w:noWrap/>
            <w:vAlign w:val="bottom"/>
            <w:hideMark/>
          </w:tcPr>
          <w:p w14:paraId="1C1AEC5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12%</w:t>
            </w:r>
          </w:p>
        </w:tc>
        <w:tc>
          <w:tcPr>
            <w:tcW w:w="1275" w:type="dxa"/>
            <w:shd w:val="clear" w:color="000000" w:fill="E2EFDA"/>
            <w:noWrap/>
            <w:vAlign w:val="center"/>
            <w:hideMark/>
          </w:tcPr>
          <w:p w14:paraId="4FE951D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17.14%</w:t>
            </w:r>
          </w:p>
        </w:tc>
      </w:tr>
      <w:tr w:rsidR="007672DE" w:rsidRPr="003C1B5E" w14:paraId="6BB2B461" w14:textId="77777777" w:rsidTr="007672DE">
        <w:trPr>
          <w:trHeight w:val="71"/>
        </w:trPr>
        <w:tc>
          <w:tcPr>
            <w:tcW w:w="3403" w:type="dxa"/>
            <w:shd w:val="clear" w:color="000000" w:fill="C65911"/>
            <w:noWrap/>
            <w:vAlign w:val="bottom"/>
            <w:hideMark/>
          </w:tcPr>
          <w:p w14:paraId="7A1360A7" w14:textId="77777777" w:rsidR="007672DE" w:rsidRPr="003C1B5E" w:rsidRDefault="007672DE" w:rsidP="007672DE">
            <w:pPr>
              <w:rPr>
                <w:rFonts w:ascii="Calibri" w:hAnsi="Calibri"/>
                <w:b/>
                <w:bCs/>
                <w:color w:val="FFFFFF"/>
                <w:sz w:val="18"/>
                <w:szCs w:val="18"/>
              </w:rPr>
            </w:pPr>
            <w:r w:rsidRPr="003C1B5E">
              <w:rPr>
                <w:rFonts w:ascii="Calibri" w:hAnsi="Calibri"/>
                <w:b/>
                <w:bCs/>
                <w:color w:val="FFFFFF"/>
                <w:sz w:val="18"/>
                <w:szCs w:val="18"/>
              </w:rPr>
              <w:t>Total Net Assets</w:t>
            </w:r>
          </w:p>
        </w:tc>
        <w:tc>
          <w:tcPr>
            <w:tcW w:w="1134" w:type="dxa"/>
            <w:shd w:val="clear" w:color="000000" w:fill="C65911"/>
            <w:noWrap/>
            <w:vAlign w:val="bottom"/>
            <w:hideMark/>
          </w:tcPr>
          <w:p w14:paraId="546FD6C3"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2,172</w:t>
            </w:r>
          </w:p>
        </w:tc>
        <w:tc>
          <w:tcPr>
            <w:tcW w:w="1067" w:type="dxa"/>
            <w:shd w:val="clear" w:color="000000" w:fill="C65911"/>
            <w:noWrap/>
            <w:vAlign w:val="bottom"/>
            <w:hideMark/>
          </w:tcPr>
          <w:p w14:paraId="618EC67D"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2,249</w:t>
            </w:r>
          </w:p>
        </w:tc>
        <w:tc>
          <w:tcPr>
            <w:tcW w:w="1059" w:type="dxa"/>
            <w:shd w:val="clear" w:color="000000" w:fill="C65911"/>
            <w:noWrap/>
            <w:vAlign w:val="bottom"/>
            <w:hideMark/>
          </w:tcPr>
          <w:p w14:paraId="3D618679"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2,694</w:t>
            </w:r>
          </w:p>
        </w:tc>
        <w:tc>
          <w:tcPr>
            <w:tcW w:w="1134" w:type="dxa"/>
            <w:shd w:val="clear" w:color="000000" w:fill="C65911"/>
            <w:noWrap/>
            <w:vAlign w:val="bottom"/>
            <w:hideMark/>
          </w:tcPr>
          <w:p w14:paraId="61709A5C"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2,802</w:t>
            </w:r>
          </w:p>
        </w:tc>
        <w:tc>
          <w:tcPr>
            <w:tcW w:w="1134" w:type="dxa"/>
            <w:shd w:val="clear" w:color="000000" w:fill="C65911"/>
            <w:noWrap/>
            <w:vAlign w:val="bottom"/>
            <w:hideMark/>
          </w:tcPr>
          <w:p w14:paraId="37DEA36C"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3,259</w:t>
            </w:r>
          </w:p>
        </w:tc>
        <w:tc>
          <w:tcPr>
            <w:tcW w:w="851" w:type="dxa"/>
            <w:shd w:val="clear" w:color="000000" w:fill="00B050"/>
            <w:noWrap/>
            <w:vAlign w:val="bottom"/>
            <w:hideMark/>
          </w:tcPr>
          <w:p w14:paraId="73304491"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16%</w:t>
            </w:r>
          </w:p>
        </w:tc>
        <w:tc>
          <w:tcPr>
            <w:tcW w:w="1275" w:type="dxa"/>
            <w:shd w:val="clear" w:color="000000" w:fill="00B050"/>
            <w:noWrap/>
            <w:vAlign w:val="bottom"/>
            <w:hideMark/>
          </w:tcPr>
          <w:p w14:paraId="1DC362D1"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10.68%</w:t>
            </w:r>
          </w:p>
        </w:tc>
      </w:tr>
      <w:tr w:rsidR="007672DE" w:rsidRPr="003C1B5E" w14:paraId="6575BAD2" w14:textId="77777777" w:rsidTr="007672DE">
        <w:trPr>
          <w:trHeight w:val="71"/>
        </w:trPr>
        <w:tc>
          <w:tcPr>
            <w:tcW w:w="3403" w:type="dxa"/>
            <w:shd w:val="clear" w:color="000000" w:fill="808080"/>
            <w:vAlign w:val="bottom"/>
            <w:hideMark/>
          </w:tcPr>
          <w:p w14:paraId="41BEDFE1" w14:textId="77777777" w:rsidR="007672DE" w:rsidRPr="003C1B5E" w:rsidRDefault="007672DE" w:rsidP="007672DE">
            <w:pPr>
              <w:rPr>
                <w:rFonts w:ascii="Calibri" w:hAnsi="Calibri"/>
                <w:b/>
                <w:bCs/>
                <w:color w:val="FFFFFF"/>
                <w:sz w:val="18"/>
                <w:szCs w:val="18"/>
              </w:rPr>
            </w:pPr>
            <w:r w:rsidRPr="003C1B5E">
              <w:rPr>
                <w:rFonts w:ascii="Calibri" w:hAnsi="Calibri"/>
                <w:b/>
                <w:bCs/>
                <w:color w:val="FFFFFF"/>
                <w:sz w:val="21"/>
                <w:szCs w:val="18"/>
              </w:rPr>
              <w:t>Net Cash</w:t>
            </w:r>
          </w:p>
        </w:tc>
        <w:tc>
          <w:tcPr>
            <w:tcW w:w="1134" w:type="dxa"/>
            <w:shd w:val="clear" w:color="000000" w:fill="808080"/>
            <w:noWrap/>
            <w:vAlign w:val="center"/>
            <w:hideMark/>
          </w:tcPr>
          <w:p w14:paraId="529F9148"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067" w:type="dxa"/>
            <w:shd w:val="clear" w:color="000000" w:fill="808080"/>
            <w:noWrap/>
            <w:vAlign w:val="center"/>
            <w:hideMark/>
          </w:tcPr>
          <w:p w14:paraId="4E954921"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059" w:type="dxa"/>
            <w:shd w:val="clear" w:color="000000" w:fill="808080"/>
            <w:noWrap/>
            <w:vAlign w:val="center"/>
            <w:hideMark/>
          </w:tcPr>
          <w:p w14:paraId="502345E3"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134" w:type="dxa"/>
            <w:shd w:val="clear" w:color="000000" w:fill="808080"/>
            <w:noWrap/>
            <w:vAlign w:val="center"/>
            <w:hideMark/>
          </w:tcPr>
          <w:p w14:paraId="743CF991"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134" w:type="dxa"/>
            <w:shd w:val="clear" w:color="000000" w:fill="808080"/>
            <w:noWrap/>
            <w:vAlign w:val="center"/>
            <w:hideMark/>
          </w:tcPr>
          <w:p w14:paraId="623F234A"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851" w:type="dxa"/>
            <w:shd w:val="clear" w:color="000000" w:fill="808080"/>
            <w:noWrap/>
            <w:vAlign w:val="center"/>
            <w:hideMark/>
          </w:tcPr>
          <w:p w14:paraId="2B39B237"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c>
          <w:tcPr>
            <w:tcW w:w="1275" w:type="dxa"/>
            <w:shd w:val="clear" w:color="000000" w:fill="808080"/>
            <w:noWrap/>
            <w:vAlign w:val="center"/>
            <w:hideMark/>
          </w:tcPr>
          <w:p w14:paraId="5F76A3C6"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r>
      <w:tr w:rsidR="007672DE" w:rsidRPr="003C1B5E" w14:paraId="04A974AA" w14:textId="77777777" w:rsidTr="007672DE">
        <w:trPr>
          <w:trHeight w:val="71"/>
        </w:trPr>
        <w:tc>
          <w:tcPr>
            <w:tcW w:w="3403" w:type="dxa"/>
            <w:shd w:val="clear" w:color="auto" w:fill="auto"/>
            <w:noWrap/>
            <w:vAlign w:val="bottom"/>
            <w:hideMark/>
          </w:tcPr>
          <w:p w14:paraId="708CE699"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Operating Activities</w:t>
            </w:r>
          </w:p>
        </w:tc>
        <w:tc>
          <w:tcPr>
            <w:tcW w:w="1134" w:type="dxa"/>
            <w:shd w:val="clear" w:color="auto" w:fill="auto"/>
            <w:noWrap/>
            <w:vAlign w:val="bottom"/>
            <w:hideMark/>
          </w:tcPr>
          <w:p w14:paraId="6877736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394</w:t>
            </w:r>
          </w:p>
        </w:tc>
        <w:tc>
          <w:tcPr>
            <w:tcW w:w="1067" w:type="dxa"/>
            <w:shd w:val="clear" w:color="auto" w:fill="auto"/>
            <w:noWrap/>
            <w:vAlign w:val="bottom"/>
            <w:hideMark/>
          </w:tcPr>
          <w:p w14:paraId="4992AE4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609</w:t>
            </w:r>
          </w:p>
        </w:tc>
        <w:tc>
          <w:tcPr>
            <w:tcW w:w="1059" w:type="dxa"/>
            <w:shd w:val="clear" w:color="auto" w:fill="auto"/>
            <w:noWrap/>
            <w:vAlign w:val="bottom"/>
            <w:hideMark/>
          </w:tcPr>
          <w:p w14:paraId="1B33AEC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387</w:t>
            </w:r>
          </w:p>
        </w:tc>
        <w:tc>
          <w:tcPr>
            <w:tcW w:w="1134" w:type="dxa"/>
            <w:shd w:val="clear" w:color="auto" w:fill="auto"/>
            <w:noWrap/>
            <w:vAlign w:val="bottom"/>
            <w:hideMark/>
          </w:tcPr>
          <w:p w14:paraId="28C601B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663</w:t>
            </w:r>
          </w:p>
        </w:tc>
        <w:tc>
          <w:tcPr>
            <w:tcW w:w="1134" w:type="dxa"/>
            <w:shd w:val="clear" w:color="auto" w:fill="auto"/>
            <w:noWrap/>
            <w:vAlign w:val="bottom"/>
            <w:hideMark/>
          </w:tcPr>
          <w:p w14:paraId="4F3C53AC"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961</w:t>
            </w:r>
          </w:p>
        </w:tc>
        <w:tc>
          <w:tcPr>
            <w:tcW w:w="851" w:type="dxa"/>
            <w:shd w:val="clear" w:color="000000" w:fill="E2EFDA"/>
            <w:noWrap/>
            <w:vAlign w:val="bottom"/>
            <w:hideMark/>
          </w:tcPr>
          <w:p w14:paraId="5862BBE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45%</w:t>
            </w:r>
          </w:p>
        </w:tc>
        <w:tc>
          <w:tcPr>
            <w:tcW w:w="1275" w:type="dxa"/>
            <w:shd w:val="clear" w:color="000000" w:fill="E2EFDA"/>
            <w:noWrap/>
            <w:vAlign w:val="center"/>
            <w:hideMark/>
          </w:tcPr>
          <w:p w14:paraId="5ED0A07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24.97%</w:t>
            </w:r>
          </w:p>
        </w:tc>
      </w:tr>
      <w:tr w:rsidR="007672DE" w:rsidRPr="003C1B5E" w14:paraId="37BA562F" w14:textId="77777777" w:rsidTr="007672DE">
        <w:trPr>
          <w:trHeight w:val="71"/>
        </w:trPr>
        <w:tc>
          <w:tcPr>
            <w:tcW w:w="3403" w:type="dxa"/>
            <w:shd w:val="clear" w:color="auto" w:fill="auto"/>
            <w:noWrap/>
            <w:vAlign w:val="bottom"/>
            <w:hideMark/>
          </w:tcPr>
          <w:p w14:paraId="73ED5966"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Investing Activities</w:t>
            </w:r>
          </w:p>
        </w:tc>
        <w:tc>
          <w:tcPr>
            <w:tcW w:w="1134" w:type="dxa"/>
            <w:shd w:val="clear" w:color="auto" w:fill="auto"/>
            <w:noWrap/>
            <w:vAlign w:val="bottom"/>
            <w:hideMark/>
          </w:tcPr>
          <w:p w14:paraId="738B8E5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-445</w:t>
            </w:r>
          </w:p>
        </w:tc>
        <w:tc>
          <w:tcPr>
            <w:tcW w:w="1067" w:type="dxa"/>
            <w:shd w:val="clear" w:color="auto" w:fill="auto"/>
            <w:noWrap/>
            <w:vAlign w:val="bottom"/>
            <w:hideMark/>
          </w:tcPr>
          <w:p w14:paraId="4BE1B72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-532</w:t>
            </w:r>
          </w:p>
        </w:tc>
        <w:tc>
          <w:tcPr>
            <w:tcW w:w="1059" w:type="dxa"/>
            <w:shd w:val="clear" w:color="auto" w:fill="auto"/>
            <w:noWrap/>
            <w:vAlign w:val="bottom"/>
            <w:hideMark/>
          </w:tcPr>
          <w:p w14:paraId="2D3BB7D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-586</w:t>
            </w:r>
          </w:p>
        </w:tc>
        <w:tc>
          <w:tcPr>
            <w:tcW w:w="1134" w:type="dxa"/>
            <w:shd w:val="clear" w:color="auto" w:fill="auto"/>
            <w:noWrap/>
            <w:vAlign w:val="bottom"/>
            <w:hideMark/>
          </w:tcPr>
          <w:p w14:paraId="6707C1A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-515</w:t>
            </w:r>
          </w:p>
        </w:tc>
        <w:tc>
          <w:tcPr>
            <w:tcW w:w="1134" w:type="dxa"/>
            <w:shd w:val="clear" w:color="auto" w:fill="auto"/>
            <w:noWrap/>
            <w:vAlign w:val="bottom"/>
            <w:hideMark/>
          </w:tcPr>
          <w:p w14:paraId="2F9D707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-906</w:t>
            </w:r>
          </w:p>
        </w:tc>
        <w:tc>
          <w:tcPr>
            <w:tcW w:w="851" w:type="dxa"/>
            <w:shd w:val="clear" w:color="000000" w:fill="E2EFDA"/>
            <w:noWrap/>
            <w:vAlign w:val="bottom"/>
            <w:hideMark/>
          </w:tcPr>
          <w:p w14:paraId="45EFAF8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76%</w:t>
            </w:r>
          </w:p>
        </w:tc>
        <w:tc>
          <w:tcPr>
            <w:tcW w:w="1275" w:type="dxa"/>
            <w:shd w:val="clear" w:color="000000" w:fill="E2EFDA"/>
            <w:noWrap/>
            <w:vAlign w:val="center"/>
            <w:hideMark/>
          </w:tcPr>
          <w:p w14:paraId="172D163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19.45%</w:t>
            </w:r>
          </w:p>
        </w:tc>
      </w:tr>
      <w:tr w:rsidR="007672DE" w:rsidRPr="003C1B5E" w14:paraId="159F04DF" w14:textId="77777777" w:rsidTr="007672DE">
        <w:trPr>
          <w:trHeight w:val="71"/>
        </w:trPr>
        <w:tc>
          <w:tcPr>
            <w:tcW w:w="3403" w:type="dxa"/>
            <w:shd w:val="clear" w:color="auto" w:fill="auto"/>
            <w:vAlign w:val="center"/>
            <w:hideMark/>
          </w:tcPr>
          <w:p w14:paraId="02891BE0"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 xml:space="preserve">Financing Activities </w:t>
            </w:r>
            <w:r w:rsidRPr="003C1B5E">
              <w:rPr>
                <w:rFonts w:ascii="Calibri" w:hAnsi="Calibri"/>
                <w:i/>
                <w:color w:val="000000"/>
                <w:sz w:val="18"/>
                <w:szCs w:val="18"/>
              </w:rPr>
              <w:t>(excluding movements in borrowings and money market deposits)</w:t>
            </w:r>
          </w:p>
        </w:tc>
        <w:tc>
          <w:tcPr>
            <w:tcW w:w="1134" w:type="dxa"/>
            <w:shd w:val="clear" w:color="auto" w:fill="auto"/>
            <w:vAlign w:val="center"/>
            <w:hideMark/>
          </w:tcPr>
          <w:p w14:paraId="60FF08D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-76</w:t>
            </w:r>
          </w:p>
        </w:tc>
        <w:tc>
          <w:tcPr>
            <w:tcW w:w="1067" w:type="dxa"/>
            <w:shd w:val="clear" w:color="auto" w:fill="auto"/>
            <w:vAlign w:val="center"/>
            <w:hideMark/>
          </w:tcPr>
          <w:p w14:paraId="3302D6E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-70</w:t>
            </w:r>
          </w:p>
        </w:tc>
        <w:tc>
          <w:tcPr>
            <w:tcW w:w="1059" w:type="dxa"/>
            <w:shd w:val="clear" w:color="auto" w:fill="auto"/>
            <w:vAlign w:val="center"/>
            <w:hideMark/>
          </w:tcPr>
          <w:p w14:paraId="0EFA5E1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-16</w:t>
            </w:r>
          </w:p>
        </w:tc>
        <w:tc>
          <w:tcPr>
            <w:tcW w:w="1134" w:type="dxa"/>
            <w:shd w:val="clear" w:color="auto" w:fill="auto"/>
            <w:vAlign w:val="center"/>
            <w:hideMark/>
          </w:tcPr>
          <w:p w14:paraId="35F9595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-10</w:t>
            </w:r>
          </w:p>
        </w:tc>
        <w:tc>
          <w:tcPr>
            <w:tcW w:w="1134" w:type="dxa"/>
            <w:shd w:val="clear" w:color="auto" w:fill="auto"/>
            <w:vAlign w:val="center"/>
            <w:hideMark/>
          </w:tcPr>
          <w:p w14:paraId="39E58AD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-21</w:t>
            </w:r>
          </w:p>
        </w:tc>
        <w:tc>
          <w:tcPr>
            <w:tcW w:w="851" w:type="dxa"/>
            <w:shd w:val="clear" w:color="000000" w:fill="E2EFDA"/>
            <w:noWrap/>
            <w:vAlign w:val="center"/>
            <w:hideMark/>
          </w:tcPr>
          <w:p w14:paraId="360D30D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110%</w:t>
            </w:r>
          </w:p>
        </w:tc>
        <w:tc>
          <w:tcPr>
            <w:tcW w:w="1275" w:type="dxa"/>
            <w:shd w:val="clear" w:color="000000" w:fill="E2EFDA"/>
            <w:noWrap/>
            <w:vAlign w:val="center"/>
            <w:hideMark/>
          </w:tcPr>
          <w:p w14:paraId="3317081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-27.50%</w:t>
            </w:r>
          </w:p>
        </w:tc>
      </w:tr>
      <w:tr w:rsidR="007672DE" w:rsidRPr="003C1B5E" w14:paraId="4B2CF91C" w14:textId="77777777" w:rsidTr="007672DE">
        <w:trPr>
          <w:trHeight w:val="71"/>
        </w:trPr>
        <w:tc>
          <w:tcPr>
            <w:tcW w:w="3403" w:type="dxa"/>
            <w:shd w:val="clear" w:color="auto" w:fill="auto"/>
            <w:noWrap/>
            <w:vAlign w:val="bottom"/>
            <w:hideMark/>
          </w:tcPr>
          <w:p w14:paraId="108AABAB"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Loan Issue Costs</w:t>
            </w:r>
          </w:p>
        </w:tc>
        <w:tc>
          <w:tcPr>
            <w:tcW w:w="1134" w:type="dxa"/>
            <w:shd w:val="clear" w:color="auto" w:fill="auto"/>
            <w:noWrap/>
            <w:vAlign w:val="bottom"/>
            <w:hideMark/>
          </w:tcPr>
          <w:p w14:paraId="32E86BA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w:t>
            </w:r>
          </w:p>
        </w:tc>
        <w:tc>
          <w:tcPr>
            <w:tcW w:w="1067" w:type="dxa"/>
            <w:shd w:val="clear" w:color="auto" w:fill="auto"/>
            <w:noWrap/>
            <w:vAlign w:val="center"/>
            <w:hideMark/>
          </w:tcPr>
          <w:p w14:paraId="1975D54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5884042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w:t>
            </w:r>
          </w:p>
        </w:tc>
        <w:tc>
          <w:tcPr>
            <w:tcW w:w="1134" w:type="dxa"/>
            <w:shd w:val="clear" w:color="auto" w:fill="auto"/>
            <w:noWrap/>
            <w:vAlign w:val="bottom"/>
            <w:hideMark/>
          </w:tcPr>
          <w:p w14:paraId="5BA0DDB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w:t>
            </w:r>
          </w:p>
        </w:tc>
        <w:tc>
          <w:tcPr>
            <w:tcW w:w="1134" w:type="dxa"/>
            <w:shd w:val="clear" w:color="auto" w:fill="auto"/>
            <w:noWrap/>
            <w:vAlign w:val="bottom"/>
            <w:hideMark/>
          </w:tcPr>
          <w:p w14:paraId="45672F4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w:t>
            </w:r>
          </w:p>
        </w:tc>
        <w:tc>
          <w:tcPr>
            <w:tcW w:w="851" w:type="dxa"/>
            <w:shd w:val="clear" w:color="000000" w:fill="E2EFDA"/>
            <w:noWrap/>
            <w:vAlign w:val="bottom"/>
            <w:hideMark/>
          </w:tcPr>
          <w:p w14:paraId="228E1A5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-117%</w:t>
            </w:r>
          </w:p>
        </w:tc>
        <w:tc>
          <w:tcPr>
            <w:tcW w:w="1275" w:type="dxa"/>
            <w:shd w:val="clear" w:color="000000" w:fill="E2EFDA"/>
            <w:noWrap/>
            <w:vAlign w:val="center"/>
            <w:hideMark/>
          </w:tcPr>
          <w:p w14:paraId="4095BAD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0%</w:t>
            </w:r>
          </w:p>
        </w:tc>
      </w:tr>
      <w:tr w:rsidR="007672DE" w:rsidRPr="003C1B5E" w14:paraId="08AE560E" w14:textId="77777777" w:rsidTr="007672DE">
        <w:trPr>
          <w:trHeight w:val="71"/>
        </w:trPr>
        <w:tc>
          <w:tcPr>
            <w:tcW w:w="3403" w:type="dxa"/>
            <w:shd w:val="clear" w:color="auto" w:fill="auto"/>
            <w:noWrap/>
            <w:vAlign w:val="bottom"/>
            <w:hideMark/>
          </w:tcPr>
          <w:p w14:paraId="175D7374"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Exchange Gains/Losses</w:t>
            </w:r>
          </w:p>
        </w:tc>
        <w:tc>
          <w:tcPr>
            <w:tcW w:w="1134" w:type="dxa"/>
            <w:shd w:val="clear" w:color="auto" w:fill="auto"/>
            <w:noWrap/>
            <w:vAlign w:val="bottom"/>
            <w:hideMark/>
          </w:tcPr>
          <w:p w14:paraId="7722D92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w:t>
            </w:r>
          </w:p>
        </w:tc>
        <w:tc>
          <w:tcPr>
            <w:tcW w:w="1067" w:type="dxa"/>
            <w:shd w:val="clear" w:color="auto" w:fill="auto"/>
            <w:noWrap/>
            <w:vAlign w:val="bottom"/>
            <w:hideMark/>
          </w:tcPr>
          <w:p w14:paraId="0EF2310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w:t>
            </w:r>
          </w:p>
        </w:tc>
        <w:tc>
          <w:tcPr>
            <w:tcW w:w="1059" w:type="dxa"/>
            <w:shd w:val="clear" w:color="auto" w:fill="auto"/>
            <w:noWrap/>
            <w:vAlign w:val="bottom"/>
            <w:hideMark/>
          </w:tcPr>
          <w:p w14:paraId="7C4F63F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w:t>
            </w:r>
          </w:p>
        </w:tc>
        <w:tc>
          <w:tcPr>
            <w:tcW w:w="1134" w:type="dxa"/>
            <w:shd w:val="clear" w:color="auto" w:fill="auto"/>
            <w:noWrap/>
            <w:vAlign w:val="center"/>
            <w:hideMark/>
          </w:tcPr>
          <w:p w14:paraId="0CBA915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134" w:type="dxa"/>
            <w:shd w:val="clear" w:color="auto" w:fill="auto"/>
            <w:noWrap/>
            <w:vAlign w:val="bottom"/>
            <w:hideMark/>
          </w:tcPr>
          <w:p w14:paraId="6C674AD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w:t>
            </w:r>
          </w:p>
        </w:tc>
        <w:tc>
          <w:tcPr>
            <w:tcW w:w="851" w:type="dxa"/>
            <w:shd w:val="clear" w:color="000000" w:fill="E2EFDA"/>
            <w:noWrap/>
            <w:vAlign w:val="bottom"/>
            <w:hideMark/>
          </w:tcPr>
          <w:p w14:paraId="51AFF55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275" w:type="dxa"/>
            <w:shd w:val="clear" w:color="000000" w:fill="E2EFDA"/>
            <w:noWrap/>
            <w:vAlign w:val="center"/>
            <w:hideMark/>
          </w:tcPr>
          <w:p w14:paraId="6663408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4793CA5C" w14:textId="77777777" w:rsidTr="007672DE">
        <w:trPr>
          <w:trHeight w:val="71"/>
        </w:trPr>
        <w:tc>
          <w:tcPr>
            <w:tcW w:w="3403" w:type="dxa"/>
            <w:shd w:val="clear" w:color="000000" w:fill="C65911"/>
            <w:noWrap/>
            <w:vAlign w:val="bottom"/>
            <w:hideMark/>
          </w:tcPr>
          <w:p w14:paraId="23280B9D" w14:textId="77777777" w:rsidR="007672DE" w:rsidRPr="003C1B5E" w:rsidRDefault="007672DE" w:rsidP="007672DE">
            <w:pPr>
              <w:rPr>
                <w:rFonts w:ascii="Calibri" w:hAnsi="Calibri"/>
                <w:color w:val="FFFFFF"/>
                <w:sz w:val="18"/>
                <w:szCs w:val="18"/>
              </w:rPr>
            </w:pPr>
            <w:r w:rsidRPr="003C1B5E">
              <w:rPr>
                <w:rFonts w:ascii="Calibri" w:hAnsi="Calibri"/>
                <w:color w:val="FFFFFF"/>
                <w:sz w:val="18"/>
                <w:szCs w:val="18"/>
              </w:rPr>
              <w:t>Net Increase/Decrease in Net Cash</w:t>
            </w:r>
          </w:p>
        </w:tc>
        <w:tc>
          <w:tcPr>
            <w:tcW w:w="1134" w:type="dxa"/>
            <w:shd w:val="clear" w:color="000000" w:fill="C65911"/>
            <w:noWrap/>
            <w:vAlign w:val="bottom"/>
            <w:hideMark/>
          </w:tcPr>
          <w:p w14:paraId="5252462C"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-136</w:t>
            </w:r>
          </w:p>
        </w:tc>
        <w:tc>
          <w:tcPr>
            <w:tcW w:w="1067" w:type="dxa"/>
            <w:shd w:val="clear" w:color="000000" w:fill="C65911"/>
            <w:noWrap/>
            <w:vAlign w:val="bottom"/>
            <w:hideMark/>
          </w:tcPr>
          <w:p w14:paraId="395AF268"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13</w:t>
            </w:r>
          </w:p>
        </w:tc>
        <w:tc>
          <w:tcPr>
            <w:tcW w:w="1059" w:type="dxa"/>
            <w:shd w:val="clear" w:color="000000" w:fill="C65911"/>
            <w:noWrap/>
            <w:vAlign w:val="bottom"/>
            <w:hideMark/>
          </w:tcPr>
          <w:p w14:paraId="71125340"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-222</w:t>
            </w:r>
          </w:p>
        </w:tc>
        <w:tc>
          <w:tcPr>
            <w:tcW w:w="1134" w:type="dxa"/>
            <w:shd w:val="clear" w:color="000000" w:fill="C65911"/>
            <w:noWrap/>
            <w:vAlign w:val="bottom"/>
            <w:hideMark/>
          </w:tcPr>
          <w:p w14:paraId="6710A56D"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144</w:t>
            </w:r>
          </w:p>
        </w:tc>
        <w:tc>
          <w:tcPr>
            <w:tcW w:w="1134" w:type="dxa"/>
            <w:shd w:val="clear" w:color="000000" w:fill="C65911"/>
            <w:noWrap/>
            <w:vAlign w:val="bottom"/>
            <w:hideMark/>
          </w:tcPr>
          <w:p w14:paraId="04A72516"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39</w:t>
            </w:r>
          </w:p>
        </w:tc>
        <w:tc>
          <w:tcPr>
            <w:tcW w:w="851" w:type="dxa"/>
            <w:shd w:val="clear" w:color="000000" w:fill="00B050"/>
            <w:noWrap/>
            <w:vAlign w:val="bottom"/>
            <w:hideMark/>
          </w:tcPr>
          <w:p w14:paraId="1B467258"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-73%</w:t>
            </w:r>
          </w:p>
        </w:tc>
        <w:tc>
          <w:tcPr>
            <w:tcW w:w="1275" w:type="dxa"/>
            <w:shd w:val="clear" w:color="000000" w:fill="00B050"/>
            <w:noWrap/>
            <w:vAlign w:val="bottom"/>
            <w:hideMark/>
          </w:tcPr>
          <w:p w14:paraId="789D5A08" w14:textId="77777777" w:rsidR="007672DE" w:rsidRPr="003C1B5E" w:rsidRDefault="007672DE" w:rsidP="007672DE">
            <w:pPr>
              <w:jc w:val="right"/>
              <w:rPr>
                <w:rFonts w:ascii="Calibri" w:hAnsi="Calibri"/>
                <w:color w:val="FFFFFF"/>
                <w:sz w:val="18"/>
                <w:szCs w:val="18"/>
              </w:rPr>
            </w:pPr>
            <w:r w:rsidRPr="003C1B5E">
              <w:rPr>
                <w:rFonts w:ascii="Calibri" w:hAnsi="Calibri"/>
                <w:color w:val="FFFFFF"/>
                <w:sz w:val="18"/>
                <w:szCs w:val="18"/>
              </w:rPr>
              <w:t>-</w:t>
            </w:r>
          </w:p>
        </w:tc>
      </w:tr>
      <w:tr w:rsidR="007672DE" w:rsidRPr="003C1B5E" w14:paraId="522DBC21" w14:textId="77777777" w:rsidTr="007672DE">
        <w:trPr>
          <w:trHeight w:val="71"/>
        </w:trPr>
        <w:tc>
          <w:tcPr>
            <w:tcW w:w="3403" w:type="dxa"/>
            <w:shd w:val="clear" w:color="000000" w:fill="808080"/>
            <w:vAlign w:val="bottom"/>
            <w:hideMark/>
          </w:tcPr>
          <w:p w14:paraId="0BC7032B" w14:textId="77777777" w:rsidR="007672DE" w:rsidRPr="003C1B5E" w:rsidRDefault="007672DE" w:rsidP="007672DE">
            <w:pPr>
              <w:rPr>
                <w:rFonts w:ascii="Calibri" w:hAnsi="Calibri"/>
                <w:b/>
                <w:bCs/>
                <w:color w:val="FFFFFF"/>
                <w:sz w:val="18"/>
                <w:szCs w:val="18"/>
              </w:rPr>
            </w:pPr>
            <w:r w:rsidRPr="003C1B5E">
              <w:rPr>
                <w:rFonts w:ascii="Calibri" w:hAnsi="Calibri"/>
                <w:b/>
                <w:bCs/>
                <w:color w:val="FFFFFF"/>
                <w:sz w:val="21"/>
                <w:szCs w:val="18"/>
              </w:rPr>
              <w:t>Key Performance Indicators</w:t>
            </w:r>
          </w:p>
        </w:tc>
        <w:tc>
          <w:tcPr>
            <w:tcW w:w="1134" w:type="dxa"/>
            <w:shd w:val="clear" w:color="000000" w:fill="808080"/>
            <w:noWrap/>
            <w:vAlign w:val="center"/>
            <w:hideMark/>
          </w:tcPr>
          <w:p w14:paraId="6CD130A1"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067" w:type="dxa"/>
            <w:shd w:val="clear" w:color="000000" w:fill="808080"/>
            <w:noWrap/>
            <w:vAlign w:val="center"/>
            <w:hideMark/>
          </w:tcPr>
          <w:p w14:paraId="3043908B"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059" w:type="dxa"/>
            <w:shd w:val="clear" w:color="000000" w:fill="808080"/>
            <w:noWrap/>
            <w:vAlign w:val="center"/>
            <w:hideMark/>
          </w:tcPr>
          <w:p w14:paraId="2B0CE84F"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134" w:type="dxa"/>
            <w:shd w:val="clear" w:color="000000" w:fill="808080"/>
            <w:noWrap/>
            <w:vAlign w:val="center"/>
            <w:hideMark/>
          </w:tcPr>
          <w:p w14:paraId="2938E0F0"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1134" w:type="dxa"/>
            <w:shd w:val="clear" w:color="000000" w:fill="808080"/>
            <w:noWrap/>
            <w:vAlign w:val="center"/>
            <w:hideMark/>
          </w:tcPr>
          <w:p w14:paraId="061A208C" w14:textId="77777777" w:rsidR="007672DE" w:rsidRPr="003C1B5E" w:rsidRDefault="007672DE" w:rsidP="007672DE">
            <w:pPr>
              <w:jc w:val="right"/>
              <w:rPr>
                <w:rFonts w:ascii="Calibri" w:hAnsi="Calibri"/>
                <w:b/>
                <w:bCs/>
                <w:color w:val="FFFFFF"/>
                <w:sz w:val="18"/>
                <w:szCs w:val="18"/>
              </w:rPr>
            </w:pPr>
            <w:r w:rsidRPr="003C1B5E">
              <w:rPr>
                <w:rFonts w:ascii="Calibri" w:hAnsi="Calibri"/>
                <w:b/>
                <w:bCs/>
                <w:color w:val="FFFFFF"/>
                <w:sz w:val="18"/>
                <w:szCs w:val="18"/>
              </w:rPr>
              <w:t> </w:t>
            </w:r>
          </w:p>
        </w:tc>
        <w:tc>
          <w:tcPr>
            <w:tcW w:w="851" w:type="dxa"/>
            <w:shd w:val="clear" w:color="000000" w:fill="808080"/>
            <w:noWrap/>
            <w:vAlign w:val="center"/>
            <w:hideMark/>
          </w:tcPr>
          <w:p w14:paraId="335F47AB"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c>
          <w:tcPr>
            <w:tcW w:w="1275" w:type="dxa"/>
            <w:shd w:val="clear" w:color="000000" w:fill="808080"/>
            <w:noWrap/>
            <w:vAlign w:val="center"/>
            <w:hideMark/>
          </w:tcPr>
          <w:p w14:paraId="694D366C" w14:textId="77777777" w:rsidR="007672DE" w:rsidRPr="003C1B5E" w:rsidRDefault="007672DE" w:rsidP="007672DE">
            <w:pPr>
              <w:jc w:val="center"/>
              <w:rPr>
                <w:rFonts w:ascii="Calibri" w:hAnsi="Calibri"/>
                <w:b/>
                <w:bCs/>
                <w:color w:val="FFFFFF"/>
                <w:sz w:val="18"/>
                <w:szCs w:val="18"/>
              </w:rPr>
            </w:pPr>
            <w:r w:rsidRPr="003C1B5E">
              <w:rPr>
                <w:rFonts w:ascii="Calibri" w:hAnsi="Calibri"/>
                <w:b/>
                <w:bCs/>
                <w:color w:val="FFFFFF"/>
                <w:sz w:val="18"/>
                <w:szCs w:val="18"/>
              </w:rPr>
              <w:t> </w:t>
            </w:r>
          </w:p>
        </w:tc>
      </w:tr>
      <w:tr w:rsidR="007672DE" w:rsidRPr="003C1B5E" w14:paraId="7CF0A28A" w14:textId="77777777" w:rsidTr="007672DE">
        <w:trPr>
          <w:trHeight w:val="71"/>
        </w:trPr>
        <w:tc>
          <w:tcPr>
            <w:tcW w:w="3403" w:type="dxa"/>
            <w:shd w:val="clear" w:color="auto" w:fill="auto"/>
            <w:noWrap/>
            <w:vAlign w:val="bottom"/>
            <w:hideMark/>
          </w:tcPr>
          <w:p w14:paraId="3F97113C"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Headline return on capital employed</w:t>
            </w:r>
          </w:p>
        </w:tc>
        <w:tc>
          <w:tcPr>
            <w:tcW w:w="1134" w:type="dxa"/>
            <w:shd w:val="clear" w:color="auto" w:fill="auto"/>
            <w:noWrap/>
            <w:vAlign w:val="bottom"/>
            <w:hideMark/>
          </w:tcPr>
          <w:p w14:paraId="217CFD1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20.5%</w:t>
            </w:r>
          </w:p>
        </w:tc>
        <w:tc>
          <w:tcPr>
            <w:tcW w:w="1067" w:type="dxa"/>
            <w:shd w:val="clear" w:color="auto" w:fill="auto"/>
            <w:noWrap/>
            <w:vAlign w:val="bottom"/>
            <w:hideMark/>
          </w:tcPr>
          <w:p w14:paraId="53055FF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22.5%</w:t>
            </w:r>
          </w:p>
        </w:tc>
        <w:tc>
          <w:tcPr>
            <w:tcW w:w="1059" w:type="dxa"/>
            <w:shd w:val="clear" w:color="auto" w:fill="auto"/>
            <w:noWrap/>
            <w:vAlign w:val="bottom"/>
            <w:hideMark/>
          </w:tcPr>
          <w:p w14:paraId="103EC0E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15%</w:t>
            </w:r>
          </w:p>
        </w:tc>
        <w:tc>
          <w:tcPr>
            <w:tcW w:w="1134" w:type="dxa"/>
            <w:shd w:val="clear" w:color="auto" w:fill="auto"/>
            <w:noWrap/>
            <w:vAlign w:val="bottom"/>
            <w:hideMark/>
          </w:tcPr>
          <w:p w14:paraId="527B064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11.9%</w:t>
            </w:r>
          </w:p>
        </w:tc>
        <w:tc>
          <w:tcPr>
            <w:tcW w:w="1134" w:type="dxa"/>
            <w:shd w:val="clear" w:color="auto" w:fill="auto"/>
            <w:noWrap/>
            <w:vAlign w:val="bottom"/>
            <w:hideMark/>
          </w:tcPr>
          <w:p w14:paraId="54ADB48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14.4%</w:t>
            </w:r>
          </w:p>
        </w:tc>
        <w:tc>
          <w:tcPr>
            <w:tcW w:w="851" w:type="dxa"/>
            <w:shd w:val="clear" w:color="000000" w:fill="E2EFDA"/>
            <w:noWrap/>
            <w:vAlign w:val="bottom"/>
            <w:hideMark/>
          </w:tcPr>
          <w:p w14:paraId="26F28E5C"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21%</w:t>
            </w:r>
          </w:p>
        </w:tc>
        <w:tc>
          <w:tcPr>
            <w:tcW w:w="1275" w:type="dxa"/>
            <w:shd w:val="clear" w:color="000000" w:fill="E2EFDA"/>
            <w:noWrap/>
            <w:vAlign w:val="center"/>
            <w:hideMark/>
          </w:tcPr>
          <w:p w14:paraId="424C1C9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-8.45%</w:t>
            </w:r>
          </w:p>
        </w:tc>
      </w:tr>
      <w:tr w:rsidR="007672DE" w:rsidRPr="003C1B5E" w14:paraId="3D5C508E" w14:textId="77777777" w:rsidTr="007672DE">
        <w:trPr>
          <w:trHeight w:val="71"/>
        </w:trPr>
        <w:tc>
          <w:tcPr>
            <w:tcW w:w="3403" w:type="dxa"/>
            <w:shd w:val="clear" w:color="auto" w:fill="auto"/>
            <w:noWrap/>
            <w:vAlign w:val="bottom"/>
            <w:hideMark/>
          </w:tcPr>
          <w:p w14:paraId="36988D5B"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Net Cash</w:t>
            </w:r>
          </w:p>
        </w:tc>
        <w:tc>
          <w:tcPr>
            <w:tcW w:w="1134" w:type="dxa"/>
            <w:shd w:val="clear" w:color="auto" w:fill="auto"/>
            <w:noWrap/>
            <w:vAlign w:val="bottom"/>
            <w:hideMark/>
          </w:tcPr>
          <w:p w14:paraId="1573B46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422</w:t>
            </w:r>
          </w:p>
        </w:tc>
        <w:tc>
          <w:tcPr>
            <w:tcW w:w="1067" w:type="dxa"/>
            <w:shd w:val="clear" w:color="auto" w:fill="auto"/>
            <w:noWrap/>
            <w:vAlign w:val="bottom"/>
            <w:hideMark/>
          </w:tcPr>
          <w:p w14:paraId="12DC8CD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435</w:t>
            </w:r>
          </w:p>
        </w:tc>
        <w:tc>
          <w:tcPr>
            <w:tcW w:w="1059" w:type="dxa"/>
            <w:shd w:val="clear" w:color="auto" w:fill="auto"/>
            <w:noWrap/>
            <w:vAlign w:val="bottom"/>
            <w:hideMark/>
          </w:tcPr>
          <w:p w14:paraId="3212E6A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213</w:t>
            </w:r>
          </w:p>
        </w:tc>
        <w:tc>
          <w:tcPr>
            <w:tcW w:w="1134" w:type="dxa"/>
            <w:shd w:val="clear" w:color="auto" w:fill="auto"/>
            <w:noWrap/>
            <w:vAlign w:val="bottom"/>
            <w:hideMark/>
          </w:tcPr>
          <w:p w14:paraId="1A27350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357</w:t>
            </w:r>
          </w:p>
        </w:tc>
        <w:tc>
          <w:tcPr>
            <w:tcW w:w="1134" w:type="dxa"/>
            <w:shd w:val="clear" w:color="auto" w:fill="auto"/>
            <w:noWrap/>
            <w:vAlign w:val="bottom"/>
            <w:hideMark/>
          </w:tcPr>
          <w:p w14:paraId="6D2A861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396</w:t>
            </w:r>
          </w:p>
        </w:tc>
        <w:tc>
          <w:tcPr>
            <w:tcW w:w="851" w:type="dxa"/>
            <w:shd w:val="clear" w:color="000000" w:fill="E2EFDA"/>
            <w:noWrap/>
            <w:vAlign w:val="bottom"/>
            <w:hideMark/>
          </w:tcPr>
          <w:p w14:paraId="136708C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11%</w:t>
            </w:r>
          </w:p>
        </w:tc>
        <w:tc>
          <w:tcPr>
            <w:tcW w:w="1275" w:type="dxa"/>
            <w:shd w:val="clear" w:color="000000" w:fill="E2EFDA"/>
            <w:noWrap/>
            <w:vAlign w:val="center"/>
            <w:hideMark/>
          </w:tcPr>
          <w:p w14:paraId="72C9A8C4"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-1.58%</w:t>
            </w:r>
          </w:p>
        </w:tc>
      </w:tr>
      <w:tr w:rsidR="007672DE" w:rsidRPr="003C1B5E" w14:paraId="20F5C10E" w14:textId="77777777" w:rsidTr="007672DE">
        <w:trPr>
          <w:trHeight w:val="71"/>
        </w:trPr>
        <w:tc>
          <w:tcPr>
            <w:tcW w:w="3403" w:type="dxa"/>
            <w:shd w:val="clear" w:color="auto" w:fill="auto"/>
            <w:noWrap/>
            <w:vAlign w:val="bottom"/>
            <w:hideMark/>
          </w:tcPr>
          <w:p w14:paraId="198B1A0D"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Total profit before tax per seat (£)</w:t>
            </w:r>
          </w:p>
        </w:tc>
        <w:tc>
          <w:tcPr>
            <w:tcW w:w="1134" w:type="dxa"/>
            <w:shd w:val="clear" w:color="auto" w:fill="auto"/>
            <w:noWrap/>
            <w:vAlign w:val="bottom"/>
            <w:hideMark/>
          </w:tcPr>
          <w:p w14:paraId="08731C9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8.12</w:t>
            </w:r>
          </w:p>
        </w:tc>
        <w:tc>
          <w:tcPr>
            <w:tcW w:w="1067" w:type="dxa"/>
            <w:shd w:val="clear" w:color="auto" w:fill="auto"/>
            <w:noWrap/>
            <w:vAlign w:val="bottom"/>
            <w:hideMark/>
          </w:tcPr>
          <w:p w14:paraId="431DC69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9.15</w:t>
            </w:r>
          </w:p>
        </w:tc>
        <w:tc>
          <w:tcPr>
            <w:tcW w:w="1059" w:type="dxa"/>
            <w:shd w:val="clear" w:color="auto" w:fill="auto"/>
            <w:noWrap/>
            <w:vAlign w:val="bottom"/>
            <w:hideMark/>
          </w:tcPr>
          <w:p w14:paraId="68579B7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6.35</w:t>
            </w:r>
          </w:p>
        </w:tc>
        <w:tc>
          <w:tcPr>
            <w:tcW w:w="1134" w:type="dxa"/>
            <w:shd w:val="clear" w:color="auto" w:fill="auto"/>
            <w:noWrap/>
            <w:vAlign w:val="bottom"/>
            <w:hideMark/>
          </w:tcPr>
          <w:p w14:paraId="03F4089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4.45</w:t>
            </w:r>
          </w:p>
        </w:tc>
        <w:tc>
          <w:tcPr>
            <w:tcW w:w="1134" w:type="dxa"/>
            <w:shd w:val="clear" w:color="auto" w:fill="auto"/>
            <w:noWrap/>
            <w:vAlign w:val="bottom"/>
            <w:hideMark/>
          </w:tcPr>
          <w:p w14:paraId="43F9381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4.68</w:t>
            </w:r>
          </w:p>
        </w:tc>
        <w:tc>
          <w:tcPr>
            <w:tcW w:w="851" w:type="dxa"/>
            <w:shd w:val="clear" w:color="000000" w:fill="E2EFDA"/>
            <w:noWrap/>
            <w:vAlign w:val="bottom"/>
            <w:hideMark/>
          </w:tcPr>
          <w:p w14:paraId="4AEA3BB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w:t>
            </w:r>
          </w:p>
        </w:tc>
        <w:tc>
          <w:tcPr>
            <w:tcW w:w="1275" w:type="dxa"/>
            <w:shd w:val="clear" w:color="000000" w:fill="E2EFDA"/>
            <w:noWrap/>
            <w:vAlign w:val="center"/>
            <w:hideMark/>
          </w:tcPr>
          <w:p w14:paraId="17011E58"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-12.87%</w:t>
            </w:r>
          </w:p>
        </w:tc>
      </w:tr>
      <w:tr w:rsidR="007672DE" w:rsidRPr="003C1B5E" w14:paraId="2B9AC377" w14:textId="77777777" w:rsidTr="007672DE">
        <w:trPr>
          <w:trHeight w:val="71"/>
        </w:trPr>
        <w:tc>
          <w:tcPr>
            <w:tcW w:w="3403" w:type="dxa"/>
            <w:shd w:val="clear" w:color="auto" w:fill="auto"/>
            <w:noWrap/>
            <w:vAlign w:val="bottom"/>
            <w:hideMark/>
          </w:tcPr>
          <w:p w14:paraId="0EFBFA93"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Headline profit before tax per seat (£)</w:t>
            </w:r>
          </w:p>
        </w:tc>
        <w:tc>
          <w:tcPr>
            <w:tcW w:w="1134" w:type="dxa"/>
            <w:shd w:val="clear" w:color="auto" w:fill="auto"/>
            <w:noWrap/>
            <w:vAlign w:val="center"/>
            <w:hideMark/>
          </w:tcPr>
          <w:p w14:paraId="73C88DA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67" w:type="dxa"/>
            <w:shd w:val="clear" w:color="auto" w:fill="auto"/>
            <w:noWrap/>
            <w:vAlign w:val="center"/>
            <w:hideMark/>
          </w:tcPr>
          <w:p w14:paraId="6FEE241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1DEC697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6.18</w:t>
            </w:r>
          </w:p>
        </w:tc>
        <w:tc>
          <w:tcPr>
            <w:tcW w:w="1134" w:type="dxa"/>
            <w:shd w:val="clear" w:color="auto" w:fill="auto"/>
            <w:noWrap/>
            <w:vAlign w:val="bottom"/>
            <w:hideMark/>
          </w:tcPr>
          <w:p w14:paraId="1195E61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4.71</w:t>
            </w:r>
          </w:p>
        </w:tc>
        <w:tc>
          <w:tcPr>
            <w:tcW w:w="1134" w:type="dxa"/>
            <w:shd w:val="clear" w:color="auto" w:fill="auto"/>
            <w:noWrap/>
            <w:vAlign w:val="bottom"/>
            <w:hideMark/>
          </w:tcPr>
          <w:p w14:paraId="3EA922F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6.07</w:t>
            </w:r>
          </w:p>
        </w:tc>
        <w:tc>
          <w:tcPr>
            <w:tcW w:w="851" w:type="dxa"/>
            <w:shd w:val="clear" w:color="000000" w:fill="E2EFDA"/>
            <w:noWrap/>
            <w:vAlign w:val="bottom"/>
            <w:hideMark/>
          </w:tcPr>
          <w:p w14:paraId="79AEA44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29%</w:t>
            </w:r>
          </w:p>
        </w:tc>
        <w:tc>
          <w:tcPr>
            <w:tcW w:w="1275" w:type="dxa"/>
            <w:shd w:val="clear" w:color="000000" w:fill="E2EFDA"/>
            <w:noWrap/>
            <w:vAlign w:val="center"/>
            <w:hideMark/>
          </w:tcPr>
          <w:p w14:paraId="3BE06BF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08E196C4" w14:textId="77777777" w:rsidTr="007672DE">
        <w:trPr>
          <w:trHeight w:val="71"/>
        </w:trPr>
        <w:tc>
          <w:tcPr>
            <w:tcW w:w="3403" w:type="dxa"/>
            <w:shd w:val="clear" w:color="auto" w:fill="auto"/>
            <w:noWrap/>
            <w:vAlign w:val="bottom"/>
            <w:hideMark/>
          </w:tcPr>
          <w:p w14:paraId="6B4972D0"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Revenue per seat (£)</w:t>
            </w:r>
          </w:p>
        </w:tc>
        <w:tc>
          <w:tcPr>
            <w:tcW w:w="1134" w:type="dxa"/>
            <w:shd w:val="clear" w:color="auto" w:fill="auto"/>
            <w:noWrap/>
            <w:vAlign w:val="bottom"/>
            <w:hideMark/>
          </w:tcPr>
          <w:p w14:paraId="7BC6737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63.31</w:t>
            </w:r>
          </w:p>
        </w:tc>
        <w:tc>
          <w:tcPr>
            <w:tcW w:w="1067" w:type="dxa"/>
            <w:shd w:val="clear" w:color="auto" w:fill="auto"/>
            <w:noWrap/>
            <w:vAlign w:val="bottom"/>
            <w:hideMark/>
          </w:tcPr>
          <w:p w14:paraId="0747CD2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62.48</w:t>
            </w:r>
          </w:p>
        </w:tc>
        <w:tc>
          <w:tcPr>
            <w:tcW w:w="1059" w:type="dxa"/>
            <w:shd w:val="clear" w:color="auto" w:fill="auto"/>
            <w:noWrap/>
            <w:vAlign w:val="bottom"/>
            <w:hideMark/>
          </w:tcPr>
          <w:p w14:paraId="689745C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58.46</w:t>
            </w:r>
          </w:p>
        </w:tc>
        <w:tc>
          <w:tcPr>
            <w:tcW w:w="1134" w:type="dxa"/>
            <w:shd w:val="clear" w:color="auto" w:fill="auto"/>
            <w:noWrap/>
            <w:vAlign w:val="bottom"/>
            <w:hideMark/>
          </w:tcPr>
          <w:p w14:paraId="0E5D155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58.23</w:t>
            </w:r>
          </w:p>
        </w:tc>
        <w:tc>
          <w:tcPr>
            <w:tcW w:w="1134" w:type="dxa"/>
            <w:shd w:val="clear" w:color="auto" w:fill="auto"/>
            <w:noWrap/>
            <w:vAlign w:val="bottom"/>
            <w:hideMark/>
          </w:tcPr>
          <w:p w14:paraId="2407DAC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61.94</w:t>
            </w:r>
          </w:p>
        </w:tc>
        <w:tc>
          <w:tcPr>
            <w:tcW w:w="851" w:type="dxa"/>
            <w:shd w:val="clear" w:color="000000" w:fill="E2EFDA"/>
            <w:noWrap/>
            <w:vAlign w:val="bottom"/>
            <w:hideMark/>
          </w:tcPr>
          <w:p w14:paraId="5C61FFE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w:t>
            </w:r>
          </w:p>
        </w:tc>
        <w:tc>
          <w:tcPr>
            <w:tcW w:w="1275" w:type="dxa"/>
            <w:shd w:val="clear" w:color="000000" w:fill="E2EFDA"/>
            <w:noWrap/>
            <w:vAlign w:val="center"/>
            <w:hideMark/>
          </w:tcPr>
          <w:p w14:paraId="36A23BEC"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-0.55%</w:t>
            </w:r>
          </w:p>
        </w:tc>
      </w:tr>
      <w:tr w:rsidR="007672DE" w:rsidRPr="003C1B5E" w14:paraId="429B6A24" w14:textId="77777777" w:rsidTr="007672DE">
        <w:trPr>
          <w:trHeight w:val="71"/>
        </w:trPr>
        <w:tc>
          <w:tcPr>
            <w:tcW w:w="3403" w:type="dxa"/>
            <w:shd w:val="clear" w:color="auto" w:fill="auto"/>
            <w:noWrap/>
            <w:vAlign w:val="bottom"/>
            <w:hideMark/>
          </w:tcPr>
          <w:p w14:paraId="5161A25C"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Total cost per seat (£)</w:t>
            </w:r>
          </w:p>
        </w:tc>
        <w:tc>
          <w:tcPr>
            <w:tcW w:w="1134" w:type="dxa"/>
            <w:shd w:val="clear" w:color="auto" w:fill="auto"/>
            <w:noWrap/>
            <w:vAlign w:val="bottom"/>
            <w:hideMark/>
          </w:tcPr>
          <w:p w14:paraId="299E965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55.19</w:t>
            </w:r>
          </w:p>
        </w:tc>
        <w:tc>
          <w:tcPr>
            <w:tcW w:w="1067" w:type="dxa"/>
            <w:shd w:val="clear" w:color="auto" w:fill="auto"/>
            <w:noWrap/>
            <w:vAlign w:val="bottom"/>
            <w:hideMark/>
          </w:tcPr>
          <w:p w14:paraId="43FB39B0"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53.33</w:t>
            </w:r>
          </w:p>
        </w:tc>
        <w:tc>
          <w:tcPr>
            <w:tcW w:w="1059" w:type="dxa"/>
            <w:shd w:val="clear" w:color="auto" w:fill="auto"/>
            <w:noWrap/>
            <w:vAlign w:val="bottom"/>
            <w:hideMark/>
          </w:tcPr>
          <w:p w14:paraId="17E0EED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52.11</w:t>
            </w:r>
          </w:p>
        </w:tc>
        <w:tc>
          <w:tcPr>
            <w:tcW w:w="1134" w:type="dxa"/>
            <w:shd w:val="clear" w:color="auto" w:fill="auto"/>
            <w:noWrap/>
            <w:vAlign w:val="bottom"/>
            <w:hideMark/>
          </w:tcPr>
          <w:p w14:paraId="2B37F9D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53.78</w:t>
            </w:r>
          </w:p>
        </w:tc>
        <w:tc>
          <w:tcPr>
            <w:tcW w:w="1134" w:type="dxa"/>
            <w:shd w:val="clear" w:color="auto" w:fill="auto"/>
            <w:noWrap/>
            <w:vAlign w:val="bottom"/>
            <w:hideMark/>
          </w:tcPr>
          <w:p w14:paraId="1D785C03"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57.26</w:t>
            </w:r>
          </w:p>
        </w:tc>
        <w:tc>
          <w:tcPr>
            <w:tcW w:w="851" w:type="dxa"/>
            <w:shd w:val="clear" w:color="000000" w:fill="E2EFDA"/>
            <w:noWrap/>
            <w:vAlign w:val="bottom"/>
            <w:hideMark/>
          </w:tcPr>
          <w:p w14:paraId="2D6EADB1"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6%</w:t>
            </w:r>
          </w:p>
        </w:tc>
        <w:tc>
          <w:tcPr>
            <w:tcW w:w="1275" w:type="dxa"/>
            <w:shd w:val="clear" w:color="000000" w:fill="E2EFDA"/>
            <w:noWrap/>
            <w:vAlign w:val="center"/>
            <w:hideMark/>
          </w:tcPr>
          <w:p w14:paraId="0A0A278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0.92%</w:t>
            </w:r>
          </w:p>
        </w:tc>
      </w:tr>
      <w:tr w:rsidR="007672DE" w:rsidRPr="003C1B5E" w14:paraId="62F00987" w14:textId="77777777" w:rsidTr="007672DE">
        <w:trPr>
          <w:trHeight w:val="71"/>
        </w:trPr>
        <w:tc>
          <w:tcPr>
            <w:tcW w:w="3403" w:type="dxa"/>
            <w:shd w:val="clear" w:color="auto" w:fill="auto"/>
            <w:noWrap/>
            <w:vAlign w:val="bottom"/>
            <w:hideMark/>
          </w:tcPr>
          <w:p w14:paraId="5F43C9D5"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Headline cost per seat (£)</w:t>
            </w:r>
          </w:p>
        </w:tc>
        <w:tc>
          <w:tcPr>
            <w:tcW w:w="1134" w:type="dxa"/>
            <w:shd w:val="clear" w:color="auto" w:fill="auto"/>
            <w:noWrap/>
            <w:vAlign w:val="center"/>
            <w:hideMark/>
          </w:tcPr>
          <w:p w14:paraId="46A2D9A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67" w:type="dxa"/>
            <w:shd w:val="clear" w:color="auto" w:fill="auto"/>
            <w:noWrap/>
            <w:vAlign w:val="center"/>
            <w:hideMark/>
          </w:tcPr>
          <w:p w14:paraId="7084BD5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2F61E05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52.28</w:t>
            </w:r>
          </w:p>
        </w:tc>
        <w:tc>
          <w:tcPr>
            <w:tcW w:w="1134" w:type="dxa"/>
            <w:shd w:val="clear" w:color="auto" w:fill="auto"/>
            <w:noWrap/>
            <w:vAlign w:val="bottom"/>
            <w:hideMark/>
          </w:tcPr>
          <w:p w14:paraId="58E7788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53.52</w:t>
            </w:r>
          </w:p>
        </w:tc>
        <w:tc>
          <w:tcPr>
            <w:tcW w:w="1134" w:type="dxa"/>
            <w:shd w:val="clear" w:color="auto" w:fill="auto"/>
            <w:noWrap/>
            <w:vAlign w:val="bottom"/>
            <w:hideMark/>
          </w:tcPr>
          <w:p w14:paraId="43081C4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55.87</w:t>
            </w:r>
          </w:p>
        </w:tc>
        <w:tc>
          <w:tcPr>
            <w:tcW w:w="851" w:type="dxa"/>
            <w:shd w:val="clear" w:color="000000" w:fill="E2EFDA"/>
            <w:noWrap/>
            <w:vAlign w:val="bottom"/>
            <w:hideMark/>
          </w:tcPr>
          <w:p w14:paraId="29328B78"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w:t>
            </w:r>
          </w:p>
        </w:tc>
        <w:tc>
          <w:tcPr>
            <w:tcW w:w="1275" w:type="dxa"/>
            <w:shd w:val="clear" w:color="000000" w:fill="E2EFDA"/>
            <w:noWrap/>
            <w:vAlign w:val="center"/>
            <w:hideMark/>
          </w:tcPr>
          <w:p w14:paraId="131D37B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5FE62003" w14:textId="77777777" w:rsidTr="007672DE">
        <w:trPr>
          <w:trHeight w:val="71"/>
        </w:trPr>
        <w:tc>
          <w:tcPr>
            <w:tcW w:w="3403" w:type="dxa"/>
            <w:shd w:val="clear" w:color="auto" w:fill="auto"/>
            <w:noWrap/>
            <w:vAlign w:val="bottom"/>
            <w:hideMark/>
          </w:tcPr>
          <w:p w14:paraId="2DAA5EE7"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Total cost per seat excluding fuel (£)</w:t>
            </w:r>
          </w:p>
        </w:tc>
        <w:tc>
          <w:tcPr>
            <w:tcW w:w="1134" w:type="dxa"/>
            <w:shd w:val="clear" w:color="auto" w:fill="auto"/>
            <w:noWrap/>
            <w:vAlign w:val="bottom"/>
            <w:hideMark/>
          </w:tcPr>
          <w:p w14:paraId="7C079C1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37.70</w:t>
            </w:r>
          </w:p>
        </w:tc>
        <w:tc>
          <w:tcPr>
            <w:tcW w:w="1067" w:type="dxa"/>
            <w:shd w:val="clear" w:color="auto" w:fill="auto"/>
            <w:noWrap/>
            <w:vAlign w:val="bottom"/>
            <w:hideMark/>
          </w:tcPr>
          <w:p w14:paraId="4AFCAFF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37.55</w:t>
            </w:r>
          </w:p>
        </w:tc>
        <w:tc>
          <w:tcPr>
            <w:tcW w:w="1059" w:type="dxa"/>
            <w:shd w:val="clear" w:color="auto" w:fill="auto"/>
            <w:noWrap/>
            <w:vAlign w:val="bottom"/>
            <w:hideMark/>
          </w:tcPr>
          <w:p w14:paraId="5AF88A9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38.16</w:t>
            </w:r>
          </w:p>
        </w:tc>
        <w:tc>
          <w:tcPr>
            <w:tcW w:w="1134" w:type="dxa"/>
            <w:shd w:val="clear" w:color="auto" w:fill="auto"/>
            <w:noWrap/>
            <w:vAlign w:val="bottom"/>
            <w:hideMark/>
          </w:tcPr>
          <w:p w14:paraId="0BE9FBEF"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41.53</w:t>
            </w:r>
          </w:p>
        </w:tc>
        <w:tc>
          <w:tcPr>
            <w:tcW w:w="1134" w:type="dxa"/>
            <w:shd w:val="clear" w:color="auto" w:fill="auto"/>
            <w:noWrap/>
            <w:vAlign w:val="bottom"/>
            <w:hideMark/>
          </w:tcPr>
          <w:p w14:paraId="2A72A5F7"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44.82</w:t>
            </w:r>
          </w:p>
        </w:tc>
        <w:tc>
          <w:tcPr>
            <w:tcW w:w="851" w:type="dxa"/>
            <w:shd w:val="clear" w:color="000000" w:fill="E2EFDA"/>
            <w:noWrap/>
            <w:vAlign w:val="bottom"/>
            <w:hideMark/>
          </w:tcPr>
          <w:p w14:paraId="0B55B9AB"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w:t>
            </w:r>
          </w:p>
        </w:tc>
        <w:tc>
          <w:tcPr>
            <w:tcW w:w="1275" w:type="dxa"/>
            <w:shd w:val="clear" w:color="000000" w:fill="E2EFDA"/>
            <w:noWrap/>
            <w:vAlign w:val="center"/>
            <w:hideMark/>
          </w:tcPr>
          <w:p w14:paraId="72C08CC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4.42%</w:t>
            </w:r>
          </w:p>
        </w:tc>
      </w:tr>
      <w:tr w:rsidR="007672DE" w:rsidRPr="003C1B5E" w14:paraId="35781370" w14:textId="77777777" w:rsidTr="007672DE">
        <w:trPr>
          <w:trHeight w:val="71"/>
        </w:trPr>
        <w:tc>
          <w:tcPr>
            <w:tcW w:w="3403" w:type="dxa"/>
            <w:shd w:val="clear" w:color="auto" w:fill="auto"/>
            <w:noWrap/>
            <w:vAlign w:val="bottom"/>
            <w:hideMark/>
          </w:tcPr>
          <w:p w14:paraId="1A66EC08"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Headline cost per seat excluding fuel (£)</w:t>
            </w:r>
          </w:p>
        </w:tc>
        <w:tc>
          <w:tcPr>
            <w:tcW w:w="1134" w:type="dxa"/>
            <w:shd w:val="clear" w:color="auto" w:fill="auto"/>
            <w:noWrap/>
            <w:vAlign w:val="center"/>
            <w:hideMark/>
          </w:tcPr>
          <w:p w14:paraId="7979B9A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67" w:type="dxa"/>
            <w:shd w:val="clear" w:color="auto" w:fill="auto"/>
            <w:noWrap/>
            <w:vAlign w:val="center"/>
            <w:hideMark/>
          </w:tcPr>
          <w:p w14:paraId="4DD5530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c>
          <w:tcPr>
            <w:tcW w:w="1059" w:type="dxa"/>
            <w:shd w:val="clear" w:color="auto" w:fill="auto"/>
            <w:noWrap/>
            <w:vAlign w:val="bottom"/>
            <w:hideMark/>
          </w:tcPr>
          <w:p w14:paraId="0BE009E5"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38.33</w:t>
            </w:r>
          </w:p>
        </w:tc>
        <w:tc>
          <w:tcPr>
            <w:tcW w:w="1134" w:type="dxa"/>
            <w:shd w:val="clear" w:color="auto" w:fill="auto"/>
            <w:noWrap/>
            <w:vAlign w:val="bottom"/>
            <w:hideMark/>
          </w:tcPr>
          <w:p w14:paraId="2CE8467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41.27</w:t>
            </w:r>
          </w:p>
        </w:tc>
        <w:tc>
          <w:tcPr>
            <w:tcW w:w="1134" w:type="dxa"/>
            <w:shd w:val="clear" w:color="auto" w:fill="auto"/>
            <w:noWrap/>
            <w:vAlign w:val="bottom"/>
            <w:hideMark/>
          </w:tcPr>
          <w:p w14:paraId="65E35C5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43.43</w:t>
            </w:r>
          </w:p>
        </w:tc>
        <w:tc>
          <w:tcPr>
            <w:tcW w:w="851" w:type="dxa"/>
            <w:shd w:val="clear" w:color="000000" w:fill="E2EFDA"/>
            <w:noWrap/>
            <w:vAlign w:val="bottom"/>
            <w:hideMark/>
          </w:tcPr>
          <w:p w14:paraId="5E5AD9D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5%</w:t>
            </w:r>
          </w:p>
        </w:tc>
        <w:tc>
          <w:tcPr>
            <w:tcW w:w="1275" w:type="dxa"/>
            <w:shd w:val="clear" w:color="000000" w:fill="E2EFDA"/>
            <w:noWrap/>
            <w:vAlign w:val="center"/>
            <w:hideMark/>
          </w:tcPr>
          <w:p w14:paraId="5E63CB38"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w:t>
            </w:r>
          </w:p>
        </w:tc>
      </w:tr>
      <w:tr w:rsidR="007672DE" w:rsidRPr="003C1B5E" w14:paraId="39DAE9C1" w14:textId="77777777" w:rsidTr="007672DE">
        <w:trPr>
          <w:trHeight w:val="71"/>
        </w:trPr>
        <w:tc>
          <w:tcPr>
            <w:tcW w:w="3403" w:type="dxa"/>
            <w:shd w:val="clear" w:color="auto" w:fill="auto"/>
            <w:noWrap/>
            <w:vAlign w:val="bottom"/>
            <w:hideMark/>
          </w:tcPr>
          <w:p w14:paraId="5A8E7F56" w14:textId="77777777" w:rsidR="007672DE" w:rsidRPr="003C1B5E" w:rsidRDefault="007672DE" w:rsidP="007672DE">
            <w:pPr>
              <w:rPr>
                <w:rFonts w:ascii="Calibri" w:hAnsi="Calibri"/>
                <w:color w:val="000000"/>
                <w:sz w:val="18"/>
                <w:szCs w:val="18"/>
              </w:rPr>
            </w:pPr>
            <w:r w:rsidRPr="003C1B5E">
              <w:rPr>
                <w:rFonts w:ascii="Calibri" w:hAnsi="Calibri"/>
                <w:color w:val="000000"/>
                <w:sz w:val="18"/>
                <w:szCs w:val="18"/>
              </w:rPr>
              <w:t>Seats flown (millions)</w:t>
            </w:r>
          </w:p>
        </w:tc>
        <w:tc>
          <w:tcPr>
            <w:tcW w:w="1134" w:type="dxa"/>
            <w:shd w:val="clear" w:color="auto" w:fill="auto"/>
            <w:noWrap/>
            <w:vAlign w:val="bottom"/>
            <w:hideMark/>
          </w:tcPr>
          <w:p w14:paraId="27B7E34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71.50</w:t>
            </w:r>
          </w:p>
        </w:tc>
        <w:tc>
          <w:tcPr>
            <w:tcW w:w="1067" w:type="dxa"/>
            <w:shd w:val="clear" w:color="auto" w:fill="auto"/>
            <w:noWrap/>
            <w:vAlign w:val="bottom"/>
            <w:hideMark/>
          </w:tcPr>
          <w:p w14:paraId="5497F1BD"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75.00</w:t>
            </w:r>
          </w:p>
        </w:tc>
        <w:tc>
          <w:tcPr>
            <w:tcW w:w="1059" w:type="dxa"/>
            <w:shd w:val="clear" w:color="auto" w:fill="auto"/>
            <w:noWrap/>
            <w:vAlign w:val="bottom"/>
            <w:hideMark/>
          </w:tcPr>
          <w:p w14:paraId="6421C7A9"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79.90</w:t>
            </w:r>
          </w:p>
        </w:tc>
        <w:tc>
          <w:tcPr>
            <w:tcW w:w="1134" w:type="dxa"/>
            <w:shd w:val="clear" w:color="auto" w:fill="auto"/>
            <w:noWrap/>
            <w:vAlign w:val="bottom"/>
            <w:hideMark/>
          </w:tcPr>
          <w:p w14:paraId="7EF57CBA"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86.70</w:t>
            </w:r>
          </w:p>
        </w:tc>
        <w:tc>
          <w:tcPr>
            <w:tcW w:w="1134" w:type="dxa"/>
            <w:shd w:val="clear" w:color="auto" w:fill="auto"/>
            <w:noWrap/>
            <w:vAlign w:val="bottom"/>
            <w:hideMark/>
          </w:tcPr>
          <w:p w14:paraId="2ABEDFB6"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95.20</w:t>
            </w:r>
          </w:p>
        </w:tc>
        <w:tc>
          <w:tcPr>
            <w:tcW w:w="851" w:type="dxa"/>
            <w:shd w:val="clear" w:color="000000" w:fill="E2EFDA"/>
            <w:noWrap/>
            <w:vAlign w:val="bottom"/>
            <w:hideMark/>
          </w:tcPr>
          <w:p w14:paraId="77991192"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10%</w:t>
            </w:r>
          </w:p>
        </w:tc>
        <w:tc>
          <w:tcPr>
            <w:tcW w:w="1275" w:type="dxa"/>
            <w:shd w:val="clear" w:color="000000" w:fill="E2EFDA"/>
            <w:noWrap/>
            <w:vAlign w:val="center"/>
            <w:hideMark/>
          </w:tcPr>
          <w:p w14:paraId="464400AE" w14:textId="77777777" w:rsidR="007672DE" w:rsidRPr="003C1B5E" w:rsidRDefault="007672DE" w:rsidP="007672DE">
            <w:pPr>
              <w:jc w:val="right"/>
              <w:rPr>
                <w:rFonts w:ascii="Calibri" w:hAnsi="Calibri"/>
                <w:color w:val="000000"/>
                <w:sz w:val="18"/>
                <w:szCs w:val="18"/>
              </w:rPr>
            </w:pPr>
            <w:r w:rsidRPr="003C1B5E">
              <w:rPr>
                <w:rFonts w:ascii="Calibri" w:hAnsi="Calibri"/>
                <w:color w:val="000000"/>
                <w:sz w:val="18"/>
                <w:szCs w:val="18"/>
              </w:rPr>
              <w:t>7.42%</w:t>
            </w:r>
          </w:p>
        </w:tc>
      </w:tr>
    </w:tbl>
    <w:p w14:paraId="1E466316" w14:textId="77777777" w:rsidR="007672DE" w:rsidRDefault="007672DE" w:rsidP="007672DE">
      <w:pPr>
        <w:tabs>
          <w:tab w:val="left" w:pos="1134"/>
        </w:tabs>
        <w:jc w:val="both"/>
        <w:rPr>
          <w:rFonts w:ascii="Times" w:hAnsi="Times"/>
        </w:rPr>
      </w:pPr>
    </w:p>
    <w:p w14:paraId="0D5411E5" w14:textId="77777777" w:rsidR="007672DE" w:rsidRDefault="007672DE" w:rsidP="007672DE">
      <w:pPr>
        <w:tabs>
          <w:tab w:val="left" w:pos="1134"/>
        </w:tabs>
        <w:ind w:left="-709"/>
        <w:jc w:val="both"/>
        <w:rPr>
          <w:rFonts w:ascii="Times" w:hAnsi="Times"/>
        </w:rPr>
      </w:pPr>
      <w:r>
        <w:rPr>
          <w:rFonts w:ascii="Times" w:hAnsi="Times"/>
        </w:rPr>
        <w:t>(EasyJet PLC 2018, p. 155)</w:t>
      </w:r>
    </w:p>
    <w:p w14:paraId="6D3F3BEE" w14:textId="77777777" w:rsidR="007672DE" w:rsidRDefault="007672DE" w:rsidP="007672DE">
      <w:pPr>
        <w:tabs>
          <w:tab w:val="left" w:pos="1134"/>
        </w:tabs>
        <w:ind w:left="-709"/>
        <w:jc w:val="both"/>
        <w:rPr>
          <w:rFonts w:ascii="Times" w:hAnsi="Times"/>
        </w:rPr>
        <w:sectPr w:rsidR="007672DE" w:rsidSect="007672DE">
          <w:pgSz w:w="11906" w:h="16838"/>
          <w:pgMar w:top="1440" w:right="1440" w:bottom="1143" w:left="1440" w:header="708" w:footer="708" w:gutter="0"/>
          <w:cols w:space="708"/>
          <w:docGrid w:linePitch="360"/>
        </w:sectPr>
      </w:pPr>
    </w:p>
    <w:p w14:paraId="2DEB0D14" w14:textId="77777777" w:rsidR="007672DE" w:rsidRDefault="007672DE" w:rsidP="007672DE">
      <w:pPr>
        <w:tabs>
          <w:tab w:val="left" w:pos="1134"/>
        </w:tabs>
        <w:spacing w:after="120"/>
        <w:ind w:left="-709"/>
        <w:jc w:val="center"/>
        <w:outlineLvl w:val="0"/>
        <w:rPr>
          <w:rFonts w:ascii="Times" w:hAnsi="Times"/>
        </w:rPr>
      </w:pPr>
      <w:bookmarkStart w:id="31" w:name="_Toc535596760"/>
      <w:bookmarkStart w:id="32" w:name="_Toc535615928"/>
      <w:r>
        <w:rPr>
          <w:rFonts w:ascii="Times" w:hAnsi="Times"/>
          <w:b/>
          <w:u w:val="single"/>
        </w:rPr>
        <w:lastRenderedPageBreak/>
        <w:t xml:space="preserve">Appendix IV: EasyJet </w:t>
      </w:r>
      <w:r w:rsidRPr="00436427">
        <w:rPr>
          <w:rFonts w:ascii="Times" w:hAnsi="Times"/>
          <w:b/>
          <w:u w:val="single"/>
        </w:rPr>
        <w:t xml:space="preserve">5-Year </w:t>
      </w:r>
      <w:r>
        <w:rPr>
          <w:rFonts w:ascii="Times" w:hAnsi="Times"/>
          <w:b/>
          <w:u w:val="single"/>
        </w:rPr>
        <w:t>Balance Sheet</w:t>
      </w:r>
      <w:bookmarkEnd w:id="31"/>
      <w:bookmarkEnd w:id="32"/>
    </w:p>
    <w:tbl>
      <w:tblPr>
        <w:tblW w:w="1071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1091"/>
        <w:gridCol w:w="1134"/>
        <w:gridCol w:w="1134"/>
        <w:gridCol w:w="1134"/>
        <w:gridCol w:w="1134"/>
        <w:gridCol w:w="851"/>
        <w:gridCol w:w="1216"/>
      </w:tblGrid>
      <w:tr w:rsidR="007672DE" w:rsidRPr="001A31EC" w14:paraId="7516628E" w14:textId="77777777" w:rsidTr="007672DE">
        <w:trPr>
          <w:trHeight w:val="81"/>
        </w:trPr>
        <w:tc>
          <w:tcPr>
            <w:tcW w:w="3020" w:type="dxa"/>
            <w:shd w:val="clear" w:color="000000" w:fill="C65911"/>
            <w:vAlign w:val="center"/>
            <w:hideMark/>
          </w:tcPr>
          <w:p w14:paraId="2D61763C" w14:textId="77777777" w:rsidR="007672DE" w:rsidRPr="001A31EC" w:rsidRDefault="007672DE" w:rsidP="007672DE">
            <w:pPr>
              <w:rPr>
                <w:rFonts w:ascii="Calibri" w:hAnsi="Calibri"/>
                <w:b/>
                <w:bCs/>
                <w:color w:val="FFFFFF"/>
                <w:sz w:val="18"/>
                <w:szCs w:val="18"/>
              </w:rPr>
            </w:pPr>
            <w:r>
              <w:rPr>
                <w:rFonts w:ascii="Calibri (Body)" w:hAnsi="Calibri (Body)"/>
                <w:b/>
                <w:bCs/>
                <w:color w:val="FFFFFF"/>
                <w:sz w:val="21"/>
                <w:szCs w:val="18"/>
              </w:rPr>
              <w:t>EasyJet</w:t>
            </w:r>
            <w:r w:rsidRPr="00047CEE">
              <w:rPr>
                <w:rFonts w:ascii="Calibri (Body)" w:hAnsi="Calibri (Body)"/>
                <w:b/>
                <w:bCs/>
                <w:color w:val="FFFFFF"/>
                <w:sz w:val="21"/>
                <w:szCs w:val="18"/>
              </w:rPr>
              <w:t xml:space="preserve"> 5-Year Balance Sheet (or Statement of Financial Position)</w:t>
            </w:r>
            <w:r w:rsidRPr="001A31EC">
              <w:rPr>
                <w:rFonts w:ascii="Calibri" w:hAnsi="Calibri"/>
                <w:b/>
                <w:bCs/>
                <w:color w:val="FFFFFF"/>
                <w:sz w:val="18"/>
                <w:szCs w:val="18"/>
              </w:rPr>
              <w:br/>
            </w:r>
            <w:r w:rsidRPr="001A31EC">
              <w:rPr>
                <w:rFonts w:ascii="Calibri (Body)" w:hAnsi="Calibri (Body)"/>
                <w:i/>
                <w:iCs/>
                <w:color w:val="FFFFFF"/>
                <w:sz w:val="18"/>
                <w:szCs w:val="18"/>
              </w:rPr>
              <w:t>Note: Fiscal year is October to September.</w:t>
            </w:r>
          </w:p>
        </w:tc>
        <w:tc>
          <w:tcPr>
            <w:tcW w:w="1091" w:type="dxa"/>
            <w:shd w:val="clear" w:color="000000" w:fill="FCE4D6"/>
            <w:vAlign w:val="center"/>
            <w:hideMark/>
          </w:tcPr>
          <w:p w14:paraId="0F019798" w14:textId="77777777" w:rsidR="007672DE" w:rsidRPr="001A31EC" w:rsidRDefault="007672DE" w:rsidP="007672DE">
            <w:pPr>
              <w:jc w:val="center"/>
              <w:rPr>
                <w:rFonts w:ascii="Calibri" w:hAnsi="Calibri"/>
                <w:b/>
                <w:bCs/>
                <w:color w:val="000000"/>
                <w:sz w:val="18"/>
                <w:szCs w:val="18"/>
              </w:rPr>
            </w:pPr>
            <w:r w:rsidRPr="001A31EC">
              <w:rPr>
                <w:rFonts w:ascii="Calibri" w:hAnsi="Calibri"/>
                <w:b/>
                <w:bCs/>
                <w:color w:val="000000"/>
                <w:sz w:val="18"/>
                <w:szCs w:val="18"/>
              </w:rPr>
              <w:t>2014</w:t>
            </w:r>
            <w:r w:rsidRPr="001A31EC">
              <w:rPr>
                <w:rFonts w:ascii="Calibri" w:hAnsi="Calibri"/>
                <w:b/>
                <w:bCs/>
                <w:color w:val="000000"/>
                <w:sz w:val="18"/>
                <w:szCs w:val="18"/>
              </w:rPr>
              <w:br/>
              <w:t>(£ millions)</w:t>
            </w:r>
          </w:p>
        </w:tc>
        <w:tc>
          <w:tcPr>
            <w:tcW w:w="1134" w:type="dxa"/>
            <w:shd w:val="clear" w:color="000000" w:fill="FCE4D6"/>
            <w:vAlign w:val="center"/>
            <w:hideMark/>
          </w:tcPr>
          <w:p w14:paraId="4B2153BF" w14:textId="77777777" w:rsidR="007672DE" w:rsidRPr="001A31EC" w:rsidRDefault="007672DE" w:rsidP="007672DE">
            <w:pPr>
              <w:jc w:val="center"/>
              <w:rPr>
                <w:rFonts w:ascii="Calibri" w:hAnsi="Calibri"/>
                <w:b/>
                <w:bCs/>
                <w:color w:val="000000"/>
                <w:sz w:val="18"/>
                <w:szCs w:val="18"/>
              </w:rPr>
            </w:pPr>
            <w:r w:rsidRPr="001A31EC">
              <w:rPr>
                <w:rFonts w:ascii="Calibri" w:hAnsi="Calibri"/>
                <w:b/>
                <w:bCs/>
                <w:color w:val="000000"/>
                <w:sz w:val="18"/>
                <w:szCs w:val="18"/>
              </w:rPr>
              <w:t>2015</w:t>
            </w:r>
            <w:r w:rsidRPr="001A31EC">
              <w:rPr>
                <w:rFonts w:ascii="Calibri" w:hAnsi="Calibri"/>
                <w:b/>
                <w:bCs/>
                <w:color w:val="000000"/>
                <w:sz w:val="18"/>
                <w:szCs w:val="18"/>
              </w:rPr>
              <w:br/>
              <w:t>(£ millions)</w:t>
            </w:r>
          </w:p>
        </w:tc>
        <w:tc>
          <w:tcPr>
            <w:tcW w:w="1134" w:type="dxa"/>
            <w:shd w:val="clear" w:color="000000" w:fill="FCE4D6"/>
            <w:vAlign w:val="center"/>
            <w:hideMark/>
          </w:tcPr>
          <w:p w14:paraId="5896A2B2" w14:textId="77777777" w:rsidR="007672DE" w:rsidRPr="001A31EC" w:rsidRDefault="007672DE" w:rsidP="007672DE">
            <w:pPr>
              <w:jc w:val="center"/>
              <w:rPr>
                <w:rFonts w:ascii="Calibri" w:hAnsi="Calibri"/>
                <w:b/>
                <w:bCs/>
                <w:color w:val="000000"/>
                <w:sz w:val="18"/>
                <w:szCs w:val="18"/>
              </w:rPr>
            </w:pPr>
            <w:r w:rsidRPr="001A31EC">
              <w:rPr>
                <w:rFonts w:ascii="Calibri" w:hAnsi="Calibri"/>
                <w:b/>
                <w:bCs/>
                <w:color w:val="000000"/>
                <w:sz w:val="18"/>
                <w:szCs w:val="18"/>
              </w:rPr>
              <w:t>2016</w:t>
            </w:r>
            <w:r w:rsidRPr="001A31EC">
              <w:rPr>
                <w:rFonts w:ascii="Calibri" w:hAnsi="Calibri"/>
                <w:b/>
                <w:bCs/>
                <w:color w:val="000000"/>
                <w:sz w:val="18"/>
                <w:szCs w:val="18"/>
              </w:rPr>
              <w:br/>
              <w:t>(£ millions)</w:t>
            </w:r>
          </w:p>
        </w:tc>
        <w:tc>
          <w:tcPr>
            <w:tcW w:w="1134" w:type="dxa"/>
            <w:shd w:val="clear" w:color="000000" w:fill="FCE4D6"/>
            <w:vAlign w:val="center"/>
            <w:hideMark/>
          </w:tcPr>
          <w:p w14:paraId="25EC7E7A" w14:textId="77777777" w:rsidR="007672DE" w:rsidRPr="001A31EC" w:rsidRDefault="007672DE" w:rsidP="007672DE">
            <w:pPr>
              <w:jc w:val="center"/>
              <w:rPr>
                <w:rFonts w:ascii="Calibri" w:hAnsi="Calibri"/>
                <w:b/>
                <w:bCs/>
                <w:color w:val="000000"/>
                <w:sz w:val="18"/>
                <w:szCs w:val="18"/>
              </w:rPr>
            </w:pPr>
            <w:r w:rsidRPr="001A31EC">
              <w:rPr>
                <w:rFonts w:ascii="Calibri" w:hAnsi="Calibri"/>
                <w:b/>
                <w:bCs/>
                <w:color w:val="000000"/>
                <w:sz w:val="18"/>
                <w:szCs w:val="18"/>
              </w:rPr>
              <w:t>2017</w:t>
            </w:r>
            <w:r w:rsidRPr="001A31EC">
              <w:rPr>
                <w:rFonts w:ascii="Calibri" w:hAnsi="Calibri"/>
                <w:b/>
                <w:bCs/>
                <w:color w:val="000000"/>
                <w:sz w:val="18"/>
                <w:szCs w:val="18"/>
              </w:rPr>
              <w:br/>
              <w:t>(£ millions)</w:t>
            </w:r>
          </w:p>
        </w:tc>
        <w:tc>
          <w:tcPr>
            <w:tcW w:w="1134" w:type="dxa"/>
            <w:shd w:val="clear" w:color="000000" w:fill="FCE4D6"/>
            <w:vAlign w:val="center"/>
            <w:hideMark/>
          </w:tcPr>
          <w:p w14:paraId="7CBCD2CD" w14:textId="77777777" w:rsidR="007672DE" w:rsidRPr="001A31EC" w:rsidRDefault="007672DE" w:rsidP="007672DE">
            <w:pPr>
              <w:jc w:val="center"/>
              <w:rPr>
                <w:rFonts w:ascii="Calibri" w:hAnsi="Calibri"/>
                <w:b/>
                <w:bCs/>
                <w:color w:val="000000"/>
                <w:sz w:val="18"/>
                <w:szCs w:val="18"/>
              </w:rPr>
            </w:pPr>
            <w:r w:rsidRPr="001A31EC">
              <w:rPr>
                <w:rFonts w:ascii="Calibri" w:hAnsi="Calibri"/>
                <w:b/>
                <w:bCs/>
                <w:color w:val="000000"/>
                <w:sz w:val="18"/>
                <w:szCs w:val="18"/>
              </w:rPr>
              <w:t>2018</w:t>
            </w:r>
            <w:r w:rsidRPr="001A31EC">
              <w:rPr>
                <w:rFonts w:ascii="Calibri" w:hAnsi="Calibri"/>
                <w:b/>
                <w:bCs/>
                <w:color w:val="000000"/>
                <w:sz w:val="18"/>
                <w:szCs w:val="18"/>
              </w:rPr>
              <w:br/>
              <w:t>(£ millions)</w:t>
            </w:r>
          </w:p>
        </w:tc>
        <w:tc>
          <w:tcPr>
            <w:tcW w:w="851" w:type="dxa"/>
            <w:shd w:val="clear" w:color="000000" w:fill="00B050"/>
            <w:vAlign w:val="center"/>
            <w:hideMark/>
          </w:tcPr>
          <w:p w14:paraId="72F0036C"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Year-on-Year Growth</w:t>
            </w:r>
          </w:p>
        </w:tc>
        <w:tc>
          <w:tcPr>
            <w:tcW w:w="1216" w:type="dxa"/>
            <w:shd w:val="clear" w:color="000000" w:fill="00B050"/>
            <w:vAlign w:val="center"/>
            <w:hideMark/>
          </w:tcPr>
          <w:p w14:paraId="7CC0374C"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5 Year Compound Annual Growth Rate</w:t>
            </w:r>
          </w:p>
        </w:tc>
      </w:tr>
      <w:tr w:rsidR="007672DE" w:rsidRPr="001A31EC" w14:paraId="00B562E3" w14:textId="77777777" w:rsidTr="007672DE">
        <w:trPr>
          <w:trHeight w:val="81"/>
        </w:trPr>
        <w:tc>
          <w:tcPr>
            <w:tcW w:w="3020" w:type="dxa"/>
            <w:shd w:val="clear" w:color="000000" w:fill="808080"/>
            <w:vAlign w:val="bottom"/>
            <w:hideMark/>
          </w:tcPr>
          <w:p w14:paraId="76CFDCD7" w14:textId="77777777" w:rsidR="007672DE" w:rsidRPr="001A31EC" w:rsidRDefault="007672DE" w:rsidP="007672DE">
            <w:pPr>
              <w:rPr>
                <w:rFonts w:ascii="Calibri" w:hAnsi="Calibri"/>
                <w:b/>
                <w:bCs/>
                <w:color w:val="FFFFFF"/>
                <w:sz w:val="18"/>
                <w:szCs w:val="18"/>
              </w:rPr>
            </w:pPr>
            <w:r w:rsidRPr="00047CEE">
              <w:rPr>
                <w:rFonts w:ascii="Calibri" w:hAnsi="Calibri"/>
                <w:b/>
                <w:bCs/>
                <w:color w:val="FFFFFF"/>
                <w:sz w:val="21"/>
                <w:szCs w:val="18"/>
              </w:rPr>
              <w:t>Assets</w:t>
            </w:r>
          </w:p>
        </w:tc>
        <w:tc>
          <w:tcPr>
            <w:tcW w:w="1091" w:type="dxa"/>
            <w:shd w:val="clear" w:color="000000" w:fill="808080"/>
            <w:noWrap/>
            <w:vAlign w:val="center"/>
            <w:hideMark/>
          </w:tcPr>
          <w:p w14:paraId="1F581CAB"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125089A4"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36BD10ED"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0E3F1E5B"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267C3CC3"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c>
          <w:tcPr>
            <w:tcW w:w="851" w:type="dxa"/>
            <w:shd w:val="clear" w:color="000000" w:fill="808080"/>
            <w:noWrap/>
            <w:vAlign w:val="center"/>
            <w:hideMark/>
          </w:tcPr>
          <w:p w14:paraId="0733C50F"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c>
          <w:tcPr>
            <w:tcW w:w="1216" w:type="dxa"/>
            <w:shd w:val="clear" w:color="000000" w:fill="808080"/>
            <w:noWrap/>
            <w:vAlign w:val="center"/>
            <w:hideMark/>
          </w:tcPr>
          <w:p w14:paraId="681B771C"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r>
      <w:tr w:rsidR="007672DE" w:rsidRPr="001A31EC" w14:paraId="4AC82F7A" w14:textId="77777777" w:rsidTr="007672DE">
        <w:trPr>
          <w:trHeight w:val="71"/>
        </w:trPr>
        <w:tc>
          <w:tcPr>
            <w:tcW w:w="3020" w:type="dxa"/>
            <w:shd w:val="clear" w:color="auto" w:fill="auto"/>
            <w:noWrap/>
            <w:vAlign w:val="bottom"/>
            <w:hideMark/>
          </w:tcPr>
          <w:p w14:paraId="499F5FA7"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Goodwill</w:t>
            </w:r>
          </w:p>
        </w:tc>
        <w:tc>
          <w:tcPr>
            <w:tcW w:w="1091" w:type="dxa"/>
            <w:shd w:val="clear" w:color="auto" w:fill="auto"/>
            <w:noWrap/>
            <w:vAlign w:val="center"/>
            <w:hideMark/>
          </w:tcPr>
          <w:p w14:paraId="0225649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365</w:t>
            </w:r>
          </w:p>
        </w:tc>
        <w:tc>
          <w:tcPr>
            <w:tcW w:w="1134" w:type="dxa"/>
            <w:shd w:val="clear" w:color="auto" w:fill="auto"/>
            <w:noWrap/>
            <w:vAlign w:val="center"/>
            <w:hideMark/>
          </w:tcPr>
          <w:p w14:paraId="6F8F8D8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365</w:t>
            </w:r>
          </w:p>
        </w:tc>
        <w:tc>
          <w:tcPr>
            <w:tcW w:w="1134" w:type="dxa"/>
            <w:shd w:val="clear" w:color="auto" w:fill="auto"/>
            <w:noWrap/>
            <w:vAlign w:val="center"/>
            <w:hideMark/>
          </w:tcPr>
          <w:p w14:paraId="71363EA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365</w:t>
            </w:r>
          </w:p>
        </w:tc>
        <w:tc>
          <w:tcPr>
            <w:tcW w:w="1134" w:type="dxa"/>
            <w:shd w:val="clear" w:color="auto" w:fill="auto"/>
            <w:noWrap/>
            <w:vAlign w:val="center"/>
            <w:hideMark/>
          </w:tcPr>
          <w:p w14:paraId="490D805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365</w:t>
            </w:r>
          </w:p>
        </w:tc>
        <w:tc>
          <w:tcPr>
            <w:tcW w:w="1134" w:type="dxa"/>
            <w:shd w:val="clear" w:color="auto" w:fill="auto"/>
            <w:noWrap/>
            <w:vAlign w:val="center"/>
            <w:hideMark/>
          </w:tcPr>
          <w:p w14:paraId="2600E84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365</w:t>
            </w:r>
          </w:p>
        </w:tc>
        <w:tc>
          <w:tcPr>
            <w:tcW w:w="851" w:type="dxa"/>
            <w:shd w:val="clear" w:color="000000" w:fill="E2EFDA"/>
            <w:noWrap/>
            <w:vAlign w:val="bottom"/>
            <w:hideMark/>
          </w:tcPr>
          <w:p w14:paraId="0BDB32B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0.0%</w:t>
            </w:r>
          </w:p>
        </w:tc>
        <w:tc>
          <w:tcPr>
            <w:tcW w:w="1216" w:type="dxa"/>
            <w:shd w:val="clear" w:color="000000" w:fill="E2EFDA"/>
            <w:noWrap/>
            <w:vAlign w:val="center"/>
            <w:hideMark/>
          </w:tcPr>
          <w:p w14:paraId="7334C72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0.00%</w:t>
            </w:r>
          </w:p>
        </w:tc>
      </w:tr>
      <w:tr w:rsidR="007672DE" w:rsidRPr="001A31EC" w14:paraId="591EA2E9" w14:textId="77777777" w:rsidTr="007672DE">
        <w:trPr>
          <w:trHeight w:val="71"/>
        </w:trPr>
        <w:tc>
          <w:tcPr>
            <w:tcW w:w="3020" w:type="dxa"/>
            <w:shd w:val="clear" w:color="auto" w:fill="auto"/>
            <w:noWrap/>
            <w:vAlign w:val="bottom"/>
            <w:hideMark/>
          </w:tcPr>
          <w:p w14:paraId="7CD24A23"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Other intangible assets</w:t>
            </w:r>
          </w:p>
        </w:tc>
        <w:tc>
          <w:tcPr>
            <w:tcW w:w="1091" w:type="dxa"/>
            <w:shd w:val="clear" w:color="auto" w:fill="auto"/>
            <w:noWrap/>
            <w:vAlign w:val="center"/>
            <w:hideMark/>
          </w:tcPr>
          <w:p w14:paraId="2A73135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113</w:t>
            </w:r>
          </w:p>
        </w:tc>
        <w:tc>
          <w:tcPr>
            <w:tcW w:w="1134" w:type="dxa"/>
            <w:shd w:val="clear" w:color="auto" w:fill="auto"/>
            <w:noWrap/>
            <w:vAlign w:val="center"/>
            <w:hideMark/>
          </w:tcPr>
          <w:p w14:paraId="1BBA609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127</w:t>
            </w:r>
          </w:p>
        </w:tc>
        <w:tc>
          <w:tcPr>
            <w:tcW w:w="1134" w:type="dxa"/>
            <w:shd w:val="clear" w:color="auto" w:fill="auto"/>
            <w:noWrap/>
            <w:vAlign w:val="center"/>
            <w:hideMark/>
          </w:tcPr>
          <w:p w14:paraId="5818C5E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152</w:t>
            </w:r>
          </w:p>
        </w:tc>
        <w:tc>
          <w:tcPr>
            <w:tcW w:w="1134" w:type="dxa"/>
            <w:shd w:val="clear" w:color="auto" w:fill="auto"/>
            <w:noWrap/>
            <w:vAlign w:val="center"/>
            <w:hideMark/>
          </w:tcPr>
          <w:p w14:paraId="496D974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179</w:t>
            </w:r>
          </w:p>
        </w:tc>
        <w:tc>
          <w:tcPr>
            <w:tcW w:w="1134" w:type="dxa"/>
            <w:shd w:val="clear" w:color="auto" w:fill="auto"/>
            <w:noWrap/>
            <w:vAlign w:val="center"/>
            <w:hideMark/>
          </w:tcPr>
          <w:p w14:paraId="0C51162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181</w:t>
            </w:r>
          </w:p>
        </w:tc>
        <w:tc>
          <w:tcPr>
            <w:tcW w:w="851" w:type="dxa"/>
            <w:shd w:val="clear" w:color="000000" w:fill="E2EFDA"/>
            <w:noWrap/>
            <w:vAlign w:val="bottom"/>
            <w:hideMark/>
          </w:tcPr>
          <w:p w14:paraId="1DCC633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w:t>
            </w:r>
          </w:p>
        </w:tc>
        <w:tc>
          <w:tcPr>
            <w:tcW w:w="1216" w:type="dxa"/>
            <w:shd w:val="clear" w:color="000000" w:fill="E2EFDA"/>
            <w:noWrap/>
            <w:vAlign w:val="center"/>
            <w:hideMark/>
          </w:tcPr>
          <w:p w14:paraId="4507D90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12.50%</w:t>
            </w:r>
          </w:p>
        </w:tc>
      </w:tr>
      <w:tr w:rsidR="007672DE" w:rsidRPr="001A31EC" w14:paraId="14A5188C" w14:textId="77777777" w:rsidTr="007672DE">
        <w:trPr>
          <w:trHeight w:val="71"/>
        </w:trPr>
        <w:tc>
          <w:tcPr>
            <w:tcW w:w="3020" w:type="dxa"/>
            <w:shd w:val="clear" w:color="auto" w:fill="auto"/>
            <w:noWrap/>
            <w:vAlign w:val="bottom"/>
            <w:hideMark/>
          </w:tcPr>
          <w:p w14:paraId="075CA0A9"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Property, plant and equipment</w:t>
            </w:r>
          </w:p>
        </w:tc>
        <w:tc>
          <w:tcPr>
            <w:tcW w:w="1091" w:type="dxa"/>
            <w:shd w:val="clear" w:color="auto" w:fill="auto"/>
            <w:noWrap/>
            <w:vAlign w:val="center"/>
            <w:hideMark/>
          </w:tcPr>
          <w:p w14:paraId="078C28F9"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2,542</w:t>
            </w:r>
          </w:p>
        </w:tc>
        <w:tc>
          <w:tcPr>
            <w:tcW w:w="1134" w:type="dxa"/>
            <w:shd w:val="clear" w:color="auto" w:fill="auto"/>
            <w:noWrap/>
            <w:vAlign w:val="center"/>
            <w:hideMark/>
          </w:tcPr>
          <w:p w14:paraId="270C871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2,877</w:t>
            </w:r>
          </w:p>
        </w:tc>
        <w:tc>
          <w:tcPr>
            <w:tcW w:w="1134" w:type="dxa"/>
            <w:shd w:val="clear" w:color="auto" w:fill="auto"/>
            <w:noWrap/>
            <w:vAlign w:val="center"/>
            <w:hideMark/>
          </w:tcPr>
          <w:p w14:paraId="26A649E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3,252</w:t>
            </w:r>
          </w:p>
        </w:tc>
        <w:tc>
          <w:tcPr>
            <w:tcW w:w="1134" w:type="dxa"/>
            <w:shd w:val="clear" w:color="auto" w:fill="auto"/>
            <w:noWrap/>
            <w:vAlign w:val="center"/>
            <w:hideMark/>
          </w:tcPr>
          <w:p w14:paraId="546DFBA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3,525</w:t>
            </w:r>
          </w:p>
        </w:tc>
        <w:tc>
          <w:tcPr>
            <w:tcW w:w="1134" w:type="dxa"/>
            <w:shd w:val="clear" w:color="auto" w:fill="auto"/>
            <w:noWrap/>
            <w:vAlign w:val="center"/>
            <w:hideMark/>
          </w:tcPr>
          <w:p w14:paraId="1A5B521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4,140</w:t>
            </w:r>
          </w:p>
        </w:tc>
        <w:tc>
          <w:tcPr>
            <w:tcW w:w="851" w:type="dxa"/>
            <w:shd w:val="clear" w:color="000000" w:fill="E2EFDA"/>
            <w:noWrap/>
            <w:vAlign w:val="bottom"/>
            <w:hideMark/>
          </w:tcPr>
          <w:p w14:paraId="3C6906D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17.4%</w:t>
            </w:r>
          </w:p>
        </w:tc>
        <w:tc>
          <w:tcPr>
            <w:tcW w:w="1216" w:type="dxa"/>
            <w:shd w:val="clear" w:color="000000" w:fill="E2EFDA"/>
            <w:noWrap/>
            <w:vAlign w:val="center"/>
            <w:hideMark/>
          </w:tcPr>
          <w:p w14:paraId="2438085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12.97%</w:t>
            </w:r>
          </w:p>
        </w:tc>
      </w:tr>
      <w:tr w:rsidR="007672DE" w:rsidRPr="001A31EC" w14:paraId="3BAA8372" w14:textId="77777777" w:rsidTr="007672DE">
        <w:trPr>
          <w:trHeight w:val="71"/>
        </w:trPr>
        <w:tc>
          <w:tcPr>
            <w:tcW w:w="3020" w:type="dxa"/>
            <w:shd w:val="clear" w:color="auto" w:fill="auto"/>
            <w:noWrap/>
            <w:vAlign w:val="bottom"/>
            <w:hideMark/>
          </w:tcPr>
          <w:p w14:paraId="1CAB8103"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Derivative financial instruments</w:t>
            </w:r>
          </w:p>
        </w:tc>
        <w:tc>
          <w:tcPr>
            <w:tcW w:w="1091" w:type="dxa"/>
            <w:shd w:val="clear" w:color="auto" w:fill="auto"/>
            <w:noWrap/>
            <w:vAlign w:val="center"/>
            <w:hideMark/>
          </w:tcPr>
          <w:p w14:paraId="7A8114D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36</w:t>
            </w:r>
          </w:p>
        </w:tc>
        <w:tc>
          <w:tcPr>
            <w:tcW w:w="1134" w:type="dxa"/>
            <w:shd w:val="clear" w:color="auto" w:fill="auto"/>
            <w:noWrap/>
            <w:vAlign w:val="center"/>
            <w:hideMark/>
          </w:tcPr>
          <w:p w14:paraId="450AA579"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44</w:t>
            </w:r>
          </w:p>
        </w:tc>
        <w:tc>
          <w:tcPr>
            <w:tcW w:w="1134" w:type="dxa"/>
            <w:shd w:val="clear" w:color="auto" w:fill="auto"/>
            <w:noWrap/>
            <w:vAlign w:val="center"/>
            <w:hideMark/>
          </w:tcPr>
          <w:p w14:paraId="447AF38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154</w:t>
            </w:r>
          </w:p>
        </w:tc>
        <w:tc>
          <w:tcPr>
            <w:tcW w:w="1134" w:type="dxa"/>
            <w:shd w:val="clear" w:color="auto" w:fill="auto"/>
            <w:noWrap/>
            <w:vAlign w:val="center"/>
            <w:hideMark/>
          </w:tcPr>
          <w:p w14:paraId="3BDDD42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87</w:t>
            </w:r>
          </w:p>
        </w:tc>
        <w:tc>
          <w:tcPr>
            <w:tcW w:w="1134" w:type="dxa"/>
            <w:shd w:val="clear" w:color="auto" w:fill="auto"/>
            <w:noWrap/>
            <w:vAlign w:val="center"/>
            <w:hideMark/>
          </w:tcPr>
          <w:p w14:paraId="48204F3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175</w:t>
            </w:r>
          </w:p>
        </w:tc>
        <w:tc>
          <w:tcPr>
            <w:tcW w:w="851" w:type="dxa"/>
            <w:shd w:val="clear" w:color="000000" w:fill="E2EFDA"/>
            <w:noWrap/>
            <w:vAlign w:val="bottom"/>
            <w:hideMark/>
          </w:tcPr>
          <w:p w14:paraId="1A8B6DD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101.1%</w:t>
            </w:r>
          </w:p>
        </w:tc>
        <w:tc>
          <w:tcPr>
            <w:tcW w:w="1216" w:type="dxa"/>
            <w:shd w:val="clear" w:color="000000" w:fill="E2EFDA"/>
            <w:noWrap/>
            <w:vAlign w:val="center"/>
            <w:hideMark/>
          </w:tcPr>
          <w:p w14:paraId="72016C7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48.49%</w:t>
            </w:r>
          </w:p>
        </w:tc>
      </w:tr>
      <w:tr w:rsidR="007672DE" w:rsidRPr="001A31EC" w14:paraId="7CFE26F8" w14:textId="77777777" w:rsidTr="007672DE">
        <w:trPr>
          <w:trHeight w:val="71"/>
        </w:trPr>
        <w:tc>
          <w:tcPr>
            <w:tcW w:w="3020" w:type="dxa"/>
            <w:shd w:val="clear" w:color="auto" w:fill="auto"/>
            <w:noWrap/>
            <w:vAlign w:val="bottom"/>
            <w:hideMark/>
          </w:tcPr>
          <w:p w14:paraId="17817612"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Restricted cash</w:t>
            </w:r>
          </w:p>
        </w:tc>
        <w:tc>
          <w:tcPr>
            <w:tcW w:w="1091" w:type="dxa"/>
            <w:shd w:val="clear" w:color="auto" w:fill="auto"/>
            <w:noWrap/>
            <w:vAlign w:val="center"/>
            <w:hideMark/>
          </w:tcPr>
          <w:p w14:paraId="5C9B5938"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w:t>
            </w:r>
          </w:p>
        </w:tc>
        <w:tc>
          <w:tcPr>
            <w:tcW w:w="1134" w:type="dxa"/>
            <w:shd w:val="clear" w:color="auto" w:fill="auto"/>
            <w:noWrap/>
            <w:vAlign w:val="center"/>
            <w:hideMark/>
          </w:tcPr>
          <w:p w14:paraId="4EBA9A8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w:t>
            </w:r>
          </w:p>
        </w:tc>
        <w:tc>
          <w:tcPr>
            <w:tcW w:w="1134" w:type="dxa"/>
            <w:shd w:val="clear" w:color="auto" w:fill="auto"/>
            <w:noWrap/>
            <w:vAlign w:val="center"/>
            <w:hideMark/>
          </w:tcPr>
          <w:p w14:paraId="67C6F71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w:t>
            </w:r>
          </w:p>
        </w:tc>
        <w:tc>
          <w:tcPr>
            <w:tcW w:w="1134" w:type="dxa"/>
            <w:shd w:val="clear" w:color="auto" w:fill="auto"/>
            <w:noWrap/>
            <w:vAlign w:val="center"/>
            <w:hideMark/>
          </w:tcPr>
          <w:p w14:paraId="5701590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w:t>
            </w:r>
          </w:p>
        </w:tc>
        <w:tc>
          <w:tcPr>
            <w:tcW w:w="1134" w:type="dxa"/>
            <w:shd w:val="clear" w:color="auto" w:fill="auto"/>
            <w:noWrap/>
            <w:vAlign w:val="center"/>
            <w:hideMark/>
          </w:tcPr>
          <w:p w14:paraId="69C2876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w:t>
            </w:r>
          </w:p>
        </w:tc>
        <w:tc>
          <w:tcPr>
            <w:tcW w:w="851" w:type="dxa"/>
            <w:shd w:val="clear" w:color="000000" w:fill="E2EFDA"/>
            <w:noWrap/>
            <w:vAlign w:val="bottom"/>
            <w:hideMark/>
          </w:tcPr>
          <w:p w14:paraId="66D0D33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57.1%</w:t>
            </w:r>
          </w:p>
        </w:tc>
        <w:tc>
          <w:tcPr>
            <w:tcW w:w="1216" w:type="dxa"/>
            <w:shd w:val="clear" w:color="000000" w:fill="E2EFDA"/>
            <w:noWrap/>
            <w:vAlign w:val="center"/>
            <w:hideMark/>
          </w:tcPr>
          <w:p w14:paraId="74445858"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5.14%</w:t>
            </w:r>
          </w:p>
        </w:tc>
      </w:tr>
      <w:tr w:rsidR="007672DE" w:rsidRPr="001A31EC" w14:paraId="6AAB9D03" w14:textId="77777777" w:rsidTr="007672DE">
        <w:trPr>
          <w:trHeight w:val="71"/>
        </w:trPr>
        <w:tc>
          <w:tcPr>
            <w:tcW w:w="3020" w:type="dxa"/>
            <w:shd w:val="clear" w:color="auto" w:fill="auto"/>
            <w:noWrap/>
            <w:vAlign w:val="bottom"/>
            <w:hideMark/>
          </w:tcPr>
          <w:p w14:paraId="3D29F3CD"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Other non-current assets</w:t>
            </w:r>
          </w:p>
        </w:tc>
        <w:tc>
          <w:tcPr>
            <w:tcW w:w="1091" w:type="dxa"/>
            <w:shd w:val="clear" w:color="auto" w:fill="auto"/>
            <w:noWrap/>
            <w:vAlign w:val="center"/>
            <w:hideMark/>
          </w:tcPr>
          <w:p w14:paraId="0D7AD51E"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156</w:t>
            </w:r>
          </w:p>
        </w:tc>
        <w:tc>
          <w:tcPr>
            <w:tcW w:w="1134" w:type="dxa"/>
            <w:shd w:val="clear" w:color="auto" w:fill="auto"/>
            <w:noWrap/>
            <w:vAlign w:val="center"/>
            <w:hideMark/>
          </w:tcPr>
          <w:p w14:paraId="3C4EAAF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130</w:t>
            </w:r>
          </w:p>
        </w:tc>
        <w:tc>
          <w:tcPr>
            <w:tcW w:w="1134" w:type="dxa"/>
            <w:shd w:val="clear" w:color="auto" w:fill="auto"/>
            <w:noWrap/>
            <w:vAlign w:val="center"/>
            <w:hideMark/>
          </w:tcPr>
          <w:p w14:paraId="310212C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112</w:t>
            </w:r>
          </w:p>
        </w:tc>
        <w:tc>
          <w:tcPr>
            <w:tcW w:w="1134" w:type="dxa"/>
            <w:shd w:val="clear" w:color="auto" w:fill="auto"/>
            <w:noWrap/>
            <w:vAlign w:val="center"/>
            <w:hideMark/>
          </w:tcPr>
          <w:p w14:paraId="37986EC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74</w:t>
            </w:r>
          </w:p>
        </w:tc>
        <w:tc>
          <w:tcPr>
            <w:tcW w:w="1134" w:type="dxa"/>
            <w:shd w:val="clear" w:color="auto" w:fill="auto"/>
            <w:noWrap/>
            <w:vAlign w:val="center"/>
            <w:hideMark/>
          </w:tcPr>
          <w:p w14:paraId="6DDFCC58"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122</w:t>
            </w:r>
          </w:p>
        </w:tc>
        <w:tc>
          <w:tcPr>
            <w:tcW w:w="851" w:type="dxa"/>
            <w:shd w:val="clear" w:color="000000" w:fill="E2EFDA"/>
            <w:noWrap/>
            <w:vAlign w:val="bottom"/>
            <w:hideMark/>
          </w:tcPr>
          <w:p w14:paraId="3DAF414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64.9%</w:t>
            </w:r>
          </w:p>
        </w:tc>
        <w:tc>
          <w:tcPr>
            <w:tcW w:w="1216" w:type="dxa"/>
            <w:shd w:val="clear" w:color="000000" w:fill="E2EFDA"/>
            <w:noWrap/>
            <w:vAlign w:val="center"/>
            <w:hideMark/>
          </w:tcPr>
          <w:p w14:paraId="0769389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-5.96%</w:t>
            </w:r>
          </w:p>
        </w:tc>
      </w:tr>
      <w:tr w:rsidR="007672DE" w:rsidRPr="001A31EC" w14:paraId="2B34BCDF" w14:textId="77777777" w:rsidTr="007672DE">
        <w:trPr>
          <w:trHeight w:val="71"/>
        </w:trPr>
        <w:tc>
          <w:tcPr>
            <w:tcW w:w="3020" w:type="dxa"/>
            <w:shd w:val="clear" w:color="000000" w:fill="FCE4D6"/>
            <w:vAlign w:val="bottom"/>
            <w:hideMark/>
          </w:tcPr>
          <w:p w14:paraId="54B37ED7" w14:textId="77777777" w:rsidR="007672DE" w:rsidRPr="001A31EC" w:rsidRDefault="007672DE" w:rsidP="007672DE">
            <w:pPr>
              <w:rPr>
                <w:rFonts w:ascii="Calibri" w:hAnsi="Calibri"/>
                <w:b/>
                <w:bCs/>
                <w:color w:val="000000"/>
                <w:sz w:val="18"/>
                <w:szCs w:val="18"/>
              </w:rPr>
            </w:pPr>
            <w:r w:rsidRPr="001A31EC">
              <w:rPr>
                <w:rFonts w:ascii="Calibri" w:hAnsi="Calibri"/>
                <w:b/>
                <w:bCs/>
                <w:color w:val="000000"/>
                <w:sz w:val="18"/>
                <w:szCs w:val="18"/>
              </w:rPr>
              <w:t>Non-Current Assets</w:t>
            </w:r>
          </w:p>
        </w:tc>
        <w:tc>
          <w:tcPr>
            <w:tcW w:w="1091" w:type="dxa"/>
            <w:shd w:val="clear" w:color="000000" w:fill="FCE4D6"/>
            <w:noWrap/>
            <w:vAlign w:val="center"/>
            <w:hideMark/>
          </w:tcPr>
          <w:p w14:paraId="0515D686"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3,221</w:t>
            </w:r>
          </w:p>
        </w:tc>
        <w:tc>
          <w:tcPr>
            <w:tcW w:w="1134" w:type="dxa"/>
            <w:shd w:val="clear" w:color="000000" w:fill="FCE4D6"/>
            <w:noWrap/>
            <w:vAlign w:val="center"/>
            <w:hideMark/>
          </w:tcPr>
          <w:p w14:paraId="31D3930B"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3,549</w:t>
            </w:r>
          </w:p>
        </w:tc>
        <w:tc>
          <w:tcPr>
            <w:tcW w:w="1134" w:type="dxa"/>
            <w:shd w:val="clear" w:color="000000" w:fill="FCE4D6"/>
            <w:noWrap/>
            <w:vAlign w:val="center"/>
            <w:hideMark/>
          </w:tcPr>
          <w:p w14:paraId="1CBCE7F6"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4,042</w:t>
            </w:r>
          </w:p>
        </w:tc>
        <w:tc>
          <w:tcPr>
            <w:tcW w:w="1134" w:type="dxa"/>
            <w:shd w:val="clear" w:color="000000" w:fill="FCE4D6"/>
            <w:noWrap/>
            <w:vAlign w:val="center"/>
            <w:hideMark/>
          </w:tcPr>
          <w:p w14:paraId="161B8F7A"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4,237</w:t>
            </w:r>
          </w:p>
        </w:tc>
        <w:tc>
          <w:tcPr>
            <w:tcW w:w="1134" w:type="dxa"/>
            <w:shd w:val="clear" w:color="000000" w:fill="FCE4D6"/>
            <w:noWrap/>
            <w:vAlign w:val="center"/>
            <w:hideMark/>
          </w:tcPr>
          <w:p w14:paraId="3A5BFD42"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4,994</w:t>
            </w:r>
          </w:p>
        </w:tc>
        <w:tc>
          <w:tcPr>
            <w:tcW w:w="851" w:type="dxa"/>
            <w:shd w:val="clear" w:color="000000" w:fill="C6E0B4"/>
            <w:noWrap/>
            <w:vAlign w:val="bottom"/>
            <w:hideMark/>
          </w:tcPr>
          <w:p w14:paraId="760FA0D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17.9%</w:t>
            </w:r>
          </w:p>
        </w:tc>
        <w:tc>
          <w:tcPr>
            <w:tcW w:w="1216" w:type="dxa"/>
            <w:shd w:val="clear" w:color="000000" w:fill="C6E0B4"/>
            <w:noWrap/>
            <w:vAlign w:val="bottom"/>
            <w:hideMark/>
          </w:tcPr>
          <w:p w14:paraId="50997BF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11.59%</w:t>
            </w:r>
          </w:p>
        </w:tc>
      </w:tr>
      <w:tr w:rsidR="007672DE" w:rsidRPr="001A31EC" w14:paraId="3902C061" w14:textId="77777777" w:rsidTr="007672DE">
        <w:trPr>
          <w:trHeight w:val="71"/>
        </w:trPr>
        <w:tc>
          <w:tcPr>
            <w:tcW w:w="3020" w:type="dxa"/>
            <w:shd w:val="clear" w:color="auto" w:fill="auto"/>
            <w:noWrap/>
            <w:vAlign w:val="bottom"/>
            <w:hideMark/>
          </w:tcPr>
          <w:p w14:paraId="213E7534"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Trade and other receivables</w:t>
            </w:r>
          </w:p>
        </w:tc>
        <w:tc>
          <w:tcPr>
            <w:tcW w:w="1091" w:type="dxa"/>
            <w:shd w:val="clear" w:color="auto" w:fill="auto"/>
            <w:noWrap/>
            <w:vAlign w:val="center"/>
            <w:hideMark/>
          </w:tcPr>
          <w:p w14:paraId="74231C9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200</w:t>
            </w:r>
          </w:p>
        </w:tc>
        <w:tc>
          <w:tcPr>
            <w:tcW w:w="1134" w:type="dxa"/>
            <w:shd w:val="clear" w:color="auto" w:fill="auto"/>
            <w:noWrap/>
            <w:vAlign w:val="center"/>
            <w:hideMark/>
          </w:tcPr>
          <w:p w14:paraId="020C986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206</w:t>
            </w:r>
          </w:p>
        </w:tc>
        <w:tc>
          <w:tcPr>
            <w:tcW w:w="1134" w:type="dxa"/>
            <w:shd w:val="clear" w:color="auto" w:fill="auto"/>
            <w:noWrap/>
            <w:vAlign w:val="center"/>
            <w:hideMark/>
          </w:tcPr>
          <w:p w14:paraId="383EC50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205</w:t>
            </w:r>
          </w:p>
        </w:tc>
        <w:tc>
          <w:tcPr>
            <w:tcW w:w="1134" w:type="dxa"/>
            <w:shd w:val="clear" w:color="auto" w:fill="auto"/>
            <w:noWrap/>
            <w:vAlign w:val="bottom"/>
            <w:hideMark/>
          </w:tcPr>
          <w:p w14:paraId="5B19D78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275</w:t>
            </w:r>
          </w:p>
        </w:tc>
        <w:tc>
          <w:tcPr>
            <w:tcW w:w="1134" w:type="dxa"/>
            <w:shd w:val="clear" w:color="auto" w:fill="auto"/>
            <w:noWrap/>
            <w:vAlign w:val="bottom"/>
            <w:hideMark/>
          </w:tcPr>
          <w:p w14:paraId="096DCD5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408</w:t>
            </w:r>
          </w:p>
        </w:tc>
        <w:tc>
          <w:tcPr>
            <w:tcW w:w="851" w:type="dxa"/>
            <w:shd w:val="clear" w:color="000000" w:fill="E2EFDA"/>
            <w:noWrap/>
            <w:vAlign w:val="bottom"/>
            <w:hideMark/>
          </w:tcPr>
          <w:p w14:paraId="546BCCD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48.4%</w:t>
            </w:r>
          </w:p>
        </w:tc>
        <w:tc>
          <w:tcPr>
            <w:tcW w:w="1216" w:type="dxa"/>
            <w:shd w:val="clear" w:color="000000" w:fill="E2EFDA"/>
            <w:noWrap/>
            <w:vAlign w:val="center"/>
            <w:hideMark/>
          </w:tcPr>
          <w:p w14:paraId="469E1119"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19.51%</w:t>
            </w:r>
          </w:p>
        </w:tc>
      </w:tr>
      <w:tr w:rsidR="007672DE" w:rsidRPr="001A31EC" w14:paraId="4A97FDCE" w14:textId="77777777" w:rsidTr="007672DE">
        <w:trPr>
          <w:trHeight w:val="71"/>
        </w:trPr>
        <w:tc>
          <w:tcPr>
            <w:tcW w:w="3020" w:type="dxa"/>
            <w:shd w:val="clear" w:color="auto" w:fill="auto"/>
            <w:noWrap/>
            <w:vAlign w:val="bottom"/>
            <w:hideMark/>
          </w:tcPr>
          <w:p w14:paraId="399B09FA"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Derivative financial instruments</w:t>
            </w:r>
          </w:p>
        </w:tc>
        <w:tc>
          <w:tcPr>
            <w:tcW w:w="1091" w:type="dxa"/>
            <w:shd w:val="clear" w:color="auto" w:fill="auto"/>
            <w:noWrap/>
            <w:vAlign w:val="center"/>
            <w:hideMark/>
          </w:tcPr>
          <w:p w14:paraId="0BDA934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53</w:t>
            </w:r>
          </w:p>
        </w:tc>
        <w:tc>
          <w:tcPr>
            <w:tcW w:w="1134" w:type="dxa"/>
            <w:shd w:val="clear" w:color="auto" w:fill="auto"/>
            <w:noWrap/>
            <w:vAlign w:val="center"/>
            <w:hideMark/>
          </w:tcPr>
          <w:p w14:paraId="5B504A3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128</w:t>
            </w:r>
          </w:p>
        </w:tc>
        <w:tc>
          <w:tcPr>
            <w:tcW w:w="1134" w:type="dxa"/>
            <w:shd w:val="clear" w:color="auto" w:fill="auto"/>
            <w:noWrap/>
            <w:vAlign w:val="center"/>
            <w:hideMark/>
          </w:tcPr>
          <w:p w14:paraId="323B971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268</w:t>
            </w:r>
          </w:p>
        </w:tc>
        <w:tc>
          <w:tcPr>
            <w:tcW w:w="1134" w:type="dxa"/>
            <w:shd w:val="clear" w:color="auto" w:fill="auto"/>
            <w:noWrap/>
            <w:vAlign w:val="bottom"/>
            <w:hideMark/>
          </w:tcPr>
          <w:p w14:paraId="331F296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131</w:t>
            </w:r>
          </w:p>
        </w:tc>
        <w:tc>
          <w:tcPr>
            <w:tcW w:w="1134" w:type="dxa"/>
            <w:shd w:val="clear" w:color="auto" w:fill="auto"/>
            <w:noWrap/>
            <w:vAlign w:val="bottom"/>
            <w:hideMark/>
          </w:tcPr>
          <w:p w14:paraId="4D8490D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220</w:t>
            </w:r>
          </w:p>
        </w:tc>
        <w:tc>
          <w:tcPr>
            <w:tcW w:w="851" w:type="dxa"/>
            <w:shd w:val="clear" w:color="000000" w:fill="E2EFDA"/>
            <w:noWrap/>
            <w:vAlign w:val="bottom"/>
            <w:hideMark/>
          </w:tcPr>
          <w:p w14:paraId="71B6417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67.9%</w:t>
            </w:r>
          </w:p>
        </w:tc>
        <w:tc>
          <w:tcPr>
            <w:tcW w:w="1216" w:type="dxa"/>
            <w:shd w:val="clear" w:color="000000" w:fill="E2EFDA"/>
            <w:noWrap/>
            <w:vAlign w:val="center"/>
            <w:hideMark/>
          </w:tcPr>
          <w:p w14:paraId="77F9F0CE"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42.74%</w:t>
            </w:r>
          </w:p>
        </w:tc>
      </w:tr>
      <w:tr w:rsidR="007672DE" w:rsidRPr="001A31EC" w14:paraId="67E13BB5" w14:textId="77777777" w:rsidTr="007672DE">
        <w:trPr>
          <w:trHeight w:val="71"/>
        </w:trPr>
        <w:tc>
          <w:tcPr>
            <w:tcW w:w="3020" w:type="dxa"/>
            <w:shd w:val="clear" w:color="auto" w:fill="auto"/>
            <w:noWrap/>
            <w:vAlign w:val="bottom"/>
            <w:hideMark/>
          </w:tcPr>
          <w:p w14:paraId="43F0A220"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Restricted cash</w:t>
            </w:r>
          </w:p>
        </w:tc>
        <w:tc>
          <w:tcPr>
            <w:tcW w:w="1091" w:type="dxa"/>
            <w:shd w:val="clear" w:color="auto" w:fill="auto"/>
            <w:noWrap/>
            <w:vAlign w:val="center"/>
            <w:hideMark/>
          </w:tcPr>
          <w:p w14:paraId="01887AB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23</w:t>
            </w:r>
          </w:p>
        </w:tc>
        <w:tc>
          <w:tcPr>
            <w:tcW w:w="1134" w:type="dxa"/>
            <w:shd w:val="clear" w:color="auto" w:fill="auto"/>
            <w:noWrap/>
            <w:vAlign w:val="bottom"/>
            <w:hideMark/>
          </w:tcPr>
          <w:p w14:paraId="6BD9B20C"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w:t>
            </w:r>
          </w:p>
        </w:tc>
        <w:tc>
          <w:tcPr>
            <w:tcW w:w="1134" w:type="dxa"/>
            <w:shd w:val="clear" w:color="auto" w:fill="auto"/>
            <w:noWrap/>
            <w:vAlign w:val="bottom"/>
            <w:hideMark/>
          </w:tcPr>
          <w:p w14:paraId="19906D3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w:t>
            </w:r>
          </w:p>
        </w:tc>
        <w:tc>
          <w:tcPr>
            <w:tcW w:w="1134" w:type="dxa"/>
            <w:shd w:val="clear" w:color="auto" w:fill="auto"/>
            <w:noWrap/>
            <w:vAlign w:val="bottom"/>
            <w:hideMark/>
          </w:tcPr>
          <w:p w14:paraId="54B9FFB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w:t>
            </w:r>
          </w:p>
        </w:tc>
        <w:tc>
          <w:tcPr>
            <w:tcW w:w="1134" w:type="dxa"/>
            <w:shd w:val="clear" w:color="auto" w:fill="auto"/>
            <w:noWrap/>
            <w:vAlign w:val="bottom"/>
            <w:hideMark/>
          </w:tcPr>
          <w:p w14:paraId="7E92EBA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w:t>
            </w:r>
          </w:p>
        </w:tc>
        <w:tc>
          <w:tcPr>
            <w:tcW w:w="851" w:type="dxa"/>
            <w:shd w:val="clear" w:color="000000" w:fill="E2EFDA"/>
            <w:noWrap/>
            <w:vAlign w:val="bottom"/>
            <w:hideMark/>
          </w:tcPr>
          <w:p w14:paraId="6568963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w:t>
            </w:r>
          </w:p>
        </w:tc>
        <w:tc>
          <w:tcPr>
            <w:tcW w:w="1216" w:type="dxa"/>
            <w:shd w:val="clear" w:color="000000" w:fill="E2EFDA"/>
            <w:noWrap/>
            <w:vAlign w:val="bottom"/>
            <w:hideMark/>
          </w:tcPr>
          <w:p w14:paraId="7858206F"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 </w:t>
            </w:r>
          </w:p>
        </w:tc>
      </w:tr>
      <w:tr w:rsidR="007672DE" w:rsidRPr="001A31EC" w14:paraId="3AD39989" w14:textId="77777777" w:rsidTr="007672DE">
        <w:trPr>
          <w:trHeight w:val="71"/>
        </w:trPr>
        <w:tc>
          <w:tcPr>
            <w:tcW w:w="3020" w:type="dxa"/>
            <w:shd w:val="clear" w:color="auto" w:fill="auto"/>
            <w:noWrap/>
            <w:vAlign w:val="bottom"/>
            <w:hideMark/>
          </w:tcPr>
          <w:p w14:paraId="46BC727C"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Money market deposits</w:t>
            </w:r>
          </w:p>
        </w:tc>
        <w:tc>
          <w:tcPr>
            <w:tcW w:w="1091" w:type="dxa"/>
            <w:shd w:val="clear" w:color="auto" w:fill="auto"/>
            <w:noWrap/>
            <w:vAlign w:val="center"/>
            <w:hideMark/>
          </w:tcPr>
          <w:p w14:paraId="4680CFD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561</w:t>
            </w:r>
          </w:p>
        </w:tc>
        <w:tc>
          <w:tcPr>
            <w:tcW w:w="1134" w:type="dxa"/>
            <w:shd w:val="clear" w:color="auto" w:fill="auto"/>
            <w:noWrap/>
            <w:vAlign w:val="bottom"/>
            <w:hideMark/>
          </w:tcPr>
          <w:p w14:paraId="56B17DC9"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289</w:t>
            </w:r>
          </w:p>
        </w:tc>
        <w:tc>
          <w:tcPr>
            <w:tcW w:w="1134" w:type="dxa"/>
            <w:shd w:val="clear" w:color="auto" w:fill="auto"/>
            <w:noWrap/>
            <w:vAlign w:val="center"/>
            <w:hideMark/>
          </w:tcPr>
          <w:p w14:paraId="7233615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255</w:t>
            </w:r>
          </w:p>
        </w:tc>
        <w:tc>
          <w:tcPr>
            <w:tcW w:w="1134" w:type="dxa"/>
            <w:shd w:val="clear" w:color="auto" w:fill="auto"/>
            <w:noWrap/>
            <w:vAlign w:val="bottom"/>
            <w:hideMark/>
          </w:tcPr>
          <w:p w14:paraId="3829E78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617</w:t>
            </w:r>
          </w:p>
        </w:tc>
        <w:tc>
          <w:tcPr>
            <w:tcW w:w="1134" w:type="dxa"/>
            <w:shd w:val="clear" w:color="auto" w:fill="auto"/>
            <w:noWrap/>
            <w:vAlign w:val="bottom"/>
            <w:hideMark/>
          </w:tcPr>
          <w:p w14:paraId="3AA2E97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348</w:t>
            </w:r>
          </w:p>
        </w:tc>
        <w:tc>
          <w:tcPr>
            <w:tcW w:w="851" w:type="dxa"/>
            <w:shd w:val="clear" w:color="000000" w:fill="E2EFDA"/>
            <w:noWrap/>
            <w:vAlign w:val="bottom"/>
            <w:hideMark/>
          </w:tcPr>
          <w:p w14:paraId="16E2B35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-43.6%</w:t>
            </w:r>
          </w:p>
        </w:tc>
        <w:tc>
          <w:tcPr>
            <w:tcW w:w="1216" w:type="dxa"/>
            <w:shd w:val="clear" w:color="000000" w:fill="E2EFDA"/>
            <w:noWrap/>
            <w:vAlign w:val="center"/>
            <w:hideMark/>
          </w:tcPr>
          <w:p w14:paraId="12073D9E"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-11.25%</w:t>
            </w:r>
          </w:p>
        </w:tc>
      </w:tr>
      <w:tr w:rsidR="007672DE" w:rsidRPr="001A31EC" w14:paraId="44BDD951" w14:textId="77777777" w:rsidTr="007672DE">
        <w:trPr>
          <w:trHeight w:val="71"/>
        </w:trPr>
        <w:tc>
          <w:tcPr>
            <w:tcW w:w="3020" w:type="dxa"/>
            <w:shd w:val="clear" w:color="auto" w:fill="auto"/>
            <w:noWrap/>
            <w:vAlign w:val="bottom"/>
            <w:hideMark/>
          </w:tcPr>
          <w:p w14:paraId="62B5ED04"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Cash and cash equivalents</w:t>
            </w:r>
          </w:p>
        </w:tc>
        <w:tc>
          <w:tcPr>
            <w:tcW w:w="1091" w:type="dxa"/>
            <w:shd w:val="clear" w:color="auto" w:fill="auto"/>
            <w:noWrap/>
            <w:vAlign w:val="center"/>
            <w:hideMark/>
          </w:tcPr>
          <w:p w14:paraId="7852A0E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424</w:t>
            </w:r>
          </w:p>
        </w:tc>
        <w:tc>
          <w:tcPr>
            <w:tcW w:w="1134" w:type="dxa"/>
            <w:shd w:val="clear" w:color="auto" w:fill="auto"/>
            <w:noWrap/>
            <w:vAlign w:val="bottom"/>
            <w:hideMark/>
          </w:tcPr>
          <w:p w14:paraId="14F3675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650</w:t>
            </w:r>
          </w:p>
        </w:tc>
        <w:tc>
          <w:tcPr>
            <w:tcW w:w="1134" w:type="dxa"/>
            <w:shd w:val="clear" w:color="auto" w:fill="auto"/>
            <w:noWrap/>
            <w:vAlign w:val="center"/>
            <w:hideMark/>
          </w:tcPr>
          <w:p w14:paraId="58D0D2C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714</w:t>
            </w:r>
          </w:p>
        </w:tc>
        <w:tc>
          <w:tcPr>
            <w:tcW w:w="1134" w:type="dxa"/>
            <w:shd w:val="clear" w:color="auto" w:fill="auto"/>
            <w:noWrap/>
            <w:vAlign w:val="bottom"/>
            <w:hideMark/>
          </w:tcPr>
          <w:p w14:paraId="5E3298B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711</w:t>
            </w:r>
          </w:p>
        </w:tc>
        <w:tc>
          <w:tcPr>
            <w:tcW w:w="1134" w:type="dxa"/>
            <w:shd w:val="clear" w:color="auto" w:fill="auto"/>
            <w:noWrap/>
            <w:vAlign w:val="bottom"/>
            <w:hideMark/>
          </w:tcPr>
          <w:p w14:paraId="5618C94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1,025</w:t>
            </w:r>
          </w:p>
        </w:tc>
        <w:tc>
          <w:tcPr>
            <w:tcW w:w="851" w:type="dxa"/>
            <w:shd w:val="clear" w:color="000000" w:fill="E2EFDA"/>
            <w:noWrap/>
            <w:vAlign w:val="bottom"/>
            <w:hideMark/>
          </w:tcPr>
          <w:p w14:paraId="0FEF19E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44.2%</w:t>
            </w:r>
          </w:p>
        </w:tc>
        <w:tc>
          <w:tcPr>
            <w:tcW w:w="1216" w:type="dxa"/>
            <w:shd w:val="clear" w:color="000000" w:fill="E2EFDA"/>
            <w:noWrap/>
            <w:vAlign w:val="center"/>
            <w:hideMark/>
          </w:tcPr>
          <w:p w14:paraId="62C1ED6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24.69%</w:t>
            </w:r>
          </w:p>
        </w:tc>
      </w:tr>
      <w:tr w:rsidR="007672DE" w:rsidRPr="001A31EC" w14:paraId="640326A0" w14:textId="77777777" w:rsidTr="007672DE">
        <w:trPr>
          <w:trHeight w:val="71"/>
        </w:trPr>
        <w:tc>
          <w:tcPr>
            <w:tcW w:w="3020" w:type="dxa"/>
            <w:shd w:val="clear" w:color="000000" w:fill="FCE4D6"/>
            <w:vAlign w:val="bottom"/>
            <w:hideMark/>
          </w:tcPr>
          <w:p w14:paraId="4246E226" w14:textId="77777777" w:rsidR="007672DE" w:rsidRPr="001A31EC" w:rsidRDefault="007672DE" w:rsidP="007672DE">
            <w:pPr>
              <w:rPr>
                <w:rFonts w:ascii="Calibri" w:hAnsi="Calibri"/>
                <w:b/>
                <w:bCs/>
                <w:color w:val="000000"/>
                <w:sz w:val="18"/>
                <w:szCs w:val="18"/>
              </w:rPr>
            </w:pPr>
            <w:r w:rsidRPr="001A31EC">
              <w:rPr>
                <w:rFonts w:ascii="Calibri" w:hAnsi="Calibri"/>
                <w:b/>
                <w:bCs/>
                <w:color w:val="000000"/>
                <w:sz w:val="18"/>
                <w:szCs w:val="18"/>
              </w:rPr>
              <w:t>Current Assets</w:t>
            </w:r>
          </w:p>
        </w:tc>
        <w:tc>
          <w:tcPr>
            <w:tcW w:w="1091" w:type="dxa"/>
            <w:shd w:val="clear" w:color="000000" w:fill="FCE4D6"/>
            <w:noWrap/>
            <w:vAlign w:val="center"/>
            <w:hideMark/>
          </w:tcPr>
          <w:p w14:paraId="345EB0F5"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1,261</w:t>
            </w:r>
          </w:p>
        </w:tc>
        <w:tc>
          <w:tcPr>
            <w:tcW w:w="1134" w:type="dxa"/>
            <w:shd w:val="clear" w:color="000000" w:fill="FCE4D6"/>
            <w:noWrap/>
            <w:vAlign w:val="center"/>
            <w:hideMark/>
          </w:tcPr>
          <w:p w14:paraId="2FB78916"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1,279</w:t>
            </w:r>
          </w:p>
        </w:tc>
        <w:tc>
          <w:tcPr>
            <w:tcW w:w="1134" w:type="dxa"/>
            <w:shd w:val="clear" w:color="000000" w:fill="FCE4D6"/>
            <w:noWrap/>
            <w:vAlign w:val="center"/>
            <w:hideMark/>
          </w:tcPr>
          <w:p w14:paraId="2F12E1EB"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1,442</w:t>
            </w:r>
          </w:p>
        </w:tc>
        <w:tc>
          <w:tcPr>
            <w:tcW w:w="1134" w:type="dxa"/>
            <w:shd w:val="clear" w:color="000000" w:fill="FCE4D6"/>
            <w:noWrap/>
            <w:vAlign w:val="center"/>
            <w:hideMark/>
          </w:tcPr>
          <w:p w14:paraId="0271AE72"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1,734</w:t>
            </w:r>
          </w:p>
        </w:tc>
        <w:tc>
          <w:tcPr>
            <w:tcW w:w="1134" w:type="dxa"/>
            <w:shd w:val="clear" w:color="000000" w:fill="FCE4D6"/>
            <w:noWrap/>
            <w:vAlign w:val="center"/>
            <w:hideMark/>
          </w:tcPr>
          <w:p w14:paraId="5E3DF61F"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2,001</w:t>
            </w:r>
          </w:p>
        </w:tc>
        <w:tc>
          <w:tcPr>
            <w:tcW w:w="851" w:type="dxa"/>
            <w:shd w:val="clear" w:color="000000" w:fill="C6E0B4"/>
            <w:noWrap/>
            <w:vAlign w:val="bottom"/>
            <w:hideMark/>
          </w:tcPr>
          <w:p w14:paraId="0A17F1A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15.4%</w:t>
            </w:r>
          </w:p>
        </w:tc>
        <w:tc>
          <w:tcPr>
            <w:tcW w:w="1216" w:type="dxa"/>
            <w:shd w:val="clear" w:color="000000" w:fill="C6E0B4"/>
            <w:noWrap/>
            <w:vAlign w:val="bottom"/>
            <w:hideMark/>
          </w:tcPr>
          <w:p w14:paraId="539DB3A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12.24%</w:t>
            </w:r>
          </w:p>
        </w:tc>
      </w:tr>
      <w:tr w:rsidR="007672DE" w:rsidRPr="001A31EC" w14:paraId="3C525C13" w14:textId="77777777" w:rsidTr="007672DE">
        <w:trPr>
          <w:trHeight w:val="71"/>
        </w:trPr>
        <w:tc>
          <w:tcPr>
            <w:tcW w:w="3020" w:type="dxa"/>
            <w:shd w:val="clear" w:color="000000" w:fill="F4B084"/>
            <w:noWrap/>
            <w:vAlign w:val="bottom"/>
            <w:hideMark/>
          </w:tcPr>
          <w:p w14:paraId="67EDB119" w14:textId="77777777" w:rsidR="007672DE" w:rsidRPr="001A31EC" w:rsidRDefault="007672DE" w:rsidP="007672DE">
            <w:pPr>
              <w:rPr>
                <w:rFonts w:ascii="Calibri" w:hAnsi="Calibri"/>
                <w:b/>
                <w:bCs/>
                <w:color w:val="000000"/>
                <w:sz w:val="18"/>
                <w:szCs w:val="18"/>
              </w:rPr>
            </w:pPr>
            <w:r w:rsidRPr="001A31EC">
              <w:rPr>
                <w:rFonts w:ascii="Calibri" w:hAnsi="Calibri"/>
                <w:b/>
                <w:bCs/>
                <w:color w:val="000000"/>
                <w:sz w:val="18"/>
                <w:szCs w:val="18"/>
              </w:rPr>
              <w:t>Total Assets</w:t>
            </w:r>
          </w:p>
        </w:tc>
        <w:tc>
          <w:tcPr>
            <w:tcW w:w="1091" w:type="dxa"/>
            <w:shd w:val="clear" w:color="000000" w:fill="F4B084"/>
            <w:noWrap/>
            <w:vAlign w:val="bottom"/>
            <w:hideMark/>
          </w:tcPr>
          <w:p w14:paraId="24AFF848"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4,482</w:t>
            </w:r>
          </w:p>
        </w:tc>
        <w:tc>
          <w:tcPr>
            <w:tcW w:w="1134" w:type="dxa"/>
            <w:shd w:val="clear" w:color="000000" w:fill="F4B084"/>
            <w:noWrap/>
            <w:vAlign w:val="bottom"/>
            <w:hideMark/>
          </w:tcPr>
          <w:p w14:paraId="0DD4A0BA"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4,828</w:t>
            </w:r>
          </w:p>
        </w:tc>
        <w:tc>
          <w:tcPr>
            <w:tcW w:w="1134" w:type="dxa"/>
            <w:shd w:val="clear" w:color="000000" w:fill="F4B084"/>
            <w:noWrap/>
            <w:vAlign w:val="bottom"/>
            <w:hideMark/>
          </w:tcPr>
          <w:p w14:paraId="3126A662"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5,484</w:t>
            </w:r>
          </w:p>
        </w:tc>
        <w:tc>
          <w:tcPr>
            <w:tcW w:w="1134" w:type="dxa"/>
            <w:shd w:val="clear" w:color="000000" w:fill="F4B084"/>
            <w:noWrap/>
            <w:vAlign w:val="bottom"/>
            <w:hideMark/>
          </w:tcPr>
          <w:p w14:paraId="32C9DAE3"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5,971</w:t>
            </w:r>
          </w:p>
        </w:tc>
        <w:tc>
          <w:tcPr>
            <w:tcW w:w="1134" w:type="dxa"/>
            <w:shd w:val="clear" w:color="000000" w:fill="F4B084"/>
            <w:noWrap/>
            <w:vAlign w:val="bottom"/>
            <w:hideMark/>
          </w:tcPr>
          <w:p w14:paraId="04DF15C7"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6,995</w:t>
            </w:r>
          </w:p>
        </w:tc>
        <w:tc>
          <w:tcPr>
            <w:tcW w:w="851" w:type="dxa"/>
            <w:shd w:val="clear" w:color="000000" w:fill="A9D08E"/>
            <w:noWrap/>
            <w:vAlign w:val="bottom"/>
            <w:hideMark/>
          </w:tcPr>
          <w:p w14:paraId="7D532890"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17.1%</w:t>
            </w:r>
          </w:p>
        </w:tc>
        <w:tc>
          <w:tcPr>
            <w:tcW w:w="1216" w:type="dxa"/>
            <w:shd w:val="clear" w:color="000000" w:fill="A9D08E"/>
            <w:noWrap/>
            <w:vAlign w:val="bottom"/>
            <w:hideMark/>
          </w:tcPr>
          <w:p w14:paraId="7A482222"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11.77%</w:t>
            </w:r>
          </w:p>
        </w:tc>
      </w:tr>
      <w:tr w:rsidR="007672DE" w:rsidRPr="001A31EC" w14:paraId="1DC7DB30" w14:textId="77777777" w:rsidTr="007672DE">
        <w:trPr>
          <w:trHeight w:val="71"/>
        </w:trPr>
        <w:tc>
          <w:tcPr>
            <w:tcW w:w="3020" w:type="dxa"/>
            <w:shd w:val="clear" w:color="000000" w:fill="808080"/>
            <w:vAlign w:val="bottom"/>
            <w:hideMark/>
          </w:tcPr>
          <w:p w14:paraId="3EA32A22" w14:textId="77777777" w:rsidR="007672DE" w:rsidRPr="001A31EC" w:rsidRDefault="007672DE" w:rsidP="007672DE">
            <w:pPr>
              <w:rPr>
                <w:rFonts w:ascii="Calibri" w:hAnsi="Calibri"/>
                <w:b/>
                <w:bCs/>
                <w:color w:val="FFFFFF"/>
                <w:sz w:val="18"/>
                <w:szCs w:val="18"/>
              </w:rPr>
            </w:pPr>
            <w:r w:rsidRPr="00047CEE">
              <w:rPr>
                <w:rFonts w:ascii="Calibri" w:hAnsi="Calibri"/>
                <w:b/>
                <w:bCs/>
                <w:color w:val="FFFFFF"/>
                <w:sz w:val="21"/>
                <w:szCs w:val="18"/>
              </w:rPr>
              <w:t>Liabilities</w:t>
            </w:r>
          </w:p>
        </w:tc>
        <w:tc>
          <w:tcPr>
            <w:tcW w:w="1091" w:type="dxa"/>
            <w:shd w:val="clear" w:color="000000" w:fill="808080"/>
            <w:noWrap/>
            <w:vAlign w:val="center"/>
            <w:hideMark/>
          </w:tcPr>
          <w:p w14:paraId="14941D0A"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112AD570"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334AE422"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5B1EB9E7"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44CEACAF"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851" w:type="dxa"/>
            <w:shd w:val="clear" w:color="000000" w:fill="808080"/>
            <w:noWrap/>
            <w:vAlign w:val="center"/>
            <w:hideMark/>
          </w:tcPr>
          <w:p w14:paraId="47C38047"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c>
          <w:tcPr>
            <w:tcW w:w="1216" w:type="dxa"/>
            <w:shd w:val="clear" w:color="000000" w:fill="808080"/>
            <w:noWrap/>
            <w:vAlign w:val="center"/>
            <w:hideMark/>
          </w:tcPr>
          <w:p w14:paraId="321D014E"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r>
      <w:tr w:rsidR="007672DE" w:rsidRPr="001A31EC" w14:paraId="5CE4C1FD" w14:textId="77777777" w:rsidTr="007672DE">
        <w:trPr>
          <w:trHeight w:val="71"/>
        </w:trPr>
        <w:tc>
          <w:tcPr>
            <w:tcW w:w="3020" w:type="dxa"/>
            <w:shd w:val="clear" w:color="auto" w:fill="auto"/>
            <w:noWrap/>
            <w:vAlign w:val="bottom"/>
            <w:hideMark/>
          </w:tcPr>
          <w:p w14:paraId="17308FB7"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Trade and other payables</w:t>
            </w:r>
          </w:p>
        </w:tc>
        <w:tc>
          <w:tcPr>
            <w:tcW w:w="1091" w:type="dxa"/>
            <w:shd w:val="clear" w:color="auto" w:fill="auto"/>
            <w:noWrap/>
            <w:vAlign w:val="bottom"/>
            <w:hideMark/>
          </w:tcPr>
          <w:p w14:paraId="3D0619B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-523</w:t>
            </w:r>
          </w:p>
        </w:tc>
        <w:tc>
          <w:tcPr>
            <w:tcW w:w="1134" w:type="dxa"/>
            <w:shd w:val="clear" w:color="auto" w:fill="auto"/>
            <w:noWrap/>
            <w:vAlign w:val="bottom"/>
            <w:hideMark/>
          </w:tcPr>
          <w:p w14:paraId="2E14C70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-495</w:t>
            </w:r>
          </w:p>
        </w:tc>
        <w:tc>
          <w:tcPr>
            <w:tcW w:w="1134" w:type="dxa"/>
            <w:shd w:val="clear" w:color="auto" w:fill="auto"/>
            <w:noWrap/>
            <w:vAlign w:val="bottom"/>
            <w:hideMark/>
          </w:tcPr>
          <w:p w14:paraId="6E248A6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-565</w:t>
            </w:r>
          </w:p>
        </w:tc>
        <w:tc>
          <w:tcPr>
            <w:tcW w:w="1134" w:type="dxa"/>
            <w:shd w:val="clear" w:color="auto" w:fill="auto"/>
            <w:noWrap/>
            <w:vAlign w:val="bottom"/>
            <w:hideMark/>
          </w:tcPr>
          <w:p w14:paraId="0ADE34A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-714</w:t>
            </w:r>
          </w:p>
        </w:tc>
        <w:tc>
          <w:tcPr>
            <w:tcW w:w="1134" w:type="dxa"/>
            <w:shd w:val="clear" w:color="auto" w:fill="auto"/>
            <w:noWrap/>
            <w:vAlign w:val="bottom"/>
            <w:hideMark/>
          </w:tcPr>
          <w:p w14:paraId="0996131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-1,023</w:t>
            </w:r>
          </w:p>
        </w:tc>
        <w:tc>
          <w:tcPr>
            <w:tcW w:w="851" w:type="dxa"/>
            <w:shd w:val="clear" w:color="000000" w:fill="E2EFDA"/>
            <w:noWrap/>
            <w:vAlign w:val="bottom"/>
            <w:hideMark/>
          </w:tcPr>
          <w:p w14:paraId="5D66B32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43.3%</w:t>
            </w:r>
          </w:p>
        </w:tc>
        <w:tc>
          <w:tcPr>
            <w:tcW w:w="1216" w:type="dxa"/>
            <w:shd w:val="clear" w:color="000000" w:fill="E2EFDA"/>
            <w:noWrap/>
            <w:vAlign w:val="center"/>
            <w:hideMark/>
          </w:tcPr>
          <w:p w14:paraId="47F353D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18.26%</w:t>
            </w:r>
          </w:p>
        </w:tc>
      </w:tr>
      <w:tr w:rsidR="007672DE" w:rsidRPr="001A31EC" w14:paraId="49F1C44F" w14:textId="77777777" w:rsidTr="007672DE">
        <w:trPr>
          <w:trHeight w:val="71"/>
        </w:trPr>
        <w:tc>
          <w:tcPr>
            <w:tcW w:w="3020" w:type="dxa"/>
            <w:shd w:val="clear" w:color="auto" w:fill="auto"/>
            <w:noWrap/>
            <w:vAlign w:val="bottom"/>
            <w:hideMark/>
          </w:tcPr>
          <w:p w14:paraId="4EF2E10C"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Unearned revenue</w:t>
            </w:r>
          </w:p>
        </w:tc>
        <w:tc>
          <w:tcPr>
            <w:tcW w:w="1091" w:type="dxa"/>
            <w:shd w:val="clear" w:color="auto" w:fill="auto"/>
            <w:noWrap/>
            <w:vAlign w:val="bottom"/>
            <w:hideMark/>
          </w:tcPr>
          <w:p w14:paraId="56B076E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-572</w:t>
            </w:r>
          </w:p>
        </w:tc>
        <w:tc>
          <w:tcPr>
            <w:tcW w:w="1134" w:type="dxa"/>
            <w:shd w:val="clear" w:color="auto" w:fill="auto"/>
            <w:noWrap/>
            <w:vAlign w:val="bottom"/>
            <w:hideMark/>
          </w:tcPr>
          <w:p w14:paraId="4ACE6B3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-619</w:t>
            </w:r>
          </w:p>
        </w:tc>
        <w:tc>
          <w:tcPr>
            <w:tcW w:w="1134" w:type="dxa"/>
            <w:shd w:val="clear" w:color="auto" w:fill="auto"/>
            <w:noWrap/>
            <w:vAlign w:val="bottom"/>
            <w:hideMark/>
          </w:tcPr>
          <w:p w14:paraId="6BF2E029"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-568</w:t>
            </w:r>
          </w:p>
        </w:tc>
        <w:tc>
          <w:tcPr>
            <w:tcW w:w="1134" w:type="dxa"/>
            <w:shd w:val="clear" w:color="auto" w:fill="auto"/>
            <w:noWrap/>
            <w:vAlign w:val="bottom"/>
            <w:hideMark/>
          </w:tcPr>
          <w:p w14:paraId="5F8E68EC"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-727</w:t>
            </w:r>
          </w:p>
        </w:tc>
        <w:tc>
          <w:tcPr>
            <w:tcW w:w="1134" w:type="dxa"/>
            <w:shd w:val="clear" w:color="auto" w:fill="auto"/>
            <w:noWrap/>
            <w:vAlign w:val="bottom"/>
            <w:hideMark/>
          </w:tcPr>
          <w:p w14:paraId="755C127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-877</w:t>
            </w:r>
          </w:p>
        </w:tc>
        <w:tc>
          <w:tcPr>
            <w:tcW w:w="851" w:type="dxa"/>
            <w:shd w:val="clear" w:color="000000" w:fill="E2EFDA"/>
            <w:noWrap/>
            <w:vAlign w:val="bottom"/>
            <w:hideMark/>
          </w:tcPr>
          <w:p w14:paraId="683CDB7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20.6%</w:t>
            </w:r>
          </w:p>
        </w:tc>
        <w:tc>
          <w:tcPr>
            <w:tcW w:w="1216" w:type="dxa"/>
            <w:shd w:val="clear" w:color="000000" w:fill="E2EFDA"/>
            <w:noWrap/>
            <w:vAlign w:val="center"/>
            <w:hideMark/>
          </w:tcPr>
          <w:p w14:paraId="01BCFAE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11.28%</w:t>
            </w:r>
          </w:p>
        </w:tc>
      </w:tr>
      <w:tr w:rsidR="007672DE" w:rsidRPr="001A31EC" w14:paraId="5FB45D16" w14:textId="77777777" w:rsidTr="007672DE">
        <w:trPr>
          <w:trHeight w:val="71"/>
        </w:trPr>
        <w:tc>
          <w:tcPr>
            <w:tcW w:w="3020" w:type="dxa"/>
            <w:shd w:val="clear" w:color="auto" w:fill="auto"/>
            <w:noWrap/>
            <w:vAlign w:val="bottom"/>
            <w:hideMark/>
          </w:tcPr>
          <w:p w14:paraId="5B04EF7B"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Borrowings</w:t>
            </w:r>
          </w:p>
        </w:tc>
        <w:tc>
          <w:tcPr>
            <w:tcW w:w="1091" w:type="dxa"/>
            <w:shd w:val="clear" w:color="auto" w:fill="auto"/>
            <w:noWrap/>
            <w:vAlign w:val="bottom"/>
            <w:hideMark/>
          </w:tcPr>
          <w:p w14:paraId="676417E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-91</w:t>
            </w:r>
          </w:p>
        </w:tc>
        <w:tc>
          <w:tcPr>
            <w:tcW w:w="1134" w:type="dxa"/>
            <w:shd w:val="clear" w:color="auto" w:fill="auto"/>
            <w:noWrap/>
            <w:vAlign w:val="bottom"/>
            <w:hideMark/>
          </w:tcPr>
          <w:p w14:paraId="05F6BB9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-182</w:t>
            </w:r>
          </w:p>
        </w:tc>
        <w:tc>
          <w:tcPr>
            <w:tcW w:w="1134" w:type="dxa"/>
            <w:shd w:val="clear" w:color="auto" w:fill="auto"/>
            <w:noWrap/>
            <w:vAlign w:val="bottom"/>
            <w:hideMark/>
          </w:tcPr>
          <w:p w14:paraId="65863C5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-92</w:t>
            </w:r>
          </w:p>
        </w:tc>
        <w:tc>
          <w:tcPr>
            <w:tcW w:w="1134" w:type="dxa"/>
            <w:shd w:val="clear" w:color="auto" w:fill="auto"/>
            <w:noWrap/>
            <w:vAlign w:val="bottom"/>
            <w:hideMark/>
          </w:tcPr>
          <w:p w14:paraId="69C56B7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-8</w:t>
            </w:r>
          </w:p>
        </w:tc>
        <w:tc>
          <w:tcPr>
            <w:tcW w:w="1134" w:type="dxa"/>
            <w:shd w:val="clear" w:color="auto" w:fill="auto"/>
            <w:noWrap/>
            <w:vAlign w:val="bottom"/>
            <w:hideMark/>
          </w:tcPr>
          <w:p w14:paraId="55B94F6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w:t>
            </w:r>
          </w:p>
        </w:tc>
        <w:tc>
          <w:tcPr>
            <w:tcW w:w="851" w:type="dxa"/>
            <w:shd w:val="clear" w:color="000000" w:fill="E2EFDA"/>
            <w:noWrap/>
            <w:vAlign w:val="bottom"/>
            <w:hideMark/>
          </w:tcPr>
          <w:p w14:paraId="41274C8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12.5%</w:t>
            </w:r>
          </w:p>
        </w:tc>
        <w:tc>
          <w:tcPr>
            <w:tcW w:w="1216" w:type="dxa"/>
            <w:shd w:val="clear" w:color="000000" w:fill="E2EFDA"/>
            <w:noWrap/>
            <w:vAlign w:val="center"/>
            <w:hideMark/>
          </w:tcPr>
          <w:p w14:paraId="1BB090EC"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-43.92%</w:t>
            </w:r>
          </w:p>
        </w:tc>
      </w:tr>
      <w:tr w:rsidR="007672DE" w:rsidRPr="001A31EC" w14:paraId="6A82EDE5" w14:textId="77777777" w:rsidTr="007672DE">
        <w:trPr>
          <w:trHeight w:val="71"/>
        </w:trPr>
        <w:tc>
          <w:tcPr>
            <w:tcW w:w="3020" w:type="dxa"/>
            <w:shd w:val="clear" w:color="auto" w:fill="auto"/>
            <w:noWrap/>
            <w:vAlign w:val="bottom"/>
            <w:hideMark/>
          </w:tcPr>
          <w:p w14:paraId="25640D67"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Derivative financial instruments</w:t>
            </w:r>
          </w:p>
        </w:tc>
        <w:tc>
          <w:tcPr>
            <w:tcW w:w="1091" w:type="dxa"/>
            <w:shd w:val="clear" w:color="auto" w:fill="auto"/>
            <w:noWrap/>
            <w:vAlign w:val="bottom"/>
            <w:hideMark/>
          </w:tcPr>
          <w:p w14:paraId="0A62FE4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-87</w:t>
            </w:r>
          </w:p>
        </w:tc>
        <w:tc>
          <w:tcPr>
            <w:tcW w:w="1134" w:type="dxa"/>
            <w:shd w:val="clear" w:color="auto" w:fill="auto"/>
            <w:noWrap/>
            <w:vAlign w:val="bottom"/>
            <w:hideMark/>
          </w:tcPr>
          <w:p w14:paraId="12C2168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-368</w:t>
            </w:r>
          </w:p>
        </w:tc>
        <w:tc>
          <w:tcPr>
            <w:tcW w:w="1134" w:type="dxa"/>
            <w:shd w:val="clear" w:color="auto" w:fill="auto"/>
            <w:noWrap/>
            <w:vAlign w:val="bottom"/>
            <w:hideMark/>
          </w:tcPr>
          <w:p w14:paraId="3AE6207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-275</w:t>
            </w:r>
          </w:p>
        </w:tc>
        <w:tc>
          <w:tcPr>
            <w:tcW w:w="1134" w:type="dxa"/>
            <w:shd w:val="clear" w:color="auto" w:fill="auto"/>
            <w:noWrap/>
            <w:vAlign w:val="bottom"/>
            <w:hideMark/>
          </w:tcPr>
          <w:p w14:paraId="29793C2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-82</w:t>
            </w:r>
          </w:p>
        </w:tc>
        <w:tc>
          <w:tcPr>
            <w:tcW w:w="1134" w:type="dxa"/>
            <w:shd w:val="clear" w:color="auto" w:fill="auto"/>
            <w:noWrap/>
            <w:vAlign w:val="bottom"/>
            <w:hideMark/>
          </w:tcPr>
          <w:p w14:paraId="2B051E0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-24</w:t>
            </w:r>
          </w:p>
        </w:tc>
        <w:tc>
          <w:tcPr>
            <w:tcW w:w="851" w:type="dxa"/>
            <w:shd w:val="clear" w:color="000000" w:fill="E2EFDA"/>
            <w:noWrap/>
            <w:vAlign w:val="bottom"/>
            <w:hideMark/>
          </w:tcPr>
          <w:p w14:paraId="7E5DAA1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-70.7%</w:t>
            </w:r>
          </w:p>
        </w:tc>
        <w:tc>
          <w:tcPr>
            <w:tcW w:w="1216" w:type="dxa"/>
            <w:shd w:val="clear" w:color="000000" w:fill="E2EFDA"/>
            <w:noWrap/>
            <w:vAlign w:val="center"/>
            <w:hideMark/>
          </w:tcPr>
          <w:p w14:paraId="6A52188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-27.53%</w:t>
            </w:r>
          </w:p>
        </w:tc>
      </w:tr>
      <w:tr w:rsidR="007672DE" w:rsidRPr="001A31EC" w14:paraId="54B0B674" w14:textId="77777777" w:rsidTr="007672DE">
        <w:trPr>
          <w:trHeight w:val="71"/>
        </w:trPr>
        <w:tc>
          <w:tcPr>
            <w:tcW w:w="3020" w:type="dxa"/>
            <w:shd w:val="clear" w:color="auto" w:fill="auto"/>
            <w:noWrap/>
            <w:vAlign w:val="bottom"/>
            <w:hideMark/>
          </w:tcPr>
          <w:p w14:paraId="3BED4CA6"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Current tax payable</w:t>
            </w:r>
          </w:p>
        </w:tc>
        <w:tc>
          <w:tcPr>
            <w:tcW w:w="1091" w:type="dxa"/>
            <w:shd w:val="clear" w:color="auto" w:fill="auto"/>
            <w:noWrap/>
            <w:vAlign w:val="bottom"/>
            <w:hideMark/>
          </w:tcPr>
          <w:p w14:paraId="19A249B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-53</w:t>
            </w:r>
          </w:p>
        </w:tc>
        <w:tc>
          <w:tcPr>
            <w:tcW w:w="1134" w:type="dxa"/>
            <w:shd w:val="clear" w:color="auto" w:fill="auto"/>
            <w:noWrap/>
            <w:vAlign w:val="bottom"/>
            <w:hideMark/>
          </w:tcPr>
          <w:p w14:paraId="01F2709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-43</w:t>
            </w:r>
          </w:p>
        </w:tc>
        <w:tc>
          <w:tcPr>
            <w:tcW w:w="1134" w:type="dxa"/>
            <w:shd w:val="clear" w:color="auto" w:fill="auto"/>
            <w:noWrap/>
            <w:vAlign w:val="bottom"/>
            <w:hideMark/>
          </w:tcPr>
          <w:p w14:paraId="4CD5D71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-16</w:t>
            </w:r>
          </w:p>
        </w:tc>
        <w:tc>
          <w:tcPr>
            <w:tcW w:w="1134" w:type="dxa"/>
            <w:shd w:val="clear" w:color="auto" w:fill="auto"/>
            <w:noWrap/>
            <w:vAlign w:val="bottom"/>
            <w:hideMark/>
          </w:tcPr>
          <w:p w14:paraId="42A8D0A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-35</w:t>
            </w:r>
          </w:p>
        </w:tc>
        <w:tc>
          <w:tcPr>
            <w:tcW w:w="1134" w:type="dxa"/>
            <w:shd w:val="clear" w:color="auto" w:fill="auto"/>
            <w:noWrap/>
            <w:vAlign w:val="bottom"/>
            <w:hideMark/>
          </w:tcPr>
          <w:p w14:paraId="6159F5A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w:t>
            </w:r>
          </w:p>
        </w:tc>
        <w:tc>
          <w:tcPr>
            <w:tcW w:w="851" w:type="dxa"/>
            <w:shd w:val="clear" w:color="000000" w:fill="E2EFDA"/>
            <w:noWrap/>
            <w:vAlign w:val="bottom"/>
            <w:hideMark/>
          </w:tcPr>
          <w:p w14:paraId="5331F71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-74.3%</w:t>
            </w:r>
          </w:p>
        </w:tc>
        <w:tc>
          <w:tcPr>
            <w:tcW w:w="1216" w:type="dxa"/>
            <w:shd w:val="clear" w:color="000000" w:fill="E2EFDA"/>
            <w:noWrap/>
            <w:vAlign w:val="center"/>
            <w:hideMark/>
          </w:tcPr>
          <w:p w14:paraId="3EE0E4A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-35.81%</w:t>
            </w:r>
          </w:p>
        </w:tc>
      </w:tr>
      <w:tr w:rsidR="007672DE" w:rsidRPr="001A31EC" w14:paraId="2CFC6C84" w14:textId="77777777" w:rsidTr="007672DE">
        <w:trPr>
          <w:trHeight w:val="71"/>
        </w:trPr>
        <w:tc>
          <w:tcPr>
            <w:tcW w:w="3020" w:type="dxa"/>
            <w:shd w:val="clear" w:color="auto" w:fill="auto"/>
            <w:noWrap/>
            <w:vAlign w:val="bottom"/>
            <w:hideMark/>
          </w:tcPr>
          <w:p w14:paraId="1A546D8A"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Provisions for liabilities and charge</w:t>
            </w:r>
          </w:p>
        </w:tc>
        <w:tc>
          <w:tcPr>
            <w:tcW w:w="1091" w:type="dxa"/>
            <w:shd w:val="clear" w:color="auto" w:fill="auto"/>
            <w:noWrap/>
            <w:vAlign w:val="bottom"/>
            <w:hideMark/>
          </w:tcPr>
          <w:p w14:paraId="33FB021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-94</w:t>
            </w:r>
          </w:p>
        </w:tc>
        <w:tc>
          <w:tcPr>
            <w:tcW w:w="1134" w:type="dxa"/>
            <w:shd w:val="clear" w:color="auto" w:fill="auto"/>
            <w:noWrap/>
            <w:vAlign w:val="bottom"/>
            <w:hideMark/>
          </w:tcPr>
          <w:p w14:paraId="3F8C7769"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-61</w:t>
            </w:r>
          </w:p>
        </w:tc>
        <w:tc>
          <w:tcPr>
            <w:tcW w:w="1134" w:type="dxa"/>
            <w:shd w:val="clear" w:color="auto" w:fill="auto"/>
            <w:noWrap/>
            <w:vAlign w:val="bottom"/>
            <w:hideMark/>
          </w:tcPr>
          <w:p w14:paraId="0ACDDA6E"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-53</w:t>
            </w:r>
          </w:p>
        </w:tc>
        <w:tc>
          <w:tcPr>
            <w:tcW w:w="1134" w:type="dxa"/>
            <w:shd w:val="clear" w:color="auto" w:fill="auto"/>
            <w:noWrap/>
            <w:vAlign w:val="bottom"/>
            <w:hideMark/>
          </w:tcPr>
          <w:p w14:paraId="164154E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-104</w:t>
            </w:r>
          </w:p>
        </w:tc>
        <w:tc>
          <w:tcPr>
            <w:tcW w:w="1134" w:type="dxa"/>
            <w:shd w:val="clear" w:color="auto" w:fill="auto"/>
            <w:noWrap/>
            <w:vAlign w:val="bottom"/>
            <w:hideMark/>
          </w:tcPr>
          <w:p w14:paraId="6363CCF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-118</w:t>
            </w:r>
          </w:p>
        </w:tc>
        <w:tc>
          <w:tcPr>
            <w:tcW w:w="851" w:type="dxa"/>
            <w:shd w:val="clear" w:color="000000" w:fill="E2EFDA"/>
            <w:noWrap/>
            <w:vAlign w:val="bottom"/>
            <w:hideMark/>
          </w:tcPr>
          <w:p w14:paraId="06BAAA1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13.5%</w:t>
            </w:r>
          </w:p>
        </w:tc>
        <w:tc>
          <w:tcPr>
            <w:tcW w:w="1216" w:type="dxa"/>
            <w:shd w:val="clear" w:color="000000" w:fill="E2EFDA"/>
            <w:noWrap/>
            <w:vAlign w:val="center"/>
            <w:hideMark/>
          </w:tcPr>
          <w:p w14:paraId="421B50E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5.85%</w:t>
            </w:r>
          </w:p>
        </w:tc>
      </w:tr>
      <w:tr w:rsidR="007672DE" w:rsidRPr="001A31EC" w14:paraId="70D2B602" w14:textId="77777777" w:rsidTr="007672DE">
        <w:trPr>
          <w:trHeight w:val="71"/>
        </w:trPr>
        <w:tc>
          <w:tcPr>
            <w:tcW w:w="3020" w:type="dxa"/>
            <w:shd w:val="clear" w:color="000000" w:fill="FCE4D6"/>
            <w:noWrap/>
            <w:vAlign w:val="bottom"/>
            <w:hideMark/>
          </w:tcPr>
          <w:p w14:paraId="6ADBC450" w14:textId="77777777" w:rsidR="007672DE" w:rsidRPr="001A31EC" w:rsidRDefault="007672DE" w:rsidP="007672DE">
            <w:pPr>
              <w:rPr>
                <w:rFonts w:ascii="Calibri" w:hAnsi="Calibri"/>
                <w:b/>
                <w:bCs/>
                <w:color w:val="000000"/>
                <w:sz w:val="18"/>
                <w:szCs w:val="18"/>
              </w:rPr>
            </w:pPr>
            <w:r w:rsidRPr="001A31EC">
              <w:rPr>
                <w:rFonts w:ascii="Calibri" w:hAnsi="Calibri"/>
                <w:b/>
                <w:bCs/>
                <w:color w:val="000000"/>
                <w:sz w:val="18"/>
                <w:szCs w:val="18"/>
              </w:rPr>
              <w:t>Current Liabilities</w:t>
            </w:r>
          </w:p>
        </w:tc>
        <w:tc>
          <w:tcPr>
            <w:tcW w:w="1091" w:type="dxa"/>
            <w:shd w:val="clear" w:color="000000" w:fill="FCE4D6"/>
            <w:noWrap/>
            <w:vAlign w:val="bottom"/>
            <w:hideMark/>
          </w:tcPr>
          <w:p w14:paraId="0C073264"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-1,420</w:t>
            </w:r>
          </w:p>
        </w:tc>
        <w:tc>
          <w:tcPr>
            <w:tcW w:w="1134" w:type="dxa"/>
            <w:shd w:val="clear" w:color="000000" w:fill="FCE4D6"/>
            <w:noWrap/>
            <w:vAlign w:val="bottom"/>
            <w:hideMark/>
          </w:tcPr>
          <w:p w14:paraId="0B24ED97"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-1,768</w:t>
            </w:r>
          </w:p>
        </w:tc>
        <w:tc>
          <w:tcPr>
            <w:tcW w:w="1134" w:type="dxa"/>
            <w:shd w:val="clear" w:color="000000" w:fill="FCE4D6"/>
            <w:noWrap/>
            <w:vAlign w:val="bottom"/>
            <w:hideMark/>
          </w:tcPr>
          <w:p w14:paraId="22BB635E"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-1,569</w:t>
            </w:r>
          </w:p>
        </w:tc>
        <w:tc>
          <w:tcPr>
            <w:tcW w:w="1134" w:type="dxa"/>
            <w:shd w:val="clear" w:color="000000" w:fill="FCE4D6"/>
            <w:noWrap/>
            <w:vAlign w:val="bottom"/>
            <w:hideMark/>
          </w:tcPr>
          <w:p w14:paraId="09DFD8C1"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-1,670</w:t>
            </w:r>
          </w:p>
        </w:tc>
        <w:tc>
          <w:tcPr>
            <w:tcW w:w="1134" w:type="dxa"/>
            <w:shd w:val="clear" w:color="000000" w:fill="FCE4D6"/>
            <w:noWrap/>
            <w:vAlign w:val="bottom"/>
            <w:hideMark/>
          </w:tcPr>
          <w:p w14:paraId="6B8B2227"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-2,060</w:t>
            </w:r>
          </w:p>
        </w:tc>
        <w:tc>
          <w:tcPr>
            <w:tcW w:w="851" w:type="dxa"/>
            <w:shd w:val="clear" w:color="000000" w:fill="C6E0B4"/>
            <w:noWrap/>
            <w:vAlign w:val="bottom"/>
            <w:hideMark/>
          </w:tcPr>
          <w:p w14:paraId="53AA1B4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23.4%</w:t>
            </w:r>
          </w:p>
        </w:tc>
        <w:tc>
          <w:tcPr>
            <w:tcW w:w="1216" w:type="dxa"/>
            <w:shd w:val="clear" w:color="000000" w:fill="C6E0B4"/>
            <w:noWrap/>
            <w:vAlign w:val="bottom"/>
            <w:hideMark/>
          </w:tcPr>
          <w:p w14:paraId="3FE5E01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9.75%</w:t>
            </w:r>
          </w:p>
        </w:tc>
      </w:tr>
      <w:tr w:rsidR="007672DE" w:rsidRPr="001A31EC" w14:paraId="2D69685E" w14:textId="77777777" w:rsidTr="007672DE">
        <w:trPr>
          <w:trHeight w:val="71"/>
        </w:trPr>
        <w:tc>
          <w:tcPr>
            <w:tcW w:w="3020" w:type="dxa"/>
            <w:shd w:val="clear" w:color="auto" w:fill="auto"/>
            <w:noWrap/>
            <w:vAlign w:val="bottom"/>
            <w:hideMark/>
          </w:tcPr>
          <w:p w14:paraId="5E9D5AE5"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Borrowings</w:t>
            </w:r>
          </w:p>
        </w:tc>
        <w:tc>
          <w:tcPr>
            <w:tcW w:w="1091" w:type="dxa"/>
            <w:shd w:val="clear" w:color="auto" w:fill="auto"/>
            <w:noWrap/>
            <w:vAlign w:val="bottom"/>
            <w:hideMark/>
          </w:tcPr>
          <w:p w14:paraId="55B4D9E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-472</w:t>
            </w:r>
          </w:p>
        </w:tc>
        <w:tc>
          <w:tcPr>
            <w:tcW w:w="1134" w:type="dxa"/>
            <w:shd w:val="clear" w:color="auto" w:fill="auto"/>
            <w:noWrap/>
            <w:vAlign w:val="bottom"/>
            <w:hideMark/>
          </w:tcPr>
          <w:p w14:paraId="1617930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-322</w:t>
            </w:r>
          </w:p>
        </w:tc>
        <w:tc>
          <w:tcPr>
            <w:tcW w:w="1134" w:type="dxa"/>
            <w:shd w:val="clear" w:color="auto" w:fill="auto"/>
            <w:noWrap/>
            <w:vAlign w:val="bottom"/>
            <w:hideMark/>
          </w:tcPr>
          <w:p w14:paraId="216FA0C0"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-664</w:t>
            </w:r>
          </w:p>
        </w:tc>
        <w:tc>
          <w:tcPr>
            <w:tcW w:w="1134" w:type="dxa"/>
            <w:shd w:val="clear" w:color="auto" w:fill="auto"/>
            <w:noWrap/>
            <w:vAlign w:val="bottom"/>
            <w:hideMark/>
          </w:tcPr>
          <w:p w14:paraId="5276A43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-963</w:t>
            </w:r>
          </w:p>
        </w:tc>
        <w:tc>
          <w:tcPr>
            <w:tcW w:w="1134" w:type="dxa"/>
            <w:shd w:val="clear" w:color="auto" w:fill="auto"/>
            <w:noWrap/>
            <w:vAlign w:val="bottom"/>
            <w:hideMark/>
          </w:tcPr>
          <w:p w14:paraId="2C87A4BC"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-968</w:t>
            </w:r>
          </w:p>
        </w:tc>
        <w:tc>
          <w:tcPr>
            <w:tcW w:w="851" w:type="dxa"/>
            <w:shd w:val="clear" w:color="000000" w:fill="E2EFDA"/>
            <w:noWrap/>
            <w:vAlign w:val="bottom"/>
            <w:hideMark/>
          </w:tcPr>
          <w:p w14:paraId="6AC77B5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0.5%</w:t>
            </w:r>
          </w:p>
        </w:tc>
        <w:tc>
          <w:tcPr>
            <w:tcW w:w="1216" w:type="dxa"/>
            <w:shd w:val="clear" w:color="000000" w:fill="E2EFDA"/>
            <w:noWrap/>
            <w:vAlign w:val="center"/>
            <w:hideMark/>
          </w:tcPr>
          <w:p w14:paraId="01D3978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19.67%</w:t>
            </w:r>
          </w:p>
        </w:tc>
      </w:tr>
      <w:tr w:rsidR="007672DE" w:rsidRPr="001A31EC" w14:paraId="736861E1" w14:textId="77777777" w:rsidTr="007672DE">
        <w:trPr>
          <w:trHeight w:val="71"/>
        </w:trPr>
        <w:tc>
          <w:tcPr>
            <w:tcW w:w="3020" w:type="dxa"/>
            <w:shd w:val="clear" w:color="auto" w:fill="auto"/>
            <w:noWrap/>
            <w:vAlign w:val="bottom"/>
            <w:hideMark/>
          </w:tcPr>
          <w:p w14:paraId="3FD5B2D2"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Derivative financial instruments</w:t>
            </w:r>
          </w:p>
        </w:tc>
        <w:tc>
          <w:tcPr>
            <w:tcW w:w="1091" w:type="dxa"/>
            <w:shd w:val="clear" w:color="auto" w:fill="auto"/>
            <w:noWrap/>
            <w:vAlign w:val="bottom"/>
            <w:hideMark/>
          </w:tcPr>
          <w:p w14:paraId="0439F68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-23</w:t>
            </w:r>
          </w:p>
        </w:tc>
        <w:tc>
          <w:tcPr>
            <w:tcW w:w="1134" w:type="dxa"/>
            <w:shd w:val="clear" w:color="auto" w:fill="auto"/>
            <w:noWrap/>
            <w:vAlign w:val="bottom"/>
            <w:hideMark/>
          </w:tcPr>
          <w:p w14:paraId="3EB2B95C"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-101</w:t>
            </w:r>
          </w:p>
        </w:tc>
        <w:tc>
          <w:tcPr>
            <w:tcW w:w="1134" w:type="dxa"/>
            <w:shd w:val="clear" w:color="auto" w:fill="auto"/>
            <w:noWrap/>
            <w:vAlign w:val="bottom"/>
            <w:hideMark/>
          </w:tcPr>
          <w:p w14:paraId="697DD9F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-49</w:t>
            </w:r>
          </w:p>
        </w:tc>
        <w:tc>
          <w:tcPr>
            <w:tcW w:w="1134" w:type="dxa"/>
            <w:shd w:val="clear" w:color="auto" w:fill="auto"/>
            <w:noWrap/>
            <w:vAlign w:val="bottom"/>
            <w:hideMark/>
          </w:tcPr>
          <w:p w14:paraId="1C20710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-44</w:t>
            </w:r>
          </w:p>
        </w:tc>
        <w:tc>
          <w:tcPr>
            <w:tcW w:w="1134" w:type="dxa"/>
            <w:shd w:val="clear" w:color="auto" w:fill="auto"/>
            <w:noWrap/>
            <w:vAlign w:val="bottom"/>
            <w:hideMark/>
          </w:tcPr>
          <w:p w14:paraId="239D53F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-7</w:t>
            </w:r>
          </w:p>
        </w:tc>
        <w:tc>
          <w:tcPr>
            <w:tcW w:w="851" w:type="dxa"/>
            <w:shd w:val="clear" w:color="000000" w:fill="E2EFDA"/>
            <w:noWrap/>
            <w:vAlign w:val="bottom"/>
            <w:hideMark/>
          </w:tcPr>
          <w:p w14:paraId="65AB019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-84.1%</w:t>
            </w:r>
          </w:p>
        </w:tc>
        <w:tc>
          <w:tcPr>
            <w:tcW w:w="1216" w:type="dxa"/>
            <w:shd w:val="clear" w:color="000000" w:fill="E2EFDA"/>
            <w:noWrap/>
            <w:vAlign w:val="center"/>
            <w:hideMark/>
          </w:tcPr>
          <w:p w14:paraId="6C682BE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-25.73%</w:t>
            </w:r>
          </w:p>
        </w:tc>
      </w:tr>
      <w:tr w:rsidR="007672DE" w:rsidRPr="001A31EC" w14:paraId="6173FAA6" w14:textId="77777777" w:rsidTr="007672DE">
        <w:trPr>
          <w:trHeight w:val="71"/>
        </w:trPr>
        <w:tc>
          <w:tcPr>
            <w:tcW w:w="3020" w:type="dxa"/>
            <w:shd w:val="clear" w:color="auto" w:fill="auto"/>
            <w:noWrap/>
            <w:vAlign w:val="bottom"/>
            <w:hideMark/>
          </w:tcPr>
          <w:p w14:paraId="067FDA6B"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Non-current deferred income</w:t>
            </w:r>
          </w:p>
        </w:tc>
        <w:tc>
          <w:tcPr>
            <w:tcW w:w="1091" w:type="dxa"/>
            <w:shd w:val="clear" w:color="auto" w:fill="auto"/>
            <w:noWrap/>
            <w:vAlign w:val="bottom"/>
            <w:hideMark/>
          </w:tcPr>
          <w:p w14:paraId="71EB011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-62</w:t>
            </w:r>
          </w:p>
        </w:tc>
        <w:tc>
          <w:tcPr>
            <w:tcW w:w="1134" w:type="dxa"/>
            <w:shd w:val="clear" w:color="auto" w:fill="auto"/>
            <w:noWrap/>
            <w:vAlign w:val="bottom"/>
            <w:hideMark/>
          </w:tcPr>
          <w:p w14:paraId="5F953DAC"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-47</w:t>
            </w:r>
          </w:p>
        </w:tc>
        <w:tc>
          <w:tcPr>
            <w:tcW w:w="1134" w:type="dxa"/>
            <w:shd w:val="clear" w:color="auto" w:fill="auto"/>
            <w:noWrap/>
            <w:vAlign w:val="bottom"/>
            <w:hideMark/>
          </w:tcPr>
          <w:p w14:paraId="7B6BCE6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-36</w:t>
            </w:r>
          </w:p>
        </w:tc>
        <w:tc>
          <w:tcPr>
            <w:tcW w:w="1134" w:type="dxa"/>
            <w:shd w:val="clear" w:color="auto" w:fill="auto"/>
            <w:noWrap/>
            <w:vAlign w:val="bottom"/>
            <w:hideMark/>
          </w:tcPr>
          <w:p w14:paraId="71DABE0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-25</w:t>
            </w:r>
          </w:p>
        </w:tc>
        <w:tc>
          <w:tcPr>
            <w:tcW w:w="1134" w:type="dxa"/>
            <w:shd w:val="clear" w:color="auto" w:fill="auto"/>
            <w:noWrap/>
            <w:vAlign w:val="bottom"/>
            <w:hideMark/>
          </w:tcPr>
          <w:p w14:paraId="6FB906C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-18</w:t>
            </w:r>
          </w:p>
        </w:tc>
        <w:tc>
          <w:tcPr>
            <w:tcW w:w="851" w:type="dxa"/>
            <w:shd w:val="clear" w:color="000000" w:fill="E2EFDA"/>
            <w:noWrap/>
            <w:vAlign w:val="bottom"/>
            <w:hideMark/>
          </w:tcPr>
          <w:p w14:paraId="28450FD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-28.0%</w:t>
            </w:r>
          </w:p>
        </w:tc>
        <w:tc>
          <w:tcPr>
            <w:tcW w:w="1216" w:type="dxa"/>
            <w:shd w:val="clear" w:color="000000" w:fill="E2EFDA"/>
            <w:noWrap/>
            <w:vAlign w:val="center"/>
            <w:hideMark/>
          </w:tcPr>
          <w:p w14:paraId="7C7CF94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-26.60%</w:t>
            </w:r>
          </w:p>
        </w:tc>
      </w:tr>
      <w:tr w:rsidR="007672DE" w:rsidRPr="001A31EC" w14:paraId="45269072" w14:textId="77777777" w:rsidTr="007672DE">
        <w:trPr>
          <w:trHeight w:val="71"/>
        </w:trPr>
        <w:tc>
          <w:tcPr>
            <w:tcW w:w="3020" w:type="dxa"/>
            <w:shd w:val="clear" w:color="auto" w:fill="auto"/>
            <w:noWrap/>
            <w:vAlign w:val="bottom"/>
            <w:hideMark/>
          </w:tcPr>
          <w:p w14:paraId="396394D6"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Provisions for liabilities and charges</w:t>
            </w:r>
          </w:p>
        </w:tc>
        <w:tc>
          <w:tcPr>
            <w:tcW w:w="1091" w:type="dxa"/>
            <w:shd w:val="clear" w:color="auto" w:fill="auto"/>
            <w:noWrap/>
            <w:vAlign w:val="bottom"/>
            <w:hideMark/>
          </w:tcPr>
          <w:p w14:paraId="3C51AA1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-147</w:t>
            </w:r>
          </w:p>
        </w:tc>
        <w:tc>
          <w:tcPr>
            <w:tcW w:w="1134" w:type="dxa"/>
            <w:shd w:val="clear" w:color="auto" w:fill="auto"/>
            <w:noWrap/>
            <w:vAlign w:val="bottom"/>
            <w:hideMark/>
          </w:tcPr>
          <w:p w14:paraId="23F7E23E"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-165</w:t>
            </w:r>
          </w:p>
        </w:tc>
        <w:tc>
          <w:tcPr>
            <w:tcW w:w="1134" w:type="dxa"/>
            <w:shd w:val="clear" w:color="auto" w:fill="auto"/>
            <w:noWrap/>
            <w:vAlign w:val="bottom"/>
            <w:hideMark/>
          </w:tcPr>
          <w:p w14:paraId="77AF37D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-235</w:t>
            </w:r>
          </w:p>
        </w:tc>
        <w:tc>
          <w:tcPr>
            <w:tcW w:w="1134" w:type="dxa"/>
            <w:shd w:val="clear" w:color="auto" w:fill="auto"/>
            <w:noWrap/>
            <w:vAlign w:val="bottom"/>
            <w:hideMark/>
          </w:tcPr>
          <w:p w14:paraId="17FE32B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-218</w:t>
            </w:r>
          </w:p>
        </w:tc>
        <w:tc>
          <w:tcPr>
            <w:tcW w:w="1134" w:type="dxa"/>
            <w:shd w:val="clear" w:color="auto" w:fill="auto"/>
            <w:noWrap/>
            <w:vAlign w:val="bottom"/>
            <w:hideMark/>
          </w:tcPr>
          <w:p w14:paraId="0DEC307C"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-335</w:t>
            </w:r>
          </w:p>
        </w:tc>
        <w:tc>
          <w:tcPr>
            <w:tcW w:w="851" w:type="dxa"/>
            <w:shd w:val="clear" w:color="000000" w:fill="E2EFDA"/>
            <w:noWrap/>
            <w:vAlign w:val="bottom"/>
            <w:hideMark/>
          </w:tcPr>
          <w:p w14:paraId="390CB9A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53.7%</w:t>
            </w:r>
          </w:p>
        </w:tc>
        <w:tc>
          <w:tcPr>
            <w:tcW w:w="1216" w:type="dxa"/>
            <w:shd w:val="clear" w:color="000000" w:fill="E2EFDA"/>
            <w:noWrap/>
            <w:vAlign w:val="center"/>
            <w:hideMark/>
          </w:tcPr>
          <w:p w14:paraId="383ADC6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22.87%</w:t>
            </w:r>
          </w:p>
        </w:tc>
      </w:tr>
      <w:tr w:rsidR="007672DE" w:rsidRPr="001A31EC" w14:paraId="6E5ECEE0" w14:textId="77777777" w:rsidTr="007672DE">
        <w:trPr>
          <w:trHeight w:val="71"/>
        </w:trPr>
        <w:tc>
          <w:tcPr>
            <w:tcW w:w="3020" w:type="dxa"/>
            <w:shd w:val="clear" w:color="auto" w:fill="auto"/>
            <w:noWrap/>
            <w:vAlign w:val="bottom"/>
            <w:hideMark/>
          </w:tcPr>
          <w:p w14:paraId="73803942"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Deferred tax</w:t>
            </w:r>
          </w:p>
        </w:tc>
        <w:tc>
          <w:tcPr>
            <w:tcW w:w="1091" w:type="dxa"/>
            <w:shd w:val="clear" w:color="auto" w:fill="auto"/>
            <w:noWrap/>
            <w:vAlign w:val="bottom"/>
            <w:hideMark/>
          </w:tcPr>
          <w:p w14:paraId="19217CA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-186</w:t>
            </w:r>
          </w:p>
        </w:tc>
        <w:tc>
          <w:tcPr>
            <w:tcW w:w="1134" w:type="dxa"/>
            <w:shd w:val="clear" w:color="auto" w:fill="auto"/>
            <w:noWrap/>
            <w:vAlign w:val="bottom"/>
            <w:hideMark/>
          </w:tcPr>
          <w:p w14:paraId="34B71CC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-176</w:t>
            </w:r>
          </w:p>
        </w:tc>
        <w:tc>
          <w:tcPr>
            <w:tcW w:w="1134" w:type="dxa"/>
            <w:shd w:val="clear" w:color="auto" w:fill="auto"/>
            <w:noWrap/>
            <w:vAlign w:val="bottom"/>
            <w:hideMark/>
          </w:tcPr>
          <w:p w14:paraId="6FD8EF6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-237</w:t>
            </w:r>
          </w:p>
        </w:tc>
        <w:tc>
          <w:tcPr>
            <w:tcW w:w="1134" w:type="dxa"/>
            <w:shd w:val="clear" w:color="auto" w:fill="auto"/>
            <w:noWrap/>
            <w:vAlign w:val="bottom"/>
            <w:hideMark/>
          </w:tcPr>
          <w:p w14:paraId="7064A00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-249</w:t>
            </w:r>
          </w:p>
        </w:tc>
        <w:tc>
          <w:tcPr>
            <w:tcW w:w="1134" w:type="dxa"/>
            <w:shd w:val="clear" w:color="auto" w:fill="auto"/>
            <w:noWrap/>
            <w:vAlign w:val="bottom"/>
            <w:hideMark/>
          </w:tcPr>
          <w:p w14:paraId="5F5BF82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-348</w:t>
            </w:r>
          </w:p>
        </w:tc>
        <w:tc>
          <w:tcPr>
            <w:tcW w:w="851" w:type="dxa"/>
            <w:shd w:val="clear" w:color="000000" w:fill="E2EFDA"/>
            <w:noWrap/>
            <w:vAlign w:val="bottom"/>
            <w:hideMark/>
          </w:tcPr>
          <w:p w14:paraId="664B87E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39.8%</w:t>
            </w:r>
          </w:p>
        </w:tc>
        <w:tc>
          <w:tcPr>
            <w:tcW w:w="1216" w:type="dxa"/>
            <w:shd w:val="clear" w:color="000000" w:fill="E2EFDA"/>
            <w:noWrap/>
            <w:vAlign w:val="center"/>
            <w:hideMark/>
          </w:tcPr>
          <w:p w14:paraId="7AAA327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16.95%</w:t>
            </w:r>
          </w:p>
        </w:tc>
      </w:tr>
      <w:tr w:rsidR="007672DE" w:rsidRPr="001A31EC" w14:paraId="5D3EF49A" w14:textId="77777777" w:rsidTr="007672DE">
        <w:trPr>
          <w:trHeight w:val="71"/>
        </w:trPr>
        <w:tc>
          <w:tcPr>
            <w:tcW w:w="3020" w:type="dxa"/>
            <w:shd w:val="clear" w:color="000000" w:fill="FCE4D6"/>
            <w:noWrap/>
            <w:vAlign w:val="bottom"/>
            <w:hideMark/>
          </w:tcPr>
          <w:p w14:paraId="46336AE0" w14:textId="77777777" w:rsidR="007672DE" w:rsidRPr="001A31EC" w:rsidRDefault="007672DE" w:rsidP="007672DE">
            <w:pPr>
              <w:rPr>
                <w:rFonts w:ascii="Calibri" w:hAnsi="Calibri"/>
                <w:b/>
                <w:bCs/>
                <w:color w:val="000000"/>
                <w:sz w:val="18"/>
                <w:szCs w:val="18"/>
              </w:rPr>
            </w:pPr>
            <w:r w:rsidRPr="001A31EC">
              <w:rPr>
                <w:rFonts w:ascii="Calibri" w:hAnsi="Calibri"/>
                <w:b/>
                <w:bCs/>
                <w:color w:val="000000"/>
                <w:sz w:val="18"/>
                <w:szCs w:val="18"/>
              </w:rPr>
              <w:t>Non-Current Liabilities</w:t>
            </w:r>
          </w:p>
        </w:tc>
        <w:tc>
          <w:tcPr>
            <w:tcW w:w="1091" w:type="dxa"/>
            <w:shd w:val="clear" w:color="000000" w:fill="FCE4D6"/>
            <w:noWrap/>
            <w:vAlign w:val="bottom"/>
            <w:hideMark/>
          </w:tcPr>
          <w:p w14:paraId="3D97E4D3"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-890</w:t>
            </w:r>
          </w:p>
        </w:tc>
        <w:tc>
          <w:tcPr>
            <w:tcW w:w="1134" w:type="dxa"/>
            <w:shd w:val="clear" w:color="000000" w:fill="FCE4D6"/>
            <w:noWrap/>
            <w:vAlign w:val="bottom"/>
            <w:hideMark/>
          </w:tcPr>
          <w:p w14:paraId="07323724"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-811</w:t>
            </w:r>
          </w:p>
        </w:tc>
        <w:tc>
          <w:tcPr>
            <w:tcW w:w="1134" w:type="dxa"/>
            <w:shd w:val="clear" w:color="000000" w:fill="FCE4D6"/>
            <w:noWrap/>
            <w:vAlign w:val="bottom"/>
            <w:hideMark/>
          </w:tcPr>
          <w:p w14:paraId="2C7A144E"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-1,221</w:t>
            </w:r>
          </w:p>
        </w:tc>
        <w:tc>
          <w:tcPr>
            <w:tcW w:w="1134" w:type="dxa"/>
            <w:shd w:val="clear" w:color="000000" w:fill="FCE4D6"/>
            <w:noWrap/>
            <w:vAlign w:val="bottom"/>
            <w:hideMark/>
          </w:tcPr>
          <w:p w14:paraId="6269BEF6"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-1,499</w:t>
            </w:r>
          </w:p>
        </w:tc>
        <w:tc>
          <w:tcPr>
            <w:tcW w:w="1134" w:type="dxa"/>
            <w:shd w:val="clear" w:color="000000" w:fill="FCE4D6"/>
            <w:noWrap/>
            <w:vAlign w:val="bottom"/>
            <w:hideMark/>
          </w:tcPr>
          <w:p w14:paraId="0DCFE047"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-1,676</w:t>
            </w:r>
          </w:p>
        </w:tc>
        <w:tc>
          <w:tcPr>
            <w:tcW w:w="851" w:type="dxa"/>
            <w:shd w:val="clear" w:color="000000" w:fill="C6E0B4"/>
            <w:noWrap/>
            <w:vAlign w:val="bottom"/>
            <w:hideMark/>
          </w:tcPr>
          <w:p w14:paraId="7ADBAF6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11.8%</w:t>
            </w:r>
          </w:p>
        </w:tc>
        <w:tc>
          <w:tcPr>
            <w:tcW w:w="1216" w:type="dxa"/>
            <w:shd w:val="clear" w:color="000000" w:fill="C6E0B4"/>
            <w:noWrap/>
            <w:vAlign w:val="bottom"/>
            <w:hideMark/>
          </w:tcPr>
          <w:p w14:paraId="58E4D15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17.14%</w:t>
            </w:r>
          </w:p>
        </w:tc>
      </w:tr>
      <w:tr w:rsidR="007672DE" w:rsidRPr="001A31EC" w14:paraId="4D57517C" w14:textId="77777777" w:rsidTr="007672DE">
        <w:trPr>
          <w:trHeight w:val="71"/>
        </w:trPr>
        <w:tc>
          <w:tcPr>
            <w:tcW w:w="3020" w:type="dxa"/>
            <w:shd w:val="clear" w:color="000000" w:fill="F4B084"/>
            <w:noWrap/>
            <w:vAlign w:val="bottom"/>
            <w:hideMark/>
          </w:tcPr>
          <w:p w14:paraId="533AB287" w14:textId="77777777" w:rsidR="007672DE" w:rsidRPr="001A31EC" w:rsidRDefault="007672DE" w:rsidP="007672DE">
            <w:pPr>
              <w:rPr>
                <w:rFonts w:ascii="Calibri" w:hAnsi="Calibri"/>
                <w:b/>
                <w:bCs/>
                <w:color w:val="000000"/>
                <w:sz w:val="18"/>
                <w:szCs w:val="18"/>
              </w:rPr>
            </w:pPr>
            <w:r w:rsidRPr="001A31EC">
              <w:rPr>
                <w:rFonts w:ascii="Calibri" w:hAnsi="Calibri"/>
                <w:b/>
                <w:bCs/>
                <w:color w:val="000000"/>
                <w:sz w:val="18"/>
                <w:szCs w:val="18"/>
              </w:rPr>
              <w:t>Total Liabilities</w:t>
            </w:r>
          </w:p>
        </w:tc>
        <w:tc>
          <w:tcPr>
            <w:tcW w:w="1091" w:type="dxa"/>
            <w:shd w:val="clear" w:color="000000" w:fill="F4B084"/>
            <w:noWrap/>
            <w:vAlign w:val="bottom"/>
            <w:hideMark/>
          </w:tcPr>
          <w:p w14:paraId="0DDFC52E"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-2,310</w:t>
            </w:r>
          </w:p>
        </w:tc>
        <w:tc>
          <w:tcPr>
            <w:tcW w:w="1134" w:type="dxa"/>
            <w:shd w:val="clear" w:color="000000" w:fill="F4B084"/>
            <w:noWrap/>
            <w:vAlign w:val="bottom"/>
            <w:hideMark/>
          </w:tcPr>
          <w:p w14:paraId="5C9C2AE9"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-2,579</w:t>
            </w:r>
          </w:p>
        </w:tc>
        <w:tc>
          <w:tcPr>
            <w:tcW w:w="1134" w:type="dxa"/>
            <w:shd w:val="clear" w:color="000000" w:fill="F4B084"/>
            <w:noWrap/>
            <w:vAlign w:val="bottom"/>
            <w:hideMark/>
          </w:tcPr>
          <w:p w14:paraId="6E270522"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-2,790</w:t>
            </w:r>
          </w:p>
        </w:tc>
        <w:tc>
          <w:tcPr>
            <w:tcW w:w="1134" w:type="dxa"/>
            <w:shd w:val="clear" w:color="000000" w:fill="F4B084"/>
            <w:noWrap/>
            <w:vAlign w:val="bottom"/>
            <w:hideMark/>
          </w:tcPr>
          <w:p w14:paraId="69FCD70B"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-3,169</w:t>
            </w:r>
          </w:p>
        </w:tc>
        <w:tc>
          <w:tcPr>
            <w:tcW w:w="1134" w:type="dxa"/>
            <w:shd w:val="clear" w:color="000000" w:fill="F4B084"/>
            <w:noWrap/>
            <w:vAlign w:val="bottom"/>
            <w:hideMark/>
          </w:tcPr>
          <w:p w14:paraId="23D2BE34"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-3,736</w:t>
            </w:r>
          </w:p>
        </w:tc>
        <w:tc>
          <w:tcPr>
            <w:tcW w:w="851" w:type="dxa"/>
            <w:shd w:val="clear" w:color="000000" w:fill="A9D08E"/>
            <w:noWrap/>
            <w:vAlign w:val="bottom"/>
            <w:hideMark/>
          </w:tcPr>
          <w:p w14:paraId="66D7985F"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17.9%</w:t>
            </w:r>
          </w:p>
        </w:tc>
        <w:tc>
          <w:tcPr>
            <w:tcW w:w="1216" w:type="dxa"/>
            <w:shd w:val="clear" w:color="000000" w:fill="A9D08E"/>
            <w:noWrap/>
            <w:vAlign w:val="bottom"/>
            <w:hideMark/>
          </w:tcPr>
          <w:p w14:paraId="77FD594A" w14:textId="77777777" w:rsidR="007672DE" w:rsidRPr="001A31EC" w:rsidRDefault="007672DE" w:rsidP="007672DE">
            <w:pPr>
              <w:jc w:val="right"/>
              <w:rPr>
                <w:rFonts w:ascii="Calibri" w:hAnsi="Calibri"/>
                <w:b/>
                <w:bCs/>
                <w:color w:val="000000"/>
                <w:sz w:val="18"/>
                <w:szCs w:val="18"/>
              </w:rPr>
            </w:pPr>
            <w:r w:rsidRPr="001A31EC">
              <w:rPr>
                <w:rFonts w:ascii="Calibri" w:hAnsi="Calibri"/>
                <w:b/>
                <w:bCs/>
                <w:color w:val="000000"/>
                <w:sz w:val="18"/>
                <w:szCs w:val="18"/>
              </w:rPr>
              <w:t>12.77%</w:t>
            </w:r>
          </w:p>
        </w:tc>
      </w:tr>
      <w:tr w:rsidR="007672DE" w:rsidRPr="001A31EC" w14:paraId="3BA09EA6" w14:textId="77777777" w:rsidTr="007672DE">
        <w:trPr>
          <w:trHeight w:val="71"/>
        </w:trPr>
        <w:tc>
          <w:tcPr>
            <w:tcW w:w="3020" w:type="dxa"/>
            <w:shd w:val="clear" w:color="000000" w:fill="C65911"/>
            <w:noWrap/>
            <w:vAlign w:val="bottom"/>
            <w:hideMark/>
          </w:tcPr>
          <w:p w14:paraId="29DDE794" w14:textId="77777777" w:rsidR="007672DE" w:rsidRPr="001A31EC" w:rsidRDefault="007672DE" w:rsidP="007672DE">
            <w:pPr>
              <w:rPr>
                <w:rFonts w:ascii="Calibri" w:hAnsi="Calibri"/>
                <w:b/>
                <w:bCs/>
                <w:color w:val="FFFFFF"/>
                <w:sz w:val="18"/>
                <w:szCs w:val="18"/>
              </w:rPr>
            </w:pPr>
            <w:r w:rsidRPr="001A31EC">
              <w:rPr>
                <w:rFonts w:ascii="Calibri" w:hAnsi="Calibri"/>
                <w:b/>
                <w:bCs/>
                <w:color w:val="FFFFFF"/>
                <w:sz w:val="18"/>
                <w:szCs w:val="18"/>
              </w:rPr>
              <w:t>Total Net Assets</w:t>
            </w:r>
          </w:p>
        </w:tc>
        <w:tc>
          <w:tcPr>
            <w:tcW w:w="1091" w:type="dxa"/>
            <w:shd w:val="clear" w:color="000000" w:fill="C65911"/>
            <w:noWrap/>
            <w:vAlign w:val="bottom"/>
            <w:hideMark/>
          </w:tcPr>
          <w:p w14:paraId="4109D0F6"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2,172</w:t>
            </w:r>
          </w:p>
        </w:tc>
        <w:tc>
          <w:tcPr>
            <w:tcW w:w="1134" w:type="dxa"/>
            <w:shd w:val="clear" w:color="000000" w:fill="C65911"/>
            <w:noWrap/>
            <w:vAlign w:val="bottom"/>
            <w:hideMark/>
          </w:tcPr>
          <w:p w14:paraId="30A2500D"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2,249</w:t>
            </w:r>
          </w:p>
        </w:tc>
        <w:tc>
          <w:tcPr>
            <w:tcW w:w="1134" w:type="dxa"/>
            <w:shd w:val="clear" w:color="000000" w:fill="C65911"/>
            <w:noWrap/>
            <w:vAlign w:val="bottom"/>
            <w:hideMark/>
          </w:tcPr>
          <w:p w14:paraId="5DE5BEAA"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2,694</w:t>
            </w:r>
          </w:p>
        </w:tc>
        <w:tc>
          <w:tcPr>
            <w:tcW w:w="1134" w:type="dxa"/>
            <w:shd w:val="clear" w:color="000000" w:fill="C65911"/>
            <w:noWrap/>
            <w:vAlign w:val="bottom"/>
            <w:hideMark/>
          </w:tcPr>
          <w:p w14:paraId="51D06596"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2,802</w:t>
            </w:r>
          </w:p>
        </w:tc>
        <w:tc>
          <w:tcPr>
            <w:tcW w:w="1134" w:type="dxa"/>
            <w:shd w:val="clear" w:color="000000" w:fill="C65911"/>
            <w:noWrap/>
            <w:vAlign w:val="bottom"/>
            <w:hideMark/>
          </w:tcPr>
          <w:p w14:paraId="42D5FF90"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3,259</w:t>
            </w:r>
          </w:p>
        </w:tc>
        <w:tc>
          <w:tcPr>
            <w:tcW w:w="851" w:type="dxa"/>
            <w:shd w:val="clear" w:color="000000" w:fill="00B050"/>
            <w:noWrap/>
            <w:vAlign w:val="bottom"/>
            <w:hideMark/>
          </w:tcPr>
          <w:p w14:paraId="26BA0983"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16.3%</w:t>
            </w:r>
          </w:p>
        </w:tc>
        <w:tc>
          <w:tcPr>
            <w:tcW w:w="1216" w:type="dxa"/>
            <w:shd w:val="clear" w:color="000000" w:fill="00B050"/>
            <w:noWrap/>
            <w:vAlign w:val="bottom"/>
            <w:hideMark/>
          </w:tcPr>
          <w:p w14:paraId="4A0BA408"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10.68%</w:t>
            </w:r>
          </w:p>
        </w:tc>
      </w:tr>
      <w:tr w:rsidR="007672DE" w:rsidRPr="001A31EC" w14:paraId="3D68DCA0" w14:textId="77777777" w:rsidTr="007672DE">
        <w:trPr>
          <w:trHeight w:val="71"/>
        </w:trPr>
        <w:tc>
          <w:tcPr>
            <w:tcW w:w="3020" w:type="dxa"/>
            <w:shd w:val="clear" w:color="000000" w:fill="808080"/>
            <w:vAlign w:val="bottom"/>
            <w:hideMark/>
          </w:tcPr>
          <w:p w14:paraId="1BF314AF" w14:textId="77777777" w:rsidR="007672DE" w:rsidRPr="001A31EC" w:rsidRDefault="007672DE" w:rsidP="007672DE">
            <w:pPr>
              <w:rPr>
                <w:rFonts w:ascii="Calibri" w:hAnsi="Calibri"/>
                <w:b/>
                <w:bCs/>
                <w:color w:val="FFFFFF"/>
                <w:sz w:val="18"/>
                <w:szCs w:val="18"/>
              </w:rPr>
            </w:pPr>
            <w:r w:rsidRPr="00047CEE">
              <w:rPr>
                <w:rFonts w:ascii="Calibri" w:hAnsi="Calibri"/>
                <w:b/>
                <w:bCs/>
                <w:color w:val="FFFFFF"/>
                <w:sz w:val="21"/>
                <w:szCs w:val="18"/>
              </w:rPr>
              <w:t>Equity</w:t>
            </w:r>
          </w:p>
        </w:tc>
        <w:tc>
          <w:tcPr>
            <w:tcW w:w="1091" w:type="dxa"/>
            <w:shd w:val="clear" w:color="000000" w:fill="808080"/>
            <w:noWrap/>
            <w:vAlign w:val="center"/>
            <w:hideMark/>
          </w:tcPr>
          <w:p w14:paraId="576D30E6"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12F9D1A8"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14ECD54D"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5CBFB872"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1134" w:type="dxa"/>
            <w:shd w:val="clear" w:color="000000" w:fill="808080"/>
            <w:noWrap/>
            <w:vAlign w:val="center"/>
            <w:hideMark/>
          </w:tcPr>
          <w:p w14:paraId="4213E693"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 </w:t>
            </w:r>
          </w:p>
        </w:tc>
        <w:tc>
          <w:tcPr>
            <w:tcW w:w="851" w:type="dxa"/>
            <w:shd w:val="clear" w:color="000000" w:fill="808080"/>
            <w:noWrap/>
            <w:vAlign w:val="center"/>
            <w:hideMark/>
          </w:tcPr>
          <w:p w14:paraId="1081643B"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c>
          <w:tcPr>
            <w:tcW w:w="1216" w:type="dxa"/>
            <w:shd w:val="clear" w:color="000000" w:fill="808080"/>
            <w:noWrap/>
            <w:vAlign w:val="center"/>
            <w:hideMark/>
          </w:tcPr>
          <w:p w14:paraId="4EEEE235" w14:textId="77777777" w:rsidR="007672DE" w:rsidRPr="001A31EC" w:rsidRDefault="007672DE" w:rsidP="007672DE">
            <w:pPr>
              <w:jc w:val="center"/>
              <w:rPr>
                <w:rFonts w:ascii="Calibri" w:hAnsi="Calibri"/>
                <w:b/>
                <w:bCs/>
                <w:color w:val="FFFFFF"/>
                <w:sz w:val="18"/>
                <w:szCs w:val="18"/>
              </w:rPr>
            </w:pPr>
            <w:r w:rsidRPr="001A31EC">
              <w:rPr>
                <w:rFonts w:ascii="Calibri" w:hAnsi="Calibri"/>
                <w:b/>
                <w:bCs/>
                <w:color w:val="FFFFFF"/>
                <w:sz w:val="18"/>
                <w:szCs w:val="18"/>
              </w:rPr>
              <w:t> </w:t>
            </w:r>
          </w:p>
        </w:tc>
      </w:tr>
      <w:tr w:rsidR="007672DE" w:rsidRPr="001A31EC" w14:paraId="30ED2E9D" w14:textId="77777777" w:rsidTr="007672DE">
        <w:trPr>
          <w:trHeight w:val="71"/>
        </w:trPr>
        <w:tc>
          <w:tcPr>
            <w:tcW w:w="3020" w:type="dxa"/>
            <w:shd w:val="clear" w:color="auto" w:fill="auto"/>
            <w:noWrap/>
            <w:vAlign w:val="bottom"/>
            <w:hideMark/>
          </w:tcPr>
          <w:p w14:paraId="7AE4CA00"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Share Capital</w:t>
            </w:r>
          </w:p>
        </w:tc>
        <w:tc>
          <w:tcPr>
            <w:tcW w:w="1091" w:type="dxa"/>
            <w:shd w:val="clear" w:color="auto" w:fill="auto"/>
            <w:noWrap/>
            <w:vAlign w:val="bottom"/>
            <w:hideMark/>
          </w:tcPr>
          <w:p w14:paraId="3626671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108</w:t>
            </w:r>
          </w:p>
        </w:tc>
        <w:tc>
          <w:tcPr>
            <w:tcW w:w="1134" w:type="dxa"/>
            <w:shd w:val="clear" w:color="auto" w:fill="auto"/>
            <w:noWrap/>
            <w:vAlign w:val="bottom"/>
            <w:hideMark/>
          </w:tcPr>
          <w:p w14:paraId="7A4D0E2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108</w:t>
            </w:r>
          </w:p>
        </w:tc>
        <w:tc>
          <w:tcPr>
            <w:tcW w:w="1134" w:type="dxa"/>
            <w:shd w:val="clear" w:color="auto" w:fill="auto"/>
            <w:noWrap/>
            <w:vAlign w:val="bottom"/>
            <w:hideMark/>
          </w:tcPr>
          <w:p w14:paraId="7924EE98"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108</w:t>
            </w:r>
          </w:p>
        </w:tc>
        <w:tc>
          <w:tcPr>
            <w:tcW w:w="1134" w:type="dxa"/>
            <w:shd w:val="clear" w:color="auto" w:fill="auto"/>
            <w:noWrap/>
            <w:vAlign w:val="bottom"/>
            <w:hideMark/>
          </w:tcPr>
          <w:p w14:paraId="18E223F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108</w:t>
            </w:r>
          </w:p>
        </w:tc>
        <w:tc>
          <w:tcPr>
            <w:tcW w:w="1134" w:type="dxa"/>
            <w:shd w:val="clear" w:color="auto" w:fill="auto"/>
            <w:noWrap/>
            <w:vAlign w:val="bottom"/>
            <w:hideMark/>
          </w:tcPr>
          <w:p w14:paraId="3689D5F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108</w:t>
            </w:r>
          </w:p>
        </w:tc>
        <w:tc>
          <w:tcPr>
            <w:tcW w:w="851" w:type="dxa"/>
            <w:shd w:val="clear" w:color="000000" w:fill="E2EFDA"/>
            <w:noWrap/>
            <w:vAlign w:val="bottom"/>
            <w:hideMark/>
          </w:tcPr>
          <w:p w14:paraId="60E1BFB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0.0%</w:t>
            </w:r>
          </w:p>
        </w:tc>
        <w:tc>
          <w:tcPr>
            <w:tcW w:w="1216" w:type="dxa"/>
            <w:shd w:val="clear" w:color="000000" w:fill="E2EFDA"/>
            <w:noWrap/>
            <w:vAlign w:val="center"/>
            <w:hideMark/>
          </w:tcPr>
          <w:p w14:paraId="4F84B3A9"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0.00%</w:t>
            </w:r>
          </w:p>
        </w:tc>
      </w:tr>
      <w:tr w:rsidR="007672DE" w:rsidRPr="001A31EC" w14:paraId="23A7BC91" w14:textId="77777777" w:rsidTr="007672DE">
        <w:trPr>
          <w:trHeight w:val="71"/>
        </w:trPr>
        <w:tc>
          <w:tcPr>
            <w:tcW w:w="3020" w:type="dxa"/>
            <w:shd w:val="clear" w:color="auto" w:fill="auto"/>
            <w:noWrap/>
            <w:vAlign w:val="bottom"/>
            <w:hideMark/>
          </w:tcPr>
          <w:p w14:paraId="16221D2C"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Share Premium</w:t>
            </w:r>
          </w:p>
        </w:tc>
        <w:tc>
          <w:tcPr>
            <w:tcW w:w="1091" w:type="dxa"/>
            <w:shd w:val="clear" w:color="auto" w:fill="auto"/>
            <w:noWrap/>
            <w:vAlign w:val="bottom"/>
            <w:hideMark/>
          </w:tcPr>
          <w:p w14:paraId="35C5D62F"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658</w:t>
            </w:r>
          </w:p>
        </w:tc>
        <w:tc>
          <w:tcPr>
            <w:tcW w:w="1134" w:type="dxa"/>
            <w:shd w:val="clear" w:color="auto" w:fill="auto"/>
            <w:noWrap/>
            <w:vAlign w:val="bottom"/>
            <w:hideMark/>
          </w:tcPr>
          <w:p w14:paraId="01B6A19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659</w:t>
            </w:r>
          </w:p>
        </w:tc>
        <w:tc>
          <w:tcPr>
            <w:tcW w:w="1134" w:type="dxa"/>
            <w:shd w:val="clear" w:color="auto" w:fill="auto"/>
            <w:noWrap/>
            <w:vAlign w:val="bottom"/>
            <w:hideMark/>
          </w:tcPr>
          <w:p w14:paraId="5660FF0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659</w:t>
            </w:r>
          </w:p>
        </w:tc>
        <w:tc>
          <w:tcPr>
            <w:tcW w:w="1134" w:type="dxa"/>
            <w:shd w:val="clear" w:color="auto" w:fill="auto"/>
            <w:noWrap/>
            <w:vAlign w:val="bottom"/>
            <w:hideMark/>
          </w:tcPr>
          <w:p w14:paraId="6223C69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659</w:t>
            </w:r>
          </w:p>
        </w:tc>
        <w:tc>
          <w:tcPr>
            <w:tcW w:w="1134" w:type="dxa"/>
            <w:shd w:val="clear" w:color="auto" w:fill="auto"/>
            <w:noWrap/>
            <w:vAlign w:val="bottom"/>
            <w:hideMark/>
          </w:tcPr>
          <w:p w14:paraId="1185AD87"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659</w:t>
            </w:r>
          </w:p>
        </w:tc>
        <w:tc>
          <w:tcPr>
            <w:tcW w:w="851" w:type="dxa"/>
            <w:shd w:val="clear" w:color="000000" w:fill="E2EFDA"/>
            <w:noWrap/>
            <w:vAlign w:val="bottom"/>
            <w:hideMark/>
          </w:tcPr>
          <w:p w14:paraId="505EC96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0.0%</w:t>
            </w:r>
          </w:p>
        </w:tc>
        <w:tc>
          <w:tcPr>
            <w:tcW w:w="1216" w:type="dxa"/>
            <w:shd w:val="clear" w:color="000000" w:fill="E2EFDA"/>
            <w:noWrap/>
            <w:vAlign w:val="center"/>
            <w:hideMark/>
          </w:tcPr>
          <w:p w14:paraId="5F60E7C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0.04%</w:t>
            </w:r>
          </w:p>
        </w:tc>
      </w:tr>
      <w:tr w:rsidR="007672DE" w:rsidRPr="001A31EC" w14:paraId="03A16982" w14:textId="77777777" w:rsidTr="007672DE">
        <w:trPr>
          <w:trHeight w:val="71"/>
        </w:trPr>
        <w:tc>
          <w:tcPr>
            <w:tcW w:w="3020" w:type="dxa"/>
            <w:shd w:val="clear" w:color="auto" w:fill="auto"/>
            <w:noWrap/>
            <w:vAlign w:val="bottom"/>
            <w:hideMark/>
          </w:tcPr>
          <w:p w14:paraId="74F9DE44"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Hedging Reserve</w:t>
            </w:r>
          </w:p>
        </w:tc>
        <w:tc>
          <w:tcPr>
            <w:tcW w:w="1091" w:type="dxa"/>
            <w:shd w:val="clear" w:color="auto" w:fill="auto"/>
            <w:noWrap/>
            <w:vAlign w:val="bottom"/>
            <w:hideMark/>
          </w:tcPr>
          <w:p w14:paraId="30D0BD8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-17</w:t>
            </w:r>
          </w:p>
        </w:tc>
        <w:tc>
          <w:tcPr>
            <w:tcW w:w="1134" w:type="dxa"/>
            <w:shd w:val="clear" w:color="auto" w:fill="auto"/>
            <w:noWrap/>
            <w:vAlign w:val="bottom"/>
            <w:hideMark/>
          </w:tcPr>
          <w:p w14:paraId="5302DFC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-239</w:t>
            </w:r>
          </w:p>
        </w:tc>
        <w:tc>
          <w:tcPr>
            <w:tcW w:w="1134" w:type="dxa"/>
            <w:shd w:val="clear" w:color="auto" w:fill="auto"/>
            <w:noWrap/>
            <w:vAlign w:val="bottom"/>
            <w:hideMark/>
          </w:tcPr>
          <w:p w14:paraId="30505819"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24</w:t>
            </w:r>
          </w:p>
        </w:tc>
        <w:tc>
          <w:tcPr>
            <w:tcW w:w="1134" w:type="dxa"/>
            <w:shd w:val="clear" w:color="auto" w:fill="auto"/>
            <w:noWrap/>
            <w:vAlign w:val="bottom"/>
            <w:hideMark/>
          </w:tcPr>
          <w:p w14:paraId="1550796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38</w:t>
            </w:r>
          </w:p>
        </w:tc>
        <w:tc>
          <w:tcPr>
            <w:tcW w:w="1134" w:type="dxa"/>
            <w:shd w:val="clear" w:color="auto" w:fill="auto"/>
            <w:noWrap/>
            <w:vAlign w:val="bottom"/>
            <w:hideMark/>
          </w:tcPr>
          <w:p w14:paraId="4B4DE80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299</w:t>
            </w:r>
          </w:p>
        </w:tc>
        <w:tc>
          <w:tcPr>
            <w:tcW w:w="851" w:type="dxa"/>
            <w:shd w:val="clear" w:color="000000" w:fill="E2EFDA"/>
            <w:noWrap/>
            <w:vAlign w:val="bottom"/>
            <w:hideMark/>
          </w:tcPr>
          <w:p w14:paraId="06CAB082"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686.8%</w:t>
            </w:r>
          </w:p>
        </w:tc>
        <w:tc>
          <w:tcPr>
            <w:tcW w:w="1216" w:type="dxa"/>
            <w:shd w:val="clear" w:color="000000" w:fill="E2EFDA"/>
            <w:noWrap/>
            <w:vAlign w:val="center"/>
            <w:hideMark/>
          </w:tcPr>
          <w:p w14:paraId="28E2108B"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w:t>
            </w:r>
          </w:p>
        </w:tc>
      </w:tr>
      <w:tr w:rsidR="007672DE" w:rsidRPr="001A31EC" w14:paraId="3A7E0881" w14:textId="77777777" w:rsidTr="007672DE">
        <w:trPr>
          <w:trHeight w:val="71"/>
        </w:trPr>
        <w:tc>
          <w:tcPr>
            <w:tcW w:w="3020" w:type="dxa"/>
            <w:shd w:val="clear" w:color="auto" w:fill="auto"/>
            <w:noWrap/>
            <w:vAlign w:val="bottom"/>
            <w:hideMark/>
          </w:tcPr>
          <w:p w14:paraId="62595EDD"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Translation Reserve</w:t>
            </w:r>
          </w:p>
        </w:tc>
        <w:tc>
          <w:tcPr>
            <w:tcW w:w="1091" w:type="dxa"/>
            <w:shd w:val="clear" w:color="auto" w:fill="auto"/>
            <w:noWrap/>
            <w:vAlign w:val="bottom"/>
            <w:hideMark/>
          </w:tcPr>
          <w:p w14:paraId="19993ECC"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w:t>
            </w:r>
          </w:p>
        </w:tc>
        <w:tc>
          <w:tcPr>
            <w:tcW w:w="1134" w:type="dxa"/>
            <w:shd w:val="clear" w:color="auto" w:fill="auto"/>
            <w:noWrap/>
            <w:vAlign w:val="bottom"/>
            <w:hideMark/>
          </w:tcPr>
          <w:p w14:paraId="270ACAE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w:t>
            </w:r>
          </w:p>
        </w:tc>
        <w:tc>
          <w:tcPr>
            <w:tcW w:w="1134" w:type="dxa"/>
            <w:shd w:val="clear" w:color="auto" w:fill="auto"/>
            <w:noWrap/>
            <w:vAlign w:val="bottom"/>
            <w:hideMark/>
          </w:tcPr>
          <w:p w14:paraId="64172C53"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w:t>
            </w:r>
          </w:p>
        </w:tc>
        <w:tc>
          <w:tcPr>
            <w:tcW w:w="1134" w:type="dxa"/>
            <w:shd w:val="clear" w:color="auto" w:fill="auto"/>
            <w:noWrap/>
            <w:vAlign w:val="bottom"/>
            <w:hideMark/>
          </w:tcPr>
          <w:p w14:paraId="680C6AA1"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w:t>
            </w:r>
          </w:p>
        </w:tc>
        <w:tc>
          <w:tcPr>
            <w:tcW w:w="1134" w:type="dxa"/>
            <w:shd w:val="clear" w:color="auto" w:fill="auto"/>
            <w:noWrap/>
            <w:vAlign w:val="bottom"/>
            <w:hideMark/>
          </w:tcPr>
          <w:p w14:paraId="3F6393B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w:t>
            </w:r>
          </w:p>
        </w:tc>
        <w:tc>
          <w:tcPr>
            <w:tcW w:w="851" w:type="dxa"/>
            <w:shd w:val="clear" w:color="000000" w:fill="E2EFDA"/>
            <w:noWrap/>
            <w:vAlign w:val="bottom"/>
            <w:hideMark/>
          </w:tcPr>
          <w:p w14:paraId="6A264BD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0.0%</w:t>
            </w:r>
          </w:p>
        </w:tc>
        <w:tc>
          <w:tcPr>
            <w:tcW w:w="1216" w:type="dxa"/>
            <w:shd w:val="clear" w:color="000000" w:fill="E2EFDA"/>
            <w:noWrap/>
            <w:vAlign w:val="center"/>
            <w:hideMark/>
          </w:tcPr>
          <w:p w14:paraId="5A383CB6"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0.00%</w:t>
            </w:r>
          </w:p>
        </w:tc>
      </w:tr>
      <w:tr w:rsidR="007672DE" w:rsidRPr="001A31EC" w14:paraId="081A5471" w14:textId="77777777" w:rsidTr="007672DE">
        <w:trPr>
          <w:trHeight w:val="71"/>
        </w:trPr>
        <w:tc>
          <w:tcPr>
            <w:tcW w:w="3020" w:type="dxa"/>
            <w:shd w:val="clear" w:color="auto" w:fill="auto"/>
            <w:noWrap/>
            <w:vAlign w:val="bottom"/>
            <w:hideMark/>
          </w:tcPr>
          <w:p w14:paraId="10191668" w14:textId="77777777" w:rsidR="007672DE" w:rsidRPr="001A31EC" w:rsidRDefault="007672DE" w:rsidP="007672DE">
            <w:pPr>
              <w:rPr>
                <w:rFonts w:ascii="Calibri" w:hAnsi="Calibri"/>
                <w:color w:val="000000"/>
                <w:sz w:val="18"/>
                <w:szCs w:val="18"/>
              </w:rPr>
            </w:pPr>
            <w:r w:rsidRPr="001A31EC">
              <w:rPr>
                <w:rFonts w:ascii="Calibri" w:hAnsi="Calibri"/>
                <w:color w:val="000000"/>
                <w:sz w:val="18"/>
                <w:szCs w:val="18"/>
              </w:rPr>
              <w:t>Retained Earnings</w:t>
            </w:r>
          </w:p>
        </w:tc>
        <w:tc>
          <w:tcPr>
            <w:tcW w:w="1091" w:type="dxa"/>
            <w:shd w:val="clear" w:color="auto" w:fill="auto"/>
            <w:noWrap/>
            <w:vAlign w:val="bottom"/>
            <w:hideMark/>
          </w:tcPr>
          <w:p w14:paraId="2D7D499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1,422</w:t>
            </w:r>
          </w:p>
        </w:tc>
        <w:tc>
          <w:tcPr>
            <w:tcW w:w="1134" w:type="dxa"/>
            <w:shd w:val="clear" w:color="auto" w:fill="auto"/>
            <w:noWrap/>
            <w:vAlign w:val="bottom"/>
            <w:hideMark/>
          </w:tcPr>
          <w:p w14:paraId="3A7C9CA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1,720</w:t>
            </w:r>
          </w:p>
        </w:tc>
        <w:tc>
          <w:tcPr>
            <w:tcW w:w="1134" w:type="dxa"/>
            <w:shd w:val="clear" w:color="auto" w:fill="auto"/>
            <w:noWrap/>
            <w:vAlign w:val="bottom"/>
            <w:hideMark/>
          </w:tcPr>
          <w:p w14:paraId="59920C4E"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1,902</w:t>
            </w:r>
          </w:p>
        </w:tc>
        <w:tc>
          <w:tcPr>
            <w:tcW w:w="1134" w:type="dxa"/>
            <w:shd w:val="clear" w:color="auto" w:fill="auto"/>
            <w:noWrap/>
            <w:vAlign w:val="bottom"/>
            <w:hideMark/>
          </w:tcPr>
          <w:p w14:paraId="52EEE62D"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1,996</w:t>
            </w:r>
          </w:p>
        </w:tc>
        <w:tc>
          <w:tcPr>
            <w:tcW w:w="1134" w:type="dxa"/>
            <w:shd w:val="clear" w:color="auto" w:fill="auto"/>
            <w:noWrap/>
            <w:vAlign w:val="bottom"/>
            <w:hideMark/>
          </w:tcPr>
          <w:p w14:paraId="32011E05"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2,192</w:t>
            </w:r>
          </w:p>
        </w:tc>
        <w:tc>
          <w:tcPr>
            <w:tcW w:w="851" w:type="dxa"/>
            <w:shd w:val="clear" w:color="000000" w:fill="E2EFDA"/>
            <w:noWrap/>
            <w:vAlign w:val="bottom"/>
            <w:hideMark/>
          </w:tcPr>
          <w:p w14:paraId="6FE97F34"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9.8%</w:t>
            </w:r>
          </w:p>
        </w:tc>
        <w:tc>
          <w:tcPr>
            <w:tcW w:w="1216" w:type="dxa"/>
            <w:shd w:val="clear" w:color="000000" w:fill="E2EFDA"/>
            <w:noWrap/>
            <w:vAlign w:val="center"/>
            <w:hideMark/>
          </w:tcPr>
          <w:p w14:paraId="6BC1E27A" w14:textId="77777777" w:rsidR="007672DE" w:rsidRPr="001A31EC" w:rsidRDefault="007672DE" w:rsidP="007672DE">
            <w:pPr>
              <w:jc w:val="right"/>
              <w:rPr>
                <w:rFonts w:ascii="Calibri" w:hAnsi="Calibri"/>
                <w:color w:val="000000"/>
                <w:sz w:val="18"/>
                <w:szCs w:val="18"/>
              </w:rPr>
            </w:pPr>
            <w:r w:rsidRPr="001A31EC">
              <w:rPr>
                <w:rFonts w:ascii="Calibri" w:hAnsi="Calibri"/>
                <w:color w:val="000000"/>
                <w:sz w:val="18"/>
                <w:szCs w:val="18"/>
              </w:rPr>
              <w:t>11.43%</w:t>
            </w:r>
          </w:p>
        </w:tc>
      </w:tr>
      <w:tr w:rsidR="007672DE" w:rsidRPr="001A31EC" w14:paraId="7CDE3CD5" w14:textId="77777777" w:rsidTr="007672DE">
        <w:trPr>
          <w:trHeight w:val="71"/>
        </w:trPr>
        <w:tc>
          <w:tcPr>
            <w:tcW w:w="3020" w:type="dxa"/>
            <w:shd w:val="clear" w:color="000000" w:fill="C65911"/>
            <w:noWrap/>
            <w:vAlign w:val="bottom"/>
            <w:hideMark/>
          </w:tcPr>
          <w:p w14:paraId="752618BD" w14:textId="77777777" w:rsidR="007672DE" w:rsidRPr="001A31EC" w:rsidRDefault="007672DE" w:rsidP="007672DE">
            <w:pPr>
              <w:rPr>
                <w:rFonts w:ascii="Calibri" w:hAnsi="Calibri"/>
                <w:b/>
                <w:bCs/>
                <w:color w:val="FFFFFF"/>
                <w:sz w:val="18"/>
                <w:szCs w:val="18"/>
              </w:rPr>
            </w:pPr>
            <w:r w:rsidRPr="001A31EC">
              <w:rPr>
                <w:rFonts w:ascii="Calibri" w:hAnsi="Calibri"/>
                <w:b/>
                <w:bCs/>
                <w:color w:val="FFFFFF"/>
                <w:sz w:val="18"/>
                <w:szCs w:val="18"/>
              </w:rPr>
              <w:t>Total Shareholder Equity</w:t>
            </w:r>
          </w:p>
        </w:tc>
        <w:tc>
          <w:tcPr>
            <w:tcW w:w="1091" w:type="dxa"/>
            <w:shd w:val="clear" w:color="000000" w:fill="C65911"/>
            <w:noWrap/>
            <w:vAlign w:val="bottom"/>
            <w:hideMark/>
          </w:tcPr>
          <w:p w14:paraId="518FF283"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2,172</w:t>
            </w:r>
          </w:p>
        </w:tc>
        <w:tc>
          <w:tcPr>
            <w:tcW w:w="1134" w:type="dxa"/>
            <w:shd w:val="clear" w:color="000000" w:fill="C65911"/>
            <w:noWrap/>
            <w:vAlign w:val="bottom"/>
            <w:hideMark/>
          </w:tcPr>
          <w:p w14:paraId="1A575C24"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2,249</w:t>
            </w:r>
          </w:p>
        </w:tc>
        <w:tc>
          <w:tcPr>
            <w:tcW w:w="1134" w:type="dxa"/>
            <w:shd w:val="clear" w:color="000000" w:fill="C65911"/>
            <w:noWrap/>
            <w:vAlign w:val="bottom"/>
            <w:hideMark/>
          </w:tcPr>
          <w:p w14:paraId="24768EAC"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2,694</w:t>
            </w:r>
          </w:p>
        </w:tc>
        <w:tc>
          <w:tcPr>
            <w:tcW w:w="1134" w:type="dxa"/>
            <w:shd w:val="clear" w:color="000000" w:fill="C65911"/>
            <w:noWrap/>
            <w:vAlign w:val="bottom"/>
            <w:hideMark/>
          </w:tcPr>
          <w:p w14:paraId="734C1BCC"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2,802</w:t>
            </w:r>
          </w:p>
        </w:tc>
        <w:tc>
          <w:tcPr>
            <w:tcW w:w="1134" w:type="dxa"/>
            <w:shd w:val="clear" w:color="000000" w:fill="C65911"/>
            <w:noWrap/>
            <w:vAlign w:val="bottom"/>
            <w:hideMark/>
          </w:tcPr>
          <w:p w14:paraId="49D34D9B"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3,259</w:t>
            </w:r>
          </w:p>
        </w:tc>
        <w:tc>
          <w:tcPr>
            <w:tcW w:w="851" w:type="dxa"/>
            <w:shd w:val="clear" w:color="000000" w:fill="00B050"/>
            <w:noWrap/>
            <w:vAlign w:val="bottom"/>
            <w:hideMark/>
          </w:tcPr>
          <w:p w14:paraId="4A550DBF"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16.3%</w:t>
            </w:r>
          </w:p>
        </w:tc>
        <w:tc>
          <w:tcPr>
            <w:tcW w:w="1216" w:type="dxa"/>
            <w:shd w:val="clear" w:color="000000" w:fill="00B050"/>
            <w:noWrap/>
            <w:vAlign w:val="bottom"/>
            <w:hideMark/>
          </w:tcPr>
          <w:p w14:paraId="3BFD3B71" w14:textId="77777777" w:rsidR="007672DE" w:rsidRPr="001A31EC" w:rsidRDefault="007672DE" w:rsidP="007672DE">
            <w:pPr>
              <w:jc w:val="right"/>
              <w:rPr>
                <w:rFonts w:ascii="Calibri" w:hAnsi="Calibri"/>
                <w:b/>
                <w:bCs/>
                <w:color w:val="FFFFFF"/>
                <w:sz w:val="18"/>
                <w:szCs w:val="18"/>
              </w:rPr>
            </w:pPr>
            <w:r w:rsidRPr="001A31EC">
              <w:rPr>
                <w:rFonts w:ascii="Calibri" w:hAnsi="Calibri"/>
                <w:b/>
                <w:bCs/>
                <w:color w:val="FFFFFF"/>
                <w:sz w:val="18"/>
                <w:szCs w:val="18"/>
              </w:rPr>
              <w:t>10.68%</w:t>
            </w:r>
          </w:p>
        </w:tc>
      </w:tr>
      <w:tr w:rsidR="007672DE" w:rsidRPr="001A31EC" w14:paraId="77E87579" w14:textId="77777777" w:rsidTr="007672DE">
        <w:trPr>
          <w:trHeight w:val="71"/>
        </w:trPr>
        <w:tc>
          <w:tcPr>
            <w:tcW w:w="3020" w:type="dxa"/>
            <w:shd w:val="clear" w:color="000000" w:fill="EDFF89"/>
            <w:noWrap/>
            <w:vAlign w:val="bottom"/>
          </w:tcPr>
          <w:p w14:paraId="74D0AEF6" w14:textId="77777777" w:rsidR="007672DE" w:rsidRPr="00F07860" w:rsidRDefault="007672DE" w:rsidP="007672DE">
            <w:pPr>
              <w:rPr>
                <w:rFonts w:ascii="Calibri" w:hAnsi="Calibri"/>
                <w:b/>
                <w:bCs/>
                <w:color w:val="000000" w:themeColor="text1"/>
                <w:sz w:val="18"/>
                <w:szCs w:val="18"/>
              </w:rPr>
            </w:pPr>
            <w:r w:rsidRPr="00F07860">
              <w:rPr>
                <w:rFonts w:ascii="Calibri" w:hAnsi="Calibri"/>
                <w:b/>
                <w:bCs/>
                <w:color w:val="000000" w:themeColor="text1"/>
                <w:sz w:val="18"/>
                <w:szCs w:val="18"/>
              </w:rPr>
              <w:t>Year Average of Total Shareholder Equity</w:t>
            </w:r>
            <w:r>
              <w:rPr>
                <w:rStyle w:val="FootnoteReference"/>
                <w:rFonts w:ascii="Calibri" w:hAnsi="Calibri"/>
                <w:b/>
                <w:bCs/>
                <w:color w:val="000000" w:themeColor="text1"/>
                <w:sz w:val="18"/>
                <w:szCs w:val="18"/>
              </w:rPr>
              <w:footnoteReference w:id="7"/>
            </w:r>
          </w:p>
        </w:tc>
        <w:tc>
          <w:tcPr>
            <w:tcW w:w="1091" w:type="dxa"/>
            <w:shd w:val="clear" w:color="000000" w:fill="EDFF89"/>
            <w:noWrap/>
            <w:vAlign w:val="center"/>
          </w:tcPr>
          <w:p w14:paraId="04D50FAD" w14:textId="77777777" w:rsidR="007672DE" w:rsidRPr="00FF3A21" w:rsidRDefault="007672DE" w:rsidP="007672DE">
            <w:pPr>
              <w:jc w:val="right"/>
              <w:rPr>
                <w:rFonts w:ascii="Calibri" w:hAnsi="Calibri"/>
                <w:b/>
                <w:bCs/>
                <w:color w:val="000000" w:themeColor="text1"/>
                <w:sz w:val="18"/>
                <w:szCs w:val="18"/>
              </w:rPr>
            </w:pPr>
            <w:r w:rsidRPr="00FF3A21">
              <w:rPr>
                <w:rFonts w:ascii="Calibri" w:hAnsi="Calibri"/>
                <w:color w:val="000000"/>
                <w:sz w:val="18"/>
              </w:rPr>
              <w:t>-</w:t>
            </w:r>
          </w:p>
        </w:tc>
        <w:tc>
          <w:tcPr>
            <w:tcW w:w="1134" w:type="dxa"/>
            <w:shd w:val="clear" w:color="000000" w:fill="EDFF89"/>
            <w:noWrap/>
            <w:vAlign w:val="center"/>
          </w:tcPr>
          <w:p w14:paraId="7CC72082" w14:textId="77777777" w:rsidR="007672DE" w:rsidRPr="00FF3A21" w:rsidRDefault="007672DE" w:rsidP="007672DE">
            <w:pPr>
              <w:jc w:val="right"/>
              <w:rPr>
                <w:rFonts w:ascii="Calibri" w:hAnsi="Calibri"/>
                <w:b/>
                <w:bCs/>
                <w:color w:val="000000" w:themeColor="text1"/>
                <w:sz w:val="18"/>
                <w:szCs w:val="18"/>
              </w:rPr>
            </w:pPr>
            <w:r w:rsidRPr="00FF3A21">
              <w:rPr>
                <w:rFonts w:ascii="Calibri" w:hAnsi="Calibri"/>
                <w:color w:val="000000"/>
                <w:sz w:val="18"/>
              </w:rPr>
              <w:t>2,211</w:t>
            </w:r>
          </w:p>
        </w:tc>
        <w:tc>
          <w:tcPr>
            <w:tcW w:w="1134" w:type="dxa"/>
            <w:shd w:val="clear" w:color="000000" w:fill="EDFF89"/>
            <w:noWrap/>
            <w:vAlign w:val="center"/>
          </w:tcPr>
          <w:p w14:paraId="7E37120F" w14:textId="77777777" w:rsidR="007672DE" w:rsidRPr="00FF3A21" w:rsidRDefault="007672DE" w:rsidP="007672DE">
            <w:pPr>
              <w:jc w:val="right"/>
              <w:rPr>
                <w:rFonts w:ascii="Calibri" w:hAnsi="Calibri"/>
                <w:b/>
                <w:bCs/>
                <w:color w:val="000000" w:themeColor="text1"/>
                <w:sz w:val="18"/>
                <w:szCs w:val="18"/>
              </w:rPr>
            </w:pPr>
            <w:r w:rsidRPr="00FF3A21">
              <w:rPr>
                <w:rFonts w:ascii="Calibri" w:hAnsi="Calibri"/>
                <w:color w:val="000000"/>
                <w:sz w:val="18"/>
              </w:rPr>
              <w:t>2,472</w:t>
            </w:r>
          </w:p>
        </w:tc>
        <w:tc>
          <w:tcPr>
            <w:tcW w:w="1134" w:type="dxa"/>
            <w:shd w:val="clear" w:color="000000" w:fill="EDFF89"/>
            <w:noWrap/>
            <w:vAlign w:val="center"/>
          </w:tcPr>
          <w:p w14:paraId="21BCCCF3" w14:textId="77777777" w:rsidR="007672DE" w:rsidRPr="00FF3A21" w:rsidRDefault="007672DE" w:rsidP="007672DE">
            <w:pPr>
              <w:jc w:val="right"/>
              <w:rPr>
                <w:rFonts w:ascii="Calibri" w:hAnsi="Calibri"/>
                <w:b/>
                <w:bCs/>
                <w:color w:val="000000" w:themeColor="text1"/>
                <w:sz w:val="18"/>
                <w:szCs w:val="18"/>
              </w:rPr>
            </w:pPr>
            <w:r w:rsidRPr="00FF3A21">
              <w:rPr>
                <w:rFonts w:ascii="Calibri" w:hAnsi="Calibri"/>
                <w:color w:val="000000"/>
                <w:sz w:val="18"/>
              </w:rPr>
              <w:t>2,748</w:t>
            </w:r>
          </w:p>
        </w:tc>
        <w:tc>
          <w:tcPr>
            <w:tcW w:w="1134" w:type="dxa"/>
            <w:shd w:val="clear" w:color="000000" w:fill="EDFF89"/>
            <w:noWrap/>
            <w:vAlign w:val="center"/>
          </w:tcPr>
          <w:p w14:paraId="630F57B9" w14:textId="77777777" w:rsidR="007672DE" w:rsidRPr="00FF3A21" w:rsidRDefault="007672DE" w:rsidP="007672DE">
            <w:pPr>
              <w:jc w:val="right"/>
              <w:rPr>
                <w:rFonts w:ascii="Calibri" w:hAnsi="Calibri"/>
                <w:b/>
                <w:bCs/>
                <w:color w:val="000000" w:themeColor="text1"/>
                <w:sz w:val="18"/>
                <w:szCs w:val="18"/>
              </w:rPr>
            </w:pPr>
            <w:r w:rsidRPr="00FF3A21">
              <w:rPr>
                <w:rFonts w:ascii="Calibri" w:hAnsi="Calibri"/>
                <w:color w:val="000000"/>
                <w:sz w:val="18"/>
              </w:rPr>
              <w:t>3,031</w:t>
            </w:r>
          </w:p>
        </w:tc>
        <w:tc>
          <w:tcPr>
            <w:tcW w:w="851" w:type="dxa"/>
            <w:shd w:val="clear" w:color="000000" w:fill="00B050"/>
            <w:noWrap/>
            <w:vAlign w:val="center"/>
          </w:tcPr>
          <w:p w14:paraId="5EA53F0E" w14:textId="77777777" w:rsidR="007672DE" w:rsidRPr="00FF3A21" w:rsidRDefault="007672DE" w:rsidP="007672DE">
            <w:pPr>
              <w:jc w:val="right"/>
              <w:rPr>
                <w:rFonts w:ascii="Calibri" w:hAnsi="Calibri"/>
                <w:b/>
                <w:bCs/>
                <w:color w:val="FFFFFF"/>
                <w:sz w:val="18"/>
                <w:szCs w:val="18"/>
              </w:rPr>
            </w:pPr>
            <w:r w:rsidRPr="00FF3A21">
              <w:rPr>
                <w:rFonts w:ascii="Calibri" w:hAnsi="Calibri"/>
                <w:b/>
                <w:bCs/>
                <w:color w:val="FFFFFF"/>
                <w:sz w:val="18"/>
              </w:rPr>
              <w:t>10.3%</w:t>
            </w:r>
          </w:p>
        </w:tc>
        <w:tc>
          <w:tcPr>
            <w:tcW w:w="1216" w:type="dxa"/>
            <w:shd w:val="clear" w:color="000000" w:fill="00B050"/>
            <w:noWrap/>
            <w:vAlign w:val="center"/>
          </w:tcPr>
          <w:p w14:paraId="0470D6AE" w14:textId="77777777" w:rsidR="007672DE" w:rsidRPr="00FF3A21" w:rsidRDefault="007672DE" w:rsidP="007672DE">
            <w:pPr>
              <w:jc w:val="right"/>
              <w:rPr>
                <w:rFonts w:ascii="Calibri" w:hAnsi="Calibri"/>
                <w:b/>
                <w:bCs/>
                <w:color w:val="FFFFFF"/>
                <w:sz w:val="18"/>
                <w:szCs w:val="18"/>
              </w:rPr>
            </w:pPr>
            <w:r w:rsidRPr="00FF3A21">
              <w:rPr>
                <w:rFonts w:ascii="Calibri" w:hAnsi="Calibri"/>
                <w:b/>
                <w:bCs/>
                <w:color w:val="FFFFFF"/>
                <w:sz w:val="18"/>
              </w:rPr>
              <w:t>-</w:t>
            </w:r>
          </w:p>
        </w:tc>
      </w:tr>
    </w:tbl>
    <w:p w14:paraId="2BEF9FDD" w14:textId="77777777" w:rsidR="007672DE" w:rsidRDefault="007672DE" w:rsidP="007672DE">
      <w:pPr>
        <w:tabs>
          <w:tab w:val="left" w:pos="1134"/>
        </w:tabs>
        <w:ind w:left="-709"/>
        <w:jc w:val="both"/>
        <w:rPr>
          <w:rFonts w:ascii="Times" w:hAnsi="Times"/>
        </w:rPr>
      </w:pPr>
    </w:p>
    <w:p w14:paraId="22D4B355" w14:textId="77777777" w:rsidR="007672DE" w:rsidRDefault="007672DE" w:rsidP="007672DE">
      <w:pPr>
        <w:tabs>
          <w:tab w:val="left" w:pos="1134"/>
        </w:tabs>
        <w:ind w:left="-709"/>
        <w:jc w:val="both"/>
        <w:rPr>
          <w:rFonts w:ascii="Times" w:hAnsi="Times"/>
        </w:rPr>
      </w:pPr>
      <w:r>
        <w:rPr>
          <w:rFonts w:ascii="Times" w:hAnsi="Times"/>
        </w:rPr>
        <w:t>(EasyJet PLC 2014, 2015, 2016, 2017, 2018)</w:t>
      </w:r>
    </w:p>
    <w:p w14:paraId="54F099BF" w14:textId="77777777" w:rsidR="007672DE" w:rsidRDefault="007672DE" w:rsidP="007672DE">
      <w:pPr>
        <w:tabs>
          <w:tab w:val="left" w:pos="1134"/>
        </w:tabs>
        <w:ind w:left="-709"/>
        <w:jc w:val="both"/>
        <w:rPr>
          <w:rFonts w:ascii="Times" w:hAnsi="Times"/>
        </w:rPr>
        <w:sectPr w:rsidR="007672DE" w:rsidSect="007672DE">
          <w:pgSz w:w="11906" w:h="16838"/>
          <w:pgMar w:top="1440" w:right="1440" w:bottom="1143" w:left="1440" w:header="708" w:footer="708" w:gutter="0"/>
          <w:cols w:space="708"/>
          <w:docGrid w:linePitch="360"/>
        </w:sectPr>
      </w:pPr>
    </w:p>
    <w:p w14:paraId="2D47145F" w14:textId="77777777" w:rsidR="007672DE" w:rsidRPr="00047CEE" w:rsidRDefault="007672DE" w:rsidP="007672DE">
      <w:pPr>
        <w:tabs>
          <w:tab w:val="left" w:pos="1134"/>
        </w:tabs>
        <w:spacing w:after="120"/>
        <w:ind w:left="-709"/>
        <w:jc w:val="center"/>
        <w:outlineLvl w:val="0"/>
        <w:rPr>
          <w:rFonts w:ascii="Times" w:hAnsi="Times"/>
        </w:rPr>
      </w:pPr>
      <w:bookmarkStart w:id="33" w:name="_Toc535596761"/>
      <w:bookmarkStart w:id="34" w:name="_Toc535615929"/>
      <w:r>
        <w:rPr>
          <w:rFonts w:ascii="Times" w:hAnsi="Times"/>
          <w:b/>
          <w:u w:val="single"/>
        </w:rPr>
        <w:lastRenderedPageBreak/>
        <w:t xml:space="preserve">Appendix V: EasyJet </w:t>
      </w:r>
      <w:r w:rsidRPr="00436427">
        <w:rPr>
          <w:rFonts w:ascii="Times" w:hAnsi="Times"/>
          <w:b/>
          <w:u w:val="single"/>
        </w:rPr>
        <w:t xml:space="preserve">5-Year </w:t>
      </w:r>
      <w:r>
        <w:rPr>
          <w:rFonts w:ascii="Times" w:hAnsi="Times"/>
          <w:b/>
          <w:u w:val="single"/>
        </w:rPr>
        <w:t>Cash Flow</w:t>
      </w:r>
      <w:bookmarkEnd w:id="33"/>
      <w:bookmarkEnd w:id="34"/>
    </w:p>
    <w:tbl>
      <w:tblPr>
        <w:tblW w:w="1060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9"/>
        <w:gridCol w:w="1085"/>
        <w:gridCol w:w="1148"/>
        <w:gridCol w:w="1134"/>
        <w:gridCol w:w="1134"/>
        <w:gridCol w:w="1134"/>
        <w:gridCol w:w="992"/>
        <w:gridCol w:w="1244"/>
      </w:tblGrid>
      <w:tr w:rsidR="007672DE" w:rsidRPr="00047CEE" w14:paraId="28A8360E" w14:textId="77777777" w:rsidTr="007672DE">
        <w:trPr>
          <w:trHeight w:val="71"/>
        </w:trPr>
        <w:tc>
          <w:tcPr>
            <w:tcW w:w="2729" w:type="dxa"/>
            <w:shd w:val="clear" w:color="000000" w:fill="C65911"/>
            <w:vAlign w:val="center"/>
            <w:hideMark/>
          </w:tcPr>
          <w:p w14:paraId="1AE54E24" w14:textId="77777777" w:rsidR="007672DE" w:rsidRPr="00047CEE" w:rsidRDefault="007672DE" w:rsidP="007672DE">
            <w:pPr>
              <w:rPr>
                <w:rFonts w:ascii="Calibri" w:hAnsi="Calibri"/>
                <w:b/>
                <w:bCs/>
                <w:color w:val="FFFFFF"/>
                <w:sz w:val="18"/>
                <w:szCs w:val="18"/>
              </w:rPr>
            </w:pPr>
            <w:r>
              <w:rPr>
                <w:rFonts w:ascii="Calibri (Body)" w:hAnsi="Calibri (Body)"/>
                <w:b/>
                <w:bCs/>
                <w:color w:val="FFFFFF"/>
                <w:sz w:val="21"/>
                <w:szCs w:val="18"/>
              </w:rPr>
              <w:t>EasyJet</w:t>
            </w:r>
            <w:r w:rsidRPr="00047CEE">
              <w:rPr>
                <w:rFonts w:ascii="Calibri (Body)" w:hAnsi="Calibri (Body)"/>
                <w:b/>
                <w:bCs/>
                <w:color w:val="FFFFFF"/>
                <w:sz w:val="21"/>
                <w:szCs w:val="18"/>
              </w:rPr>
              <w:t xml:space="preserve"> 5-Year Cash Flow</w:t>
            </w:r>
            <w:r w:rsidRPr="00047CEE">
              <w:rPr>
                <w:rFonts w:ascii="Calibri" w:hAnsi="Calibri"/>
                <w:b/>
                <w:bCs/>
                <w:color w:val="FFFFFF"/>
                <w:sz w:val="18"/>
                <w:szCs w:val="18"/>
              </w:rPr>
              <w:br/>
            </w:r>
            <w:r w:rsidRPr="00047CEE">
              <w:rPr>
                <w:rFonts w:ascii="Calibri (Body)" w:hAnsi="Calibri (Body)"/>
                <w:i/>
                <w:iCs/>
                <w:color w:val="FFFFFF"/>
                <w:sz w:val="18"/>
                <w:szCs w:val="18"/>
              </w:rPr>
              <w:t>Note: Fiscal year is October to September.</w:t>
            </w:r>
          </w:p>
        </w:tc>
        <w:tc>
          <w:tcPr>
            <w:tcW w:w="1085" w:type="dxa"/>
            <w:shd w:val="clear" w:color="000000" w:fill="FCE4D6"/>
            <w:vAlign w:val="center"/>
            <w:hideMark/>
          </w:tcPr>
          <w:p w14:paraId="69F37572" w14:textId="77777777" w:rsidR="007672DE" w:rsidRPr="00047CEE" w:rsidRDefault="007672DE" w:rsidP="007672DE">
            <w:pPr>
              <w:jc w:val="center"/>
              <w:rPr>
                <w:rFonts w:ascii="Calibri" w:hAnsi="Calibri"/>
                <w:b/>
                <w:bCs/>
                <w:color w:val="000000"/>
                <w:sz w:val="18"/>
                <w:szCs w:val="18"/>
              </w:rPr>
            </w:pPr>
            <w:r w:rsidRPr="00047CEE">
              <w:rPr>
                <w:rFonts w:ascii="Calibri" w:hAnsi="Calibri"/>
                <w:b/>
                <w:bCs/>
                <w:color w:val="000000"/>
                <w:sz w:val="18"/>
                <w:szCs w:val="18"/>
              </w:rPr>
              <w:t>2014</w:t>
            </w:r>
            <w:r w:rsidRPr="00047CEE">
              <w:rPr>
                <w:rFonts w:ascii="Calibri" w:hAnsi="Calibri"/>
                <w:b/>
                <w:bCs/>
                <w:color w:val="000000"/>
                <w:sz w:val="18"/>
                <w:szCs w:val="18"/>
              </w:rPr>
              <w:br/>
              <w:t>(£ millions)</w:t>
            </w:r>
          </w:p>
        </w:tc>
        <w:tc>
          <w:tcPr>
            <w:tcW w:w="1148" w:type="dxa"/>
            <w:shd w:val="clear" w:color="000000" w:fill="FCE4D6"/>
            <w:vAlign w:val="center"/>
            <w:hideMark/>
          </w:tcPr>
          <w:p w14:paraId="3BED835C" w14:textId="77777777" w:rsidR="007672DE" w:rsidRPr="00047CEE" w:rsidRDefault="007672DE" w:rsidP="007672DE">
            <w:pPr>
              <w:jc w:val="center"/>
              <w:rPr>
                <w:rFonts w:ascii="Calibri" w:hAnsi="Calibri"/>
                <w:b/>
                <w:bCs/>
                <w:color w:val="000000"/>
                <w:sz w:val="18"/>
                <w:szCs w:val="18"/>
              </w:rPr>
            </w:pPr>
            <w:r w:rsidRPr="00047CEE">
              <w:rPr>
                <w:rFonts w:ascii="Calibri" w:hAnsi="Calibri"/>
                <w:b/>
                <w:bCs/>
                <w:color w:val="000000"/>
                <w:sz w:val="18"/>
                <w:szCs w:val="18"/>
              </w:rPr>
              <w:t>2015</w:t>
            </w:r>
            <w:r w:rsidRPr="00047CEE">
              <w:rPr>
                <w:rFonts w:ascii="Calibri" w:hAnsi="Calibri"/>
                <w:b/>
                <w:bCs/>
                <w:color w:val="000000"/>
                <w:sz w:val="18"/>
                <w:szCs w:val="18"/>
              </w:rPr>
              <w:br/>
              <w:t>(£ millions)</w:t>
            </w:r>
          </w:p>
        </w:tc>
        <w:tc>
          <w:tcPr>
            <w:tcW w:w="1134" w:type="dxa"/>
            <w:shd w:val="clear" w:color="000000" w:fill="FCE4D6"/>
            <w:vAlign w:val="center"/>
            <w:hideMark/>
          </w:tcPr>
          <w:p w14:paraId="21D53E4F" w14:textId="77777777" w:rsidR="007672DE" w:rsidRPr="00047CEE" w:rsidRDefault="007672DE" w:rsidP="007672DE">
            <w:pPr>
              <w:jc w:val="center"/>
              <w:rPr>
                <w:rFonts w:ascii="Calibri" w:hAnsi="Calibri"/>
                <w:b/>
                <w:bCs/>
                <w:color w:val="000000"/>
                <w:sz w:val="18"/>
                <w:szCs w:val="18"/>
              </w:rPr>
            </w:pPr>
            <w:r w:rsidRPr="00047CEE">
              <w:rPr>
                <w:rFonts w:ascii="Calibri" w:hAnsi="Calibri"/>
                <w:b/>
                <w:bCs/>
                <w:color w:val="000000"/>
                <w:sz w:val="18"/>
                <w:szCs w:val="18"/>
              </w:rPr>
              <w:t>2016</w:t>
            </w:r>
            <w:r w:rsidRPr="00047CEE">
              <w:rPr>
                <w:rFonts w:ascii="Calibri" w:hAnsi="Calibri"/>
                <w:b/>
                <w:bCs/>
                <w:color w:val="000000"/>
                <w:sz w:val="18"/>
                <w:szCs w:val="18"/>
              </w:rPr>
              <w:br/>
              <w:t>(£ millions)</w:t>
            </w:r>
          </w:p>
        </w:tc>
        <w:tc>
          <w:tcPr>
            <w:tcW w:w="1134" w:type="dxa"/>
            <w:shd w:val="clear" w:color="000000" w:fill="FCE4D6"/>
            <w:vAlign w:val="center"/>
            <w:hideMark/>
          </w:tcPr>
          <w:p w14:paraId="0CC42708" w14:textId="77777777" w:rsidR="007672DE" w:rsidRPr="00047CEE" w:rsidRDefault="007672DE" w:rsidP="007672DE">
            <w:pPr>
              <w:jc w:val="center"/>
              <w:rPr>
                <w:rFonts w:ascii="Calibri" w:hAnsi="Calibri"/>
                <w:b/>
                <w:bCs/>
                <w:color w:val="000000"/>
                <w:sz w:val="18"/>
                <w:szCs w:val="18"/>
              </w:rPr>
            </w:pPr>
            <w:r w:rsidRPr="00047CEE">
              <w:rPr>
                <w:rFonts w:ascii="Calibri" w:hAnsi="Calibri"/>
                <w:b/>
                <w:bCs/>
                <w:color w:val="000000"/>
                <w:sz w:val="18"/>
                <w:szCs w:val="18"/>
              </w:rPr>
              <w:t>2017</w:t>
            </w:r>
            <w:r w:rsidRPr="00047CEE">
              <w:rPr>
                <w:rFonts w:ascii="Calibri" w:hAnsi="Calibri"/>
                <w:b/>
                <w:bCs/>
                <w:color w:val="000000"/>
                <w:sz w:val="18"/>
                <w:szCs w:val="18"/>
              </w:rPr>
              <w:br/>
              <w:t>(£ millions)</w:t>
            </w:r>
          </w:p>
        </w:tc>
        <w:tc>
          <w:tcPr>
            <w:tcW w:w="1134" w:type="dxa"/>
            <w:shd w:val="clear" w:color="000000" w:fill="FCE4D6"/>
            <w:vAlign w:val="center"/>
            <w:hideMark/>
          </w:tcPr>
          <w:p w14:paraId="5C1A1893" w14:textId="77777777" w:rsidR="007672DE" w:rsidRPr="00047CEE" w:rsidRDefault="007672DE" w:rsidP="007672DE">
            <w:pPr>
              <w:jc w:val="center"/>
              <w:rPr>
                <w:rFonts w:ascii="Calibri" w:hAnsi="Calibri"/>
                <w:b/>
                <w:bCs/>
                <w:color w:val="000000"/>
                <w:sz w:val="18"/>
                <w:szCs w:val="18"/>
              </w:rPr>
            </w:pPr>
            <w:r w:rsidRPr="00047CEE">
              <w:rPr>
                <w:rFonts w:ascii="Calibri" w:hAnsi="Calibri"/>
                <w:b/>
                <w:bCs/>
                <w:color w:val="000000"/>
                <w:sz w:val="18"/>
                <w:szCs w:val="18"/>
              </w:rPr>
              <w:t>2018</w:t>
            </w:r>
            <w:r w:rsidRPr="00047CEE">
              <w:rPr>
                <w:rFonts w:ascii="Calibri" w:hAnsi="Calibri"/>
                <w:b/>
                <w:bCs/>
                <w:color w:val="000000"/>
                <w:sz w:val="18"/>
                <w:szCs w:val="18"/>
              </w:rPr>
              <w:br/>
              <w:t>(£ millions)</w:t>
            </w:r>
          </w:p>
        </w:tc>
        <w:tc>
          <w:tcPr>
            <w:tcW w:w="992" w:type="dxa"/>
            <w:shd w:val="clear" w:color="000000" w:fill="00B050"/>
            <w:vAlign w:val="center"/>
            <w:hideMark/>
          </w:tcPr>
          <w:p w14:paraId="702DA1DB" w14:textId="77777777" w:rsidR="007672DE" w:rsidRPr="00047CEE" w:rsidRDefault="007672DE" w:rsidP="007672DE">
            <w:pPr>
              <w:jc w:val="center"/>
              <w:rPr>
                <w:rFonts w:ascii="Calibri" w:hAnsi="Calibri"/>
                <w:b/>
                <w:bCs/>
                <w:color w:val="FFFFFF"/>
                <w:sz w:val="18"/>
                <w:szCs w:val="18"/>
              </w:rPr>
            </w:pPr>
            <w:r w:rsidRPr="00047CEE">
              <w:rPr>
                <w:rFonts w:ascii="Calibri" w:hAnsi="Calibri"/>
                <w:b/>
                <w:bCs/>
                <w:color w:val="FFFFFF"/>
                <w:sz w:val="18"/>
                <w:szCs w:val="18"/>
              </w:rPr>
              <w:t>Year-on-Year Growth</w:t>
            </w:r>
          </w:p>
        </w:tc>
        <w:tc>
          <w:tcPr>
            <w:tcW w:w="1244" w:type="dxa"/>
            <w:shd w:val="clear" w:color="000000" w:fill="00B050"/>
            <w:vAlign w:val="center"/>
            <w:hideMark/>
          </w:tcPr>
          <w:p w14:paraId="21A74253" w14:textId="77777777" w:rsidR="007672DE" w:rsidRPr="00047CEE" w:rsidRDefault="007672DE" w:rsidP="007672DE">
            <w:pPr>
              <w:jc w:val="center"/>
              <w:rPr>
                <w:rFonts w:ascii="Calibri" w:hAnsi="Calibri"/>
                <w:b/>
                <w:bCs/>
                <w:color w:val="FFFFFF"/>
                <w:sz w:val="18"/>
                <w:szCs w:val="18"/>
              </w:rPr>
            </w:pPr>
            <w:r w:rsidRPr="00047CEE">
              <w:rPr>
                <w:rFonts w:ascii="Calibri" w:hAnsi="Calibri"/>
                <w:b/>
                <w:bCs/>
                <w:color w:val="FFFFFF"/>
                <w:sz w:val="18"/>
                <w:szCs w:val="18"/>
              </w:rPr>
              <w:t>5 Year Compound Annual Growth Rate</w:t>
            </w:r>
          </w:p>
        </w:tc>
      </w:tr>
      <w:tr w:rsidR="007672DE" w:rsidRPr="00047CEE" w14:paraId="0D7D85A5" w14:textId="77777777" w:rsidTr="007672DE">
        <w:trPr>
          <w:trHeight w:val="71"/>
        </w:trPr>
        <w:tc>
          <w:tcPr>
            <w:tcW w:w="10600" w:type="dxa"/>
            <w:gridSpan w:val="8"/>
            <w:shd w:val="clear" w:color="000000" w:fill="808080"/>
            <w:vAlign w:val="bottom"/>
            <w:hideMark/>
          </w:tcPr>
          <w:p w14:paraId="582E9100" w14:textId="77777777" w:rsidR="007672DE" w:rsidRPr="00047CEE" w:rsidRDefault="007672DE" w:rsidP="007672DE">
            <w:pPr>
              <w:rPr>
                <w:rFonts w:ascii="Calibri" w:hAnsi="Calibri"/>
                <w:b/>
                <w:bCs/>
                <w:color w:val="FFFFFF"/>
                <w:sz w:val="18"/>
                <w:szCs w:val="18"/>
              </w:rPr>
            </w:pPr>
            <w:r w:rsidRPr="00047CEE">
              <w:rPr>
                <w:rFonts w:ascii="Calibri" w:hAnsi="Calibri"/>
                <w:b/>
                <w:bCs/>
                <w:color w:val="FFFFFF"/>
                <w:sz w:val="21"/>
                <w:szCs w:val="18"/>
              </w:rPr>
              <w:t>Cash flows from operating activities</w:t>
            </w:r>
            <w:r w:rsidRPr="00047CEE">
              <w:rPr>
                <w:rFonts w:ascii="Calibri" w:hAnsi="Calibri"/>
                <w:b/>
                <w:bCs/>
                <w:color w:val="FFFFFF"/>
                <w:sz w:val="18"/>
                <w:szCs w:val="18"/>
              </w:rPr>
              <w:t> </w:t>
            </w:r>
          </w:p>
        </w:tc>
      </w:tr>
      <w:tr w:rsidR="007672DE" w:rsidRPr="00047CEE" w14:paraId="4D1B5255" w14:textId="77777777" w:rsidTr="007672DE">
        <w:trPr>
          <w:trHeight w:val="71"/>
        </w:trPr>
        <w:tc>
          <w:tcPr>
            <w:tcW w:w="2729" w:type="dxa"/>
            <w:shd w:val="clear" w:color="auto" w:fill="auto"/>
            <w:noWrap/>
            <w:vAlign w:val="bottom"/>
            <w:hideMark/>
          </w:tcPr>
          <w:p w14:paraId="237CB9D9"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Cash generated from operations</w:t>
            </w:r>
          </w:p>
        </w:tc>
        <w:tc>
          <w:tcPr>
            <w:tcW w:w="1085" w:type="dxa"/>
            <w:shd w:val="clear" w:color="auto" w:fill="auto"/>
            <w:noWrap/>
            <w:vAlign w:val="bottom"/>
            <w:hideMark/>
          </w:tcPr>
          <w:p w14:paraId="02F2887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793</w:t>
            </w:r>
          </w:p>
        </w:tc>
        <w:tc>
          <w:tcPr>
            <w:tcW w:w="1148" w:type="dxa"/>
            <w:shd w:val="clear" w:color="auto" w:fill="auto"/>
            <w:noWrap/>
            <w:vAlign w:val="bottom"/>
            <w:hideMark/>
          </w:tcPr>
          <w:p w14:paraId="2D68D28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895</w:t>
            </w:r>
          </w:p>
        </w:tc>
        <w:tc>
          <w:tcPr>
            <w:tcW w:w="1134" w:type="dxa"/>
            <w:shd w:val="clear" w:color="auto" w:fill="auto"/>
            <w:noWrap/>
            <w:vAlign w:val="bottom"/>
            <w:hideMark/>
          </w:tcPr>
          <w:p w14:paraId="29626F53"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724</w:t>
            </w:r>
          </w:p>
        </w:tc>
        <w:tc>
          <w:tcPr>
            <w:tcW w:w="1134" w:type="dxa"/>
            <w:shd w:val="clear" w:color="auto" w:fill="auto"/>
            <w:noWrap/>
            <w:vAlign w:val="bottom"/>
            <w:hideMark/>
          </w:tcPr>
          <w:p w14:paraId="4055968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949</w:t>
            </w:r>
          </w:p>
        </w:tc>
        <w:tc>
          <w:tcPr>
            <w:tcW w:w="1134" w:type="dxa"/>
            <w:shd w:val="clear" w:color="auto" w:fill="auto"/>
            <w:noWrap/>
            <w:vAlign w:val="bottom"/>
            <w:hideMark/>
          </w:tcPr>
          <w:p w14:paraId="2E7D591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1,215</w:t>
            </w:r>
          </w:p>
        </w:tc>
        <w:tc>
          <w:tcPr>
            <w:tcW w:w="992" w:type="dxa"/>
            <w:shd w:val="clear" w:color="000000" w:fill="E2EFDA"/>
            <w:noWrap/>
            <w:vAlign w:val="bottom"/>
            <w:hideMark/>
          </w:tcPr>
          <w:p w14:paraId="19CEC3B6"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28%</w:t>
            </w:r>
          </w:p>
        </w:tc>
        <w:tc>
          <w:tcPr>
            <w:tcW w:w="1244" w:type="dxa"/>
            <w:shd w:val="clear" w:color="000000" w:fill="E2EFDA"/>
            <w:noWrap/>
            <w:vAlign w:val="center"/>
            <w:hideMark/>
          </w:tcPr>
          <w:p w14:paraId="2C36CB2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11.26%</w:t>
            </w:r>
          </w:p>
        </w:tc>
      </w:tr>
      <w:tr w:rsidR="007672DE" w:rsidRPr="00047CEE" w14:paraId="2CCBC1EA" w14:textId="77777777" w:rsidTr="007672DE">
        <w:trPr>
          <w:trHeight w:val="71"/>
        </w:trPr>
        <w:tc>
          <w:tcPr>
            <w:tcW w:w="2729" w:type="dxa"/>
            <w:shd w:val="clear" w:color="auto" w:fill="auto"/>
            <w:noWrap/>
            <w:vAlign w:val="bottom"/>
            <w:hideMark/>
          </w:tcPr>
          <w:p w14:paraId="2C325A33"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Ordinary dividends paid</w:t>
            </w:r>
          </w:p>
        </w:tc>
        <w:tc>
          <w:tcPr>
            <w:tcW w:w="1085" w:type="dxa"/>
            <w:shd w:val="clear" w:color="auto" w:fill="auto"/>
            <w:noWrap/>
            <w:vAlign w:val="bottom"/>
            <w:hideMark/>
          </w:tcPr>
          <w:p w14:paraId="22BB2FC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-133</w:t>
            </w:r>
          </w:p>
        </w:tc>
        <w:tc>
          <w:tcPr>
            <w:tcW w:w="1148" w:type="dxa"/>
            <w:shd w:val="clear" w:color="auto" w:fill="auto"/>
            <w:noWrap/>
            <w:vAlign w:val="bottom"/>
            <w:hideMark/>
          </w:tcPr>
          <w:p w14:paraId="022458D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-180</w:t>
            </w:r>
          </w:p>
        </w:tc>
        <w:tc>
          <w:tcPr>
            <w:tcW w:w="1134" w:type="dxa"/>
            <w:shd w:val="clear" w:color="auto" w:fill="auto"/>
            <w:noWrap/>
            <w:vAlign w:val="bottom"/>
            <w:hideMark/>
          </w:tcPr>
          <w:p w14:paraId="47719D8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-219</w:t>
            </w:r>
          </w:p>
        </w:tc>
        <w:tc>
          <w:tcPr>
            <w:tcW w:w="1134" w:type="dxa"/>
            <w:shd w:val="clear" w:color="auto" w:fill="auto"/>
            <w:noWrap/>
            <w:vAlign w:val="bottom"/>
            <w:hideMark/>
          </w:tcPr>
          <w:p w14:paraId="6CB61BD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-214</w:t>
            </w:r>
          </w:p>
        </w:tc>
        <w:tc>
          <w:tcPr>
            <w:tcW w:w="1134" w:type="dxa"/>
            <w:shd w:val="clear" w:color="auto" w:fill="auto"/>
            <w:noWrap/>
            <w:vAlign w:val="bottom"/>
            <w:hideMark/>
          </w:tcPr>
          <w:p w14:paraId="2155F97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-162</w:t>
            </w:r>
          </w:p>
        </w:tc>
        <w:tc>
          <w:tcPr>
            <w:tcW w:w="992" w:type="dxa"/>
            <w:shd w:val="clear" w:color="000000" w:fill="E2EFDA"/>
            <w:noWrap/>
            <w:vAlign w:val="bottom"/>
            <w:hideMark/>
          </w:tcPr>
          <w:p w14:paraId="7A512538"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-24%</w:t>
            </w:r>
          </w:p>
        </w:tc>
        <w:tc>
          <w:tcPr>
            <w:tcW w:w="1244" w:type="dxa"/>
            <w:shd w:val="clear" w:color="000000" w:fill="E2EFDA"/>
            <w:noWrap/>
            <w:vAlign w:val="center"/>
            <w:hideMark/>
          </w:tcPr>
          <w:p w14:paraId="160DDC5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5.05%</w:t>
            </w:r>
          </w:p>
        </w:tc>
      </w:tr>
      <w:tr w:rsidR="007672DE" w:rsidRPr="00047CEE" w14:paraId="26B4A22D" w14:textId="77777777" w:rsidTr="007672DE">
        <w:trPr>
          <w:trHeight w:val="71"/>
        </w:trPr>
        <w:tc>
          <w:tcPr>
            <w:tcW w:w="2729" w:type="dxa"/>
            <w:shd w:val="clear" w:color="auto" w:fill="auto"/>
            <w:noWrap/>
            <w:vAlign w:val="bottom"/>
            <w:hideMark/>
          </w:tcPr>
          <w:p w14:paraId="1FDAF797"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Special dividends paid</w:t>
            </w:r>
          </w:p>
        </w:tc>
        <w:tc>
          <w:tcPr>
            <w:tcW w:w="1085" w:type="dxa"/>
            <w:shd w:val="clear" w:color="auto" w:fill="auto"/>
            <w:noWrap/>
            <w:vAlign w:val="bottom"/>
            <w:hideMark/>
          </w:tcPr>
          <w:p w14:paraId="2E591D9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-175</w:t>
            </w:r>
          </w:p>
        </w:tc>
        <w:tc>
          <w:tcPr>
            <w:tcW w:w="1148" w:type="dxa"/>
            <w:shd w:val="clear" w:color="auto" w:fill="auto"/>
            <w:noWrap/>
            <w:vAlign w:val="bottom"/>
            <w:hideMark/>
          </w:tcPr>
          <w:p w14:paraId="2BD028F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bottom"/>
            <w:hideMark/>
          </w:tcPr>
          <w:p w14:paraId="6BC0EED6"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bottom"/>
            <w:hideMark/>
          </w:tcPr>
          <w:p w14:paraId="639776C9"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bottom"/>
            <w:hideMark/>
          </w:tcPr>
          <w:p w14:paraId="44B4DE5A"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992" w:type="dxa"/>
            <w:shd w:val="clear" w:color="000000" w:fill="E2EFDA"/>
            <w:noWrap/>
            <w:vAlign w:val="bottom"/>
            <w:hideMark/>
          </w:tcPr>
          <w:p w14:paraId="69C2FAA9"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244" w:type="dxa"/>
            <w:shd w:val="clear" w:color="000000" w:fill="E2EFDA"/>
            <w:noWrap/>
            <w:vAlign w:val="bottom"/>
            <w:hideMark/>
          </w:tcPr>
          <w:p w14:paraId="781708A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5A16CA32" w14:textId="77777777" w:rsidTr="007672DE">
        <w:trPr>
          <w:trHeight w:val="71"/>
        </w:trPr>
        <w:tc>
          <w:tcPr>
            <w:tcW w:w="2729" w:type="dxa"/>
            <w:shd w:val="clear" w:color="auto" w:fill="auto"/>
            <w:noWrap/>
            <w:vAlign w:val="bottom"/>
            <w:hideMark/>
          </w:tcPr>
          <w:p w14:paraId="7ABE5D34"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Net Interest and other financing charges paid/received</w:t>
            </w:r>
          </w:p>
        </w:tc>
        <w:tc>
          <w:tcPr>
            <w:tcW w:w="1085" w:type="dxa"/>
            <w:shd w:val="clear" w:color="auto" w:fill="auto"/>
            <w:noWrap/>
            <w:vAlign w:val="center"/>
            <w:hideMark/>
          </w:tcPr>
          <w:p w14:paraId="740A915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5</w:t>
            </w:r>
          </w:p>
        </w:tc>
        <w:tc>
          <w:tcPr>
            <w:tcW w:w="1148" w:type="dxa"/>
            <w:shd w:val="clear" w:color="auto" w:fill="auto"/>
            <w:noWrap/>
            <w:vAlign w:val="center"/>
            <w:hideMark/>
          </w:tcPr>
          <w:p w14:paraId="5475D353"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-8</w:t>
            </w:r>
          </w:p>
        </w:tc>
        <w:tc>
          <w:tcPr>
            <w:tcW w:w="1134" w:type="dxa"/>
            <w:shd w:val="clear" w:color="auto" w:fill="auto"/>
            <w:noWrap/>
            <w:vAlign w:val="center"/>
            <w:hideMark/>
          </w:tcPr>
          <w:p w14:paraId="4738FD94"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-19</w:t>
            </w:r>
          </w:p>
        </w:tc>
        <w:tc>
          <w:tcPr>
            <w:tcW w:w="1134" w:type="dxa"/>
            <w:shd w:val="clear" w:color="auto" w:fill="auto"/>
            <w:noWrap/>
            <w:vAlign w:val="center"/>
            <w:hideMark/>
          </w:tcPr>
          <w:p w14:paraId="7064FC3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-30</w:t>
            </w:r>
          </w:p>
        </w:tc>
        <w:tc>
          <w:tcPr>
            <w:tcW w:w="1134" w:type="dxa"/>
            <w:shd w:val="clear" w:color="auto" w:fill="auto"/>
            <w:noWrap/>
            <w:vAlign w:val="center"/>
            <w:hideMark/>
          </w:tcPr>
          <w:p w14:paraId="6D2CC7EF"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-29</w:t>
            </w:r>
          </w:p>
        </w:tc>
        <w:tc>
          <w:tcPr>
            <w:tcW w:w="992" w:type="dxa"/>
            <w:shd w:val="clear" w:color="000000" w:fill="E2EFDA"/>
            <w:noWrap/>
            <w:vAlign w:val="center"/>
            <w:hideMark/>
          </w:tcPr>
          <w:p w14:paraId="69FF02B3"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w:t>
            </w:r>
          </w:p>
        </w:tc>
        <w:tc>
          <w:tcPr>
            <w:tcW w:w="1244" w:type="dxa"/>
            <w:shd w:val="clear" w:color="000000" w:fill="E2EFDA"/>
            <w:noWrap/>
            <w:vAlign w:val="center"/>
            <w:hideMark/>
          </w:tcPr>
          <w:p w14:paraId="7717760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20357122" w14:textId="77777777" w:rsidTr="007672DE">
        <w:trPr>
          <w:trHeight w:val="71"/>
        </w:trPr>
        <w:tc>
          <w:tcPr>
            <w:tcW w:w="2729" w:type="dxa"/>
            <w:shd w:val="clear" w:color="auto" w:fill="auto"/>
            <w:noWrap/>
            <w:vAlign w:val="bottom"/>
            <w:hideMark/>
          </w:tcPr>
          <w:p w14:paraId="3757C518"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Interest and other financing income received</w:t>
            </w:r>
          </w:p>
        </w:tc>
        <w:tc>
          <w:tcPr>
            <w:tcW w:w="1085" w:type="dxa"/>
            <w:shd w:val="clear" w:color="auto" w:fill="auto"/>
            <w:noWrap/>
            <w:vAlign w:val="center"/>
            <w:hideMark/>
          </w:tcPr>
          <w:p w14:paraId="3D30F6E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48" w:type="dxa"/>
            <w:shd w:val="clear" w:color="auto" w:fill="auto"/>
            <w:noWrap/>
            <w:vAlign w:val="center"/>
            <w:hideMark/>
          </w:tcPr>
          <w:p w14:paraId="1A7C8C7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372603A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4866132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w:t>
            </w:r>
          </w:p>
        </w:tc>
        <w:tc>
          <w:tcPr>
            <w:tcW w:w="1134" w:type="dxa"/>
            <w:shd w:val="clear" w:color="auto" w:fill="auto"/>
            <w:noWrap/>
            <w:vAlign w:val="center"/>
            <w:hideMark/>
          </w:tcPr>
          <w:p w14:paraId="0EF89216"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11</w:t>
            </w:r>
          </w:p>
        </w:tc>
        <w:tc>
          <w:tcPr>
            <w:tcW w:w="992" w:type="dxa"/>
            <w:shd w:val="clear" w:color="000000" w:fill="E2EFDA"/>
            <w:noWrap/>
            <w:vAlign w:val="center"/>
            <w:hideMark/>
          </w:tcPr>
          <w:p w14:paraId="71091933"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22%</w:t>
            </w:r>
          </w:p>
        </w:tc>
        <w:tc>
          <w:tcPr>
            <w:tcW w:w="1244" w:type="dxa"/>
            <w:shd w:val="clear" w:color="000000" w:fill="E2EFDA"/>
            <w:noWrap/>
            <w:vAlign w:val="center"/>
            <w:hideMark/>
          </w:tcPr>
          <w:p w14:paraId="0518B71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67475957" w14:textId="77777777" w:rsidTr="007672DE">
        <w:trPr>
          <w:trHeight w:val="71"/>
        </w:trPr>
        <w:tc>
          <w:tcPr>
            <w:tcW w:w="2729" w:type="dxa"/>
            <w:shd w:val="clear" w:color="auto" w:fill="auto"/>
            <w:noWrap/>
            <w:vAlign w:val="bottom"/>
            <w:hideMark/>
          </w:tcPr>
          <w:p w14:paraId="3D41F586"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Net tax paid</w:t>
            </w:r>
          </w:p>
        </w:tc>
        <w:tc>
          <w:tcPr>
            <w:tcW w:w="1085" w:type="dxa"/>
            <w:shd w:val="clear" w:color="auto" w:fill="auto"/>
            <w:noWrap/>
            <w:vAlign w:val="center"/>
            <w:hideMark/>
          </w:tcPr>
          <w:p w14:paraId="2674FD28"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-96</w:t>
            </w:r>
          </w:p>
        </w:tc>
        <w:tc>
          <w:tcPr>
            <w:tcW w:w="1148" w:type="dxa"/>
            <w:shd w:val="clear" w:color="auto" w:fill="auto"/>
            <w:noWrap/>
            <w:vAlign w:val="center"/>
            <w:hideMark/>
          </w:tcPr>
          <w:p w14:paraId="7120BB73"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-98</w:t>
            </w:r>
          </w:p>
        </w:tc>
        <w:tc>
          <w:tcPr>
            <w:tcW w:w="1134" w:type="dxa"/>
            <w:shd w:val="clear" w:color="auto" w:fill="auto"/>
            <w:noWrap/>
            <w:vAlign w:val="center"/>
            <w:hideMark/>
          </w:tcPr>
          <w:p w14:paraId="0FC4156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-99</w:t>
            </w:r>
          </w:p>
        </w:tc>
        <w:tc>
          <w:tcPr>
            <w:tcW w:w="1134" w:type="dxa"/>
            <w:shd w:val="clear" w:color="auto" w:fill="auto"/>
            <w:noWrap/>
            <w:vAlign w:val="center"/>
            <w:hideMark/>
          </w:tcPr>
          <w:p w14:paraId="7075D62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-51</w:t>
            </w:r>
          </w:p>
        </w:tc>
        <w:tc>
          <w:tcPr>
            <w:tcW w:w="1134" w:type="dxa"/>
            <w:shd w:val="clear" w:color="auto" w:fill="auto"/>
            <w:noWrap/>
            <w:vAlign w:val="center"/>
            <w:hideMark/>
          </w:tcPr>
          <w:p w14:paraId="73A65A4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-74</w:t>
            </w:r>
          </w:p>
        </w:tc>
        <w:tc>
          <w:tcPr>
            <w:tcW w:w="992" w:type="dxa"/>
            <w:shd w:val="clear" w:color="000000" w:fill="E2EFDA"/>
            <w:noWrap/>
            <w:vAlign w:val="center"/>
            <w:hideMark/>
          </w:tcPr>
          <w:p w14:paraId="4FE35A2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45%</w:t>
            </w:r>
          </w:p>
        </w:tc>
        <w:tc>
          <w:tcPr>
            <w:tcW w:w="1244" w:type="dxa"/>
            <w:shd w:val="clear" w:color="000000" w:fill="E2EFDA"/>
            <w:noWrap/>
            <w:vAlign w:val="center"/>
            <w:hideMark/>
          </w:tcPr>
          <w:p w14:paraId="6006285D"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-6.30%</w:t>
            </w:r>
          </w:p>
        </w:tc>
      </w:tr>
      <w:tr w:rsidR="007672DE" w:rsidRPr="00047CEE" w14:paraId="041DB7C1" w14:textId="77777777" w:rsidTr="007672DE">
        <w:trPr>
          <w:trHeight w:val="71"/>
        </w:trPr>
        <w:tc>
          <w:tcPr>
            <w:tcW w:w="2729" w:type="dxa"/>
            <w:shd w:val="clear" w:color="000000" w:fill="FCE4D6"/>
            <w:noWrap/>
            <w:vAlign w:val="bottom"/>
            <w:hideMark/>
          </w:tcPr>
          <w:p w14:paraId="373B4B7A" w14:textId="77777777" w:rsidR="007672DE" w:rsidRPr="00047CEE" w:rsidRDefault="007672DE" w:rsidP="007672DE">
            <w:pPr>
              <w:rPr>
                <w:rFonts w:ascii="Calibri" w:hAnsi="Calibri"/>
                <w:b/>
                <w:bCs/>
                <w:color w:val="000000"/>
                <w:sz w:val="18"/>
                <w:szCs w:val="18"/>
              </w:rPr>
            </w:pPr>
            <w:r w:rsidRPr="00047CEE">
              <w:rPr>
                <w:rFonts w:ascii="Calibri" w:hAnsi="Calibri"/>
                <w:b/>
                <w:bCs/>
                <w:color w:val="000000"/>
                <w:sz w:val="18"/>
                <w:szCs w:val="18"/>
              </w:rPr>
              <w:t>Net cash generated from operating activities</w:t>
            </w:r>
          </w:p>
        </w:tc>
        <w:tc>
          <w:tcPr>
            <w:tcW w:w="1085" w:type="dxa"/>
            <w:shd w:val="clear" w:color="000000" w:fill="FCE4D6"/>
            <w:noWrap/>
            <w:vAlign w:val="center"/>
            <w:hideMark/>
          </w:tcPr>
          <w:p w14:paraId="78CB5E3C"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394</w:t>
            </w:r>
          </w:p>
        </w:tc>
        <w:tc>
          <w:tcPr>
            <w:tcW w:w="1148" w:type="dxa"/>
            <w:shd w:val="clear" w:color="000000" w:fill="FCE4D6"/>
            <w:noWrap/>
            <w:vAlign w:val="center"/>
            <w:hideMark/>
          </w:tcPr>
          <w:p w14:paraId="2CEB189D"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609</w:t>
            </w:r>
          </w:p>
        </w:tc>
        <w:tc>
          <w:tcPr>
            <w:tcW w:w="1134" w:type="dxa"/>
            <w:shd w:val="clear" w:color="000000" w:fill="FCE4D6"/>
            <w:noWrap/>
            <w:vAlign w:val="center"/>
            <w:hideMark/>
          </w:tcPr>
          <w:p w14:paraId="521BF967"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387</w:t>
            </w:r>
          </w:p>
        </w:tc>
        <w:tc>
          <w:tcPr>
            <w:tcW w:w="1134" w:type="dxa"/>
            <w:shd w:val="clear" w:color="000000" w:fill="FCE4D6"/>
            <w:noWrap/>
            <w:vAlign w:val="center"/>
            <w:hideMark/>
          </w:tcPr>
          <w:p w14:paraId="163BD15E"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663</w:t>
            </w:r>
          </w:p>
        </w:tc>
        <w:tc>
          <w:tcPr>
            <w:tcW w:w="1134" w:type="dxa"/>
            <w:shd w:val="clear" w:color="000000" w:fill="FCE4D6"/>
            <w:noWrap/>
            <w:vAlign w:val="center"/>
            <w:hideMark/>
          </w:tcPr>
          <w:p w14:paraId="0FDBBAAC"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961</w:t>
            </w:r>
          </w:p>
        </w:tc>
        <w:tc>
          <w:tcPr>
            <w:tcW w:w="992" w:type="dxa"/>
            <w:shd w:val="clear" w:color="000000" w:fill="C6E0B4"/>
            <w:noWrap/>
            <w:vAlign w:val="center"/>
            <w:hideMark/>
          </w:tcPr>
          <w:p w14:paraId="7B9522CF"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45%</w:t>
            </w:r>
          </w:p>
        </w:tc>
        <w:tc>
          <w:tcPr>
            <w:tcW w:w="1244" w:type="dxa"/>
            <w:shd w:val="clear" w:color="000000" w:fill="C6E0B4"/>
            <w:noWrap/>
            <w:vAlign w:val="center"/>
            <w:hideMark/>
          </w:tcPr>
          <w:p w14:paraId="23656699"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25%</w:t>
            </w:r>
          </w:p>
        </w:tc>
      </w:tr>
      <w:tr w:rsidR="007672DE" w:rsidRPr="00047CEE" w14:paraId="5A7A0DF8" w14:textId="77777777" w:rsidTr="007672DE">
        <w:trPr>
          <w:trHeight w:val="71"/>
        </w:trPr>
        <w:tc>
          <w:tcPr>
            <w:tcW w:w="10600" w:type="dxa"/>
            <w:gridSpan w:val="8"/>
            <w:shd w:val="clear" w:color="000000" w:fill="808080"/>
            <w:vAlign w:val="bottom"/>
            <w:hideMark/>
          </w:tcPr>
          <w:p w14:paraId="031F1520" w14:textId="77777777" w:rsidR="007672DE" w:rsidRPr="00047CEE" w:rsidRDefault="007672DE" w:rsidP="007672DE">
            <w:pPr>
              <w:rPr>
                <w:rFonts w:ascii="Calibri" w:hAnsi="Calibri"/>
                <w:b/>
                <w:bCs/>
                <w:color w:val="FFFFFF"/>
                <w:sz w:val="18"/>
                <w:szCs w:val="18"/>
              </w:rPr>
            </w:pPr>
            <w:r w:rsidRPr="00047CEE">
              <w:rPr>
                <w:rFonts w:ascii="Calibri" w:hAnsi="Calibri"/>
                <w:b/>
                <w:bCs/>
                <w:color w:val="FFFFFF"/>
                <w:sz w:val="21"/>
                <w:szCs w:val="18"/>
              </w:rPr>
              <w:t>Cash flows from investing activities</w:t>
            </w:r>
            <w:r w:rsidRPr="00047CEE">
              <w:rPr>
                <w:rFonts w:ascii="Calibri" w:hAnsi="Calibri"/>
                <w:b/>
                <w:bCs/>
                <w:color w:val="FFFFFF"/>
                <w:sz w:val="18"/>
                <w:szCs w:val="18"/>
              </w:rPr>
              <w:t> </w:t>
            </w:r>
          </w:p>
        </w:tc>
      </w:tr>
      <w:tr w:rsidR="007672DE" w:rsidRPr="00047CEE" w14:paraId="3B7285B7" w14:textId="77777777" w:rsidTr="007672DE">
        <w:trPr>
          <w:trHeight w:val="71"/>
        </w:trPr>
        <w:tc>
          <w:tcPr>
            <w:tcW w:w="2729" w:type="dxa"/>
            <w:shd w:val="clear" w:color="auto" w:fill="auto"/>
            <w:noWrap/>
            <w:vAlign w:val="bottom"/>
            <w:hideMark/>
          </w:tcPr>
          <w:p w14:paraId="1776B66B"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Purchase of property, plant and equipment</w:t>
            </w:r>
          </w:p>
        </w:tc>
        <w:tc>
          <w:tcPr>
            <w:tcW w:w="1085" w:type="dxa"/>
            <w:shd w:val="clear" w:color="auto" w:fill="auto"/>
            <w:noWrap/>
            <w:vAlign w:val="center"/>
            <w:hideMark/>
          </w:tcPr>
          <w:p w14:paraId="4040F0C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-426</w:t>
            </w:r>
          </w:p>
        </w:tc>
        <w:tc>
          <w:tcPr>
            <w:tcW w:w="1148" w:type="dxa"/>
            <w:shd w:val="clear" w:color="auto" w:fill="auto"/>
            <w:noWrap/>
            <w:vAlign w:val="center"/>
            <w:hideMark/>
          </w:tcPr>
          <w:p w14:paraId="1660D35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-509</w:t>
            </w:r>
          </w:p>
        </w:tc>
        <w:tc>
          <w:tcPr>
            <w:tcW w:w="1134" w:type="dxa"/>
            <w:shd w:val="clear" w:color="auto" w:fill="auto"/>
            <w:noWrap/>
            <w:vAlign w:val="center"/>
            <w:hideMark/>
          </w:tcPr>
          <w:p w14:paraId="1B985F1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-549</w:t>
            </w:r>
          </w:p>
        </w:tc>
        <w:tc>
          <w:tcPr>
            <w:tcW w:w="1134" w:type="dxa"/>
            <w:shd w:val="clear" w:color="auto" w:fill="auto"/>
            <w:noWrap/>
            <w:vAlign w:val="center"/>
            <w:hideMark/>
          </w:tcPr>
          <w:p w14:paraId="3F83B3F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-586</w:t>
            </w:r>
          </w:p>
        </w:tc>
        <w:tc>
          <w:tcPr>
            <w:tcW w:w="1134" w:type="dxa"/>
            <w:shd w:val="clear" w:color="auto" w:fill="auto"/>
            <w:noWrap/>
            <w:vAlign w:val="center"/>
            <w:hideMark/>
          </w:tcPr>
          <w:p w14:paraId="3A9BEBB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-931</w:t>
            </w:r>
          </w:p>
        </w:tc>
        <w:tc>
          <w:tcPr>
            <w:tcW w:w="992" w:type="dxa"/>
            <w:shd w:val="clear" w:color="000000" w:fill="E2EFDA"/>
            <w:noWrap/>
            <w:vAlign w:val="center"/>
            <w:hideMark/>
          </w:tcPr>
          <w:p w14:paraId="0AAD9A6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59%</w:t>
            </w:r>
          </w:p>
        </w:tc>
        <w:tc>
          <w:tcPr>
            <w:tcW w:w="1244" w:type="dxa"/>
            <w:shd w:val="clear" w:color="000000" w:fill="E2EFDA"/>
            <w:noWrap/>
            <w:vAlign w:val="center"/>
            <w:hideMark/>
          </w:tcPr>
          <w:p w14:paraId="410A191F"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21.59%</w:t>
            </w:r>
          </w:p>
        </w:tc>
      </w:tr>
      <w:tr w:rsidR="007672DE" w:rsidRPr="00047CEE" w14:paraId="163A1244" w14:textId="77777777" w:rsidTr="007672DE">
        <w:trPr>
          <w:trHeight w:val="71"/>
        </w:trPr>
        <w:tc>
          <w:tcPr>
            <w:tcW w:w="2729" w:type="dxa"/>
            <w:shd w:val="clear" w:color="auto" w:fill="auto"/>
            <w:noWrap/>
            <w:vAlign w:val="bottom"/>
            <w:hideMark/>
          </w:tcPr>
          <w:p w14:paraId="338093F3"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Proceeds from sale of property, plant and equipment</w:t>
            </w:r>
          </w:p>
        </w:tc>
        <w:tc>
          <w:tcPr>
            <w:tcW w:w="1085" w:type="dxa"/>
            <w:shd w:val="clear" w:color="auto" w:fill="auto"/>
            <w:noWrap/>
            <w:vAlign w:val="center"/>
            <w:hideMark/>
          </w:tcPr>
          <w:p w14:paraId="66B89C4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w:t>
            </w:r>
          </w:p>
        </w:tc>
        <w:tc>
          <w:tcPr>
            <w:tcW w:w="1148" w:type="dxa"/>
            <w:shd w:val="clear" w:color="auto" w:fill="auto"/>
            <w:noWrap/>
            <w:vAlign w:val="center"/>
            <w:hideMark/>
          </w:tcPr>
          <w:p w14:paraId="5350492D"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4A142714"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022BFB0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6C4A812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992" w:type="dxa"/>
            <w:shd w:val="clear" w:color="000000" w:fill="E2EFDA"/>
            <w:noWrap/>
            <w:vAlign w:val="center"/>
            <w:hideMark/>
          </w:tcPr>
          <w:p w14:paraId="0148A84F"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244" w:type="dxa"/>
            <w:shd w:val="clear" w:color="000000" w:fill="E2EFDA"/>
            <w:noWrap/>
            <w:vAlign w:val="center"/>
            <w:hideMark/>
          </w:tcPr>
          <w:p w14:paraId="5B6D96A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139B29CF" w14:textId="77777777" w:rsidTr="007672DE">
        <w:trPr>
          <w:trHeight w:val="71"/>
        </w:trPr>
        <w:tc>
          <w:tcPr>
            <w:tcW w:w="2729" w:type="dxa"/>
            <w:shd w:val="clear" w:color="auto" w:fill="auto"/>
            <w:noWrap/>
            <w:vAlign w:val="bottom"/>
            <w:hideMark/>
          </w:tcPr>
          <w:p w14:paraId="4CDB681C"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Purchase of intangible assets</w:t>
            </w:r>
          </w:p>
        </w:tc>
        <w:tc>
          <w:tcPr>
            <w:tcW w:w="1085" w:type="dxa"/>
            <w:shd w:val="clear" w:color="auto" w:fill="auto"/>
            <w:noWrap/>
            <w:vAlign w:val="center"/>
            <w:hideMark/>
          </w:tcPr>
          <w:p w14:paraId="1835D6D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-23</w:t>
            </w:r>
          </w:p>
        </w:tc>
        <w:tc>
          <w:tcPr>
            <w:tcW w:w="1148" w:type="dxa"/>
            <w:shd w:val="clear" w:color="auto" w:fill="auto"/>
            <w:noWrap/>
            <w:vAlign w:val="center"/>
            <w:hideMark/>
          </w:tcPr>
          <w:p w14:paraId="648083D8"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-27</w:t>
            </w:r>
          </w:p>
        </w:tc>
        <w:tc>
          <w:tcPr>
            <w:tcW w:w="1134" w:type="dxa"/>
            <w:shd w:val="clear" w:color="auto" w:fill="auto"/>
            <w:noWrap/>
            <w:vAlign w:val="center"/>
            <w:hideMark/>
          </w:tcPr>
          <w:p w14:paraId="314EF213"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-37</w:t>
            </w:r>
          </w:p>
        </w:tc>
        <w:tc>
          <w:tcPr>
            <w:tcW w:w="1134" w:type="dxa"/>
            <w:shd w:val="clear" w:color="auto" w:fill="auto"/>
            <w:noWrap/>
            <w:vAlign w:val="center"/>
            <w:hideMark/>
          </w:tcPr>
          <w:p w14:paraId="3CA99F5D"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-44</w:t>
            </w:r>
          </w:p>
        </w:tc>
        <w:tc>
          <w:tcPr>
            <w:tcW w:w="1134" w:type="dxa"/>
            <w:shd w:val="clear" w:color="auto" w:fill="auto"/>
            <w:noWrap/>
            <w:vAlign w:val="center"/>
            <w:hideMark/>
          </w:tcPr>
          <w:p w14:paraId="5253922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-81</w:t>
            </w:r>
          </w:p>
        </w:tc>
        <w:tc>
          <w:tcPr>
            <w:tcW w:w="992" w:type="dxa"/>
            <w:shd w:val="clear" w:color="000000" w:fill="E2EFDA"/>
            <w:noWrap/>
            <w:vAlign w:val="center"/>
            <w:hideMark/>
          </w:tcPr>
          <w:p w14:paraId="6B1B5E39"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84%</w:t>
            </w:r>
          </w:p>
        </w:tc>
        <w:tc>
          <w:tcPr>
            <w:tcW w:w="1244" w:type="dxa"/>
            <w:shd w:val="clear" w:color="000000" w:fill="E2EFDA"/>
            <w:noWrap/>
            <w:vAlign w:val="center"/>
            <w:hideMark/>
          </w:tcPr>
          <w:p w14:paraId="13FAB269"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36.99%</w:t>
            </w:r>
          </w:p>
        </w:tc>
      </w:tr>
      <w:tr w:rsidR="007672DE" w:rsidRPr="00047CEE" w14:paraId="47BD5D54" w14:textId="77777777" w:rsidTr="007672DE">
        <w:trPr>
          <w:trHeight w:val="71"/>
        </w:trPr>
        <w:tc>
          <w:tcPr>
            <w:tcW w:w="2729" w:type="dxa"/>
            <w:shd w:val="clear" w:color="auto" w:fill="auto"/>
            <w:noWrap/>
            <w:vAlign w:val="bottom"/>
            <w:hideMark/>
          </w:tcPr>
          <w:p w14:paraId="429F9E80"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Net decrease/(increase) in money market deposits</w:t>
            </w:r>
          </w:p>
        </w:tc>
        <w:tc>
          <w:tcPr>
            <w:tcW w:w="1085" w:type="dxa"/>
            <w:shd w:val="clear" w:color="auto" w:fill="auto"/>
            <w:noWrap/>
            <w:vAlign w:val="center"/>
            <w:hideMark/>
          </w:tcPr>
          <w:p w14:paraId="0090661A"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48" w:type="dxa"/>
            <w:shd w:val="clear" w:color="auto" w:fill="auto"/>
            <w:noWrap/>
            <w:vAlign w:val="center"/>
            <w:hideMark/>
          </w:tcPr>
          <w:p w14:paraId="3EA99F8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277</w:t>
            </w:r>
          </w:p>
        </w:tc>
        <w:tc>
          <w:tcPr>
            <w:tcW w:w="1134" w:type="dxa"/>
            <w:shd w:val="clear" w:color="auto" w:fill="auto"/>
            <w:noWrap/>
            <w:vAlign w:val="center"/>
            <w:hideMark/>
          </w:tcPr>
          <w:p w14:paraId="0C58EA3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45</w:t>
            </w:r>
          </w:p>
        </w:tc>
        <w:tc>
          <w:tcPr>
            <w:tcW w:w="1134" w:type="dxa"/>
            <w:shd w:val="clear" w:color="auto" w:fill="auto"/>
            <w:noWrap/>
            <w:vAlign w:val="center"/>
            <w:hideMark/>
          </w:tcPr>
          <w:p w14:paraId="4A1DF07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-363</w:t>
            </w:r>
          </w:p>
        </w:tc>
        <w:tc>
          <w:tcPr>
            <w:tcW w:w="1134" w:type="dxa"/>
            <w:shd w:val="clear" w:color="auto" w:fill="auto"/>
            <w:noWrap/>
            <w:vAlign w:val="center"/>
            <w:hideMark/>
          </w:tcPr>
          <w:p w14:paraId="799EA658"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269</w:t>
            </w:r>
          </w:p>
        </w:tc>
        <w:tc>
          <w:tcPr>
            <w:tcW w:w="992" w:type="dxa"/>
            <w:shd w:val="clear" w:color="000000" w:fill="E2EFDA"/>
            <w:noWrap/>
            <w:vAlign w:val="center"/>
            <w:hideMark/>
          </w:tcPr>
          <w:p w14:paraId="5660891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-174%</w:t>
            </w:r>
          </w:p>
        </w:tc>
        <w:tc>
          <w:tcPr>
            <w:tcW w:w="1244" w:type="dxa"/>
            <w:shd w:val="clear" w:color="000000" w:fill="E2EFDA"/>
            <w:noWrap/>
            <w:vAlign w:val="center"/>
            <w:hideMark/>
          </w:tcPr>
          <w:p w14:paraId="5078DCD9"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7D0FCD09" w14:textId="77777777" w:rsidTr="007672DE">
        <w:trPr>
          <w:trHeight w:val="71"/>
        </w:trPr>
        <w:tc>
          <w:tcPr>
            <w:tcW w:w="2729" w:type="dxa"/>
            <w:shd w:val="clear" w:color="auto" w:fill="auto"/>
            <w:noWrap/>
            <w:vAlign w:val="bottom"/>
            <w:hideMark/>
          </w:tcPr>
          <w:p w14:paraId="46B239F4"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Proceeds from sale and operating leaseback of aircraft</w:t>
            </w:r>
          </w:p>
        </w:tc>
        <w:tc>
          <w:tcPr>
            <w:tcW w:w="1085" w:type="dxa"/>
            <w:shd w:val="clear" w:color="auto" w:fill="auto"/>
            <w:noWrap/>
            <w:vAlign w:val="center"/>
            <w:hideMark/>
          </w:tcPr>
          <w:p w14:paraId="3E6628B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48" w:type="dxa"/>
            <w:shd w:val="clear" w:color="auto" w:fill="auto"/>
            <w:noWrap/>
            <w:vAlign w:val="center"/>
            <w:hideMark/>
          </w:tcPr>
          <w:p w14:paraId="7034137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4</w:t>
            </w:r>
          </w:p>
        </w:tc>
        <w:tc>
          <w:tcPr>
            <w:tcW w:w="1134" w:type="dxa"/>
            <w:shd w:val="clear" w:color="auto" w:fill="auto"/>
            <w:noWrap/>
            <w:vAlign w:val="center"/>
            <w:hideMark/>
          </w:tcPr>
          <w:p w14:paraId="18DAF40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22CF79F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115</w:t>
            </w:r>
          </w:p>
        </w:tc>
        <w:tc>
          <w:tcPr>
            <w:tcW w:w="1134" w:type="dxa"/>
            <w:shd w:val="clear" w:color="auto" w:fill="auto"/>
            <w:noWrap/>
            <w:vAlign w:val="center"/>
            <w:hideMark/>
          </w:tcPr>
          <w:p w14:paraId="0C85F98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106</w:t>
            </w:r>
          </w:p>
        </w:tc>
        <w:tc>
          <w:tcPr>
            <w:tcW w:w="992" w:type="dxa"/>
            <w:shd w:val="clear" w:color="000000" w:fill="E2EFDA"/>
            <w:noWrap/>
            <w:vAlign w:val="center"/>
            <w:hideMark/>
          </w:tcPr>
          <w:p w14:paraId="0AC1935F"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-8%</w:t>
            </w:r>
          </w:p>
        </w:tc>
        <w:tc>
          <w:tcPr>
            <w:tcW w:w="1244" w:type="dxa"/>
            <w:shd w:val="clear" w:color="000000" w:fill="E2EFDA"/>
            <w:noWrap/>
            <w:vAlign w:val="center"/>
            <w:hideMark/>
          </w:tcPr>
          <w:p w14:paraId="3F3F5E4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5EFC330C" w14:textId="77777777" w:rsidTr="007672DE">
        <w:trPr>
          <w:trHeight w:val="71"/>
        </w:trPr>
        <w:tc>
          <w:tcPr>
            <w:tcW w:w="2729" w:type="dxa"/>
            <w:shd w:val="clear" w:color="auto" w:fill="auto"/>
            <w:noWrap/>
            <w:vAlign w:val="bottom"/>
            <w:hideMark/>
          </w:tcPr>
          <w:p w14:paraId="6239C1E9"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Redemption of Loan Notes</w:t>
            </w:r>
          </w:p>
        </w:tc>
        <w:tc>
          <w:tcPr>
            <w:tcW w:w="1085" w:type="dxa"/>
            <w:shd w:val="clear" w:color="auto" w:fill="auto"/>
            <w:noWrap/>
            <w:vAlign w:val="center"/>
            <w:hideMark/>
          </w:tcPr>
          <w:p w14:paraId="5CD0FA5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w:t>
            </w:r>
          </w:p>
        </w:tc>
        <w:tc>
          <w:tcPr>
            <w:tcW w:w="1148" w:type="dxa"/>
            <w:shd w:val="clear" w:color="auto" w:fill="auto"/>
            <w:noWrap/>
            <w:vAlign w:val="center"/>
            <w:hideMark/>
          </w:tcPr>
          <w:p w14:paraId="582178C8"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172376F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4696865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17AC977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992" w:type="dxa"/>
            <w:shd w:val="clear" w:color="000000" w:fill="E2EFDA"/>
            <w:noWrap/>
            <w:vAlign w:val="center"/>
            <w:hideMark/>
          </w:tcPr>
          <w:p w14:paraId="533A89BD"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244" w:type="dxa"/>
            <w:shd w:val="clear" w:color="000000" w:fill="E2EFDA"/>
            <w:noWrap/>
            <w:vAlign w:val="center"/>
            <w:hideMark/>
          </w:tcPr>
          <w:p w14:paraId="07C300A3"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31BF568F" w14:textId="77777777" w:rsidTr="007672DE">
        <w:trPr>
          <w:trHeight w:val="71"/>
        </w:trPr>
        <w:tc>
          <w:tcPr>
            <w:tcW w:w="2729" w:type="dxa"/>
            <w:shd w:val="clear" w:color="000000" w:fill="FCE4D6"/>
            <w:noWrap/>
            <w:vAlign w:val="bottom"/>
            <w:hideMark/>
          </w:tcPr>
          <w:p w14:paraId="0C3F384B" w14:textId="77777777" w:rsidR="007672DE" w:rsidRPr="00047CEE" w:rsidRDefault="007672DE" w:rsidP="007672DE">
            <w:pPr>
              <w:rPr>
                <w:rFonts w:ascii="Calibri" w:hAnsi="Calibri"/>
                <w:b/>
                <w:bCs/>
                <w:color w:val="000000"/>
                <w:sz w:val="18"/>
                <w:szCs w:val="18"/>
              </w:rPr>
            </w:pPr>
            <w:r w:rsidRPr="00047CEE">
              <w:rPr>
                <w:rFonts w:ascii="Calibri" w:hAnsi="Calibri"/>
                <w:b/>
                <w:bCs/>
                <w:color w:val="000000"/>
                <w:sz w:val="18"/>
                <w:szCs w:val="18"/>
              </w:rPr>
              <w:t>Net cash used by investing activities</w:t>
            </w:r>
          </w:p>
        </w:tc>
        <w:tc>
          <w:tcPr>
            <w:tcW w:w="1085" w:type="dxa"/>
            <w:shd w:val="clear" w:color="000000" w:fill="FCE4D6"/>
            <w:noWrap/>
            <w:vAlign w:val="center"/>
            <w:hideMark/>
          </w:tcPr>
          <w:p w14:paraId="705F3C0E"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-445</w:t>
            </w:r>
          </w:p>
        </w:tc>
        <w:tc>
          <w:tcPr>
            <w:tcW w:w="1148" w:type="dxa"/>
            <w:shd w:val="clear" w:color="000000" w:fill="FCE4D6"/>
            <w:noWrap/>
            <w:vAlign w:val="center"/>
            <w:hideMark/>
          </w:tcPr>
          <w:p w14:paraId="108FE8BD"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-255</w:t>
            </w:r>
          </w:p>
        </w:tc>
        <w:tc>
          <w:tcPr>
            <w:tcW w:w="1134" w:type="dxa"/>
            <w:shd w:val="clear" w:color="000000" w:fill="FCE4D6"/>
            <w:noWrap/>
            <w:vAlign w:val="center"/>
            <w:hideMark/>
          </w:tcPr>
          <w:p w14:paraId="7BE053AD"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-541</w:t>
            </w:r>
          </w:p>
        </w:tc>
        <w:tc>
          <w:tcPr>
            <w:tcW w:w="1134" w:type="dxa"/>
            <w:shd w:val="clear" w:color="000000" w:fill="FCE4D6"/>
            <w:noWrap/>
            <w:vAlign w:val="center"/>
            <w:hideMark/>
          </w:tcPr>
          <w:p w14:paraId="67F71CD1"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-878</w:t>
            </w:r>
          </w:p>
        </w:tc>
        <w:tc>
          <w:tcPr>
            <w:tcW w:w="1134" w:type="dxa"/>
            <w:shd w:val="clear" w:color="000000" w:fill="FCE4D6"/>
            <w:noWrap/>
            <w:vAlign w:val="center"/>
            <w:hideMark/>
          </w:tcPr>
          <w:p w14:paraId="0E195944"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-637</w:t>
            </w:r>
          </w:p>
        </w:tc>
        <w:tc>
          <w:tcPr>
            <w:tcW w:w="992" w:type="dxa"/>
            <w:shd w:val="clear" w:color="000000" w:fill="C6E0B4"/>
            <w:noWrap/>
            <w:vAlign w:val="center"/>
            <w:hideMark/>
          </w:tcPr>
          <w:p w14:paraId="7D824949"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-27%</w:t>
            </w:r>
          </w:p>
        </w:tc>
        <w:tc>
          <w:tcPr>
            <w:tcW w:w="1244" w:type="dxa"/>
            <w:shd w:val="clear" w:color="000000" w:fill="C6E0B4"/>
            <w:noWrap/>
            <w:vAlign w:val="center"/>
            <w:hideMark/>
          </w:tcPr>
          <w:p w14:paraId="0A426F95"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9%</w:t>
            </w:r>
          </w:p>
        </w:tc>
      </w:tr>
      <w:tr w:rsidR="007672DE" w:rsidRPr="00047CEE" w14:paraId="08C1C97B" w14:textId="77777777" w:rsidTr="007672DE">
        <w:trPr>
          <w:trHeight w:val="71"/>
        </w:trPr>
        <w:tc>
          <w:tcPr>
            <w:tcW w:w="10600" w:type="dxa"/>
            <w:gridSpan w:val="8"/>
            <w:shd w:val="clear" w:color="000000" w:fill="808080"/>
            <w:vAlign w:val="bottom"/>
            <w:hideMark/>
          </w:tcPr>
          <w:p w14:paraId="146884F8" w14:textId="77777777" w:rsidR="007672DE" w:rsidRPr="00047CEE" w:rsidRDefault="007672DE" w:rsidP="007672DE">
            <w:pPr>
              <w:rPr>
                <w:rFonts w:ascii="Calibri" w:hAnsi="Calibri"/>
                <w:b/>
                <w:bCs/>
                <w:color w:val="FFFFFF"/>
                <w:sz w:val="18"/>
                <w:szCs w:val="18"/>
              </w:rPr>
            </w:pPr>
            <w:r w:rsidRPr="00047CEE">
              <w:rPr>
                <w:rFonts w:ascii="Calibri" w:hAnsi="Calibri"/>
                <w:b/>
                <w:bCs/>
                <w:color w:val="FFFFFF"/>
                <w:sz w:val="21"/>
                <w:szCs w:val="18"/>
              </w:rPr>
              <w:t>Cash flows from financing activities</w:t>
            </w:r>
            <w:r w:rsidRPr="00047CEE">
              <w:rPr>
                <w:rFonts w:ascii="Calibri" w:hAnsi="Calibri"/>
                <w:b/>
                <w:bCs/>
                <w:color w:val="FFFFFF"/>
                <w:sz w:val="18"/>
                <w:szCs w:val="18"/>
              </w:rPr>
              <w:t> </w:t>
            </w:r>
          </w:p>
        </w:tc>
      </w:tr>
      <w:tr w:rsidR="007672DE" w:rsidRPr="00047CEE" w14:paraId="193C15A0" w14:textId="77777777" w:rsidTr="007672DE">
        <w:trPr>
          <w:trHeight w:val="71"/>
        </w:trPr>
        <w:tc>
          <w:tcPr>
            <w:tcW w:w="2729" w:type="dxa"/>
            <w:shd w:val="clear" w:color="auto" w:fill="auto"/>
            <w:vAlign w:val="bottom"/>
            <w:hideMark/>
          </w:tcPr>
          <w:p w14:paraId="0D5B2DAE"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Net proceeds from issue of ordinary share capital</w:t>
            </w:r>
          </w:p>
        </w:tc>
        <w:tc>
          <w:tcPr>
            <w:tcW w:w="1085" w:type="dxa"/>
            <w:shd w:val="clear" w:color="auto" w:fill="auto"/>
            <w:noWrap/>
            <w:vAlign w:val="center"/>
            <w:hideMark/>
          </w:tcPr>
          <w:p w14:paraId="7DF4365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w:t>
            </w:r>
          </w:p>
        </w:tc>
        <w:tc>
          <w:tcPr>
            <w:tcW w:w="1148" w:type="dxa"/>
            <w:shd w:val="clear" w:color="auto" w:fill="auto"/>
            <w:noWrap/>
            <w:vAlign w:val="center"/>
            <w:hideMark/>
          </w:tcPr>
          <w:p w14:paraId="1CD48D8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w:t>
            </w:r>
          </w:p>
        </w:tc>
        <w:tc>
          <w:tcPr>
            <w:tcW w:w="1134" w:type="dxa"/>
            <w:shd w:val="clear" w:color="auto" w:fill="auto"/>
            <w:noWrap/>
            <w:vAlign w:val="center"/>
            <w:hideMark/>
          </w:tcPr>
          <w:p w14:paraId="2147490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46C9F746"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4D200ED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992" w:type="dxa"/>
            <w:shd w:val="clear" w:color="000000" w:fill="E2EFDA"/>
            <w:noWrap/>
            <w:vAlign w:val="center"/>
            <w:hideMark/>
          </w:tcPr>
          <w:p w14:paraId="61E578AF" w14:textId="77777777" w:rsidR="007672DE" w:rsidRPr="00047CEE" w:rsidRDefault="007672DE" w:rsidP="007672DE">
            <w:pPr>
              <w:jc w:val="right"/>
              <w:rPr>
                <w:rFonts w:ascii="Calibri" w:hAnsi="Calibri"/>
                <w:color w:val="000000"/>
                <w:sz w:val="18"/>
                <w:szCs w:val="18"/>
              </w:rPr>
            </w:pPr>
            <w:r>
              <w:rPr>
                <w:rFonts w:ascii="Calibri" w:hAnsi="Calibri"/>
                <w:color w:val="000000"/>
                <w:sz w:val="18"/>
                <w:szCs w:val="18"/>
              </w:rPr>
              <w:t>-</w:t>
            </w:r>
            <w:r w:rsidRPr="00047CEE">
              <w:rPr>
                <w:rFonts w:ascii="Calibri" w:hAnsi="Calibri"/>
                <w:color w:val="000000"/>
                <w:sz w:val="18"/>
                <w:szCs w:val="18"/>
              </w:rPr>
              <w:t> </w:t>
            </w:r>
          </w:p>
        </w:tc>
        <w:tc>
          <w:tcPr>
            <w:tcW w:w="1244" w:type="dxa"/>
            <w:shd w:val="clear" w:color="000000" w:fill="E2EFDA"/>
            <w:noWrap/>
            <w:vAlign w:val="center"/>
            <w:hideMark/>
          </w:tcPr>
          <w:p w14:paraId="3B53CF14"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0E13B63D" w14:textId="77777777" w:rsidTr="007672DE">
        <w:trPr>
          <w:trHeight w:val="71"/>
        </w:trPr>
        <w:tc>
          <w:tcPr>
            <w:tcW w:w="2729" w:type="dxa"/>
            <w:shd w:val="clear" w:color="auto" w:fill="auto"/>
            <w:noWrap/>
            <w:vAlign w:val="bottom"/>
            <w:hideMark/>
          </w:tcPr>
          <w:p w14:paraId="3116490F"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Purchase of own shares for employee share schemes</w:t>
            </w:r>
          </w:p>
        </w:tc>
        <w:tc>
          <w:tcPr>
            <w:tcW w:w="1085" w:type="dxa"/>
            <w:shd w:val="clear" w:color="auto" w:fill="auto"/>
            <w:noWrap/>
            <w:vAlign w:val="center"/>
            <w:hideMark/>
          </w:tcPr>
          <w:p w14:paraId="3EFD853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-57</w:t>
            </w:r>
          </w:p>
        </w:tc>
        <w:tc>
          <w:tcPr>
            <w:tcW w:w="1148" w:type="dxa"/>
            <w:shd w:val="clear" w:color="auto" w:fill="auto"/>
            <w:noWrap/>
            <w:vAlign w:val="center"/>
            <w:hideMark/>
          </w:tcPr>
          <w:p w14:paraId="1EEB59E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-92</w:t>
            </w:r>
          </w:p>
        </w:tc>
        <w:tc>
          <w:tcPr>
            <w:tcW w:w="1134" w:type="dxa"/>
            <w:shd w:val="clear" w:color="auto" w:fill="auto"/>
            <w:noWrap/>
            <w:vAlign w:val="center"/>
            <w:hideMark/>
          </w:tcPr>
          <w:p w14:paraId="45E3E59A"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-22</w:t>
            </w:r>
          </w:p>
        </w:tc>
        <w:tc>
          <w:tcPr>
            <w:tcW w:w="1134" w:type="dxa"/>
            <w:shd w:val="clear" w:color="auto" w:fill="auto"/>
            <w:noWrap/>
            <w:vAlign w:val="center"/>
            <w:hideMark/>
          </w:tcPr>
          <w:p w14:paraId="52EC2F1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-10</w:t>
            </w:r>
          </w:p>
        </w:tc>
        <w:tc>
          <w:tcPr>
            <w:tcW w:w="1134" w:type="dxa"/>
            <w:shd w:val="clear" w:color="auto" w:fill="auto"/>
            <w:noWrap/>
            <w:vAlign w:val="center"/>
            <w:hideMark/>
          </w:tcPr>
          <w:p w14:paraId="49D87A8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-17</w:t>
            </w:r>
          </w:p>
        </w:tc>
        <w:tc>
          <w:tcPr>
            <w:tcW w:w="992" w:type="dxa"/>
            <w:shd w:val="clear" w:color="000000" w:fill="E2EFDA"/>
            <w:noWrap/>
            <w:vAlign w:val="center"/>
            <w:hideMark/>
          </w:tcPr>
          <w:p w14:paraId="10E049D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70%</w:t>
            </w:r>
          </w:p>
        </w:tc>
        <w:tc>
          <w:tcPr>
            <w:tcW w:w="1244" w:type="dxa"/>
            <w:shd w:val="clear" w:color="000000" w:fill="E2EFDA"/>
            <w:noWrap/>
            <w:vAlign w:val="center"/>
            <w:hideMark/>
          </w:tcPr>
          <w:p w14:paraId="077E29B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-26.10%</w:t>
            </w:r>
          </w:p>
        </w:tc>
      </w:tr>
      <w:tr w:rsidR="007672DE" w:rsidRPr="00047CEE" w14:paraId="3D0C0520" w14:textId="77777777" w:rsidTr="007672DE">
        <w:trPr>
          <w:trHeight w:val="71"/>
        </w:trPr>
        <w:tc>
          <w:tcPr>
            <w:tcW w:w="2729" w:type="dxa"/>
            <w:shd w:val="clear" w:color="auto" w:fill="auto"/>
            <w:noWrap/>
            <w:vAlign w:val="bottom"/>
            <w:hideMark/>
          </w:tcPr>
          <w:p w14:paraId="25430AB1"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Proceeds from Eurobond issue</w:t>
            </w:r>
          </w:p>
        </w:tc>
        <w:tc>
          <w:tcPr>
            <w:tcW w:w="1085" w:type="dxa"/>
            <w:shd w:val="clear" w:color="auto" w:fill="auto"/>
            <w:noWrap/>
            <w:vAlign w:val="center"/>
            <w:hideMark/>
          </w:tcPr>
          <w:p w14:paraId="17FDFB8D"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48" w:type="dxa"/>
            <w:shd w:val="clear" w:color="auto" w:fill="auto"/>
            <w:noWrap/>
            <w:vAlign w:val="center"/>
            <w:hideMark/>
          </w:tcPr>
          <w:p w14:paraId="05A7FC2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188068C4"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379</w:t>
            </w:r>
          </w:p>
        </w:tc>
        <w:tc>
          <w:tcPr>
            <w:tcW w:w="1134" w:type="dxa"/>
            <w:shd w:val="clear" w:color="auto" w:fill="auto"/>
            <w:noWrap/>
            <w:vAlign w:val="center"/>
            <w:hideMark/>
          </w:tcPr>
          <w:p w14:paraId="113FD47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451</w:t>
            </w:r>
          </w:p>
        </w:tc>
        <w:tc>
          <w:tcPr>
            <w:tcW w:w="1134" w:type="dxa"/>
            <w:shd w:val="clear" w:color="auto" w:fill="auto"/>
            <w:noWrap/>
            <w:vAlign w:val="center"/>
            <w:hideMark/>
          </w:tcPr>
          <w:p w14:paraId="58C6819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992" w:type="dxa"/>
            <w:shd w:val="clear" w:color="000000" w:fill="E2EFDA"/>
            <w:noWrap/>
            <w:vAlign w:val="center"/>
            <w:hideMark/>
          </w:tcPr>
          <w:p w14:paraId="52676091" w14:textId="77777777" w:rsidR="007672DE" w:rsidRPr="00047CEE" w:rsidRDefault="007672DE" w:rsidP="007672DE">
            <w:pPr>
              <w:jc w:val="right"/>
              <w:rPr>
                <w:rFonts w:ascii="Calibri" w:hAnsi="Calibri"/>
                <w:color w:val="000000"/>
                <w:sz w:val="18"/>
                <w:szCs w:val="18"/>
              </w:rPr>
            </w:pPr>
            <w:r>
              <w:rPr>
                <w:rFonts w:ascii="Calibri" w:hAnsi="Calibri"/>
                <w:color w:val="000000"/>
                <w:sz w:val="18"/>
                <w:szCs w:val="18"/>
              </w:rPr>
              <w:t>-</w:t>
            </w:r>
            <w:r w:rsidRPr="00047CEE">
              <w:rPr>
                <w:rFonts w:ascii="Calibri" w:hAnsi="Calibri"/>
                <w:color w:val="000000"/>
                <w:sz w:val="18"/>
                <w:szCs w:val="18"/>
              </w:rPr>
              <w:t> </w:t>
            </w:r>
          </w:p>
        </w:tc>
        <w:tc>
          <w:tcPr>
            <w:tcW w:w="1244" w:type="dxa"/>
            <w:shd w:val="clear" w:color="000000" w:fill="E2EFDA"/>
            <w:noWrap/>
            <w:vAlign w:val="center"/>
            <w:hideMark/>
          </w:tcPr>
          <w:p w14:paraId="62F0702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589A369F" w14:textId="77777777" w:rsidTr="007672DE">
        <w:trPr>
          <w:trHeight w:val="71"/>
        </w:trPr>
        <w:tc>
          <w:tcPr>
            <w:tcW w:w="2729" w:type="dxa"/>
            <w:shd w:val="clear" w:color="auto" w:fill="auto"/>
            <w:noWrap/>
            <w:vAlign w:val="bottom"/>
            <w:hideMark/>
          </w:tcPr>
          <w:p w14:paraId="112D7EDC"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Repayment of bank loans and other borrowings</w:t>
            </w:r>
          </w:p>
        </w:tc>
        <w:tc>
          <w:tcPr>
            <w:tcW w:w="1085" w:type="dxa"/>
            <w:shd w:val="clear" w:color="auto" w:fill="auto"/>
            <w:noWrap/>
            <w:vAlign w:val="center"/>
            <w:hideMark/>
          </w:tcPr>
          <w:p w14:paraId="1968766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-104</w:t>
            </w:r>
          </w:p>
        </w:tc>
        <w:tc>
          <w:tcPr>
            <w:tcW w:w="1148" w:type="dxa"/>
            <w:shd w:val="clear" w:color="auto" w:fill="auto"/>
            <w:noWrap/>
            <w:vAlign w:val="center"/>
            <w:hideMark/>
          </w:tcPr>
          <w:p w14:paraId="5793BF1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-80</w:t>
            </w:r>
          </w:p>
        </w:tc>
        <w:tc>
          <w:tcPr>
            <w:tcW w:w="1134" w:type="dxa"/>
            <w:shd w:val="clear" w:color="auto" w:fill="auto"/>
            <w:noWrap/>
            <w:vAlign w:val="center"/>
            <w:hideMark/>
          </w:tcPr>
          <w:p w14:paraId="5A159AA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-142</w:t>
            </w:r>
          </w:p>
        </w:tc>
        <w:tc>
          <w:tcPr>
            <w:tcW w:w="1134" w:type="dxa"/>
            <w:shd w:val="clear" w:color="auto" w:fill="auto"/>
            <w:noWrap/>
            <w:vAlign w:val="center"/>
            <w:hideMark/>
          </w:tcPr>
          <w:p w14:paraId="09DA202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-220</w:t>
            </w:r>
          </w:p>
        </w:tc>
        <w:tc>
          <w:tcPr>
            <w:tcW w:w="1134" w:type="dxa"/>
            <w:shd w:val="clear" w:color="auto" w:fill="auto"/>
            <w:noWrap/>
            <w:vAlign w:val="center"/>
            <w:hideMark/>
          </w:tcPr>
          <w:p w14:paraId="10114AB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992" w:type="dxa"/>
            <w:shd w:val="clear" w:color="000000" w:fill="E2EFDA"/>
            <w:noWrap/>
            <w:vAlign w:val="center"/>
            <w:hideMark/>
          </w:tcPr>
          <w:p w14:paraId="026B5B2C" w14:textId="77777777" w:rsidR="007672DE" w:rsidRPr="00047CEE" w:rsidRDefault="007672DE" w:rsidP="007672DE">
            <w:pPr>
              <w:jc w:val="right"/>
              <w:rPr>
                <w:rFonts w:ascii="Calibri" w:hAnsi="Calibri"/>
                <w:color w:val="000000"/>
                <w:sz w:val="18"/>
                <w:szCs w:val="18"/>
              </w:rPr>
            </w:pPr>
            <w:r>
              <w:rPr>
                <w:rFonts w:ascii="Calibri" w:hAnsi="Calibri"/>
                <w:color w:val="000000"/>
                <w:sz w:val="18"/>
                <w:szCs w:val="18"/>
              </w:rPr>
              <w:t>-</w:t>
            </w:r>
            <w:r w:rsidRPr="00047CEE">
              <w:rPr>
                <w:rFonts w:ascii="Calibri" w:hAnsi="Calibri"/>
                <w:color w:val="000000"/>
                <w:sz w:val="18"/>
                <w:szCs w:val="18"/>
              </w:rPr>
              <w:t> </w:t>
            </w:r>
          </w:p>
        </w:tc>
        <w:tc>
          <w:tcPr>
            <w:tcW w:w="1244" w:type="dxa"/>
            <w:shd w:val="clear" w:color="000000" w:fill="E2EFDA"/>
            <w:noWrap/>
            <w:vAlign w:val="center"/>
            <w:hideMark/>
          </w:tcPr>
          <w:p w14:paraId="6B95458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5044FA74" w14:textId="77777777" w:rsidTr="007672DE">
        <w:trPr>
          <w:trHeight w:val="71"/>
        </w:trPr>
        <w:tc>
          <w:tcPr>
            <w:tcW w:w="2729" w:type="dxa"/>
            <w:shd w:val="clear" w:color="auto" w:fill="auto"/>
            <w:noWrap/>
            <w:vAlign w:val="bottom"/>
            <w:hideMark/>
          </w:tcPr>
          <w:p w14:paraId="2F2E6108"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Repayment of capital element of finance leases</w:t>
            </w:r>
          </w:p>
        </w:tc>
        <w:tc>
          <w:tcPr>
            <w:tcW w:w="1085" w:type="dxa"/>
            <w:shd w:val="clear" w:color="auto" w:fill="auto"/>
            <w:noWrap/>
            <w:vAlign w:val="center"/>
            <w:hideMark/>
          </w:tcPr>
          <w:p w14:paraId="214D3FA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-8</w:t>
            </w:r>
          </w:p>
        </w:tc>
        <w:tc>
          <w:tcPr>
            <w:tcW w:w="1148" w:type="dxa"/>
            <w:shd w:val="clear" w:color="auto" w:fill="auto"/>
            <w:noWrap/>
            <w:vAlign w:val="center"/>
            <w:hideMark/>
          </w:tcPr>
          <w:p w14:paraId="2B8EE78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-11</w:t>
            </w:r>
          </w:p>
        </w:tc>
        <w:tc>
          <w:tcPr>
            <w:tcW w:w="1134" w:type="dxa"/>
            <w:shd w:val="clear" w:color="auto" w:fill="auto"/>
            <w:noWrap/>
            <w:vAlign w:val="center"/>
            <w:hideMark/>
          </w:tcPr>
          <w:p w14:paraId="24549F9A"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-98</w:t>
            </w:r>
          </w:p>
        </w:tc>
        <w:tc>
          <w:tcPr>
            <w:tcW w:w="1134" w:type="dxa"/>
            <w:shd w:val="clear" w:color="auto" w:fill="auto"/>
            <w:noWrap/>
            <w:vAlign w:val="center"/>
            <w:hideMark/>
          </w:tcPr>
          <w:p w14:paraId="5D7B98F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-7</w:t>
            </w:r>
          </w:p>
        </w:tc>
        <w:tc>
          <w:tcPr>
            <w:tcW w:w="1134" w:type="dxa"/>
            <w:shd w:val="clear" w:color="auto" w:fill="auto"/>
            <w:noWrap/>
            <w:vAlign w:val="center"/>
            <w:hideMark/>
          </w:tcPr>
          <w:p w14:paraId="69A7C9D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-6</w:t>
            </w:r>
          </w:p>
        </w:tc>
        <w:tc>
          <w:tcPr>
            <w:tcW w:w="992" w:type="dxa"/>
            <w:shd w:val="clear" w:color="000000" w:fill="E2EFDA"/>
            <w:noWrap/>
            <w:vAlign w:val="center"/>
            <w:hideMark/>
          </w:tcPr>
          <w:p w14:paraId="64F6367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-14%</w:t>
            </w:r>
          </w:p>
        </w:tc>
        <w:tc>
          <w:tcPr>
            <w:tcW w:w="1244" w:type="dxa"/>
            <w:shd w:val="clear" w:color="000000" w:fill="E2EFDA"/>
            <w:noWrap/>
            <w:vAlign w:val="center"/>
            <w:hideMark/>
          </w:tcPr>
          <w:p w14:paraId="5494170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-6.94%</w:t>
            </w:r>
          </w:p>
        </w:tc>
      </w:tr>
      <w:tr w:rsidR="007672DE" w:rsidRPr="00047CEE" w14:paraId="19358F63" w14:textId="77777777" w:rsidTr="007672DE">
        <w:trPr>
          <w:trHeight w:val="71"/>
        </w:trPr>
        <w:tc>
          <w:tcPr>
            <w:tcW w:w="2729" w:type="dxa"/>
            <w:shd w:val="clear" w:color="auto" w:fill="auto"/>
            <w:noWrap/>
            <w:vAlign w:val="bottom"/>
            <w:hideMark/>
          </w:tcPr>
          <w:p w14:paraId="01491ED8"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Net (increase)/decrease in money market deposits</w:t>
            </w:r>
          </w:p>
        </w:tc>
        <w:tc>
          <w:tcPr>
            <w:tcW w:w="1085" w:type="dxa"/>
            <w:shd w:val="clear" w:color="auto" w:fill="auto"/>
            <w:noWrap/>
            <w:vAlign w:val="center"/>
            <w:hideMark/>
          </w:tcPr>
          <w:p w14:paraId="6D30EAC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-338</w:t>
            </w:r>
          </w:p>
        </w:tc>
        <w:tc>
          <w:tcPr>
            <w:tcW w:w="1148" w:type="dxa"/>
            <w:shd w:val="clear" w:color="auto" w:fill="auto"/>
            <w:noWrap/>
            <w:vAlign w:val="center"/>
            <w:hideMark/>
          </w:tcPr>
          <w:p w14:paraId="08AAE75A"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1F7A22A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2B90ABBA"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6818BB7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992" w:type="dxa"/>
            <w:shd w:val="clear" w:color="000000" w:fill="E2EFDA"/>
            <w:noWrap/>
            <w:vAlign w:val="center"/>
            <w:hideMark/>
          </w:tcPr>
          <w:p w14:paraId="17DD77BD"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244" w:type="dxa"/>
            <w:shd w:val="clear" w:color="000000" w:fill="E2EFDA"/>
            <w:noWrap/>
            <w:vAlign w:val="center"/>
            <w:hideMark/>
          </w:tcPr>
          <w:p w14:paraId="2647528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6B01E49D" w14:textId="77777777" w:rsidTr="007672DE">
        <w:trPr>
          <w:trHeight w:val="71"/>
        </w:trPr>
        <w:tc>
          <w:tcPr>
            <w:tcW w:w="2729" w:type="dxa"/>
            <w:shd w:val="clear" w:color="auto" w:fill="auto"/>
            <w:noWrap/>
            <w:vAlign w:val="bottom"/>
            <w:hideMark/>
          </w:tcPr>
          <w:p w14:paraId="36CA7EFD"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Net (increase)/decrease in restricted cash</w:t>
            </w:r>
          </w:p>
        </w:tc>
        <w:tc>
          <w:tcPr>
            <w:tcW w:w="1085" w:type="dxa"/>
            <w:shd w:val="clear" w:color="auto" w:fill="auto"/>
            <w:noWrap/>
            <w:vAlign w:val="center"/>
            <w:hideMark/>
          </w:tcPr>
          <w:p w14:paraId="11768854"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-20</w:t>
            </w:r>
          </w:p>
        </w:tc>
        <w:tc>
          <w:tcPr>
            <w:tcW w:w="1148" w:type="dxa"/>
            <w:shd w:val="clear" w:color="auto" w:fill="auto"/>
            <w:noWrap/>
            <w:vAlign w:val="center"/>
            <w:hideMark/>
          </w:tcPr>
          <w:p w14:paraId="0B58BEE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669F98B3"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13B1F88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2D97087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992" w:type="dxa"/>
            <w:shd w:val="clear" w:color="000000" w:fill="E2EFDA"/>
            <w:noWrap/>
            <w:vAlign w:val="center"/>
            <w:hideMark/>
          </w:tcPr>
          <w:p w14:paraId="162B8489"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244" w:type="dxa"/>
            <w:shd w:val="clear" w:color="000000" w:fill="E2EFDA"/>
            <w:noWrap/>
            <w:vAlign w:val="center"/>
            <w:hideMark/>
          </w:tcPr>
          <w:p w14:paraId="1E88391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4D060FFB" w14:textId="77777777" w:rsidTr="007672DE">
        <w:trPr>
          <w:trHeight w:val="71"/>
        </w:trPr>
        <w:tc>
          <w:tcPr>
            <w:tcW w:w="2729" w:type="dxa"/>
            <w:shd w:val="clear" w:color="auto" w:fill="auto"/>
            <w:noWrap/>
            <w:vAlign w:val="bottom"/>
            <w:hideMark/>
          </w:tcPr>
          <w:p w14:paraId="42AC5804"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Net decrease in restricted cash</w:t>
            </w:r>
          </w:p>
        </w:tc>
        <w:tc>
          <w:tcPr>
            <w:tcW w:w="1085" w:type="dxa"/>
            <w:shd w:val="clear" w:color="auto" w:fill="auto"/>
            <w:noWrap/>
            <w:vAlign w:val="center"/>
            <w:hideMark/>
          </w:tcPr>
          <w:p w14:paraId="68B96A64"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48" w:type="dxa"/>
            <w:shd w:val="clear" w:color="auto" w:fill="auto"/>
            <w:noWrap/>
            <w:vAlign w:val="center"/>
            <w:hideMark/>
          </w:tcPr>
          <w:p w14:paraId="2C336F79"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21</w:t>
            </w:r>
          </w:p>
        </w:tc>
        <w:tc>
          <w:tcPr>
            <w:tcW w:w="1134" w:type="dxa"/>
            <w:shd w:val="clear" w:color="auto" w:fill="auto"/>
            <w:noWrap/>
            <w:vAlign w:val="center"/>
            <w:hideMark/>
          </w:tcPr>
          <w:p w14:paraId="4C48331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6</w:t>
            </w:r>
          </w:p>
        </w:tc>
        <w:tc>
          <w:tcPr>
            <w:tcW w:w="1134" w:type="dxa"/>
            <w:shd w:val="clear" w:color="auto" w:fill="auto"/>
            <w:noWrap/>
            <w:vAlign w:val="center"/>
            <w:hideMark/>
          </w:tcPr>
          <w:p w14:paraId="08DC29A3"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0135FB8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-4</w:t>
            </w:r>
          </w:p>
        </w:tc>
        <w:tc>
          <w:tcPr>
            <w:tcW w:w="992" w:type="dxa"/>
            <w:shd w:val="clear" w:color="000000" w:fill="E2EFDA"/>
            <w:noWrap/>
            <w:vAlign w:val="center"/>
            <w:hideMark/>
          </w:tcPr>
          <w:p w14:paraId="0EFE3A9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244" w:type="dxa"/>
            <w:shd w:val="clear" w:color="000000" w:fill="E2EFDA"/>
            <w:noWrap/>
            <w:vAlign w:val="center"/>
            <w:hideMark/>
          </w:tcPr>
          <w:p w14:paraId="4A1970B8"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11C5A8CD" w14:textId="77777777" w:rsidTr="007672DE">
        <w:trPr>
          <w:trHeight w:val="71"/>
        </w:trPr>
        <w:tc>
          <w:tcPr>
            <w:tcW w:w="2729" w:type="dxa"/>
            <w:shd w:val="clear" w:color="auto" w:fill="auto"/>
            <w:noWrap/>
            <w:vAlign w:val="bottom"/>
            <w:hideMark/>
          </w:tcPr>
          <w:p w14:paraId="7C9FFD20"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Net increase in restricted cash</w:t>
            </w:r>
          </w:p>
        </w:tc>
        <w:tc>
          <w:tcPr>
            <w:tcW w:w="1085" w:type="dxa"/>
            <w:shd w:val="clear" w:color="auto" w:fill="auto"/>
            <w:noWrap/>
            <w:vAlign w:val="center"/>
            <w:hideMark/>
          </w:tcPr>
          <w:p w14:paraId="20BEB8E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48" w:type="dxa"/>
            <w:shd w:val="clear" w:color="auto" w:fill="auto"/>
            <w:noWrap/>
            <w:vAlign w:val="center"/>
            <w:hideMark/>
          </w:tcPr>
          <w:p w14:paraId="4FC733C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281A414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1247B89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134" w:type="dxa"/>
            <w:shd w:val="clear" w:color="auto" w:fill="auto"/>
            <w:noWrap/>
            <w:vAlign w:val="center"/>
            <w:hideMark/>
          </w:tcPr>
          <w:p w14:paraId="6480F9E7"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-4</w:t>
            </w:r>
          </w:p>
        </w:tc>
        <w:tc>
          <w:tcPr>
            <w:tcW w:w="992" w:type="dxa"/>
            <w:shd w:val="clear" w:color="000000" w:fill="E2EFDA"/>
            <w:noWrap/>
            <w:vAlign w:val="center"/>
            <w:hideMark/>
          </w:tcPr>
          <w:p w14:paraId="43000196"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c>
          <w:tcPr>
            <w:tcW w:w="1244" w:type="dxa"/>
            <w:shd w:val="clear" w:color="000000" w:fill="E2EFDA"/>
            <w:noWrap/>
            <w:vAlign w:val="center"/>
            <w:hideMark/>
          </w:tcPr>
          <w:p w14:paraId="7249BC3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0D675598" w14:textId="77777777" w:rsidTr="007672DE">
        <w:trPr>
          <w:trHeight w:val="71"/>
        </w:trPr>
        <w:tc>
          <w:tcPr>
            <w:tcW w:w="2729" w:type="dxa"/>
            <w:shd w:val="clear" w:color="000000" w:fill="FCE4D6"/>
            <w:noWrap/>
            <w:vAlign w:val="bottom"/>
            <w:hideMark/>
          </w:tcPr>
          <w:p w14:paraId="66E983D5" w14:textId="77777777" w:rsidR="007672DE" w:rsidRPr="00047CEE" w:rsidRDefault="007672DE" w:rsidP="007672DE">
            <w:pPr>
              <w:rPr>
                <w:rFonts w:ascii="Calibri" w:hAnsi="Calibri"/>
                <w:b/>
                <w:bCs/>
                <w:color w:val="000000"/>
                <w:sz w:val="18"/>
                <w:szCs w:val="18"/>
              </w:rPr>
            </w:pPr>
            <w:r w:rsidRPr="00047CEE">
              <w:rPr>
                <w:rFonts w:ascii="Calibri" w:hAnsi="Calibri"/>
                <w:b/>
                <w:bCs/>
                <w:color w:val="000000"/>
                <w:sz w:val="18"/>
                <w:szCs w:val="18"/>
              </w:rPr>
              <w:t>Net cash (used by)/generated from financing activities</w:t>
            </w:r>
          </w:p>
        </w:tc>
        <w:tc>
          <w:tcPr>
            <w:tcW w:w="1085" w:type="dxa"/>
            <w:shd w:val="clear" w:color="000000" w:fill="FCE4D6"/>
            <w:noWrap/>
            <w:vAlign w:val="center"/>
            <w:hideMark/>
          </w:tcPr>
          <w:p w14:paraId="27736789"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-526</w:t>
            </w:r>
          </w:p>
        </w:tc>
        <w:tc>
          <w:tcPr>
            <w:tcW w:w="1148" w:type="dxa"/>
            <w:shd w:val="clear" w:color="000000" w:fill="FCE4D6"/>
            <w:noWrap/>
            <w:vAlign w:val="center"/>
            <w:hideMark/>
          </w:tcPr>
          <w:p w14:paraId="1157AE7E"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-161</w:t>
            </w:r>
          </w:p>
        </w:tc>
        <w:tc>
          <w:tcPr>
            <w:tcW w:w="1134" w:type="dxa"/>
            <w:shd w:val="clear" w:color="000000" w:fill="FCE4D6"/>
            <w:noWrap/>
            <w:vAlign w:val="center"/>
            <w:hideMark/>
          </w:tcPr>
          <w:p w14:paraId="6BCDC255"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123</w:t>
            </w:r>
          </w:p>
        </w:tc>
        <w:tc>
          <w:tcPr>
            <w:tcW w:w="1134" w:type="dxa"/>
            <w:shd w:val="clear" w:color="000000" w:fill="FCE4D6"/>
            <w:noWrap/>
            <w:vAlign w:val="center"/>
            <w:hideMark/>
          </w:tcPr>
          <w:p w14:paraId="4FA51750"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214</w:t>
            </w:r>
          </w:p>
        </w:tc>
        <w:tc>
          <w:tcPr>
            <w:tcW w:w="1134" w:type="dxa"/>
            <w:shd w:val="clear" w:color="000000" w:fill="FCE4D6"/>
            <w:noWrap/>
            <w:vAlign w:val="center"/>
            <w:hideMark/>
          </w:tcPr>
          <w:p w14:paraId="0B7C2937"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-31</w:t>
            </w:r>
          </w:p>
        </w:tc>
        <w:tc>
          <w:tcPr>
            <w:tcW w:w="992" w:type="dxa"/>
            <w:shd w:val="clear" w:color="000000" w:fill="C6E0B4"/>
            <w:noWrap/>
            <w:vAlign w:val="center"/>
            <w:hideMark/>
          </w:tcPr>
          <w:p w14:paraId="3545CB98"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-114%</w:t>
            </w:r>
          </w:p>
        </w:tc>
        <w:tc>
          <w:tcPr>
            <w:tcW w:w="1244" w:type="dxa"/>
            <w:shd w:val="clear" w:color="000000" w:fill="C6E0B4"/>
            <w:noWrap/>
            <w:vAlign w:val="center"/>
            <w:hideMark/>
          </w:tcPr>
          <w:p w14:paraId="51A04AED"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-51%</w:t>
            </w:r>
          </w:p>
        </w:tc>
      </w:tr>
      <w:tr w:rsidR="007672DE" w:rsidRPr="00047CEE" w14:paraId="74F7FC88" w14:textId="77777777" w:rsidTr="007672DE">
        <w:trPr>
          <w:trHeight w:val="71"/>
        </w:trPr>
        <w:tc>
          <w:tcPr>
            <w:tcW w:w="2729" w:type="dxa"/>
            <w:shd w:val="clear" w:color="auto" w:fill="auto"/>
            <w:noWrap/>
            <w:vAlign w:val="bottom"/>
            <w:hideMark/>
          </w:tcPr>
          <w:p w14:paraId="504B667C"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Effect of exchange rate changes</w:t>
            </w:r>
          </w:p>
        </w:tc>
        <w:tc>
          <w:tcPr>
            <w:tcW w:w="1085" w:type="dxa"/>
            <w:shd w:val="clear" w:color="auto" w:fill="auto"/>
            <w:noWrap/>
            <w:vAlign w:val="center"/>
            <w:hideMark/>
          </w:tcPr>
          <w:p w14:paraId="77A77AB6"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-12</w:t>
            </w:r>
          </w:p>
        </w:tc>
        <w:tc>
          <w:tcPr>
            <w:tcW w:w="1148" w:type="dxa"/>
            <w:shd w:val="clear" w:color="auto" w:fill="auto"/>
            <w:noWrap/>
            <w:vAlign w:val="center"/>
            <w:hideMark/>
          </w:tcPr>
          <w:p w14:paraId="6F1B85E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33</w:t>
            </w:r>
          </w:p>
        </w:tc>
        <w:tc>
          <w:tcPr>
            <w:tcW w:w="1134" w:type="dxa"/>
            <w:shd w:val="clear" w:color="auto" w:fill="auto"/>
            <w:noWrap/>
            <w:vAlign w:val="center"/>
            <w:hideMark/>
          </w:tcPr>
          <w:p w14:paraId="0DEC335A"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95</w:t>
            </w:r>
          </w:p>
        </w:tc>
        <w:tc>
          <w:tcPr>
            <w:tcW w:w="1134" w:type="dxa"/>
            <w:shd w:val="clear" w:color="auto" w:fill="auto"/>
            <w:noWrap/>
            <w:vAlign w:val="center"/>
            <w:hideMark/>
          </w:tcPr>
          <w:p w14:paraId="397ACE1A"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w:t>
            </w:r>
          </w:p>
        </w:tc>
        <w:tc>
          <w:tcPr>
            <w:tcW w:w="1134" w:type="dxa"/>
            <w:shd w:val="clear" w:color="auto" w:fill="auto"/>
            <w:noWrap/>
            <w:vAlign w:val="center"/>
            <w:hideMark/>
          </w:tcPr>
          <w:p w14:paraId="37417D15"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17</w:t>
            </w:r>
          </w:p>
        </w:tc>
        <w:tc>
          <w:tcPr>
            <w:tcW w:w="992" w:type="dxa"/>
            <w:shd w:val="clear" w:color="000000" w:fill="E2EFDA"/>
            <w:noWrap/>
            <w:vAlign w:val="center"/>
            <w:hideMark/>
          </w:tcPr>
          <w:p w14:paraId="66686CF6"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-950%</w:t>
            </w:r>
          </w:p>
        </w:tc>
        <w:tc>
          <w:tcPr>
            <w:tcW w:w="1244" w:type="dxa"/>
            <w:shd w:val="clear" w:color="000000" w:fill="E2EFDA"/>
            <w:noWrap/>
            <w:vAlign w:val="center"/>
            <w:hideMark/>
          </w:tcPr>
          <w:p w14:paraId="4F290D81"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3D2F2379" w14:textId="77777777" w:rsidTr="007672DE">
        <w:trPr>
          <w:trHeight w:val="320"/>
        </w:trPr>
        <w:tc>
          <w:tcPr>
            <w:tcW w:w="2729" w:type="dxa"/>
            <w:shd w:val="clear" w:color="auto" w:fill="auto"/>
            <w:noWrap/>
            <w:vAlign w:val="bottom"/>
            <w:hideMark/>
          </w:tcPr>
          <w:p w14:paraId="689FD21C"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Net increase/decrease in cash and cash equivalents</w:t>
            </w:r>
          </w:p>
        </w:tc>
        <w:tc>
          <w:tcPr>
            <w:tcW w:w="1085" w:type="dxa"/>
            <w:shd w:val="clear" w:color="auto" w:fill="auto"/>
            <w:noWrap/>
            <w:vAlign w:val="center"/>
            <w:hideMark/>
          </w:tcPr>
          <w:p w14:paraId="564C5AC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-589</w:t>
            </w:r>
          </w:p>
        </w:tc>
        <w:tc>
          <w:tcPr>
            <w:tcW w:w="1148" w:type="dxa"/>
            <w:shd w:val="clear" w:color="auto" w:fill="auto"/>
            <w:noWrap/>
            <w:vAlign w:val="center"/>
            <w:hideMark/>
          </w:tcPr>
          <w:p w14:paraId="4A447A7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226</w:t>
            </w:r>
          </w:p>
        </w:tc>
        <w:tc>
          <w:tcPr>
            <w:tcW w:w="1134" w:type="dxa"/>
            <w:shd w:val="clear" w:color="auto" w:fill="auto"/>
            <w:noWrap/>
            <w:vAlign w:val="center"/>
            <w:hideMark/>
          </w:tcPr>
          <w:p w14:paraId="401BC53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64</w:t>
            </w:r>
          </w:p>
        </w:tc>
        <w:tc>
          <w:tcPr>
            <w:tcW w:w="1134" w:type="dxa"/>
            <w:shd w:val="clear" w:color="auto" w:fill="auto"/>
            <w:noWrap/>
            <w:vAlign w:val="center"/>
            <w:hideMark/>
          </w:tcPr>
          <w:p w14:paraId="046A4EA4"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w:t>
            </w:r>
          </w:p>
        </w:tc>
        <w:tc>
          <w:tcPr>
            <w:tcW w:w="1134" w:type="dxa"/>
            <w:shd w:val="clear" w:color="auto" w:fill="auto"/>
            <w:noWrap/>
            <w:vAlign w:val="center"/>
            <w:hideMark/>
          </w:tcPr>
          <w:p w14:paraId="7D5793C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314</w:t>
            </w:r>
          </w:p>
        </w:tc>
        <w:tc>
          <w:tcPr>
            <w:tcW w:w="992" w:type="dxa"/>
            <w:shd w:val="clear" w:color="000000" w:fill="E2EFDA"/>
            <w:noWrap/>
            <w:vAlign w:val="center"/>
            <w:hideMark/>
          </w:tcPr>
          <w:p w14:paraId="23CC83CC"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-10567%</w:t>
            </w:r>
          </w:p>
        </w:tc>
        <w:tc>
          <w:tcPr>
            <w:tcW w:w="1244" w:type="dxa"/>
            <w:shd w:val="clear" w:color="000000" w:fill="E2EFDA"/>
            <w:noWrap/>
            <w:vAlign w:val="center"/>
            <w:hideMark/>
          </w:tcPr>
          <w:p w14:paraId="77E8E892"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w:t>
            </w:r>
          </w:p>
        </w:tc>
      </w:tr>
      <w:tr w:rsidR="007672DE" w:rsidRPr="00047CEE" w14:paraId="71DC2603" w14:textId="77777777" w:rsidTr="007672DE">
        <w:trPr>
          <w:trHeight w:val="320"/>
        </w:trPr>
        <w:tc>
          <w:tcPr>
            <w:tcW w:w="2729" w:type="dxa"/>
            <w:shd w:val="clear" w:color="auto" w:fill="auto"/>
            <w:noWrap/>
            <w:vAlign w:val="bottom"/>
            <w:hideMark/>
          </w:tcPr>
          <w:p w14:paraId="5470AB4D" w14:textId="77777777" w:rsidR="007672DE" w:rsidRPr="00047CEE" w:rsidRDefault="007672DE" w:rsidP="007672DE">
            <w:pPr>
              <w:rPr>
                <w:rFonts w:ascii="Calibri" w:hAnsi="Calibri"/>
                <w:color w:val="000000"/>
                <w:sz w:val="18"/>
                <w:szCs w:val="18"/>
              </w:rPr>
            </w:pPr>
            <w:r w:rsidRPr="00047CEE">
              <w:rPr>
                <w:rFonts w:ascii="Calibri" w:hAnsi="Calibri"/>
                <w:color w:val="000000"/>
                <w:sz w:val="18"/>
                <w:szCs w:val="18"/>
              </w:rPr>
              <w:t>Cash and cash equivalents at beginning of year</w:t>
            </w:r>
          </w:p>
        </w:tc>
        <w:tc>
          <w:tcPr>
            <w:tcW w:w="1085" w:type="dxa"/>
            <w:shd w:val="clear" w:color="auto" w:fill="auto"/>
            <w:noWrap/>
            <w:vAlign w:val="center"/>
            <w:hideMark/>
          </w:tcPr>
          <w:p w14:paraId="01689AB8"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1,013</w:t>
            </w:r>
          </w:p>
        </w:tc>
        <w:tc>
          <w:tcPr>
            <w:tcW w:w="1148" w:type="dxa"/>
            <w:shd w:val="clear" w:color="auto" w:fill="auto"/>
            <w:noWrap/>
            <w:vAlign w:val="center"/>
            <w:hideMark/>
          </w:tcPr>
          <w:p w14:paraId="25042DFB"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424</w:t>
            </w:r>
          </w:p>
        </w:tc>
        <w:tc>
          <w:tcPr>
            <w:tcW w:w="1134" w:type="dxa"/>
            <w:shd w:val="clear" w:color="auto" w:fill="auto"/>
            <w:noWrap/>
            <w:vAlign w:val="center"/>
            <w:hideMark/>
          </w:tcPr>
          <w:p w14:paraId="2C64C550"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650</w:t>
            </w:r>
          </w:p>
        </w:tc>
        <w:tc>
          <w:tcPr>
            <w:tcW w:w="1134" w:type="dxa"/>
            <w:shd w:val="clear" w:color="auto" w:fill="auto"/>
            <w:noWrap/>
            <w:vAlign w:val="center"/>
            <w:hideMark/>
          </w:tcPr>
          <w:p w14:paraId="30F245D9"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714</w:t>
            </w:r>
          </w:p>
        </w:tc>
        <w:tc>
          <w:tcPr>
            <w:tcW w:w="1134" w:type="dxa"/>
            <w:shd w:val="clear" w:color="auto" w:fill="auto"/>
            <w:noWrap/>
            <w:vAlign w:val="center"/>
            <w:hideMark/>
          </w:tcPr>
          <w:p w14:paraId="596E655E"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711</w:t>
            </w:r>
          </w:p>
        </w:tc>
        <w:tc>
          <w:tcPr>
            <w:tcW w:w="992" w:type="dxa"/>
            <w:shd w:val="clear" w:color="000000" w:fill="E2EFDA"/>
            <w:noWrap/>
            <w:vAlign w:val="center"/>
            <w:hideMark/>
          </w:tcPr>
          <w:p w14:paraId="7B33ACEF"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0%</w:t>
            </w:r>
          </w:p>
        </w:tc>
        <w:tc>
          <w:tcPr>
            <w:tcW w:w="1244" w:type="dxa"/>
            <w:shd w:val="clear" w:color="000000" w:fill="E2EFDA"/>
            <w:noWrap/>
            <w:vAlign w:val="center"/>
            <w:hideMark/>
          </w:tcPr>
          <w:p w14:paraId="087E56FF" w14:textId="77777777" w:rsidR="007672DE" w:rsidRPr="00047CEE" w:rsidRDefault="007672DE" w:rsidP="007672DE">
            <w:pPr>
              <w:jc w:val="right"/>
              <w:rPr>
                <w:rFonts w:ascii="Calibri" w:hAnsi="Calibri"/>
                <w:color w:val="000000"/>
                <w:sz w:val="18"/>
                <w:szCs w:val="18"/>
              </w:rPr>
            </w:pPr>
            <w:r w:rsidRPr="00047CEE">
              <w:rPr>
                <w:rFonts w:ascii="Calibri" w:hAnsi="Calibri"/>
                <w:color w:val="000000"/>
                <w:sz w:val="18"/>
                <w:szCs w:val="18"/>
              </w:rPr>
              <w:t>-8.47%</w:t>
            </w:r>
          </w:p>
        </w:tc>
      </w:tr>
      <w:tr w:rsidR="007672DE" w:rsidRPr="00047CEE" w14:paraId="6C831F5E" w14:textId="77777777" w:rsidTr="007672DE">
        <w:trPr>
          <w:trHeight w:val="320"/>
        </w:trPr>
        <w:tc>
          <w:tcPr>
            <w:tcW w:w="2729" w:type="dxa"/>
            <w:shd w:val="clear" w:color="000000" w:fill="FCE4D6"/>
            <w:noWrap/>
            <w:vAlign w:val="bottom"/>
            <w:hideMark/>
          </w:tcPr>
          <w:p w14:paraId="25AB35D4" w14:textId="77777777" w:rsidR="007672DE" w:rsidRPr="00047CEE" w:rsidRDefault="007672DE" w:rsidP="007672DE">
            <w:pPr>
              <w:rPr>
                <w:rFonts w:ascii="Calibri" w:hAnsi="Calibri"/>
                <w:b/>
                <w:bCs/>
                <w:color w:val="000000"/>
                <w:sz w:val="18"/>
                <w:szCs w:val="18"/>
              </w:rPr>
            </w:pPr>
            <w:r w:rsidRPr="00047CEE">
              <w:rPr>
                <w:rFonts w:ascii="Calibri" w:hAnsi="Calibri"/>
                <w:b/>
                <w:bCs/>
                <w:color w:val="000000"/>
                <w:sz w:val="18"/>
                <w:szCs w:val="18"/>
              </w:rPr>
              <w:t>Cash and cash equivalents at end of year</w:t>
            </w:r>
          </w:p>
        </w:tc>
        <w:tc>
          <w:tcPr>
            <w:tcW w:w="1085" w:type="dxa"/>
            <w:shd w:val="clear" w:color="000000" w:fill="FCE4D6"/>
            <w:noWrap/>
            <w:vAlign w:val="center"/>
            <w:hideMark/>
          </w:tcPr>
          <w:p w14:paraId="343CDFDB"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424</w:t>
            </w:r>
          </w:p>
        </w:tc>
        <w:tc>
          <w:tcPr>
            <w:tcW w:w="1148" w:type="dxa"/>
            <w:shd w:val="clear" w:color="000000" w:fill="FCE4D6"/>
            <w:noWrap/>
            <w:vAlign w:val="center"/>
            <w:hideMark/>
          </w:tcPr>
          <w:p w14:paraId="1E64A63C"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650</w:t>
            </w:r>
          </w:p>
        </w:tc>
        <w:tc>
          <w:tcPr>
            <w:tcW w:w="1134" w:type="dxa"/>
            <w:shd w:val="clear" w:color="000000" w:fill="FCE4D6"/>
            <w:noWrap/>
            <w:vAlign w:val="center"/>
            <w:hideMark/>
          </w:tcPr>
          <w:p w14:paraId="1649FED3"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714</w:t>
            </w:r>
          </w:p>
        </w:tc>
        <w:tc>
          <w:tcPr>
            <w:tcW w:w="1134" w:type="dxa"/>
            <w:shd w:val="clear" w:color="000000" w:fill="FCE4D6"/>
            <w:noWrap/>
            <w:vAlign w:val="center"/>
            <w:hideMark/>
          </w:tcPr>
          <w:p w14:paraId="2FC1B2E1"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711</w:t>
            </w:r>
          </w:p>
        </w:tc>
        <w:tc>
          <w:tcPr>
            <w:tcW w:w="1134" w:type="dxa"/>
            <w:shd w:val="clear" w:color="000000" w:fill="FCE4D6"/>
            <w:noWrap/>
            <w:vAlign w:val="center"/>
            <w:hideMark/>
          </w:tcPr>
          <w:p w14:paraId="34F82D7E"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1,025</w:t>
            </w:r>
          </w:p>
        </w:tc>
        <w:tc>
          <w:tcPr>
            <w:tcW w:w="992" w:type="dxa"/>
            <w:shd w:val="clear" w:color="000000" w:fill="C6E0B4"/>
            <w:noWrap/>
            <w:vAlign w:val="center"/>
            <w:hideMark/>
          </w:tcPr>
          <w:p w14:paraId="2FF606C1"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44%</w:t>
            </w:r>
          </w:p>
        </w:tc>
        <w:tc>
          <w:tcPr>
            <w:tcW w:w="1244" w:type="dxa"/>
            <w:shd w:val="clear" w:color="000000" w:fill="C6E0B4"/>
            <w:noWrap/>
            <w:vAlign w:val="center"/>
            <w:hideMark/>
          </w:tcPr>
          <w:p w14:paraId="0C6DD4A3" w14:textId="77777777" w:rsidR="007672DE" w:rsidRPr="00047CEE" w:rsidRDefault="007672DE" w:rsidP="007672DE">
            <w:pPr>
              <w:jc w:val="right"/>
              <w:rPr>
                <w:rFonts w:ascii="Calibri" w:hAnsi="Calibri"/>
                <w:b/>
                <w:bCs/>
                <w:color w:val="000000"/>
                <w:sz w:val="18"/>
                <w:szCs w:val="18"/>
              </w:rPr>
            </w:pPr>
            <w:r w:rsidRPr="00047CEE">
              <w:rPr>
                <w:rFonts w:ascii="Calibri" w:hAnsi="Calibri"/>
                <w:b/>
                <w:bCs/>
                <w:color w:val="000000"/>
                <w:sz w:val="18"/>
                <w:szCs w:val="18"/>
              </w:rPr>
              <w:t>25%</w:t>
            </w:r>
          </w:p>
        </w:tc>
      </w:tr>
    </w:tbl>
    <w:p w14:paraId="7D575527" w14:textId="77777777" w:rsidR="007672DE" w:rsidRDefault="007672DE" w:rsidP="007672DE">
      <w:pPr>
        <w:tabs>
          <w:tab w:val="left" w:pos="1134"/>
        </w:tabs>
        <w:ind w:left="-709"/>
        <w:rPr>
          <w:rFonts w:ascii="Times" w:hAnsi="Times"/>
        </w:rPr>
      </w:pPr>
    </w:p>
    <w:p w14:paraId="49E470EE" w14:textId="1A6AAAB0" w:rsidR="005371C6" w:rsidRPr="00B837D6" w:rsidRDefault="007672DE" w:rsidP="00B837D6">
      <w:pPr>
        <w:rPr>
          <w:color w:val="000000" w:themeColor="text1"/>
          <w:sz w:val="32"/>
          <w:szCs w:val="24"/>
        </w:rPr>
      </w:pPr>
      <w:r w:rsidRPr="00B837D6">
        <w:rPr>
          <w:rFonts w:ascii="Times" w:hAnsi="Times"/>
          <w:color w:val="000000" w:themeColor="text1"/>
          <w:sz w:val="22"/>
        </w:rPr>
        <w:t>(EasyJet PLC 2014, 2015, 2016, 2017, 2018)</w:t>
      </w:r>
    </w:p>
    <w:p w14:paraId="51E19C1C" w14:textId="77777777" w:rsidR="00483DBC" w:rsidRPr="00B837D6" w:rsidRDefault="00483DBC" w:rsidP="00B837D6">
      <w:pPr>
        <w:rPr>
          <w:color w:val="000000" w:themeColor="text1"/>
          <w:sz w:val="32"/>
          <w:szCs w:val="24"/>
        </w:rPr>
        <w:sectPr w:rsidR="00483DBC" w:rsidRPr="00B837D6" w:rsidSect="007672DE">
          <w:pgSz w:w="12240" w:h="15840"/>
          <w:pgMar w:top="866" w:right="1440" w:bottom="1440" w:left="1440" w:header="708" w:footer="708" w:gutter="0"/>
          <w:cols w:space="708"/>
          <w:docGrid w:linePitch="360"/>
        </w:sectPr>
      </w:pPr>
    </w:p>
    <w:p w14:paraId="572EAECB" w14:textId="6C80F3EC" w:rsidR="005371C6" w:rsidRPr="00243772" w:rsidRDefault="005371C6" w:rsidP="006858CE">
      <w:pPr>
        <w:pStyle w:val="Heading1"/>
        <w:spacing w:before="0" w:after="120"/>
        <w:rPr>
          <w:rFonts w:ascii="Times New Roman" w:hAnsi="Times New Roman" w:cs="Times New Roman"/>
          <w:color w:val="auto"/>
          <w:sz w:val="22"/>
          <w:szCs w:val="24"/>
          <w:u w:val="single"/>
        </w:rPr>
      </w:pPr>
      <w:bookmarkStart w:id="35" w:name="_Toc535615930"/>
      <w:r w:rsidRPr="00B837D6">
        <w:rPr>
          <w:rFonts w:ascii="Times New Roman" w:hAnsi="Times New Roman" w:cs="Times New Roman"/>
          <w:color w:val="auto"/>
          <w:sz w:val="32"/>
          <w:szCs w:val="24"/>
          <w:u w:val="single"/>
        </w:rPr>
        <w:lastRenderedPageBreak/>
        <w:t>Assessment</w:t>
      </w:r>
      <w:r w:rsidR="00DC3C36">
        <w:rPr>
          <w:rFonts w:ascii="Times New Roman" w:hAnsi="Times New Roman" w:cs="Times New Roman"/>
          <w:color w:val="auto"/>
          <w:sz w:val="32"/>
          <w:szCs w:val="24"/>
          <w:u w:val="single"/>
        </w:rPr>
        <w:t xml:space="preserve"> 2</w:t>
      </w:r>
      <w:r w:rsidRPr="00B837D6">
        <w:rPr>
          <w:rFonts w:ascii="Times New Roman" w:hAnsi="Times New Roman" w:cs="Times New Roman"/>
          <w:color w:val="auto"/>
          <w:sz w:val="32"/>
          <w:szCs w:val="24"/>
          <w:u w:val="single"/>
        </w:rPr>
        <w:t xml:space="preserve">: </w:t>
      </w:r>
      <w:r w:rsidR="00483DBC" w:rsidRPr="00B837D6">
        <w:rPr>
          <w:rFonts w:ascii="Times New Roman" w:hAnsi="Times New Roman" w:cs="Times New Roman"/>
          <w:color w:val="auto"/>
          <w:sz w:val="32"/>
          <w:szCs w:val="24"/>
          <w:u w:val="single"/>
        </w:rPr>
        <w:t>James PLC</w:t>
      </w:r>
      <w:bookmarkEnd w:id="35"/>
    </w:p>
    <w:p w14:paraId="34F48CAB" w14:textId="77777777" w:rsidR="001A685B" w:rsidRPr="00243772" w:rsidRDefault="001A685B" w:rsidP="005674F4">
      <w:pPr>
        <w:spacing w:after="120" w:line="274" w:lineRule="auto"/>
        <w:jc w:val="both"/>
        <w:rPr>
          <w:b/>
          <w:sz w:val="22"/>
          <w:szCs w:val="24"/>
        </w:rPr>
      </w:pPr>
      <w:r w:rsidRPr="00243772">
        <w:rPr>
          <w:sz w:val="22"/>
          <w:szCs w:val="24"/>
        </w:rPr>
        <w:t>James Plc, who produce a variety of high quality garden furniture and associated items, is considering whether or not to invest in the potential to expand the business, the directors identifying three main options for a four-year plan:</w:t>
      </w:r>
    </w:p>
    <w:p w14:paraId="24C55DAE" w14:textId="77777777" w:rsidR="001A685B" w:rsidRPr="00243772" w:rsidRDefault="001A685B" w:rsidP="005674F4">
      <w:pPr>
        <w:numPr>
          <w:ilvl w:val="0"/>
          <w:numId w:val="3"/>
        </w:numPr>
        <w:spacing w:line="274" w:lineRule="auto"/>
        <w:jc w:val="both"/>
        <w:rPr>
          <w:sz w:val="22"/>
          <w:szCs w:val="24"/>
        </w:rPr>
      </w:pPr>
      <w:r w:rsidRPr="00243772">
        <w:rPr>
          <w:sz w:val="22"/>
          <w:szCs w:val="24"/>
        </w:rPr>
        <w:t>Expand its flourishing retail outlet to include all products.</w:t>
      </w:r>
    </w:p>
    <w:p w14:paraId="42A7A2B8" w14:textId="77777777" w:rsidR="001A685B" w:rsidRPr="00243772" w:rsidRDefault="001A685B" w:rsidP="005674F4">
      <w:pPr>
        <w:numPr>
          <w:ilvl w:val="0"/>
          <w:numId w:val="3"/>
        </w:numPr>
        <w:spacing w:line="274" w:lineRule="auto"/>
        <w:jc w:val="both"/>
        <w:rPr>
          <w:sz w:val="22"/>
          <w:szCs w:val="24"/>
        </w:rPr>
      </w:pPr>
      <w:r w:rsidRPr="00243772">
        <w:rPr>
          <w:sz w:val="22"/>
          <w:szCs w:val="24"/>
        </w:rPr>
        <w:t>Develop into internet sales.</w:t>
      </w:r>
    </w:p>
    <w:p w14:paraId="341A43C3" w14:textId="77777777" w:rsidR="001A685B" w:rsidRPr="00243772" w:rsidRDefault="001A685B" w:rsidP="005674F4">
      <w:pPr>
        <w:numPr>
          <w:ilvl w:val="0"/>
          <w:numId w:val="3"/>
        </w:numPr>
        <w:spacing w:after="120" w:line="274" w:lineRule="auto"/>
        <w:jc w:val="both"/>
        <w:rPr>
          <w:sz w:val="22"/>
          <w:szCs w:val="24"/>
        </w:rPr>
      </w:pPr>
      <w:r w:rsidRPr="00243772">
        <w:rPr>
          <w:sz w:val="22"/>
          <w:szCs w:val="24"/>
        </w:rPr>
        <w:t>Produce</w:t>
      </w:r>
      <w:r w:rsidR="005674F4" w:rsidRPr="00243772">
        <w:rPr>
          <w:sz w:val="22"/>
          <w:szCs w:val="24"/>
        </w:rPr>
        <w:t xml:space="preserve"> greenhouses and conservatories</w:t>
      </w:r>
    </w:p>
    <w:p w14:paraId="6EA65E4A" w14:textId="77777777" w:rsidR="001A685B" w:rsidRPr="00243772" w:rsidRDefault="001A685B" w:rsidP="005674F4">
      <w:pPr>
        <w:spacing w:after="120" w:line="274" w:lineRule="auto"/>
        <w:jc w:val="both"/>
        <w:rPr>
          <w:sz w:val="22"/>
          <w:szCs w:val="24"/>
        </w:rPr>
      </w:pPr>
      <w:r w:rsidRPr="00243772">
        <w:rPr>
          <w:sz w:val="22"/>
          <w:szCs w:val="24"/>
        </w:rPr>
        <w:t>These options would require initial expenditure of (A) £750,000, (B) £1,200,000, or (C) £2,000,000.  The most recent estimates on year-end cash flows is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914"/>
        <w:gridCol w:w="1914"/>
        <w:gridCol w:w="1914"/>
        <w:gridCol w:w="1914"/>
      </w:tblGrid>
      <w:tr w:rsidR="001A685B" w:rsidRPr="00243772" w14:paraId="3B92A1B4" w14:textId="77777777" w:rsidTr="005674F4">
        <w:tc>
          <w:tcPr>
            <w:tcW w:w="1812" w:type="dxa"/>
            <w:tcBorders>
              <w:top w:val="nil"/>
              <w:left w:val="nil"/>
              <w:bottom w:val="nil"/>
              <w:right w:val="single" w:sz="4" w:space="0" w:color="auto"/>
            </w:tcBorders>
            <w:shd w:val="clear" w:color="auto" w:fill="auto"/>
          </w:tcPr>
          <w:p w14:paraId="7F7C1D89" w14:textId="77777777" w:rsidR="001A685B" w:rsidRPr="00243772" w:rsidRDefault="001A685B" w:rsidP="005674F4">
            <w:pPr>
              <w:contextualSpacing/>
              <w:jc w:val="center"/>
              <w:rPr>
                <w:b/>
                <w:sz w:val="22"/>
                <w:szCs w:val="24"/>
              </w:rPr>
            </w:pPr>
          </w:p>
        </w:tc>
        <w:tc>
          <w:tcPr>
            <w:tcW w:w="1914" w:type="dxa"/>
            <w:tcBorders>
              <w:left w:val="single" w:sz="4" w:space="0" w:color="auto"/>
            </w:tcBorders>
            <w:shd w:val="clear" w:color="auto" w:fill="auto"/>
          </w:tcPr>
          <w:p w14:paraId="57861D42" w14:textId="77777777" w:rsidR="001A685B" w:rsidRPr="00243772" w:rsidRDefault="001A685B" w:rsidP="005674F4">
            <w:pPr>
              <w:contextualSpacing/>
              <w:jc w:val="center"/>
              <w:rPr>
                <w:b/>
                <w:sz w:val="22"/>
                <w:szCs w:val="24"/>
              </w:rPr>
            </w:pPr>
            <w:r w:rsidRPr="00243772">
              <w:rPr>
                <w:b/>
                <w:sz w:val="22"/>
                <w:szCs w:val="24"/>
              </w:rPr>
              <w:t>Year 1</w:t>
            </w:r>
          </w:p>
        </w:tc>
        <w:tc>
          <w:tcPr>
            <w:tcW w:w="1914" w:type="dxa"/>
            <w:shd w:val="clear" w:color="auto" w:fill="auto"/>
          </w:tcPr>
          <w:p w14:paraId="4F1D5CFE" w14:textId="77777777" w:rsidR="001A685B" w:rsidRPr="00243772" w:rsidRDefault="001A685B" w:rsidP="005674F4">
            <w:pPr>
              <w:contextualSpacing/>
              <w:jc w:val="center"/>
              <w:rPr>
                <w:b/>
                <w:sz w:val="22"/>
                <w:szCs w:val="24"/>
              </w:rPr>
            </w:pPr>
            <w:r w:rsidRPr="00243772">
              <w:rPr>
                <w:b/>
                <w:sz w:val="22"/>
                <w:szCs w:val="24"/>
              </w:rPr>
              <w:t>Year 2</w:t>
            </w:r>
          </w:p>
        </w:tc>
        <w:tc>
          <w:tcPr>
            <w:tcW w:w="1914" w:type="dxa"/>
            <w:shd w:val="clear" w:color="auto" w:fill="auto"/>
          </w:tcPr>
          <w:p w14:paraId="34856B51" w14:textId="77777777" w:rsidR="001A685B" w:rsidRPr="00243772" w:rsidRDefault="001A685B" w:rsidP="005674F4">
            <w:pPr>
              <w:contextualSpacing/>
              <w:jc w:val="center"/>
              <w:rPr>
                <w:b/>
                <w:sz w:val="22"/>
                <w:szCs w:val="24"/>
              </w:rPr>
            </w:pPr>
            <w:r w:rsidRPr="00243772">
              <w:rPr>
                <w:b/>
                <w:sz w:val="22"/>
                <w:szCs w:val="24"/>
              </w:rPr>
              <w:t>Year 3</w:t>
            </w:r>
          </w:p>
        </w:tc>
        <w:tc>
          <w:tcPr>
            <w:tcW w:w="1914" w:type="dxa"/>
            <w:shd w:val="clear" w:color="auto" w:fill="auto"/>
          </w:tcPr>
          <w:p w14:paraId="7D72E39B" w14:textId="77777777" w:rsidR="001A685B" w:rsidRPr="00243772" w:rsidRDefault="001A685B" w:rsidP="005674F4">
            <w:pPr>
              <w:contextualSpacing/>
              <w:jc w:val="center"/>
              <w:rPr>
                <w:b/>
                <w:sz w:val="22"/>
                <w:szCs w:val="24"/>
              </w:rPr>
            </w:pPr>
            <w:r w:rsidRPr="00243772">
              <w:rPr>
                <w:b/>
                <w:sz w:val="22"/>
                <w:szCs w:val="24"/>
              </w:rPr>
              <w:t>Year 4</w:t>
            </w:r>
          </w:p>
        </w:tc>
      </w:tr>
      <w:tr w:rsidR="001A685B" w:rsidRPr="00243772" w14:paraId="08FC88B3" w14:textId="77777777" w:rsidTr="005674F4">
        <w:tc>
          <w:tcPr>
            <w:tcW w:w="1812" w:type="dxa"/>
            <w:tcBorders>
              <w:top w:val="nil"/>
              <w:left w:val="nil"/>
              <w:bottom w:val="single" w:sz="4" w:space="0" w:color="auto"/>
              <w:right w:val="single" w:sz="4" w:space="0" w:color="auto"/>
            </w:tcBorders>
            <w:shd w:val="clear" w:color="auto" w:fill="auto"/>
          </w:tcPr>
          <w:p w14:paraId="03523B8E" w14:textId="77777777" w:rsidR="001A685B" w:rsidRPr="00243772" w:rsidRDefault="001A685B" w:rsidP="005674F4">
            <w:pPr>
              <w:contextualSpacing/>
              <w:jc w:val="both"/>
              <w:rPr>
                <w:sz w:val="22"/>
                <w:szCs w:val="24"/>
              </w:rPr>
            </w:pPr>
          </w:p>
        </w:tc>
        <w:tc>
          <w:tcPr>
            <w:tcW w:w="1914" w:type="dxa"/>
            <w:tcBorders>
              <w:left w:val="single" w:sz="4" w:space="0" w:color="auto"/>
            </w:tcBorders>
            <w:shd w:val="clear" w:color="auto" w:fill="auto"/>
          </w:tcPr>
          <w:p w14:paraId="04C35CCE" w14:textId="77777777" w:rsidR="001A685B" w:rsidRPr="00243772" w:rsidRDefault="001A685B" w:rsidP="005674F4">
            <w:pPr>
              <w:contextualSpacing/>
              <w:jc w:val="center"/>
              <w:rPr>
                <w:b/>
                <w:sz w:val="22"/>
                <w:szCs w:val="24"/>
              </w:rPr>
            </w:pPr>
            <w:r w:rsidRPr="00243772">
              <w:rPr>
                <w:b/>
                <w:sz w:val="22"/>
                <w:szCs w:val="24"/>
              </w:rPr>
              <w:t>£’000</w:t>
            </w:r>
          </w:p>
        </w:tc>
        <w:tc>
          <w:tcPr>
            <w:tcW w:w="1914" w:type="dxa"/>
            <w:shd w:val="clear" w:color="auto" w:fill="auto"/>
          </w:tcPr>
          <w:p w14:paraId="55CBF060" w14:textId="77777777" w:rsidR="001A685B" w:rsidRPr="00243772" w:rsidRDefault="001A685B" w:rsidP="005674F4">
            <w:pPr>
              <w:contextualSpacing/>
              <w:jc w:val="center"/>
              <w:rPr>
                <w:b/>
                <w:sz w:val="22"/>
                <w:szCs w:val="24"/>
              </w:rPr>
            </w:pPr>
            <w:r w:rsidRPr="00243772">
              <w:rPr>
                <w:b/>
                <w:sz w:val="22"/>
                <w:szCs w:val="24"/>
              </w:rPr>
              <w:t>£’000</w:t>
            </w:r>
          </w:p>
        </w:tc>
        <w:tc>
          <w:tcPr>
            <w:tcW w:w="1914" w:type="dxa"/>
            <w:shd w:val="clear" w:color="auto" w:fill="auto"/>
          </w:tcPr>
          <w:p w14:paraId="0BD183C9" w14:textId="77777777" w:rsidR="001A685B" w:rsidRPr="00243772" w:rsidRDefault="001A685B" w:rsidP="005674F4">
            <w:pPr>
              <w:contextualSpacing/>
              <w:jc w:val="center"/>
              <w:rPr>
                <w:b/>
                <w:sz w:val="22"/>
                <w:szCs w:val="24"/>
              </w:rPr>
            </w:pPr>
            <w:r w:rsidRPr="00243772">
              <w:rPr>
                <w:b/>
                <w:sz w:val="22"/>
                <w:szCs w:val="24"/>
              </w:rPr>
              <w:t>£’000</w:t>
            </w:r>
          </w:p>
        </w:tc>
        <w:tc>
          <w:tcPr>
            <w:tcW w:w="1914" w:type="dxa"/>
            <w:shd w:val="clear" w:color="auto" w:fill="auto"/>
          </w:tcPr>
          <w:p w14:paraId="7FB9764E" w14:textId="77777777" w:rsidR="001A685B" w:rsidRPr="00243772" w:rsidRDefault="001A685B" w:rsidP="005674F4">
            <w:pPr>
              <w:contextualSpacing/>
              <w:jc w:val="center"/>
              <w:rPr>
                <w:b/>
                <w:sz w:val="22"/>
                <w:szCs w:val="24"/>
              </w:rPr>
            </w:pPr>
            <w:r w:rsidRPr="00243772">
              <w:rPr>
                <w:b/>
                <w:sz w:val="22"/>
                <w:szCs w:val="24"/>
              </w:rPr>
              <w:t>£’000</w:t>
            </w:r>
          </w:p>
        </w:tc>
      </w:tr>
      <w:tr w:rsidR="001A685B" w:rsidRPr="00243772" w14:paraId="0E12CA96" w14:textId="77777777" w:rsidTr="005674F4">
        <w:tc>
          <w:tcPr>
            <w:tcW w:w="1812" w:type="dxa"/>
            <w:tcBorders>
              <w:top w:val="single" w:sz="4" w:space="0" w:color="auto"/>
            </w:tcBorders>
            <w:shd w:val="clear" w:color="auto" w:fill="auto"/>
          </w:tcPr>
          <w:p w14:paraId="5B14DFF7" w14:textId="77777777" w:rsidR="001A685B" w:rsidRPr="00243772" w:rsidRDefault="001A685B" w:rsidP="005674F4">
            <w:pPr>
              <w:contextualSpacing/>
              <w:jc w:val="center"/>
              <w:rPr>
                <w:sz w:val="22"/>
                <w:szCs w:val="24"/>
              </w:rPr>
            </w:pPr>
            <w:r w:rsidRPr="00243772">
              <w:rPr>
                <w:sz w:val="22"/>
                <w:szCs w:val="24"/>
              </w:rPr>
              <w:t>(A)</w:t>
            </w:r>
          </w:p>
        </w:tc>
        <w:tc>
          <w:tcPr>
            <w:tcW w:w="1914" w:type="dxa"/>
            <w:shd w:val="clear" w:color="auto" w:fill="auto"/>
          </w:tcPr>
          <w:p w14:paraId="4AE0F5A0" w14:textId="77777777" w:rsidR="001A685B" w:rsidRPr="00243772" w:rsidRDefault="001A685B" w:rsidP="005674F4">
            <w:pPr>
              <w:contextualSpacing/>
              <w:jc w:val="center"/>
              <w:rPr>
                <w:sz w:val="22"/>
                <w:szCs w:val="24"/>
              </w:rPr>
            </w:pPr>
            <w:r w:rsidRPr="00243772">
              <w:rPr>
                <w:sz w:val="22"/>
                <w:szCs w:val="24"/>
              </w:rPr>
              <w:t>400</w:t>
            </w:r>
          </w:p>
        </w:tc>
        <w:tc>
          <w:tcPr>
            <w:tcW w:w="1914" w:type="dxa"/>
            <w:shd w:val="clear" w:color="auto" w:fill="auto"/>
          </w:tcPr>
          <w:p w14:paraId="333BCE5F" w14:textId="77777777" w:rsidR="001A685B" w:rsidRPr="00243772" w:rsidRDefault="001A685B" w:rsidP="005674F4">
            <w:pPr>
              <w:contextualSpacing/>
              <w:jc w:val="center"/>
              <w:rPr>
                <w:sz w:val="22"/>
                <w:szCs w:val="24"/>
              </w:rPr>
            </w:pPr>
            <w:r w:rsidRPr="00243772">
              <w:rPr>
                <w:sz w:val="22"/>
                <w:szCs w:val="24"/>
              </w:rPr>
              <w:t>500</w:t>
            </w:r>
          </w:p>
        </w:tc>
        <w:tc>
          <w:tcPr>
            <w:tcW w:w="1914" w:type="dxa"/>
            <w:shd w:val="clear" w:color="auto" w:fill="auto"/>
          </w:tcPr>
          <w:p w14:paraId="1868E4C9" w14:textId="77777777" w:rsidR="001A685B" w:rsidRPr="00243772" w:rsidRDefault="001A685B" w:rsidP="005674F4">
            <w:pPr>
              <w:contextualSpacing/>
              <w:jc w:val="center"/>
              <w:rPr>
                <w:sz w:val="22"/>
                <w:szCs w:val="24"/>
              </w:rPr>
            </w:pPr>
            <w:r w:rsidRPr="00243772">
              <w:rPr>
                <w:sz w:val="22"/>
                <w:szCs w:val="24"/>
              </w:rPr>
              <w:t>500</w:t>
            </w:r>
          </w:p>
        </w:tc>
        <w:tc>
          <w:tcPr>
            <w:tcW w:w="1914" w:type="dxa"/>
            <w:shd w:val="clear" w:color="auto" w:fill="auto"/>
          </w:tcPr>
          <w:p w14:paraId="0B1DB76F" w14:textId="77777777" w:rsidR="001A685B" w:rsidRPr="00243772" w:rsidRDefault="001A685B" w:rsidP="005674F4">
            <w:pPr>
              <w:contextualSpacing/>
              <w:jc w:val="center"/>
              <w:rPr>
                <w:sz w:val="22"/>
                <w:szCs w:val="24"/>
              </w:rPr>
            </w:pPr>
            <w:r w:rsidRPr="00243772">
              <w:rPr>
                <w:sz w:val="22"/>
                <w:szCs w:val="24"/>
              </w:rPr>
              <w:t>500</w:t>
            </w:r>
          </w:p>
        </w:tc>
      </w:tr>
      <w:tr w:rsidR="001A685B" w:rsidRPr="00243772" w14:paraId="028A8BC1" w14:textId="77777777" w:rsidTr="00E640A8">
        <w:tc>
          <w:tcPr>
            <w:tcW w:w="1812" w:type="dxa"/>
            <w:shd w:val="clear" w:color="auto" w:fill="auto"/>
          </w:tcPr>
          <w:p w14:paraId="01F284E2" w14:textId="77777777" w:rsidR="001A685B" w:rsidRPr="00243772" w:rsidRDefault="001A685B" w:rsidP="005674F4">
            <w:pPr>
              <w:contextualSpacing/>
              <w:jc w:val="center"/>
              <w:rPr>
                <w:sz w:val="22"/>
                <w:szCs w:val="24"/>
              </w:rPr>
            </w:pPr>
            <w:r w:rsidRPr="00243772">
              <w:rPr>
                <w:sz w:val="22"/>
                <w:szCs w:val="24"/>
              </w:rPr>
              <w:t>(B)</w:t>
            </w:r>
          </w:p>
        </w:tc>
        <w:tc>
          <w:tcPr>
            <w:tcW w:w="1914" w:type="dxa"/>
            <w:shd w:val="clear" w:color="auto" w:fill="auto"/>
          </w:tcPr>
          <w:p w14:paraId="4FE081E8" w14:textId="77777777" w:rsidR="001A685B" w:rsidRPr="00243772" w:rsidRDefault="001A685B" w:rsidP="005674F4">
            <w:pPr>
              <w:contextualSpacing/>
              <w:jc w:val="center"/>
              <w:rPr>
                <w:sz w:val="22"/>
                <w:szCs w:val="24"/>
              </w:rPr>
            </w:pPr>
            <w:r w:rsidRPr="00243772">
              <w:rPr>
                <w:sz w:val="22"/>
                <w:szCs w:val="24"/>
              </w:rPr>
              <w:t>500</w:t>
            </w:r>
          </w:p>
        </w:tc>
        <w:tc>
          <w:tcPr>
            <w:tcW w:w="1914" w:type="dxa"/>
            <w:shd w:val="clear" w:color="auto" w:fill="auto"/>
          </w:tcPr>
          <w:p w14:paraId="72E476C6" w14:textId="77777777" w:rsidR="001A685B" w:rsidRPr="00243772" w:rsidRDefault="001A685B" w:rsidP="005674F4">
            <w:pPr>
              <w:contextualSpacing/>
              <w:jc w:val="center"/>
              <w:rPr>
                <w:sz w:val="22"/>
                <w:szCs w:val="24"/>
              </w:rPr>
            </w:pPr>
            <w:r w:rsidRPr="00243772">
              <w:rPr>
                <w:sz w:val="22"/>
                <w:szCs w:val="24"/>
              </w:rPr>
              <w:t>600</w:t>
            </w:r>
          </w:p>
        </w:tc>
        <w:tc>
          <w:tcPr>
            <w:tcW w:w="1914" w:type="dxa"/>
            <w:shd w:val="clear" w:color="auto" w:fill="auto"/>
          </w:tcPr>
          <w:p w14:paraId="41AD8470" w14:textId="77777777" w:rsidR="001A685B" w:rsidRPr="00243772" w:rsidRDefault="001A685B" w:rsidP="005674F4">
            <w:pPr>
              <w:contextualSpacing/>
              <w:jc w:val="center"/>
              <w:rPr>
                <w:sz w:val="22"/>
                <w:szCs w:val="24"/>
              </w:rPr>
            </w:pPr>
            <w:r w:rsidRPr="00243772">
              <w:rPr>
                <w:sz w:val="22"/>
                <w:szCs w:val="24"/>
              </w:rPr>
              <w:t>800</w:t>
            </w:r>
          </w:p>
        </w:tc>
        <w:tc>
          <w:tcPr>
            <w:tcW w:w="1914" w:type="dxa"/>
            <w:shd w:val="clear" w:color="auto" w:fill="auto"/>
          </w:tcPr>
          <w:p w14:paraId="38BE95EE" w14:textId="77777777" w:rsidR="001A685B" w:rsidRPr="00243772" w:rsidRDefault="001A685B" w:rsidP="005674F4">
            <w:pPr>
              <w:contextualSpacing/>
              <w:jc w:val="center"/>
              <w:rPr>
                <w:sz w:val="22"/>
                <w:szCs w:val="24"/>
              </w:rPr>
            </w:pPr>
            <w:r w:rsidRPr="00243772">
              <w:rPr>
                <w:sz w:val="22"/>
                <w:szCs w:val="24"/>
              </w:rPr>
              <w:t>1,000</w:t>
            </w:r>
          </w:p>
        </w:tc>
      </w:tr>
      <w:tr w:rsidR="001A685B" w:rsidRPr="00243772" w14:paraId="508CF658" w14:textId="77777777" w:rsidTr="00E640A8">
        <w:tc>
          <w:tcPr>
            <w:tcW w:w="1812" w:type="dxa"/>
            <w:shd w:val="clear" w:color="auto" w:fill="auto"/>
          </w:tcPr>
          <w:p w14:paraId="182018BF" w14:textId="77777777" w:rsidR="001A685B" w:rsidRPr="00243772" w:rsidRDefault="001A685B" w:rsidP="005674F4">
            <w:pPr>
              <w:contextualSpacing/>
              <w:jc w:val="center"/>
              <w:rPr>
                <w:sz w:val="22"/>
                <w:szCs w:val="24"/>
              </w:rPr>
            </w:pPr>
            <w:r w:rsidRPr="00243772">
              <w:rPr>
                <w:sz w:val="22"/>
                <w:szCs w:val="24"/>
              </w:rPr>
              <w:t>(C)</w:t>
            </w:r>
          </w:p>
        </w:tc>
        <w:tc>
          <w:tcPr>
            <w:tcW w:w="1914" w:type="dxa"/>
            <w:shd w:val="clear" w:color="auto" w:fill="auto"/>
          </w:tcPr>
          <w:p w14:paraId="2262229F" w14:textId="77777777" w:rsidR="001A685B" w:rsidRPr="00243772" w:rsidRDefault="001A685B" w:rsidP="005674F4">
            <w:pPr>
              <w:contextualSpacing/>
              <w:jc w:val="center"/>
              <w:rPr>
                <w:sz w:val="22"/>
                <w:szCs w:val="24"/>
              </w:rPr>
            </w:pPr>
            <w:r w:rsidRPr="00243772">
              <w:rPr>
                <w:sz w:val="22"/>
                <w:szCs w:val="24"/>
              </w:rPr>
              <w:t>500</w:t>
            </w:r>
          </w:p>
        </w:tc>
        <w:tc>
          <w:tcPr>
            <w:tcW w:w="1914" w:type="dxa"/>
            <w:shd w:val="clear" w:color="auto" w:fill="auto"/>
          </w:tcPr>
          <w:p w14:paraId="29D6DFF7" w14:textId="77777777" w:rsidR="001A685B" w:rsidRPr="00243772" w:rsidRDefault="001A685B" w:rsidP="005674F4">
            <w:pPr>
              <w:contextualSpacing/>
              <w:jc w:val="center"/>
              <w:rPr>
                <w:sz w:val="22"/>
                <w:szCs w:val="24"/>
              </w:rPr>
            </w:pPr>
            <w:r w:rsidRPr="00243772">
              <w:rPr>
                <w:sz w:val="22"/>
                <w:szCs w:val="24"/>
              </w:rPr>
              <w:t>1,000</w:t>
            </w:r>
          </w:p>
        </w:tc>
        <w:tc>
          <w:tcPr>
            <w:tcW w:w="1914" w:type="dxa"/>
            <w:shd w:val="clear" w:color="auto" w:fill="auto"/>
          </w:tcPr>
          <w:p w14:paraId="335AD508" w14:textId="77777777" w:rsidR="001A685B" w:rsidRPr="00243772" w:rsidRDefault="001A685B" w:rsidP="005674F4">
            <w:pPr>
              <w:contextualSpacing/>
              <w:jc w:val="center"/>
              <w:rPr>
                <w:sz w:val="22"/>
                <w:szCs w:val="24"/>
              </w:rPr>
            </w:pPr>
            <w:r w:rsidRPr="00243772">
              <w:rPr>
                <w:sz w:val="22"/>
                <w:szCs w:val="24"/>
              </w:rPr>
              <w:t>1,500</w:t>
            </w:r>
          </w:p>
        </w:tc>
        <w:tc>
          <w:tcPr>
            <w:tcW w:w="1914" w:type="dxa"/>
            <w:shd w:val="clear" w:color="auto" w:fill="auto"/>
          </w:tcPr>
          <w:p w14:paraId="3EAB66A1" w14:textId="77777777" w:rsidR="001A685B" w:rsidRPr="00243772" w:rsidRDefault="001A685B" w:rsidP="005674F4">
            <w:pPr>
              <w:contextualSpacing/>
              <w:jc w:val="center"/>
              <w:rPr>
                <w:sz w:val="22"/>
                <w:szCs w:val="24"/>
              </w:rPr>
            </w:pPr>
            <w:r w:rsidRPr="00243772">
              <w:rPr>
                <w:sz w:val="22"/>
                <w:szCs w:val="24"/>
              </w:rPr>
              <w:t>1,500</w:t>
            </w:r>
          </w:p>
        </w:tc>
      </w:tr>
    </w:tbl>
    <w:p w14:paraId="4AD36F3A" w14:textId="77777777" w:rsidR="001A685B" w:rsidRPr="00243772" w:rsidRDefault="001A685B" w:rsidP="005674F4">
      <w:pPr>
        <w:spacing w:line="274" w:lineRule="auto"/>
        <w:contextualSpacing/>
        <w:jc w:val="both"/>
        <w:rPr>
          <w:sz w:val="22"/>
          <w:szCs w:val="24"/>
        </w:rPr>
      </w:pPr>
    </w:p>
    <w:p w14:paraId="2C5ED512" w14:textId="77777777" w:rsidR="001A685B" w:rsidRPr="00243772" w:rsidRDefault="001A685B" w:rsidP="005674F4">
      <w:pPr>
        <w:spacing w:after="120" w:line="274" w:lineRule="auto"/>
        <w:jc w:val="both"/>
        <w:rPr>
          <w:b/>
          <w:sz w:val="22"/>
          <w:szCs w:val="24"/>
        </w:rPr>
      </w:pPr>
      <w:r w:rsidRPr="00243772">
        <w:rPr>
          <w:b/>
          <w:sz w:val="22"/>
          <w:szCs w:val="24"/>
        </w:rPr>
        <w:t>Required:</w:t>
      </w:r>
      <w:r w:rsidR="005674F4" w:rsidRPr="00243772">
        <w:rPr>
          <w:b/>
          <w:sz w:val="22"/>
          <w:szCs w:val="24"/>
        </w:rPr>
        <w:t xml:space="preserve"> </w:t>
      </w:r>
      <w:r w:rsidRPr="00243772">
        <w:rPr>
          <w:sz w:val="22"/>
          <w:szCs w:val="24"/>
        </w:rPr>
        <w:t>Write a business report to the Directors explaining whether the company should undertake the project or look for other opportunities. The report should incorporate the following:</w:t>
      </w:r>
    </w:p>
    <w:p w14:paraId="4D20D494" w14:textId="77777777" w:rsidR="001A685B" w:rsidRPr="00243772" w:rsidRDefault="001A685B" w:rsidP="006C7BFC">
      <w:pPr>
        <w:numPr>
          <w:ilvl w:val="1"/>
          <w:numId w:val="1"/>
        </w:numPr>
        <w:spacing w:after="120" w:line="274" w:lineRule="auto"/>
        <w:ind w:left="426" w:hanging="284"/>
        <w:jc w:val="both"/>
        <w:rPr>
          <w:sz w:val="22"/>
          <w:szCs w:val="24"/>
        </w:rPr>
      </w:pPr>
      <w:r w:rsidRPr="00243772">
        <w:rPr>
          <w:sz w:val="22"/>
          <w:szCs w:val="24"/>
        </w:rPr>
        <w:t>An evaluation of the three investment options using the net present value (NPV) technique, assuming the cost of capital to be 8%, and recommend, with reasons, one option.</w:t>
      </w:r>
    </w:p>
    <w:p w14:paraId="7F87FEB7" w14:textId="77777777" w:rsidR="00A52491" w:rsidRDefault="001A685B" w:rsidP="00A52491">
      <w:pPr>
        <w:numPr>
          <w:ilvl w:val="1"/>
          <w:numId w:val="1"/>
        </w:numPr>
        <w:spacing w:line="274" w:lineRule="auto"/>
        <w:ind w:left="426" w:hanging="284"/>
        <w:jc w:val="both"/>
        <w:rPr>
          <w:sz w:val="22"/>
          <w:szCs w:val="24"/>
        </w:rPr>
      </w:pPr>
      <w:r w:rsidRPr="00243772">
        <w:rPr>
          <w:sz w:val="22"/>
          <w:szCs w:val="24"/>
        </w:rPr>
        <w:t xml:space="preserve">Find the approximate internal rate of return (IRR) of your choice in (a) above. </w:t>
      </w:r>
    </w:p>
    <w:p w14:paraId="1F43A13A" w14:textId="77777777" w:rsidR="001A685B" w:rsidRPr="00A52491" w:rsidRDefault="001A685B" w:rsidP="00A52491">
      <w:pPr>
        <w:spacing w:after="120" w:line="274" w:lineRule="auto"/>
        <w:ind w:left="426"/>
        <w:jc w:val="both"/>
        <w:rPr>
          <w:i/>
          <w:sz w:val="22"/>
          <w:szCs w:val="24"/>
        </w:rPr>
      </w:pPr>
      <w:r w:rsidRPr="00A52491">
        <w:rPr>
          <w:i/>
          <w:sz w:val="22"/>
          <w:szCs w:val="24"/>
        </w:rPr>
        <w:t xml:space="preserve">(You are required to show all calculations)   </w:t>
      </w:r>
    </w:p>
    <w:p w14:paraId="008CF388" w14:textId="77777777" w:rsidR="001A685B" w:rsidRPr="00243772" w:rsidRDefault="001A685B" w:rsidP="006C7BFC">
      <w:pPr>
        <w:numPr>
          <w:ilvl w:val="1"/>
          <w:numId w:val="1"/>
        </w:numPr>
        <w:spacing w:after="120" w:line="274" w:lineRule="auto"/>
        <w:ind w:left="426" w:hanging="284"/>
        <w:jc w:val="both"/>
        <w:rPr>
          <w:sz w:val="22"/>
          <w:szCs w:val="24"/>
        </w:rPr>
      </w:pPr>
      <w:r w:rsidRPr="00243772">
        <w:rPr>
          <w:sz w:val="22"/>
          <w:szCs w:val="24"/>
        </w:rPr>
        <w:t xml:space="preserve">Interpret your results for management, to include: </w:t>
      </w:r>
    </w:p>
    <w:p w14:paraId="3A676A7E" w14:textId="77777777" w:rsidR="001A685B" w:rsidRPr="00243772" w:rsidRDefault="001A685B" w:rsidP="00183370">
      <w:pPr>
        <w:numPr>
          <w:ilvl w:val="1"/>
          <w:numId w:val="7"/>
        </w:numPr>
        <w:spacing w:line="274" w:lineRule="auto"/>
        <w:ind w:left="851" w:hanging="142"/>
        <w:jc w:val="both"/>
        <w:rPr>
          <w:sz w:val="22"/>
          <w:szCs w:val="24"/>
        </w:rPr>
      </w:pPr>
      <w:r w:rsidRPr="00243772">
        <w:rPr>
          <w:sz w:val="22"/>
          <w:szCs w:val="24"/>
        </w:rPr>
        <w:t>A presentation of the theoretical arguments for the choice of net present value as the best method of investment appraisal.</w:t>
      </w:r>
    </w:p>
    <w:p w14:paraId="2C6D458F" w14:textId="77777777" w:rsidR="001A685B" w:rsidRPr="00243772" w:rsidRDefault="001A685B" w:rsidP="00183370">
      <w:pPr>
        <w:numPr>
          <w:ilvl w:val="1"/>
          <w:numId w:val="7"/>
        </w:numPr>
        <w:spacing w:line="274" w:lineRule="auto"/>
        <w:ind w:left="851" w:hanging="142"/>
        <w:jc w:val="both"/>
        <w:rPr>
          <w:sz w:val="22"/>
          <w:szCs w:val="24"/>
        </w:rPr>
      </w:pPr>
      <w:r w:rsidRPr="00243772">
        <w:rPr>
          <w:sz w:val="22"/>
          <w:szCs w:val="24"/>
        </w:rPr>
        <w:t>Explain the continued popularity among decision makers of non-discounting methods of investment appraisal.</w:t>
      </w:r>
    </w:p>
    <w:p w14:paraId="77123F76" w14:textId="77777777" w:rsidR="001A685B" w:rsidRPr="00243772" w:rsidRDefault="001A685B" w:rsidP="00183370">
      <w:pPr>
        <w:numPr>
          <w:ilvl w:val="1"/>
          <w:numId w:val="7"/>
        </w:numPr>
        <w:spacing w:after="120" w:line="274" w:lineRule="auto"/>
        <w:ind w:left="851" w:hanging="142"/>
        <w:jc w:val="both"/>
        <w:rPr>
          <w:sz w:val="22"/>
          <w:szCs w:val="24"/>
        </w:rPr>
      </w:pPr>
      <w:r w:rsidRPr="00243772">
        <w:rPr>
          <w:sz w:val="22"/>
          <w:szCs w:val="24"/>
        </w:rPr>
        <w:t>Identify what other factors should be considered before an investment decision is made.</w:t>
      </w:r>
    </w:p>
    <w:p w14:paraId="12197AC5" w14:textId="77777777" w:rsidR="001A685B" w:rsidRPr="00243772" w:rsidRDefault="001A685B" w:rsidP="00183370">
      <w:pPr>
        <w:numPr>
          <w:ilvl w:val="1"/>
          <w:numId w:val="1"/>
        </w:numPr>
        <w:spacing w:after="120" w:line="274" w:lineRule="auto"/>
        <w:ind w:left="426" w:hanging="284"/>
        <w:jc w:val="both"/>
        <w:rPr>
          <w:sz w:val="22"/>
          <w:szCs w:val="24"/>
        </w:rPr>
      </w:pPr>
      <w:r w:rsidRPr="00243772">
        <w:rPr>
          <w:sz w:val="22"/>
          <w:szCs w:val="24"/>
        </w:rPr>
        <w:t xml:space="preserve">If funds are limited to £2,500,000 and the projects are divisible, (i.e. it is possible to undertake a fraction of a total project), calculate the optimal investment policy and the resulting total NPV from your investment policy. </w:t>
      </w:r>
    </w:p>
    <w:p w14:paraId="7687966E" w14:textId="77777777" w:rsidR="001A685B" w:rsidRPr="00243772" w:rsidRDefault="001A685B" w:rsidP="00183370">
      <w:pPr>
        <w:spacing w:after="120" w:line="274" w:lineRule="auto"/>
        <w:ind w:left="426"/>
        <w:jc w:val="both"/>
        <w:rPr>
          <w:sz w:val="22"/>
          <w:szCs w:val="24"/>
        </w:rPr>
      </w:pPr>
      <w:r w:rsidRPr="00243772">
        <w:rPr>
          <w:sz w:val="22"/>
          <w:szCs w:val="24"/>
        </w:rPr>
        <w:t xml:space="preserve">Assume corporation tax is 20% and capital allowances are 25% on a straight line basis. All of these </w:t>
      </w:r>
      <w:proofErr w:type="spellStart"/>
      <w:r w:rsidRPr="00243772">
        <w:rPr>
          <w:sz w:val="22"/>
          <w:szCs w:val="24"/>
        </w:rPr>
        <w:t>cashflows</w:t>
      </w:r>
      <w:proofErr w:type="spellEnd"/>
      <w:r w:rsidRPr="00243772">
        <w:rPr>
          <w:sz w:val="22"/>
          <w:szCs w:val="24"/>
        </w:rPr>
        <w:t xml:space="preserve"> occur in the year that they arise. </w:t>
      </w:r>
    </w:p>
    <w:p w14:paraId="4AA2E303" w14:textId="77777777" w:rsidR="001A685B" w:rsidRPr="00243772" w:rsidRDefault="001A685B" w:rsidP="00183370">
      <w:pPr>
        <w:numPr>
          <w:ilvl w:val="1"/>
          <w:numId w:val="1"/>
        </w:numPr>
        <w:ind w:left="426" w:hanging="284"/>
        <w:jc w:val="both"/>
        <w:rPr>
          <w:sz w:val="22"/>
          <w:szCs w:val="24"/>
        </w:rPr>
      </w:pPr>
      <w:r w:rsidRPr="00243772">
        <w:rPr>
          <w:sz w:val="22"/>
          <w:szCs w:val="24"/>
        </w:rPr>
        <w:t>In conclusion, advise the Board of James plc how the proposed investment programme might be financed, identifying the main sources of finance available, critically assessing the main advantages and disadvantages of each.</w:t>
      </w:r>
    </w:p>
    <w:p w14:paraId="65EBB70A" w14:textId="77777777" w:rsidR="00D9023E" w:rsidRPr="00243772" w:rsidRDefault="00D9023E" w:rsidP="00183370">
      <w:pPr>
        <w:jc w:val="both"/>
        <w:rPr>
          <w:sz w:val="22"/>
          <w:szCs w:val="24"/>
        </w:rPr>
      </w:pPr>
    </w:p>
    <w:p w14:paraId="1ED9E961" w14:textId="77777777" w:rsidR="00895CB6" w:rsidRDefault="00895CB6" w:rsidP="006A01E8">
      <w:pPr>
        <w:pStyle w:val="ListParagraph"/>
        <w:numPr>
          <w:ilvl w:val="0"/>
          <w:numId w:val="10"/>
        </w:numPr>
        <w:ind w:left="284" w:hanging="284"/>
        <w:outlineLvl w:val="0"/>
        <w:rPr>
          <w:b/>
          <w:color w:val="000000" w:themeColor="text1"/>
          <w:sz w:val="22"/>
          <w:szCs w:val="22"/>
        </w:rPr>
        <w:sectPr w:rsidR="00895CB6" w:rsidSect="008206B9">
          <w:pgSz w:w="12240" w:h="15840"/>
          <w:pgMar w:top="1440" w:right="1440" w:bottom="1440" w:left="1440" w:header="708" w:footer="708" w:gutter="0"/>
          <w:cols w:space="708"/>
          <w:docGrid w:linePitch="360"/>
        </w:sectPr>
      </w:pPr>
    </w:p>
    <w:p w14:paraId="28DAF38C" w14:textId="77777777" w:rsidR="00D9023E" w:rsidRPr="005344B3" w:rsidRDefault="00D9023E" w:rsidP="00EA3A27">
      <w:pPr>
        <w:pStyle w:val="ListParagraph"/>
        <w:numPr>
          <w:ilvl w:val="0"/>
          <w:numId w:val="10"/>
        </w:numPr>
        <w:spacing w:line="480" w:lineRule="auto"/>
        <w:ind w:left="284" w:hanging="284"/>
        <w:contextualSpacing w:val="0"/>
        <w:outlineLvl w:val="0"/>
        <w:rPr>
          <w:b/>
          <w:color w:val="000000" w:themeColor="text1"/>
          <w:sz w:val="22"/>
          <w:szCs w:val="22"/>
        </w:rPr>
      </w:pPr>
      <w:bookmarkStart w:id="36" w:name="_Toc535615931"/>
      <w:r w:rsidRPr="005344B3">
        <w:rPr>
          <w:b/>
          <w:color w:val="000000" w:themeColor="text1"/>
          <w:sz w:val="22"/>
          <w:szCs w:val="22"/>
        </w:rPr>
        <w:lastRenderedPageBreak/>
        <w:t>Executive Summary</w:t>
      </w:r>
      <w:bookmarkEnd w:id="36"/>
    </w:p>
    <w:p w14:paraId="72BE1C5F" w14:textId="77777777" w:rsidR="00CE12BF" w:rsidRDefault="000532E2" w:rsidP="00EA3A27">
      <w:pPr>
        <w:spacing w:line="480" w:lineRule="auto"/>
        <w:ind w:firstLine="284"/>
        <w:jc w:val="both"/>
        <w:rPr>
          <w:sz w:val="22"/>
          <w:szCs w:val="22"/>
        </w:rPr>
      </w:pPr>
      <w:r w:rsidRPr="005344B3">
        <w:rPr>
          <w:sz w:val="22"/>
          <w:szCs w:val="22"/>
        </w:rPr>
        <w:t xml:space="preserve">James </w:t>
      </w:r>
      <w:r w:rsidR="005344B3" w:rsidRPr="005344B3">
        <w:rPr>
          <w:sz w:val="22"/>
          <w:szCs w:val="22"/>
        </w:rPr>
        <w:t>PLC produces</w:t>
      </w:r>
      <w:r w:rsidRPr="005344B3">
        <w:rPr>
          <w:sz w:val="22"/>
          <w:szCs w:val="22"/>
        </w:rPr>
        <w:t xml:space="preserve"> quality garden furniture and related </w:t>
      </w:r>
      <w:r w:rsidR="005344B3" w:rsidRPr="005344B3">
        <w:rPr>
          <w:sz w:val="22"/>
          <w:szCs w:val="22"/>
        </w:rPr>
        <w:t>items and is seeking to invest in: (A) expanding its</w:t>
      </w:r>
      <w:r w:rsidRPr="005344B3">
        <w:rPr>
          <w:sz w:val="22"/>
          <w:szCs w:val="22"/>
        </w:rPr>
        <w:t xml:space="preserve"> flourishing retail outlet to include all products</w:t>
      </w:r>
      <w:r w:rsidR="005344B3" w:rsidRPr="005344B3">
        <w:rPr>
          <w:sz w:val="22"/>
          <w:szCs w:val="22"/>
        </w:rPr>
        <w:t>; (B) d</w:t>
      </w:r>
      <w:r w:rsidRPr="005344B3">
        <w:rPr>
          <w:sz w:val="22"/>
          <w:szCs w:val="22"/>
        </w:rPr>
        <w:t>evelop</w:t>
      </w:r>
      <w:r w:rsidR="005344B3" w:rsidRPr="005344B3">
        <w:rPr>
          <w:sz w:val="22"/>
          <w:szCs w:val="22"/>
        </w:rPr>
        <w:t>ing</w:t>
      </w:r>
      <w:r w:rsidRPr="005344B3">
        <w:rPr>
          <w:sz w:val="22"/>
          <w:szCs w:val="22"/>
        </w:rPr>
        <w:t xml:space="preserve"> </w:t>
      </w:r>
      <w:r w:rsidR="005344B3" w:rsidRPr="005344B3">
        <w:rPr>
          <w:sz w:val="22"/>
          <w:szCs w:val="22"/>
        </w:rPr>
        <w:t>internet sales; or (C) producing</w:t>
      </w:r>
      <w:r w:rsidRPr="005344B3">
        <w:rPr>
          <w:sz w:val="22"/>
          <w:szCs w:val="22"/>
        </w:rPr>
        <w:t xml:space="preserve"> greenhouses and conservatories</w:t>
      </w:r>
      <w:r w:rsidR="005344B3" w:rsidRPr="005344B3">
        <w:rPr>
          <w:sz w:val="22"/>
          <w:szCs w:val="22"/>
        </w:rPr>
        <w:t xml:space="preserve">. These </w:t>
      </w:r>
      <w:r w:rsidR="00BA1567">
        <w:rPr>
          <w:sz w:val="22"/>
          <w:szCs w:val="22"/>
        </w:rPr>
        <w:t xml:space="preserve">investments </w:t>
      </w:r>
      <w:r w:rsidR="005344B3" w:rsidRPr="005344B3">
        <w:rPr>
          <w:sz w:val="22"/>
          <w:szCs w:val="22"/>
        </w:rPr>
        <w:t xml:space="preserve">would each </w:t>
      </w:r>
      <w:r w:rsidRPr="005344B3">
        <w:rPr>
          <w:sz w:val="22"/>
          <w:szCs w:val="22"/>
        </w:rPr>
        <w:t xml:space="preserve">require </w:t>
      </w:r>
      <w:r w:rsidR="005344B3" w:rsidRPr="005344B3">
        <w:rPr>
          <w:sz w:val="22"/>
          <w:szCs w:val="22"/>
        </w:rPr>
        <w:t xml:space="preserve">an </w:t>
      </w:r>
      <w:r w:rsidRPr="005344B3">
        <w:rPr>
          <w:sz w:val="22"/>
          <w:szCs w:val="22"/>
        </w:rPr>
        <w:t xml:space="preserve">initial expenditure </w:t>
      </w:r>
      <w:r w:rsidR="005344B3" w:rsidRPr="005344B3">
        <w:rPr>
          <w:sz w:val="22"/>
          <w:szCs w:val="22"/>
        </w:rPr>
        <w:t xml:space="preserve">as follows: </w:t>
      </w:r>
      <w:r w:rsidRPr="005344B3">
        <w:rPr>
          <w:sz w:val="22"/>
          <w:szCs w:val="22"/>
        </w:rPr>
        <w:t xml:space="preserve">(A) £750,000, (B) £1,200,000, or (C) £2,000,000.  The most recent estimates on year-end cash flows </w:t>
      </w:r>
      <w:r w:rsidR="005344B3" w:rsidRPr="005344B3">
        <w:rPr>
          <w:sz w:val="22"/>
          <w:szCs w:val="22"/>
        </w:rPr>
        <w:t>are</w:t>
      </w:r>
      <w:r w:rsidRPr="005344B3">
        <w:rPr>
          <w:sz w:val="22"/>
          <w:szCs w:val="22"/>
        </w:rPr>
        <w:t>:</w:t>
      </w:r>
    </w:p>
    <w:p w14:paraId="0253528A" w14:textId="77777777" w:rsidR="00CE12BF" w:rsidRDefault="00CE12BF" w:rsidP="00CE12BF">
      <w:pPr>
        <w:spacing w:line="274" w:lineRule="auto"/>
        <w:jc w:val="both"/>
        <w:rPr>
          <w:sz w:val="22"/>
          <w:szCs w:val="22"/>
        </w:rPr>
      </w:pPr>
    </w:p>
    <w:p w14:paraId="51922C82" w14:textId="77777777" w:rsidR="00D9023E" w:rsidRDefault="00CE12BF" w:rsidP="00CE12BF">
      <w:pPr>
        <w:spacing w:line="274" w:lineRule="auto"/>
        <w:jc w:val="both"/>
        <w:rPr>
          <w:sz w:val="22"/>
          <w:szCs w:val="22"/>
        </w:rPr>
      </w:pPr>
      <w:r>
        <w:rPr>
          <w:noProof/>
          <w:lang w:val="en-US" w:eastAsia="en-US"/>
        </w:rPr>
        <w:drawing>
          <wp:inline distT="0" distB="0" distL="0" distR="0" wp14:anchorId="404F23B7" wp14:editId="3719ED96">
            <wp:extent cx="5993116" cy="882868"/>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95552" cy="883227"/>
                    </a:xfrm>
                    <a:prstGeom prst="rect">
                      <a:avLst/>
                    </a:prstGeom>
                  </pic:spPr>
                </pic:pic>
              </a:graphicData>
            </a:graphic>
          </wp:inline>
        </w:drawing>
      </w:r>
    </w:p>
    <w:p w14:paraId="6FC24FCB" w14:textId="77777777" w:rsidR="00CE12BF" w:rsidRPr="00CE12BF" w:rsidRDefault="00CE12BF" w:rsidP="00CE12BF">
      <w:pPr>
        <w:spacing w:line="274" w:lineRule="auto"/>
        <w:jc w:val="both"/>
        <w:rPr>
          <w:sz w:val="22"/>
          <w:szCs w:val="22"/>
        </w:rPr>
      </w:pPr>
    </w:p>
    <w:p w14:paraId="0C7C040D" w14:textId="77777777" w:rsidR="007A59F9" w:rsidRDefault="00A52491" w:rsidP="00EA3A27">
      <w:pPr>
        <w:spacing w:line="480" w:lineRule="auto"/>
        <w:jc w:val="both"/>
        <w:rPr>
          <w:color w:val="000000" w:themeColor="text1"/>
          <w:sz w:val="22"/>
          <w:szCs w:val="22"/>
        </w:rPr>
      </w:pPr>
      <w:r>
        <w:rPr>
          <w:color w:val="000000" w:themeColor="text1"/>
          <w:sz w:val="22"/>
          <w:szCs w:val="22"/>
        </w:rPr>
        <w:t xml:space="preserve">Based on the results of the subsequent </w:t>
      </w:r>
      <w:r w:rsidR="00A51411">
        <w:rPr>
          <w:color w:val="000000" w:themeColor="text1"/>
          <w:sz w:val="22"/>
          <w:szCs w:val="22"/>
        </w:rPr>
        <w:t>business report</w:t>
      </w:r>
      <w:r>
        <w:rPr>
          <w:color w:val="000000" w:themeColor="text1"/>
          <w:sz w:val="22"/>
          <w:szCs w:val="22"/>
        </w:rPr>
        <w:t>, the following is recommended:</w:t>
      </w:r>
    </w:p>
    <w:p w14:paraId="0CB43061" w14:textId="77777777" w:rsidR="00A52491" w:rsidRDefault="00A52491" w:rsidP="00EA3A27">
      <w:pPr>
        <w:pStyle w:val="ListParagraph"/>
        <w:numPr>
          <w:ilvl w:val="0"/>
          <w:numId w:val="24"/>
        </w:numPr>
        <w:spacing w:line="480" w:lineRule="auto"/>
        <w:contextualSpacing w:val="0"/>
        <w:jc w:val="both"/>
        <w:rPr>
          <w:color w:val="000000" w:themeColor="text1"/>
          <w:sz w:val="22"/>
          <w:szCs w:val="22"/>
        </w:rPr>
      </w:pPr>
      <w:r>
        <w:rPr>
          <w:color w:val="000000" w:themeColor="text1"/>
          <w:sz w:val="22"/>
          <w:szCs w:val="22"/>
        </w:rPr>
        <w:t xml:space="preserve">If applying only the net present value (NPV) method, </w:t>
      </w:r>
      <w:r w:rsidRPr="007A59F9">
        <w:rPr>
          <w:i/>
          <w:color w:val="000000" w:themeColor="text1"/>
          <w:sz w:val="22"/>
          <w:szCs w:val="22"/>
        </w:rPr>
        <w:t>investment C</w:t>
      </w:r>
      <w:r>
        <w:rPr>
          <w:color w:val="000000" w:themeColor="text1"/>
          <w:sz w:val="22"/>
          <w:szCs w:val="22"/>
        </w:rPr>
        <w:t xml:space="preserve"> should be selected;</w:t>
      </w:r>
    </w:p>
    <w:p w14:paraId="77B0C1EA" w14:textId="77777777" w:rsidR="00A51411" w:rsidRDefault="00A51411" w:rsidP="00EA3A27">
      <w:pPr>
        <w:pStyle w:val="ListParagraph"/>
        <w:numPr>
          <w:ilvl w:val="0"/>
          <w:numId w:val="24"/>
        </w:numPr>
        <w:spacing w:line="480" w:lineRule="auto"/>
        <w:contextualSpacing w:val="0"/>
        <w:jc w:val="both"/>
        <w:rPr>
          <w:color w:val="000000" w:themeColor="text1"/>
          <w:sz w:val="22"/>
          <w:szCs w:val="22"/>
        </w:rPr>
      </w:pPr>
      <w:r w:rsidRPr="00A51411">
        <w:rPr>
          <w:rFonts w:ascii="Times" w:hAnsi="Times" w:cs="Arial"/>
          <w:sz w:val="22"/>
          <w:szCs w:val="22"/>
        </w:rPr>
        <w:t xml:space="preserve">James PLC should develop a long-term (5-year) strategic plan, as well as a strategic plan for investment appraisals </w:t>
      </w:r>
      <w:r w:rsidRPr="005520E3">
        <w:rPr>
          <w:sz w:val="22"/>
          <w:szCs w:val="22"/>
        </w:rPr>
        <w:t xml:space="preserve">to </w:t>
      </w:r>
      <w:r>
        <w:rPr>
          <w:sz w:val="22"/>
          <w:szCs w:val="22"/>
        </w:rPr>
        <w:t xml:space="preserve">better </w:t>
      </w:r>
      <w:r w:rsidRPr="005520E3">
        <w:rPr>
          <w:sz w:val="22"/>
          <w:szCs w:val="22"/>
        </w:rPr>
        <w:t xml:space="preserve">identify projects </w:t>
      </w:r>
      <w:r>
        <w:rPr>
          <w:sz w:val="22"/>
          <w:szCs w:val="22"/>
        </w:rPr>
        <w:t xml:space="preserve">best placed to </w:t>
      </w:r>
      <w:r w:rsidRPr="005520E3">
        <w:rPr>
          <w:sz w:val="22"/>
          <w:szCs w:val="22"/>
        </w:rPr>
        <w:t xml:space="preserve">produce a </w:t>
      </w:r>
      <w:r>
        <w:rPr>
          <w:sz w:val="22"/>
          <w:szCs w:val="22"/>
        </w:rPr>
        <w:t>profit;</w:t>
      </w:r>
    </w:p>
    <w:p w14:paraId="530C358D" w14:textId="77777777" w:rsidR="00E816CA" w:rsidRDefault="007A59F9" w:rsidP="00EA3A27">
      <w:pPr>
        <w:pStyle w:val="ListParagraph"/>
        <w:numPr>
          <w:ilvl w:val="0"/>
          <w:numId w:val="24"/>
        </w:numPr>
        <w:spacing w:line="480" w:lineRule="auto"/>
        <w:contextualSpacing w:val="0"/>
        <w:jc w:val="both"/>
        <w:rPr>
          <w:rFonts w:ascii="Times" w:hAnsi="Times" w:cs="Arial"/>
          <w:sz w:val="22"/>
          <w:szCs w:val="22"/>
        </w:rPr>
      </w:pPr>
      <w:r w:rsidRPr="007A59F9">
        <w:rPr>
          <w:sz w:val="22"/>
          <w:szCs w:val="24"/>
        </w:rPr>
        <w:t xml:space="preserve">If applying capital rationing </w:t>
      </w:r>
      <w:r w:rsidR="006858CE">
        <w:rPr>
          <w:sz w:val="22"/>
          <w:szCs w:val="24"/>
        </w:rPr>
        <w:t>for an</w:t>
      </w:r>
      <w:r w:rsidRPr="007A59F9">
        <w:rPr>
          <w:sz w:val="22"/>
          <w:szCs w:val="24"/>
        </w:rPr>
        <w:t xml:space="preserve"> optimal investment policy,</w:t>
      </w:r>
      <w:r w:rsidRPr="007A59F9">
        <w:rPr>
          <w:color w:val="000000" w:themeColor="text1"/>
          <w:sz w:val="22"/>
          <w:szCs w:val="22"/>
        </w:rPr>
        <w:t xml:space="preserve"> </w:t>
      </w:r>
      <w:r w:rsidRPr="007A59F9">
        <w:rPr>
          <w:i/>
          <w:color w:val="000000" w:themeColor="text1"/>
          <w:sz w:val="22"/>
          <w:szCs w:val="22"/>
        </w:rPr>
        <w:t>investment C</w:t>
      </w:r>
      <w:r w:rsidRPr="007A59F9">
        <w:rPr>
          <w:color w:val="000000" w:themeColor="text1"/>
          <w:sz w:val="22"/>
          <w:szCs w:val="22"/>
        </w:rPr>
        <w:t xml:space="preserve"> should be fully funded and </w:t>
      </w:r>
      <w:r w:rsidRPr="007A59F9">
        <w:rPr>
          <w:i/>
          <w:color w:val="000000" w:themeColor="text1"/>
          <w:sz w:val="22"/>
          <w:szCs w:val="22"/>
        </w:rPr>
        <w:t xml:space="preserve">investment </w:t>
      </w:r>
      <w:r w:rsidR="00E816CA" w:rsidRPr="007A59F9">
        <w:rPr>
          <w:rFonts w:ascii="Times" w:hAnsi="Times" w:cs="Arial"/>
          <w:i/>
          <w:sz w:val="22"/>
          <w:szCs w:val="22"/>
        </w:rPr>
        <w:t>A</w:t>
      </w:r>
      <w:r w:rsidR="00E816CA" w:rsidRPr="007A59F9">
        <w:rPr>
          <w:rFonts w:ascii="Times" w:hAnsi="Times" w:cs="Arial"/>
          <w:sz w:val="22"/>
          <w:szCs w:val="22"/>
        </w:rPr>
        <w:t xml:space="preserve"> </w:t>
      </w:r>
      <w:r w:rsidRPr="007A59F9">
        <w:rPr>
          <w:rFonts w:ascii="Times" w:hAnsi="Times" w:cs="Arial"/>
          <w:sz w:val="22"/>
          <w:szCs w:val="22"/>
        </w:rPr>
        <w:t xml:space="preserve">funded </w:t>
      </w:r>
      <w:r w:rsidR="00E816CA" w:rsidRPr="007A59F9">
        <w:rPr>
          <w:rFonts w:ascii="Times" w:hAnsi="Times" w:cs="Arial"/>
          <w:sz w:val="22"/>
          <w:szCs w:val="22"/>
        </w:rPr>
        <w:t>up to the maximum of £0.5m</w:t>
      </w:r>
      <w:r w:rsidR="006858CE">
        <w:rPr>
          <w:rFonts w:ascii="Times" w:hAnsi="Times" w:cs="Arial"/>
          <w:sz w:val="22"/>
          <w:szCs w:val="22"/>
        </w:rPr>
        <w:t>; and</w:t>
      </w:r>
    </w:p>
    <w:p w14:paraId="166F52B1" w14:textId="77777777" w:rsidR="00E816CA" w:rsidRPr="00A51411" w:rsidRDefault="006858CE" w:rsidP="005344B3">
      <w:pPr>
        <w:pStyle w:val="ListParagraph"/>
        <w:numPr>
          <w:ilvl w:val="0"/>
          <w:numId w:val="24"/>
        </w:numPr>
        <w:jc w:val="both"/>
        <w:rPr>
          <w:color w:val="000000" w:themeColor="text1"/>
          <w:sz w:val="22"/>
          <w:szCs w:val="22"/>
        </w:rPr>
      </w:pPr>
      <w:r>
        <w:rPr>
          <w:i/>
          <w:color w:val="000000" w:themeColor="text1"/>
          <w:sz w:val="22"/>
          <w:szCs w:val="22"/>
        </w:rPr>
        <w:t xml:space="preserve">Retained earnings </w:t>
      </w:r>
      <w:r>
        <w:rPr>
          <w:color w:val="000000" w:themeColor="text1"/>
          <w:sz w:val="22"/>
          <w:szCs w:val="22"/>
        </w:rPr>
        <w:t xml:space="preserve">and a </w:t>
      </w:r>
      <w:r>
        <w:rPr>
          <w:i/>
          <w:color w:val="000000" w:themeColor="text1"/>
          <w:sz w:val="22"/>
          <w:szCs w:val="22"/>
        </w:rPr>
        <w:t xml:space="preserve">term loan </w:t>
      </w:r>
      <w:r>
        <w:rPr>
          <w:color w:val="000000" w:themeColor="text1"/>
          <w:sz w:val="22"/>
          <w:szCs w:val="22"/>
        </w:rPr>
        <w:t xml:space="preserve">should be utilized as </w:t>
      </w:r>
      <w:r w:rsidR="00A51411">
        <w:rPr>
          <w:color w:val="000000" w:themeColor="text1"/>
          <w:sz w:val="22"/>
          <w:szCs w:val="22"/>
        </w:rPr>
        <w:t xml:space="preserve">sources </w:t>
      </w:r>
      <w:r>
        <w:rPr>
          <w:color w:val="000000" w:themeColor="text1"/>
          <w:sz w:val="22"/>
          <w:szCs w:val="22"/>
        </w:rPr>
        <w:t>to finance</w:t>
      </w:r>
      <w:r w:rsidR="00A51411">
        <w:rPr>
          <w:color w:val="000000" w:themeColor="text1"/>
          <w:sz w:val="22"/>
          <w:szCs w:val="22"/>
        </w:rPr>
        <w:t xml:space="preserve"> the investment</w:t>
      </w:r>
      <w:r>
        <w:rPr>
          <w:color w:val="000000" w:themeColor="text1"/>
          <w:sz w:val="22"/>
          <w:szCs w:val="22"/>
        </w:rPr>
        <w:t>.</w:t>
      </w:r>
    </w:p>
    <w:p w14:paraId="47C41C6E" w14:textId="77777777" w:rsidR="00A51411" w:rsidRDefault="00A51411" w:rsidP="005344B3">
      <w:pPr>
        <w:jc w:val="both"/>
        <w:rPr>
          <w:color w:val="000000" w:themeColor="text1"/>
          <w:sz w:val="22"/>
          <w:szCs w:val="22"/>
        </w:rPr>
      </w:pPr>
    </w:p>
    <w:p w14:paraId="4983706B" w14:textId="77777777" w:rsidR="0001255B" w:rsidRDefault="0001255B" w:rsidP="005344B3">
      <w:pPr>
        <w:jc w:val="both"/>
        <w:rPr>
          <w:color w:val="000000" w:themeColor="text1"/>
          <w:sz w:val="22"/>
          <w:szCs w:val="22"/>
        </w:rPr>
        <w:sectPr w:rsidR="0001255B" w:rsidSect="008206B9">
          <w:pgSz w:w="12240" w:h="15840"/>
          <w:pgMar w:top="1440" w:right="1440" w:bottom="1440" w:left="1440" w:header="708" w:footer="708" w:gutter="0"/>
          <w:cols w:space="708"/>
          <w:docGrid w:linePitch="360"/>
        </w:sectPr>
      </w:pPr>
    </w:p>
    <w:p w14:paraId="527C8526" w14:textId="77777777" w:rsidR="0001255B" w:rsidRPr="0001255B" w:rsidRDefault="0001255B" w:rsidP="00EA3A27">
      <w:pPr>
        <w:pStyle w:val="ListParagraph"/>
        <w:numPr>
          <w:ilvl w:val="3"/>
          <w:numId w:val="1"/>
        </w:numPr>
        <w:spacing w:line="480" w:lineRule="auto"/>
        <w:ind w:left="284" w:hanging="284"/>
        <w:contextualSpacing w:val="0"/>
        <w:jc w:val="both"/>
        <w:outlineLvl w:val="0"/>
        <w:rPr>
          <w:b/>
          <w:color w:val="000000" w:themeColor="text1"/>
          <w:sz w:val="22"/>
          <w:szCs w:val="22"/>
        </w:rPr>
      </w:pPr>
      <w:bookmarkStart w:id="37" w:name="_Toc535615932"/>
      <w:r w:rsidRPr="0001255B">
        <w:rPr>
          <w:b/>
          <w:color w:val="000000" w:themeColor="text1"/>
          <w:sz w:val="22"/>
          <w:szCs w:val="22"/>
        </w:rPr>
        <w:lastRenderedPageBreak/>
        <w:t>Introduction</w:t>
      </w:r>
      <w:bookmarkEnd w:id="37"/>
    </w:p>
    <w:p w14:paraId="0E0CD933" w14:textId="77777777" w:rsidR="001804BC" w:rsidRPr="000A2B5F" w:rsidRDefault="006858CE" w:rsidP="00EA3A27">
      <w:pPr>
        <w:spacing w:line="480" w:lineRule="auto"/>
        <w:ind w:firstLine="284"/>
        <w:jc w:val="both"/>
        <w:rPr>
          <w:color w:val="000000" w:themeColor="text1"/>
          <w:sz w:val="22"/>
          <w:szCs w:val="22"/>
        </w:rPr>
      </w:pPr>
      <w:r>
        <w:rPr>
          <w:color w:val="000000" w:themeColor="text1"/>
          <w:sz w:val="22"/>
          <w:szCs w:val="22"/>
        </w:rPr>
        <w:t xml:space="preserve">Based on the figures in Section 1, this </w:t>
      </w:r>
      <w:r w:rsidR="005344B3" w:rsidRPr="000A2B5F">
        <w:rPr>
          <w:color w:val="000000" w:themeColor="text1"/>
          <w:sz w:val="22"/>
          <w:szCs w:val="22"/>
        </w:rPr>
        <w:t>business report</w:t>
      </w:r>
      <w:r w:rsidR="00CE12BF" w:rsidRPr="000A2B5F">
        <w:rPr>
          <w:color w:val="000000" w:themeColor="text1"/>
          <w:sz w:val="22"/>
          <w:szCs w:val="22"/>
        </w:rPr>
        <w:t>:</w:t>
      </w:r>
      <w:r w:rsidR="005344B3" w:rsidRPr="000A2B5F">
        <w:rPr>
          <w:color w:val="000000" w:themeColor="text1"/>
          <w:sz w:val="22"/>
          <w:szCs w:val="22"/>
        </w:rPr>
        <w:t xml:space="preserve"> evaluates the three investment options using </w:t>
      </w:r>
      <w:r>
        <w:rPr>
          <w:color w:val="000000" w:themeColor="text1"/>
          <w:sz w:val="22"/>
          <w:szCs w:val="22"/>
        </w:rPr>
        <w:t xml:space="preserve">the </w:t>
      </w:r>
      <w:r w:rsidR="005344B3" w:rsidRPr="000A2B5F">
        <w:rPr>
          <w:color w:val="000000" w:themeColor="text1"/>
          <w:sz w:val="22"/>
          <w:szCs w:val="22"/>
        </w:rPr>
        <w:t>NPV method; identifies the internal rate of return (IRR) of option C; interprets these results to provide details on</w:t>
      </w:r>
      <w:r w:rsidR="00CE12BF" w:rsidRPr="000A2B5F">
        <w:rPr>
          <w:color w:val="000000" w:themeColor="text1"/>
          <w:sz w:val="22"/>
          <w:szCs w:val="22"/>
        </w:rPr>
        <w:t>:</w:t>
      </w:r>
      <w:r w:rsidR="005344B3" w:rsidRPr="000A2B5F">
        <w:rPr>
          <w:color w:val="000000" w:themeColor="text1"/>
          <w:sz w:val="22"/>
          <w:szCs w:val="22"/>
        </w:rPr>
        <w:t xml:space="preserve"> why NPV is best</w:t>
      </w:r>
      <w:r w:rsidR="00EC3EB0">
        <w:rPr>
          <w:color w:val="000000" w:themeColor="text1"/>
          <w:sz w:val="22"/>
          <w:szCs w:val="22"/>
        </w:rPr>
        <w:t xml:space="preserve">, why non-discounting methods </w:t>
      </w:r>
      <w:r w:rsidR="005344B3" w:rsidRPr="000A2B5F">
        <w:rPr>
          <w:color w:val="000000" w:themeColor="text1"/>
          <w:sz w:val="22"/>
          <w:szCs w:val="22"/>
        </w:rPr>
        <w:t xml:space="preserve">are still </w:t>
      </w:r>
      <w:r>
        <w:rPr>
          <w:color w:val="000000" w:themeColor="text1"/>
          <w:sz w:val="22"/>
          <w:szCs w:val="22"/>
        </w:rPr>
        <w:t>popular</w:t>
      </w:r>
      <w:r w:rsidR="00CE12BF" w:rsidRPr="000A2B5F">
        <w:rPr>
          <w:color w:val="000000" w:themeColor="text1"/>
          <w:sz w:val="22"/>
          <w:szCs w:val="22"/>
        </w:rPr>
        <w:t xml:space="preserve">, and other factors </w:t>
      </w:r>
      <w:r w:rsidR="001B2698">
        <w:rPr>
          <w:color w:val="000000" w:themeColor="text1"/>
          <w:sz w:val="22"/>
          <w:szCs w:val="22"/>
        </w:rPr>
        <w:t>to consider</w:t>
      </w:r>
      <w:r w:rsidR="00CE12BF" w:rsidRPr="000A2B5F">
        <w:rPr>
          <w:color w:val="000000" w:themeColor="text1"/>
          <w:sz w:val="22"/>
          <w:szCs w:val="22"/>
        </w:rPr>
        <w:t xml:space="preserve"> before making an investment decision; </w:t>
      </w:r>
      <w:r w:rsidR="001B2698">
        <w:rPr>
          <w:color w:val="000000" w:themeColor="text1"/>
          <w:sz w:val="22"/>
          <w:szCs w:val="22"/>
        </w:rPr>
        <w:t>calculates</w:t>
      </w:r>
      <w:r w:rsidR="00CE12BF" w:rsidRPr="000A2B5F">
        <w:rPr>
          <w:color w:val="000000" w:themeColor="text1"/>
          <w:sz w:val="22"/>
          <w:szCs w:val="22"/>
        </w:rPr>
        <w:t xml:space="preserve"> the optimal investment policy and resulting NPV, based on the premise that funds are limited to £2,500,000 and projects are divisible; and lastly advises the James PLC on </w:t>
      </w:r>
      <w:r w:rsidR="001B2698">
        <w:rPr>
          <w:color w:val="000000" w:themeColor="text1"/>
          <w:sz w:val="22"/>
          <w:szCs w:val="22"/>
        </w:rPr>
        <w:t>sources of financing for the proposed investment(s)</w:t>
      </w:r>
      <w:r w:rsidR="00CE12BF" w:rsidRPr="000A2B5F">
        <w:rPr>
          <w:color w:val="000000" w:themeColor="text1"/>
          <w:sz w:val="22"/>
          <w:szCs w:val="22"/>
        </w:rPr>
        <w:t>.</w:t>
      </w:r>
      <w:r w:rsidR="004C290E" w:rsidRPr="000A2B5F">
        <w:rPr>
          <w:rStyle w:val="FootnoteReference"/>
          <w:color w:val="000000" w:themeColor="text1"/>
          <w:sz w:val="22"/>
          <w:szCs w:val="22"/>
        </w:rPr>
        <w:footnoteReference w:id="8"/>
      </w:r>
      <w:r w:rsidR="001804BC" w:rsidRPr="000A2B5F">
        <w:rPr>
          <w:color w:val="000000" w:themeColor="text1"/>
          <w:sz w:val="22"/>
          <w:szCs w:val="22"/>
        </w:rPr>
        <w:t xml:space="preserve"> </w:t>
      </w:r>
      <w:r w:rsidR="001B2698">
        <w:rPr>
          <w:color w:val="000000" w:themeColor="text1"/>
          <w:sz w:val="22"/>
          <w:szCs w:val="22"/>
        </w:rPr>
        <w:t>P</w:t>
      </w:r>
      <w:r w:rsidR="001804BC" w:rsidRPr="000A2B5F">
        <w:rPr>
          <w:color w:val="000000" w:themeColor="text1"/>
          <w:sz w:val="22"/>
          <w:szCs w:val="22"/>
        </w:rPr>
        <w:t>lease note the following assumptions:</w:t>
      </w:r>
    </w:p>
    <w:p w14:paraId="1DF53D91" w14:textId="77777777" w:rsidR="00DC58FE" w:rsidRPr="000C24C8" w:rsidRDefault="00DC58FE" w:rsidP="00EA3A27">
      <w:pPr>
        <w:pStyle w:val="ListParagraph"/>
        <w:numPr>
          <w:ilvl w:val="0"/>
          <w:numId w:val="17"/>
        </w:numPr>
        <w:spacing w:line="480" w:lineRule="auto"/>
        <w:ind w:left="714" w:hanging="357"/>
        <w:contextualSpacing w:val="0"/>
        <w:jc w:val="both"/>
        <w:rPr>
          <w:color w:val="000000" w:themeColor="text1"/>
          <w:sz w:val="22"/>
          <w:szCs w:val="22"/>
        </w:rPr>
      </w:pPr>
      <w:r w:rsidRPr="000C24C8">
        <w:rPr>
          <w:color w:val="000000" w:themeColor="text1"/>
          <w:sz w:val="22"/>
          <w:szCs w:val="22"/>
        </w:rPr>
        <w:t xml:space="preserve">James PLC </w:t>
      </w:r>
      <w:r w:rsidR="000C24C8" w:rsidRPr="000C24C8">
        <w:rPr>
          <w:color w:val="000000" w:themeColor="text1"/>
          <w:sz w:val="22"/>
          <w:szCs w:val="22"/>
        </w:rPr>
        <w:t>operates</w:t>
      </w:r>
      <w:r w:rsidRPr="000C24C8">
        <w:rPr>
          <w:color w:val="000000" w:themeColor="text1"/>
          <w:sz w:val="22"/>
          <w:szCs w:val="22"/>
        </w:rPr>
        <w:t xml:space="preserve"> UK</w:t>
      </w:r>
      <w:r w:rsidR="000C24C8" w:rsidRPr="000C24C8">
        <w:rPr>
          <w:color w:val="000000" w:themeColor="text1"/>
          <w:sz w:val="22"/>
          <w:szCs w:val="22"/>
        </w:rPr>
        <w:t>-wide</w:t>
      </w:r>
      <w:r w:rsidRPr="000C24C8">
        <w:rPr>
          <w:color w:val="000000" w:themeColor="text1"/>
          <w:sz w:val="22"/>
          <w:szCs w:val="22"/>
        </w:rPr>
        <w:t xml:space="preserve"> and </w:t>
      </w:r>
      <w:r w:rsidR="000C24C8" w:rsidRPr="000C24C8">
        <w:rPr>
          <w:color w:val="000000" w:themeColor="text1"/>
          <w:sz w:val="22"/>
          <w:szCs w:val="22"/>
        </w:rPr>
        <w:t xml:space="preserve">is </w:t>
      </w:r>
      <w:r w:rsidR="007D0DD6" w:rsidRPr="000C24C8">
        <w:rPr>
          <w:color w:val="000000" w:themeColor="text1"/>
          <w:sz w:val="22"/>
          <w:szCs w:val="22"/>
        </w:rPr>
        <w:t>not considering</w:t>
      </w:r>
      <w:r w:rsidR="000C24C8" w:rsidRPr="000C24C8">
        <w:rPr>
          <w:color w:val="000000" w:themeColor="text1"/>
          <w:sz w:val="22"/>
          <w:szCs w:val="22"/>
        </w:rPr>
        <w:t xml:space="preserve"> international expansion </w:t>
      </w:r>
      <w:r w:rsidR="007D0DD6" w:rsidRPr="000C24C8">
        <w:rPr>
          <w:color w:val="000000" w:themeColor="text1"/>
          <w:sz w:val="22"/>
          <w:szCs w:val="22"/>
        </w:rPr>
        <w:t>at this point</w:t>
      </w:r>
      <w:r w:rsidRPr="000C24C8">
        <w:rPr>
          <w:color w:val="000000" w:themeColor="text1"/>
          <w:sz w:val="22"/>
          <w:szCs w:val="22"/>
        </w:rPr>
        <w:t>;</w:t>
      </w:r>
    </w:p>
    <w:p w14:paraId="64479474" w14:textId="77777777" w:rsidR="001804BC" w:rsidRPr="000C24C8" w:rsidRDefault="001804BC" w:rsidP="00EA3A27">
      <w:pPr>
        <w:pStyle w:val="ListParagraph"/>
        <w:numPr>
          <w:ilvl w:val="0"/>
          <w:numId w:val="17"/>
        </w:numPr>
        <w:spacing w:line="480" w:lineRule="auto"/>
        <w:ind w:left="714" w:hanging="357"/>
        <w:contextualSpacing w:val="0"/>
        <w:jc w:val="both"/>
        <w:rPr>
          <w:color w:val="000000" w:themeColor="text1"/>
          <w:sz w:val="22"/>
          <w:szCs w:val="22"/>
        </w:rPr>
      </w:pPr>
      <w:r w:rsidRPr="000C24C8">
        <w:rPr>
          <w:color w:val="000000" w:themeColor="text1"/>
          <w:sz w:val="22"/>
          <w:szCs w:val="22"/>
        </w:rPr>
        <w:t>Year-end cash flow equals year-end operating profit before corporate tax and capital allowances;</w:t>
      </w:r>
    </w:p>
    <w:p w14:paraId="2917097F" w14:textId="77777777" w:rsidR="001B2698" w:rsidRDefault="001804BC" w:rsidP="00EA3A27">
      <w:pPr>
        <w:pStyle w:val="ListParagraph"/>
        <w:numPr>
          <w:ilvl w:val="0"/>
          <w:numId w:val="17"/>
        </w:numPr>
        <w:spacing w:line="480" w:lineRule="auto"/>
        <w:ind w:left="714" w:hanging="357"/>
        <w:contextualSpacing w:val="0"/>
        <w:jc w:val="both"/>
        <w:rPr>
          <w:color w:val="000000" w:themeColor="text1"/>
          <w:sz w:val="22"/>
          <w:szCs w:val="22"/>
        </w:rPr>
      </w:pPr>
      <w:r w:rsidRPr="000C24C8">
        <w:rPr>
          <w:color w:val="000000" w:themeColor="text1"/>
          <w:sz w:val="22"/>
          <w:szCs w:val="22"/>
        </w:rPr>
        <w:t>The portion of the initial outlay relating to assets, tangible and/or intangible, has a useful life of 4 years, and follows a straight-line depreciation model</w:t>
      </w:r>
      <w:r w:rsidR="001B2698">
        <w:rPr>
          <w:color w:val="000000" w:themeColor="text1"/>
          <w:sz w:val="22"/>
          <w:szCs w:val="22"/>
        </w:rPr>
        <w:t xml:space="preserve">; </w:t>
      </w:r>
    </w:p>
    <w:p w14:paraId="73D4216E" w14:textId="77777777" w:rsidR="001B2698" w:rsidRPr="001B2698" w:rsidRDefault="001804BC" w:rsidP="00EA3A27">
      <w:pPr>
        <w:pStyle w:val="ListParagraph"/>
        <w:numPr>
          <w:ilvl w:val="0"/>
          <w:numId w:val="17"/>
        </w:numPr>
        <w:spacing w:line="480" w:lineRule="auto"/>
        <w:ind w:left="714" w:hanging="357"/>
        <w:contextualSpacing w:val="0"/>
        <w:jc w:val="both"/>
        <w:rPr>
          <w:color w:val="000000" w:themeColor="text1"/>
          <w:sz w:val="22"/>
          <w:szCs w:val="22"/>
        </w:rPr>
      </w:pPr>
      <w:r w:rsidRPr="001B2698">
        <w:rPr>
          <w:color w:val="000000" w:themeColor="text1"/>
          <w:sz w:val="22"/>
          <w:szCs w:val="22"/>
        </w:rPr>
        <w:t>Capital allowances can be claimed for all assets, at a rate of 25% on a straight-line basis. This means yearly depreciation costs, which should be added to operating profit before the calculation of the corporate tax, equals that of the yearly capital allowances, which should be deducted from the operating profit before the c</w:t>
      </w:r>
      <w:r w:rsidR="001B2698" w:rsidRPr="001B2698">
        <w:rPr>
          <w:color w:val="000000" w:themeColor="text1"/>
          <w:sz w:val="22"/>
          <w:szCs w:val="22"/>
        </w:rPr>
        <w:t>alculation of corporate tax; and</w:t>
      </w:r>
    </w:p>
    <w:p w14:paraId="2C136010" w14:textId="77777777" w:rsidR="001804BC" w:rsidRPr="001B2698" w:rsidRDefault="001B2698" w:rsidP="00EA3A27">
      <w:pPr>
        <w:pStyle w:val="ListParagraph"/>
        <w:numPr>
          <w:ilvl w:val="0"/>
          <w:numId w:val="17"/>
        </w:numPr>
        <w:spacing w:line="480" w:lineRule="auto"/>
        <w:contextualSpacing w:val="0"/>
        <w:jc w:val="both"/>
        <w:rPr>
          <w:color w:val="000000" w:themeColor="text1"/>
          <w:sz w:val="22"/>
          <w:szCs w:val="22"/>
        </w:rPr>
      </w:pPr>
      <w:r>
        <w:rPr>
          <w:color w:val="000000" w:themeColor="text1"/>
          <w:sz w:val="22"/>
          <w:szCs w:val="22"/>
        </w:rPr>
        <w:t>T</w:t>
      </w:r>
      <w:r w:rsidR="001804BC" w:rsidRPr="001B2698">
        <w:rPr>
          <w:color w:val="000000" w:themeColor="text1"/>
          <w:sz w:val="22"/>
          <w:szCs w:val="22"/>
        </w:rPr>
        <w:t>he rate of 20% corporate tax can be directly applied to the year-end operating profit, without adding depreciation costs and deducting capital allowances.</w:t>
      </w:r>
    </w:p>
    <w:p w14:paraId="7E591D40" w14:textId="77777777" w:rsidR="00CE12BF" w:rsidRDefault="00CE12BF" w:rsidP="005344B3">
      <w:pPr>
        <w:jc w:val="both"/>
        <w:rPr>
          <w:color w:val="000000" w:themeColor="text1"/>
          <w:sz w:val="22"/>
          <w:szCs w:val="22"/>
        </w:rPr>
      </w:pPr>
    </w:p>
    <w:p w14:paraId="3BC41F7B" w14:textId="77777777" w:rsidR="00CE12BF" w:rsidRDefault="00CE12BF" w:rsidP="005344B3">
      <w:pPr>
        <w:jc w:val="both"/>
        <w:rPr>
          <w:color w:val="000000" w:themeColor="text1"/>
          <w:sz w:val="22"/>
          <w:szCs w:val="22"/>
        </w:rPr>
      </w:pPr>
    </w:p>
    <w:p w14:paraId="6DF875A4" w14:textId="77777777" w:rsidR="00CE12BF" w:rsidRDefault="00CE12BF" w:rsidP="005344B3">
      <w:pPr>
        <w:jc w:val="both"/>
        <w:rPr>
          <w:color w:val="000000" w:themeColor="text1"/>
          <w:sz w:val="22"/>
          <w:szCs w:val="22"/>
        </w:rPr>
      </w:pPr>
    </w:p>
    <w:p w14:paraId="6FC60B1D" w14:textId="77777777" w:rsidR="00CE12BF" w:rsidRDefault="00CE12BF" w:rsidP="005344B3">
      <w:pPr>
        <w:jc w:val="both"/>
        <w:rPr>
          <w:color w:val="000000" w:themeColor="text1"/>
          <w:sz w:val="22"/>
          <w:szCs w:val="22"/>
        </w:rPr>
      </w:pPr>
    </w:p>
    <w:p w14:paraId="1BA53F2A" w14:textId="77777777" w:rsidR="00CE12BF" w:rsidRPr="005344B3" w:rsidRDefault="00CE12BF" w:rsidP="005344B3">
      <w:pPr>
        <w:jc w:val="both"/>
        <w:rPr>
          <w:color w:val="000000" w:themeColor="text1"/>
          <w:sz w:val="22"/>
          <w:szCs w:val="22"/>
        </w:rPr>
      </w:pPr>
    </w:p>
    <w:p w14:paraId="2D74E9D4" w14:textId="77777777" w:rsidR="005344B3" w:rsidRDefault="005344B3" w:rsidP="005344B3">
      <w:pPr>
        <w:rPr>
          <w:color w:val="000000" w:themeColor="text1"/>
          <w:sz w:val="22"/>
          <w:szCs w:val="22"/>
        </w:rPr>
      </w:pPr>
    </w:p>
    <w:p w14:paraId="793B2D00" w14:textId="77777777" w:rsidR="005344B3" w:rsidRDefault="005344B3" w:rsidP="005344B3">
      <w:pPr>
        <w:rPr>
          <w:color w:val="000000" w:themeColor="text1"/>
          <w:sz w:val="22"/>
          <w:szCs w:val="22"/>
        </w:rPr>
      </w:pPr>
    </w:p>
    <w:p w14:paraId="6E3A41AC" w14:textId="77777777" w:rsidR="005344B3" w:rsidRPr="005344B3" w:rsidRDefault="005344B3" w:rsidP="005344B3">
      <w:pPr>
        <w:rPr>
          <w:color w:val="000000" w:themeColor="text1"/>
          <w:sz w:val="22"/>
          <w:szCs w:val="22"/>
        </w:rPr>
        <w:sectPr w:rsidR="005344B3" w:rsidRPr="005344B3" w:rsidSect="008206B9">
          <w:pgSz w:w="12240" w:h="15840"/>
          <w:pgMar w:top="1440" w:right="1440" w:bottom="1440" w:left="1440" w:header="708" w:footer="708" w:gutter="0"/>
          <w:cols w:space="708"/>
          <w:docGrid w:linePitch="360"/>
        </w:sectPr>
      </w:pPr>
    </w:p>
    <w:p w14:paraId="4BF65A3F" w14:textId="77777777" w:rsidR="00D9023E" w:rsidRDefault="00D9023E" w:rsidP="00EA3A27">
      <w:pPr>
        <w:pStyle w:val="ListParagraph"/>
        <w:numPr>
          <w:ilvl w:val="0"/>
          <w:numId w:val="25"/>
        </w:numPr>
        <w:spacing w:line="480" w:lineRule="auto"/>
        <w:ind w:left="284" w:hanging="284"/>
        <w:jc w:val="both"/>
        <w:outlineLvl w:val="0"/>
        <w:rPr>
          <w:b/>
          <w:color w:val="000000" w:themeColor="text1"/>
          <w:sz w:val="22"/>
          <w:szCs w:val="22"/>
        </w:rPr>
      </w:pPr>
      <w:bookmarkStart w:id="38" w:name="_Toc535615933"/>
      <w:r w:rsidRPr="00D9023E">
        <w:rPr>
          <w:b/>
          <w:color w:val="000000" w:themeColor="text1"/>
          <w:sz w:val="22"/>
          <w:szCs w:val="22"/>
        </w:rPr>
        <w:lastRenderedPageBreak/>
        <w:t>Evaluation</w:t>
      </w:r>
      <w:r>
        <w:rPr>
          <w:b/>
          <w:color w:val="000000" w:themeColor="text1"/>
          <w:sz w:val="22"/>
          <w:szCs w:val="22"/>
        </w:rPr>
        <w:t xml:space="preserve"> of the Three Investment Options </w:t>
      </w:r>
      <w:r w:rsidR="007072FE">
        <w:rPr>
          <w:b/>
          <w:color w:val="000000" w:themeColor="text1"/>
          <w:sz w:val="22"/>
          <w:szCs w:val="22"/>
        </w:rPr>
        <w:t xml:space="preserve">and Selection of One </w:t>
      </w:r>
      <w:r w:rsidR="00CD4D1D">
        <w:rPr>
          <w:b/>
          <w:color w:val="000000" w:themeColor="text1"/>
          <w:sz w:val="22"/>
          <w:szCs w:val="22"/>
        </w:rPr>
        <w:t>Option</w:t>
      </w:r>
      <w:bookmarkEnd w:id="38"/>
    </w:p>
    <w:p w14:paraId="44F0F8FB" w14:textId="77777777" w:rsidR="00D9023E" w:rsidRDefault="00D9023E" w:rsidP="00EA3A27">
      <w:pPr>
        <w:spacing w:line="480" w:lineRule="auto"/>
        <w:ind w:firstLine="284"/>
        <w:contextualSpacing/>
        <w:jc w:val="both"/>
        <w:rPr>
          <w:color w:val="000000" w:themeColor="text1"/>
          <w:sz w:val="22"/>
          <w:szCs w:val="22"/>
        </w:rPr>
      </w:pPr>
      <w:r w:rsidRPr="000532E2">
        <w:rPr>
          <w:color w:val="000000" w:themeColor="text1"/>
          <w:sz w:val="22"/>
          <w:szCs w:val="22"/>
        </w:rPr>
        <w:t xml:space="preserve">Using </w:t>
      </w:r>
      <w:r w:rsidR="00EC3EB0">
        <w:rPr>
          <w:color w:val="000000" w:themeColor="text1"/>
          <w:sz w:val="22"/>
          <w:szCs w:val="22"/>
        </w:rPr>
        <w:t>NPV</w:t>
      </w:r>
      <w:r w:rsidRPr="000532E2">
        <w:rPr>
          <w:color w:val="000000" w:themeColor="text1"/>
          <w:sz w:val="22"/>
          <w:szCs w:val="22"/>
        </w:rPr>
        <w:t xml:space="preserve">, Table 1 </w:t>
      </w:r>
      <w:r w:rsidRPr="000532E2">
        <w:rPr>
          <w:sz w:val="22"/>
          <w:szCs w:val="22"/>
        </w:rPr>
        <w:t>evaluat</w:t>
      </w:r>
      <w:r w:rsidR="00EC3EB0">
        <w:rPr>
          <w:sz w:val="22"/>
          <w:szCs w:val="22"/>
        </w:rPr>
        <w:t xml:space="preserve">es </w:t>
      </w:r>
      <w:r w:rsidRPr="000532E2">
        <w:rPr>
          <w:sz w:val="22"/>
          <w:szCs w:val="22"/>
        </w:rPr>
        <w:t xml:space="preserve">the three investment options </w:t>
      </w:r>
      <w:r w:rsidR="000532E2">
        <w:rPr>
          <w:sz w:val="22"/>
          <w:szCs w:val="22"/>
        </w:rPr>
        <w:t xml:space="preserve">as noted in Section 1, </w:t>
      </w:r>
      <w:r w:rsidR="00EC3EB0">
        <w:rPr>
          <w:sz w:val="22"/>
          <w:szCs w:val="22"/>
        </w:rPr>
        <w:t>assuming</w:t>
      </w:r>
      <w:r w:rsidR="000532E2">
        <w:rPr>
          <w:sz w:val="22"/>
          <w:szCs w:val="22"/>
        </w:rPr>
        <w:t xml:space="preserve"> </w:t>
      </w:r>
      <w:r w:rsidR="00EC3EB0">
        <w:rPr>
          <w:sz w:val="22"/>
          <w:szCs w:val="22"/>
        </w:rPr>
        <w:t>the</w:t>
      </w:r>
      <w:r w:rsidRPr="000532E2">
        <w:rPr>
          <w:sz w:val="22"/>
          <w:szCs w:val="22"/>
        </w:rPr>
        <w:t xml:space="preserve"> cost of capital </w:t>
      </w:r>
      <w:r w:rsidR="000532E2">
        <w:rPr>
          <w:sz w:val="22"/>
          <w:szCs w:val="22"/>
        </w:rPr>
        <w:t xml:space="preserve">is </w:t>
      </w:r>
      <w:r w:rsidRPr="000532E2">
        <w:rPr>
          <w:sz w:val="22"/>
          <w:szCs w:val="22"/>
        </w:rPr>
        <w:t>8%</w:t>
      </w:r>
      <w:r w:rsidR="000532E2">
        <w:rPr>
          <w:sz w:val="22"/>
          <w:szCs w:val="22"/>
        </w:rPr>
        <w:t xml:space="preserve">. </w:t>
      </w:r>
    </w:p>
    <w:p w14:paraId="6B8C83B5" w14:textId="77777777" w:rsidR="000532E2" w:rsidRPr="000532E2" w:rsidRDefault="000532E2" w:rsidP="000D06A2">
      <w:pPr>
        <w:spacing w:after="120"/>
        <w:ind w:left="426"/>
        <w:rPr>
          <w:b/>
          <w:color w:val="000000" w:themeColor="text1"/>
          <w:sz w:val="22"/>
          <w:szCs w:val="22"/>
          <w:u w:val="single"/>
        </w:rPr>
      </w:pPr>
      <w:r w:rsidRPr="000532E2">
        <w:rPr>
          <w:b/>
          <w:color w:val="000000" w:themeColor="text1"/>
          <w:sz w:val="22"/>
          <w:szCs w:val="22"/>
          <w:u w:val="single"/>
        </w:rPr>
        <w:t>Table 1</w:t>
      </w:r>
    </w:p>
    <w:p w14:paraId="08A59E62" w14:textId="77777777" w:rsidR="00D9023E" w:rsidRDefault="00074CF7" w:rsidP="000D06A2">
      <w:pPr>
        <w:jc w:val="center"/>
        <w:rPr>
          <w:b/>
          <w:color w:val="000000" w:themeColor="text1"/>
          <w:sz w:val="22"/>
          <w:szCs w:val="22"/>
        </w:rPr>
      </w:pPr>
      <w:r>
        <w:rPr>
          <w:b/>
          <w:noProof/>
          <w:color w:val="000000" w:themeColor="text1"/>
          <w:sz w:val="22"/>
          <w:szCs w:val="22"/>
          <w:lang w:val="en-US" w:eastAsia="en-US"/>
        </w:rPr>
        <w:drawing>
          <wp:inline distT="0" distB="0" distL="0" distR="0" wp14:anchorId="78BC5F9E" wp14:editId="6DAD1F37">
            <wp:extent cx="5515533" cy="5230790"/>
            <wp:effectExtent l="0" t="0" r="0" b="1905"/>
            <wp:docPr id="5" name="Picture 5" descr="../Screen%20Shot%202019-01-17%20at%208.55.1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9-01-17%20at%208.55.11%20PM.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23832" t="30342" r="39775" b="14416"/>
                    <a:stretch/>
                  </pic:blipFill>
                  <pic:spPr bwMode="auto">
                    <a:xfrm>
                      <a:off x="0" y="0"/>
                      <a:ext cx="5515533" cy="5230790"/>
                    </a:xfrm>
                    <a:prstGeom prst="rect">
                      <a:avLst/>
                    </a:prstGeom>
                    <a:noFill/>
                    <a:ln>
                      <a:noFill/>
                    </a:ln>
                    <a:extLst>
                      <a:ext uri="{53640926-AAD7-44D8-BBD7-CCE9431645EC}">
                        <a14:shadowObscured xmlns:a14="http://schemas.microsoft.com/office/drawing/2010/main"/>
                      </a:ext>
                    </a:extLst>
                  </pic:spPr>
                </pic:pic>
              </a:graphicData>
            </a:graphic>
          </wp:inline>
        </w:drawing>
      </w:r>
    </w:p>
    <w:p w14:paraId="54B9D12B" w14:textId="77777777" w:rsidR="00C9076F" w:rsidRDefault="00C9076F" w:rsidP="00D9023E">
      <w:pPr>
        <w:rPr>
          <w:b/>
          <w:color w:val="000000" w:themeColor="text1"/>
          <w:sz w:val="22"/>
          <w:szCs w:val="22"/>
        </w:rPr>
      </w:pPr>
    </w:p>
    <w:p w14:paraId="779A47F8" w14:textId="77777777" w:rsidR="00D9023E" w:rsidRDefault="000532E2" w:rsidP="00EA3A27">
      <w:pPr>
        <w:spacing w:line="480" w:lineRule="auto"/>
        <w:jc w:val="both"/>
        <w:rPr>
          <w:sz w:val="22"/>
          <w:szCs w:val="22"/>
        </w:rPr>
      </w:pPr>
      <w:r>
        <w:rPr>
          <w:sz w:val="22"/>
          <w:szCs w:val="22"/>
        </w:rPr>
        <w:t xml:space="preserve">Based on the results of Table 1, </w:t>
      </w:r>
      <w:r w:rsidRPr="000532E2">
        <w:rPr>
          <w:sz w:val="22"/>
          <w:szCs w:val="22"/>
        </w:rPr>
        <w:t xml:space="preserve">the projects </w:t>
      </w:r>
      <w:r w:rsidR="00CD4D1D">
        <w:rPr>
          <w:sz w:val="22"/>
          <w:szCs w:val="22"/>
        </w:rPr>
        <w:t xml:space="preserve">can be arranged </w:t>
      </w:r>
      <w:r w:rsidRPr="000532E2">
        <w:rPr>
          <w:sz w:val="22"/>
          <w:szCs w:val="22"/>
        </w:rPr>
        <w:t xml:space="preserve">from </w:t>
      </w:r>
      <w:r>
        <w:rPr>
          <w:sz w:val="22"/>
          <w:szCs w:val="22"/>
        </w:rPr>
        <w:t>most to least profitable</w:t>
      </w:r>
      <w:r w:rsidRPr="000532E2">
        <w:rPr>
          <w:sz w:val="22"/>
          <w:szCs w:val="22"/>
        </w:rPr>
        <w:t>: C, B</w:t>
      </w:r>
      <w:r w:rsidR="00CD4D1D">
        <w:rPr>
          <w:sz w:val="22"/>
          <w:szCs w:val="22"/>
        </w:rPr>
        <w:t xml:space="preserve">, </w:t>
      </w:r>
      <w:r w:rsidR="00C9076F">
        <w:rPr>
          <w:sz w:val="22"/>
          <w:szCs w:val="22"/>
        </w:rPr>
        <w:t>A, bearing in mind the fact that</w:t>
      </w:r>
      <w:r w:rsidR="00C9076F" w:rsidRPr="00C9076F">
        <w:rPr>
          <w:sz w:val="22"/>
          <w:szCs w:val="22"/>
        </w:rPr>
        <w:t xml:space="preserve">, </w:t>
      </w:r>
      <w:r w:rsidR="00C9076F">
        <w:rPr>
          <w:sz w:val="22"/>
          <w:szCs w:val="22"/>
        </w:rPr>
        <w:t>“</w:t>
      </w:r>
      <w:r w:rsidR="00C9076F" w:rsidRPr="00C9076F">
        <w:rPr>
          <w:sz w:val="22"/>
          <w:szCs w:val="22"/>
        </w:rPr>
        <w:t xml:space="preserve">if there are two (or more) competing projects that have positive NPVs, the project with the higher (or </w:t>
      </w:r>
      <w:r w:rsidR="00C9076F">
        <w:rPr>
          <w:sz w:val="22"/>
          <w:szCs w:val="22"/>
        </w:rPr>
        <w:t>highest) NPV should be selected” (</w:t>
      </w:r>
      <w:proofErr w:type="spellStart"/>
      <w:r w:rsidR="00C9076F">
        <w:rPr>
          <w:sz w:val="22"/>
          <w:szCs w:val="22"/>
        </w:rPr>
        <w:t>Atrill</w:t>
      </w:r>
      <w:proofErr w:type="spellEnd"/>
      <w:r w:rsidR="00C9076F">
        <w:rPr>
          <w:sz w:val="22"/>
          <w:szCs w:val="22"/>
        </w:rPr>
        <w:t xml:space="preserve"> 2013, </w:t>
      </w:r>
      <w:r w:rsidR="00C9076F" w:rsidRPr="00C9076F">
        <w:rPr>
          <w:sz w:val="22"/>
          <w:szCs w:val="22"/>
        </w:rPr>
        <w:t>p.361</w:t>
      </w:r>
      <w:r w:rsidR="00C9076F">
        <w:rPr>
          <w:sz w:val="22"/>
          <w:szCs w:val="22"/>
        </w:rPr>
        <w:t xml:space="preserve">). </w:t>
      </w:r>
      <w:r w:rsidR="00CD4D1D">
        <w:rPr>
          <w:sz w:val="22"/>
          <w:szCs w:val="22"/>
        </w:rPr>
        <w:t xml:space="preserve">Please note, however, </w:t>
      </w:r>
      <w:r w:rsidR="007072FE" w:rsidRPr="007072FE">
        <w:rPr>
          <w:sz w:val="22"/>
          <w:szCs w:val="22"/>
        </w:rPr>
        <w:t>that the initial investment required for project C far e</w:t>
      </w:r>
      <w:r w:rsidR="00CD4D1D">
        <w:rPr>
          <w:sz w:val="22"/>
          <w:szCs w:val="22"/>
        </w:rPr>
        <w:t xml:space="preserve">xceeds that of projects A and B, </w:t>
      </w:r>
      <w:r w:rsidR="007072FE" w:rsidRPr="007072FE">
        <w:rPr>
          <w:sz w:val="22"/>
          <w:szCs w:val="22"/>
        </w:rPr>
        <w:t>and will the</w:t>
      </w:r>
      <w:r w:rsidR="000A2B5F">
        <w:rPr>
          <w:sz w:val="22"/>
          <w:szCs w:val="22"/>
        </w:rPr>
        <w:t xml:space="preserve">refore </w:t>
      </w:r>
      <w:r w:rsidR="000A2B5F">
        <w:rPr>
          <w:sz w:val="22"/>
          <w:szCs w:val="22"/>
        </w:rPr>
        <w:lastRenderedPageBreak/>
        <w:t>require consequent short-</w:t>
      </w:r>
      <w:r w:rsidR="007072FE" w:rsidRPr="007072FE">
        <w:rPr>
          <w:sz w:val="22"/>
          <w:szCs w:val="22"/>
        </w:rPr>
        <w:t xml:space="preserve">term liquidities (or a viable investment plan) for </w:t>
      </w:r>
      <w:r w:rsidR="00CD4D1D">
        <w:rPr>
          <w:sz w:val="22"/>
          <w:szCs w:val="22"/>
        </w:rPr>
        <w:t xml:space="preserve">James PLC </w:t>
      </w:r>
      <w:r w:rsidR="007072FE" w:rsidRPr="007072FE">
        <w:rPr>
          <w:sz w:val="22"/>
          <w:szCs w:val="22"/>
        </w:rPr>
        <w:t>to pursue this project.</w:t>
      </w:r>
      <w:r w:rsidR="000A2B5F">
        <w:rPr>
          <w:rStyle w:val="FootnoteReference"/>
          <w:sz w:val="22"/>
          <w:szCs w:val="22"/>
        </w:rPr>
        <w:footnoteReference w:id="9"/>
      </w:r>
      <w:r w:rsidR="007072FE">
        <w:rPr>
          <w:sz w:val="22"/>
          <w:szCs w:val="22"/>
        </w:rPr>
        <w:t xml:space="preserve"> </w:t>
      </w:r>
      <w:r w:rsidR="00CD4D1D">
        <w:rPr>
          <w:sz w:val="22"/>
          <w:szCs w:val="22"/>
        </w:rPr>
        <w:t xml:space="preserve">Regardless, </w:t>
      </w:r>
      <w:r w:rsidR="007072FE">
        <w:rPr>
          <w:sz w:val="22"/>
          <w:szCs w:val="22"/>
        </w:rPr>
        <w:t>the current recommendation is</w:t>
      </w:r>
      <w:r w:rsidR="00895CB6">
        <w:rPr>
          <w:sz w:val="22"/>
          <w:szCs w:val="22"/>
        </w:rPr>
        <w:t xml:space="preserve"> for James PLC</w:t>
      </w:r>
      <w:r w:rsidR="007072FE">
        <w:rPr>
          <w:sz w:val="22"/>
          <w:szCs w:val="22"/>
        </w:rPr>
        <w:t xml:space="preserve"> to proceed </w:t>
      </w:r>
      <w:r w:rsidR="00C204AE">
        <w:rPr>
          <w:sz w:val="22"/>
          <w:szCs w:val="22"/>
        </w:rPr>
        <w:t xml:space="preserve">with </w:t>
      </w:r>
      <w:r w:rsidR="00CD4D1D">
        <w:rPr>
          <w:sz w:val="22"/>
          <w:szCs w:val="22"/>
        </w:rPr>
        <w:t>project C.</w:t>
      </w:r>
    </w:p>
    <w:p w14:paraId="74C7DDC4" w14:textId="77777777" w:rsidR="00EA3A27" w:rsidRDefault="00EA3A27" w:rsidP="00EA3A27">
      <w:pPr>
        <w:spacing w:line="480" w:lineRule="auto"/>
        <w:jc w:val="both"/>
        <w:rPr>
          <w:sz w:val="22"/>
          <w:szCs w:val="22"/>
        </w:rPr>
      </w:pPr>
    </w:p>
    <w:p w14:paraId="32939EF7" w14:textId="77777777" w:rsidR="00C204AE" w:rsidRPr="00C204AE" w:rsidRDefault="00C204AE" w:rsidP="00EA3A27">
      <w:pPr>
        <w:pStyle w:val="ListParagraph"/>
        <w:numPr>
          <w:ilvl w:val="0"/>
          <w:numId w:val="25"/>
        </w:numPr>
        <w:spacing w:line="480" w:lineRule="auto"/>
        <w:ind w:left="284" w:hanging="284"/>
        <w:jc w:val="both"/>
        <w:outlineLvl w:val="0"/>
        <w:rPr>
          <w:b/>
          <w:color w:val="000000" w:themeColor="text1"/>
          <w:sz w:val="22"/>
          <w:szCs w:val="22"/>
        </w:rPr>
      </w:pPr>
      <w:bookmarkStart w:id="39" w:name="_Toc535615934"/>
      <w:r>
        <w:rPr>
          <w:b/>
          <w:color w:val="000000" w:themeColor="text1"/>
          <w:sz w:val="22"/>
          <w:szCs w:val="22"/>
        </w:rPr>
        <w:t>Approximate Internal Rate of Return (IRR) for Option C</w:t>
      </w:r>
      <w:bookmarkEnd w:id="39"/>
      <w:r w:rsidRPr="00C204AE">
        <w:rPr>
          <w:b/>
          <w:color w:val="000000" w:themeColor="text1"/>
          <w:sz w:val="22"/>
          <w:szCs w:val="22"/>
        </w:rPr>
        <w:t xml:space="preserve"> </w:t>
      </w:r>
    </w:p>
    <w:p w14:paraId="64463FD2" w14:textId="77777777" w:rsidR="00C204AE" w:rsidRDefault="00C204AE" w:rsidP="00EA3A27">
      <w:pPr>
        <w:spacing w:line="480" w:lineRule="auto"/>
        <w:ind w:firstLine="284"/>
        <w:contextualSpacing/>
        <w:jc w:val="both"/>
        <w:rPr>
          <w:color w:val="000000" w:themeColor="text1"/>
          <w:sz w:val="22"/>
          <w:szCs w:val="22"/>
        </w:rPr>
      </w:pPr>
      <w:r w:rsidRPr="00C204AE">
        <w:rPr>
          <w:color w:val="000000" w:themeColor="text1"/>
          <w:sz w:val="22"/>
          <w:szCs w:val="22"/>
        </w:rPr>
        <w:t xml:space="preserve">With </w:t>
      </w:r>
      <w:r>
        <w:rPr>
          <w:color w:val="000000" w:themeColor="text1"/>
          <w:sz w:val="22"/>
          <w:szCs w:val="22"/>
        </w:rPr>
        <w:t xml:space="preserve">respect to </w:t>
      </w:r>
      <w:r w:rsidR="003E239C">
        <w:rPr>
          <w:color w:val="000000" w:themeColor="text1"/>
          <w:sz w:val="22"/>
          <w:szCs w:val="22"/>
        </w:rPr>
        <w:t>investment</w:t>
      </w:r>
      <w:r>
        <w:rPr>
          <w:color w:val="000000" w:themeColor="text1"/>
          <w:sz w:val="22"/>
          <w:szCs w:val="22"/>
        </w:rPr>
        <w:t xml:space="preserve"> C being selected as the </w:t>
      </w:r>
      <w:r w:rsidR="003E239C">
        <w:rPr>
          <w:color w:val="000000" w:themeColor="text1"/>
          <w:sz w:val="22"/>
          <w:szCs w:val="22"/>
        </w:rPr>
        <w:t xml:space="preserve">optimal </w:t>
      </w:r>
      <w:r>
        <w:rPr>
          <w:color w:val="000000" w:themeColor="text1"/>
          <w:sz w:val="22"/>
          <w:szCs w:val="22"/>
        </w:rPr>
        <w:t>capital investment, Table 2 calculates the approximate IRR.</w:t>
      </w:r>
    </w:p>
    <w:p w14:paraId="760B502D" w14:textId="77777777" w:rsidR="006A01E8" w:rsidRPr="00EA3A27" w:rsidRDefault="00C204AE" w:rsidP="00EA3A27">
      <w:pPr>
        <w:spacing w:after="120"/>
        <w:ind w:left="567"/>
        <w:jc w:val="both"/>
        <w:rPr>
          <w:b/>
          <w:color w:val="000000" w:themeColor="text1"/>
          <w:sz w:val="22"/>
          <w:szCs w:val="22"/>
          <w:u w:val="single"/>
        </w:rPr>
      </w:pPr>
      <w:r w:rsidRPr="00C204AE">
        <w:rPr>
          <w:b/>
          <w:color w:val="000000" w:themeColor="text1"/>
          <w:sz w:val="22"/>
          <w:szCs w:val="22"/>
          <w:u w:val="single"/>
        </w:rPr>
        <w:t>Table 2</w:t>
      </w:r>
      <w:r w:rsidR="00356592">
        <w:rPr>
          <w:rStyle w:val="FootnoteReference"/>
          <w:b/>
          <w:color w:val="000000" w:themeColor="text1"/>
          <w:sz w:val="22"/>
          <w:szCs w:val="22"/>
          <w:u w:val="single"/>
        </w:rPr>
        <w:footnoteReference w:id="10"/>
      </w:r>
    </w:p>
    <w:p w14:paraId="2B0FB5FA" w14:textId="77777777" w:rsidR="00AB1591" w:rsidRDefault="007D4052" w:rsidP="00EA3A27">
      <w:pPr>
        <w:jc w:val="center"/>
        <w:rPr>
          <w:b/>
          <w:color w:val="000000" w:themeColor="text1"/>
          <w:sz w:val="22"/>
          <w:szCs w:val="22"/>
        </w:rPr>
      </w:pPr>
      <w:r>
        <w:rPr>
          <w:b/>
          <w:noProof/>
          <w:color w:val="000000" w:themeColor="text1"/>
          <w:sz w:val="22"/>
          <w:szCs w:val="22"/>
          <w:lang w:val="en-US" w:eastAsia="en-US"/>
        </w:rPr>
        <w:drawing>
          <wp:inline distT="0" distB="0" distL="0" distR="0" wp14:anchorId="37715710" wp14:editId="1225DCE7">
            <wp:extent cx="5611218" cy="1594377"/>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7082" cy="1621616"/>
                    </a:xfrm>
                    <a:prstGeom prst="rect">
                      <a:avLst/>
                    </a:prstGeom>
                    <a:noFill/>
                    <a:ln>
                      <a:noFill/>
                    </a:ln>
                  </pic:spPr>
                </pic:pic>
              </a:graphicData>
            </a:graphic>
          </wp:inline>
        </w:drawing>
      </w:r>
    </w:p>
    <w:p w14:paraId="14C4F364" w14:textId="77777777" w:rsidR="007D4052" w:rsidRDefault="007D4052" w:rsidP="000D06A2">
      <w:pPr>
        <w:spacing w:after="120"/>
        <w:jc w:val="both"/>
        <w:rPr>
          <w:color w:val="000000" w:themeColor="text1"/>
          <w:sz w:val="22"/>
          <w:szCs w:val="22"/>
        </w:rPr>
      </w:pPr>
    </w:p>
    <w:p w14:paraId="62BA0650" w14:textId="77777777" w:rsidR="00895CB6" w:rsidRDefault="007D4052" w:rsidP="00EA3A27">
      <w:pPr>
        <w:spacing w:after="120" w:line="480" w:lineRule="auto"/>
        <w:contextualSpacing/>
        <w:jc w:val="both"/>
        <w:rPr>
          <w:color w:val="000000" w:themeColor="text1"/>
          <w:sz w:val="22"/>
          <w:szCs w:val="22"/>
        </w:rPr>
      </w:pPr>
      <w:r>
        <w:rPr>
          <w:color w:val="000000" w:themeColor="text1"/>
          <w:sz w:val="22"/>
          <w:szCs w:val="22"/>
        </w:rPr>
        <w:t>A</w:t>
      </w:r>
      <w:r w:rsidR="006A43E8">
        <w:rPr>
          <w:color w:val="000000" w:themeColor="text1"/>
          <w:sz w:val="22"/>
          <w:szCs w:val="22"/>
        </w:rPr>
        <w:t xml:space="preserve">nother </w:t>
      </w:r>
      <w:r>
        <w:rPr>
          <w:color w:val="000000" w:themeColor="text1"/>
          <w:sz w:val="22"/>
          <w:szCs w:val="22"/>
        </w:rPr>
        <w:t xml:space="preserve">acceptable </w:t>
      </w:r>
      <w:r w:rsidR="006A43E8">
        <w:rPr>
          <w:color w:val="000000" w:themeColor="text1"/>
          <w:sz w:val="22"/>
          <w:szCs w:val="22"/>
        </w:rPr>
        <w:t>approximation</w:t>
      </w:r>
      <w:r w:rsidR="00C204AE">
        <w:rPr>
          <w:color w:val="000000" w:themeColor="text1"/>
          <w:sz w:val="22"/>
          <w:szCs w:val="22"/>
        </w:rPr>
        <w:t xml:space="preserve"> </w:t>
      </w:r>
      <w:r>
        <w:rPr>
          <w:color w:val="000000" w:themeColor="text1"/>
          <w:sz w:val="22"/>
          <w:szCs w:val="22"/>
        </w:rPr>
        <w:t xml:space="preserve">for the IRR of investment C </w:t>
      </w:r>
      <w:r w:rsidR="00C204AE">
        <w:rPr>
          <w:color w:val="000000" w:themeColor="text1"/>
          <w:sz w:val="22"/>
          <w:szCs w:val="22"/>
        </w:rPr>
        <w:t>can be derived as follows:</w:t>
      </w:r>
      <w:r w:rsidR="00D227E7" w:rsidRPr="00D227E7">
        <w:t xml:space="preserve"> </w:t>
      </w:r>
      <w:r w:rsidR="00A514E6">
        <w:t>w</w:t>
      </w:r>
      <w:r w:rsidR="00D227E7" w:rsidRPr="00D227E7">
        <w:rPr>
          <w:color w:val="000000" w:themeColor="text1"/>
          <w:sz w:val="22"/>
          <w:szCs w:val="22"/>
        </w:rPr>
        <w:t xml:space="preserve">ith </w:t>
      </w:r>
      <w:r w:rsidR="006A43E8">
        <w:rPr>
          <w:color w:val="000000" w:themeColor="text1"/>
          <w:sz w:val="22"/>
          <w:szCs w:val="22"/>
        </w:rPr>
        <w:t>23</w:t>
      </w:r>
      <w:r w:rsidR="00D227E7" w:rsidRPr="00D227E7">
        <w:rPr>
          <w:color w:val="000000" w:themeColor="text1"/>
          <w:sz w:val="22"/>
          <w:szCs w:val="22"/>
        </w:rPr>
        <w:t xml:space="preserve">% cost of capital the NPV is </w:t>
      </w:r>
      <w:r w:rsidR="003E239C">
        <w:rPr>
          <w:color w:val="000000" w:themeColor="text1"/>
          <w:sz w:val="22"/>
          <w:szCs w:val="22"/>
        </w:rPr>
        <w:t>23.</w:t>
      </w:r>
      <w:r w:rsidR="006A43E8">
        <w:rPr>
          <w:color w:val="000000" w:themeColor="text1"/>
          <w:sz w:val="22"/>
          <w:szCs w:val="22"/>
        </w:rPr>
        <w:t>1</w:t>
      </w:r>
      <w:r w:rsidR="00A514E6">
        <w:rPr>
          <w:color w:val="000000" w:themeColor="text1"/>
          <w:sz w:val="22"/>
          <w:szCs w:val="22"/>
        </w:rPr>
        <w:t xml:space="preserve"> and w</w:t>
      </w:r>
      <w:r w:rsidR="00D227E7" w:rsidRPr="00A514E6">
        <w:rPr>
          <w:color w:val="000000" w:themeColor="text1"/>
          <w:sz w:val="22"/>
          <w:szCs w:val="22"/>
        </w:rPr>
        <w:t xml:space="preserve">ith </w:t>
      </w:r>
      <w:r w:rsidR="006A43E8">
        <w:rPr>
          <w:color w:val="000000" w:themeColor="text1"/>
          <w:sz w:val="22"/>
          <w:szCs w:val="22"/>
        </w:rPr>
        <w:t>24</w:t>
      </w:r>
      <w:r w:rsidR="00D227E7" w:rsidRPr="00A514E6">
        <w:rPr>
          <w:color w:val="000000" w:themeColor="text1"/>
          <w:sz w:val="22"/>
          <w:szCs w:val="22"/>
        </w:rPr>
        <w:t xml:space="preserve">% </w:t>
      </w:r>
      <w:r w:rsidR="006A43E8">
        <w:rPr>
          <w:color w:val="000000" w:themeColor="text1"/>
          <w:sz w:val="22"/>
          <w:szCs w:val="22"/>
        </w:rPr>
        <w:t xml:space="preserve">it is </w:t>
      </w:r>
      <w:r w:rsidR="00D227E7" w:rsidRPr="00A514E6">
        <w:rPr>
          <w:color w:val="000000" w:themeColor="text1"/>
          <w:sz w:val="22"/>
          <w:szCs w:val="22"/>
        </w:rPr>
        <w:t>-</w:t>
      </w:r>
      <w:r w:rsidR="006A43E8">
        <w:rPr>
          <w:color w:val="000000" w:themeColor="text1"/>
          <w:sz w:val="22"/>
          <w:szCs w:val="22"/>
        </w:rPr>
        <w:t>20.2</w:t>
      </w:r>
      <w:r w:rsidR="00A514E6">
        <w:rPr>
          <w:color w:val="000000" w:themeColor="text1"/>
          <w:sz w:val="22"/>
          <w:szCs w:val="22"/>
        </w:rPr>
        <w:t xml:space="preserve">. </w:t>
      </w:r>
      <w:r w:rsidR="00C9076F">
        <w:rPr>
          <w:color w:val="000000" w:themeColor="text1"/>
          <w:sz w:val="22"/>
          <w:szCs w:val="22"/>
        </w:rPr>
        <w:t>T</w:t>
      </w:r>
      <w:r w:rsidR="003E239C">
        <w:rPr>
          <w:color w:val="000000" w:themeColor="text1"/>
          <w:sz w:val="22"/>
          <w:szCs w:val="22"/>
        </w:rPr>
        <w:t xml:space="preserve">hus, </w:t>
      </w:r>
      <w:r w:rsidR="00D227E7" w:rsidRPr="00D227E7">
        <w:rPr>
          <w:color w:val="000000" w:themeColor="text1"/>
          <w:sz w:val="22"/>
          <w:szCs w:val="22"/>
        </w:rPr>
        <w:t>for every 1</w:t>
      </w:r>
      <w:r w:rsidR="00D227E7">
        <w:rPr>
          <w:color w:val="000000" w:themeColor="text1"/>
          <w:sz w:val="22"/>
          <w:szCs w:val="22"/>
        </w:rPr>
        <w:t>%</w:t>
      </w:r>
      <w:r w:rsidR="00D227E7" w:rsidRPr="00D227E7">
        <w:rPr>
          <w:color w:val="000000" w:themeColor="text1"/>
          <w:sz w:val="22"/>
          <w:szCs w:val="22"/>
        </w:rPr>
        <w:t xml:space="preserve"> </w:t>
      </w:r>
      <w:r w:rsidR="00D227E7">
        <w:rPr>
          <w:color w:val="000000" w:themeColor="text1"/>
          <w:sz w:val="22"/>
          <w:szCs w:val="22"/>
        </w:rPr>
        <w:t xml:space="preserve">change </w:t>
      </w:r>
      <w:r w:rsidR="00D227E7" w:rsidRPr="00D227E7">
        <w:rPr>
          <w:color w:val="000000" w:themeColor="text1"/>
          <w:sz w:val="22"/>
          <w:szCs w:val="22"/>
        </w:rPr>
        <w:t xml:space="preserve">in discount rate (or cost of </w:t>
      </w:r>
      <w:r w:rsidR="003E239C">
        <w:rPr>
          <w:color w:val="000000" w:themeColor="text1"/>
          <w:sz w:val="22"/>
          <w:szCs w:val="22"/>
        </w:rPr>
        <w:t>capital)</w:t>
      </w:r>
      <w:r w:rsidR="00D227E7" w:rsidRPr="00D227E7">
        <w:rPr>
          <w:color w:val="000000" w:themeColor="text1"/>
          <w:sz w:val="22"/>
          <w:szCs w:val="22"/>
        </w:rPr>
        <w:t xml:space="preserve"> the </w:t>
      </w:r>
      <w:r w:rsidR="003E239C">
        <w:rPr>
          <w:color w:val="000000" w:themeColor="text1"/>
          <w:sz w:val="22"/>
          <w:szCs w:val="22"/>
        </w:rPr>
        <w:t xml:space="preserve">NPV </w:t>
      </w:r>
      <w:r w:rsidR="00D227E7" w:rsidRPr="00D227E7">
        <w:rPr>
          <w:color w:val="000000" w:themeColor="text1"/>
          <w:sz w:val="22"/>
          <w:szCs w:val="22"/>
        </w:rPr>
        <w:t xml:space="preserve">change will be </w:t>
      </w:r>
      <w:r w:rsidR="006A43E8" w:rsidRPr="006A43E8">
        <w:rPr>
          <w:color w:val="000000" w:themeColor="text1"/>
          <w:sz w:val="22"/>
          <w:szCs w:val="22"/>
        </w:rPr>
        <w:t>43.3 (20.2+23.1)</w:t>
      </w:r>
      <w:r w:rsidR="00C9076F">
        <w:rPr>
          <w:color w:val="000000" w:themeColor="text1"/>
          <w:sz w:val="22"/>
          <w:szCs w:val="22"/>
        </w:rPr>
        <w:t xml:space="preserve">. </w:t>
      </w:r>
      <w:r>
        <w:rPr>
          <w:color w:val="000000" w:themeColor="text1"/>
          <w:sz w:val="22"/>
          <w:szCs w:val="22"/>
        </w:rPr>
        <w:t>Therefore, t</w:t>
      </w:r>
      <w:r w:rsidRPr="007D4052">
        <w:rPr>
          <w:color w:val="000000" w:themeColor="text1"/>
          <w:sz w:val="22"/>
          <w:szCs w:val="22"/>
        </w:rPr>
        <w:t>he amount by which the IRR would need to fall below 24% discount rate in order to achieve a zero NPV</w:t>
      </w:r>
      <w:r>
        <w:rPr>
          <w:color w:val="000000" w:themeColor="text1"/>
          <w:sz w:val="22"/>
          <w:szCs w:val="22"/>
        </w:rPr>
        <w:t xml:space="preserve"> would be</w:t>
      </w:r>
      <w:r w:rsidR="00C9076F" w:rsidRPr="00C9076F">
        <w:rPr>
          <w:color w:val="000000" w:themeColor="text1"/>
          <w:sz w:val="22"/>
          <w:szCs w:val="22"/>
        </w:rPr>
        <w:t>:</w:t>
      </w:r>
      <w:r w:rsidR="00C9076F">
        <w:rPr>
          <w:color w:val="000000" w:themeColor="text1"/>
          <w:sz w:val="22"/>
          <w:szCs w:val="22"/>
        </w:rPr>
        <w:t xml:space="preserve"> </w:t>
      </w:r>
      <w:r w:rsidR="006A43E8" w:rsidRPr="006A43E8">
        <w:rPr>
          <w:color w:val="000000" w:themeColor="text1"/>
          <w:sz w:val="22"/>
          <w:szCs w:val="22"/>
        </w:rPr>
        <w:t>(20.2%/43.</w:t>
      </w:r>
      <w:proofErr w:type="gramStart"/>
      <w:r w:rsidR="006A43E8" w:rsidRPr="006A43E8">
        <w:rPr>
          <w:color w:val="000000" w:themeColor="text1"/>
          <w:sz w:val="22"/>
          <w:szCs w:val="22"/>
        </w:rPr>
        <w:t>3)*</w:t>
      </w:r>
      <w:proofErr w:type="gramEnd"/>
      <w:r w:rsidR="006A43E8" w:rsidRPr="006A43E8">
        <w:rPr>
          <w:color w:val="000000" w:themeColor="text1"/>
          <w:sz w:val="22"/>
          <w:szCs w:val="22"/>
        </w:rPr>
        <w:t>1%=0.47%</w:t>
      </w:r>
      <w:r w:rsidR="00C9076F">
        <w:rPr>
          <w:color w:val="000000" w:themeColor="text1"/>
          <w:sz w:val="22"/>
          <w:szCs w:val="22"/>
        </w:rPr>
        <w:t xml:space="preserve">. </w:t>
      </w:r>
      <w:r w:rsidR="006A01E8">
        <w:rPr>
          <w:color w:val="000000" w:themeColor="text1"/>
          <w:sz w:val="22"/>
          <w:szCs w:val="22"/>
        </w:rPr>
        <w:t xml:space="preserve">Using this method, IRR </w:t>
      </w:r>
      <w:r w:rsidR="00A514E6">
        <w:rPr>
          <w:color w:val="000000" w:themeColor="text1"/>
          <w:sz w:val="22"/>
          <w:szCs w:val="22"/>
        </w:rPr>
        <w:t xml:space="preserve">for </w:t>
      </w:r>
      <w:r>
        <w:rPr>
          <w:color w:val="000000" w:themeColor="text1"/>
          <w:sz w:val="22"/>
          <w:szCs w:val="22"/>
        </w:rPr>
        <w:t>i</w:t>
      </w:r>
      <w:r w:rsidR="006A43E8">
        <w:rPr>
          <w:color w:val="000000" w:themeColor="text1"/>
          <w:sz w:val="22"/>
          <w:szCs w:val="22"/>
        </w:rPr>
        <w:t xml:space="preserve">nvestment C </w:t>
      </w:r>
      <w:r w:rsidR="003E239C">
        <w:rPr>
          <w:color w:val="000000" w:themeColor="text1"/>
          <w:sz w:val="22"/>
          <w:szCs w:val="22"/>
        </w:rPr>
        <w:t>is</w:t>
      </w:r>
      <w:r w:rsidR="00C9076F" w:rsidRPr="00C9076F">
        <w:rPr>
          <w:color w:val="000000" w:themeColor="text1"/>
          <w:sz w:val="22"/>
          <w:szCs w:val="22"/>
        </w:rPr>
        <w:t xml:space="preserve">: </w:t>
      </w:r>
      <w:r w:rsidR="006A43E8" w:rsidRPr="006A43E8">
        <w:rPr>
          <w:color w:val="000000" w:themeColor="text1"/>
          <w:sz w:val="22"/>
          <w:szCs w:val="22"/>
        </w:rPr>
        <w:t>24%-0.47%=23.53%</w:t>
      </w:r>
      <w:r w:rsidR="00C9076F">
        <w:rPr>
          <w:color w:val="000000" w:themeColor="text1"/>
          <w:sz w:val="22"/>
          <w:szCs w:val="22"/>
        </w:rPr>
        <w:t>.</w:t>
      </w:r>
    </w:p>
    <w:p w14:paraId="159113BE" w14:textId="77777777" w:rsidR="000D06A2" w:rsidRDefault="000D06A2" w:rsidP="0001255B">
      <w:pPr>
        <w:pStyle w:val="ListParagraph"/>
        <w:numPr>
          <w:ilvl w:val="0"/>
          <w:numId w:val="25"/>
        </w:numPr>
        <w:ind w:left="284" w:hanging="284"/>
        <w:outlineLvl w:val="0"/>
        <w:rPr>
          <w:b/>
          <w:color w:val="000000" w:themeColor="text1"/>
          <w:sz w:val="22"/>
          <w:szCs w:val="22"/>
        </w:rPr>
        <w:sectPr w:rsidR="000D06A2" w:rsidSect="008206B9">
          <w:pgSz w:w="12240" w:h="15840"/>
          <w:pgMar w:top="1440" w:right="1440" w:bottom="1440" w:left="1440" w:header="708" w:footer="708" w:gutter="0"/>
          <w:cols w:space="708"/>
          <w:docGrid w:linePitch="360"/>
        </w:sectPr>
      </w:pPr>
    </w:p>
    <w:p w14:paraId="79AF09FB" w14:textId="77777777" w:rsidR="00D9023E" w:rsidRDefault="00D9023E" w:rsidP="0001255B">
      <w:pPr>
        <w:pStyle w:val="ListParagraph"/>
        <w:numPr>
          <w:ilvl w:val="0"/>
          <w:numId w:val="25"/>
        </w:numPr>
        <w:ind w:left="284" w:hanging="284"/>
        <w:outlineLvl w:val="0"/>
        <w:rPr>
          <w:b/>
          <w:color w:val="000000" w:themeColor="text1"/>
          <w:sz w:val="22"/>
          <w:szCs w:val="22"/>
        </w:rPr>
      </w:pPr>
      <w:bookmarkStart w:id="40" w:name="_Toc535615935"/>
      <w:r w:rsidRPr="00D9023E">
        <w:rPr>
          <w:b/>
          <w:color w:val="000000" w:themeColor="text1"/>
          <w:sz w:val="22"/>
          <w:szCs w:val="22"/>
        </w:rPr>
        <w:lastRenderedPageBreak/>
        <w:t>Interpretation of Evaluation Results</w:t>
      </w:r>
      <w:bookmarkEnd w:id="40"/>
    </w:p>
    <w:p w14:paraId="4B1ED799" w14:textId="77777777" w:rsidR="00D9023E" w:rsidRPr="00D9023E" w:rsidRDefault="00D9023E" w:rsidP="00D9023E">
      <w:pPr>
        <w:pStyle w:val="ListParagraph"/>
        <w:rPr>
          <w:b/>
          <w:color w:val="000000" w:themeColor="text1"/>
          <w:sz w:val="22"/>
          <w:szCs w:val="22"/>
        </w:rPr>
      </w:pPr>
    </w:p>
    <w:p w14:paraId="7941D455" w14:textId="77777777" w:rsidR="001A685B" w:rsidRPr="00D9023E" w:rsidRDefault="00AA365F" w:rsidP="00EA3A27">
      <w:pPr>
        <w:pStyle w:val="ListParagraph"/>
        <w:numPr>
          <w:ilvl w:val="1"/>
          <w:numId w:val="25"/>
        </w:numPr>
        <w:spacing w:line="480" w:lineRule="auto"/>
        <w:outlineLvl w:val="1"/>
        <w:rPr>
          <w:b/>
          <w:color w:val="000000" w:themeColor="text1"/>
          <w:sz w:val="22"/>
          <w:szCs w:val="22"/>
        </w:rPr>
      </w:pPr>
      <w:bookmarkStart w:id="41" w:name="_Toc535615936"/>
      <w:r>
        <w:rPr>
          <w:b/>
          <w:color w:val="000000" w:themeColor="text1"/>
          <w:sz w:val="22"/>
          <w:szCs w:val="22"/>
        </w:rPr>
        <w:t>NPV as</w:t>
      </w:r>
      <w:r w:rsidR="001A685B" w:rsidRPr="00D9023E">
        <w:rPr>
          <w:b/>
          <w:color w:val="000000" w:themeColor="text1"/>
          <w:sz w:val="22"/>
          <w:szCs w:val="22"/>
        </w:rPr>
        <w:t xml:space="preserve"> </w:t>
      </w:r>
      <w:r w:rsidR="00224767" w:rsidRPr="00D9023E">
        <w:rPr>
          <w:b/>
          <w:color w:val="000000" w:themeColor="text1"/>
          <w:sz w:val="22"/>
          <w:szCs w:val="22"/>
        </w:rPr>
        <w:t>the B</w:t>
      </w:r>
      <w:r w:rsidR="001A685B" w:rsidRPr="00D9023E">
        <w:rPr>
          <w:b/>
          <w:color w:val="000000" w:themeColor="text1"/>
          <w:sz w:val="22"/>
          <w:szCs w:val="22"/>
        </w:rPr>
        <w:t>est</w:t>
      </w:r>
      <w:r w:rsidR="00224767" w:rsidRPr="00D9023E">
        <w:rPr>
          <w:b/>
          <w:color w:val="000000" w:themeColor="text1"/>
          <w:sz w:val="22"/>
          <w:szCs w:val="22"/>
        </w:rPr>
        <w:t xml:space="preserve"> Method of Investment A</w:t>
      </w:r>
      <w:r w:rsidR="001A685B" w:rsidRPr="00D9023E">
        <w:rPr>
          <w:b/>
          <w:color w:val="000000" w:themeColor="text1"/>
          <w:sz w:val="22"/>
          <w:szCs w:val="22"/>
        </w:rPr>
        <w:t>ppraisal</w:t>
      </w:r>
      <w:bookmarkEnd w:id="41"/>
    </w:p>
    <w:p w14:paraId="6D7BB338" w14:textId="77777777" w:rsidR="00F5060D" w:rsidRDefault="00B0692D" w:rsidP="00EA3A27">
      <w:pPr>
        <w:spacing w:line="480" w:lineRule="auto"/>
        <w:jc w:val="both"/>
        <w:rPr>
          <w:color w:val="000000" w:themeColor="text1"/>
          <w:sz w:val="22"/>
          <w:szCs w:val="22"/>
        </w:rPr>
      </w:pPr>
      <w:r>
        <w:rPr>
          <w:color w:val="000000" w:themeColor="text1"/>
          <w:sz w:val="22"/>
          <w:szCs w:val="22"/>
        </w:rPr>
        <w:t>N</w:t>
      </w:r>
      <w:r w:rsidR="00224767" w:rsidRPr="00AD1388">
        <w:rPr>
          <w:color w:val="000000" w:themeColor="text1"/>
          <w:sz w:val="22"/>
          <w:szCs w:val="22"/>
        </w:rPr>
        <w:t xml:space="preserve">PV </w:t>
      </w:r>
      <w:r w:rsidR="00626376">
        <w:rPr>
          <w:color w:val="000000" w:themeColor="text1"/>
          <w:sz w:val="22"/>
          <w:szCs w:val="22"/>
        </w:rPr>
        <w:t xml:space="preserve">must be </w:t>
      </w:r>
      <w:r w:rsidR="00224767" w:rsidRPr="00AD1388">
        <w:rPr>
          <w:color w:val="000000" w:themeColor="text1"/>
          <w:sz w:val="22"/>
          <w:szCs w:val="22"/>
        </w:rPr>
        <w:t>selecte</w:t>
      </w:r>
      <w:r w:rsidR="00626376">
        <w:rPr>
          <w:color w:val="000000" w:themeColor="text1"/>
          <w:sz w:val="22"/>
          <w:szCs w:val="22"/>
        </w:rPr>
        <w:t>d</w:t>
      </w:r>
      <w:r w:rsidR="00243772">
        <w:rPr>
          <w:color w:val="000000" w:themeColor="text1"/>
          <w:sz w:val="22"/>
          <w:szCs w:val="22"/>
        </w:rPr>
        <w:t xml:space="preserve"> over </w:t>
      </w:r>
      <w:r>
        <w:rPr>
          <w:color w:val="000000" w:themeColor="text1"/>
          <w:sz w:val="22"/>
          <w:szCs w:val="22"/>
        </w:rPr>
        <w:t>other investment appraisal (IA) methods,</w:t>
      </w:r>
      <w:r w:rsidR="00557442" w:rsidRPr="00AD1388">
        <w:rPr>
          <w:color w:val="000000" w:themeColor="text1"/>
          <w:sz w:val="22"/>
          <w:szCs w:val="22"/>
        </w:rPr>
        <w:t xml:space="preserve"> such as accounting rate of return</w:t>
      </w:r>
      <w:r w:rsidR="00B4411F" w:rsidRPr="00AD1388">
        <w:rPr>
          <w:color w:val="000000" w:themeColor="text1"/>
          <w:sz w:val="22"/>
          <w:szCs w:val="22"/>
        </w:rPr>
        <w:t xml:space="preserve"> (ARR)</w:t>
      </w:r>
      <w:r w:rsidR="002422F8" w:rsidRPr="00AD1388">
        <w:rPr>
          <w:color w:val="000000" w:themeColor="text1"/>
          <w:sz w:val="22"/>
          <w:szCs w:val="22"/>
        </w:rPr>
        <w:t xml:space="preserve">, </w:t>
      </w:r>
      <w:r w:rsidR="00557442" w:rsidRPr="00AD1388">
        <w:rPr>
          <w:color w:val="000000" w:themeColor="text1"/>
          <w:sz w:val="22"/>
          <w:szCs w:val="22"/>
        </w:rPr>
        <w:t>payback period</w:t>
      </w:r>
      <w:r w:rsidR="00B4411F" w:rsidRPr="00AD1388">
        <w:rPr>
          <w:color w:val="000000" w:themeColor="text1"/>
          <w:sz w:val="22"/>
          <w:szCs w:val="22"/>
        </w:rPr>
        <w:t xml:space="preserve"> (PP)</w:t>
      </w:r>
      <w:r w:rsidR="002422F8" w:rsidRPr="00AD1388">
        <w:rPr>
          <w:color w:val="000000" w:themeColor="text1"/>
          <w:sz w:val="22"/>
          <w:szCs w:val="22"/>
        </w:rPr>
        <w:t>, or internal rate of return (IRR)</w:t>
      </w:r>
      <w:r w:rsidR="00AA365F">
        <w:rPr>
          <w:rStyle w:val="FootnoteReference"/>
          <w:color w:val="000000" w:themeColor="text1"/>
          <w:sz w:val="22"/>
          <w:szCs w:val="22"/>
        </w:rPr>
        <w:footnoteReference w:id="11"/>
      </w:r>
      <w:r>
        <w:rPr>
          <w:color w:val="000000" w:themeColor="text1"/>
          <w:sz w:val="22"/>
          <w:szCs w:val="22"/>
        </w:rPr>
        <w:t xml:space="preserve">, because it </w:t>
      </w:r>
      <w:r w:rsidR="00243772">
        <w:rPr>
          <w:color w:val="000000" w:themeColor="text1"/>
          <w:sz w:val="22"/>
          <w:szCs w:val="22"/>
        </w:rPr>
        <w:t xml:space="preserve">overcomes </w:t>
      </w:r>
      <w:r>
        <w:rPr>
          <w:color w:val="000000" w:themeColor="text1"/>
          <w:sz w:val="22"/>
          <w:szCs w:val="22"/>
        </w:rPr>
        <w:t>the short-</w:t>
      </w:r>
      <w:r w:rsidR="000B4BEE" w:rsidRPr="00AD1388">
        <w:rPr>
          <w:color w:val="000000" w:themeColor="text1"/>
          <w:sz w:val="22"/>
          <w:szCs w:val="22"/>
        </w:rPr>
        <w:t>comings</w:t>
      </w:r>
      <w:r w:rsidR="00AA365F">
        <w:rPr>
          <w:color w:val="000000" w:themeColor="text1"/>
          <w:sz w:val="22"/>
          <w:szCs w:val="22"/>
        </w:rPr>
        <w:t xml:space="preserve"> of</w:t>
      </w:r>
      <w:r w:rsidR="000B4BEE" w:rsidRPr="00AD1388">
        <w:rPr>
          <w:color w:val="000000" w:themeColor="text1"/>
          <w:sz w:val="22"/>
          <w:szCs w:val="22"/>
        </w:rPr>
        <w:t xml:space="preserve"> </w:t>
      </w:r>
      <w:r>
        <w:rPr>
          <w:color w:val="000000" w:themeColor="text1"/>
          <w:sz w:val="22"/>
          <w:szCs w:val="22"/>
        </w:rPr>
        <w:t>the others,</w:t>
      </w:r>
      <w:r w:rsidR="00243772">
        <w:rPr>
          <w:color w:val="000000" w:themeColor="text1"/>
          <w:sz w:val="22"/>
          <w:szCs w:val="22"/>
        </w:rPr>
        <w:t xml:space="preserve"> due to its</w:t>
      </w:r>
      <w:r>
        <w:rPr>
          <w:color w:val="000000" w:themeColor="text1"/>
          <w:sz w:val="22"/>
          <w:szCs w:val="22"/>
        </w:rPr>
        <w:t>:</w:t>
      </w:r>
      <w:r w:rsidR="00243772">
        <w:rPr>
          <w:color w:val="000000" w:themeColor="text1"/>
          <w:sz w:val="22"/>
          <w:szCs w:val="22"/>
        </w:rPr>
        <w:t xml:space="preserve"> accounting for </w:t>
      </w:r>
      <w:r w:rsidR="0004076A" w:rsidRPr="00AD1388">
        <w:rPr>
          <w:i/>
          <w:color w:val="000000" w:themeColor="text1"/>
          <w:sz w:val="22"/>
          <w:szCs w:val="22"/>
        </w:rPr>
        <w:t>timing of the cash flows</w:t>
      </w:r>
      <w:r w:rsidR="002E33E2" w:rsidRPr="00AD1388">
        <w:rPr>
          <w:i/>
          <w:color w:val="000000" w:themeColor="text1"/>
          <w:sz w:val="22"/>
          <w:szCs w:val="22"/>
        </w:rPr>
        <w:t>,</w:t>
      </w:r>
      <w:r w:rsidR="0004076A" w:rsidRPr="00AD1388">
        <w:rPr>
          <w:color w:val="000000" w:themeColor="text1"/>
          <w:sz w:val="22"/>
          <w:szCs w:val="22"/>
        </w:rPr>
        <w:t xml:space="preserve"> </w:t>
      </w:r>
      <w:r w:rsidR="000B4BEE" w:rsidRPr="00AD1388">
        <w:rPr>
          <w:color w:val="000000" w:themeColor="text1"/>
          <w:sz w:val="22"/>
          <w:szCs w:val="22"/>
        </w:rPr>
        <w:t xml:space="preserve">the </w:t>
      </w:r>
      <w:r w:rsidR="000B4BEE" w:rsidRPr="00AD1388">
        <w:rPr>
          <w:i/>
          <w:color w:val="000000" w:themeColor="text1"/>
          <w:sz w:val="22"/>
          <w:szCs w:val="22"/>
        </w:rPr>
        <w:t xml:space="preserve">whole of the relevant cash flows, </w:t>
      </w:r>
      <w:r w:rsidR="000B4BEE" w:rsidRPr="00AD1388">
        <w:rPr>
          <w:color w:val="000000" w:themeColor="text1"/>
          <w:sz w:val="22"/>
          <w:szCs w:val="22"/>
        </w:rPr>
        <w:t xml:space="preserve">the </w:t>
      </w:r>
      <w:r w:rsidR="000B4BEE" w:rsidRPr="00AD1388">
        <w:rPr>
          <w:i/>
          <w:color w:val="000000" w:themeColor="text1"/>
          <w:sz w:val="22"/>
          <w:szCs w:val="22"/>
        </w:rPr>
        <w:t>objectives of the business</w:t>
      </w:r>
      <w:r w:rsidR="00195E72" w:rsidRPr="00AD1388">
        <w:rPr>
          <w:color w:val="000000" w:themeColor="text1"/>
          <w:sz w:val="22"/>
          <w:szCs w:val="22"/>
        </w:rPr>
        <w:t xml:space="preserve">, and assessing the </w:t>
      </w:r>
      <w:r w:rsidR="00195E72" w:rsidRPr="00AD1388">
        <w:rPr>
          <w:i/>
          <w:color w:val="000000" w:themeColor="text1"/>
          <w:sz w:val="22"/>
          <w:szCs w:val="22"/>
        </w:rPr>
        <w:t>economic value of productive assets</w:t>
      </w:r>
      <w:r w:rsidR="000B4BEE" w:rsidRPr="00AD1388">
        <w:rPr>
          <w:i/>
          <w:color w:val="000000" w:themeColor="text1"/>
          <w:sz w:val="22"/>
          <w:szCs w:val="22"/>
        </w:rPr>
        <w:t xml:space="preserve">. </w:t>
      </w:r>
      <w:r w:rsidR="000B4BEE" w:rsidRPr="00AD1388">
        <w:rPr>
          <w:color w:val="000000" w:themeColor="text1"/>
          <w:sz w:val="22"/>
          <w:szCs w:val="22"/>
        </w:rPr>
        <w:t>With regard to timing,</w:t>
      </w:r>
      <w:r w:rsidR="000B4BEE" w:rsidRPr="00AD1388">
        <w:rPr>
          <w:i/>
          <w:color w:val="000000" w:themeColor="text1"/>
          <w:sz w:val="22"/>
          <w:szCs w:val="22"/>
        </w:rPr>
        <w:t xml:space="preserve"> </w:t>
      </w:r>
      <w:r w:rsidR="000B4BEE" w:rsidRPr="00AD1388">
        <w:rPr>
          <w:color w:val="000000" w:themeColor="text1"/>
          <w:sz w:val="22"/>
          <w:szCs w:val="22"/>
        </w:rPr>
        <w:t xml:space="preserve">NPV </w:t>
      </w:r>
      <w:r w:rsidR="0004076A" w:rsidRPr="00AD1388">
        <w:rPr>
          <w:color w:val="000000" w:themeColor="text1"/>
          <w:sz w:val="22"/>
          <w:szCs w:val="22"/>
        </w:rPr>
        <w:t>discount</w:t>
      </w:r>
      <w:r w:rsidR="000B4BEE" w:rsidRPr="00AD1388">
        <w:rPr>
          <w:color w:val="000000" w:themeColor="text1"/>
          <w:sz w:val="22"/>
          <w:szCs w:val="22"/>
        </w:rPr>
        <w:t>s</w:t>
      </w:r>
      <w:r w:rsidR="0004076A" w:rsidRPr="00AD1388">
        <w:rPr>
          <w:color w:val="000000" w:themeColor="text1"/>
          <w:sz w:val="22"/>
          <w:szCs w:val="22"/>
        </w:rPr>
        <w:t xml:space="preserve"> the various cash flows </w:t>
      </w:r>
      <w:r w:rsidR="000B4BEE" w:rsidRPr="00AD1388">
        <w:rPr>
          <w:color w:val="000000" w:themeColor="text1"/>
          <w:sz w:val="22"/>
          <w:szCs w:val="22"/>
        </w:rPr>
        <w:t xml:space="preserve">linked to </w:t>
      </w:r>
      <w:r w:rsidR="0004076A" w:rsidRPr="00AD1388">
        <w:rPr>
          <w:color w:val="000000" w:themeColor="text1"/>
          <w:sz w:val="22"/>
          <w:szCs w:val="22"/>
        </w:rPr>
        <w:t xml:space="preserve">each project </w:t>
      </w:r>
      <w:r w:rsidR="000B4BEE" w:rsidRPr="00AD1388">
        <w:rPr>
          <w:color w:val="000000" w:themeColor="text1"/>
          <w:sz w:val="22"/>
          <w:szCs w:val="22"/>
        </w:rPr>
        <w:t xml:space="preserve">based on </w:t>
      </w:r>
      <w:r w:rsidR="000B4BEE" w:rsidRPr="00AD1388">
        <w:rPr>
          <w:i/>
          <w:color w:val="000000" w:themeColor="text1"/>
          <w:sz w:val="22"/>
          <w:szCs w:val="22"/>
        </w:rPr>
        <w:t>when</w:t>
      </w:r>
      <w:r w:rsidR="00D6183E" w:rsidRPr="00AD1388">
        <w:rPr>
          <w:color w:val="000000" w:themeColor="text1"/>
          <w:sz w:val="22"/>
          <w:szCs w:val="22"/>
        </w:rPr>
        <w:t xml:space="preserve"> a proj</w:t>
      </w:r>
      <w:r w:rsidR="00E86243" w:rsidRPr="00AD1388">
        <w:rPr>
          <w:color w:val="000000" w:themeColor="text1"/>
          <w:sz w:val="22"/>
          <w:szCs w:val="22"/>
        </w:rPr>
        <w:t>ect is expected to arise, thereby recognizing and taking int</w:t>
      </w:r>
      <w:r w:rsidR="00C07AB3" w:rsidRPr="00AD1388">
        <w:rPr>
          <w:color w:val="000000" w:themeColor="text1"/>
          <w:sz w:val="22"/>
          <w:szCs w:val="22"/>
        </w:rPr>
        <w:t>o account</w:t>
      </w:r>
      <w:r w:rsidR="00C07AB3">
        <w:rPr>
          <w:rFonts w:ascii="Times" w:hAnsi="Times"/>
          <w:color w:val="000000" w:themeColor="text1"/>
          <w:sz w:val="22"/>
          <w:szCs w:val="22"/>
        </w:rPr>
        <w:t xml:space="preserve"> </w:t>
      </w:r>
      <w:r w:rsidR="00C07AB3" w:rsidRPr="00AD1388">
        <w:rPr>
          <w:color w:val="000000" w:themeColor="text1"/>
          <w:sz w:val="22"/>
          <w:szCs w:val="22"/>
        </w:rPr>
        <w:t xml:space="preserve">time value for money, and identifies net benefit after financing costs, since the discounting process </w:t>
      </w:r>
      <w:r w:rsidR="009109E9" w:rsidRPr="00AD1388">
        <w:rPr>
          <w:color w:val="000000" w:themeColor="text1"/>
          <w:sz w:val="22"/>
          <w:szCs w:val="22"/>
        </w:rPr>
        <w:t xml:space="preserve">takes into consideration the opportunity cost of capital. In terms of cash flow, NPV includes all </w:t>
      </w:r>
      <w:r w:rsidR="00EB450F" w:rsidRPr="00AD1388">
        <w:rPr>
          <w:color w:val="000000" w:themeColor="text1"/>
          <w:sz w:val="22"/>
          <w:szCs w:val="22"/>
        </w:rPr>
        <w:t>relevant forms and treats them accordingly in terms of date of occurrence, which means that a</w:t>
      </w:r>
      <w:r w:rsidR="00195E72" w:rsidRPr="00AD1388">
        <w:rPr>
          <w:color w:val="000000" w:themeColor="text1"/>
          <w:sz w:val="22"/>
          <w:szCs w:val="22"/>
        </w:rPr>
        <w:t xml:space="preserve">ll will help influence decision </w:t>
      </w:r>
      <w:r w:rsidR="00EB450F" w:rsidRPr="00AD1388">
        <w:rPr>
          <w:color w:val="000000" w:themeColor="text1"/>
          <w:sz w:val="22"/>
          <w:szCs w:val="22"/>
        </w:rPr>
        <w:t xml:space="preserve">making. Finally, NPV is the only IA method for which analysis </w:t>
      </w:r>
      <w:r w:rsidR="00281280" w:rsidRPr="00AD1388">
        <w:rPr>
          <w:color w:val="000000" w:themeColor="text1"/>
          <w:sz w:val="22"/>
          <w:szCs w:val="22"/>
        </w:rPr>
        <w:t>has a direct inf</w:t>
      </w:r>
      <w:r w:rsidR="002F7BC8" w:rsidRPr="00AD1388">
        <w:rPr>
          <w:color w:val="000000" w:themeColor="text1"/>
          <w:sz w:val="22"/>
          <w:szCs w:val="22"/>
        </w:rPr>
        <w:t>luence on business owner wealth</w:t>
      </w:r>
      <w:r w:rsidR="00431DE0" w:rsidRPr="00AD1388">
        <w:rPr>
          <w:color w:val="000000" w:themeColor="text1"/>
          <w:sz w:val="22"/>
          <w:szCs w:val="22"/>
        </w:rPr>
        <w:t xml:space="preserve"> and, thus</w:t>
      </w:r>
      <w:r w:rsidR="00195E72" w:rsidRPr="00AD1388">
        <w:rPr>
          <w:color w:val="000000" w:themeColor="text1"/>
          <w:sz w:val="22"/>
          <w:szCs w:val="22"/>
        </w:rPr>
        <w:t xml:space="preserve">, decision </w:t>
      </w:r>
      <w:r w:rsidR="00431DE0" w:rsidRPr="00AD1388">
        <w:rPr>
          <w:color w:val="000000" w:themeColor="text1"/>
          <w:sz w:val="22"/>
          <w:szCs w:val="22"/>
        </w:rPr>
        <w:t>making</w:t>
      </w:r>
      <w:r w:rsidR="002F7BC8" w:rsidRPr="00AD1388">
        <w:rPr>
          <w:color w:val="000000" w:themeColor="text1"/>
          <w:sz w:val="22"/>
          <w:szCs w:val="22"/>
        </w:rPr>
        <w:t xml:space="preserve">, since it will show </w:t>
      </w:r>
      <w:r w:rsidR="00431DE0" w:rsidRPr="00AD1388">
        <w:rPr>
          <w:color w:val="000000" w:themeColor="text1"/>
          <w:sz w:val="22"/>
          <w:szCs w:val="22"/>
        </w:rPr>
        <w:t xml:space="preserve">either a positive NPV (increased wealth) or a negative NPV (reduced wealth). </w:t>
      </w:r>
      <w:r w:rsidR="00195E72" w:rsidRPr="00AD1388">
        <w:rPr>
          <w:color w:val="000000" w:themeColor="text1"/>
          <w:sz w:val="22"/>
          <w:szCs w:val="22"/>
        </w:rPr>
        <w:t>Finally, NPV is also excellent for assessing the value of any economic asset, including equity shares and even loans (</w:t>
      </w:r>
      <w:r w:rsidR="009476F4">
        <w:rPr>
          <w:color w:val="000000" w:themeColor="text1"/>
          <w:sz w:val="22"/>
          <w:szCs w:val="22"/>
        </w:rPr>
        <w:t xml:space="preserve">Drury 2012; </w:t>
      </w:r>
      <w:proofErr w:type="spellStart"/>
      <w:r w:rsidR="00195E72" w:rsidRPr="00AD1388">
        <w:rPr>
          <w:color w:val="000000" w:themeColor="text1"/>
          <w:sz w:val="22"/>
          <w:szCs w:val="22"/>
        </w:rPr>
        <w:t>Atrill</w:t>
      </w:r>
      <w:proofErr w:type="spellEnd"/>
      <w:r w:rsidR="00195E72" w:rsidRPr="00AD1388">
        <w:rPr>
          <w:color w:val="000000" w:themeColor="text1"/>
          <w:sz w:val="22"/>
          <w:szCs w:val="22"/>
        </w:rPr>
        <w:t xml:space="preserve"> 2013). </w:t>
      </w:r>
      <w:r w:rsidR="00AA365F">
        <w:rPr>
          <w:color w:val="000000" w:themeColor="text1"/>
          <w:sz w:val="22"/>
          <w:szCs w:val="22"/>
        </w:rPr>
        <w:t>S</w:t>
      </w:r>
      <w:r w:rsidR="00195E72" w:rsidRPr="00AD1388">
        <w:rPr>
          <w:color w:val="000000" w:themeColor="text1"/>
          <w:sz w:val="22"/>
          <w:szCs w:val="22"/>
        </w:rPr>
        <w:t>ince one can conclude that</w:t>
      </w:r>
      <w:r w:rsidR="00626376">
        <w:rPr>
          <w:color w:val="000000" w:themeColor="text1"/>
          <w:sz w:val="22"/>
          <w:szCs w:val="22"/>
        </w:rPr>
        <w:t xml:space="preserve"> James PLC</w:t>
      </w:r>
      <w:r w:rsidR="00AA365F">
        <w:rPr>
          <w:color w:val="000000" w:themeColor="text1"/>
          <w:sz w:val="22"/>
          <w:szCs w:val="22"/>
        </w:rPr>
        <w:t xml:space="preserve"> </w:t>
      </w:r>
      <w:r w:rsidR="00626376">
        <w:rPr>
          <w:color w:val="000000" w:themeColor="text1"/>
          <w:sz w:val="22"/>
          <w:szCs w:val="22"/>
        </w:rPr>
        <w:t>is</w:t>
      </w:r>
      <w:r w:rsidR="00195E72" w:rsidRPr="00AD1388">
        <w:rPr>
          <w:color w:val="000000" w:themeColor="text1"/>
          <w:sz w:val="22"/>
          <w:szCs w:val="22"/>
        </w:rPr>
        <w:t xml:space="preserve"> </w:t>
      </w:r>
      <w:r w:rsidR="00AA365F">
        <w:rPr>
          <w:color w:val="000000" w:themeColor="text1"/>
          <w:sz w:val="22"/>
          <w:szCs w:val="22"/>
        </w:rPr>
        <w:t xml:space="preserve">a private sector company </w:t>
      </w:r>
      <w:r w:rsidR="00195E72" w:rsidRPr="00AD1388">
        <w:rPr>
          <w:color w:val="000000" w:themeColor="text1"/>
          <w:sz w:val="22"/>
          <w:szCs w:val="22"/>
        </w:rPr>
        <w:t xml:space="preserve">seeking to </w:t>
      </w:r>
      <w:r w:rsidR="00AA365F">
        <w:rPr>
          <w:color w:val="000000" w:themeColor="text1"/>
          <w:sz w:val="22"/>
          <w:szCs w:val="22"/>
        </w:rPr>
        <w:t>expand its business and thus</w:t>
      </w:r>
      <w:r w:rsidR="00195E72" w:rsidRPr="00AD1388">
        <w:rPr>
          <w:color w:val="000000" w:themeColor="text1"/>
          <w:sz w:val="22"/>
          <w:szCs w:val="22"/>
        </w:rPr>
        <w:t xml:space="preserve"> profits, this analysis makes it clear why NPV is </w:t>
      </w:r>
      <w:r w:rsidR="00AA365F">
        <w:rPr>
          <w:color w:val="000000" w:themeColor="text1"/>
          <w:sz w:val="22"/>
          <w:szCs w:val="22"/>
        </w:rPr>
        <w:t>the best method</w:t>
      </w:r>
      <w:r w:rsidR="00195E72" w:rsidRPr="00AD1388">
        <w:rPr>
          <w:color w:val="000000" w:themeColor="text1"/>
          <w:sz w:val="22"/>
          <w:szCs w:val="22"/>
        </w:rPr>
        <w:t>.</w:t>
      </w:r>
    </w:p>
    <w:p w14:paraId="3D974C60" w14:textId="77777777" w:rsidR="00EA3A27" w:rsidRPr="00AD1388" w:rsidRDefault="00EA3A27" w:rsidP="00EA3A27">
      <w:pPr>
        <w:spacing w:line="480" w:lineRule="auto"/>
        <w:jc w:val="both"/>
        <w:rPr>
          <w:color w:val="000000" w:themeColor="text1"/>
          <w:sz w:val="22"/>
          <w:szCs w:val="22"/>
        </w:rPr>
      </w:pPr>
    </w:p>
    <w:p w14:paraId="7059E167" w14:textId="77777777" w:rsidR="00195E72" w:rsidRPr="00AD1388" w:rsidRDefault="00195E72" w:rsidP="009109E9">
      <w:pPr>
        <w:jc w:val="both"/>
        <w:rPr>
          <w:color w:val="000000" w:themeColor="text1"/>
          <w:sz w:val="22"/>
          <w:szCs w:val="22"/>
        </w:rPr>
      </w:pPr>
    </w:p>
    <w:p w14:paraId="43292727" w14:textId="77777777" w:rsidR="00195E72" w:rsidRPr="00AD1388" w:rsidRDefault="00195E72" w:rsidP="00EA3A27">
      <w:pPr>
        <w:pStyle w:val="ListParagraph"/>
        <w:numPr>
          <w:ilvl w:val="1"/>
          <w:numId w:val="25"/>
        </w:numPr>
        <w:spacing w:line="480" w:lineRule="auto"/>
        <w:jc w:val="both"/>
        <w:outlineLvl w:val="1"/>
        <w:rPr>
          <w:i/>
          <w:color w:val="000000" w:themeColor="text1"/>
          <w:sz w:val="22"/>
          <w:szCs w:val="22"/>
        </w:rPr>
      </w:pPr>
      <w:bookmarkStart w:id="42" w:name="_Toc535615937"/>
      <w:r w:rsidRPr="00AD1388">
        <w:rPr>
          <w:b/>
          <w:sz w:val="22"/>
          <w:szCs w:val="22"/>
        </w:rPr>
        <w:t>Non-Discounting Methods of IA: Continued Popularity amongst Decision Makers</w:t>
      </w:r>
      <w:bookmarkEnd w:id="42"/>
    </w:p>
    <w:p w14:paraId="1CCFCB07" w14:textId="77777777" w:rsidR="004B79CE" w:rsidRDefault="002D1FE4" w:rsidP="00EA3A27">
      <w:pPr>
        <w:spacing w:line="480" w:lineRule="auto"/>
        <w:ind w:firstLine="284"/>
        <w:jc w:val="both"/>
        <w:rPr>
          <w:sz w:val="22"/>
          <w:szCs w:val="22"/>
          <w:vertAlign w:val="subscript"/>
        </w:rPr>
      </w:pPr>
      <w:r w:rsidRPr="00AD1388">
        <w:rPr>
          <w:sz w:val="22"/>
          <w:szCs w:val="22"/>
        </w:rPr>
        <w:t xml:space="preserve">Despite </w:t>
      </w:r>
      <w:r w:rsidR="00AA365F">
        <w:rPr>
          <w:sz w:val="22"/>
          <w:szCs w:val="22"/>
        </w:rPr>
        <w:t xml:space="preserve">the accuracy of </w:t>
      </w:r>
      <w:r w:rsidR="00D22C91" w:rsidRPr="00AD1388">
        <w:rPr>
          <w:sz w:val="22"/>
          <w:szCs w:val="22"/>
        </w:rPr>
        <w:t xml:space="preserve">NPV </w:t>
      </w:r>
      <w:r w:rsidR="000C6401" w:rsidRPr="00AD1388">
        <w:rPr>
          <w:sz w:val="22"/>
          <w:szCs w:val="22"/>
        </w:rPr>
        <w:t xml:space="preserve">and IRR </w:t>
      </w:r>
      <w:r w:rsidR="00CA2819" w:rsidRPr="00AD1388">
        <w:rPr>
          <w:sz w:val="22"/>
          <w:szCs w:val="22"/>
        </w:rPr>
        <w:t>(discounting methods)</w:t>
      </w:r>
      <w:r w:rsidR="00D22C91" w:rsidRPr="00AD1388">
        <w:rPr>
          <w:sz w:val="22"/>
          <w:szCs w:val="22"/>
        </w:rPr>
        <w:t>, non-discount</w:t>
      </w:r>
      <w:r w:rsidR="00CA2819" w:rsidRPr="00AD1388">
        <w:rPr>
          <w:sz w:val="22"/>
          <w:szCs w:val="22"/>
        </w:rPr>
        <w:t>ing</w:t>
      </w:r>
      <w:r w:rsidR="00D22C91" w:rsidRPr="00AD1388">
        <w:rPr>
          <w:sz w:val="22"/>
          <w:szCs w:val="22"/>
        </w:rPr>
        <w:t xml:space="preserve"> </w:t>
      </w:r>
      <w:r w:rsidR="00AA365F">
        <w:rPr>
          <w:sz w:val="22"/>
          <w:szCs w:val="22"/>
        </w:rPr>
        <w:t>(</w:t>
      </w:r>
      <w:r w:rsidR="00EB7A7D" w:rsidRPr="00AD1388">
        <w:rPr>
          <w:sz w:val="22"/>
          <w:szCs w:val="22"/>
        </w:rPr>
        <w:t>ARR</w:t>
      </w:r>
      <w:r w:rsidR="00AA365F">
        <w:rPr>
          <w:sz w:val="22"/>
          <w:szCs w:val="22"/>
        </w:rPr>
        <w:t>,</w:t>
      </w:r>
      <w:r w:rsidR="00EB7A7D" w:rsidRPr="00AD1388">
        <w:rPr>
          <w:sz w:val="22"/>
          <w:szCs w:val="22"/>
        </w:rPr>
        <w:t xml:space="preserve"> </w:t>
      </w:r>
      <w:r w:rsidR="008E6830" w:rsidRPr="00AD1388">
        <w:rPr>
          <w:sz w:val="22"/>
          <w:szCs w:val="22"/>
        </w:rPr>
        <w:t>PP</w:t>
      </w:r>
      <w:r w:rsidR="00AA365F">
        <w:rPr>
          <w:sz w:val="22"/>
          <w:szCs w:val="22"/>
        </w:rPr>
        <w:t>)</w:t>
      </w:r>
      <w:r w:rsidR="008E6830" w:rsidRPr="00AD1388">
        <w:rPr>
          <w:sz w:val="22"/>
          <w:szCs w:val="22"/>
        </w:rPr>
        <w:t xml:space="preserve"> </w:t>
      </w:r>
      <w:r w:rsidR="00AA365F">
        <w:rPr>
          <w:sz w:val="22"/>
          <w:szCs w:val="22"/>
        </w:rPr>
        <w:t xml:space="preserve">methods </w:t>
      </w:r>
      <w:r w:rsidR="00D22C91" w:rsidRPr="00AD1388">
        <w:rPr>
          <w:sz w:val="22"/>
          <w:szCs w:val="22"/>
        </w:rPr>
        <w:t>continue to be popular</w:t>
      </w:r>
      <w:r w:rsidR="00CA2819" w:rsidRPr="00AD1388">
        <w:rPr>
          <w:sz w:val="22"/>
          <w:szCs w:val="22"/>
        </w:rPr>
        <w:t xml:space="preserve"> </w:t>
      </w:r>
      <w:r w:rsidR="000C6401" w:rsidRPr="00AD1388">
        <w:rPr>
          <w:sz w:val="22"/>
          <w:szCs w:val="22"/>
        </w:rPr>
        <w:t xml:space="preserve">despite their </w:t>
      </w:r>
      <w:r w:rsidR="00CA2819" w:rsidRPr="00AD1388">
        <w:rPr>
          <w:sz w:val="22"/>
          <w:szCs w:val="22"/>
        </w:rPr>
        <w:t>limitations</w:t>
      </w:r>
      <w:r w:rsidR="00827092" w:rsidRPr="00AD1388">
        <w:rPr>
          <w:sz w:val="22"/>
          <w:szCs w:val="22"/>
        </w:rPr>
        <w:t xml:space="preserve"> (Drury 2012)</w:t>
      </w:r>
      <w:r w:rsidR="00CA2819" w:rsidRPr="00AD1388">
        <w:rPr>
          <w:sz w:val="22"/>
          <w:szCs w:val="22"/>
        </w:rPr>
        <w:t xml:space="preserve">. </w:t>
      </w:r>
      <w:r w:rsidR="00626376">
        <w:rPr>
          <w:sz w:val="22"/>
          <w:szCs w:val="22"/>
        </w:rPr>
        <w:t xml:space="preserve">To provide a more weighted </w:t>
      </w:r>
      <w:r w:rsidR="00B0692D">
        <w:rPr>
          <w:sz w:val="22"/>
          <w:szCs w:val="22"/>
        </w:rPr>
        <w:t xml:space="preserve">perspective </w:t>
      </w:r>
      <w:r w:rsidR="00626376">
        <w:rPr>
          <w:sz w:val="22"/>
          <w:szCs w:val="22"/>
        </w:rPr>
        <w:t xml:space="preserve">to Section 4.1, </w:t>
      </w:r>
      <w:r w:rsidR="00AA365F">
        <w:rPr>
          <w:sz w:val="22"/>
          <w:szCs w:val="22"/>
        </w:rPr>
        <w:t xml:space="preserve">here are some </w:t>
      </w:r>
      <w:r w:rsidR="00626376">
        <w:rPr>
          <w:sz w:val="22"/>
          <w:szCs w:val="22"/>
        </w:rPr>
        <w:t xml:space="preserve">reasons why ARR and PP </w:t>
      </w:r>
      <w:r w:rsidR="00AA365F">
        <w:rPr>
          <w:sz w:val="22"/>
          <w:szCs w:val="22"/>
        </w:rPr>
        <w:t>remain popular</w:t>
      </w:r>
      <w:r w:rsidR="004B79CE">
        <w:rPr>
          <w:sz w:val="22"/>
          <w:szCs w:val="22"/>
        </w:rPr>
        <w:t>:</w:t>
      </w:r>
    </w:p>
    <w:p w14:paraId="6AAC866F" w14:textId="77777777" w:rsidR="004B79CE" w:rsidRPr="004B79CE" w:rsidRDefault="004B79CE" w:rsidP="00EA3A27">
      <w:pPr>
        <w:pStyle w:val="ListParagraph"/>
        <w:numPr>
          <w:ilvl w:val="0"/>
          <w:numId w:val="19"/>
        </w:numPr>
        <w:spacing w:line="480" w:lineRule="auto"/>
        <w:ind w:left="426" w:hanging="142"/>
        <w:contextualSpacing w:val="0"/>
        <w:jc w:val="both"/>
        <w:rPr>
          <w:sz w:val="22"/>
          <w:szCs w:val="22"/>
          <w:vertAlign w:val="subscript"/>
        </w:rPr>
      </w:pPr>
      <w:r w:rsidRPr="004B79CE">
        <w:rPr>
          <w:sz w:val="22"/>
          <w:szCs w:val="22"/>
        </w:rPr>
        <w:t>ARR</w:t>
      </w:r>
      <w:r w:rsidR="00EB7A7D" w:rsidRPr="004B79CE">
        <w:rPr>
          <w:sz w:val="22"/>
          <w:szCs w:val="22"/>
        </w:rPr>
        <w:t xml:space="preserve">: simple to calculate; based on information readily </w:t>
      </w:r>
      <w:r>
        <w:rPr>
          <w:sz w:val="22"/>
          <w:szCs w:val="22"/>
        </w:rPr>
        <w:t>available</w:t>
      </w:r>
      <w:r w:rsidR="00EB7A7D" w:rsidRPr="004B79CE">
        <w:rPr>
          <w:sz w:val="22"/>
          <w:szCs w:val="22"/>
        </w:rPr>
        <w:t xml:space="preserve"> and familiar to a manager; looks at benefits spanning the project’s entire lifecycle; and helps simplify post-audit of capital expenditures since it is based on accounting measures (Open Learning World 2011; Drury 2012)</w:t>
      </w:r>
      <w:r>
        <w:rPr>
          <w:sz w:val="22"/>
          <w:szCs w:val="22"/>
        </w:rPr>
        <w:t>,</w:t>
      </w:r>
    </w:p>
    <w:p w14:paraId="77AE47AF" w14:textId="77777777" w:rsidR="004B79CE" w:rsidRPr="00EA3A27" w:rsidRDefault="00B0692D" w:rsidP="00EA3A27">
      <w:pPr>
        <w:pStyle w:val="ListParagraph"/>
        <w:numPr>
          <w:ilvl w:val="0"/>
          <w:numId w:val="19"/>
        </w:numPr>
        <w:spacing w:line="480" w:lineRule="auto"/>
        <w:ind w:left="426" w:hanging="142"/>
        <w:jc w:val="both"/>
        <w:rPr>
          <w:sz w:val="22"/>
          <w:szCs w:val="22"/>
          <w:vertAlign w:val="subscript"/>
        </w:rPr>
      </w:pPr>
      <w:r w:rsidRPr="004B79CE">
        <w:rPr>
          <w:sz w:val="22"/>
          <w:szCs w:val="22"/>
        </w:rPr>
        <w:lastRenderedPageBreak/>
        <w:t>PP</w:t>
      </w:r>
      <w:r w:rsidR="00B93CCE" w:rsidRPr="004B79CE">
        <w:rPr>
          <w:sz w:val="22"/>
          <w:szCs w:val="22"/>
        </w:rPr>
        <w:t>:</w:t>
      </w:r>
      <w:r w:rsidR="0095152D" w:rsidRPr="004B79CE">
        <w:rPr>
          <w:sz w:val="22"/>
          <w:szCs w:val="22"/>
        </w:rPr>
        <w:t xml:space="preserve"> simple to use and comprehend;</w:t>
      </w:r>
      <w:r w:rsidR="00A67A1D" w:rsidRPr="004B79CE">
        <w:rPr>
          <w:sz w:val="22"/>
          <w:szCs w:val="22"/>
        </w:rPr>
        <w:t xml:space="preserve"> </w:t>
      </w:r>
      <w:r w:rsidR="0095152D" w:rsidRPr="004B79CE">
        <w:rPr>
          <w:sz w:val="22"/>
          <w:szCs w:val="22"/>
        </w:rPr>
        <w:t>emphasis placed on early cash flows</w:t>
      </w:r>
      <w:r w:rsidR="00B93CCE" w:rsidRPr="004B79CE">
        <w:rPr>
          <w:sz w:val="22"/>
          <w:szCs w:val="22"/>
        </w:rPr>
        <w:t xml:space="preserve">; side-steps difficulties of forecasting </w:t>
      </w:r>
      <w:r w:rsidR="00157F32" w:rsidRPr="004B79CE">
        <w:rPr>
          <w:sz w:val="22"/>
          <w:szCs w:val="22"/>
        </w:rPr>
        <w:t>far</w:t>
      </w:r>
      <w:r w:rsidR="00B93CCE" w:rsidRPr="004B79CE">
        <w:rPr>
          <w:sz w:val="22"/>
          <w:szCs w:val="22"/>
        </w:rPr>
        <w:t xml:space="preserve"> into the future</w:t>
      </w:r>
      <w:r w:rsidR="005F599B" w:rsidRPr="004B79CE">
        <w:rPr>
          <w:sz w:val="22"/>
          <w:szCs w:val="22"/>
        </w:rPr>
        <w:t>;</w:t>
      </w:r>
      <w:r w:rsidR="00B93CCE" w:rsidRPr="004B79CE">
        <w:rPr>
          <w:sz w:val="22"/>
          <w:szCs w:val="22"/>
        </w:rPr>
        <w:t xml:space="preserve"> </w:t>
      </w:r>
      <w:r w:rsidR="005F599B" w:rsidRPr="004B79CE">
        <w:rPr>
          <w:sz w:val="22"/>
          <w:szCs w:val="22"/>
        </w:rPr>
        <w:t xml:space="preserve">useful for ranking projects; </w:t>
      </w:r>
      <w:r w:rsidR="00B93CCE" w:rsidRPr="004B79CE">
        <w:rPr>
          <w:sz w:val="22"/>
          <w:szCs w:val="22"/>
        </w:rPr>
        <w:t xml:space="preserve">stresses the essential role of liquidity, whereby a shorter payback period on a project </w:t>
      </w:r>
      <w:r w:rsidR="00157F32" w:rsidRPr="004B79CE">
        <w:rPr>
          <w:sz w:val="22"/>
          <w:szCs w:val="22"/>
        </w:rPr>
        <w:t>appear</w:t>
      </w:r>
      <w:r w:rsidRPr="004B79CE">
        <w:rPr>
          <w:sz w:val="22"/>
          <w:szCs w:val="22"/>
        </w:rPr>
        <w:t>s</w:t>
      </w:r>
      <w:r w:rsidR="00157F32" w:rsidRPr="004B79CE">
        <w:rPr>
          <w:sz w:val="22"/>
          <w:szCs w:val="22"/>
        </w:rPr>
        <w:t xml:space="preserve"> </w:t>
      </w:r>
      <w:r w:rsidR="00B93CCE" w:rsidRPr="004B79CE">
        <w:rPr>
          <w:sz w:val="22"/>
          <w:szCs w:val="22"/>
        </w:rPr>
        <w:t>very attractive</w:t>
      </w:r>
      <w:r w:rsidR="00863324" w:rsidRPr="004B79CE">
        <w:rPr>
          <w:sz w:val="22"/>
          <w:szCs w:val="22"/>
        </w:rPr>
        <w:t xml:space="preserve">, </w:t>
      </w:r>
      <w:r w:rsidR="005F599B" w:rsidRPr="004B79CE">
        <w:rPr>
          <w:sz w:val="22"/>
          <w:szCs w:val="22"/>
        </w:rPr>
        <w:t xml:space="preserve">particularly when looking </w:t>
      </w:r>
      <w:r w:rsidR="004B79CE">
        <w:rPr>
          <w:sz w:val="22"/>
          <w:szCs w:val="22"/>
        </w:rPr>
        <w:t xml:space="preserve">at a </w:t>
      </w:r>
      <w:r w:rsidR="005F599B" w:rsidRPr="004B79CE">
        <w:rPr>
          <w:sz w:val="22"/>
          <w:szCs w:val="22"/>
        </w:rPr>
        <w:t xml:space="preserve">risky </w:t>
      </w:r>
      <w:r w:rsidR="004B79CE">
        <w:rPr>
          <w:sz w:val="22"/>
          <w:szCs w:val="22"/>
        </w:rPr>
        <w:t xml:space="preserve">investment in uncertain or </w:t>
      </w:r>
      <w:r w:rsidR="005F599B" w:rsidRPr="004B79CE">
        <w:rPr>
          <w:sz w:val="22"/>
          <w:szCs w:val="22"/>
        </w:rPr>
        <w:t>rapid</w:t>
      </w:r>
      <w:r w:rsidR="004B79CE">
        <w:rPr>
          <w:sz w:val="22"/>
          <w:szCs w:val="22"/>
        </w:rPr>
        <w:t>ly changing markets</w:t>
      </w:r>
      <w:r w:rsidRPr="004B79CE">
        <w:rPr>
          <w:sz w:val="22"/>
          <w:szCs w:val="22"/>
        </w:rPr>
        <w:t xml:space="preserve">, or </w:t>
      </w:r>
      <w:r w:rsidR="004B79CE">
        <w:rPr>
          <w:sz w:val="22"/>
          <w:szCs w:val="22"/>
        </w:rPr>
        <w:t xml:space="preserve">when </w:t>
      </w:r>
      <w:r w:rsidRPr="004B79CE">
        <w:rPr>
          <w:sz w:val="22"/>
          <w:szCs w:val="22"/>
        </w:rPr>
        <w:t>a</w:t>
      </w:r>
      <w:r w:rsidR="00863324" w:rsidRPr="004B79CE">
        <w:rPr>
          <w:sz w:val="22"/>
          <w:szCs w:val="22"/>
        </w:rPr>
        <w:t xml:space="preserve"> </w:t>
      </w:r>
      <w:r w:rsidR="00B93CCE" w:rsidRPr="004B79CE">
        <w:rPr>
          <w:sz w:val="22"/>
          <w:szCs w:val="22"/>
        </w:rPr>
        <w:t xml:space="preserve">business is experiences liquidity </w:t>
      </w:r>
      <w:r w:rsidR="0047605A" w:rsidRPr="004B79CE">
        <w:rPr>
          <w:sz w:val="22"/>
          <w:szCs w:val="22"/>
        </w:rPr>
        <w:t>troubles</w:t>
      </w:r>
      <w:r w:rsidR="00827092" w:rsidRPr="004B79CE">
        <w:rPr>
          <w:sz w:val="22"/>
          <w:szCs w:val="22"/>
        </w:rPr>
        <w:t xml:space="preserve">; </w:t>
      </w:r>
      <w:r w:rsidR="00DE79C8" w:rsidRPr="004B79CE">
        <w:rPr>
          <w:sz w:val="22"/>
          <w:szCs w:val="22"/>
        </w:rPr>
        <w:t xml:space="preserve">can be used as a measure of </w:t>
      </w:r>
      <w:r w:rsidRPr="004B79CE">
        <w:rPr>
          <w:i/>
          <w:sz w:val="22"/>
          <w:szCs w:val="22"/>
        </w:rPr>
        <w:t xml:space="preserve">time-bound </w:t>
      </w:r>
      <w:r w:rsidR="00DE79C8" w:rsidRPr="004B79CE">
        <w:rPr>
          <w:sz w:val="22"/>
          <w:szCs w:val="22"/>
        </w:rPr>
        <w:t>risk</w:t>
      </w:r>
      <w:r w:rsidRPr="004B79CE">
        <w:rPr>
          <w:sz w:val="22"/>
          <w:szCs w:val="22"/>
        </w:rPr>
        <w:t>, i.e.</w:t>
      </w:r>
      <w:r w:rsidR="00DE79C8" w:rsidRPr="004B79CE">
        <w:rPr>
          <w:sz w:val="22"/>
          <w:szCs w:val="22"/>
        </w:rPr>
        <w:t xml:space="preserve"> the longer a project take</w:t>
      </w:r>
      <w:r w:rsidR="004B79CE">
        <w:rPr>
          <w:sz w:val="22"/>
          <w:szCs w:val="22"/>
        </w:rPr>
        <w:t>s</w:t>
      </w:r>
      <w:r w:rsidR="00DE79C8" w:rsidRPr="004B79CE">
        <w:rPr>
          <w:sz w:val="22"/>
          <w:szCs w:val="22"/>
        </w:rPr>
        <w:t xml:space="preserve"> to break even, the riskier</w:t>
      </w:r>
      <w:r w:rsidR="00863324" w:rsidRPr="004B79CE">
        <w:rPr>
          <w:sz w:val="22"/>
          <w:szCs w:val="22"/>
        </w:rPr>
        <w:t>;</w:t>
      </w:r>
      <w:r w:rsidR="003E0953" w:rsidRPr="004B79CE">
        <w:rPr>
          <w:sz w:val="22"/>
          <w:szCs w:val="22"/>
        </w:rPr>
        <w:t xml:space="preserve"> </w:t>
      </w:r>
      <w:r w:rsidR="001D367F" w:rsidRPr="004B79CE">
        <w:rPr>
          <w:sz w:val="22"/>
          <w:szCs w:val="22"/>
        </w:rPr>
        <w:t>c</w:t>
      </w:r>
      <w:r w:rsidR="004B79CE">
        <w:rPr>
          <w:sz w:val="22"/>
          <w:szCs w:val="22"/>
        </w:rPr>
        <w:t xml:space="preserve">an be used alongside NPV or IRR, </w:t>
      </w:r>
      <w:r w:rsidR="001D367F" w:rsidRPr="004B79CE">
        <w:rPr>
          <w:sz w:val="22"/>
          <w:szCs w:val="22"/>
        </w:rPr>
        <w:t xml:space="preserve">serving as a quick tool </w:t>
      </w:r>
      <w:r w:rsidR="003E0953" w:rsidRPr="004B79CE">
        <w:rPr>
          <w:sz w:val="22"/>
          <w:szCs w:val="22"/>
        </w:rPr>
        <w:t>to initially</w:t>
      </w:r>
      <w:r w:rsidR="001D367F" w:rsidRPr="004B79CE">
        <w:rPr>
          <w:sz w:val="22"/>
          <w:szCs w:val="22"/>
        </w:rPr>
        <w:t xml:space="preserve"> screen </w:t>
      </w:r>
      <w:r w:rsidR="004B79CE">
        <w:rPr>
          <w:sz w:val="22"/>
          <w:szCs w:val="22"/>
        </w:rPr>
        <w:t xml:space="preserve">for </w:t>
      </w:r>
      <w:r w:rsidR="001D367F" w:rsidRPr="004B79CE">
        <w:rPr>
          <w:sz w:val="22"/>
          <w:szCs w:val="22"/>
        </w:rPr>
        <w:t>projects</w:t>
      </w:r>
      <w:r w:rsidR="003E0953" w:rsidRPr="004B79CE">
        <w:rPr>
          <w:sz w:val="22"/>
          <w:szCs w:val="22"/>
        </w:rPr>
        <w:t xml:space="preserve"> that could use more in-depth analysis</w:t>
      </w:r>
      <w:r w:rsidR="004B79CE">
        <w:rPr>
          <w:sz w:val="22"/>
          <w:szCs w:val="22"/>
        </w:rPr>
        <w:t>;</w:t>
      </w:r>
      <w:r w:rsidR="001D367F" w:rsidRPr="004B79CE">
        <w:rPr>
          <w:sz w:val="22"/>
          <w:szCs w:val="22"/>
        </w:rPr>
        <w:t xml:space="preserve"> </w:t>
      </w:r>
      <w:r w:rsidR="004B79CE">
        <w:rPr>
          <w:sz w:val="22"/>
          <w:szCs w:val="22"/>
        </w:rPr>
        <w:t xml:space="preserve">and possible </w:t>
      </w:r>
      <w:r w:rsidR="001D367F" w:rsidRPr="004B79CE">
        <w:rPr>
          <w:sz w:val="22"/>
          <w:szCs w:val="22"/>
        </w:rPr>
        <w:t xml:space="preserve">limited understanding of financial models </w:t>
      </w:r>
      <w:r w:rsidR="003E0953" w:rsidRPr="004B79CE">
        <w:rPr>
          <w:sz w:val="22"/>
          <w:szCs w:val="22"/>
        </w:rPr>
        <w:t>amongst</w:t>
      </w:r>
      <w:r w:rsidR="001D367F" w:rsidRPr="004B79CE">
        <w:rPr>
          <w:sz w:val="22"/>
          <w:szCs w:val="22"/>
        </w:rPr>
        <w:t xml:space="preserve"> managers </w:t>
      </w:r>
      <w:r w:rsidR="004B79CE">
        <w:rPr>
          <w:sz w:val="22"/>
          <w:szCs w:val="22"/>
        </w:rPr>
        <w:t>of</w:t>
      </w:r>
      <w:r w:rsidR="004B79CE" w:rsidRPr="004B79CE">
        <w:rPr>
          <w:sz w:val="22"/>
          <w:szCs w:val="22"/>
        </w:rPr>
        <w:t xml:space="preserve"> smaller businesses</w:t>
      </w:r>
      <w:r w:rsidR="004B79CE">
        <w:rPr>
          <w:sz w:val="22"/>
          <w:szCs w:val="22"/>
        </w:rPr>
        <w:t xml:space="preserve"> where its use is highest </w:t>
      </w:r>
      <w:r w:rsidR="001D367F" w:rsidRPr="004B79CE">
        <w:rPr>
          <w:sz w:val="22"/>
          <w:szCs w:val="22"/>
        </w:rPr>
        <w:t xml:space="preserve">(Drury 2012; </w:t>
      </w:r>
      <w:proofErr w:type="spellStart"/>
      <w:r w:rsidR="001D367F" w:rsidRPr="004B79CE">
        <w:rPr>
          <w:sz w:val="22"/>
          <w:szCs w:val="22"/>
        </w:rPr>
        <w:t>Atrill</w:t>
      </w:r>
      <w:proofErr w:type="spellEnd"/>
      <w:r w:rsidR="001D367F" w:rsidRPr="004B79CE">
        <w:rPr>
          <w:sz w:val="22"/>
          <w:szCs w:val="22"/>
        </w:rPr>
        <w:t xml:space="preserve"> 2013)</w:t>
      </w:r>
      <w:r w:rsidR="004B79CE">
        <w:rPr>
          <w:sz w:val="22"/>
          <w:szCs w:val="22"/>
        </w:rPr>
        <w:t>,</w:t>
      </w:r>
      <w:r w:rsidR="001D367F" w:rsidRPr="004B79CE">
        <w:rPr>
          <w:sz w:val="22"/>
          <w:szCs w:val="22"/>
        </w:rPr>
        <w:t xml:space="preserve"> compared wit</w:t>
      </w:r>
      <w:r w:rsidR="003E0953" w:rsidRPr="004B79CE">
        <w:rPr>
          <w:sz w:val="22"/>
          <w:szCs w:val="22"/>
        </w:rPr>
        <w:t>h managers of larger businesses</w:t>
      </w:r>
      <w:r w:rsidR="004B79CE">
        <w:rPr>
          <w:sz w:val="22"/>
          <w:szCs w:val="22"/>
        </w:rPr>
        <w:t xml:space="preserve"> – as discovered by Cohen and </w:t>
      </w:r>
      <w:proofErr w:type="spellStart"/>
      <w:r w:rsidR="004B79CE">
        <w:rPr>
          <w:sz w:val="22"/>
          <w:szCs w:val="22"/>
        </w:rPr>
        <w:t>Yagil</w:t>
      </w:r>
      <w:proofErr w:type="spellEnd"/>
      <w:r w:rsidR="004B79CE">
        <w:rPr>
          <w:sz w:val="22"/>
          <w:szCs w:val="22"/>
        </w:rPr>
        <w:t xml:space="preserve"> (2007),</w:t>
      </w:r>
      <w:r w:rsidR="001D367F" w:rsidRPr="004B79CE">
        <w:rPr>
          <w:sz w:val="22"/>
          <w:szCs w:val="22"/>
        </w:rPr>
        <w:t xml:space="preserve"> </w:t>
      </w:r>
      <w:r w:rsidR="004B79CE">
        <w:rPr>
          <w:sz w:val="22"/>
          <w:szCs w:val="22"/>
        </w:rPr>
        <w:t xml:space="preserve">there is </w:t>
      </w:r>
      <w:r w:rsidR="001D367F" w:rsidRPr="004B79CE">
        <w:rPr>
          <w:sz w:val="22"/>
          <w:szCs w:val="22"/>
        </w:rPr>
        <w:t xml:space="preserve">a positive relationship between firm </w:t>
      </w:r>
      <w:r w:rsidR="00863324" w:rsidRPr="004B79CE">
        <w:rPr>
          <w:sz w:val="22"/>
          <w:szCs w:val="22"/>
        </w:rPr>
        <w:t xml:space="preserve">size </w:t>
      </w:r>
      <w:r w:rsidR="001D367F" w:rsidRPr="004B79CE">
        <w:rPr>
          <w:sz w:val="22"/>
          <w:szCs w:val="22"/>
        </w:rPr>
        <w:t>and higher popularity of discounting methods.</w:t>
      </w:r>
      <w:r w:rsidR="00626376" w:rsidRPr="004B79CE">
        <w:rPr>
          <w:sz w:val="22"/>
          <w:szCs w:val="22"/>
        </w:rPr>
        <w:t xml:space="preserve"> </w:t>
      </w:r>
    </w:p>
    <w:p w14:paraId="7400EBF9" w14:textId="77777777" w:rsidR="001D367F" w:rsidRPr="004B79CE" w:rsidRDefault="00626376" w:rsidP="00EA3A27">
      <w:pPr>
        <w:spacing w:line="480" w:lineRule="auto"/>
        <w:jc w:val="both"/>
        <w:rPr>
          <w:sz w:val="22"/>
          <w:szCs w:val="22"/>
          <w:vertAlign w:val="subscript"/>
        </w:rPr>
      </w:pPr>
      <w:r w:rsidRPr="004B79CE">
        <w:rPr>
          <w:sz w:val="22"/>
          <w:szCs w:val="22"/>
        </w:rPr>
        <w:t xml:space="preserve">Thus, assuming that James PLC is fully capable of utilizing complex financial </w:t>
      </w:r>
      <w:r w:rsidR="003E0953" w:rsidRPr="004B79CE">
        <w:rPr>
          <w:sz w:val="22"/>
          <w:szCs w:val="22"/>
        </w:rPr>
        <w:t>models</w:t>
      </w:r>
      <w:r w:rsidRPr="004B79CE">
        <w:rPr>
          <w:sz w:val="22"/>
          <w:szCs w:val="22"/>
        </w:rPr>
        <w:t xml:space="preserve">, </w:t>
      </w:r>
      <w:r w:rsidR="003E0953" w:rsidRPr="004B79CE">
        <w:rPr>
          <w:sz w:val="22"/>
          <w:szCs w:val="22"/>
        </w:rPr>
        <w:t>discounting method are still recommended, especially NPV.</w:t>
      </w:r>
    </w:p>
    <w:p w14:paraId="6269A2C5" w14:textId="77777777" w:rsidR="001D367F" w:rsidRPr="00AD1388" w:rsidRDefault="001D367F" w:rsidP="00A61FFE">
      <w:pPr>
        <w:jc w:val="both"/>
      </w:pPr>
    </w:p>
    <w:p w14:paraId="09964E64" w14:textId="77777777" w:rsidR="002D1FE4" w:rsidRPr="00AD1388" w:rsidRDefault="00EC293C" w:rsidP="00EA3A27">
      <w:pPr>
        <w:pStyle w:val="ListParagraph"/>
        <w:numPr>
          <w:ilvl w:val="1"/>
          <w:numId w:val="25"/>
        </w:numPr>
        <w:spacing w:line="480" w:lineRule="auto"/>
        <w:outlineLvl w:val="1"/>
        <w:rPr>
          <w:b/>
          <w:sz w:val="22"/>
          <w:szCs w:val="22"/>
        </w:rPr>
      </w:pPr>
      <w:bookmarkStart w:id="43" w:name="_Toc535615938"/>
      <w:r w:rsidRPr="00AD1388">
        <w:rPr>
          <w:b/>
          <w:sz w:val="22"/>
          <w:szCs w:val="22"/>
        </w:rPr>
        <w:t xml:space="preserve">Other </w:t>
      </w:r>
      <w:r w:rsidR="00827092" w:rsidRPr="00AD1388">
        <w:rPr>
          <w:b/>
          <w:sz w:val="22"/>
          <w:szCs w:val="22"/>
        </w:rPr>
        <w:t>F</w:t>
      </w:r>
      <w:r w:rsidRPr="00AD1388">
        <w:rPr>
          <w:b/>
          <w:sz w:val="22"/>
          <w:szCs w:val="22"/>
        </w:rPr>
        <w:t xml:space="preserve">actors </w:t>
      </w:r>
      <w:r w:rsidR="00827092" w:rsidRPr="00AD1388">
        <w:rPr>
          <w:b/>
          <w:sz w:val="22"/>
          <w:szCs w:val="22"/>
        </w:rPr>
        <w:t>to Consider</w:t>
      </w:r>
      <w:r w:rsidRPr="00AD1388">
        <w:rPr>
          <w:b/>
          <w:sz w:val="22"/>
          <w:szCs w:val="22"/>
        </w:rPr>
        <w:t xml:space="preserve"> before </w:t>
      </w:r>
      <w:r w:rsidR="00827092" w:rsidRPr="00AD1388">
        <w:rPr>
          <w:b/>
          <w:sz w:val="22"/>
          <w:szCs w:val="22"/>
        </w:rPr>
        <w:t xml:space="preserve">Making </w:t>
      </w:r>
      <w:r w:rsidRPr="00AD1388">
        <w:rPr>
          <w:b/>
          <w:sz w:val="22"/>
          <w:szCs w:val="22"/>
        </w:rPr>
        <w:t xml:space="preserve">an </w:t>
      </w:r>
      <w:r w:rsidR="00827092" w:rsidRPr="00AD1388">
        <w:rPr>
          <w:b/>
          <w:sz w:val="22"/>
          <w:szCs w:val="22"/>
        </w:rPr>
        <w:t>I</w:t>
      </w:r>
      <w:r w:rsidRPr="00AD1388">
        <w:rPr>
          <w:b/>
          <w:sz w:val="22"/>
          <w:szCs w:val="22"/>
        </w:rPr>
        <w:t xml:space="preserve">nvestment </w:t>
      </w:r>
      <w:r w:rsidR="00827092" w:rsidRPr="00AD1388">
        <w:rPr>
          <w:b/>
          <w:sz w:val="22"/>
          <w:szCs w:val="22"/>
        </w:rPr>
        <w:t>D</w:t>
      </w:r>
      <w:r w:rsidRPr="00AD1388">
        <w:rPr>
          <w:b/>
          <w:sz w:val="22"/>
          <w:szCs w:val="22"/>
        </w:rPr>
        <w:t>ecision</w:t>
      </w:r>
      <w:bookmarkEnd w:id="43"/>
    </w:p>
    <w:p w14:paraId="6649F83D" w14:textId="77777777" w:rsidR="00302371" w:rsidRPr="00EA3A27" w:rsidRDefault="00A07D00" w:rsidP="00EA3A27">
      <w:pPr>
        <w:spacing w:line="480" w:lineRule="auto"/>
        <w:ind w:firstLine="360"/>
        <w:jc w:val="both"/>
        <w:rPr>
          <w:sz w:val="22"/>
          <w:szCs w:val="22"/>
        </w:rPr>
      </w:pPr>
      <w:r w:rsidRPr="00AD1388">
        <w:rPr>
          <w:sz w:val="22"/>
          <w:szCs w:val="22"/>
        </w:rPr>
        <w:t>In order to be successful in making capital investment project decisions</w:t>
      </w:r>
      <w:r w:rsidR="00AD1388">
        <w:rPr>
          <w:sz w:val="22"/>
          <w:szCs w:val="22"/>
        </w:rPr>
        <w:t>,</w:t>
      </w:r>
      <w:r w:rsidR="00626376">
        <w:rPr>
          <w:sz w:val="22"/>
          <w:szCs w:val="22"/>
        </w:rPr>
        <w:t xml:space="preserve"> </w:t>
      </w:r>
      <w:r w:rsidRPr="00AD1388">
        <w:rPr>
          <w:sz w:val="22"/>
          <w:szCs w:val="22"/>
        </w:rPr>
        <w:t xml:space="preserve">it is critical that </w:t>
      </w:r>
      <w:r w:rsidR="009F29A8" w:rsidRPr="00AD1388">
        <w:rPr>
          <w:sz w:val="22"/>
          <w:szCs w:val="22"/>
        </w:rPr>
        <w:t>James PLC</w:t>
      </w:r>
      <w:r w:rsidRPr="00AD1388">
        <w:rPr>
          <w:sz w:val="22"/>
          <w:szCs w:val="22"/>
        </w:rPr>
        <w:t xml:space="preserve"> </w:t>
      </w:r>
      <w:r w:rsidR="00626376">
        <w:rPr>
          <w:sz w:val="22"/>
          <w:szCs w:val="22"/>
        </w:rPr>
        <w:t xml:space="preserve">develop </w:t>
      </w:r>
      <w:r w:rsidRPr="00AD1388">
        <w:rPr>
          <w:sz w:val="22"/>
          <w:szCs w:val="22"/>
        </w:rPr>
        <w:t xml:space="preserve">a </w:t>
      </w:r>
      <w:r w:rsidRPr="005520E3">
        <w:rPr>
          <w:sz w:val="22"/>
          <w:szCs w:val="22"/>
        </w:rPr>
        <w:t>clear frame</w:t>
      </w:r>
      <w:r w:rsidR="0037087C" w:rsidRPr="005520E3">
        <w:rPr>
          <w:sz w:val="22"/>
          <w:szCs w:val="22"/>
        </w:rPr>
        <w:t>work for selecting projects which</w:t>
      </w:r>
      <w:r w:rsidRPr="005520E3">
        <w:rPr>
          <w:sz w:val="22"/>
          <w:szCs w:val="22"/>
        </w:rPr>
        <w:t xml:space="preserve"> are inherently linked to the </w:t>
      </w:r>
      <w:r w:rsidR="009F29A8" w:rsidRPr="005520E3">
        <w:rPr>
          <w:sz w:val="22"/>
          <w:szCs w:val="22"/>
        </w:rPr>
        <w:t xml:space="preserve">its </w:t>
      </w:r>
      <w:r w:rsidRPr="005520E3">
        <w:rPr>
          <w:sz w:val="22"/>
          <w:szCs w:val="22"/>
        </w:rPr>
        <w:t xml:space="preserve">corporate </w:t>
      </w:r>
      <w:r w:rsidR="0037087C" w:rsidRPr="005520E3">
        <w:rPr>
          <w:sz w:val="22"/>
          <w:szCs w:val="22"/>
        </w:rPr>
        <w:t xml:space="preserve">vision, mission, </w:t>
      </w:r>
      <w:r w:rsidRPr="005520E3">
        <w:rPr>
          <w:sz w:val="22"/>
          <w:szCs w:val="22"/>
        </w:rPr>
        <w:t>overall business strategy</w:t>
      </w:r>
      <w:r w:rsidR="0037087C" w:rsidRPr="005520E3">
        <w:rPr>
          <w:sz w:val="22"/>
          <w:szCs w:val="22"/>
        </w:rPr>
        <w:t xml:space="preserve">, and </w:t>
      </w:r>
      <w:r w:rsidR="0073508C" w:rsidRPr="005520E3">
        <w:rPr>
          <w:sz w:val="22"/>
          <w:szCs w:val="22"/>
        </w:rPr>
        <w:t xml:space="preserve">one </w:t>
      </w:r>
      <w:r w:rsidR="0073508C" w:rsidRPr="00E640A8">
        <w:rPr>
          <w:sz w:val="22"/>
          <w:szCs w:val="22"/>
        </w:rPr>
        <w:t xml:space="preserve">single </w:t>
      </w:r>
      <w:r w:rsidR="0037087C" w:rsidRPr="00E640A8">
        <w:rPr>
          <w:sz w:val="22"/>
          <w:szCs w:val="22"/>
        </w:rPr>
        <w:t xml:space="preserve">long-term </w:t>
      </w:r>
      <w:r w:rsidR="00D6330F">
        <w:rPr>
          <w:sz w:val="22"/>
          <w:szCs w:val="22"/>
        </w:rPr>
        <w:t>(i.e. 5-year) strategic plan.</w:t>
      </w:r>
      <w:r w:rsidR="00302371" w:rsidRPr="00E640A8">
        <w:rPr>
          <w:sz w:val="22"/>
          <w:szCs w:val="22"/>
        </w:rPr>
        <w:t xml:space="preserve"> </w:t>
      </w:r>
      <w:r w:rsidR="00D6330F">
        <w:rPr>
          <w:sz w:val="22"/>
          <w:szCs w:val="22"/>
        </w:rPr>
        <w:t xml:space="preserve">Based on these characteristics, it would be useful to further develop a </w:t>
      </w:r>
      <w:r w:rsidR="00302371" w:rsidRPr="00E640A8">
        <w:rPr>
          <w:sz w:val="22"/>
          <w:szCs w:val="22"/>
        </w:rPr>
        <w:t>strategic plan for investment appraisals (SPIA)</w:t>
      </w:r>
      <w:r w:rsidR="0073508C" w:rsidRPr="00E640A8">
        <w:rPr>
          <w:sz w:val="22"/>
          <w:szCs w:val="22"/>
        </w:rPr>
        <w:t xml:space="preserve">. </w:t>
      </w:r>
    </w:p>
    <w:p w14:paraId="3EC538EB" w14:textId="77777777" w:rsidR="00AD1388" w:rsidRPr="00AD1388" w:rsidRDefault="00D6330F" w:rsidP="00EA3A27">
      <w:pPr>
        <w:spacing w:line="480" w:lineRule="auto"/>
        <w:ind w:firstLine="284"/>
        <w:jc w:val="both"/>
        <w:rPr>
          <w:sz w:val="22"/>
          <w:szCs w:val="22"/>
        </w:rPr>
      </w:pPr>
      <w:r>
        <w:rPr>
          <w:sz w:val="22"/>
          <w:szCs w:val="22"/>
        </w:rPr>
        <w:t>First</w:t>
      </w:r>
      <w:r w:rsidR="0073508C" w:rsidRPr="00AD1388">
        <w:rPr>
          <w:sz w:val="22"/>
          <w:szCs w:val="22"/>
        </w:rPr>
        <w:t xml:space="preserve">, </w:t>
      </w:r>
      <w:r w:rsidR="00302371" w:rsidRPr="00AD1388">
        <w:rPr>
          <w:sz w:val="22"/>
          <w:szCs w:val="22"/>
        </w:rPr>
        <w:t xml:space="preserve">senior management </w:t>
      </w:r>
      <w:r w:rsidR="009F29A8" w:rsidRPr="00AD1388">
        <w:rPr>
          <w:sz w:val="22"/>
          <w:szCs w:val="22"/>
        </w:rPr>
        <w:t xml:space="preserve">of James PLC </w:t>
      </w:r>
      <w:r w:rsidR="00302371" w:rsidRPr="00AD1388">
        <w:rPr>
          <w:sz w:val="22"/>
          <w:szCs w:val="22"/>
        </w:rPr>
        <w:t xml:space="preserve">would need to identify which strategic initiatives </w:t>
      </w:r>
      <w:r w:rsidR="00626376">
        <w:rPr>
          <w:sz w:val="22"/>
          <w:szCs w:val="22"/>
        </w:rPr>
        <w:t xml:space="preserve">would be </w:t>
      </w:r>
      <w:r w:rsidR="00302371" w:rsidRPr="00AD1388">
        <w:rPr>
          <w:sz w:val="22"/>
          <w:szCs w:val="22"/>
        </w:rPr>
        <w:t>most likely to help the business reach its objectives</w:t>
      </w:r>
      <w:r w:rsidR="007F3A5A" w:rsidRPr="00AD1388">
        <w:rPr>
          <w:sz w:val="22"/>
          <w:szCs w:val="22"/>
        </w:rPr>
        <w:t xml:space="preserve">. Although </w:t>
      </w:r>
      <w:r w:rsidR="0073508C" w:rsidRPr="00AD1388">
        <w:rPr>
          <w:sz w:val="22"/>
          <w:szCs w:val="22"/>
        </w:rPr>
        <w:t xml:space="preserve">such a </w:t>
      </w:r>
      <w:r w:rsidR="007F3A5A" w:rsidRPr="00AD1388">
        <w:rPr>
          <w:sz w:val="22"/>
          <w:szCs w:val="22"/>
        </w:rPr>
        <w:t>plan is general, imprecise, and</w:t>
      </w:r>
      <w:r>
        <w:rPr>
          <w:sz w:val="22"/>
          <w:szCs w:val="22"/>
        </w:rPr>
        <w:t xml:space="preserve"> </w:t>
      </w:r>
      <w:r w:rsidR="007F3A5A" w:rsidRPr="00AD1388">
        <w:rPr>
          <w:sz w:val="22"/>
          <w:szCs w:val="22"/>
        </w:rPr>
        <w:t xml:space="preserve">uncertain overall, it still </w:t>
      </w:r>
      <w:r>
        <w:rPr>
          <w:sz w:val="22"/>
          <w:szCs w:val="22"/>
        </w:rPr>
        <w:t>unifies</w:t>
      </w:r>
      <w:r w:rsidR="007F3A5A" w:rsidRPr="00AD1388">
        <w:rPr>
          <w:sz w:val="22"/>
          <w:szCs w:val="22"/>
        </w:rPr>
        <w:t xml:space="preserve"> </w:t>
      </w:r>
      <w:r>
        <w:rPr>
          <w:sz w:val="22"/>
          <w:szCs w:val="22"/>
        </w:rPr>
        <w:t>company</w:t>
      </w:r>
      <w:r w:rsidR="0073508C" w:rsidRPr="00AD1388">
        <w:rPr>
          <w:sz w:val="22"/>
          <w:szCs w:val="22"/>
        </w:rPr>
        <w:t xml:space="preserve"> </w:t>
      </w:r>
      <w:r>
        <w:rPr>
          <w:sz w:val="22"/>
          <w:szCs w:val="22"/>
        </w:rPr>
        <w:t xml:space="preserve">efforts and </w:t>
      </w:r>
      <w:r w:rsidR="0073508C" w:rsidRPr="00AD1388">
        <w:rPr>
          <w:sz w:val="22"/>
          <w:szCs w:val="22"/>
        </w:rPr>
        <w:t xml:space="preserve">direction in terms of, </w:t>
      </w:r>
      <w:r w:rsidR="0073508C" w:rsidRPr="00AD1388">
        <w:rPr>
          <w:i/>
          <w:sz w:val="22"/>
          <w:szCs w:val="22"/>
        </w:rPr>
        <w:t>inter alia</w:t>
      </w:r>
      <w:r w:rsidR="0073508C" w:rsidRPr="00AD1388">
        <w:rPr>
          <w:sz w:val="22"/>
          <w:szCs w:val="22"/>
        </w:rPr>
        <w:t>, products, markets, and financing, thereby better ensuring profitable investment opportunities</w:t>
      </w:r>
      <w:r w:rsidR="009F29A8" w:rsidRPr="00AD1388">
        <w:rPr>
          <w:sz w:val="22"/>
          <w:szCs w:val="22"/>
        </w:rPr>
        <w:t xml:space="preserve"> (</w:t>
      </w:r>
      <w:proofErr w:type="spellStart"/>
      <w:r w:rsidR="009F29A8" w:rsidRPr="00AD1388">
        <w:rPr>
          <w:sz w:val="22"/>
          <w:szCs w:val="22"/>
        </w:rPr>
        <w:t>Atrill</w:t>
      </w:r>
      <w:proofErr w:type="spellEnd"/>
      <w:r w:rsidR="009F29A8" w:rsidRPr="00AD1388">
        <w:rPr>
          <w:sz w:val="22"/>
          <w:szCs w:val="22"/>
        </w:rPr>
        <w:t xml:space="preserve"> 2012; Drury 2012)</w:t>
      </w:r>
      <w:r w:rsidR="0073508C" w:rsidRPr="00AD1388">
        <w:rPr>
          <w:sz w:val="22"/>
          <w:szCs w:val="22"/>
        </w:rPr>
        <w:t>.</w:t>
      </w:r>
      <w:r w:rsidR="007F3A5A" w:rsidRPr="00AD1388">
        <w:rPr>
          <w:sz w:val="22"/>
          <w:szCs w:val="22"/>
        </w:rPr>
        <w:t xml:space="preserve"> </w:t>
      </w:r>
      <w:r>
        <w:rPr>
          <w:sz w:val="22"/>
          <w:szCs w:val="22"/>
        </w:rPr>
        <w:t>This unified vision could then be translated into a SPIA which would</w:t>
      </w:r>
      <w:r w:rsidR="001F2229" w:rsidRPr="00AD1388">
        <w:rPr>
          <w:sz w:val="22"/>
          <w:szCs w:val="22"/>
        </w:rPr>
        <w:t>:</w:t>
      </w:r>
      <w:r w:rsidR="0073508C" w:rsidRPr="00AD1388">
        <w:rPr>
          <w:sz w:val="22"/>
          <w:szCs w:val="22"/>
        </w:rPr>
        <w:t xml:space="preserve"> </w:t>
      </w:r>
    </w:p>
    <w:p w14:paraId="2F255368" w14:textId="77777777" w:rsidR="001F2229" w:rsidRPr="00AD1388" w:rsidRDefault="00D6330F" w:rsidP="00EA3A27">
      <w:pPr>
        <w:pStyle w:val="ListParagraph"/>
        <w:numPr>
          <w:ilvl w:val="0"/>
          <w:numId w:val="5"/>
        </w:numPr>
        <w:spacing w:line="480" w:lineRule="auto"/>
        <w:ind w:left="709" w:hanging="425"/>
        <w:contextualSpacing w:val="0"/>
        <w:jc w:val="both"/>
        <w:rPr>
          <w:sz w:val="22"/>
          <w:szCs w:val="22"/>
        </w:rPr>
      </w:pPr>
      <w:r>
        <w:rPr>
          <w:sz w:val="22"/>
          <w:szCs w:val="22"/>
        </w:rPr>
        <w:t>Be a</w:t>
      </w:r>
      <w:r w:rsidR="0073508C" w:rsidRPr="00AD1388">
        <w:rPr>
          <w:sz w:val="22"/>
          <w:szCs w:val="22"/>
        </w:rPr>
        <w:t xml:space="preserve">t the heart of </w:t>
      </w:r>
      <w:r>
        <w:rPr>
          <w:sz w:val="22"/>
          <w:szCs w:val="22"/>
        </w:rPr>
        <w:t xml:space="preserve">the </w:t>
      </w:r>
      <w:r w:rsidR="00626376">
        <w:rPr>
          <w:sz w:val="22"/>
          <w:szCs w:val="22"/>
        </w:rPr>
        <w:t xml:space="preserve">strategic plan to help </w:t>
      </w:r>
      <w:r w:rsidR="0073508C" w:rsidRPr="00AD1388">
        <w:rPr>
          <w:sz w:val="22"/>
          <w:szCs w:val="22"/>
        </w:rPr>
        <w:t>drive decisions</w:t>
      </w:r>
      <w:r w:rsidR="00870BF1" w:rsidRPr="00AD1388">
        <w:rPr>
          <w:sz w:val="22"/>
          <w:szCs w:val="22"/>
        </w:rPr>
        <w:t xml:space="preserve"> </w:t>
      </w:r>
      <w:r w:rsidR="00870BF1" w:rsidRPr="00AD1388">
        <w:rPr>
          <w:color w:val="333333"/>
          <w:sz w:val="22"/>
          <w:szCs w:val="22"/>
        </w:rPr>
        <w:t>(</w:t>
      </w:r>
      <w:r w:rsidR="00870BF1" w:rsidRPr="00AD1388">
        <w:rPr>
          <w:sz w:val="22"/>
          <w:szCs w:val="22"/>
        </w:rPr>
        <w:t>Furness 2015)</w:t>
      </w:r>
      <w:r w:rsidR="001F2229" w:rsidRPr="00AD1388">
        <w:rPr>
          <w:sz w:val="22"/>
          <w:szCs w:val="22"/>
        </w:rPr>
        <w:t xml:space="preserve">; </w:t>
      </w:r>
    </w:p>
    <w:p w14:paraId="45FD93EC" w14:textId="77777777" w:rsidR="001F2229" w:rsidRPr="00AD1388" w:rsidRDefault="00626376" w:rsidP="00EA3A27">
      <w:pPr>
        <w:pStyle w:val="ListParagraph"/>
        <w:numPr>
          <w:ilvl w:val="0"/>
          <w:numId w:val="5"/>
        </w:numPr>
        <w:spacing w:line="480" w:lineRule="auto"/>
        <w:ind w:left="709" w:hanging="425"/>
        <w:contextualSpacing w:val="0"/>
        <w:jc w:val="both"/>
        <w:rPr>
          <w:sz w:val="22"/>
          <w:szCs w:val="22"/>
        </w:rPr>
      </w:pPr>
      <w:r>
        <w:rPr>
          <w:sz w:val="22"/>
          <w:szCs w:val="22"/>
        </w:rPr>
        <w:t>O</w:t>
      </w:r>
      <w:r w:rsidR="00EA6051" w:rsidRPr="00AD1388">
        <w:rPr>
          <w:sz w:val="22"/>
          <w:szCs w:val="22"/>
        </w:rPr>
        <w:t>perat</w:t>
      </w:r>
      <w:r w:rsidR="00D6330F">
        <w:rPr>
          <w:sz w:val="22"/>
          <w:szCs w:val="22"/>
        </w:rPr>
        <w:t xml:space="preserve">e </w:t>
      </w:r>
      <w:r w:rsidR="001F2229" w:rsidRPr="00AD1388">
        <w:rPr>
          <w:sz w:val="22"/>
          <w:szCs w:val="22"/>
        </w:rPr>
        <w:t>off of o</w:t>
      </w:r>
      <w:r w:rsidR="0073508C" w:rsidRPr="00AD1388">
        <w:rPr>
          <w:sz w:val="22"/>
          <w:szCs w:val="22"/>
        </w:rPr>
        <w:t xml:space="preserve">ne </w:t>
      </w:r>
      <w:r w:rsidR="001F2229" w:rsidRPr="00AD1388">
        <w:rPr>
          <w:sz w:val="22"/>
          <w:szCs w:val="22"/>
        </w:rPr>
        <w:t xml:space="preserve">single </w:t>
      </w:r>
      <w:r w:rsidR="0073508C" w:rsidRPr="00AD1388">
        <w:rPr>
          <w:sz w:val="22"/>
          <w:szCs w:val="22"/>
        </w:rPr>
        <w:t>set of data</w:t>
      </w:r>
      <w:r w:rsidR="00870BF1" w:rsidRPr="00AD1388">
        <w:rPr>
          <w:sz w:val="22"/>
          <w:szCs w:val="22"/>
        </w:rPr>
        <w:t xml:space="preserve"> (</w:t>
      </w:r>
      <w:r w:rsidR="00870BF1" w:rsidRPr="00AD1388">
        <w:rPr>
          <w:color w:val="333333"/>
          <w:sz w:val="22"/>
          <w:szCs w:val="22"/>
        </w:rPr>
        <w:t>Swales &amp; Bell 2015)</w:t>
      </w:r>
      <w:r w:rsidR="00EA6051" w:rsidRPr="00AD1388">
        <w:rPr>
          <w:sz w:val="22"/>
          <w:szCs w:val="22"/>
        </w:rPr>
        <w:t>;</w:t>
      </w:r>
    </w:p>
    <w:p w14:paraId="2C20A817" w14:textId="77777777" w:rsidR="001F2229" w:rsidRPr="00AD1388" w:rsidRDefault="001F2229" w:rsidP="00EA3A27">
      <w:pPr>
        <w:pStyle w:val="ListParagraph"/>
        <w:numPr>
          <w:ilvl w:val="0"/>
          <w:numId w:val="5"/>
        </w:numPr>
        <w:spacing w:line="480" w:lineRule="auto"/>
        <w:ind w:left="709" w:hanging="425"/>
        <w:contextualSpacing w:val="0"/>
        <w:jc w:val="both"/>
        <w:rPr>
          <w:sz w:val="22"/>
          <w:szCs w:val="22"/>
        </w:rPr>
      </w:pPr>
      <w:r w:rsidRPr="00AD1388">
        <w:rPr>
          <w:sz w:val="22"/>
          <w:szCs w:val="22"/>
        </w:rPr>
        <w:lastRenderedPageBreak/>
        <w:t>D</w:t>
      </w:r>
      <w:r w:rsidR="0073508C" w:rsidRPr="00AD1388">
        <w:rPr>
          <w:sz w:val="22"/>
          <w:szCs w:val="22"/>
        </w:rPr>
        <w:t>efin</w:t>
      </w:r>
      <w:r w:rsidRPr="00AD1388">
        <w:rPr>
          <w:sz w:val="22"/>
          <w:szCs w:val="22"/>
        </w:rPr>
        <w:t>e key performance indicators</w:t>
      </w:r>
      <w:r w:rsidR="00D6330F">
        <w:rPr>
          <w:sz w:val="22"/>
          <w:szCs w:val="22"/>
        </w:rPr>
        <w:t xml:space="preserve"> based on a</w:t>
      </w:r>
      <w:r w:rsidR="0073508C" w:rsidRPr="00AD1388">
        <w:rPr>
          <w:sz w:val="22"/>
          <w:szCs w:val="22"/>
        </w:rPr>
        <w:t xml:space="preserve"> ‘results hierarchy’ </w:t>
      </w:r>
      <w:r w:rsidR="00D6330F">
        <w:rPr>
          <w:sz w:val="22"/>
          <w:szCs w:val="22"/>
        </w:rPr>
        <w:t>aligned</w:t>
      </w:r>
      <w:r w:rsidRPr="00AD1388">
        <w:rPr>
          <w:sz w:val="22"/>
          <w:szCs w:val="22"/>
        </w:rPr>
        <w:t xml:space="preserve"> with </w:t>
      </w:r>
      <w:r w:rsidR="00D6330F">
        <w:rPr>
          <w:sz w:val="22"/>
          <w:szCs w:val="22"/>
        </w:rPr>
        <w:t xml:space="preserve">the </w:t>
      </w:r>
      <w:r w:rsidRPr="00AD1388">
        <w:rPr>
          <w:sz w:val="22"/>
          <w:szCs w:val="22"/>
        </w:rPr>
        <w:t>long-term strategic plan</w:t>
      </w:r>
      <w:r w:rsidR="00EA6051" w:rsidRPr="00AD1388">
        <w:rPr>
          <w:sz w:val="22"/>
          <w:szCs w:val="22"/>
        </w:rPr>
        <w:t xml:space="preserve"> (e.g. </w:t>
      </w:r>
      <w:r w:rsidR="005E5DA4" w:rsidRPr="00AD1388">
        <w:rPr>
          <w:sz w:val="22"/>
          <w:szCs w:val="22"/>
        </w:rPr>
        <w:t xml:space="preserve">a </w:t>
      </w:r>
      <w:r w:rsidR="00EA6051" w:rsidRPr="00AD1388">
        <w:rPr>
          <w:sz w:val="22"/>
          <w:szCs w:val="22"/>
        </w:rPr>
        <w:t>results-based management approach</w:t>
      </w:r>
      <w:r w:rsidR="005E5DA4" w:rsidRPr="00AD1388">
        <w:rPr>
          <w:sz w:val="22"/>
          <w:szCs w:val="22"/>
        </w:rPr>
        <w:t xml:space="preserve"> could be employed</w:t>
      </w:r>
      <w:r w:rsidR="00EA6051" w:rsidRPr="00AD1388">
        <w:rPr>
          <w:sz w:val="22"/>
          <w:szCs w:val="22"/>
        </w:rPr>
        <w:t xml:space="preserve">, </w:t>
      </w:r>
      <w:r w:rsidR="00D6330F">
        <w:rPr>
          <w:sz w:val="22"/>
          <w:szCs w:val="22"/>
        </w:rPr>
        <w:t>using logical framework matrix to</w:t>
      </w:r>
      <w:r w:rsidR="00870BF1" w:rsidRPr="00AD1388">
        <w:rPr>
          <w:sz w:val="22"/>
          <w:szCs w:val="22"/>
        </w:rPr>
        <w:t xml:space="preserve"> define</w:t>
      </w:r>
      <w:r w:rsidR="00D6330F">
        <w:rPr>
          <w:sz w:val="22"/>
          <w:szCs w:val="22"/>
        </w:rPr>
        <w:t xml:space="preserve"> the</w:t>
      </w:r>
      <w:r w:rsidR="00EA6051" w:rsidRPr="00AD1388">
        <w:rPr>
          <w:sz w:val="22"/>
          <w:szCs w:val="22"/>
        </w:rPr>
        <w:t xml:space="preserve"> Objectives </w:t>
      </w:r>
      <w:r w:rsidR="00EA6051" w:rsidRPr="00AD1388">
        <w:rPr>
          <w:sz w:val="22"/>
          <w:szCs w:val="22"/>
        </w:rPr>
        <w:sym w:font="Wingdings" w:char="F0E0"/>
      </w:r>
      <w:r w:rsidR="00EA6051" w:rsidRPr="00AD1388">
        <w:rPr>
          <w:sz w:val="22"/>
          <w:szCs w:val="22"/>
        </w:rPr>
        <w:t xml:space="preserve"> Outcomes </w:t>
      </w:r>
      <w:r w:rsidR="00EA6051" w:rsidRPr="00AD1388">
        <w:rPr>
          <w:sz w:val="22"/>
          <w:szCs w:val="22"/>
        </w:rPr>
        <w:sym w:font="Wingdings" w:char="F0E0"/>
      </w:r>
      <w:r w:rsidR="00EA6051" w:rsidRPr="00AD1388">
        <w:rPr>
          <w:sz w:val="22"/>
          <w:szCs w:val="22"/>
        </w:rPr>
        <w:t xml:space="preserve"> Outputs </w:t>
      </w:r>
      <w:r w:rsidR="00EA6051" w:rsidRPr="00AD1388">
        <w:rPr>
          <w:sz w:val="22"/>
          <w:szCs w:val="22"/>
        </w:rPr>
        <w:sym w:font="Wingdings" w:char="F0E0"/>
      </w:r>
      <w:r w:rsidR="00EA6051" w:rsidRPr="00AD1388">
        <w:rPr>
          <w:sz w:val="22"/>
          <w:szCs w:val="22"/>
        </w:rPr>
        <w:t xml:space="preserve"> Activities </w:t>
      </w:r>
      <w:r w:rsidR="00EA6051" w:rsidRPr="00AD1388">
        <w:rPr>
          <w:sz w:val="22"/>
          <w:szCs w:val="22"/>
        </w:rPr>
        <w:sym w:font="Wingdings" w:char="F0E0"/>
      </w:r>
      <w:r w:rsidR="00EA6051" w:rsidRPr="00AD1388">
        <w:rPr>
          <w:sz w:val="22"/>
          <w:szCs w:val="22"/>
        </w:rPr>
        <w:t xml:space="preserve"> Inputs</w:t>
      </w:r>
      <w:r w:rsidR="00870BF1" w:rsidRPr="00AD1388">
        <w:rPr>
          <w:sz w:val="22"/>
          <w:szCs w:val="22"/>
        </w:rPr>
        <w:t>, as well as resource requirements for each level</w:t>
      </w:r>
      <w:r w:rsidRPr="00AD1388">
        <w:rPr>
          <w:sz w:val="22"/>
          <w:szCs w:val="22"/>
        </w:rPr>
        <w:t xml:space="preserve"> </w:t>
      </w:r>
      <w:r w:rsidR="00EA6051" w:rsidRPr="00AD1388">
        <w:rPr>
          <w:sz w:val="22"/>
          <w:szCs w:val="22"/>
        </w:rPr>
        <w:t>(IAEA 2013)</w:t>
      </w:r>
      <w:r w:rsidR="005E5DA4" w:rsidRPr="00AD1388">
        <w:rPr>
          <w:sz w:val="22"/>
          <w:szCs w:val="22"/>
        </w:rPr>
        <w:t>;</w:t>
      </w:r>
    </w:p>
    <w:p w14:paraId="7BDD4EA5" w14:textId="77777777" w:rsidR="001F2229" w:rsidRPr="00AD1388" w:rsidRDefault="001F2229" w:rsidP="00EA3A27">
      <w:pPr>
        <w:pStyle w:val="ListParagraph"/>
        <w:numPr>
          <w:ilvl w:val="0"/>
          <w:numId w:val="5"/>
        </w:numPr>
        <w:spacing w:line="480" w:lineRule="auto"/>
        <w:ind w:left="709" w:hanging="425"/>
        <w:contextualSpacing w:val="0"/>
        <w:jc w:val="both"/>
        <w:rPr>
          <w:sz w:val="22"/>
          <w:szCs w:val="22"/>
        </w:rPr>
      </w:pPr>
      <w:r w:rsidRPr="00AD1388">
        <w:rPr>
          <w:sz w:val="22"/>
          <w:szCs w:val="22"/>
        </w:rPr>
        <w:t>Identify possible technological and other</w:t>
      </w:r>
      <w:r w:rsidR="0073508C" w:rsidRPr="00AD1388">
        <w:rPr>
          <w:sz w:val="22"/>
          <w:szCs w:val="22"/>
        </w:rPr>
        <w:t xml:space="preserve"> innovative systems that </w:t>
      </w:r>
      <w:r w:rsidRPr="00AD1388">
        <w:rPr>
          <w:sz w:val="22"/>
          <w:szCs w:val="22"/>
        </w:rPr>
        <w:t xml:space="preserve">could </w:t>
      </w:r>
      <w:r w:rsidR="0073508C" w:rsidRPr="00AD1388">
        <w:rPr>
          <w:sz w:val="22"/>
          <w:szCs w:val="22"/>
        </w:rPr>
        <w:t xml:space="preserve">help </w:t>
      </w:r>
      <w:r w:rsidR="00626376">
        <w:rPr>
          <w:sz w:val="22"/>
          <w:szCs w:val="22"/>
        </w:rPr>
        <w:t>with managing</w:t>
      </w:r>
      <w:r w:rsidRPr="00AD1388">
        <w:rPr>
          <w:sz w:val="22"/>
          <w:szCs w:val="22"/>
        </w:rPr>
        <w:t xml:space="preserve"> data </w:t>
      </w:r>
      <w:r w:rsidR="00626376">
        <w:rPr>
          <w:sz w:val="22"/>
          <w:szCs w:val="22"/>
        </w:rPr>
        <w:t>so as to provide</w:t>
      </w:r>
      <w:r w:rsidRPr="00AD1388">
        <w:rPr>
          <w:sz w:val="22"/>
          <w:szCs w:val="22"/>
        </w:rPr>
        <w:t xml:space="preserve"> </w:t>
      </w:r>
      <w:r w:rsidR="0073508C" w:rsidRPr="00AD1388">
        <w:rPr>
          <w:sz w:val="22"/>
          <w:szCs w:val="22"/>
        </w:rPr>
        <w:t xml:space="preserve">strategic insights </w:t>
      </w:r>
      <w:r w:rsidR="00D6330F">
        <w:rPr>
          <w:sz w:val="22"/>
          <w:szCs w:val="22"/>
        </w:rPr>
        <w:t>for</w:t>
      </w:r>
      <w:r w:rsidR="0073508C" w:rsidRPr="00AD1388">
        <w:rPr>
          <w:sz w:val="22"/>
          <w:szCs w:val="22"/>
        </w:rPr>
        <w:t xml:space="preserve"> decision-making </w:t>
      </w:r>
      <w:r w:rsidR="00870BF1" w:rsidRPr="00AD1388">
        <w:rPr>
          <w:sz w:val="22"/>
          <w:szCs w:val="22"/>
        </w:rPr>
        <w:t xml:space="preserve">(Crook &amp; </w:t>
      </w:r>
      <w:proofErr w:type="spellStart"/>
      <w:r w:rsidR="00870BF1" w:rsidRPr="00AD1388">
        <w:rPr>
          <w:sz w:val="22"/>
          <w:szCs w:val="22"/>
        </w:rPr>
        <w:t>Pinder</w:t>
      </w:r>
      <w:proofErr w:type="spellEnd"/>
      <w:r w:rsidR="00870BF1" w:rsidRPr="00AD1388">
        <w:rPr>
          <w:sz w:val="22"/>
          <w:szCs w:val="22"/>
        </w:rPr>
        <w:t xml:space="preserve"> 2019);</w:t>
      </w:r>
      <w:r w:rsidR="00FE6910" w:rsidRPr="00AD1388">
        <w:rPr>
          <w:sz w:val="22"/>
          <w:szCs w:val="22"/>
        </w:rPr>
        <w:t xml:space="preserve"> and</w:t>
      </w:r>
    </w:p>
    <w:p w14:paraId="741F1D67" w14:textId="77777777" w:rsidR="00FE6910" w:rsidRPr="00EA3A27" w:rsidRDefault="00FE6910" w:rsidP="00EA3A27">
      <w:pPr>
        <w:pStyle w:val="ListParagraph"/>
        <w:numPr>
          <w:ilvl w:val="0"/>
          <w:numId w:val="5"/>
        </w:numPr>
        <w:spacing w:line="480" w:lineRule="auto"/>
        <w:ind w:left="709" w:hanging="425"/>
        <w:jc w:val="both"/>
        <w:rPr>
          <w:sz w:val="22"/>
          <w:szCs w:val="22"/>
        </w:rPr>
      </w:pPr>
      <w:r w:rsidRPr="00AD1388">
        <w:rPr>
          <w:sz w:val="22"/>
          <w:szCs w:val="22"/>
        </w:rPr>
        <w:t xml:space="preserve">Simultaneously consider </w:t>
      </w:r>
      <w:r w:rsidR="009F29A8" w:rsidRPr="00AD1388">
        <w:rPr>
          <w:sz w:val="22"/>
          <w:szCs w:val="22"/>
        </w:rPr>
        <w:t xml:space="preserve">how </w:t>
      </w:r>
      <w:r w:rsidRPr="00AD1388">
        <w:rPr>
          <w:sz w:val="22"/>
          <w:szCs w:val="22"/>
        </w:rPr>
        <w:t xml:space="preserve">corporate social responsibility (CSR) </w:t>
      </w:r>
      <w:r w:rsidR="009F29A8" w:rsidRPr="00AD1388">
        <w:rPr>
          <w:sz w:val="22"/>
          <w:szCs w:val="22"/>
        </w:rPr>
        <w:t xml:space="preserve">activities </w:t>
      </w:r>
      <w:r w:rsidR="00626376">
        <w:rPr>
          <w:sz w:val="22"/>
          <w:szCs w:val="22"/>
        </w:rPr>
        <w:t>could be integrated into the SPIA</w:t>
      </w:r>
      <w:r w:rsidR="00177ACD">
        <w:rPr>
          <w:sz w:val="22"/>
          <w:szCs w:val="22"/>
        </w:rPr>
        <w:t xml:space="preserve">, for example, </w:t>
      </w:r>
      <w:r w:rsidR="00E06C0E">
        <w:rPr>
          <w:sz w:val="22"/>
          <w:szCs w:val="22"/>
        </w:rPr>
        <w:t>by</w:t>
      </w:r>
      <w:r w:rsidR="00177ACD">
        <w:rPr>
          <w:sz w:val="22"/>
          <w:szCs w:val="22"/>
        </w:rPr>
        <w:t xml:space="preserve"> producing greenhouses and conservatories (see Annex </w:t>
      </w:r>
      <w:r w:rsidR="00243772">
        <w:rPr>
          <w:sz w:val="22"/>
          <w:szCs w:val="22"/>
        </w:rPr>
        <w:t>I</w:t>
      </w:r>
      <w:r w:rsidR="00177ACD">
        <w:rPr>
          <w:sz w:val="22"/>
          <w:szCs w:val="22"/>
        </w:rPr>
        <w:t xml:space="preserve">I for a detailed analysis CSR). </w:t>
      </w:r>
    </w:p>
    <w:p w14:paraId="68B7F638" w14:textId="77777777" w:rsidR="00E06C0E" w:rsidRDefault="00AD1388" w:rsidP="00EA3A27">
      <w:pPr>
        <w:spacing w:line="480" w:lineRule="auto"/>
        <w:jc w:val="both"/>
        <w:rPr>
          <w:sz w:val="22"/>
          <w:szCs w:val="22"/>
        </w:rPr>
      </w:pPr>
      <w:r w:rsidRPr="005520E3">
        <w:rPr>
          <w:sz w:val="22"/>
          <w:szCs w:val="22"/>
        </w:rPr>
        <w:t>Thus, bearing in mind the above, without a SPIA that is in line with</w:t>
      </w:r>
      <w:r w:rsidR="0068079B">
        <w:rPr>
          <w:sz w:val="22"/>
          <w:szCs w:val="22"/>
        </w:rPr>
        <w:t xml:space="preserve"> a strategic plan</w:t>
      </w:r>
      <w:r w:rsidRPr="005520E3">
        <w:rPr>
          <w:sz w:val="22"/>
          <w:szCs w:val="22"/>
        </w:rPr>
        <w:t xml:space="preserve">, it would </w:t>
      </w:r>
      <w:r w:rsidR="0068079B">
        <w:rPr>
          <w:sz w:val="22"/>
          <w:szCs w:val="22"/>
        </w:rPr>
        <w:t xml:space="preserve">indeed </w:t>
      </w:r>
      <w:r w:rsidRPr="005520E3">
        <w:rPr>
          <w:sz w:val="22"/>
          <w:szCs w:val="22"/>
        </w:rPr>
        <w:t xml:space="preserve">be very challenging </w:t>
      </w:r>
      <w:r w:rsidR="0068079B">
        <w:rPr>
          <w:sz w:val="22"/>
          <w:szCs w:val="22"/>
        </w:rPr>
        <w:t xml:space="preserve">for James PLC </w:t>
      </w:r>
      <w:r w:rsidRPr="005520E3">
        <w:rPr>
          <w:sz w:val="22"/>
          <w:szCs w:val="22"/>
        </w:rPr>
        <w:t xml:space="preserve">to identify which projects </w:t>
      </w:r>
      <w:r w:rsidR="0068079B">
        <w:rPr>
          <w:sz w:val="22"/>
          <w:szCs w:val="22"/>
        </w:rPr>
        <w:t xml:space="preserve">are best placed to </w:t>
      </w:r>
      <w:r w:rsidRPr="005520E3">
        <w:rPr>
          <w:sz w:val="22"/>
          <w:szCs w:val="22"/>
        </w:rPr>
        <w:t xml:space="preserve">produce a </w:t>
      </w:r>
      <w:r w:rsidR="0068079B">
        <w:rPr>
          <w:sz w:val="22"/>
          <w:szCs w:val="22"/>
        </w:rPr>
        <w:t>profit</w:t>
      </w:r>
      <w:r w:rsidRPr="005520E3">
        <w:rPr>
          <w:sz w:val="22"/>
          <w:szCs w:val="22"/>
        </w:rPr>
        <w:t>, especially considering the best investment projects tend to be the ones which match a business’s internal strengths and objectives with available strategic opportunities</w:t>
      </w:r>
      <w:r w:rsidRPr="005520E3">
        <w:rPr>
          <w:rStyle w:val="FootnoteReference"/>
          <w:sz w:val="22"/>
          <w:szCs w:val="22"/>
        </w:rPr>
        <w:footnoteReference w:id="12"/>
      </w:r>
      <w:r w:rsidRPr="005520E3">
        <w:rPr>
          <w:sz w:val="22"/>
          <w:szCs w:val="22"/>
        </w:rPr>
        <w:t xml:space="preserve"> (</w:t>
      </w:r>
      <w:proofErr w:type="spellStart"/>
      <w:r w:rsidRPr="005520E3">
        <w:rPr>
          <w:sz w:val="22"/>
          <w:szCs w:val="22"/>
        </w:rPr>
        <w:t>Atrill</w:t>
      </w:r>
      <w:proofErr w:type="spellEnd"/>
      <w:r w:rsidRPr="005520E3">
        <w:rPr>
          <w:sz w:val="22"/>
          <w:szCs w:val="22"/>
        </w:rPr>
        <w:t xml:space="preserve"> 2012). </w:t>
      </w:r>
    </w:p>
    <w:p w14:paraId="746DC1A5" w14:textId="77777777" w:rsidR="00E06C0E" w:rsidRPr="00E06C0E" w:rsidRDefault="00E06C0E" w:rsidP="00EA3A27">
      <w:pPr>
        <w:spacing w:line="480" w:lineRule="auto"/>
        <w:jc w:val="both"/>
        <w:rPr>
          <w:sz w:val="22"/>
          <w:szCs w:val="22"/>
        </w:rPr>
      </w:pPr>
    </w:p>
    <w:p w14:paraId="31AAC816" w14:textId="77777777" w:rsidR="009476F4" w:rsidRDefault="009C2DC5" w:rsidP="00EA3A27">
      <w:pPr>
        <w:pStyle w:val="ListParagraph"/>
        <w:numPr>
          <w:ilvl w:val="0"/>
          <w:numId w:val="25"/>
        </w:numPr>
        <w:spacing w:line="480" w:lineRule="auto"/>
        <w:outlineLvl w:val="0"/>
        <w:rPr>
          <w:rFonts w:ascii="Times" w:hAnsi="Times" w:cs="Arial"/>
          <w:b/>
          <w:sz w:val="22"/>
          <w:szCs w:val="22"/>
        </w:rPr>
      </w:pPr>
      <w:bookmarkStart w:id="44" w:name="_Toc535615939"/>
      <w:r>
        <w:rPr>
          <w:rFonts w:ascii="Times" w:hAnsi="Times" w:cs="Arial"/>
          <w:b/>
          <w:sz w:val="22"/>
          <w:szCs w:val="22"/>
        </w:rPr>
        <w:t>De</w:t>
      </w:r>
      <w:r w:rsidR="00333214">
        <w:rPr>
          <w:rFonts w:ascii="Times" w:hAnsi="Times" w:cs="Arial"/>
          <w:b/>
          <w:sz w:val="22"/>
          <w:szCs w:val="22"/>
        </w:rPr>
        <w:t>termining</w:t>
      </w:r>
      <w:r w:rsidR="005E27D9">
        <w:rPr>
          <w:rFonts w:ascii="Times" w:hAnsi="Times" w:cs="Arial"/>
          <w:b/>
          <w:sz w:val="22"/>
          <w:szCs w:val="22"/>
        </w:rPr>
        <w:t xml:space="preserve"> the Optimal Investment Policy</w:t>
      </w:r>
      <w:bookmarkEnd w:id="44"/>
    </w:p>
    <w:p w14:paraId="7FCAB241" w14:textId="77777777" w:rsidR="009476F4" w:rsidRPr="008C7198" w:rsidRDefault="00BD227A" w:rsidP="00EA3A27">
      <w:pPr>
        <w:spacing w:line="480" w:lineRule="auto"/>
        <w:ind w:firstLine="360"/>
        <w:jc w:val="both"/>
        <w:rPr>
          <w:rFonts w:ascii="Times" w:hAnsi="Times"/>
          <w:sz w:val="22"/>
          <w:szCs w:val="22"/>
        </w:rPr>
      </w:pPr>
      <w:r w:rsidRPr="008C7198">
        <w:rPr>
          <w:rFonts w:ascii="Times" w:hAnsi="Times"/>
          <w:sz w:val="22"/>
          <w:szCs w:val="22"/>
        </w:rPr>
        <w:t>In order to identify the most optimal investment policy for James PLC</w:t>
      </w:r>
      <w:r w:rsidR="009476F4" w:rsidRPr="008C7198">
        <w:rPr>
          <w:rFonts w:ascii="Times" w:hAnsi="Times"/>
          <w:sz w:val="22"/>
          <w:szCs w:val="22"/>
        </w:rPr>
        <w:t xml:space="preserve">, </w:t>
      </w:r>
      <w:r w:rsidR="005E27D9" w:rsidRPr="008C7198">
        <w:rPr>
          <w:rFonts w:ascii="Times" w:hAnsi="Times"/>
          <w:sz w:val="22"/>
          <w:szCs w:val="22"/>
        </w:rPr>
        <w:t xml:space="preserve">the </w:t>
      </w:r>
      <w:r w:rsidR="009476F4" w:rsidRPr="008C7198">
        <w:rPr>
          <w:rFonts w:ascii="Times" w:hAnsi="Times"/>
          <w:sz w:val="22"/>
          <w:szCs w:val="22"/>
        </w:rPr>
        <w:t>subsequent sub-sections</w:t>
      </w:r>
      <w:r w:rsidR="00061895" w:rsidRPr="008C7198">
        <w:rPr>
          <w:rFonts w:ascii="Times" w:hAnsi="Times"/>
          <w:sz w:val="22"/>
          <w:szCs w:val="22"/>
        </w:rPr>
        <w:t xml:space="preserve"> </w:t>
      </w:r>
      <w:r w:rsidR="009476F4" w:rsidRPr="008C7198">
        <w:rPr>
          <w:rFonts w:ascii="Times" w:hAnsi="Times"/>
          <w:sz w:val="22"/>
          <w:szCs w:val="22"/>
        </w:rPr>
        <w:t xml:space="preserve">will </w:t>
      </w:r>
      <w:r w:rsidR="00E06C0E">
        <w:rPr>
          <w:rFonts w:ascii="Times" w:hAnsi="Times"/>
          <w:sz w:val="22"/>
          <w:szCs w:val="22"/>
        </w:rPr>
        <w:t xml:space="preserve">consider </w:t>
      </w:r>
      <w:r w:rsidR="00333214">
        <w:rPr>
          <w:rFonts w:ascii="Times" w:hAnsi="Times"/>
          <w:sz w:val="22"/>
          <w:szCs w:val="22"/>
        </w:rPr>
        <w:t xml:space="preserve">capital rationing, first with </w:t>
      </w:r>
      <w:r w:rsidRPr="008C7198">
        <w:rPr>
          <w:rFonts w:ascii="Times" w:hAnsi="Times"/>
          <w:sz w:val="22"/>
          <w:szCs w:val="22"/>
        </w:rPr>
        <w:t xml:space="preserve">reliance on </w:t>
      </w:r>
      <w:r w:rsidR="005E27D9" w:rsidRPr="008C7198">
        <w:rPr>
          <w:rFonts w:ascii="Times" w:hAnsi="Times"/>
          <w:sz w:val="22"/>
          <w:szCs w:val="22"/>
        </w:rPr>
        <w:t>NPV</w:t>
      </w:r>
      <w:r w:rsidRPr="008C7198">
        <w:rPr>
          <w:rFonts w:ascii="Times" w:hAnsi="Times"/>
          <w:sz w:val="22"/>
          <w:szCs w:val="22"/>
        </w:rPr>
        <w:t xml:space="preserve"> only</w:t>
      </w:r>
      <w:r w:rsidR="00E06C0E">
        <w:rPr>
          <w:rFonts w:ascii="Times" w:hAnsi="Times"/>
          <w:sz w:val="22"/>
          <w:szCs w:val="22"/>
        </w:rPr>
        <w:t>,</w:t>
      </w:r>
      <w:r w:rsidR="005E27D9" w:rsidRPr="008C7198">
        <w:rPr>
          <w:rFonts w:ascii="Times" w:hAnsi="Times"/>
          <w:sz w:val="22"/>
          <w:szCs w:val="22"/>
        </w:rPr>
        <w:t xml:space="preserve"> </w:t>
      </w:r>
      <w:r w:rsidR="00070073">
        <w:rPr>
          <w:rFonts w:ascii="Times" w:hAnsi="Times"/>
          <w:sz w:val="22"/>
          <w:szCs w:val="22"/>
        </w:rPr>
        <w:t>then with a combination of NPV and other ratios</w:t>
      </w:r>
      <w:r w:rsidR="005E27D9" w:rsidRPr="008C7198">
        <w:rPr>
          <w:rFonts w:ascii="Times" w:hAnsi="Times"/>
          <w:sz w:val="22"/>
          <w:szCs w:val="22"/>
        </w:rPr>
        <w:t xml:space="preserve">, by </w:t>
      </w:r>
      <w:r w:rsidR="009476F4" w:rsidRPr="008C7198">
        <w:rPr>
          <w:rFonts w:ascii="Times" w:hAnsi="Times"/>
          <w:sz w:val="22"/>
          <w:szCs w:val="22"/>
        </w:rPr>
        <w:t>consider</w:t>
      </w:r>
      <w:r w:rsidR="005E27D9" w:rsidRPr="008C7198">
        <w:rPr>
          <w:rFonts w:ascii="Times" w:hAnsi="Times"/>
          <w:sz w:val="22"/>
          <w:szCs w:val="22"/>
        </w:rPr>
        <w:t>ing</w:t>
      </w:r>
      <w:r w:rsidR="009476F4" w:rsidRPr="008C7198">
        <w:rPr>
          <w:rFonts w:ascii="Times" w:hAnsi="Times"/>
          <w:sz w:val="22"/>
          <w:szCs w:val="22"/>
        </w:rPr>
        <w:t xml:space="preserve"> the following</w:t>
      </w:r>
      <w:r w:rsidR="005E27D9" w:rsidRPr="008C7198">
        <w:rPr>
          <w:rFonts w:ascii="Times" w:hAnsi="Times"/>
          <w:sz w:val="22"/>
          <w:szCs w:val="22"/>
        </w:rPr>
        <w:t xml:space="preserve"> scenario</w:t>
      </w:r>
      <w:r w:rsidR="009476F4" w:rsidRPr="008C7198">
        <w:rPr>
          <w:rFonts w:ascii="Times" w:hAnsi="Times"/>
          <w:sz w:val="22"/>
          <w:szCs w:val="22"/>
        </w:rPr>
        <w:t xml:space="preserve">: </w:t>
      </w:r>
    </w:p>
    <w:p w14:paraId="1E2565A5" w14:textId="77777777" w:rsidR="006A01E8" w:rsidRPr="008C7198" w:rsidRDefault="009476F4" w:rsidP="00EA3A27">
      <w:pPr>
        <w:pStyle w:val="ListParagraph"/>
        <w:spacing w:line="480" w:lineRule="auto"/>
        <w:ind w:left="567" w:right="571"/>
        <w:jc w:val="both"/>
        <w:rPr>
          <w:rFonts w:ascii="Times" w:hAnsi="Times" w:cs="Arial"/>
          <w:b/>
          <w:i/>
          <w:sz w:val="22"/>
          <w:szCs w:val="22"/>
        </w:rPr>
      </w:pPr>
      <w:r w:rsidRPr="008C7198">
        <w:rPr>
          <w:rFonts w:ascii="Times" w:hAnsi="Times"/>
          <w:i/>
          <w:sz w:val="22"/>
          <w:szCs w:val="22"/>
        </w:rPr>
        <w:t>I</w:t>
      </w:r>
      <w:r w:rsidR="009C3A55" w:rsidRPr="008C7198">
        <w:rPr>
          <w:rFonts w:ascii="Times" w:hAnsi="Times"/>
          <w:i/>
          <w:sz w:val="22"/>
          <w:szCs w:val="22"/>
        </w:rPr>
        <w:t xml:space="preserve">f funds are limited to £2,500,000 and </w:t>
      </w:r>
      <w:r w:rsidRPr="008C7198">
        <w:rPr>
          <w:rFonts w:ascii="Times" w:hAnsi="Times"/>
          <w:i/>
          <w:sz w:val="22"/>
          <w:szCs w:val="22"/>
        </w:rPr>
        <w:t xml:space="preserve">the </w:t>
      </w:r>
      <w:r w:rsidR="009C3A55" w:rsidRPr="008C7198">
        <w:rPr>
          <w:rFonts w:ascii="Times" w:hAnsi="Times"/>
          <w:i/>
          <w:sz w:val="22"/>
          <w:szCs w:val="22"/>
        </w:rPr>
        <w:t>projects are divisible (i.e. a fraction of a total project</w:t>
      </w:r>
      <w:r w:rsidRPr="008C7198">
        <w:rPr>
          <w:rFonts w:ascii="Times" w:hAnsi="Times"/>
          <w:i/>
          <w:sz w:val="22"/>
          <w:szCs w:val="22"/>
        </w:rPr>
        <w:t xml:space="preserve"> can be undertaken</w:t>
      </w:r>
      <w:r w:rsidR="009C3A55" w:rsidRPr="008C7198">
        <w:rPr>
          <w:rFonts w:ascii="Times" w:hAnsi="Times"/>
          <w:i/>
          <w:sz w:val="22"/>
          <w:szCs w:val="22"/>
        </w:rPr>
        <w:t xml:space="preserve">), calculate the optimal investment policy and the resulting total NPV from </w:t>
      </w:r>
      <w:r w:rsidRPr="008C7198">
        <w:rPr>
          <w:rFonts w:ascii="Times" w:hAnsi="Times"/>
          <w:i/>
          <w:sz w:val="22"/>
          <w:szCs w:val="22"/>
        </w:rPr>
        <w:t xml:space="preserve">this investment policy, whilst assuming that </w:t>
      </w:r>
      <w:r w:rsidR="009C3A55" w:rsidRPr="008C7198">
        <w:rPr>
          <w:rFonts w:ascii="Times" w:hAnsi="Times"/>
          <w:i/>
          <w:sz w:val="22"/>
          <w:szCs w:val="22"/>
        </w:rPr>
        <w:t>corporation tax is 20% and capital allowances a</w:t>
      </w:r>
      <w:r w:rsidR="008C7198">
        <w:rPr>
          <w:rFonts w:ascii="Times" w:hAnsi="Times"/>
          <w:i/>
          <w:sz w:val="22"/>
          <w:szCs w:val="22"/>
        </w:rPr>
        <w:t>re 25% on a straight-</w:t>
      </w:r>
      <w:r w:rsidRPr="008C7198">
        <w:rPr>
          <w:rFonts w:ascii="Times" w:hAnsi="Times"/>
          <w:i/>
          <w:sz w:val="22"/>
          <w:szCs w:val="22"/>
        </w:rPr>
        <w:t xml:space="preserve">line basis, and the related </w:t>
      </w:r>
      <w:r w:rsidR="009C3A55" w:rsidRPr="008C7198">
        <w:rPr>
          <w:rFonts w:ascii="Times" w:hAnsi="Times"/>
          <w:i/>
          <w:sz w:val="22"/>
          <w:szCs w:val="22"/>
        </w:rPr>
        <w:t>cash</w:t>
      </w:r>
      <w:r w:rsidRPr="008C7198">
        <w:rPr>
          <w:rFonts w:ascii="Times" w:hAnsi="Times"/>
          <w:i/>
          <w:sz w:val="22"/>
          <w:szCs w:val="22"/>
        </w:rPr>
        <w:t>-</w:t>
      </w:r>
      <w:r w:rsidR="009C3A55" w:rsidRPr="008C7198">
        <w:rPr>
          <w:rFonts w:ascii="Times" w:hAnsi="Times"/>
          <w:i/>
          <w:sz w:val="22"/>
          <w:szCs w:val="22"/>
        </w:rPr>
        <w:t xml:space="preserve">flows occur in the year they arise. </w:t>
      </w:r>
    </w:p>
    <w:p w14:paraId="1BB93280" w14:textId="77777777" w:rsidR="00E06C0E" w:rsidRPr="00EA3A27" w:rsidRDefault="00E06C0E" w:rsidP="00EA3A27">
      <w:pPr>
        <w:outlineLvl w:val="1"/>
        <w:rPr>
          <w:rFonts w:ascii="Times" w:hAnsi="Times" w:cs="Arial"/>
          <w:b/>
          <w:sz w:val="22"/>
          <w:szCs w:val="22"/>
        </w:rPr>
        <w:sectPr w:rsidR="00E06C0E" w:rsidRPr="00EA3A27" w:rsidSect="008206B9">
          <w:pgSz w:w="12240" w:h="15840"/>
          <w:pgMar w:top="1440" w:right="1440" w:bottom="1440" w:left="1440" w:header="708" w:footer="708" w:gutter="0"/>
          <w:cols w:space="708"/>
          <w:docGrid w:linePitch="360"/>
        </w:sectPr>
      </w:pPr>
    </w:p>
    <w:p w14:paraId="2AD31DE3" w14:textId="77777777" w:rsidR="00BD227A" w:rsidRPr="0055405F" w:rsidRDefault="009476F4" w:rsidP="00EA3A27">
      <w:pPr>
        <w:pStyle w:val="ListParagraph"/>
        <w:numPr>
          <w:ilvl w:val="1"/>
          <w:numId w:val="25"/>
        </w:numPr>
        <w:spacing w:line="480" w:lineRule="auto"/>
        <w:outlineLvl w:val="1"/>
        <w:rPr>
          <w:rFonts w:ascii="Times" w:hAnsi="Times" w:cs="Arial"/>
          <w:b/>
          <w:sz w:val="22"/>
          <w:szCs w:val="22"/>
        </w:rPr>
      </w:pPr>
      <w:bookmarkStart w:id="45" w:name="_Toc535615940"/>
      <w:r w:rsidRPr="008C7198">
        <w:rPr>
          <w:rFonts w:ascii="Times" w:hAnsi="Times" w:cs="Arial"/>
          <w:b/>
          <w:sz w:val="22"/>
          <w:szCs w:val="22"/>
        </w:rPr>
        <w:lastRenderedPageBreak/>
        <w:t>Reliance on NPV Only</w:t>
      </w:r>
      <w:bookmarkEnd w:id="45"/>
    </w:p>
    <w:p w14:paraId="002E4896" w14:textId="77777777" w:rsidR="00BD227A" w:rsidRPr="008C7198" w:rsidRDefault="00BD227A" w:rsidP="00EA3A27">
      <w:pPr>
        <w:spacing w:line="480" w:lineRule="auto"/>
        <w:ind w:firstLine="360"/>
        <w:jc w:val="both"/>
        <w:rPr>
          <w:rFonts w:ascii="Times" w:hAnsi="Times" w:cs="Arial"/>
          <w:sz w:val="22"/>
          <w:szCs w:val="22"/>
        </w:rPr>
      </w:pPr>
      <w:r w:rsidRPr="008C7198">
        <w:rPr>
          <w:rFonts w:ascii="Times" w:hAnsi="Times" w:cs="Arial"/>
          <w:sz w:val="22"/>
          <w:szCs w:val="22"/>
        </w:rPr>
        <w:t>As previously noted, the order of projects from most to least profitable using only NPV is C, B, A, as per Table 3.</w:t>
      </w:r>
    </w:p>
    <w:p w14:paraId="0AA36209" w14:textId="77777777" w:rsidR="00BD227A" w:rsidRPr="008C7198" w:rsidRDefault="00BD227A" w:rsidP="0001255B">
      <w:pPr>
        <w:rPr>
          <w:rFonts w:ascii="Times" w:hAnsi="Times" w:cs="Arial"/>
          <w:sz w:val="22"/>
          <w:szCs w:val="22"/>
        </w:rPr>
      </w:pPr>
    </w:p>
    <w:p w14:paraId="38F4A7F2" w14:textId="77777777" w:rsidR="00BD227A" w:rsidRPr="008C7198" w:rsidRDefault="00BD227A" w:rsidP="0001255B">
      <w:pPr>
        <w:spacing w:after="120"/>
        <w:ind w:left="426"/>
        <w:rPr>
          <w:rFonts w:ascii="Times" w:hAnsi="Times" w:cs="Arial"/>
          <w:b/>
          <w:sz w:val="22"/>
          <w:szCs w:val="22"/>
          <w:u w:val="single"/>
        </w:rPr>
      </w:pPr>
      <w:r w:rsidRPr="008C7198">
        <w:rPr>
          <w:rFonts w:ascii="Times" w:hAnsi="Times" w:cs="Arial"/>
          <w:b/>
          <w:sz w:val="22"/>
          <w:szCs w:val="22"/>
          <w:u w:val="single"/>
        </w:rPr>
        <w:t>Table 3</w:t>
      </w:r>
    </w:p>
    <w:p w14:paraId="1CDBCB5E" w14:textId="77777777" w:rsidR="004316EC" w:rsidRPr="008C7198" w:rsidRDefault="00BD227A" w:rsidP="0001255B">
      <w:pPr>
        <w:jc w:val="center"/>
        <w:rPr>
          <w:rFonts w:ascii="Times" w:hAnsi="Times" w:cs="Arial"/>
          <w:sz w:val="22"/>
          <w:szCs w:val="22"/>
        </w:rPr>
      </w:pPr>
      <w:r w:rsidRPr="008C7198">
        <w:rPr>
          <w:rFonts w:ascii="Times" w:hAnsi="Times" w:cs="Arial"/>
          <w:noProof/>
          <w:sz w:val="22"/>
          <w:szCs w:val="22"/>
          <w:lang w:val="en-US" w:eastAsia="en-US"/>
        </w:rPr>
        <w:drawing>
          <wp:inline distT="0" distB="0" distL="0" distR="0" wp14:anchorId="00961955" wp14:editId="19567EEA">
            <wp:extent cx="5502012" cy="1195720"/>
            <wp:effectExtent l="0" t="0" r="10160" b="0"/>
            <wp:docPr id="14" name="Picture 14" descr="../Screen%20Shot%202019-01-17%20at%2010.30.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9-01-17%20at%2010.30.37%20PM.png"/>
                    <pic:cNvPicPr>
                      <a:picLocks noChangeAspect="1" noChangeArrowheads="1"/>
                    </pic:cNvPicPr>
                  </pic:nvPicPr>
                  <pic:blipFill rotWithShape="1">
                    <a:blip r:embed="rId19">
                      <a:extLst>
                        <a:ext uri="{28A0092B-C50C-407E-A947-70E740481C1C}">
                          <a14:useLocalDpi xmlns:a14="http://schemas.microsoft.com/office/drawing/2010/main" val="0"/>
                        </a:ext>
                      </a:extLst>
                    </a:blip>
                    <a:srcRect l="14635" t="33632" r="46510" b="52853"/>
                    <a:stretch/>
                  </pic:blipFill>
                  <pic:spPr bwMode="auto">
                    <a:xfrm>
                      <a:off x="0" y="0"/>
                      <a:ext cx="5505068" cy="1196384"/>
                    </a:xfrm>
                    <a:prstGeom prst="rect">
                      <a:avLst/>
                    </a:prstGeom>
                    <a:noFill/>
                    <a:ln>
                      <a:noFill/>
                    </a:ln>
                    <a:extLst>
                      <a:ext uri="{53640926-AAD7-44D8-BBD7-CCE9431645EC}">
                        <a14:shadowObscured xmlns:a14="http://schemas.microsoft.com/office/drawing/2010/main"/>
                      </a:ext>
                    </a:extLst>
                  </pic:spPr>
                </pic:pic>
              </a:graphicData>
            </a:graphic>
          </wp:inline>
        </w:drawing>
      </w:r>
    </w:p>
    <w:p w14:paraId="3715A53F" w14:textId="77777777" w:rsidR="00EA6A4D" w:rsidRPr="008C7198" w:rsidRDefault="00EA6A4D" w:rsidP="0001255B">
      <w:pPr>
        <w:rPr>
          <w:rFonts w:ascii="Times" w:hAnsi="Times" w:cs="Arial"/>
          <w:sz w:val="22"/>
          <w:szCs w:val="22"/>
        </w:rPr>
      </w:pPr>
    </w:p>
    <w:p w14:paraId="54714265" w14:textId="77777777" w:rsidR="00BD227A" w:rsidRPr="008C7198" w:rsidRDefault="00BD227A" w:rsidP="00EA3A27">
      <w:pPr>
        <w:spacing w:line="480" w:lineRule="auto"/>
        <w:jc w:val="both"/>
        <w:rPr>
          <w:rFonts w:ascii="Times" w:hAnsi="Times" w:cs="Arial"/>
          <w:sz w:val="22"/>
          <w:szCs w:val="22"/>
        </w:rPr>
      </w:pPr>
      <w:r w:rsidRPr="008C7198">
        <w:rPr>
          <w:rFonts w:ascii="Times" w:hAnsi="Times" w:cs="Arial"/>
          <w:sz w:val="22"/>
          <w:szCs w:val="22"/>
        </w:rPr>
        <w:t xml:space="preserve">However, if funds are limited to </w:t>
      </w:r>
      <w:r w:rsidRPr="008C7198">
        <w:rPr>
          <w:rFonts w:ascii="Times" w:hAnsi="Times"/>
          <w:sz w:val="22"/>
          <w:szCs w:val="22"/>
        </w:rPr>
        <w:t>£</w:t>
      </w:r>
      <w:r w:rsidRPr="008C7198">
        <w:rPr>
          <w:rFonts w:ascii="Times" w:hAnsi="Times" w:cs="Arial"/>
          <w:sz w:val="22"/>
          <w:szCs w:val="22"/>
        </w:rPr>
        <w:t xml:space="preserve">2.5 million, and assuming that all 3 projects are divisible, regardless of their nature, according to the NPV ranking option C should be fully funded and Option B partially funded (i.e. up to </w:t>
      </w:r>
      <w:r w:rsidRPr="008C7198">
        <w:rPr>
          <w:rFonts w:ascii="Times" w:hAnsi="Times"/>
          <w:sz w:val="22"/>
          <w:szCs w:val="22"/>
        </w:rPr>
        <w:t>£</w:t>
      </w:r>
      <w:r w:rsidRPr="008C7198">
        <w:rPr>
          <w:rFonts w:ascii="Times" w:hAnsi="Times" w:cs="Arial"/>
          <w:sz w:val="22"/>
          <w:szCs w:val="22"/>
        </w:rPr>
        <w:t>0.5 million) as per Table 4.</w:t>
      </w:r>
    </w:p>
    <w:p w14:paraId="180CF4BC" w14:textId="77777777" w:rsidR="005E27D9" w:rsidRDefault="005E27D9" w:rsidP="0001255B">
      <w:pPr>
        <w:rPr>
          <w:rFonts w:ascii="Times" w:hAnsi="Times" w:cs="Arial"/>
          <w:sz w:val="22"/>
          <w:szCs w:val="22"/>
        </w:rPr>
      </w:pPr>
    </w:p>
    <w:p w14:paraId="4415942F" w14:textId="77777777" w:rsidR="00BD227A" w:rsidRPr="00BD227A" w:rsidRDefault="00BD227A" w:rsidP="0001255B">
      <w:pPr>
        <w:spacing w:after="120"/>
        <w:ind w:left="1276"/>
        <w:rPr>
          <w:rFonts w:ascii="Times" w:hAnsi="Times" w:cs="Arial"/>
          <w:b/>
          <w:sz w:val="22"/>
          <w:szCs w:val="22"/>
        </w:rPr>
      </w:pPr>
      <w:r w:rsidRPr="00DC072C">
        <w:rPr>
          <w:rFonts w:ascii="Times" w:hAnsi="Times" w:cs="Arial"/>
          <w:b/>
          <w:sz w:val="22"/>
          <w:szCs w:val="22"/>
          <w:u w:val="single"/>
        </w:rPr>
        <w:t xml:space="preserve">Table </w:t>
      </w:r>
      <w:r>
        <w:rPr>
          <w:rFonts w:ascii="Times" w:hAnsi="Times" w:cs="Arial"/>
          <w:b/>
          <w:sz w:val="22"/>
          <w:szCs w:val="22"/>
          <w:u w:val="single"/>
        </w:rPr>
        <w:t>4</w:t>
      </w:r>
    </w:p>
    <w:p w14:paraId="0AE29848" w14:textId="77777777" w:rsidR="00BD227A" w:rsidRPr="00BD227A" w:rsidRDefault="00BD227A" w:rsidP="0001255B">
      <w:pPr>
        <w:jc w:val="center"/>
        <w:rPr>
          <w:rFonts w:ascii="Times" w:hAnsi="Times" w:cs="Arial"/>
          <w:sz w:val="22"/>
          <w:szCs w:val="22"/>
        </w:rPr>
      </w:pPr>
      <w:r w:rsidRPr="00BD227A">
        <w:rPr>
          <w:rFonts w:ascii="Times" w:hAnsi="Times" w:cs="Arial"/>
          <w:b/>
          <w:noProof/>
          <w:sz w:val="22"/>
          <w:szCs w:val="22"/>
          <w:lang w:val="en-US" w:eastAsia="en-US"/>
        </w:rPr>
        <w:drawing>
          <wp:inline distT="0" distB="0" distL="0" distR="0" wp14:anchorId="51984676" wp14:editId="59D3EDB7">
            <wp:extent cx="4399810" cy="1680799"/>
            <wp:effectExtent l="0" t="0" r="0" b="0"/>
            <wp:docPr id="15" name="Picture 15" descr="../Screen%20Shot%202019-01-17%20at%2010.30.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9-01-17%20at%2010.30.37%20PM.png"/>
                    <pic:cNvPicPr>
                      <a:picLocks noChangeAspect="1" noChangeArrowheads="1"/>
                    </pic:cNvPicPr>
                  </pic:nvPicPr>
                  <pic:blipFill rotWithShape="1">
                    <a:blip r:embed="rId19">
                      <a:extLst>
                        <a:ext uri="{28A0092B-C50C-407E-A947-70E740481C1C}">
                          <a14:useLocalDpi xmlns:a14="http://schemas.microsoft.com/office/drawing/2010/main" val="0"/>
                        </a:ext>
                      </a:extLst>
                    </a:blip>
                    <a:srcRect l="14644" t="55555" r="55880" b="26423"/>
                    <a:stretch/>
                  </pic:blipFill>
                  <pic:spPr bwMode="auto">
                    <a:xfrm>
                      <a:off x="0" y="0"/>
                      <a:ext cx="4467883" cy="1706804"/>
                    </a:xfrm>
                    <a:prstGeom prst="rect">
                      <a:avLst/>
                    </a:prstGeom>
                    <a:noFill/>
                    <a:ln>
                      <a:noFill/>
                    </a:ln>
                    <a:extLst>
                      <a:ext uri="{53640926-AAD7-44D8-BBD7-CCE9431645EC}">
                        <a14:shadowObscured xmlns:a14="http://schemas.microsoft.com/office/drawing/2010/main"/>
                      </a:ext>
                    </a:extLst>
                  </pic:spPr>
                </pic:pic>
              </a:graphicData>
            </a:graphic>
          </wp:inline>
        </w:drawing>
      </w:r>
    </w:p>
    <w:p w14:paraId="31F8C764" w14:textId="77777777" w:rsidR="00BD227A" w:rsidRDefault="00BD227A" w:rsidP="0001255B">
      <w:pPr>
        <w:rPr>
          <w:rFonts w:ascii="Times" w:hAnsi="Times" w:cs="Arial"/>
          <w:sz w:val="22"/>
          <w:szCs w:val="22"/>
        </w:rPr>
      </w:pPr>
    </w:p>
    <w:p w14:paraId="30061AE0" w14:textId="77777777" w:rsidR="009476F4" w:rsidRPr="00DC072C" w:rsidRDefault="00EA6A4D" w:rsidP="00EA3A27">
      <w:pPr>
        <w:spacing w:line="480" w:lineRule="auto"/>
        <w:jc w:val="both"/>
        <w:rPr>
          <w:rFonts w:ascii="Times" w:hAnsi="Times" w:cs="Arial"/>
          <w:sz w:val="22"/>
          <w:szCs w:val="22"/>
        </w:rPr>
      </w:pPr>
      <w:r w:rsidRPr="00BD227A">
        <w:rPr>
          <w:rFonts w:ascii="Times" w:hAnsi="Times" w:cs="Arial"/>
          <w:sz w:val="22"/>
          <w:szCs w:val="22"/>
        </w:rPr>
        <w:t>In this respect</w:t>
      </w:r>
      <w:r w:rsidR="004316EC" w:rsidRPr="00BD227A">
        <w:rPr>
          <w:rFonts w:ascii="Times" w:hAnsi="Times" w:cs="Arial"/>
          <w:sz w:val="22"/>
          <w:szCs w:val="22"/>
        </w:rPr>
        <w:t xml:space="preserve">, </w:t>
      </w:r>
      <w:r w:rsidR="004D3AD7" w:rsidRPr="00BD227A">
        <w:rPr>
          <w:rFonts w:ascii="Times" w:hAnsi="Times" w:cs="Arial"/>
          <w:sz w:val="22"/>
          <w:szCs w:val="22"/>
        </w:rPr>
        <w:t>a</w:t>
      </w:r>
      <w:r w:rsidR="00DC072C" w:rsidRPr="00BD227A">
        <w:rPr>
          <w:rFonts w:ascii="Times" w:hAnsi="Times" w:cs="Arial"/>
          <w:sz w:val="22"/>
          <w:szCs w:val="22"/>
        </w:rPr>
        <w:t xml:space="preserve"> quicker method to determine the NPV for</w:t>
      </w:r>
      <w:r w:rsidR="00DC072C" w:rsidRPr="00DC072C">
        <w:rPr>
          <w:rFonts w:ascii="Times" w:hAnsi="Times" w:cs="Arial"/>
          <w:sz w:val="22"/>
          <w:szCs w:val="22"/>
        </w:rPr>
        <w:t xml:space="preserve"> the combine</w:t>
      </w:r>
      <w:r>
        <w:rPr>
          <w:rFonts w:ascii="Times" w:hAnsi="Times" w:cs="Arial"/>
          <w:sz w:val="22"/>
          <w:szCs w:val="22"/>
        </w:rPr>
        <w:t xml:space="preserve">d projects would be to simply </w:t>
      </w:r>
      <w:r w:rsidR="00E74A15">
        <w:rPr>
          <w:rFonts w:ascii="Times" w:hAnsi="Times" w:cs="Arial"/>
          <w:sz w:val="22"/>
          <w:szCs w:val="22"/>
        </w:rPr>
        <w:t>a</w:t>
      </w:r>
      <w:r w:rsidR="00E74A15" w:rsidRPr="00DC072C">
        <w:rPr>
          <w:rFonts w:ascii="Times" w:hAnsi="Times" w:cs="Arial"/>
          <w:sz w:val="22"/>
          <w:szCs w:val="22"/>
        </w:rPr>
        <w:t>pportion</w:t>
      </w:r>
      <w:r w:rsidR="00DC072C" w:rsidRPr="00DC072C">
        <w:rPr>
          <w:rFonts w:ascii="Times" w:hAnsi="Times" w:cs="Arial"/>
          <w:sz w:val="22"/>
          <w:szCs w:val="22"/>
        </w:rPr>
        <w:t xml:space="preserve"> the NPV of project B: 41.67% </w:t>
      </w:r>
      <w:r w:rsidRPr="00EA6A4D">
        <w:rPr>
          <w:rFonts w:ascii="Times" w:hAnsi="Times" w:cs="Arial"/>
          <w:sz w:val="22"/>
          <w:szCs w:val="22"/>
        </w:rPr>
        <w:t>f 678 is 282.49</w:t>
      </w:r>
      <w:r w:rsidR="00DC072C" w:rsidRPr="00DC072C">
        <w:rPr>
          <w:rFonts w:ascii="Times" w:hAnsi="Times" w:cs="Arial"/>
          <w:sz w:val="22"/>
          <w:szCs w:val="22"/>
        </w:rPr>
        <w:t>. Therefore</w:t>
      </w:r>
      <w:r w:rsidR="00A55E40">
        <w:rPr>
          <w:rFonts w:ascii="Times" w:hAnsi="Times" w:cs="Arial"/>
          <w:sz w:val="22"/>
          <w:szCs w:val="22"/>
        </w:rPr>
        <w:t>,</w:t>
      </w:r>
      <w:r w:rsidR="00DC072C" w:rsidRPr="00DC072C">
        <w:rPr>
          <w:rFonts w:ascii="Times" w:hAnsi="Times" w:cs="Arial"/>
          <w:sz w:val="22"/>
          <w:szCs w:val="22"/>
        </w:rPr>
        <w:t xml:space="preserve"> </w:t>
      </w:r>
      <w:r>
        <w:rPr>
          <w:rFonts w:ascii="Times" w:hAnsi="Times" w:cs="Arial"/>
          <w:sz w:val="22"/>
          <w:szCs w:val="22"/>
        </w:rPr>
        <w:t>the c</w:t>
      </w:r>
      <w:r w:rsidRPr="00EA6A4D">
        <w:rPr>
          <w:rFonts w:ascii="Times" w:hAnsi="Times" w:cs="Arial"/>
          <w:sz w:val="22"/>
          <w:szCs w:val="22"/>
        </w:rPr>
        <w:t>ombined NPV for the projects would be 890.9+282.5=1173.4</w:t>
      </w:r>
      <w:r>
        <w:rPr>
          <w:rFonts w:ascii="Times" w:hAnsi="Times" w:cs="Arial"/>
          <w:sz w:val="22"/>
          <w:szCs w:val="22"/>
        </w:rPr>
        <w:t>.</w:t>
      </w:r>
    </w:p>
    <w:p w14:paraId="7541CB27" w14:textId="77777777" w:rsidR="00DC072C" w:rsidRDefault="00DC072C" w:rsidP="0001255B">
      <w:pPr>
        <w:rPr>
          <w:rFonts w:ascii="Times" w:hAnsi="Times" w:cs="Arial"/>
          <w:b/>
          <w:sz w:val="22"/>
          <w:szCs w:val="22"/>
        </w:rPr>
      </w:pPr>
    </w:p>
    <w:p w14:paraId="781B97D1" w14:textId="77777777" w:rsidR="00BD227A" w:rsidRDefault="00BD227A" w:rsidP="0001255B">
      <w:pPr>
        <w:pStyle w:val="ListParagraph"/>
        <w:numPr>
          <w:ilvl w:val="1"/>
          <w:numId w:val="25"/>
        </w:numPr>
        <w:outlineLvl w:val="1"/>
        <w:rPr>
          <w:rFonts w:ascii="Times" w:hAnsi="Times" w:cs="Arial"/>
          <w:b/>
          <w:sz w:val="22"/>
          <w:szCs w:val="22"/>
        </w:rPr>
        <w:sectPr w:rsidR="00BD227A" w:rsidSect="008206B9">
          <w:pgSz w:w="12240" w:h="15840"/>
          <w:pgMar w:top="1440" w:right="1440" w:bottom="1440" w:left="1440" w:header="708" w:footer="708" w:gutter="0"/>
          <w:cols w:space="708"/>
          <w:docGrid w:linePitch="360"/>
        </w:sectPr>
      </w:pPr>
    </w:p>
    <w:p w14:paraId="559C287B" w14:textId="77777777" w:rsidR="00DC072C" w:rsidRPr="004316EC" w:rsidRDefault="0024130A" w:rsidP="00EA3A27">
      <w:pPr>
        <w:pStyle w:val="ListParagraph"/>
        <w:numPr>
          <w:ilvl w:val="1"/>
          <w:numId w:val="25"/>
        </w:numPr>
        <w:spacing w:line="480" w:lineRule="auto"/>
        <w:outlineLvl w:val="1"/>
        <w:rPr>
          <w:rFonts w:ascii="Times" w:hAnsi="Times" w:cs="Arial"/>
          <w:b/>
          <w:sz w:val="22"/>
          <w:szCs w:val="22"/>
        </w:rPr>
      </w:pPr>
      <w:bookmarkStart w:id="46" w:name="_Toc535615941"/>
      <w:r>
        <w:rPr>
          <w:rFonts w:ascii="Times" w:hAnsi="Times" w:cs="Arial"/>
          <w:b/>
          <w:sz w:val="22"/>
          <w:szCs w:val="22"/>
        </w:rPr>
        <w:lastRenderedPageBreak/>
        <w:t>Reliance on NPV and other ratios</w:t>
      </w:r>
      <w:bookmarkEnd w:id="46"/>
    </w:p>
    <w:p w14:paraId="62C9E4C0" w14:textId="77777777" w:rsidR="00B81CE1" w:rsidRPr="00B81CE1" w:rsidRDefault="00B81CE1" w:rsidP="00EA3A27">
      <w:pPr>
        <w:spacing w:line="480" w:lineRule="auto"/>
        <w:ind w:firstLine="360"/>
        <w:jc w:val="both"/>
        <w:rPr>
          <w:rFonts w:ascii="Times" w:hAnsi="Times" w:cs="Arial"/>
          <w:sz w:val="22"/>
          <w:szCs w:val="22"/>
        </w:rPr>
      </w:pPr>
      <w:r>
        <w:rPr>
          <w:rFonts w:ascii="Times" w:hAnsi="Times" w:cs="Arial"/>
          <w:sz w:val="22"/>
          <w:szCs w:val="22"/>
        </w:rPr>
        <w:t>Due to the fact that s</w:t>
      </w:r>
      <w:r w:rsidRPr="00B81CE1">
        <w:rPr>
          <w:rFonts w:ascii="Times" w:hAnsi="Times" w:cs="Arial"/>
          <w:sz w:val="22"/>
          <w:szCs w:val="22"/>
        </w:rPr>
        <w:t xml:space="preserve">electing </w:t>
      </w:r>
      <w:r>
        <w:rPr>
          <w:rFonts w:ascii="Times" w:hAnsi="Times" w:cs="Arial"/>
          <w:sz w:val="22"/>
          <w:szCs w:val="22"/>
        </w:rPr>
        <w:t xml:space="preserve">the </w:t>
      </w:r>
      <w:r w:rsidRPr="00B81CE1">
        <w:rPr>
          <w:rFonts w:ascii="Times" w:hAnsi="Times" w:cs="Arial"/>
          <w:sz w:val="22"/>
          <w:szCs w:val="22"/>
        </w:rPr>
        <w:t xml:space="preserve">highest NPV projects in order of rank </w:t>
      </w:r>
      <w:r>
        <w:rPr>
          <w:rFonts w:ascii="Times" w:hAnsi="Times" w:cs="Arial"/>
          <w:sz w:val="22"/>
          <w:szCs w:val="22"/>
        </w:rPr>
        <w:t>will favour</w:t>
      </w:r>
      <w:r w:rsidRPr="00B81CE1">
        <w:rPr>
          <w:rFonts w:ascii="Times" w:hAnsi="Times" w:cs="Arial"/>
          <w:sz w:val="22"/>
          <w:szCs w:val="22"/>
        </w:rPr>
        <w:t xml:space="preserve"> large projects only, </w:t>
      </w:r>
      <w:r>
        <w:rPr>
          <w:rFonts w:ascii="Times" w:hAnsi="Times" w:cs="Arial"/>
          <w:sz w:val="22"/>
          <w:szCs w:val="22"/>
        </w:rPr>
        <w:t xml:space="preserve">it is important to determine whether </w:t>
      </w:r>
      <w:r w:rsidRPr="00B81CE1">
        <w:rPr>
          <w:rFonts w:ascii="Times" w:hAnsi="Times" w:cs="Arial"/>
          <w:sz w:val="22"/>
          <w:szCs w:val="22"/>
        </w:rPr>
        <w:t xml:space="preserve">when a combination of smaller projects might be </w:t>
      </w:r>
      <w:r w:rsidRPr="00DC1322">
        <w:rPr>
          <w:rFonts w:ascii="Times" w:hAnsi="Times" w:cs="Arial"/>
          <w:sz w:val="22"/>
          <w:szCs w:val="22"/>
        </w:rPr>
        <w:t>optimal</w:t>
      </w:r>
      <w:r w:rsidR="000A4C83" w:rsidRPr="00DC1322">
        <w:rPr>
          <w:rFonts w:ascii="Times" w:hAnsi="Times" w:cs="Arial"/>
          <w:sz w:val="22"/>
          <w:szCs w:val="22"/>
        </w:rPr>
        <w:t xml:space="preserve"> using </w:t>
      </w:r>
      <w:r w:rsidR="0024130A">
        <w:rPr>
          <w:rFonts w:ascii="Times" w:hAnsi="Times" w:cs="Arial"/>
          <w:sz w:val="22"/>
          <w:szCs w:val="22"/>
        </w:rPr>
        <w:t>NPV but also</w:t>
      </w:r>
      <w:r w:rsidR="000A4C83" w:rsidRPr="00DC1322">
        <w:rPr>
          <w:rFonts w:ascii="Times" w:hAnsi="Times" w:cs="Arial"/>
          <w:sz w:val="22"/>
          <w:szCs w:val="22"/>
        </w:rPr>
        <w:t xml:space="preserve"> by calculating </w:t>
      </w:r>
      <w:r w:rsidR="0024130A">
        <w:rPr>
          <w:rFonts w:ascii="Times" w:hAnsi="Times" w:cs="Arial"/>
          <w:sz w:val="22"/>
          <w:szCs w:val="22"/>
        </w:rPr>
        <w:t>either the</w:t>
      </w:r>
      <w:r w:rsidR="000A4C83" w:rsidRPr="00DC1322">
        <w:rPr>
          <w:rFonts w:ascii="Times" w:hAnsi="Times" w:cs="Arial"/>
          <w:sz w:val="22"/>
          <w:szCs w:val="22"/>
        </w:rPr>
        <w:t xml:space="preserve"> profitability index or </w:t>
      </w:r>
      <w:r w:rsidR="0024130A">
        <w:rPr>
          <w:rFonts w:ascii="Times" w:hAnsi="Times" w:cs="Arial"/>
          <w:sz w:val="22"/>
          <w:szCs w:val="22"/>
        </w:rPr>
        <w:t xml:space="preserve">the </w:t>
      </w:r>
      <w:r w:rsidR="000A4C83" w:rsidRPr="00DC1322">
        <w:rPr>
          <w:rFonts w:ascii="Times" w:hAnsi="Times" w:cs="Arial"/>
          <w:sz w:val="22"/>
          <w:szCs w:val="22"/>
        </w:rPr>
        <w:t>cost-benefit ratio (Dunstan no date). Table 5 summarizes these results.</w:t>
      </w:r>
    </w:p>
    <w:p w14:paraId="7659936E" w14:textId="77777777" w:rsidR="00B95D24" w:rsidRDefault="00B95D24" w:rsidP="009476F4">
      <w:pPr>
        <w:outlineLvl w:val="1"/>
        <w:rPr>
          <w:rFonts w:ascii="Times" w:hAnsi="Times" w:cs="Arial"/>
          <w:sz w:val="22"/>
          <w:szCs w:val="22"/>
        </w:rPr>
      </w:pPr>
    </w:p>
    <w:p w14:paraId="6579E290" w14:textId="77777777" w:rsidR="00B95D24" w:rsidRPr="00B95D24" w:rsidRDefault="00BD227A" w:rsidP="005B3042">
      <w:pPr>
        <w:jc w:val="both"/>
        <w:rPr>
          <w:rFonts w:ascii="Times" w:hAnsi="Times" w:cs="Arial"/>
          <w:b/>
          <w:sz w:val="22"/>
          <w:szCs w:val="22"/>
          <w:u w:val="single"/>
        </w:rPr>
      </w:pPr>
      <w:r>
        <w:rPr>
          <w:rFonts w:ascii="Times" w:hAnsi="Times" w:cs="Arial"/>
          <w:b/>
          <w:sz w:val="22"/>
          <w:szCs w:val="22"/>
          <w:u w:val="single"/>
        </w:rPr>
        <w:t>Table 5</w:t>
      </w:r>
      <w:r w:rsidR="000A4C83">
        <w:rPr>
          <w:rStyle w:val="FootnoteReference"/>
          <w:rFonts w:ascii="Times" w:hAnsi="Times" w:cs="Arial"/>
          <w:b/>
          <w:sz w:val="22"/>
          <w:szCs w:val="22"/>
          <w:u w:val="single"/>
        </w:rPr>
        <w:footnoteReference w:id="13"/>
      </w:r>
    </w:p>
    <w:p w14:paraId="0FF5950B" w14:textId="77777777" w:rsidR="00B95D24" w:rsidRDefault="00A55E40" w:rsidP="005B3042">
      <w:pPr>
        <w:jc w:val="both"/>
        <w:rPr>
          <w:rFonts w:ascii="Times" w:hAnsi="Times" w:cs="Arial"/>
          <w:sz w:val="22"/>
          <w:szCs w:val="22"/>
        </w:rPr>
      </w:pPr>
      <w:r>
        <w:rPr>
          <w:rFonts w:ascii="Times" w:hAnsi="Times" w:cs="Arial"/>
          <w:noProof/>
          <w:sz w:val="22"/>
          <w:szCs w:val="22"/>
          <w:lang w:val="en-US" w:eastAsia="en-US"/>
        </w:rPr>
        <w:drawing>
          <wp:inline distT="0" distB="0" distL="0" distR="0" wp14:anchorId="32535EF2" wp14:editId="436E3F1C">
            <wp:extent cx="5958668" cy="1549772"/>
            <wp:effectExtent l="0" t="0" r="10795" b="0"/>
            <wp:docPr id="10" name="Picture 10" descr="../Screen%20Shot%202019-01-17%20at%209.48.3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9-01-17%20at%209.48.35%20PM.png"/>
                    <pic:cNvPicPr>
                      <a:picLocks noChangeAspect="1" noChangeArrowheads="1"/>
                    </pic:cNvPicPr>
                  </pic:nvPicPr>
                  <pic:blipFill rotWithShape="1">
                    <a:blip r:embed="rId20">
                      <a:extLst>
                        <a:ext uri="{28A0092B-C50C-407E-A947-70E740481C1C}">
                          <a14:useLocalDpi xmlns:a14="http://schemas.microsoft.com/office/drawing/2010/main" val="0"/>
                        </a:ext>
                      </a:extLst>
                    </a:blip>
                    <a:srcRect l="8832" t="59761" r="50767" b="23421"/>
                    <a:stretch/>
                  </pic:blipFill>
                  <pic:spPr bwMode="auto">
                    <a:xfrm>
                      <a:off x="0" y="0"/>
                      <a:ext cx="6068888" cy="1578439"/>
                    </a:xfrm>
                    <a:prstGeom prst="rect">
                      <a:avLst/>
                    </a:prstGeom>
                    <a:noFill/>
                    <a:ln>
                      <a:noFill/>
                    </a:ln>
                    <a:extLst>
                      <a:ext uri="{53640926-AAD7-44D8-BBD7-CCE9431645EC}">
                        <a14:shadowObscured xmlns:a14="http://schemas.microsoft.com/office/drawing/2010/main"/>
                      </a:ext>
                    </a:extLst>
                  </pic:spPr>
                </pic:pic>
              </a:graphicData>
            </a:graphic>
          </wp:inline>
        </w:drawing>
      </w:r>
    </w:p>
    <w:p w14:paraId="5B637B98" w14:textId="77777777" w:rsidR="00E816CA" w:rsidRDefault="00E816CA" w:rsidP="005B3042">
      <w:pPr>
        <w:jc w:val="both"/>
        <w:rPr>
          <w:rFonts w:ascii="Times" w:hAnsi="Times" w:cs="Arial"/>
          <w:sz w:val="22"/>
          <w:szCs w:val="22"/>
        </w:rPr>
      </w:pPr>
    </w:p>
    <w:p w14:paraId="128963B1" w14:textId="77777777" w:rsidR="000A4C83" w:rsidRDefault="000A4C83" w:rsidP="00EA3A27">
      <w:pPr>
        <w:spacing w:line="480" w:lineRule="auto"/>
        <w:jc w:val="both"/>
        <w:rPr>
          <w:rFonts w:ascii="Times" w:hAnsi="Times" w:cs="Arial"/>
          <w:sz w:val="22"/>
          <w:szCs w:val="22"/>
        </w:rPr>
      </w:pPr>
      <w:r w:rsidRPr="000A4C83">
        <w:rPr>
          <w:rFonts w:ascii="Times" w:hAnsi="Times" w:cs="Arial"/>
          <w:sz w:val="22"/>
          <w:szCs w:val="22"/>
        </w:rPr>
        <w:t>While the selection of either the profitability index or the benefit-cost ratio as an additional method for determining the optimal combination for project selection is down to personal choice</w:t>
      </w:r>
      <w:r w:rsidR="00A9014D">
        <w:rPr>
          <w:rFonts w:ascii="Times" w:hAnsi="Times" w:cs="Arial"/>
          <w:sz w:val="22"/>
          <w:szCs w:val="22"/>
        </w:rPr>
        <w:t xml:space="preserve"> (Ibid.)</w:t>
      </w:r>
      <w:r w:rsidRPr="000A4C83">
        <w:rPr>
          <w:rFonts w:ascii="Times" w:hAnsi="Times" w:cs="Arial"/>
          <w:sz w:val="22"/>
          <w:szCs w:val="22"/>
        </w:rPr>
        <w:t>, in this case both ratios result in the following</w:t>
      </w:r>
      <w:r>
        <w:rPr>
          <w:rFonts w:ascii="Times" w:hAnsi="Times" w:cs="Arial"/>
          <w:sz w:val="22"/>
          <w:szCs w:val="22"/>
        </w:rPr>
        <w:t xml:space="preserve"> ranking of projects, from most to least profitable: A, B, C.</w:t>
      </w:r>
      <w:r w:rsidRPr="000A4C83">
        <w:t xml:space="preserve"> </w:t>
      </w:r>
      <w:r>
        <w:rPr>
          <w:rFonts w:ascii="Times" w:hAnsi="Times" w:cs="Arial"/>
          <w:sz w:val="22"/>
          <w:szCs w:val="22"/>
        </w:rPr>
        <w:t>Interestingly</w:t>
      </w:r>
      <w:r w:rsidRPr="000A4C83">
        <w:rPr>
          <w:rFonts w:ascii="Times" w:hAnsi="Times" w:cs="Arial"/>
          <w:sz w:val="22"/>
          <w:szCs w:val="22"/>
        </w:rPr>
        <w:t>, this ranking is the exact opposite of the one derived from the calculation of NPV</w:t>
      </w:r>
      <w:r>
        <w:rPr>
          <w:rFonts w:ascii="Times" w:hAnsi="Times" w:cs="Arial"/>
          <w:sz w:val="22"/>
          <w:szCs w:val="22"/>
        </w:rPr>
        <w:t xml:space="preserve"> only</w:t>
      </w:r>
      <w:r w:rsidRPr="000A4C83">
        <w:rPr>
          <w:rFonts w:ascii="Times" w:hAnsi="Times" w:cs="Arial"/>
          <w:sz w:val="22"/>
          <w:szCs w:val="22"/>
        </w:rPr>
        <w:t>.</w:t>
      </w:r>
      <w:r>
        <w:rPr>
          <w:rFonts w:ascii="Times" w:hAnsi="Times" w:cs="Arial"/>
          <w:sz w:val="22"/>
          <w:szCs w:val="22"/>
        </w:rPr>
        <w:t xml:space="preserve"> Despite this</w:t>
      </w:r>
      <w:r w:rsidRPr="000A4C83">
        <w:rPr>
          <w:rFonts w:ascii="Times" w:hAnsi="Times" w:cs="Arial"/>
          <w:sz w:val="22"/>
          <w:szCs w:val="22"/>
        </w:rPr>
        <w:t xml:space="preserve">, the NPV method is </w:t>
      </w:r>
      <w:r>
        <w:rPr>
          <w:rFonts w:ascii="Times" w:hAnsi="Times" w:cs="Arial"/>
          <w:sz w:val="22"/>
          <w:szCs w:val="22"/>
        </w:rPr>
        <w:t xml:space="preserve">still considered </w:t>
      </w:r>
      <w:r w:rsidRPr="000A4C83">
        <w:rPr>
          <w:rFonts w:ascii="Times" w:hAnsi="Times" w:cs="Arial"/>
          <w:sz w:val="22"/>
          <w:szCs w:val="22"/>
        </w:rPr>
        <w:t xml:space="preserve">the best </w:t>
      </w:r>
      <w:r>
        <w:rPr>
          <w:rFonts w:ascii="Times" w:hAnsi="Times" w:cs="Arial"/>
          <w:sz w:val="22"/>
          <w:szCs w:val="22"/>
        </w:rPr>
        <w:t>for</w:t>
      </w:r>
      <w:r w:rsidRPr="000A4C83">
        <w:rPr>
          <w:rFonts w:ascii="Times" w:hAnsi="Times" w:cs="Arial"/>
          <w:sz w:val="22"/>
          <w:szCs w:val="22"/>
        </w:rPr>
        <w:t xml:space="preserve"> determining the</w:t>
      </w:r>
      <w:r>
        <w:rPr>
          <w:rFonts w:ascii="Times" w:hAnsi="Times" w:cs="Arial"/>
          <w:sz w:val="22"/>
          <w:szCs w:val="22"/>
        </w:rPr>
        <w:t xml:space="preserve"> ranking of investment projects. Therefore, it is advisable that James PLC still </w:t>
      </w:r>
      <w:r w:rsidRPr="000A4C83">
        <w:rPr>
          <w:rFonts w:ascii="Times" w:hAnsi="Times" w:cs="Arial"/>
          <w:sz w:val="22"/>
          <w:szCs w:val="22"/>
        </w:rPr>
        <w:t>invest</w:t>
      </w:r>
      <w:r>
        <w:rPr>
          <w:rFonts w:ascii="Times" w:hAnsi="Times" w:cs="Arial"/>
          <w:sz w:val="22"/>
          <w:szCs w:val="22"/>
        </w:rPr>
        <w:t>s</w:t>
      </w:r>
      <w:r w:rsidRPr="000A4C83">
        <w:rPr>
          <w:rFonts w:ascii="Times" w:hAnsi="Times" w:cs="Arial"/>
          <w:sz w:val="22"/>
          <w:szCs w:val="22"/>
        </w:rPr>
        <w:t xml:space="preserve"> in Project C in full. However, in light of the results obtained </w:t>
      </w:r>
      <w:r>
        <w:rPr>
          <w:rFonts w:ascii="Times" w:hAnsi="Times" w:cs="Arial"/>
          <w:sz w:val="22"/>
          <w:szCs w:val="22"/>
        </w:rPr>
        <w:t xml:space="preserve">in Table 5, </w:t>
      </w:r>
      <w:r w:rsidRPr="000A4C83">
        <w:rPr>
          <w:rFonts w:ascii="Times" w:hAnsi="Times" w:cs="Arial"/>
          <w:sz w:val="22"/>
          <w:szCs w:val="22"/>
        </w:rPr>
        <w:t xml:space="preserve">although only one </w:t>
      </w:r>
      <w:r>
        <w:rPr>
          <w:rFonts w:ascii="Times" w:hAnsi="Times" w:cs="Arial"/>
          <w:sz w:val="22"/>
          <w:szCs w:val="22"/>
        </w:rPr>
        <w:t>of these ratios should be used (even though</w:t>
      </w:r>
      <w:r w:rsidRPr="000A4C83">
        <w:rPr>
          <w:rFonts w:ascii="Times" w:hAnsi="Times" w:cs="Arial"/>
          <w:sz w:val="22"/>
          <w:szCs w:val="22"/>
        </w:rPr>
        <w:t xml:space="preserve"> in this particular case both yield the same results), project A should </w:t>
      </w:r>
      <w:r>
        <w:rPr>
          <w:rFonts w:ascii="Times" w:hAnsi="Times" w:cs="Arial"/>
          <w:sz w:val="22"/>
          <w:szCs w:val="22"/>
        </w:rPr>
        <w:t>thus</w:t>
      </w:r>
      <w:r w:rsidRPr="000A4C83">
        <w:rPr>
          <w:rFonts w:ascii="Times" w:hAnsi="Times" w:cs="Arial"/>
          <w:sz w:val="22"/>
          <w:szCs w:val="22"/>
        </w:rPr>
        <w:t xml:space="preserve"> be selected to be invested in up to the maximum of </w:t>
      </w:r>
      <w:r w:rsidR="00854E71" w:rsidRPr="00854E71">
        <w:rPr>
          <w:rFonts w:ascii="Times" w:hAnsi="Times" w:cs="Arial"/>
          <w:sz w:val="22"/>
          <w:szCs w:val="22"/>
        </w:rPr>
        <w:t>£</w:t>
      </w:r>
      <w:r w:rsidRPr="000A4C83">
        <w:rPr>
          <w:rFonts w:ascii="Times" w:hAnsi="Times" w:cs="Arial"/>
          <w:sz w:val="22"/>
          <w:szCs w:val="22"/>
        </w:rPr>
        <w:t xml:space="preserve">0.5m, </w:t>
      </w:r>
      <w:r w:rsidR="00854E71">
        <w:rPr>
          <w:rFonts w:ascii="Times" w:hAnsi="Times" w:cs="Arial"/>
          <w:sz w:val="22"/>
          <w:szCs w:val="22"/>
        </w:rPr>
        <w:t xml:space="preserve">i.e. the remainder of </w:t>
      </w:r>
      <w:r w:rsidRPr="000A4C83">
        <w:rPr>
          <w:rFonts w:ascii="Times" w:hAnsi="Times" w:cs="Arial"/>
          <w:sz w:val="22"/>
          <w:szCs w:val="22"/>
        </w:rPr>
        <w:t xml:space="preserve">the </w:t>
      </w:r>
      <w:r w:rsidR="00854E71" w:rsidRPr="00854E71">
        <w:rPr>
          <w:rFonts w:ascii="Times" w:hAnsi="Times" w:cs="Arial"/>
          <w:sz w:val="22"/>
          <w:szCs w:val="22"/>
        </w:rPr>
        <w:t>£</w:t>
      </w:r>
      <w:r w:rsidRPr="000A4C83">
        <w:rPr>
          <w:rFonts w:ascii="Times" w:hAnsi="Times" w:cs="Arial"/>
          <w:sz w:val="22"/>
          <w:szCs w:val="22"/>
        </w:rPr>
        <w:t xml:space="preserve">2.5m investment capital limit after project C </w:t>
      </w:r>
      <w:r w:rsidR="00854E71">
        <w:rPr>
          <w:rFonts w:ascii="Times" w:hAnsi="Times" w:cs="Arial"/>
          <w:sz w:val="22"/>
          <w:szCs w:val="22"/>
        </w:rPr>
        <w:t>is</w:t>
      </w:r>
      <w:r w:rsidRPr="000A4C83">
        <w:rPr>
          <w:rFonts w:ascii="Times" w:hAnsi="Times" w:cs="Arial"/>
          <w:sz w:val="22"/>
          <w:szCs w:val="22"/>
        </w:rPr>
        <w:t xml:space="preserve"> funded. Incidentally, notwithstanding </w:t>
      </w:r>
      <w:r w:rsidR="00854E71">
        <w:rPr>
          <w:rFonts w:ascii="Times" w:hAnsi="Times" w:cs="Arial"/>
          <w:sz w:val="22"/>
          <w:szCs w:val="22"/>
        </w:rPr>
        <w:t>the</w:t>
      </w:r>
      <w:r w:rsidRPr="000A4C83">
        <w:rPr>
          <w:rFonts w:ascii="Times" w:hAnsi="Times" w:cs="Arial"/>
          <w:sz w:val="22"/>
          <w:szCs w:val="22"/>
        </w:rPr>
        <w:t xml:space="preserve"> earlier assumption that all three projects are divisible, the nature of project A ("Expand its flourishing retail outlet to include all products") appears to make </w:t>
      </w:r>
      <w:r w:rsidR="00854E71">
        <w:rPr>
          <w:rFonts w:ascii="Times" w:hAnsi="Times" w:cs="Arial"/>
          <w:sz w:val="22"/>
          <w:szCs w:val="22"/>
        </w:rPr>
        <w:t>it</w:t>
      </w:r>
      <w:r w:rsidRPr="000A4C83">
        <w:rPr>
          <w:rFonts w:ascii="Times" w:hAnsi="Times" w:cs="Arial"/>
          <w:sz w:val="22"/>
          <w:szCs w:val="22"/>
        </w:rPr>
        <w:t xml:space="preserve"> a much better candidate for partial implementation than project B ("Develop into internet sales").</w:t>
      </w:r>
    </w:p>
    <w:p w14:paraId="3BC23F3D" w14:textId="77777777" w:rsidR="008C7198" w:rsidRDefault="008C7198" w:rsidP="005B3042">
      <w:pPr>
        <w:jc w:val="both"/>
        <w:rPr>
          <w:rFonts w:ascii="Times" w:hAnsi="Times" w:cs="Arial"/>
          <w:sz w:val="22"/>
          <w:szCs w:val="22"/>
        </w:rPr>
      </w:pPr>
    </w:p>
    <w:p w14:paraId="2600DB02" w14:textId="77777777" w:rsidR="008C7198" w:rsidRDefault="008C7198" w:rsidP="00EA3A27">
      <w:pPr>
        <w:spacing w:line="480" w:lineRule="auto"/>
        <w:ind w:firstLine="720"/>
        <w:jc w:val="both"/>
        <w:rPr>
          <w:rFonts w:ascii="Times" w:hAnsi="Times" w:cs="Arial"/>
          <w:sz w:val="22"/>
          <w:szCs w:val="22"/>
        </w:rPr>
      </w:pPr>
      <w:r>
        <w:rPr>
          <w:rFonts w:ascii="Times" w:hAnsi="Times" w:cs="Arial"/>
          <w:sz w:val="22"/>
          <w:szCs w:val="22"/>
        </w:rPr>
        <w:lastRenderedPageBreak/>
        <w:t>Based on this, w</w:t>
      </w:r>
      <w:r w:rsidRPr="008C7198">
        <w:rPr>
          <w:rFonts w:ascii="Times" w:hAnsi="Times" w:cs="Arial"/>
          <w:sz w:val="22"/>
          <w:szCs w:val="22"/>
        </w:rPr>
        <w:t>ith a full implementation of project C and partial implementation of project A (2/3), the calculations of the NPV and IRR are as follows</w:t>
      </w:r>
      <w:r>
        <w:rPr>
          <w:rFonts w:ascii="Times" w:hAnsi="Times" w:cs="Arial"/>
          <w:sz w:val="22"/>
          <w:szCs w:val="22"/>
        </w:rPr>
        <w:t>, in Tables 6 and 7, respectively</w:t>
      </w:r>
      <w:r w:rsidRPr="008C7198">
        <w:rPr>
          <w:rFonts w:ascii="Times" w:hAnsi="Times" w:cs="Arial"/>
          <w:sz w:val="22"/>
          <w:szCs w:val="22"/>
        </w:rPr>
        <w:t>:</w:t>
      </w:r>
    </w:p>
    <w:p w14:paraId="09DE9906" w14:textId="77777777" w:rsidR="004316EC" w:rsidRDefault="004316EC" w:rsidP="005B3042">
      <w:pPr>
        <w:jc w:val="both"/>
        <w:rPr>
          <w:rFonts w:ascii="Times" w:hAnsi="Times" w:cs="Arial"/>
          <w:sz w:val="22"/>
          <w:szCs w:val="22"/>
        </w:rPr>
      </w:pPr>
    </w:p>
    <w:p w14:paraId="3BA11E9F" w14:textId="77777777" w:rsidR="004316EC" w:rsidRPr="008C7198" w:rsidRDefault="00854E71" w:rsidP="005B3042">
      <w:pPr>
        <w:ind w:left="1134"/>
        <w:jc w:val="both"/>
        <w:rPr>
          <w:rFonts w:ascii="Times" w:hAnsi="Times" w:cs="Arial"/>
          <w:b/>
          <w:sz w:val="22"/>
          <w:szCs w:val="22"/>
          <w:u w:val="single"/>
        </w:rPr>
      </w:pPr>
      <w:r>
        <w:rPr>
          <w:rFonts w:ascii="Times" w:hAnsi="Times" w:cs="Arial"/>
          <w:b/>
          <w:sz w:val="22"/>
          <w:szCs w:val="22"/>
          <w:u w:val="single"/>
        </w:rPr>
        <w:t>Table 6</w:t>
      </w:r>
    </w:p>
    <w:p w14:paraId="2F209061" w14:textId="77777777" w:rsidR="00533BBC" w:rsidRDefault="00455462" w:rsidP="005B3042">
      <w:pPr>
        <w:jc w:val="center"/>
        <w:rPr>
          <w:rFonts w:ascii="Times" w:hAnsi="Times" w:cs="Arial"/>
          <w:sz w:val="22"/>
          <w:szCs w:val="22"/>
        </w:rPr>
      </w:pPr>
      <w:r>
        <w:rPr>
          <w:rFonts w:ascii="Times" w:hAnsi="Times" w:cs="Arial"/>
          <w:noProof/>
          <w:sz w:val="22"/>
          <w:szCs w:val="22"/>
          <w:lang w:val="en-US" w:eastAsia="en-US"/>
        </w:rPr>
        <w:drawing>
          <wp:inline distT="0" distB="0" distL="0" distR="0" wp14:anchorId="03246B7E" wp14:editId="273C6A83">
            <wp:extent cx="4659676" cy="1662485"/>
            <wp:effectExtent l="0" t="0" r="0" b="0"/>
            <wp:docPr id="24" name="Picture 24" descr="../Screen%20Shot%202019-01-17%20at%2011.02.2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20Shot%202019-01-17%20at%2011.02.25%20PM.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25711" t="44443" r="44822" b="38730"/>
                    <a:stretch/>
                  </pic:blipFill>
                  <pic:spPr bwMode="auto">
                    <a:xfrm>
                      <a:off x="0" y="0"/>
                      <a:ext cx="4725492" cy="1685967"/>
                    </a:xfrm>
                    <a:prstGeom prst="rect">
                      <a:avLst/>
                    </a:prstGeom>
                    <a:noFill/>
                    <a:ln>
                      <a:noFill/>
                    </a:ln>
                    <a:extLst>
                      <a:ext uri="{53640926-AAD7-44D8-BBD7-CCE9431645EC}">
                        <a14:shadowObscured xmlns:a14="http://schemas.microsoft.com/office/drawing/2010/main"/>
                      </a:ext>
                    </a:extLst>
                  </pic:spPr>
                </pic:pic>
              </a:graphicData>
            </a:graphic>
          </wp:inline>
        </w:drawing>
      </w:r>
    </w:p>
    <w:p w14:paraId="0F4FB22E" w14:textId="77777777" w:rsidR="008C7198" w:rsidRDefault="008C7198" w:rsidP="005B3042">
      <w:pPr>
        <w:jc w:val="both"/>
        <w:rPr>
          <w:rFonts w:ascii="Times" w:hAnsi="Times" w:cs="Arial"/>
          <w:sz w:val="22"/>
          <w:szCs w:val="22"/>
        </w:rPr>
      </w:pPr>
    </w:p>
    <w:p w14:paraId="7F73597C" w14:textId="77777777" w:rsidR="007E04AC" w:rsidRDefault="007E04AC" w:rsidP="00EA3A27">
      <w:pPr>
        <w:spacing w:line="480" w:lineRule="auto"/>
        <w:jc w:val="both"/>
        <w:rPr>
          <w:rFonts w:ascii="Times" w:hAnsi="Times" w:cs="Arial"/>
          <w:sz w:val="22"/>
          <w:szCs w:val="22"/>
        </w:rPr>
      </w:pPr>
      <w:r>
        <w:rPr>
          <w:rFonts w:ascii="Times" w:hAnsi="Times" w:cs="Arial"/>
          <w:sz w:val="22"/>
          <w:szCs w:val="22"/>
        </w:rPr>
        <w:t xml:space="preserve">In the case of Table 6, </w:t>
      </w:r>
      <w:r w:rsidR="00455462">
        <w:rPr>
          <w:rFonts w:ascii="Times" w:hAnsi="Times" w:cs="Arial"/>
          <w:sz w:val="22"/>
          <w:szCs w:val="22"/>
        </w:rPr>
        <w:t>t</w:t>
      </w:r>
      <w:r w:rsidR="00455462" w:rsidRPr="00455462">
        <w:rPr>
          <w:rFonts w:ascii="Times" w:hAnsi="Times" w:cs="Arial"/>
          <w:sz w:val="22"/>
          <w:szCs w:val="22"/>
        </w:rPr>
        <w:t>he resulting NPV is optimal and higher than if selecting project B to be partially funded.</w:t>
      </w:r>
    </w:p>
    <w:p w14:paraId="073CF4E5" w14:textId="77777777" w:rsidR="008C7198" w:rsidRDefault="008C7198" w:rsidP="005B3042">
      <w:pPr>
        <w:jc w:val="both"/>
        <w:rPr>
          <w:rFonts w:ascii="Times" w:hAnsi="Times" w:cs="Arial"/>
          <w:sz w:val="22"/>
          <w:szCs w:val="22"/>
        </w:rPr>
      </w:pPr>
    </w:p>
    <w:p w14:paraId="488B98A2" w14:textId="77777777" w:rsidR="00455462" w:rsidRDefault="00455462" w:rsidP="005B3042">
      <w:pPr>
        <w:ind w:left="851"/>
        <w:jc w:val="both"/>
        <w:rPr>
          <w:rFonts w:ascii="Times" w:hAnsi="Times" w:cs="Arial"/>
          <w:sz w:val="22"/>
          <w:szCs w:val="22"/>
        </w:rPr>
      </w:pPr>
      <w:r>
        <w:rPr>
          <w:rFonts w:ascii="Times" w:hAnsi="Times" w:cs="Arial"/>
          <w:b/>
          <w:sz w:val="22"/>
          <w:szCs w:val="22"/>
          <w:u w:val="single"/>
        </w:rPr>
        <w:t>Table 7</w:t>
      </w:r>
    </w:p>
    <w:p w14:paraId="2E6B5578" w14:textId="77777777" w:rsidR="008C7198" w:rsidRDefault="009C21E4" w:rsidP="005B3042">
      <w:pPr>
        <w:jc w:val="center"/>
        <w:rPr>
          <w:rFonts w:ascii="Times" w:hAnsi="Times" w:cs="Arial"/>
          <w:sz w:val="22"/>
          <w:szCs w:val="22"/>
        </w:rPr>
      </w:pPr>
      <w:r>
        <w:rPr>
          <w:rFonts w:ascii="Times" w:hAnsi="Times" w:cs="Arial"/>
          <w:noProof/>
          <w:sz w:val="22"/>
          <w:szCs w:val="22"/>
          <w:lang w:val="en-US" w:eastAsia="en-US"/>
        </w:rPr>
        <w:drawing>
          <wp:inline distT="0" distB="0" distL="0" distR="0" wp14:anchorId="7777DCCD" wp14:editId="4C5E9730">
            <wp:extent cx="4848681" cy="1446623"/>
            <wp:effectExtent l="0" t="0" r="317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57263" cy="1449183"/>
                    </a:xfrm>
                    <a:prstGeom prst="rect">
                      <a:avLst/>
                    </a:prstGeom>
                    <a:noFill/>
                    <a:ln>
                      <a:noFill/>
                    </a:ln>
                  </pic:spPr>
                </pic:pic>
              </a:graphicData>
            </a:graphic>
          </wp:inline>
        </w:drawing>
      </w:r>
    </w:p>
    <w:p w14:paraId="66BAB588" w14:textId="77777777" w:rsidR="00455462" w:rsidRDefault="00A9014D" w:rsidP="005B3042">
      <w:pPr>
        <w:ind w:left="851"/>
        <w:jc w:val="both"/>
        <w:rPr>
          <w:rFonts w:ascii="Times" w:hAnsi="Times" w:cs="Arial"/>
          <w:sz w:val="22"/>
          <w:szCs w:val="22"/>
        </w:rPr>
      </w:pPr>
      <w:r>
        <w:rPr>
          <w:rFonts w:ascii="Times" w:hAnsi="Times" w:cs="Arial"/>
          <w:sz w:val="22"/>
          <w:szCs w:val="22"/>
        </w:rPr>
        <w:t xml:space="preserve">Source for ‘trial and error method’: </w:t>
      </w:r>
      <w:r w:rsidRPr="00DC1322">
        <w:rPr>
          <w:rFonts w:ascii="Times" w:hAnsi="Times" w:cs="Arial"/>
          <w:sz w:val="22"/>
          <w:szCs w:val="22"/>
        </w:rPr>
        <w:t>(Dunstan no date)</w:t>
      </w:r>
    </w:p>
    <w:p w14:paraId="23D3138D" w14:textId="77777777" w:rsidR="00A9014D" w:rsidRDefault="00A9014D" w:rsidP="005B3042">
      <w:pPr>
        <w:jc w:val="both"/>
        <w:rPr>
          <w:rFonts w:ascii="Times" w:hAnsi="Times" w:cs="Arial"/>
          <w:sz w:val="22"/>
          <w:szCs w:val="22"/>
        </w:rPr>
      </w:pPr>
    </w:p>
    <w:p w14:paraId="73A1C656" w14:textId="77777777" w:rsidR="00455462" w:rsidRDefault="0055405F" w:rsidP="00EA3A27">
      <w:pPr>
        <w:spacing w:line="480" w:lineRule="auto"/>
        <w:jc w:val="both"/>
        <w:rPr>
          <w:rFonts w:ascii="Times" w:hAnsi="Times" w:cs="Arial"/>
          <w:b/>
          <w:sz w:val="22"/>
          <w:szCs w:val="22"/>
        </w:rPr>
      </w:pPr>
      <w:r>
        <w:rPr>
          <w:rFonts w:ascii="Times" w:hAnsi="Times" w:cs="Arial"/>
          <w:sz w:val="22"/>
          <w:szCs w:val="22"/>
        </w:rPr>
        <w:t>A</w:t>
      </w:r>
      <w:r w:rsidR="00455462">
        <w:rPr>
          <w:rFonts w:ascii="Times" w:hAnsi="Times" w:cs="Arial"/>
          <w:sz w:val="22"/>
          <w:szCs w:val="22"/>
        </w:rPr>
        <w:t xml:space="preserve">nother </w:t>
      </w:r>
      <w:r w:rsidR="00455462" w:rsidRPr="00455462">
        <w:rPr>
          <w:rFonts w:ascii="Times" w:hAnsi="Times" w:cs="Arial"/>
          <w:sz w:val="22"/>
          <w:szCs w:val="22"/>
        </w:rPr>
        <w:t xml:space="preserve">approximation </w:t>
      </w:r>
      <w:r w:rsidR="00455462">
        <w:rPr>
          <w:rFonts w:ascii="Times" w:hAnsi="Times" w:cs="Arial"/>
          <w:sz w:val="22"/>
          <w:szCs w:val="22"/>
        </w:rPr>
        <w:t xml:space="preserve">can be derived </w:t>
      </w:r>
      <w:r w:rsidR="00455462" w:rsidRPr="00455462">
        <w:rPr>
          <w:rFonts w:ascii="Times" w:hAnsi="Times" w:cs="Arial"/>
          <w:sz w:val="22"/>
          <w:szCs w:val="22"/>
        </w:rPr>
        <w:t>as follows:</w:t>
      </w:r>
      <w:r w:rsidR="00455462">
        <w:rPr>
          <w:rFonts w:ascii="Times" w:hAnsi="Times" w:cs="Arial"/>
          <w:sz w:val="22"/>
          <w:szCs w:val="22"/>
        </w:rPr>
        <w:t xml:space="preserve"> w</w:t>
      </w:r>
      <w:r w:rsidR="00455462" w:rsidRPr="00455462">
        <w:rPr>
          <w:rFonts w:ascii="Times" w:hAnsi="Times" w:cs="Arial"/>
          <w:sz w:val="22"/>
          <w:szCs w:val="22"/>
        </w:rPr>
        <w:t>ith 25% cost of capital the NPV is 25</w:t>
      </w:r>
      <w:r w:rsidR="00455462">
        <w:rPr>
          <w:rFonts w:ascii="Times" w:hAnsi="Times" w:cs="Arial"/>
          <w:sz w:val="22"/>
          <w:szCs w:val="22"/>
        </w:rPr>
        <w:t xml:space="preserve"> and </w:t>
      </w:r>
      <w:r w:rsidR="00D6330F">
        <w:rPr>
          <w:rFonts w:ascii="Times" w:hAnsi="Times" w:cs="Arial"/>
          <w:sz w:val="22"/>
          <w:szCs w:val="22"/>
        </w:rPr>
        <w:t>w</w:t>
      </w:r>
      <w:r w:rsidR="00455462" w:rsidRPr="00455462">
        <w:rPr>
          <w:rFonts w:ascii="Times" w:hAnsi="Times" w:cs="Arial"/>
          <w:sz w:val="22"/>
          <w:szCs w:val="22"/>
        </w:rPr>
        <w:t xml:space="preserve">ith 26% </w:t>
      </w:r>
      <w:r w:rsidR="00455462">
        <w:rPr>
          <w:rFonts w:ascii="Times" w:hAnsi="Times" w:cs="Arial"/>
          <w:sz w:val="22"/>
          <w:szCs w:val="22"/>
        </w:rPr>
        <w:t xml:space="preserve">it </w:t>
      </w:r>
      <w:r w:rsidR="00455462" w:rsidRPr="00455462">
        <w:rPr>
          <w:rFonts w:ascii="Times" w:hAnsi="Times" w:cs="Arial"/>
          <w:sz w:val="22"/>
          <w:szCs w:val="22"/>
        </w:rPr>
        <w:t>is -26.3</w:t>
      </w:r>
      <w:r w:rsidR="00455462">
        <w:rPr>
          <w:rFonts w:ascii="Times" w:hAnsi="Times" w:cs="Arial"/>
          <w:sz w:val="22"/>
          <w:szCs w:val="22"/>
        </w:rPr>
        <w:t xml:space="preserve">. </w:t>
      </w:r>
      <w:r w:rsidR="00455462" w:rsidRPr="00455462">
        <w:rPr>
          <w:rFonts w:ascii="Times" w:hAnsi="Times" w:cs="Arial"/>
          <w:sz w:val="22"/>
          <w:szCs w:val="22"/>
        </w:rPr>
        <w:t>Meaning</w:t>
      </w:r>
      <w:r w:rsidR="00455462">
        <w:rPr>
          <w:rFonts w:ascii="Times" w:hAnsi="Times" w:cs="Arial"/>
          <w:sz w:val="22"/>
          <w:szCs w:val="22"/>
        </w:rPr>
        <w:t>,</w:t>
      </w:r>
      <w:r w:rsidR="00455462" w:rsidRPr="00455462">
        <w:rPr>
          <w:rFonts w:ascii="Times" w:hAnsi="Times" w:cs="Arial"/>
          <w:sz w:val="22"/>
          <w:szCs w:val="22"/>
        </w:rPr>
        <w:t xml:space="preserve"> for every 1</w:t>
      </w:r>
      <w:r w:rsidR="00D6330F">
        <w:rPr>
          <w:rFonts w:ascii="Times" w:hAnsi="Times" w:cs="Arial"/>
          <w:sz w:val="22"/>
          <w:szCs w:val="22"/>
        </w:rPr>
        <w:t>%</w:t>
      </w:r>
      <w:r w:rsidR="00455462" w:rsidRPr="00455462">
        <w:rPr>
          <w:rFonts w:ascii="Times" w:hAnsi="Times" w:cs="Arial"/>
          <w:sz w:val="22"/>
          <w:szCs w:val="22"/>
        </w:rPr>
        <w:t xml:space="preserve"> </w:t>
      </w:r>
      <w:r w:rsidR="00D6330F">
        <w:rPr>
          <w:rFonts w:ascii="Times" w:hAnsi="Times" w:cs="Arial"/>
          <w:sz w:val="22"/>
          <w:szCs w:val="22"/>
        </w:rPr>
        <w:t xml:space="preserve">change </w:t>
      </w:r>
      <w:r>
        <w:rPr>
          <w:rFonts w:ascii="Times" w:hAnsi="Times" w:cs="Arial"/>
          <w:sz w:val="22"/>
          <w:szCs w:val="22"/>
        </w:rPr>
        <w:t>in</w:t>
      </w:r>
      <w:r w:rsidR="00455462" w:rsidRPr="00455462">
        <w:rPr>
          <w:rFonts w:ascii="Times" w:hAnsi="Times" w:cs="Arial"/>
          <w:sz w:val="22"/>
          <w:szCs w:val="22"/>
        </w:rPr>
        <w:t xml:space="preserve"> discount rate (or cost of capital), the </w:t>
      </w:r>
      <w:r>
        <w:rPr>
          <w:rFonts w:ascii="Times" w:hAnsi="Times" w:cs="Arial"/>
          <w:sz w:val="22"/>
          <w:szCs w:val="22"/>
        </w:rPr>
        <w:t xml:space="preserve">NOV </w:t>
      </w:r>
      <w:r w:rsidR="00455462" w:rsidRPr="00455462">
        <w:rPr>
          <w:rFonts w:ascii="Times" w:hAnsi="Times" w:cs="Arial"/>
          <w:sz w:val="22"/>
          <w:szCs w:val="22"/>
        </w:rPr>
        <w:t xml:space="preserve">change </w:t>
      </w:r>
      <w:r>
        <w:rPr>
          <w:rFonts w:ascii="Times" w:hAnsi="Times" w:cs="Arial"/>
          <w:sz w:val="22"/>
          <w:szCs w:val="22"/>
        </w:rPr>
        <w:t xml:space="preserve">is </w:t>
      </w:r>
      <w:r w:rsidR="00455462" w:rsidRPr="00455462">
        <w:rPr>
          <w:rFonts w:ascii="Times" w:hAnsi="Times" w:cs="Arial"/>
          <w:sz w:val="22"/>
          <w:szCs w:val="22"/>
        </w:rPr>
        <w:t>51.3 (25+26.3)</w:t>
      </w:r>
      <w:r w:rsidR="009C21E4">
        <w:rPr>
          <w:rFonts w:ascii="Times" w:hAnsi="Times" w:cs="Arial"/>
          <w:sz w:val="22"/>
          <w:szCs w:val="22"/>
        </w:rPr>
        <w:t xml:space="preserve">. Therefore the </w:t>
      </w:r>
      <w:r w:rsidR="00455462" w:rsidRPr="00455462">
        <w:rPr>
          <w:rFonts w:ascii="Times" w:hAnsi="Times" w:cs="Arial"/>
          <w:sz w:val="22"/>
          <w:szCs w:val="22"/>
        </w:rPr>
        <w:t xml:space="preserve">IRR would need to fall below </w:t>
      </w:r>
      <w:r w:rsidR="00D6330F">
        <w:rPr>
          <w:rFonts w:ascii="Times" w:hAnsi="Times" w:cs="Arial"/>
          <w:sz w:val="22"/>
          <w:szCs w:val="22"/>
        </w:rPr>
        <w:t xml:space="preserve">a </w:t>
      </w:r>
      <w:r w:rsidR="00455462" w:rsidRPr="00455462">
        <w:rPr>
          <w:rFonts w:ascii="Times" w:hAnsi="Times" w:cs="Arial"/>
          <w:sz w:val="22"/>
          <w:szCs w:val="22"/>
        </w:rPr>
        <w:t>44% discount rate in order to achieve a zero NPV</w:t>
      </w:r>
      <w:r w:rsidR="00BA1567">
        <w:rPr>
          <w:rFonts w:ascii="Times" w:hAnsi="Times" w:cs="Arial"/>
          <w:sz w:val="22"/>
          <w:szCs w:val="22"/>
        </w:rPr>
        <w:t xml:space="preserve"> </w:t>
      </w:r>
      <w:r w:rsidR="009C21E4">
        <w:rPr>
          <w:rFonts w:ascii="Times" w:hAnsi="Times" w:cs="Arial"/>
          <w:sz w:val="22"/>
          <w:szCs w:val="22"/>
        </w:rPr>
        <w:t>by the following amount</w:t>
      </w:r>
      <w:r w:rsidR="00455462" w:rsidRPr="00455462">
        <w:rPr>
          <w:rFonts w:ascii="Times" w:hAnsi="Times" w:cs="Arial"/>
          <w:sz w:val="22"/>
          <w:szCs w:val="22"/>
        </w:rPr>
        <w:t xml:space="preserve">: </w:t>
      </w:r>
      <w:r w:rsidR="00BA1567">
        <w:rPr>
          <w:rFonts w:ascii="Times" w:hAnsi="Times" w:cs="Arial"/>
          <w:sz w:val="22"/>
          <w:szCs w:val="22"/>
        </w:rPr>
        <w:t>(</w:t>
      </w:r>
      <w:r w:rsidR="00455462" w:rsidRPr="00455462">
        <w:rPr>
          <w:rFonts w:ascii="Times" w:hAnsi="Times" w:cs="Arial"/>
          <w:sz w:val="22"/>
          <w:szCs w:val="22"/>
        </w:rPr>
        <w:t>26.3%/51.</w:t>
      </w:r>
      <w:proofErr w:type="gramStart"/>
      <w:r w:rsidR="00455462" w:rsidRPr="00455462">
        <w:rPr>
          <w:rFonts w:ascii="Times" w:hAnsi="Times" w:cs="Arial"/>
          <w:sz w:val="22"/>
          <w:szCs w:val="22"/>
        </w:rPr>
        <w:t>3)*</w:t>
      </w:r>
      <w:proofErr w:type="gramEnd"/>
      <w:r w:rsidR="00455462" w:rsidRPr="00455462">
        <w:rPr>
          <w:rFonts w:ascii="Times" w:hAnsi="Times" w:cs="Arial"/>
          <w:sz w:val="22"/>
          <w:szCs w:val="22"/>
        </w:rPr>
        <w:t>1%=0.51%.</w:t>
      </w:r>
      <w:r w:rsidR="00455462" w:rsidRPr="00455462">
        <w:t xml:space="preserve"> </w:t>
      </w:r>
      <w:r w:rsidR="00BA1567">
        <w:rPr>
          <w:rFonts w:ascii="Times" w:hAnsi="Times" w:cs="Arial"/>
          <w:sz w:val="22"/>
          <w:szCs w:val="22"/>
        </w:rPr>
        <w:t xml:space="preserve">Using this method, </w:t>
      </w:r>
      <w:r w:rsidR="00455462" w:rsidRPr="00455462">
        <w:rPr>
          <w:rFonts w:ascii="Times" w:hAnsi="Times" w:cs="Arial"/>
          <w:sz w:val="22"/>
          <w:szCs w:val="22"/>
        </w:rPr>
        <w:t>IRR is: 26%-0.51%=25.49%</w:t>
      </w:r>
      <w:r w:rsidR="00A9014D">
        <w:rPr>
          <w:rFonts w:ascii="Times" w:hAnsi="Times" w:cs="Arial"/>
          <w:sz w:val="22"/>
          <w:szCs w:val="22"/>
        </w:rPr>
        <w:t>.</w:t>
      </w:r>
    </w:p>
    <w:p w14:paraId="2042C156" w14:textId="77777777" w:rsidR="00455462" w:rsidRPr="00455462" w:rsidRDefault="00455462" w:rsidP="00455462">
      <w:pPr>
        <w:jc w:val="both"/>
        <w:outlineLvl w:val="0"/>
        <w:rPr>
          <w:rFonts w:ascii="Times" w:hAnsi="Times" w:cs="Arial"/>
          <w:b/>
          <w:sz w:val="22"/>
          <w:szCs w:val="22"/>
        </w:rPr>
        <w:sectPr w:rsidR="00455462" w:rsidRPr="00455462" w:rsidSect="008206B9">
          <w:pgSz w:w="12240" w:h="15840"/>
          <w:pgMar w:top="1440" w:right="1440" w:bottom="1440" w:left="1440" w:header="708" w:footer="708" w:gutter="0"/>
          <w:cols w:space="708"/>
          <w:docGrid w:linePitch="360"/>
        </w:sectPr>
      </w:pPr>
    </w:p>
    <w:p w14:paraId="3BFFCFE4" w14:textId="77777777" w:rsidR="00533BBC" w:rsidRDefault="00183370" w:rsidP="0001255B">
      <w:pPr>
        <w:pStyle w:val="ListParagraph"/>
        <w:numPr>
          <w:ilvl w:val="0"/>
          <w:numId w:val="25"/>
        </w:numPr>
        <w:jc w:val="both"/>
        <w:outlineLvl w:val="0"/>
        <w:rPr>
          <w:rFonts w:ascii="Times" w:hAnsi="Times" w:cs="Arial"/>
          <w:b/>
          <w:sz w:val="22"/>
          <w:szCs w:val="22"/>
        </w:rPr>
      </w:pPr>
      <w:bookmarkStart w:id="47" w:name="_Toc535615942"/>
      <w:r>
        <w:rPr>
          <w:rFonts w:ascii="Times" w:hAnsi="Times" w:cs="Arial"/>
          <w:b/>
          <w:sz w:val="22"/>
          <w:szCs w:val="22"/>
        </w:rPr>
        <w:lastRenderedPageBreak/>
        <w:t xml:space="preserve">Potential Sources </w:t>
      </w:r>
      <w:r w:rsidRPr="00183370">
        <w:rPr>
          <w:rFonts w:ascii="Times" w:hAnsi="Times" w:cs="Arial"/>
          <w:b/>
          <w:sz w:val="22"/>
          <w:szCs w:val="22"/>
        </w:rPr>
        <w:t>of Finance</w:t>
      </w:r>
      <w:r w:rsidR="00E816CA">
        <w:rPr>
          <w:rFonts w:ascii="Times" w:hAnsi="Times" w:cs="Arial"/>
          <w:b/>
          <w:sz w:val="22"/>
          <w:szCs w:val="22"/>
        </w:rPr>
        <w:t xml:space="preserve"> for the Investment</w:t>
      </w:r>
      <w:bookmarkEnd w:id="47"/>
    </w:p>
    <w:p w14:paraId="5FD73AE3" w14:textId="77777777" w:rsidR="00044C1C" w:rsidRDefault="00044C1C" w:rsidP="00A92C3A">
      <w:pPr>
        <w:rPr>
          <w:rFonts w:ascii="Times" w:hAnsi="Times" w:cs="Arial"/>
          <w:sz w:val="22"/>
          <w:szCs w:val="22"/>
        </w:rPr>
      </w:pPr>
    </w:p>
    <w:p w14:paraId="5EFB073B" w14:textId="77777777" w:rsidR="00B71A16" w:rsidRDefault="00183370" w:rsidP="00EA3A27">
      <w:pPr>
        <w:spacing w:line="480" w:lineRule="auto"/>
        <w:ind w:firstLine="360"/>
        <w:jc w:val="both"/>
        <w:rPr>
          <w:rFonts w:ascii="Times" w:hAnsi="Times" w:cs="Arial"/>
          <w:sz w:val="22"/>
          <w:szCs w:val="22"/>
        </w:rPr>
      </w:pPr>
      <w:r>
        <w:rPr>
          <w:rFonts w:ascii="Times" w:hAnsi="Times" w:cs="Arial"/>
          <w:sz w:val="22"/>
          <w:szCs w:val="22"/>
        </w:rPr>
        <w:t>To finance this project, James PLC can decide whether to pursue a long- (one-year</w:t>
      </w:r>
      <w:r w:rsidR="006917A9">
        <w:rPr>
          <w:rFonts w:ascii="Times" w:hAnsi="Times" w:cs="Arial"/>
          <w:sz w:val="22"/>
          <w:szCs w:val="22"/>
        </w:rPr>
        <w:t xml:space="preserve"> or more</w:t>
      </w:r>
      <w:r>
        <w:rPr>
          <w:rFonts w:ascii="Times" w:hAnsi="Times" w:cs="Arial"/>
          <w:sz w:val="22"/>
          <w:szCs w:val="22"/>
        </w:rPr>
        <w:t>) or short-term approach, using eithe</w:t>
      </w:r>
      <w:r w:rsidR="00610028">
        <w:rPr>
          <w:rFonts w:ascii="Times" w:hAnsi="Times" w:cs="Arial"/>
          <w:sz w:val="22"/>
          <w:szCs w:val="22"/>
        </w:rPr>
        <w:t xml:space="preserve">r internal or external sources. </w:t>
      </w:r>
      <w:r w:rsidR="00183959">
        <w:rPr>
          <w:rFonts w:ascii="Times" w:hAnsi="Times" w:cs="Arial"/>
          <w:sz w:val="22"/>
          <w:szCs w:val="22"/>
        </w:rPr>
        <w:t xml:space="preserve">Given the 4-year forecast of the investment project, James PLC is recommended to </w:t>
      </w:r>
      <w:r w:rsidR="00087245">
        <w:rPr>
          <w:rFonts w:ascii="Times" w:hAnsi="Times" w:cs="Arial"/>
          <w:sz w:val="22"/>
          <w:szCs w:val="22"/>
        </w:rPr>
        <w:t xml:space="preserve">only </w:t>
      </w:r>
      <w:r w:rsidR="00B71A16">
        <w:rPr>
          <w:rFonts w:ascii="Times" w:hAnsi="Times" w:cs="Arial"/>
          <w:sz w:val="22"/>
          <w:szCs w:val="22"/>
        </w:rPr>
        <w:t>consider using long-term (i.e. one-year or more) sources of finance. In particular, it is recommended that James PLC use a mix of internal and external sources</w:t>
      </w:r>
      <w:r w:rsidR="00727A93">
        <w:rPr>
          <w:rFonts w:ascii="Times" w:hAnsi="Times" w:cs="Arial"/>
          <w:sz w:val="22"/>
          <w:szCs w:val="22"/>
        </w:rPr>
        <w:t>, the pros and cons of which are as follows:</w:t>
      </w:r>
      <w:r w:rsidR="00B71A16">
        <w:rPr>
          <w:rFonts w:ascii="Times" w:hAnsi="Times" w:cs="Arial"/>
          <w:sz w:val="22"/>
          <w:szCs w:val="22"/>
        </w:rPr>
        <w:t xml:space="preserve"> </w:t>
      </w:r>
    </w:p>
    <w:p w14:paraId="5F514A6F" w14:textId="77777777" w:rsidR="00C01D2E" w:rsidRPr="00EA3A27" w:rsidRDefault="00B71A16" w:rsidP="00A92C3A">
      <w:pPr>
        <w:pStyle w:val="ListParagraph"/>
        <w:numPr>
          <w:ilvl w:val="0"/>
          <w:numId w:val="28"/>
        </w:numPr>
        <w:spacing w:line="480" w:lineRule="auto"/>
        <w:jc w:val="both"/>
        <w:rPr>
          <w:rFonts w:ascii="Times" w:hAnsi="Times" w:cs="Arial"/>
          <w:sz w:val="22"/>
          <w:szCs w:val="22"/>
        </w:rPr>
      </w:pPr>
      <w:r w:rsidRPr="00A92C3A">
        <w:rPr>
          <w:rFonts w:ascii="Times" w:hAnsi="Times" w:cs="Arial"/>
          <w:sz w:val="22"/>
          <w:szCs w:val="22"/>
        </w:rPr>
        <w:t xml:space="preserve">The </w:t>
      </w:r>
      <w:r w:rsidRPr="00A92C3A">
        <w:rPr>
          <w:rFonts w:ascii="Times" w:hAnsi="Times" w:cs="Arial"/>
          <w:sz w:val="22"/>
          <w:szCs w:val="22"/>
          <w:u w:val="single"/>
        </w:rPr>
        <w:t>long-term internal financing option</w:t>
      </w:r>
      <w:r w:rsidRPr="00A92C3A">
        <w:rPr>
          <w:rFonts w:ascii="Times" w:hAnsi="Times" w:cs="Arial"/>
          <w:sz w:val="22"/>
          <w:szCs w:val="22"/>
        </w:rPr>
        <w:t xml:space="preserve"> available is </w:t>
      </w:r>
      <w:r w:rsidR="001D6D4A" w:rsidRPr="00A92C3A">
        <w:rPr>
          <w:rFonts w:ascii="Times" w:hAnsi="Times" w:cs="Arial"/>
          <w:sz w:val="22"/>
          <w:szCs w:val="22"/>
        </w:rPr>
        <w:t xml:space="preserve">the use of </w:t>
      </w:r>
      <w:r w:rsidR="001D6D4A" w:rsidRPr="00A92C3A">
        <w:rPr>
          <w:rFonts w:ascii="Times" w:hAnsi="Times" w:cs="Arial"/>
          <w:i/>
          <w:sz w:val="22"/>
          <w:szCs w:val="22"/>
        </w:rPr>
        <w:t>retained earnings</w:t>
      </w:r>
      <w:r w:rsidR="001D6D4A" w:rsidRPr="00A92C3A">
        <w:rPr>
          <w:rFonts w:ascii="Times" w:hAnsi="Times" w:cs="Arial"/>
          <w:sz w:val="22"/>
          <w:szCs w:val="22"/>
        </w:rPr>
        <w:t xml:space="preserve"> (RE). In addition to being a</w:t>
      </w:r>
      <w:r w:rsidRPr="00A92C3A">
        <w:rPr>
          <w:rFonts w:ascii="Times" w:hAnsi="Times" w:cs="Arial"/>
          <w:sz w:val="22"/>
          <w:szCs w:val="22"/>
        </w:rPr>
        <w:t xml:space="preserve"> critical source of investment finance for many businesses</w:t>
      </w:r>
      <w:r w:rsidR="001D6D4A" w:rsidRPr="00A92C3A">
        <w:rPr>
          <w:rFonts w:ascii="Times" w:hAnsi="Times" w:cs="Arial"/>
          <w:sz w:val="22"/>
          <w:szCs w:val="22"/>
        </w:rPr>
        <w:t xml:space="preserve">, it is </w:t>
      </w:r>
      <w:r w:rsidRPr="00A92C3A">
        <w:rPr>
          <w:rFonts w:ascii="Times" w:hAnsi="Times" w:cs="Arial"/>
          <w:sz w:val="22"/>
          <w:szCs w:val="22"/>
        </w:rPr>
        <w:t xml:space="preserve">advantageous because: funds increase by retaining profits within the company, rather than distributing them as dividends; it is easier to use than asking investors to support new shares; funds are available for use immediately; and there is less scrutiny when </w:t>
      </w:r>
      <w:r w:rsidR="001D6D4A" w:rsidRPr="00A92C3A">
        <w:rPr>
          <w:rFonts w:ascii="Times" w:hAnsi="Times" w:cs="Arial"/>
          <w:sz w:val="22"/>
          <w:szCs w:val="22"/>
        </w:rPr>
        <w:t xml:space="preserve">earnings are </w:t>
      </w:r>
      <w:r w:rsidRPr="00A92C3A">
        <w:rPr>
          <w:rFonts w:ascii="Times" w:hAnsi="Times" w:cs="Arial"/>
          <w:sz w:val="22"/>
          <w:szCs w:val="22"/>
        </w:rPr>
        <w:t>used for reinvestment. The disadvantages of RE, however</w:t>
      </w:r>
      <w:r w:rsidR="001D6D4A" w:rsidRPr="00A92C3A">
        <w:rPr>
          <w:rFonts w:ascii="Times" w:hAnsi="Times" w:cs="Arial"/>
          <w:sz w:val="22"/>
          <w:szCs w:val="22"/>
        </w:rPr>
        <w:t xml:space="preserve">, include </w:t>
      </w:r>
      <w:r w:rsidRPr="00A92C3A">
        <w:rPr>
          <w:rFonts w:ascii="Times" w:hAnsi="Times" w:cs="Arial"/>
          <w:sz w:val="22"/>
          <w:szCs w:val="22"/>
        </w:rPr>
        <w:t xml:space="preserve">that </w:t>
      </w:r>
      <w:r w:rsidR="001D6D4A" w:rsidRPr="00A92C3A">
        <w:rPr>
          <w:rFonts w:ascii="Times" w:hAnsi="Times" w:cs="Arial"/>
          <w:sz w:val="22"/>
          <w:szCs w:val="22"/>
        </w:rPr>
        <w:t xml:space="preserve">the </w:t>
      </w:r>
      <w:r w:rsidRPr="00A92C3A">
        <w:rPr>
          <w:rFonts w:ascii="Times" w:hAnsi="Times" w:cs="Arial"/>
          <w:sz w:val="22"/>
          <w:szCs w:val="22"/>
        </w:rPr>
        <w:t xml:space="preserve">timing and future level </w:t>
      </w:r>
      <w:r w:rsidR="001D6D4A" w:rsidRPr="00A92C3A">
        <w:rPr>
          <w:rFonts w:ascii="Times" w:hAnsi="Times" w:cs="Arial"/>
          <w:sz w:val="22"/>
          <w:szCs w:val="22"/>
        </w:rPr>
        <w:t xml:space="preserve">of profits </w:t>
      </w:r>
      <w:r w:rsidRPr="00A92C3A">
        <w:rPr>
          <w:rFonts w:ascii="Times" w:hAnsi="Times" w:cs="Arial"/>
          <w:sz w:val="22"/>
          <w:szCs w:val="22"/>
        </w:rPr>
        <w:t>is difficult</w:t>
      </w:r>
      <w:r w:rsidR="001D6D4A" w:rsidRPr="00A92C3A">
        <w:rPr>
          <w:rFonts w:ascii="Times" w:hAnsi="Times" w:cs="Arial"/>
          <w:sz w:val="22"/>
          <w:szCs w:val="22"/>
        </w:rPr>
        <w:t xml:space="preserve"> is difficult to determine</w:t>
      </w:r>
      <w:r w:rsidRPr="00A92C3A">
        <w:rPr>
          <w:rFonts w:ascii="Times" w:hAnsi="Times" w:cs="Arial"/>
          <w:sz w:val="22"/>
          <w:szCs w:val="22"/>
        </w:rPr>
        <w:t>, and, since it is not free, investors still expect returns in line with ordinary shares (</w:t>
      </w:r>
      <w:proofErr w:type="spellStart"/>
      <w:r w:rsidRPr="00A92C3A">
        <w:rPr>
          <w:rFonts w:ascii="Times" w:hAnsi="Times" w:cs="Arial"/>
          <w:sz w:val="22"/>
          <w:szCs w:val="22"/>
        </w:rPr>
        <w:t>Atrill</w:t>
      </w:r>
      <w:proofErr w:type="spellEnd"/>
      <w:r w:rsidRPr="00A92C3A">
        <w:rPr>
          <w:rFonts w:ascii="Times" w:hAnsi="Times" w:cs="Arial"/>
          <w:sz w:val="22"/>
          <w:szCs w:val="22"/>
        </w:rPr>
        <w:t xml:space="preserve"> 2013).</w:t>
      </w:r>
      <w:r w:rsidR="001D6D4A" w:rsidRPr="00A92C3A">
        <w:rPr>
          <w:rFonts w:ascii="Times" w:hAnsi="Times" w:cs="Arial"/>
          <w:sz w:val="22"/>
          <w:szCs w:val="22"/>
        </w:rPr>
        <w:t xml:space="preserve"> </w:t>
      </w:r>
    </w:p>
    <w:p w14:paraId="4CA162A9" w14:textId="77777777" w:rsidR="00C01D2E" w:rsidRPr="00EA3A27" w:rsidRDefault="001D6D4A" w:rsidP="00A92C3A">
      <w:pPr>
        <w:pStyle w:val="ListParagraph"/>
        <w:numPr>
          <w:ilvl w:val="0"/>
          <w:numId w:val="28"/>
        </w:numPr>
        <w:spacing w:line="480" w:lineRule="auto"/>
        <w:jc w:val="both"/>
        <w:rPr>
          <w:rFonts w:ascii="Times" w:hAnsi="Times" w:cs="Arial"/>
          <w:sz w:val="22"/>
          <w:szCs w:val="22"/>
        </w:rPr>
      </w:pPr>
      <w:r w:rsidRPr="00A92C3A">
        <w:rPr>
          <w:rFonts w:ascii="Times" w:hAnsi="Times" w:cs="Arial"/>
          <w:sz w:val="22"/>
          <w:szCs w:val="22"/>
        </w:rPr>
        <w:t xml:space="preserve">The </w:t>
      </w:r>
      <w:r w:rsidRPr="00A92C3A">
        <w:rPr>
          <w:rFonts w:ascii="Times" w:hAnsi="Times" w:cs="Arial"/>
          <w:sz w:val="22"/>
          <w:szCs w:val="22"/>
          <w:u w:val="single"/>
        </w:rPr>
        <w:t>long-term external financing option</w:t>
      </w:r>
      <w:r w:rsidRPr="00A92C3A">
        <w:rPr>
          <w:rFonts w:ascii="Times" w:hAnsi="Times" w:cs="Arial"/>
          <w:sz w:val="22"/>
          <w:szCs w:val="22"/>
        </w:rPr>
        <w:t xml:space="preserve"> </w:t>
      </w:r>
      <w:r w:rsidR="00564DB2">
        <w:rPr>
          <w:rFonts w:ascii="Times" w:hAnsi="Times" w:cs="Arial"/>
          <w:sz w:val="22"/>
          <w:szCs w:val="22"/>
        </w:rPr>
        <w:t xml:space="preserve">recommended </w:t>
      </w:r>
      <w:r w:rsidRPr="00A92C3A">
        <w:rPr>
          <w:rFonts w:ascii="Times" w:hAnsi="Times" w:cs="Arial"/>
          <w:sz w:val="22"/>
          <w:szCs w:val="22"/>
        </w:rPr>
        <w:t xml:space="preserve">is a </w:t>
      </w:r>
      <w:r w:rsidRPr="00A92C3A">
        <w:rPr>
          <w:rFonts w:ascii="Times" w:hAnsi="Times" w:cs="Arial"/>
          <w:i/>
          <w:sz w:val="22"/>
          <w:szCs w:val="22"/>
        </w:rPr>
        <w:t>term loan (TL)</w:t>
      </w:r>
      <w:r w:rsidR="00564DB2">
        <w:rPr>
          <w:rFonts w:ascii="Times" w:hAnsi="Times" w:cs="Arial"/>
          <w:sz w:val="22"/>
          <w:szCs w:val="22"/>
        </w:rPr>
        <w:t>.</w:t>
      </w:r>
      <w:r w:rsidRPr="00A92C3A">
        <w:rPr>
          <w:rFonts w:ascii="Times" w:hAnsi="Times" w:cs="Arial"/>
          <w:i/>
          <w:sz w:val="22"/>
          <w:szCs w:val="22"/>
        </w:rPr>
        <w:t xml:space="preserve"> </w:t>
      </w:r>
      <w:r w:rsidRPr="00A92C3A">
        <w:rPr>
          <w:rFonts w:ascii="Times" w:hAnsi="Times" w:cs="Arial"/>
          <w:sz w:val="22"/>
          <w:szCs w:val="22"/>
        </w:rPr>
        <w:t>TL</w:t>
      </w:r>
      <w:r w:rsidR="00564DB2">
        <w:rPr>
          <w:rFonts w:ascii="Times" w:hAnsi="Times" w:cs="Arial"/>
          <w:sz w:val="22"/>
          <w:szCs w:val="22"/>
        </w:rPr>
        <w:t>s</w:t>
      </w:r>
      <w:r w:rsidRPr="00A92C3A">
        <w:rPr>
          <w:rFonts w:ascii="Times" w:hAnsi="Times" w:cs="Arial"/>
          <w:sz w:val="22"/>
          <w:szCs w:val="22"/>
        </w:rPr>
        <w:t xml:space="preserve"> </w:t>
      </w:r>
      <w:r w:rsidR="00564DB2">
        <w:rPr>
          <w:rFonts w:ascii="Times" w:hAnsi="Times" w:cs="Arial"/>
          <w:sz w:val="22"/>
          <w:szCs w:val="22"/>
        </w:rPr>
        <w:t xml:space="preserve">are </w:t>
      </w:r>
      <w:r w:rsidRPr="00A92C3A">
        <w:rPr>
          <w:rFonts w:ascii="Times" w:hAnsi="Times" w:cs="Arial"/>
          <w:sz w:val="22"/>
          <w:szCs w:val="22"/>
        </w:rPr>
        <w:t xml:space="preserve">extremely popular because: </w:t>
      </w:r>
      <w:r w:rsidR="00564DB2">
        <w:rPr>
          <w:rFonts w:ascii="Times" w:hAnsi="Times" w:cs="Arial"/>
          <w:sz w:val="22"/>
          <w:szCs w:val="22"/>
        </w:rPr>
        <w:t xml:space="preserve">they </w:t>
      </w:r>
      <w:r w:rsidRPr="00A92C3A">
        <w:rPr>
          <w:rFonts w:ascii="Times" w:hAnsi="Times" w:cs="Arial"/>
          <w:sz w:val="22"/>
          <w:szCs w:val="22"/>
        </w:rPr>
        <w:t xml:space="preserve">can be tailored to needs of </w:t>
      </w:r>
      <w:r w:rsidR="00564DB2">
        <w:rPr>
          <w:rFonts w:ascii="Times" w:hAnsi="Times" w:cs="Arial"/>
          <w:sz w:val="22"/>
          <w:szCs w:val="22"/>
        </w:rPr>
        <w:t xml:space="preserve">a </w:t>
      </w:r>
      <w:r w:rsidRPr="00A92C3A">
        <w:rPr>
          <w:rFonts w:ascii="Times" w:hAnsi="Times" w:cs="Arial"/>
          <w:sz w:val="22"/>
          <w:szCs w:val="22"/>
        </w:rPr>
        <w:t xml:space="preserve">client; the loan amount, time period, repayment terms, and interest rates are </w:t>
      </w:r>
      <w:r w:rsidR="00564DB2">
        <w:rPr>
          <w:rFonts w:ascii="Times" w:hAnsi="Times" w:cs="Arial"/>
          <w:sz w:val="22"/>
          <w:szCs w:val="22"/>
        </w:rPr>
        <w:t>negotiated and agreed</w:t>
      </w:r>
      <w:r w:rsidRPr="00A92C3A">
        <w:rPr>
          <w:rFonts w:ascii="Times" w:hAnsi="Times" w:cs="Arial"/>
          <w:sz w:val="22"/>
          <w:szCs w:val="22"/>
        </w:rPr>
        <w:t xml:space="preserve"> (e.g. lender may agree that sums are drawn when required, </w:t>
      </w:r>
      <w:r w:rsidR="00564DB2">
        <w:rPr>
          <w:rFonts w:ascii="Times" w:hAnsi="Times" w:cs="Arial"/>
          <w:sz w:val="22"/>
          <w:szCs w:val="22"/>
        </w:rPr>
        <w:t xml:space="preserve">so </w:t>
      </w:r>
      <w:r w:rsidRPr="00A92C3A">
        <w:rPr>
          <w:rFonts w:ascii="Times" w:hAnsi="Times" w:cs="Arial"/>
          <w:sz w:val="22"/>
          <w:szCs w:val="22"/>
        </w:rPr>
        <w:t xml:space="preserve">interest is paid only on the amounts drawn, rather than full amount borrowed); </w:t>
      </w:r>
      <w:r w:rsidR="00564DB2">
        <w:rPr>
          <w:rFonts w:ascii="Times" w:hAnsi="Times" w:cs="Arial"/>
          <w:sz w:val="22"/>
          <w:szCs w:val="22"/>
        </w:rPr>
        <w:t xml:space="preserve">and </w:t>
      </w:r>
      <w:r w:rsidRPr="00A92C3A">
        <w:rPr>
          <w:rFonts w:ascii="Times" w:hAnsi="Times" w:cs="Arial"/>
          <w:sz w:val="22"/>
          <w:szCs w:val="22"/>
        </w:rPr>
        <w:t>it is flexible and cheap to set up.</w:t>
      </w:r>
      <w:r w:rsidR="00C01D2E" w:rsidRPr="00A92C3A">
        <w:rPr>
          <w:rFonts w:ascii="Times" w:hAnsi="Times" w:cs="Arial"/>
          <w:sz w:val="22"/>
          <w:szCs w:val="22"/>
        </w:rPr>
        <w:t xml:space="preserve"> The disadvantage, however, is that it yield</w:t>
      </w:r>
      <w:r w:rsidR="00564DB2">
        <w:rPr>
          <w:rFonts w:ascii="Times" w:hAnsi="Times" w:cs="Arial"/>
          <w:sz w:val="22"/>
          <w:szCs w:val="22"/>
        </w:rPr>
        <w:t>s</w:t>
      </w:r>
      <w:r w:rsidR="00C01D2E" w:rsidRPr="00A92C3A">
        <w:rPr>
          <w:rFonts w:ascii="Times" w:hAnsi="Times" w:cs="Arial"/>
          <w:sz w:val="22"/>
          <w:szCs w:val="22"/>
        </w:rPr>
        <w:t xml:space="preserve"> low</w:t>
      </w:r>
      <w:r w:rsidR="00564DB2">
        <w:rPr>
          <w:rFonts w:ascii="Times" w:hAnsi="Times" w:cs="Arial"/>
          <w:sz w:val="22"/>
          <w:szCs w:val="22"/>
        </w:rPr>
        <w:t>er</w:t>
      </w:r>
      <w:r w:rsidR="00C01D2E" w:rsidRPr="00A92C3A">
        <w:rPr>
          <w:rFonts w:ascii="Times" w:hAnsi="Times" w:cs="Arial"/>
          <w:sz w:val="22"/>
          <w:szCs w:val="22"/>
        </w:rPr>
        <w:t xml:space="preserve"> returns for investors</w:t>
      </w:r>
      <w:r w:rsidR="00564DB2">
        <w:rPr>
          <w:rFonts w:ascii="Times" w:hAnsi="Times" w:cs="Arial"/>
          <w:sz w:val="22"/>
          <w:szCs w:val="22"/>
        </w:rPr>
        <w:t xml:space="preserve"> (Ibid.)</w:t>
      </w:r>
      <w:r w:rsidR="00C01D2E" w:rsidRPr="00A92C3A">
        <w:rPr>
          <w:rFonts w:ascii="Times" w:hAnsi="Times" w:cs="Arial"/>
          <w:sz w:val="22"/>
          <w:szCs w:val="22"/>
        </w:rPr>
        <w:t xml:space="preserve">. </w:t>
      </w:r>
    </w:p>
    <w:p w14:paraId="6652BB2B" w14:textId="77777777" w:rsidR="00C01D2E" w:rsidRPr="00C01D2E" w:rsidRDefault="00DE5020" w:rsidP="00EA3A27">
      <w:pPr>
        <w:spacing w:line="480" w:lineRule="auto"/>
        <w:jc w:val="both"/>
        <w:rPr>
          <w:rFonts w:ascii="Times" w:hAnsi="Times" w:cs="Arial"/>
          <w:sz w:val="22"/>
          <w:szCs w:val="22"/>
        </w:rPr>
      </w:pPr>
      <w:r>
        <w:rPr>
          <w:rFonts w:ascii="Times" w:hAnsi="Times" w:cs="Arial"/>
          <w:sz w:val="22"/>
          <w:szCs w:val="22"/>
        </w:rPr>
        <w:t>Despite their disadvantages</w:t>
      </w:r>
      <w:r w:rsidR="00C01D2E">
        <w:rPr>
          <w:rFonts w:ascii="Times" w:hAnsi="Times" w:cs="Arial"/>
          <w:sz w:val="22"/>
          <w:szCs w:val="22"/>
        </w:rPr>
        <w:t xml:space="preserve">, these options </w:t>
      </w:r>
      <w:r>
        <w:rPr>
          <w:rFonts w:ascii="Times" w:hAnsi="Times" w:cs="Arial"/>
          <w:sz w:val="22"/>
          <w:szCs w:val="22"/>
        </w:rPr>
        <w:t xml:space="preserve">offer a </w:t>
      </w:r>
      <w:r w:rsidR="00C01D2E">
        <w:rPr>
          <w:rFonts w:ascii="Times" w:hAnsi="Times" w:cs="Arial"/>
          <w:sz w:val="22"/>
          <w:szCs w:val="22"/>
        </w:rPr>
        <w:t>seemingly risk-free</w:t>
      </w:r>
      <w:r>
        <w:rPr>
          <w:rFonts w:ascii="Times" w:hAnsi="Times" w:cs="Arial"/>
          <w:sz w:val="22"/>
          <w:szCs w:val="22"/>
        </w:rPr>
        <w:t xml:space="preserve">, but </w:t>
      </w:r>
      <w:r w:rsidR="00154964">
        <w:rPr>
          <w:rFonts w:ascii="Times" w:hAnsi="Times" w:cs="Arial"/>
          <w:sz w:val="22"/>
          <w:szCs w:val="22"/>
        </w:rPr>
        <w:t xml:space="preserve">reasonable </w:t>
      </w:r>
      <w:r>
        <w:rPr>
          <w:rFonts w:ascii="Times" w:hAnsi="Times" w:cs="Arial"/>
          <w:sz w:val="22"/>
          <w:szCs w:val="22"/>
        </w:rPr>
        <w:t>approach</w:t>
      </w:r>
      <w:r w:rsidR="00154964">
        <w:rPr>
          <w:rFonts w:ascii="Times" w:hAnsi="Times" w:cs="Arial"/>
          <w:sz w:val="22"/>
          <w:szCs w:val="22"/>
        </w:rPr>
        <w:t xml:space="preserve"> to success</w:t>
      </w:r>
      <w:r>
        <w:rPr>
          <w:rFonts w:ascii="Times" w:hAnsi="Times" w:cs="Arial"/>
          <w:sz w:val="22"/>
          <w:szCs w:val="22"/>
        </w:rPr>
        <w:t xml:space="preserve">. Moreover, </w:t>
      </w:r>
      <w:r w:rsidRPr="00C01D2E">
        <w:rPr>
          <w:rFonts w:ascii="Times" w:hAnsi="Times" w:cs="Arial"/>
          <w:sz w:val="22"/>
          <w:szCs w:val="22"/>
        </w:rPr>
        <w:t xml:space="preserve">because James PLC is taking a first-step towards expansion, it is </w:t>
      </w:r>
      <w:r>
        <w:rPr>
          <w:rFonts w:ascii="Times" w:hAnsi="Times" w:cs="Arial"/>
          <w:sz w:val="22"/>
          <w:szCs w:val="22"/>
        </w:rPr>
        <w:t xml:space="preserve">better to </w:t>
      </w:r>
      <w:r w:rsidR="005E60E5">
        <w:rPr>
          <w:rFonts w:ascii="Times" w:hAnsi="Times" w:cs="Arial"/>
          <w:sz w:val="22"/>
          <w:szCs w:val="22"/>
        </w:rPr>
        <w:t>be cautious and, i</w:t>
      </w:r>
      <w:r>
        <w:rPr>
          <w:rFonts w:ascii="Times" w:hAnsi="Times" w:cs="Arial"/>
          <w:sz w:val="22"/>
          <w:szCs w:val="22"/>
        </w:rPr>
        <w:t xml:space="preserve">f successful, </w:t>
      </w:r>
      <w:r w:rsidR="005E60E5">
        <w:rPr>
          <w:rFonts w:ascii="Times" w:hAnsi="Times" w:cs="Arial"/>
          <w:sz w:val="22"/>
          <w:szCs w:val="22"/>
        </w:rPr>
        <w:t xml:space="preserve">derive </w:t>
      </w:r>
      <w:r>
        <w:rPr>
          <w:rFonts w:ascii="Times" w:hAnsi="Times" w:cs="Arial"/>
          <w:sz w:val="22"/>
          <w:szCs w:val="22"/>
        </w:rPr>
        <w:t>lessons learned that could</w:t>
      </w:r>
      <w:r w:rsidR="00154964">
        <w:rPr>
          <w:rFonts w:ascii="Times" w:hAnsi="Times" w:cs="Arial"/>
          <w:sz w:val="22"/>
          <w:szCs w:val="22"/>
        </w:rPr>
        <w:t xml:space="preserve"> </w:t>
      </w:r>
      <w:r w:rsidR="005E60E5">
        <w:rPr>
          <w:rFonts w:ascii="Times" w:hAnsi="Times" w:cs="Arial"/>
          <w:sz w:val="22"/>
          <w:szCs w:val="22"/>
        </w:rPr>
        <w:t xml:space="preserve">be applied to other future, </w:t>
      </w:r>
      <w:r>
        <w:rPr>
          <w:rFonts w:ascii="Times" w:hAnsi="Times" w:cs="Arial"/>
          <w:sz w:val="22"/>
          <w:szCs w:val="22"/>
        </w:rPr>
        <w:t>riskier investment</w:t>
      </w:r>
      <w:r w:rsidR="005E60E5">
        <w:rPr>
          <w:rFonts w:ascii="Times" w:hAnsi="Times" w:cs="Arial"/>
          <w:sz w:val="22"/>
          <w:szCs w:val="22"/>
        </w:rPr>
        <w:t>s</w:t>
      </w:r>
      <w:r>
        <w:rPr>
          <w:rFonts w:ascii="Times" w:hAnsi="Times" w:cs="Arial"/>
          <w:sz w:val="22"/>
          <w:szCs w:val="22"/>
        </w:rPr>
        <w:t xml:space="preserve">. </w:t>
      </w:r>
    </w:p>
    <w:p w14:paraId="0EE34F4B" w14:textId="77777777" w:rsidR="00B71A16" w:rsidRDefault="00B71A16" w:rsidP="00A92C3A">
      <w:pPr>
        <w:jc w:val="both"/>
        <w:rPr>
          <w:rFonts w:ascii="Times" w:hAnsi="Times" w:cs="Arial"/>
          <w:sz w:val="22"/>
          <w:szCs w:val="22"/>
        </w:rPr>
      </w:pPr>
    </w:p>
    <w:p w14:paraId="4165AE96" w14:textId="77777777" w:rsidR="00784AA8" w:rsidRPr="004316EC" w:rsidRDefault="00784AA8" w:rsidP="00183370">
      <w:pPr>
        <w:jc w:val="both"/>
        <w:outlineLvl w:val="0"/>
        <w:rPr>
          <w:rFonts w:ascii="Times" w:hAnsi="Times" w:cs="Arial"/>
          <w:sz w:val="22"/>
          <w:szCs w:val="22"/>
        </w:rPr>
        <w:sectPr w:rsidR="00784AA8" w:rsidRPr="004316EC" w:rsidSect="008206B9">
          <w:pgSz w:w="12240" w:h="15840"/>
          <w:pgMar w:top="1440" w:right="1440" w:bottom="1440" w:left="1440" w:header="708" w:footer="708" w:gutter="0"/>
          <w:cols w:space="708"/>
          <w:docGrid w:linePitch="360"/>
        </w:sectPr>
      </w:pPr>
    </w:p>
    <w:p w14:paraId="74E78F20" w14:textId="77777777" w:rsidR="00243772" w:rsidRDefault="00243772" w:rsidP="00243772">
      <w:pPr>
        <w:pStyle w:val="Heading1"/>
        <w:spacing w:before="0"/>
        <w:jc w:val="center"/>
        <w:rPr>
          <w:rFonts w:ascii="Times" w:hAnsi="Times" w:cs="Arial"/>
          <w:color w:val="auto"/>
          <w:sz w:val="22"/>
          <w:szCs w:val="22"/>
        </w:rPr>
      </w:pPr>
      <w:bookmarkStart w:id="48" w:name="_Toc535615943"/>
      <w:r>
        <w:rPr>
          <w:rFonts w:ascii="Times" w:hAnsi="Times" w:cs="Arial"/>
          <w:color w:val="auto"/>
          <w:sz w:val="22"/>
          <w:szCs w:val="22"/>
        </w:rPr>
        <w:lastRenderedPageBreak/>
        <w:t>Annex I: Shortcomings of Solely Using ARR, PP and IRR for IA</w:t>
      </w:r>
      <w:bookmarkEnd w:id="48"/>
    </w:p>
    <w:p w14:paraId="726AA845" w14:textId="77777777" w:rsidR="00243772" w:rsidRDefault="00243772" w:rsidP="00243772"/>
    <w:p w14:paraId="00C663C5" w14:textId="77777777" w:rsidR="00243772" w:rsidRDefault="00243772" w:rsidP="00EA3A27">
      <w:pPr>
        <w:spacing w:line="480" w:lineRule="auto"/>
        <w:ind w:firstLine="425"/>
        <w:jc w:val="both"/>
        <w:rPr>
          <w:color w:val="000000" w:themeColor="text1"/>
          <w:sz w:val="22"/>
          <w:szCs w:val="22"/>
        </w:rPr>
      </w:pPr>
      <w:r w:rsidRPr="00AD1388">
        <w:rPr>
          <w:color w:val="000000" w:themeColor="text1"/>
          <w:sz w:val="22"/>
          <w:szCs w:val="22"/>
        </w:rPr>
        <w:t xml:space="preserve">First, </w:t>
      </w:r>
      <w:r w:rsidRPr="00AD1388">
        <w:rPr>
          <w:sz w:val="22"/>
          <w:szCs w:val="22"/>
        </w:rPr>
        <w:t xml:space="preserve">ARR only takes the average accounting operating profit an investment is likely to make and conveys it as a percentage of the average investment made over the life of the project. The problem with this, however, is that it does not take a </w:t>
      </w:r>
      <w:r w:rsidRPr="00AD1388">
        <w:rPr>
          <w:i/>
          <w:sz w:val="22"/>
          <w:szCs w:val="22"/>
        </w:rPr>
        <w:t>time factor,</w:t>
      </w:r>
      <w:r w:rsidRPr="00AD1388">
        <w:rPr>
          <w:sz w:val="22"/>
          <w:szCs w:val="22"/>
        </w:rPr>
        <w:t xml:space="preserve"> </w:t>
      </w:r>
      <w:r w:rsidRPr="00AD1388">
        <w:rPr>
          <w:i/>
          <w:sz w:val="22"/>
          <w:szCs w:val="22"/>
        </w:rPr>
        <w:t>scale of investment</w:t>
      </w:r>
      <w:r w:rsidRPr="00AD1388">
        <w:rPr>
          <w:sz w:val="22"/>
          <w:szCs w:val="22"/>
        </w:rPr>
        <w:t xml:space="preserve"> or </w:t>
      </w:r>
      <w:r w:rsidRPr="00AD1388">
        <w:rPr>
          <w:i/>
          <w:sz w:val="22"/>
          <w:szCs w:val="22"/>
        </w:rPr>
        <w:t xml:space="preserve">time value for money </w:t>
      </w:r>
      <w:r w:rsidRPr="00AD1388">
        <w:rPr>
          <w:sz w:val="22"/>
          <w:szCs w:val="22"/>
        </w:rPr>
        <w:t xml:space="preserve">into consideration (Drury 2012, p. 317; </w:t>
      </w:r>
      <w:proofErr w:type="spellStart"/>
      <w:r w:rsidRPr="00AD1388">
        <w:rPr>
          <w:sz w:val="22"/>
          <w:szCs w:val="22"/>
        </w:rPr>
        <w:t>Atrill</w:t>
      </w:r>
      <w:proofErr w:type="spellEnd"/>
      <w:r w:rsidRPr="00AD1388">
        <w:rPr>
          <w:sz w:val="22"/>
          <w:szCs w:val="22"/>
        </w:rPr>
        <w:t xml:space="preserve"> 2013, p. 348 &amp; p. 350).</w:t>
      </w:r>
      <w:r w:rsidRPr="00AD1388">
        <w:rPr>
          <w:color w:val="000000" w:themeColor="text1"/>
          <w:sz w:val="22"/>
          <w:szCs w:val="22"/>
        </w:rPr>
        <w:t xml:space="preserve"> Second, although </w:t>
      </w:r>
      <w:r w:rsidRPr="00AD1388">
        <w:rPr>
          <w:sz w:val="22"/>
          <w:szCs w:val="22"/>
          <w:lang w:val="en-CA"/>
        </w:rPr>
        <w:t xml:space="preserve">PP does take the </w:t>
      </w:r>
      <w:r w:rsidRPr="00AD1388">
        <w:rPr>
          <w:i/>
          <w:sz w:val="22"/>
          <w:szCs w:val="22"/>
          <w:lang w:val="en-CA"/>
        </w:rPr>
        <w:t xml:space="preserve">time factor </w:t>
      </w:r>
      <w:r w:rsidRPr="00AD1388">
        <w:rPr>
          <w:sz w:val="22"/>
          <w:szCs w:val="22"/>
          <w:lang w:val="en-CA"/>
        </w:rPr>
        <w:t xml:space="preserve">into consideration, as it looks at </w:t>
      </w:r>
      <w:r w:rsidRPr="00AD1388">
        <w:rPr>
          <w:sz w:val="22"/>
          <w:szCs w:val="22"/>
        </w:rPr>
        <w:t xml:space="preserve">the amount of time it will take for an initial investment to be repaid out of the net cash inflows from a project, its problem is that it is unable to distinguish between which projects will achieve significant returns, and which will not, within a specified time period. Additionally, cash flows after the payback period are ignored and PP fails to consider the </w:t>
      </w:r>
      <w:r w:rsidRPr="00AD1388">
        <w:rPr>
          <w:i/>
          <w:sz w:val="22"/>
          <w:szCs w:val="22"/>
        </w:rPr>
        <w:t>time value of money</w:t>
      </w:r>
      <w:r w:rsidRPr="00AD1388">
        <w:rPr>
          <w:sz w:val="22"/>
          <w:szCs w:val="22"/>
        </w:rPr>
        <w:t xml:space="preserve"> (Drury 2012, p. 312; </w:t>
      </w:r>
      <w:proofErr w:type="spellStart"/>
      <w:r w:rsidRPr="00AD1388">
        <w:rPr>
          <w:sz w:val="22"/>
          <w:szCs w:val="22"/>
        </w:rPr>
        <w:t>Atrill</w:t>
      </w:r>
      <w:proofErr w:type="spellEnd"/>
      <w:r w:rsidRPr="00AD1388">
        <w:rPr>
          <w:sz w:val="22"/>
          <w:szCs w:val="22"/>
        </w:rPr>
        <w:t xml:space="preserve"> 2013, p. 353 &amp; p. 354-355). Third, an IRR investment </w:t>
      </w:r>
      <w:r w:rsidRPr="00AD1388">
        <w:rPr>
          <w:rFonts w:eastAsiaTheme="minorHAnsi"/>
          <w:sz w:val="22"/>
          <w:szCs w:val="22"/>
          <w:lang w:val="en-US" w:eastAsia="en-US"/>
        </w:rPr>
        <w:t>is the discount rate that produces an NPV of zero when</w:t>
      </w:r>
      <w:r w:rsidRPr="00AD1388">
        <w:rPr>
          <w:sz w:val="22"/>
          <w:szCs w:val="22"/>
        </w:rPr>
        <w:t xml:space="preserve"> </w:t>
      </w:r>
      <w:r w:rsidRPr="00AD1388">
        <w:rPr>
          <w:rFonts w:eastAsiaTheme="minorHAnsi"/>
          <w:sz w:val="22"/>
          <w:szCs w:val="22"/>
          <w:lang w:val="en-US" w:eastAsia="en-US"/>
        </w:rPr>
        <w:t xml:space="preserve">applied to its future cash flows, thereby representing the yield of an investment made. </w:t>
      </w:r>
      <w:r w:rsidRPr="00AD1388">
        <w:rPr>
          <w:sz w:val="22"/>
          <w:szCs w:val="22"/>
        </w:rPr>
        <w:t xml:space="preserve">Despite bearing some similarity with NPV in that both </w:t>
      </w:r>
      <w:proofErr w:type="spellStart"/>
      <w:r w:rsidRPr="00AD1388">
        <w:rPr>
          <w:sz w:val="22"/>
          <w:szCs w:val="22"/>
        </w:rPr>
        <w:t>discoun</w:t>
      </w:r>
      <w:r>
        <w:rPr>
          <w:sz w:val="22"/>
          <w:szCs w:val="22"/>
        </w:rPr>
        <w:t>ARR</w:t>
      </w:r>
      <w:proofErr w:type="spellEnd"/>
      <w:r>
        <w:rPr>
          <w:sz w:val="22"/>
          <w:szCs w:val="22"/>
        </w:rPr>
        <w:t xml:space="preserve">, PP and </w:t>
      </w:r>
      <w:proofErr w:type="spellStart"/>
      <w:r>
        <w:rPr>
          <w:sz w:val="22"/>
          <w:szCs w:val="22"/>
        </w:rPr>
        <w:t>IRR</w:t>
      </w:r>
      <w:r w:rsidRPr="00AD1388">
        <w:rPr>
          <w:sz w:val="22"/>
          <w:szCs w:val="22"/>
        </w:rPr>
        <w:t>t</w:t>
      </w:r>
      <w:proofErr w:type="spellEnd"/>
      <w:r w:rsidRPr="00AD1388">
        <w:rPr>
          <w:sz w:val="22"/>
          <w:szCs w:val="22"/>
        </w:rPr>
        <w:t xml:space="preserve"> future cash flows, </w:t>
      </w:r>
      <w:r w:rsidRPr="00AD1388">
        <w:rPr>
          <w:rFonts w:eastAsiaTheme="minorHAnsi"/>
          <w:sz w:val="22"/>
          <w:szCs w:val="22"/>
          <w:lang w:val="en-US" w:eastAsia="en-US"/>
        </w:rPr>
        <w:t xml:space="preserve">the problems with IRR are that it does not consider or address wealth generation, which can result in poor decision making; it does not take into account the </w:t>
      </w:r>
      <w:r w:rsidRPr="00AD1388">
        <w:rPr>
          <w:rFonts w:eastAsiaTheme="minorHAnsi"/>
          <w:i/>
          <w:sz w:val="22"/>
          <w:szCs w:val="22"/>
          <w:lang w:val="en-US" w:eastAsia="en-US"/>
        </w:rPr>
        <w:t xml:space="preserve">scale of investment </w:t>
      </w:r>
      <w:r w:rsidRPr="00AD1388">
        <w:rPr>
          <w:rFonts w:eastAsiaTheme="minorHAnsi"/>
          <w:sz w:val="22"/>
          <w:szCs w:val="22"/>
          <w:lang w:val="en-US" w:eastAsia="en-US"/>
        </w:rPr>
        <w:t>(like ARR); and it faces difficulties in handling projects with unconventional cash flows, meaning: that for projects with positive and negative cash flows at different periods of time, the result can be that there are several IRRs, or even no IRR – a problem which never arises with NPV (</w:t>
      </w:r>
      <w:proofErr w:type="spellStart"/>
      <w:r w:rsidRPr="00AD1388">
        <w:rPr>
          <w:rFonts w:eastAsiaTheme="minorHAnsi"/>
          <w:sz w:val="22"/>
          <w:szCs w:val="22"/>
          <w:lang w:val="en-US" w:eastAsia="en-US"/>
        </w:rPr>
        <w:t>Atrill</w:t>
      </w:r>
      <w:proofErr w:type="spellEnd"/>
      <w:r w:rsidRPr="00AD1388">
        <w:rPr>
          <w:rFonts w:eastAsiaTheme="minorHAnsi"/>
          <w:sz w:val="22"/>
          <w:szCs w:val="22"/>
          <w:lang w:val="en-US" w:eastAsia="en-US"/>
        </w:rPr>
        <w:t xml:space="preserve"> 2013, p. 365 &amp; p. 369-370). </w:t>
      </w:r>
      <w:r w:rsidRPr="00AD1388">
        <w:rPr>
          <w:sz w:val="22"/>
          <w:szCs w:val="22"/>
        </w:rPr>
        <w:t xml:space="preserve">Thus, because </w:t>
      </w:r>
      <w:r w:rsidRPr="00AD1388">
        <w:rPr>
          <w:color w:val="000000" w:themeColor="text1"/>
          <w:sz w:val="22"/>
          <w:szCs w:val="22"/>
        </w:rPr>
        <w:t>NPV accounts for all of the shortcomings of ARR, PP and IRR, goes beyond by having a direct influence on business objectives, and will, “…always give the correct signal, it is difficult to see why any other method should be used” (</w:t>
      </w:r>
      <w:proofErr w:type="spellStart"/>
      <w:r w:rsidRPr="00AD1388">
        <w:rPr>
          <w:color w:val="000000" w:themeColor="text1"/>
          <w:sz w:val="22"/>
          <w:szCs w:val="22"/>
        </w:rPr>
        <w:t>Atrill</w:t>
      </w:r>
      <w:proofErr w:type="spellEnd"/>
      <w:r w:rsidRPr="00AD1388">
        <w:rPr>
          <w:color w:val="000000" w:themeColor="text1"/>
          <w:sz w:val="22"/>
          <w:szCs w:val="22"/>
        </w:rPr>
        <w:t xml:space="preserve"> 2013, p. 364 &amp; 370). </w:t>
      </w:r>
    </w:p>
    <w:p w14:paraId="55EE240D" w14:textId="77777777" w:rsidR="00243772" w:rsidRDefault="00243772" w:rsidP="00243772">
      <w:pPr>
        <w:jc w:val="both"/>
        <w:rPr>
          <w:color w:val="000000" w:themeColor="text1"/>
          <w:sz w:val="22"/>
          <w:szCs w:val="22"/>
        </w:rPr>
      </w:pPr>
    </w:p>
    <w:p w14:paraId="2BE9FC5D" w14:textId="77777777" w:rsidR="00243772" w:rsidRDefault="00243772" w:rsidP="00243772">
      <w:pPr>
        <w:jc w:val="both"/>
        <w:rPr>
          <w:color w:val="000000" w:themeColor="text1"/>
          <w:sz w:val="22"/>
          <w:szCs w:val="22"/>
        </w:rPr>
      </w:pPr>
    </w:p>
    <w:p w14:paraId="4A834178" w14:textId="77777777" w:rsidR="00243772" w:rsidRPr="00243772" w:rsidRDefault="00243772" w:rsidP="00243772">
      <w:pPr>
        <w:jc w:val="both"/>
        <w:sectPr w:rsidR="00243772" w:rsidRPr="00243772" w:rsidSect="008206B9">
          <w:pgSz w:w="12240" w:h="15840"/>
          <w:pgMar w:top="1440" w:right="1440" w:bottom="1440" w:left="1440" w:header="708" w:footer="708" w:gutter="0"/>
          <w:cols w:space="708"/>
          <w:docGrid w:linePitch="360"/>
        </w:sectPr>
      </w:pPr>
    </w:p>
    <w:p w14:paraId="28736F96" w14:textId="77777777" w:rsidR="00177ACD" w:rsidRDefault="00177ACD" w:rsidP="00177ACD">
      <w:pPr>
        <w:pStyle w:val="Heading1"/>
        <w:spacing w:before="0"/>
        <w:jc w:val="center"/>
        <w:rPr>
          <w:rFonts w:ascii="Times" w:hAnsi="Times" w:cs="Arial"/>
          <w:color w:val="auto"/>
          <w:sz w:val="22"/>
          <w:szCs w:val="22"/>
        </w:rPr>
      </w:pPr>
      <w:bookmarkStart w:id="49" w:name="_Toc535615944"/>
      <w:r>
        <w:rPr>
          <w:rFonts w:ascii="Times" w:hAnsi="Times" w:cs="Arial"/>
          <w:color w:val="auto"/>
          <w:sz w:val="22"/>
          <w:szCs w:val="22"/>
        </w:rPr>
        <w:lastRenderedPageBreak/>
        <w:t xml:space="preserve">Annex </w:t>
      </w:r>
      <w:r w:rsidR="00243772">
        <w:rPr>
          <w:rFonts w:ascii="Times" w:hAnsi="Times" w:cs="Arial"/>
          <w:color w:val="auto"/>
          <w:sz w:val="22"/>
          <w:szCs w:val="22"/>
        </w:rPr>
        <w:t>I</w:t>
      </w:r>
      <w:r>
        <w:rPr>
          <w:rFonts w:ascii="Times" w:hAnsi="Times" w:cs="Arial"/>
          <w:color w:val="auto"/>
          <w:sz w:val="22"/>
          <w:szCs w:val="22"/>
        </w:rPr>
        <w:t>I: The Importance of CSR</w:t>
      </w:r>
      <w:bookmarkEnd w:id="49"/>
    </w:p>
    <w:p w14:paraId="6F8CA2E8" w14:textId="77777777" w:rsidR="00177ACD" w:rsidRDefault="00177ACD" w:rsidP="00177ACD">
      <w:pPr>
        <w:rPr>
          <w:sz w:val="22"/>
          <w:szCs w:val="22"/>
        </w:rPr>
      </w:pPr>
    </w:p>
    <w:p w14:paraId="0152A12F" w14:textId="77777777" w:rsidR="00177ACD" w:rsidRDefault="00177ACD" w:rsidP="00EA3A27">
      <w:pPr>
        <w:spacing w:line="480" w:lineRule="auto"/>
        <w:ind w:firstLine="425"/>
        <w:jc w:val="both"/>
        <w:rPr>
          <w:sz w:val="22"/>
          <w:szCs w:val="22"/>
        </w:rPr>
      </w:pPr>
      <w:r w:rsidRPr="00AD1388">
        <w:rPr>
          <w:sz w:val="22"/>
          <w:szCs w:val="22"/>
        </w:rPr>
        <w:t xml:space="preserve">With regard to CSR, in particular, James PLC is already at an advantage in this respect, given its </w:t>
      </w:r>
      <w:r>
        <w:rPr>
          <w:sz w:val="22"/>
          <w:szCs w:val="22"/>
        </w:rPr>
        <w:t xml:space="preserve">interest </w:t>
      </w:r>
      <w:r w:rsidRPr="00AD1388">
        <w:rPr>
          <w:sz w:val="22"/>
          <w:szCs w:val="22"/>
        </w:rPr>
        <w:t xml:space="preserve">to invest in </w:t>
      </w:r>
      <w:r w:rsidRPr="00E640A8">
        <w:rPr>
          <w:sz w:val="22"/>
          <w:szCs w:val="22"/>
        </w:rPr>
        <w:t>the production of greenhouses and conservatories</w:t>
      </w:r>
      <w:r>
        <w:rPr>
          <w:sz w:val="22"/>
          <w:szCs w:val="22"/>
        </w:rPr>
        <w:t>. This type of investment</w:t>
      </w:r>
      <w:r w:rsidRPr="00E640A8">
        <w:rPr>
          <w:sz w:val="22"/>
          <w:szCs w:val="22"/>
        </w:rPr>
        <w:t xml:space="preserve">, versus the other options, is </w:t>
      </w:r>
      <w:r>
        <w:rPr>
          <w:sz w:val="22"/>
          <w:szCs w:val="22"/>
        </w:rPr>
        <w:t xml:space="preserve">excellent for </w:t>
      </w:r>
      <w:r w:rsidRPr="00E640A8">
        <w:rPr>
          <w:sz w:val="22"/>
          <w:szCs w:val="22"/>
        </w:rPr>
        <w:t xml:space="preserve">CSR </w:t>
      </w:r>
      <w:r>
        <w:rPr>
          <w:sz w:val="22"/>
          <w:szCs w:val="22"/>
        </w:rPr>
        <w:t xml:space="preserve">give </w:t>
      </w:r>
      <w:r w:rsidRPr="00E640A8">
        <w:rPr>
          <w:sz w:val="22"/>
          <w:szCs w:val="22"/>
        </w:rPr>
        <w:t xml:space="preserve">significant attention </w:t>
      </w:r>
      <w:r>
        <w:rPr>
          <w:sz w:val="22"/>
          <w:szCs w:val="22"/>
        </w:rPr>
        <w:t xml:space="preserve">to </w:t>
      </w:r>
      <w:r w:rsidRPr="00E640A8">
        <w:rPr>
          <w:sz w:val="22"/>
          <w:szCs w:val="22"/>
        </w:rPr>
        <w:t xml:space="preserve">climate change </w:t>
      </w:r>
      <w:r>
        <w:rPr>
          <w:sz w:val="22"/>
          <w:szCs w:val="22"/>
        </w:rPr>
        <w:t xml:space="preserve">from </w:t>
      </w:r>
      <w:r w:rsidRPr="00E640A8">
        <w:rPr>
          <w:sz w:val="22"/>
          <w:szCs w:val="22"/>
        </w:rPr>
        <w:t xml:space="preserve">local, </w:t>
      </w:r>
      <w:r>
        <w:rPr>
          <w:sz w:val="22"/>
          <w:szCs w:val="22"/>
        </w:rPr>
        <w:t xml:space="preserve">to </w:t>
      </w:r>
      <w:r w:rsidRPr="00E640A8">
        <w:rPr>
          <w:sz w:val="22"/>
          <w:szCs w:val="22"/>
        </w:rPr>
        <w:t>international levels. For example, the Sustainable</w:t>
      </w:r>
      <w:r w:rsidRPr="00AD1388">
        <w:rPr>
          <w:sz w:val="22"/>
          <w:szCs w:val="22"/>
        </w:rPr>
        <w:t xml:space="preserve"> Development Goals (SDG) of the United Nations </w:t>
      </w:r>
      <w:r>
        <w:rPr>
          <w:sz w:val="22"/>
          <w:szCs w:val="22"/>
        </w:rPr>
        <w:t xml:space="preserve">have </w:t>
      </w:r>
      <w:r w:rsidRPr="00AD1388">
        <w:rPr>
          <w:sz w:val="22"/>
          <w:szCs w:val="22"/>
        </w:rPr>
        <w:t xml:space="preserve">two goals </w:t>
      </w:r>
      <w:r>
        <w:rPr>
          <w:sz w:val="22"/>
          <w:szCs w:val="22"/>
        </w:rPr>
        <w:t>dedicated  this</w:t>
      </w:r>
      <w:r w:rsidRPr="00AD1388">
        <w:rPr>
          <w:sz w:val="22"/>
          <w:szCs w:val="22"/>
        </w:rPr>
        <w:t>: Goal 13: Climate Action</w:t>
      </w:r>
      <w:r>
        <w:rPr>
          <w:sz w:val="22"/>
          <w:szCs w:val="22"/>
        </w:rPr>
        <w:t xml:space="preserve"> and Goal 15: Life on Land, which together seek</w:t>
      </w:r>
      <w:r w:rsidRPr="00AD1388">
        <w:rPr>
          <w:sz w:val="22"/>
          <w:szCs w:val="22"/>
        </w:rPr>
        <w:t xml:space="preserve"> to combat climate change, </w:t>
      </w:r>
      <w:r>
        <w:rPr>
          <w:sz w:val="22"/>
          <w:szCs w:val="22"/>
        </w:rPr>
        <w:t xml:space="preserve">sustainably </w:t>
      </w:r>
      <w:r w:rsidRPr="00AD1388">
        <w:rPr>
          <w:sz w:val="22"/>
          <w:szCs w:val="22"/>
        </w:rPr>
        <w:t>use terrestrial ecosystems</w:t>
      </w:r>
      <w:r>
        <w:rPr>
          <w:sz w:val="22"/>
          <w:szCs w:val="22"/>
        </w:rPr>
        <w:t xml:space="preserve"> and</w:t>
      </w:r>
      <w:r w:rsidRPr="00AD1388">
        <w:rPr>
          <w:sz w:val="22"/>
          <w:szCs w:val="22"/>
        </w:rPr>
        <w:t xml:space="preserve"> manage forests, combat desertification, reverse land degradation, and halt biodiversity </w:t>
      </w:r>
      <w:r>
        <w:rPr>
          <w:sz w:val="22"/>
          <w:szCs w:val="22"/>
        </w:rPr>
        <w:t xml:space="preserve">loss </w:t>
      </w:r>
      <w:r w:rsidRPr="00AD1388">
        <w:rPr>
          <w:sz w:val="22"/>
          <w:szCs w:val="22"/>
        </w:rPr>
        <w:t>(UN no date A</w:t>
      </w:r>
      <w:r>
        <w:rPr>
          <w:sz w:val="22"/>
          <w:szCs w:val="22"/>
        </w:rPr>
        <w:t xml:space="preserve">; </w:t>
      </w:r>
      <w:r w:rsidRPr="00AD1388">
        <w:rPr>
          <w:sz w:val="22"/>
          <w:szCs w:val="22"/>
        </w:rPr>
        <w:t xml:space="preserve">UN no date B). </w:t>
      </w:r>
      <w:r>
        <w:rPr>
          <w:sz w:val="22"/>
          <w:szCs w:val="22"/>
        </w:rPr>
        <w:t xml:space="preserve">Thus, </w:t>
      </w:r>
      <w:r w:rsidRPr="00AD1388">
        <w:rPr>
          <w:sz w:val="22"/>
          <w:szCs w:val="22"/>
        </w:rPr>
        <w:t xml:space="preserve">James PLC should not focus solely only profits and </w:t>
      </w:r>
      <w:r>
        <w:rPr>
          <w:sz w:val="22"/>
          <w:szCs w:val="22"/>
        </w:rPr>
        <w:t>maximizing</w:t>
      </w:r>
      <w:r w:rsidRPr="00AD1388">
        <w:rPr>
          <w:sz w:val="22"/>
          <w:szCs w:val="22"/>
        </w:rPr>
        <w:t xml:space="preserve"> shareholder value, but also </w:t>
      </w:r>
      <w:r>
        <w:rPr>
          <w:sz w:val="22"/>
          <w:szCs w:val="22"/>
        </w:rPr>
        <w:t xml:space="preserve">on </w:t>
      </w:r>
      <w:r w:rsidRPr="00AD1388">
        <w:rPr>
          <w:sz w:val="22"/>
          <w:szCs w:val="22"/>
        </w:rPr>
        <w:t>pinpoint</w:t>
      </w:r>
      <w:r>
        <w:rPr>
          <w:sz w:val="22"/>
          <w:szCs w:val="22"/>
        </w:rPr>
        <w:t>ing</w:t>
      </w:r>
      <w:r w:rsidRPr="00AD1388">
        <w:rPr>
          <w:sz w:val="22"/>
          <w:szCs w:val="22"/>
        </w:rPr>
        <w:t xml:space="preserve"> positive customer and societal impacts a CSR-related investment </w:t>
      </w:r>
      <w:r>
        <w:rPr>
          <w:sz w:val="22"/>
          <w:szCs w:val="22"/>
        </w:rPr>
        <w:t xml:space="preserve">may have in </w:t>
      </w:r>
      <w:r w:rsidRPr="00AD1388">
        <w:rPr>
          <w:sz w:val="22"/>
          <w:szCs w:val="22"/>
        </w:rPr>
        <w:t>the SPIA. As stated by Denning (2014), “[if businesses]</w:t>
      </w:r>
      <w:r w:rsidRPr="00AD1388">
        <w:rPr>
          <w:sz w:val="22"/>
          <w:szCs w:val="22"/>
          <w:lang w:val="en"/>
        </w:rPr>
        <w:t xml:space="preserve"> contribute meaningfully to the communities in which they operate, chances are their shareholders will be very happy.”</w:t>
      </w:r>
      <w:r w:rsidRPr="00AD1388">
        <w:rPr>
          <w:color w:val="333333"/>
          <w:sz w:val="22"/>
          <w:szCs w:val="22"/>
          <w:lang w:val="en"/>
        </w:rPr>
        <w:t xml:space="preserve"> Furthermore, </w:t>
      </w:r>
      <w:proofErr w:type="spellStart"/>
      <w:r w:rsidRPr="00AD1388">
        <w:rPr>
          <w:sz w:val="22"/>
          <w:szCs w:val="22"/>
        </w:rPr>
        <w:t>Orlitzky</w:t>
      </w:r>
      <w:proofErr w:type="spellEnd"/>
      <w:r w:rsidRPr="00AD1388">
        <w:rPr>
          <w:sz w:val="22"/>
          <w:szCs w:val="22"/>
        </w:rPr>
        <w:t xml:space="preserve"> et al.</w:t>
      </w:r>
      <w:r>
        <w:rPr>
          <w:sz w:val="22"/>
          <w:szCs w:val="22"/>
        </w:rPr>
        <w:t>’s</w:t>
      </w:r>
      <w:r w:rsidRPr="00AD1388">
        <w:rPr>
          <w:sz w:val="22"/>
          <w:szCs w:val="22"/>
        </w:rPr>
        <w:t xml:space="preserve"> (2003) </w:t>
      </w:r>
      <w:r w:rsidRPr="00AD1388">
        <w:rPr>
          <w:color w:val="333333"/>
          <w:sz w:val="22"/>
          <w:szCs w:val="22"/>
          <w:lang w:val="en"/>
        </w:rPr>
        <w:t xml:space="preserve">meta-analysis </w:t>
      </w:r>
      <w:r>
        <w:rPr>
          <w:color w:val="333333"/>
          <w:sz w:val="22"/>
          <w:szCs w:val="22"/>
          <w:lang w:val="en"/>
        </w:rPr>
        <w:t xml:space="preserve">of </w:t>
      </w:r>
      <w:r w:rsidRPr="00AD1388">
        <w:rPr>
          <w:color w:val="333333"/>
          <w:sz w:val="22"/>
          <w:szCs w:val="22"/>
          <w:lang w:val="en"/>
        </w:rPr>
        <w:t xml:space="preserve">corporate social and financial performance characteristics </w:t>
      </w:r>
      <w:r w:rsidRPr="00AD1388">
        <w:rPr>
          <w:sz w:val="22"/>
          <w:szCs w:val="22"/>
        </w:rPr>
        <w:t>identified</w:t>
      </w:r>
      <w:r>
        <w:rPr>
          <w:sz w:val="22"/>
          <w:szCs w:val="22"/>
        </w:rPr>
        <w:t xml:space="preserve"> that</w:t>
      </w:r>
      <w:r w:rsidRPr="00AD1388">
        <w:rPr>
          <w:sz w:val="22"/>
          <w:szCs w:val="22"/>
        </w:rPr>
        <w:t>, “[t]he increasing power of activist groups and the media in pluralist western societies can be expected to make organizations’ non-market strategie</w:t>
      </w:r>
      <w:r>
        <w:rPr>
          <w:sz w:val="22"/>
          <w:szCs w:val="22"/>
        </w:rPr>
        <w:t xml:space="preserve">s even more important” (p. 403) – a </w:t>
      </w:r>
      <w:r w:rsidRPr="00AD1388">
        <w:rPr>
          <w:sz w:val="22"/>
          <w:szCs w:val="22"/>
        </w:rPr>
        <w:t>claim which suggest</w:t>
      </w:r>
      <w:r>
        <w:rPr>
          <w:sz w:val="22"/>
          <w:szCs w:val="22"/>
        </w:rPr>
        <w:t>s</w:t>
      </w:r>
      <w:r w:rsidRPr="00AD1388">
        <w:rPr>
          <w:sz w:val="22"/>
          <w:szCs w:val="22"/>
        </w:rPr>
        <w:t xml:space="preserve"> that CSR has a positive correlation with a company’s reputation and its corporate financial performance </w:t>
      </w:r>
      <w:r>
        <w:rPr>
          <w:sz w:val="22"/>
          <w:szCs w:val="22"/>
        </w:rPr>
        <w:t xml:space="preserve">and which is </w:t>
      </w:r>
      <w:r w:rsidRPr="00AD1388">
        <w:rPr>
          <w:sz w:val="22"/>
          <w:szCs w:val="22"/>
        </w:rPr>
        <w:t xml:space="preserve">backed by a meta-physical review of 52 studies, based on sample size of 33,878 observations and </w:t>
      </w:r>
      <w:r>
        <w:rPr>
          <w:sz w:val="22"/>
          <w:szCs w:val="22"/>
        </w:rPr>
        <w:t xml:space="preserve">30-years of </w:t>
      </w:r>
      <w:r w:rsidRPr="00AD1388">
        <w:rPr>
          <w:sz w:val="22"/>
          <w:szCs w:val="22"/>
        </w:rPr>
        <w:t>empirical data (p. 427).</w:t>
      </w:r>
    </w:p>
    <w:p w14:paraId="59FE4823" w14:textId="77777777" w:rsidR="00087245" w:rsidRDefault="00087245" w:rsidP="00177ACD">
      <w:pPr>
        <w:jc w:val="both"/>
        <w:sectPr w:rsidR="00087245" w:rsidSect="008206B9">
          <w:pgSz w:w="12240" w:h="15840"/>
          <w:pgMar w:top="1440" w:right="1440" w:bottom="1440" w:left="1440" w:header="708" w:footer="708" w:gutter="0"/>
          <w:cols w:space="708"/>
          <w:docGrid w:linePitch="360"/>
        </w:sectPr>
      </w:pPr>
    </w:p>
    <w:p w14:paraId="0B224C2C" w14:textId="77777777" w:rsidR="00087245" w:rsidRPr="00087245" w:rsidRDefault="00087245" w:rsidP="00087245">
      <w:pPr>
        <w:pStyle w:val="Heading1"/>
        <w:spacing w:before="0"/>
        <w:jc w:val="center"/>
        <w:rPr>
          <w:rFonts w:ascii="Times New Roman" w:hAnsi="Times New Roman" w:cs="Times New Roman"/>
        </w:rPr>
      </w:pPr>
      <w:bookmarkStart w:id="50" w:name="_Toc535615945"/>
      <w:r w:rsidRPr="00087245">
        <w:rPr>
          <w:rFonts w:ascii="Times New Roman" w:hAnsi="Times New Roman" w:cs="Times New Roman"/>
          <w:color w:val="auto"/>
          <w:sz w:val="22"/>
        </w:rPr>
        <w:lastRenderedPageBreak/>
        <w:t>Annex III: Advantages and Disadvantages of different Types of Long-Term Financing</w:t>
      </w:r>
      <w:bookmarkEnd w:id="50"/>
    </w:p>
    <w:p w14:paraId="3DD0F0AD" w14:textId="77777777" w:rsidR="00087245" w:rsidRDefault="00087245" w:rsidP="0001255B"/>
    <w:p w14:paraId="13ADFBA3" w14:textId="77777777" w:rsidR="00087245" w:rsidRPr="00EA3A27" w:rsidRDefault="00087245" w:rsidP="00EA3A27">
      <w:pPr>
        <w:pStyle w:val="ListParagraph"/>
        <w:numPr>
          <w:ilvl w:val="0"/>
          <w:numId w:val="26"/>
        </w:numPr>
        <w:spacing w:line="480" w:lineRule="auto"/>
        <w:jc w:val="both"/>
        <w:rPr>
          <w:rFonts w:ascii="Times" w:hAnsi="Times" w:cs="Arial"/>
          <w:sz w:val="22"/>
          <w:szCs w:val="22"/>
        </w:rPr>
      </w:pPr>
      <w:r w:rsidRPr="0001255B">
        <w:rPr>
          <w:rFonts w:ascii="Times" w:hAnsi="Times" w:cs="Arial"/>
          <w:sz w:val="22"/>
          <w:szCs w:val="22"/>
        </w:rPr>
        <w:t xml:space="preserve">The </w:t>
      </w:r>
      <w:r w:rsidRPr="0001255B">
        <w:rPr>
          <w:rFonts w:ascii="Times" w:hAnsi="Times" w:cs="Arial"/>
          <w:sz w:val="22"/>
          <w:szCs w:val="22"/>
          <w:u w:val="single"/>
        </w:rPr>
        <w:t>long-term internal financing option</w:t>
      </w:r>
      <w:r w:rsidRPr="0001255B">
        <w:rPr>
          <w:rFonts w:ascii="Times" w:hAnsi="Times" w:cs="Arial"/>
          <w:sz w:val="22"/>
          <w:szCs w:val="22"/>
        </w:rPr>
        <w:t xml:space="preserve"> available is the use of retained earnings (RE), which are a critical source of investment finance for many businesses. RE is advantageous because: funds increase by retaining profits within the company, rather than distributing them as dividends; it is easier to use than asking investors to support new shares; funds are available for use immediately; and there is less scrutiny when it is used for reinvestment. The disadvantages of RE, however, are that reliably determining their timing and future level is difficult, and, since it is not free, investors will still expect returns in line with ordinary shares (</w:t>
      </w:r>
      <w:proofErr w:type="spellStart"/>
      <w:r w:rsidRPr="0001255B">
        <w:rPr>
          <w:rFonts w:ascii="Times" w:hAnsi="Times" w:cs="Arial"/>
          <w:sz w:val="22"/>
          <w:szCs w:val="22"/>
        </w:rPr>
        <w:t>Atrill</w:t>
      </w:r>
      <w:proofErr w:type="spellEnd"/>
      <w:r w:rsidRPr="0001255B">
        <w:rPr>
          <w:rFonts w:ascii="Times" w:hAnsi="Times" w:cs="Arial"/>
          <w:sz w:val="22"/>
          <w:szCs w:val="22"/>
        </w:rPr>
        <w:t xml:space="preserve"> 2013). </w:t>
      </w:r>
    </w:p>
    <w:p w14:paraId="149B4714" w14:textId="77777777" w:rsidR="00087245" w:rsidRPr="00EA3A27" w:rsidRDefault="00087245" w:rsidP="0001255B">
      <w:pPr>
        <w:pStyle w:val="ListParagraph"/>
        <w:numPr>
          <w:ilvl w:val="0"/>
          <w:numId w:val="26"/>
        </w:numPr>
        <w:spacing w:line="480" w:lineRule="auto"/>
        <w:jc w:val="both"/>
        <w:rPr>
          <w:rFonts w:ascii="Times" w:hAnsi="Times" w:cs="Arial"/>
          <w:sz w:val="22"/>
          <w:szCs w:val="22"/>
        </w:rPr>
      </w:pPr>
      <w:r w:rsidRPr="0001255B">
        <w:rPr>
          <w:rFonts w:ascii="Times" w:hAnsi="Times" w:cs="Arial"/>
          <w:sz w:val="22"/>
          <w:szCs w:val="22"/>
          <w:u w:val="single"/>
        </w:rPr>
        <w:t>External sources of long-term financing</w:t>
      </w:r>
      <w:r w:rsidRPr="0001255B">
        <w:rPr>
          <w:rFonts w:ascii="Times" w:hAnsi="Times" w:cs="Arial"/>
          <w:sz w:val="22"/>
          <w:szCs w:val="22"/>
        </w:rPr>
        <w:t>, on the other hand, includes such options as ordinary and preference shares, borrowings and share capital, finance leases,</w:t>
      </w:r>
      <w:r w:rsidR="00EA468B" w:rsidRPr="0001255B">
        <w:rPr>
          <w:rFonts w:ascii="Times" w:hAnsi="Times" w:cs="Arial"/>
          <w:sz w:val="22"/>
          <w:szCs w:val="22"/>
        </w:rPr>
        <w:t xml:space="preserve"> sale-and-leaseback arrangement</w:t>
      </w:r>
      <w:r w:rsidRPr="0001255B">
        <w:rPr>
          <w:rFonts w:ascii="Times" w:hAnsi="Times" w:cs="Arial"/>
          <w:sz w:val="22"/>
          <w:szCs w:val="22"/>
        </w:rPr>
        <w:t xml:space="preserve"> and securitization of assets.  Table 8 summarizes the advantages and disadvantages of each</w:t>
      </w:r>
      <w:r w:rsidR="004C6182" w:rsidRPr="0001255B">
        <w:rPr>
          <w:rFonts w:ascii="Times" w:hAnsi="Times" w:cs="Arial"/>
          <w:sz w:val="22"/>
          <w:szCs w:val="22"/>
        </w:rPr>
        <w:t xml:space="preserve"> option </w:t>
      </w:r>
      <w:r w:rsidR="00E728F4" w:rsidRPr="0001255B">
        <w:rPr>
          <w:rFonts w:ascii="Times" w:hAnsi="Times" w:cs="Arial"/>
          <w:sz w:val="22"/>
          <w:szCs w:val="22"/>
        </w:rPr>
        <w:t>deemed relevant</w:t>
      </w:r>
      <w:r w:rsidR="004C6182" w:rsidRPr="0001255B">
        <w:rPr>
          <w:rFonts w:ascii="Times" w:hAnsi="Times" w:cs="Arial"/>
          <w:sz w:val="22"/>
          <w:szCs w:val="22"/>
        </w:rPr>
        <w:t xml:space="preserve"> to James PLC</w:t>
      </w:r>
      <w:r w:rsidR="001C2B02">
        <w:rPr>
          <w:rStyle w:val="FootnoteReference"/>
          <w:rFonts w:ascii="Times" w:hAnsi="Times" w:cs="Arial"/>
          <w:sz w:val="22"/>
          <w:szCs w:val="22"/>
        </w:rPr>
        <w:footnoteReference w:id="14"/>
      </w:r>
      <w:r w:rsidRPr="0001255B">
        <w:rPr>
          <w:rFonts w:ascii="Times" w:hAnsi="Times" w:cs="Arial"/>
          <w:sz w:val="22"/>
          <w:szCs w:val="22"/>
        </w:rPr>
        <w:t>.</w:t>
      </w:r>
    </w:p>
    <w:p w14:paraId="240279D9" w14:textId="77777777" w:rsidR="00087245" w:rsidRPr="00E728F4" w:rsidRDefault="00087245" w:rsidP="0001255B">
      <w:pPr>
        <w:rPr>
          <w:rFonts w:ascii="Times" w:hAnsi="Times" w:cs="Arial"/>
          <w:b/>
          <w:sz w:val="22"/>
          <w:szCs w:val="22"/>
        </w:rPr>
      </w:pPr>
      <w:r w:rsidRPr="00087245">
        <w:rPr>
          <w:rFonts w:ascii="Times" w:hAnsi="Times" w:cs="Arial"/>
          <w:b/>
          <w:sz w:val="22"/>
          <w:szCs w:val="22"/>
        </w:rPr>
        <w:t>Table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3"/>
        <w:gridCol w:w="3939"/>
      </w:tblGrid>
      <w:tr w:rsidR="00087245" w14:paraId="1508A9A1" w14:textId="77777777" w:rsidTr="001838BB">
        <w:tc>
          <w:tcPr>
            <w:tcW w:w="1384" w:type="dxa"/>
          </w:tcPr>
          <w:p w14:paraId="0E093A6C" w14:textId="77777777" w:rsidR="00087245" w:rsidRDefault="00087245" w:rsidP="0001255B">
            <w:pPr>
              <w:rPr>
                <w:rFonts w:ascii="Times" w:hAnsi="Times" w:cs="Arial"/>
                <w:sz w:val="22"/>
                <w:szCs w:val="22"/>
              </w:rPr>
            </w:pPr>
          </w:p>
        </w:tc>
        <w:tc>
          <w:tcPr>
            <w:tcW w:w="4253" w:type="dxa"/>
            <w:shd w:val="clear" w:color="auto" w:fill="D9D9D9" w:themeFill="background1" w:themeFillShade="D9"/>
          </w:tcPr>
          <w:p w14:paraId="13130ABE" w14:textId="77777777" w:rsidR="00087245" w:rsidRPr="003D3E67" w:rsidRDefault="00087245" w:rsidP="0001255B">
            <w:pPr>
              <w:jc w:val="center"/>
              <w:rPr>
                <w:rFonts w:ascii="Times" w:hAnsi="Times" w:cs="Arial"/>
                <w:b/>
                <w:sz w:val="22"/>
                <w:szCs w:val="22"/>
              </w:rPr>
            </w:pPr>
            <w:r w:rsidRPr="003D3E67">
              <w:rPr>
                <w:rFonts w:ascii="Times" w:hAnsi="Times" w:cs="Arial"/>
                <w:b/>
                <w:sz w:val="22"/>
                <w:szCs w:val="22"/>
              </w:rPr>
              <w:t>Advantages</w:t>
            </w:r>
          </w:p>
        </w:tc>
        <w:tc>
          <w:tcPr>
            <w:tcW w:w="3939" w:type="dxa"/>
            <w:shd w:val="clear" w:color="auto" w:fill="D9D9D9" w:themeFill="background1" w:themeFillShade="D9"/>
          </w:tcPr>
          <w:p w14:paraId="5C8FD5C4" w14:textId="77777777" w:rsidR="00087245" w:rsidRPr="003D3E67" w:rsidRDefault="00087245" w:rsidP="0001255B">
            <w:pPr>
              <w:jc w:val="center"/>
              <w:rPr>
                <w:rFonts w:ascii="Times" w:hAnsi="Times" w:cs="Arial"/>
                <w:b/>
                <w:sz w:val="22"/>
                <w:szCs w:val="22"/>
              </w:rPr>
            </w:pPr>
            <w:r w:rsidRPr="003D3E67">
              <w:rPr>
                <w:rFonts w:ascii="Times" w:hAnsi="Times" w:cs="Arial"/>
                <w:b/>
                <w:sz w:val="22"/>
                <w:szCs w:val="22"/>
              </w:rPr>
              <w:t>Disadvantages</w:t>
            </w:r>
          </w:p>
        </w:tc>
      </w:tr>
      <w:tr w:rsidR="00087245" w14:paraId="3FF6413B" w14:textId="77777777" w:rsidTr="001838BB">
        <w:tc>
          <w:tcPr>
            <w:tcW w:w="1384" w:type="dxa"/>
            <w:shd w:val="clear" w:color="auto" w:fill="D9D9D9" w:themeFill="background1" w:themeFillShade="D9"/>
            <w:vAlign w:val="center"/>
          </w:tcPr>
          <w:p w14:paraId="08604EC6" w14:textId="77777777" w:rsidR="00087245" w:rsidRPr="001D6D4A" w:rsidRDefault="00087245" w:rsidP="00A92C3A">
            <w:pPr>
              <w:spacing w:before="60" w:after="60"/>
              <w:jc w:val="center"/>
              <w:rPr>
                <w:rFonts w:ascii="Times" w:hAnsi="Times" w:cs="Arial"/>
                <w:b/>
                <w:sz w:val="22"/>
                <w:szCs w:val="22"/>
              </w:rPr>
            </w:pPr>
            <w:r w:rsidRPr="001D6D4A">
              <w:rPr>
                <w:rFonts w:ascii="Times" w:hAnsi="Times" w:cs="Arial"/>
                <w:b/>
                <w:sz w:val="22"/>
                <w:szCs w:val="22"/>
              </w:rPr>
              <w:t>Ordinary Shares</w:t>
            </w:r>
          </w:p>
        </w:tc>
        <w:tc>
          <w:tcPr>
            <w:tcW w:w="4253" w:type="dxa"/>
            <w:vAlign w:val="center"/>
          </w:tcPr>
          <w:p w14:paraId="71BAA7C4"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No fixed return rates.</w:t>
            </w:r>
          </w:p>
          <w:p w14:paraId="20C2FFFE"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Highest expected returns to investors.</w:t>
            </w:r>
          </w:p>
          <w:p w14:paraId="73E37B6D"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No interest payment risks.</w:t>
            </w:r>
          </w:p>
          <w:p w14:paraId="790301BA"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Shareholders have voting rights.</w:t>
            </w:r>
          </w:p>
          <w:p w14:paraId="0366239A"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Business can buy-back shares.</w:t>
            </w:r>
          </w:p>
        </w:tc>
        <w:tc>
          <w:tcPr>
            <w:tcW w:w="3939" w:type="dxa"/>
            <w:vAlign w:val="center"/>
          </w:tcPr>
          <w:p w14:paraId="00707522"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Most risky.</w:t>
            </w:r>
          </w:p>
          <w:p w14:paraId="754A56F1"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Potential loss of a shareholder’s full investment.</w:t>
            </w:r>
          </w:p>
        </w:tc>
      </w:tr>
      <w:tr w:rsidR="00087245" w14:paraId="2FEC99EA" w14:textId="77777777" w:rsidTr="001838BB">
        <w:trPr>
          <w:trHeight w:val="241"/>
        </w:trPr>
        <w:tc>
          <w:tcPr>
            <w:tcW w:w="1384" w:type="dxa"/>
            <w:shd w:val="clear" w:color="auto" w:fill="D9D9D9" w:themeFill="background1" w:themeFillShade="D9"/>
            <w:vAlign w:val="center"/>
          </w:tcPr>
          <w:p w14:paraId="6531462E" w14:textId="77777777" w:rsidR="00087245" w:rsidRPr="00CF4FCF" w:rsidRDefault="00087245" w:rsidP="00A92C3A">
            <w:pPr>
              <w:spacing w:before="60" w:after="60"/>
              <w:jc w:val="center"/>
              <w:rPr>
                <w:rFonts w:ascii="Times" w:hAnsi="Times" w:cs="Arial"/>
                <w:b/>
                <w:sz w:val="22"/>
                <w:szCs w:val="22"/>
              </w:rPr>
            </w:pPr>
            <w:r w:rsidRPr="00CF4FCF">
              <w:rPr>
                <w:rFonts w:ascii="Times" w:hAnsi="Times" w:cs="Arial"/>
                <w:b/>
                <w:sz w:val="22"/>
                <w:szCs w:val="22"/>
              </w:rPr>
              <w:t>Preference Shares</w:t>
            </w:r>
          </w:p>
        </w:tc>
        <w:tc>
          <w:tcPr>
            <w:tcW w:w="4253" w:type="dxa"/>
            <w:vAlign w:val="center"/>
          </w:tcPr>
          <w:p w14:paraId="2E5E3312"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Lower risk than ordinary shares.</w:t>
            </w:r>
          </w:p>
          <w:p w14:paraId="6EDA03A4"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Business can buy-back shares.</w:t>
            </w:r>
          </w:p>
        </w:tc>
        <w:tc>
          <w:tcPr>
            <w:tcW w:w="3939" w:type="dxa"/>
            <w:vAlign w:val="center"/>
          </w:tcPr>
          <w:p w14:paraId="3CCA9D12"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No shareholder voting rights.</w:t>
            </w:r>
          </w:p>
          <w:p w14:paraId="43F883FF"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No longer an important source of finance, because dividends paid are not allowable against taxable profits.</w:t>
            </w:r>
          </w:p>
        </w:tc>
      </w:tr>
      <w:tr w:rsidR="00087245" w14:paraId="65ECBC90" w14:textId="77777777" w:rsidTr="00F055D8">
        <w:trPr>
          <w:trHeight w:val="7132"/>
        </w:trPr>
        <w:tc>
          <w:tcPr>
            <w:tcW w:w="1384" w:type="dxa"/>
            <w:shd w:val="clear" w:color="auto" w:fill="D9D9D9" w:themeFill="background1" w:themeFillShade="D9"/>
            <w:vAlign w:val="center"/>
          </w:tcPr>
          <w:p w14:paraId="22D97C67" w14:textId="77777777" w:rsidR="00087245" w:rsidRPr="00CF4FCF" w:rsidRDefault="00087245" w:rsidP="00A92C3A">
            <w:pPr>
              <w:spacing w:before="60" w:after="60"/>
              <w:jc w:val="center"/>
              <w:rPr>
                <w:rFonts w:ascii="Times" w:hAnsi="Times" w:cs="Arial"/>
                <w:b/>
                <w:sz w:val="22"/>
                <w:szCs w:val="22"/>
              </w:rPr>
            </w:pPr>
            <w:r w:rsidRPr="00CF4FCF">
              <w:rPr>
                <w:rFonts w:ascii="Times" w:hAnsi="Times" w:cs="Arial"/>
                <w:b/>
                <w:sz w:val="22"/>
                <w:szCs w:val="22"/>
              </w:rPr>
              <w:lastRenderedPageBreak/>
              <w:t>Borrowings</w:t>
            </w:r>
          </w:p>
        </w:tc>
        <w:tc>
          <w:tcPr>
            <w:tcW w:w="4253" w:type="dxa"/>
            <w:vAlign w:val="center"/>
          </w:tcPr>
          <w:p w14:paraId="0C863F75"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Relied on by most businesses, so tried and true option.</w:t>
            </w:r>
          </w:p>
          <w:p w14:paraId="153D1C49"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sz w:val="22"/>
                <w:szCs w:val="22"/>
              </w:rPr>
              <w:t>Least risky, because investors have security for their loan (e.g. assets pledged by either a fixed or floating charge, loan covenant).</w:t>
            </w:r>
          </w:p>
          <w:p w14:paraId="6472D982" w14:textId="77777777" w:rsidR="00087245" w:rsidRPr="00A92C3A" w:rsidRDefault="00087245" w:rsidP="00A92C3A">
            <w:pPr>
              <w:spacing w:before="60" w:after="60"/>
              <w:ind w:left="34"/>
              <w:rPr>
                <w:rFonts w:ascii="Times" w:hAnsi="Times" w:cs="Arial"/>
                <w:b/>
                <w:sz w:val="22"/>
                <w:szCs w:val="22"/>
                <w:u w:val="single"/>
              </w:rPr>
            </w:pPr>
            <w:r w:rsidRPr="00A92C3A">
              <w:rPr>
                <w:rFonts w:ascii="Times" w:hAnsi="Times" w:cs="Arial"/>
                <w:b/>
                <w:sz w:val="22"/>
                <w:szCs w:val="22"/>
                <w:u w:val="single"/>
              </w:rPr>
              <w:t>Different types with different advantages:</w:t>
            </w:r>
          </w:p>
          <w:p w14:paraId="250F4AE3"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i/>
                <w:sz w:val="22"/>
                <w:szCs w:val="22"/>
              </w:rPr>
              <w:t>Term Loan:</w:t>
            </w:r>
            <w:r w:rsidRPr="0001255B">
              <w:rPr>
                <w:rFonts w:ascii="Times" w:hAnsi="Times" w:cs="Arial"/>
                <w:sz w:val="22"/>
                <w:szCs w:val="22"/>
              </w:rPr>
              <w:t xml:space="preserve"> tailored to needs of client; loan amount, time period, repayment terms, and interest rates open to negotiation and agreement (e.g. lender may agree that sums are drawn when required, meaning interest is paid only on the amounts drawn, rather than full amount borrowed); cheap to set up; flexible; very popular in practice.</w:t>
            </w:r>
          </w:p>
          <w:p w14:paraId="56B8A734"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i/>
                <w:sz w:val="22"/>
                <w:szCs w:val="22"/>
              </w:rPr>
              <w:t>Loan Notes (i.e. bonds):</w:t>
            </w:r>
            <w:r w:rsidRPr="0001255B">
              <w:rPr>
                <w:rFonts w:ascii="Times" w:hAnsi="Times" w:cs="Arial"/>
                <w:sz w:val="22"/>
                <w:szCs w:val="22"/>
              </w:rPr>
              <w:t xml:space="preserve"> often traded on the stock exchange; less burden on business because loans are divided into units which investors purchase as they require;</w:t>
            </w:r>
          </w:p>
          <w:p w14:paraId="04F34D56"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i/>
                <w:sz w:val="22"/>
                <w:szCs w:val="22"/>
              </w:rPr>
              <w:t xml:space="preserve">Eurobonds: </w:t>
            </w:r>
            <w:r w:rsidRPr="0001255B">
              <w:rPr>
                <w:rFonts w:ascii="Times" w:hAnsi="Times" w:cs="Arial"/>
                <w:sz w:val="22"/>
                <w:szCs w:val="22"/>
              </w:rPr>
              <w:t>interest normally paid without deduction of tax, i.e. higher return; linked with international capital market, so less restricted by regulations of different countries; attractive option due to the size of the international capital market.</w:t>
            </w:r>
          </w:p>
          <w:p w14:paraId="04EA8EBF" w14:textId="77777777" w:rsidR="004C6182"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i/>
                <w:sz w:val="22"/>
                <w:szCs w:val="22"/>
              </w:rPr>
              <w:t>Deep Discount Bonds:</w:t>
            </w:r>
            <w:r w:rsidRPr="0001255B">
              <w:rPr>
                <w:rFonts w:ascii="Times" w:hAnsi="Times" w:cs="Arial"/>
                <w:sz w:val="22"/>
                <w:szCs w:val="22"/>
              </w:rPr>
              <w:t xml:space="preserve"> </w:t>
            </w:r>
            <w:r w:rsidR="004C6182" w:rsidRPr="0001255B">
              <w:rPr>
                <w:rFonts w:ascii="Times" w:hAnsi="Times" w:cs="Arial"/>
                <w:sz w:val="22"/>
                <w:szCs w:val="22"/>
              </w:rPr>
              <w:t>Decent gains received when bond is redeemed at full amount; redemption yield can, indeed, be quite high, whilst offering better returns at same level of risk; often traded on the London Stock Exchange, thus not affecting the borrower and allowing the investor to obtain cash.</w:t>
            </w:r>
          </w:p>
        </w:tc>
        <w:tc>
          <w:tcPr>
            <w:tcW w:w="3939" w:type="dxa"/>
            <w:vAlign w:val="center"/>
          </w:tcPr>
          <w:p w14:paraId="3572F933"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i/>
                <w:sz w:val="22"/>
                <w:szCs w:val="22"/>
              </w:rPr>
              <w:t xml:space="preserve">In general: </w:t>
            </w:r>
            <w:r w:rsidRPr="0001255B">
              <w:rPr>
                <w:rFonts w:ascii="Times" w:hAnsi="Times" w:cs="Arial"/>
                <w:sz w:val="22"/>
                <w:szCs w:val="22"/>
              </w:rPr>
              <w:t>Low returns to investors.</w:t>
            </w:r>
          </w:p>
          <w:p w14:paraId="16CEDBC4"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i/>
                <w:sz w:val="22"/>
                <w:szCs w:val="22"/>
              </w:rPr>
              <w:t>Loan Notes:</w:t>
            </w:r>
            <w:r w:rsidRPr="0001255B">
              <w:rPr>
                <w:rFonts w:ascii="Times" w:hAnsi="Times" w:cs="Arial"/>
                <w:sz w:val="22"/>
                <w:szCs w:val="22"/>
              </w:rPr>
              <w:t xml:space="preserve"> Unless business is very well known, risk that no investors purchase units.</w:t>
            </w:r>
          </w:p>
          <w:p w14:paraId="18D1B790" w14:textId="77777777" w:rsidR="00087245" w:rsidRPr="0001255B" w:rsidRDefault="00087245"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i/>
                <w:sz w:val="22"/>
                <w:szCs w:val="22"/>
              </w:rPr>
              <w:t>Eurobonds:</w:t>
            </w:r>
            <w:r w:rsidRPr="0001255B">
              <w:rPr>
                <w:rFonts w:ascii="Times" w:hAnsi="Times" w:cs="Arial"/>
                <w:sz w:val="22"/>
                <w:szCs w:val="22"/>
              </w:rPr>
              <w:t xml:space="preserve"> Focused more on international level; primarily made available to financial institutions, which may retain and sell bonds to clients.</w:t>
            </w:r>
          </w:p>
          <w:p w14:paraId="407BBC1F" w14:textId="77777777" w:rsidR="004C6182" w:rsidRPr="0001255B" w:rsidRDefault="004C6182" w:rsidP="00A92C3A">
            <w:pPr>
              <w:pStyle w:val="ListParagraph"/>
              <w:numPr>
                <w:ilvl w:val="0"/>
                <w:numId w:val="27"/>
              </w:numPr>
              <w:spacing w:before="60" w:after="60"/>
              <w:ind w:left="317" w:hanging="283"/>
              <w:contextualSpacing w:val="0"/>
              <w:rPr>
                <w:rFonts w:ascii="Times" w:hAnsi="Times" w:cs="Arial"/>
                <w:sz w:val="22"/>
                <w:szCs w:val="22"/>
              </w:rPr>
            </w:pPr>
            <w:r w:rsidRPr="0001255B">
              <w:rPr>
                <w:rFonts w:ascii="Times" w:hAnsi="Times" w:cs="Arial"/>
                <w:i/>
                <w:sz w:val="22"/>
                <w:szCs w:val="22"/>
              </w:rPr>
              <w:t xml:space="preserve">Deep Discount Bonds: </w:t>
            </w:r>
            <w:r w:rsidRPr="0001255B">
              <w:rPr>
                <w:rFonts w:ascii="Times" w:hAnsi="Times" w:cs="Arial"/>
                <w:sz w:val="22"/>
                <w:szCs w:val="22"/>
              </w:rPr>
              <w:t xml:space="preserve">Little or no interest received during the loan; appealing for businesses with short-term cash-flow problems; appeal primarily to investors with no short-term cash-flow needs, thus limiting potential investor base; </w:t>
            </w:r>
          </w:p>
        </w:tc>
      </w:tr>
    </w:tbl>
    <w:p w14:paraId="460ACF35" w14:textId="38DBA9E2" w:rsidR="00087245" w:rsidRDefault="00F055D8" w:rsidP="00F055D8">
      <w:pPr>
        <w:spacing w:before="120"/>
        <w:rPr>
          <w:rFonts w:ascii="Times" w:hAnsi="Times" w:cs="Arial"/>
          <w:sz w:val="22"/>
          <w:szCs w:val="22"/>
        </w:rPr>
      </w:pPr>
      <w:r>
        <w:rPr>
          <w:rFonts w:ascii="Times" w:hAnsi="Times" w:cs="Arial"/>
          <w:sz w:val="22"/>
          <w:szCs w:val="22"/>
        </w:rPr>
        <w:t xml:space="preserve">Source: </w:t>
      </w:r>
      <w:proofErr w:type="spellStart"/>
      <w:r>
        <w:rPr>
          <w:rFonts w:ascii="Times" w:hAnsi="Times" w:cs="Arial"/>
          <w:sz w:val="22"/>
          <w:szCs w:val="22"/>
        </w:rPr>
        <w:t>Atrill</w:t>
      </w:r>
      <w:proofErr w:type="spellEnd"/>
      <w:r>
        <w:rPr>
          <w:rFonts w:ascii="Times" w:hAnsi="Times" w:cs="Arial"/>
          <w:sz w:val="22"/>
          <w:szCs w:val="22"/>
        </w:rPr>
        <w:t xml:space="preserve"> 2012 &amp; 2013.</w:t>
      </w:r>
    </w:p>
    <w:p w14:paraId="27BBF780" w14:textId="77777777" w:rsidR="00087245" w:rsidRPr="00711310" w:rsidRDefault="00087245" w:rsidP="0001255B">
      <w:pPr>
        <w:rPr>
          <w:rFonts w:ascii="Times" w:hAnsi="Times" w:cs="Arial"/>
          <w:sz w:val="22"/>
          <w:szCs w:val="22"/>
        </w:rPr>
      </w:pPr>
    </w:p>
    <w:p w14:paraId="7112BBC5" w14:textId="77777777" w:rsidR="00087245" w:rsidRPr="00711310" w:rsidRDefault="00087245" w:rsidP="0001255B">
      <w:pPr>
        <w:rPr>
          <w:rFonts w:ascii="Times" w:hAnsi="Times"/>
          <w:sz w:val="22"/>
          <w:szCs w:val="22"/>
        </w:rPr>
        <w:sectPr w:rsidR="00087245" w:rsidRPr="00711310" w:rsidSect="008206B9">
          <w:pgSz w:w="12240" w:h="15840"/>
          <w:pgMar w:top="1440" w:right="1440" w:bottom="1440" w:left="1440" w:header="708" w:footer="708" w:gutter="0"/>
          <w:cols w:space="708"/>
          <w:docGrid w:linePitch="360"/>
        </w:sectPr>
      </w:pPr>
    </w:p>
    <w:p w14:paraId="76BA5F56" w14:textId="77777777" w:rsidR="00EC293C" w:rsidRPr="00711310" w:rsidRDefault="006A01E8" w:rsidP="00C7553C">
      <w:pPr>
        <w:pStyle w:val="Heading1"/>
        <w:spacing w:before="0"/>
        <w:jc w:val="center"/>
        <w:rPr>
          <w:rFonts w:ascii="Times" w:hAnsi="Times" w:cs="Arial"/>
          <w:sz w:val="22"/>
          <w:szCs w:val="22"/>
          <w:u w:val="single"/>
        </w:rPr>
      </w:pPr>
      <w:bookmarkStart w:id="51" w:name="_Toc535615946"/>
      <w:r w:rsidRPr="00711310">
        <w:rPr>
          <w:rFonts w:ascii="Times" w:hAnsi="Times" w:cs="Arial"/>
          <w:color w:val="000000" w:themeColor="text1"/>
          <w:sz w:val="22"/>
          <w:szCs w:val="22"/>
          <w:u w:val="single"/>
        </w:rPr>
        <w:lastRenderedPageBreak/>
        <w:t>Bibliography</w:t>
      </w:r>
      <w:bookmarkEnd w:id="51"/>
    </w:p>
    <w:p w14:paraId="66E8604C" w14:textId="77777777" w:rsidR="00EC293C" w:rsidRPr="00711310" w:rsidRDefault="00EC293C" w:rsidP="00EC293C">
      <w:pPr>
        <w:rPr>
          <w:rFonts w:ascii="Times" w:hAnsi="Times" w:cs="Arial"/>
          <w:b/>
          <w:sz w:val="22"/>
          <w:szCs w:val="22"/>
        </w:rPr>
      </w:pPr>
    </w:p>
    <w:p w14:paraId="454B1D5B" w14:textId="77777777" w:rsidR="00050058" w:rsidRPr="00711310" w:rsidRDefault="00050058" w:rsidP="00050058">
      <w:pPr>
        <w:ind w:left="567" w:hanging="567"/>
        <w:rPr>
          <w:rFonts w:ascii="Times" w:hAnsi="Times"/>
          <w:sz w:val="22"/>
          <w:szCs w:val="22"/>
        </w:rPr>
      </w:pPr>
      <w:proofErr w:type="spellStart"/>
      <w:r w:rsidRPr="00711310">
        <w:rPr>
          <w:rFonts w:ascii="Times" w:hAnsi="Times"/>
          <w:sz w:val="22"/>
          <w:szCs w:val="22"/>
        </w:rPr>
        <w:t>Atrill</w:t>
      </w:r>
      <w:proofErr w:type="spellEnd"/>
      <w:r w:rsidRPr="00711310">
        <w:rPr>
          <w:rFonts w:ascii="Times" w:hAnsi="Times"/>
          <w:sz w:val="22"/>
          <w:szCs w:val="22"/>
        </w:rPr>
        <w:t xml:space="preserve">, P. (2012). </w:t>
      </w:r>
      <w:r w:rsidRPr="00711310">
        <w:rPr>
          <w:rFonts w:ascii="Times" w:hAnsi="Times"/>
          <w:i/>
          <w:sz w:val="22"/>
          <w:szCs w:val="22"/>
        </w:rPr>
        <w:t xml:space="preserve">Financial Management for Decision Makers, Sixth Ed. </w:t>
      </w:r>
      <w:r w:rsidRPr="00711310">
        <w:rPr>
          <w:rFonts w:ascii="Times" w:hAnsi="Times"/>
          <w:sz w:val="22"/>
          <w:szCs w:val="22"/>
        </w:rPr>
        <w:t>Essex: Pearson Education Limited.</w:t>
      </w:r>
    </w:p>
    <w:p w14:paraId="6DB212A2" w14:textId="77777777" w:rsidR="00050058" w:rsidRPr="00711310" w:rsidRDefault="00050058" w:rsidP="00050058">
      <w:pPr>
        <w:ind w:left="567" w:hanging="567"/>
        <w:rPr>
          <w:rFonts w:ascii="Times" w:hAnsi="Times"/>
          <w:sz w:val="22"/>
          <w:szCs w:val="22"/>
        </w:rPr>
      </w:pPr>
      <w:proofErr w:type="spellStart"/>
      <w:r w:rsidRPr="00711310">
        <w:rPr>
          <w:rFonts w:ascii="Times" w:hAnsi="Times"/>
          <w:sz w:val="22"/>
          <w:szCs w:val="22"/>
        </w:rPr>
        <w:t>Atrill</w:t>
      </w:r>
      <w:proofErr w:type="spellEnd"/>
      <w:r w:rsidRPr="00711310">
        <w:rPr>
          <w:rFonts w:ascii="Times" w:hAnsi="Times"/>
          <w:sz w:val="22"/>
          <w:szCs w:val="22"/>
        </w:rPr>
        <w:t xml:space="preserve">, P. &amp; </w:t>
      </w:r>
      <w:proofErr w:type="spellStart"/>
      <w:r w:rsidRPr="00711310">
        <w:rPr>
          <w:rFonts w:ascii="Times" w:hAnsi="Times"/>
          <w:sz w:val="22"/>
          <w:szCs w:val="22"/>
        </w:rPr>
        <w:t>McLaney</w:t>
      </w:r>
      <w:proofErr w:type="spellEnd"/>
      <w:r w:rsidRPr="00711310">
        <w:rPr>
          <w:rFonts w:ascii="Times" w:hAnsi="Times"/>
          <w:sz w:val="22"/>
          <w:szCs w:val="22"/>
        </w:rPr>
        <w:t xml:space="preserve">, E. (2013). </w:t>
      </w:r>
      <w:r w:rsidRPr="00711310">
        <w:rPr>
          <w:rFonts w:ascii="Times" w:hAnsi="Times"/>
          <w:i/>
          <w:sz w:val="22"/>
          <w:szCs w:val="22"/>
        </w:rPr>
        <w:t xml:space="preserve">Accounting and Finance for Non-Specialists, Eighth Edition. </w:t>
      </w:r>
      <w:r w:rsidRPr="00711310">
        <w:rPr>
          <w:rFonts w:ascii="Times" w:hAnsi="Times"/>
          <w:sz w:val="22"/>
          <w:szCs w:val="22"/>
        </w:rPr>
        <w:t>Essex: Pearson Education Limited.</w:t>
      </w:r>
    </w:p>
    <w:p w14:paraId="468CEE8C" w14:textId="77777777" w:rsidR="001838BB" w:rsidRPr="00711310" w:rsidRDefault="001838BB" w:rsidP="001838BB">
      <w:pPr>
        <w:ind w:left="567" w:hanging="567"/>
        <w:rPr>
          <w:rFonts w:ascii="Times" w:hAnsi="Times"/>
          <w:sz w:val="22"/>
          <w:szCs w:val="22"/>
        </w:rPr>
      </w:pPr>
      <w:r w:rsidRPr="00711310">
        <w:rPr>
          <w:rFonts w:ascii="Times" w:hAnsi="Times"/>
          <w:sz w:val="22"/>
          <w:szCs w:val="22"/>
        </w:rPr>
        <w:t xml:space="preserve">Blitz, S. (2018). How to Calculate Year-Over-Year Growth. </w:t>
      </w:r>
      <w:proofErr w:type="spellStart"/>
      <w:r w:rsidRPr="00711310">
        <w:rPr>
          <w:rFonts w:ascii="Times" w:hAnsi="Times"/>
          <w:i/>
          <w:sz w:val="22"/>
          <w:szCs w:val="22"/>
        </w:rPr>
        <w:t>Sisense</w:t>
      </w:r>
      <w:proofErr w:type="spellEnd"/>
      <w:r w:rsidRPr="00711310">
        <w:rPr>
          <w:rFonts w:ascii="Times" w:hAnsi="Times"/>
          <w:i/>
          <w:sz w:val="22"/>
          <w:szCs w:val="22"/>
        </w:rPr>
        <w:t xml:space="preserve"> – Business Perspectives Blog. </w:t>
      </w:r>
      <w:r w:rsidRPr="00711310">
        <w:rPr>
          <w:rFonts w:ascii="Times" w:hAnsi="Times"/>
          <w:sz w:val="22"/>
          <w:szCs w:val="22"/>
        </w:rPr>
        <w:t xml:space="preserve">Retrieved 4 December 2018 from: &lt; </w:t>
      </w:r>
      <w:hyperlink r:id="rId23" w:history="1">
        <w:r w:rsidRPr="00711310">
          <w:rPr>
            <w:rStyle w:val="Hyperlink"/>
            <w:rFonts w:ascii="Times" w:eastAsiaTheme="majorEastAsia" w:hAnsi="Times"/>
            <w:sz w:val="22"/>
            <w:szCs w:val="22"/>
          </w:rPr>
          <w:t>https://www.sisense.com/blog/calculate-year-year-growth/</w:t>
        </w:r>
      </w:hyperlink>
      <w:r w:rsidRPr="00711310">
        <w:rPr>
          <w:rFonts w:ascii="Times" w:hAnsi="Times"/>
          <w:sz w:val="22"/>
          <w:szCs w:val="22"/>
        </w:rPr>
        <w:t xml:space="preserve">&gt; </w:t>
      </w:r>
    </w:p>
    <w:p w14:paraId="27A847B4" w14:textId="77777777" w:rsidR="001838BB" w:rsidRPr="00711310" w:rsidRDefault="001838BB" w:rsidP="001838BB">
      <w:pPr>
        <w:spacing w:line="0" w:lineRule="auto"/>
        <w:rPr>
          <w:rFonts w:ascii="Times" w:hAnsi="Times"/>
          <w:color w:val="231F20"/>
          <w:sz w:val="22"/>
          <w:szCs w:val="22"/>
        </w:rPr>
      </w:pPr>
      <w:r w:rsidRPr="00711310">
        <w:rPr>
          <w:rFonts w:ascii="Times" w:hAnsi="Times"/>
          <w:color w:val="231F20"/>
          <w:sz w:val="22"/>
          <w:szCs w:val="22"/>
        </w:rPr>
        <w:t xml:space="preserve">Davis, Barry B. (1976) Ratio Analysis: Applications </w:t>
      </w:r>
    </w:p>
    <w:p w14:paraId="7DD38BDE" w14:textId="77777777" w:rsidR="001838BB" w:rsidRPr="00711310" w:rsidRDefault="001838BB" w:rsidP="001838BB">
      <w:pPr>
        <w:spacing w:line="0" w:lineRule="auto"/>
        <w:rPr>
          <w:rFonts w:ascii="Times" w:hAnsi="Times"/>
          <w:color w:val="231F20"/>
          <w:sz w:val="22"/>
          <w:szCs w:val="22"/>
        </w:rPr>
      </w:pPr>
      <w:r w:rsidRPr="00711310">
        <w:rPr>
          <w:rFonts w:ascii="Times" w:hAnsi="Times"/>
          <w:color w:val="231F20"/>
          <w:sz w:val="22"/>
          <w:szCs w:val="22"/>
        </w:rPr>
        <w:t xml:space="preserve">Limitations and Dangers - A Perspective, The </w:t>
      </w:r>
    </w:p>
    <w:p w14:paraId="37A9CECB" w14:textId="77777777" w:rsidR="001838BB" w:rsidRPr="00711310" w:rsidRDefault="001838BB" w:rsidP="001838BB">
      <w:pPr>
        <w:spacing w:line="0" w:lineRule="auto"/>
        <w:rPr>
          <w:rFonts w:ascii="Times" w:hAnsi="Times"/>
          <w:color w:val="231F20"/>
          <w:sz w:val="22"/>
          <w:szCs w:val="22"/>
        </w:rPr>
      </w:pPr>
      <w:r w:rsidRPr="00711310">
        <w:rPr>
          <w:rFonts w:ascii="Times" w:hAnsi="Times"/>
          <w:color w:val="231F20"/>
          <w:sz w:val="22"/>
          <w:szCs w:val="22"/>
        </w:rPr>
        <w:t xml:space="preserve">Securities Institute Journal, pp. 11-18. </w:t>
      </w:r>
    </w:p>
    <w:p w14:paraId="086F0110" w14:textId="77777777" w:rsidR="001838BB" w:rsidRPr="00711310" w:rsidRDefault="001838BB" w:rsidP="001838BB">
      <w:pPr>
        <w:spacing w:line="0" w:lineRule="auto"/>
        <w:rPr>
          <w:rFonts w:ascii="Times" w:hAnsi="Times"/>
          <w:color w:val="231F20"/>
          <w:sz w:val="22"/>
          <w:szCs w:val="22"/>
        </w:rPr>
      </w:pPr>
      <w:r w:rsidRPr="00711310">
        <w:rPr>
          <w:rFonts w:ascii="Times" w:hAnsi="Times"/>
          <w:color w:val="231F20"/>
          <w:sz w:val="22"/>
          <w:szCs w:val="22"/>
        </w:rPr>
        <w:t xml:space="preserve">Davis, Barry B. (1976) Ratio Analysis: Applications </w:t>
      </w:r>
    </w:p>
    <w:p w14:paraId="258888F3" w14:textId="77777777" w:rsidR="001838BB" w:rsidRPr="00711310" w:rsidRDefault="001838BB" w:rsidP="001838BB">
      <w:pPr>
        <w:spacing w:line="0" w:lineRule="auto"/>
        <w:rPr>
          <w:rFonts w:ascii="Times" w:hAnsi="Times"/>
          <w:color w:val="231F20"/>
          <w:sz w:val="22"/>
          <w:szCs w:val="22"/>
        </w:rPr>
      </w:pPr>
      <w:r w:rsidRPr="00711310">
        <w:rPr>
          <w:rFonts w:ascii="Times" w:hAnsi="Times"/>
          <w:color w:val="231F20"/>
          <w:sz w:val="22"/>
          <w:szCs w:val="22"/>
        </w:rPr>
        <w:t xml:space="preserve">Limitations and Dangers - A Perspective, The </w:t>
      </w:r>
    </w:p>
    <w:p w14:paraId="6CAD11B3" w14:textId="7D0638FD" w:rsidR="001838BB" w:rsidRPr="00711310" w:rsidRDefault="001838BB" w:rsidP="001838BB">
      <w:pPr>
        <w:spacing w:line="0" w:lineRule="auto"/>
        <w:rPr>
          <w:rFonts w:ascii="Times" w:hAnsi="Times"/>
          <w:color w:val="231F20"/>
          <w:sz w:val="22"/>
          <w:szCs w:val="22"/>
        </w:rPr>
      </w:pPr>
      <w:r w:rsidRPr="00711310">
        <w:rPr>
          <w:rFonts w:ascii="Times" w:hAnsi="Times"/>
          <w:color w:val="231F20"/>
          <w:sz w:val="22"/>
          <w:szCs w:val="22"/>
        </w:rPr>
        <w:t xml:space="preserve">Securities Institute Journal, pp. 11-18. </w:t>
      </w:r>
    </w:p>
    <w:p w14:paraId="6381C43D" w14:textId="77777777" w:rsidR="00050058" w:rsidRPr="00711310" w:rsidRDefault="00050058" w:rsidP="00050058">
      <w:pPr>
        <w:ind w:left="567" w:hanging="567"/>
        <w:rPr>
          <w:rFonts w:ascii="Times" w:hAnsi="Times"/>
          <w:sz w:val="22"/>
          <w:szCs w:val="22"/>
        </w:rPr>
      </w:pPr>
      <w:r w:rsidRPr="00711310">
        <w:rPr>
          <w:rFonts w:ascii="Times" w:hAnsi="Times"/>
          <w:sz w:val="22"/>
          <w:szCs w:val="22"/>
        </w:rPr>
        <w:t xml:space="preserve">Cohen, G. &amp; </w:t>
      </w:r>
      <w:proofErr w:type="spellStart"/>
      <w:r w:rsidRPr="00711310">
        <w:rPr>
          <w:rFonts w:ascii="Times" w:hAnsi="Times"/>
          <w:sz w:val="22"/>
          <w:szCs w:val="22"/>
        </w:rPr>
        <w:t>Yagil</w:t>
      </w:r>
      <w:proofErr w:type="spellEnd"/>
      <w:r w:rsidRPr="00711310">
        <w:rPr>
          <w:rFonts w:ascii="Times" w:hAnsi="Times"/>
          <w:sz w:val="22"/>
          <w:szCs w:val="22"/>
        </w:rPr>
        <w:t xml:space="preserve">, J. (2007). A Multinational Survey of Corporate Financial Policies. </w:t>
      </w:r>
      <w:r w:rsidRPr="00711310">
        <w:rPr>
          <w:rFonts w:ascii="Times" w:hAnsi="Times"/>
          <w:i/>
          <w:sz w:val="22"/>
          <w:szCs w:val="22"/>
        </w:rPr>
        <w:t>Journal of Applied Finance 17</w:t>
      </w:r>
      <w:r w:rsidRPr="00711310">
        <w:rPr>
          <w:rFonts w:ascii="Times" w:hAnsi="Times"/>
          <w:sz w:val="22"/>
          <w:szCs w:val="22"/>
        </w:rPr>
        <w:t>(1), p. 57-69.</w:t>
      </w:r>
    </w:p>
    <w:p w14:paraId="04524DE0" w14:textId="77777777" w:rsidR="00050058" w:rsidRPr="00711310" w:rsidRDefault="00050058" w:rsidP="00050058">
      <w:pPr>
        <w:ind w:left="567" w:hanging="567"/>
        <w:rPr>
          <w:rFonts w:ascii="Times" w:hAnsi="Times"/>
          <w:sz w:val="22"/>
          <w:szCs w:val="22"/>
        </w:rPr>
      </w:pPr>
      <w:r w:rsidRPr="00711310">
        <w:rPr>
          <w:rFonts w:ascii="Times" w:hAnsi="Times"/>
          <w:sz w:val="22"/>
          <w:szCs w:val="22"/>
        </w:rPr>
        <w:t xml:space="preserve">Crook, S. &amp; </w:t>
      </w:r>
      <w:proofErr w:type="spellStart"/>
      <w:r w:rsidRPr="00711310">
        <w:rPr>
          <w:rFonts w:ascii="Times" w:hAnsi="Times"/>
          <w:sz w:val="22"/>
          <w:szCs w:val="22"/>
        </w:rPr>
        <w:t>Pinder</w:t>
      </w:r>
      <w:proofErr w:type="spellEnd"/>
      <w:r w:rsidRPr="00711310">
        <w:rPr>
          <w:rFonts w:ascii="Times" w:hAnsi="Times"/>
          <w:sz w:val="22"/>
          <w:szCs w:val="22"/>
        </w:rPr>
        <w:t xml:space="preserve">, R. (2019). Finance Technology. </w:t>
      </w:r>
      <w:r w:rsidRPr="00711310">
        <w:rPr>
          <w:rFonts w:ascii="Times" w:hAnsi="Times" w:cs="Arial"/>
          <w:color w:val="000000"/>
          <w:sz w:val="22"/>
          <w:szCs w:val="22"/>
        </w:rPr>
        <w:t>Retrieved 15 January 2019 from: &lt;</w:t>
      </w:r>
      <w:hyperlink r:id="rId24" w:history="1">
        <w:r w:rsidRPr="00711310">
          <w:rPr>
            <w:rStyle w:val="Hyperlink"/>
            <w:rFonts w:ascii="Times" w:hAnsi="Times"/>
            <w:sz w:val="22"/>
            <w:szCs w:val="22"/>
          </w:rPr>
          <w:t>https://www.pwc.co.uk/services/consulting/finance/finance-technology.html</w:t>
        </w:r>
      </w:hyperlink>
      <w:r w:rsidRPr="00711310">
        <w:rPr>
          <w:rFonts w:ascii="Times" w:hAnsi="Times"/>
          <w:sz w:val="22"/>
          <w:szCs w:val="22"/>
        </w:rPr>
        <w:t>&gt;</w:t>
      </w:r>
    </w:p>
    <w:p w14:paraId="72C52D81" w14:textId="03841ECA" w:rsidR="001838BB" w:rsidRPr="00711310" w:rsidRDefault="001838BB" w:rsidP="001838BB">
      <w:pPr>
        <w:ind w:left="567" w:hanging="567"/>
        <w:rPr>
          <w:rFonts w:ascii="Times" w:hAnsi="Times"/>
          <w:sz w:val="22"/>
          <w:szCs w:val="22"/>
        </w:rPr>
      </w:pPr>
      <w:r w:rsidRPr="00711310">
        <w:rPr>
          <w:rFonts w:ascii="Times" w:hAnsi="Times"/>
          <w:sz w:val="22"/>
          <w:szCs w:val="22"/>
        </w:rPr>
        <w:t xml:space="preserve">Davis, B. (1976). Ratio Analysis: Applications Limitations and Dangers - A Perspective. </w:t>
      </w:r>
      <w:r w:rsidRPr="00711310">
        <w:rPr>
          <w:rFonts w:ascii="Times" w:hAnsi="Times"/>
          <w:i/>
          <w:sz w:val="22"/>
          <w:szCs w:val="22"/>
        </w:rPr>
        <w:t>The Securities Institute Journal</w:t>
      </w:r>
      <w:r w:rsidRPr="00711310">
        <w:rPr>
          <w:rFonts w:ascii="Times" w:hAnsi="Times"/>
          <w:sz w:val="22"/>
          <w:szCs w:val="22"/>
        </w:rPr>
        <w:t>, p. 11-18.</w:t>
      </w:r>
    </w:p>
    <w:p w14:paraId="64824B90" w14:textId="77777777" w:rsidR="00050058" w:rsidRPr="00711310" w:rsidRDefault="00050058" w:rsidP="00050058">
      <w:pPr>
        <w:ind w:left="567" w:hanging="567"/>
        <w:rPr>
          <w:rFonts w:ascii="Times" w:hAnsi="Times"/>
          <w:sz w:val="22"/>
          <w:szCs w:val="22"/>
        </w:rPr>
      </w:pPr>
      <w:r w:rsidRPr="00711310">
        <w:rPr>
          <w:rFonts w:ascii="Times" w:hAnsi="Times"/>
          <w:sz w:val="22"/>
          <w:szCs w:val="22"/>
        </w:rPr>
        <w:t xml:space="preserve">Denning, S. (2014). Why the World’s Dumbest Idea Is (Finally) Dying. </w:t>
      </w:r>
      <w:r w:rsidRPr="00711310">
        <w:rPr>
          <w:rFonts w:ascii="Times" w:hAnsi="Times"/>
          <w:i/>
          <w:sz w:val="22"/>
          <w:szCs w:val="22"/>
        </w:rPr>
        <w:t xml:space="preserve">Forbes. </w:t>
      </w:r>
      <w:r w:rsidRPr="00711310">
        <w:rPr>
          <w:rFonts w:ascii="Times" w:hAnsi="Times" w:cs="Arial"/>
          <w:color w:val="000000"/>
          <w:sz w:val="22"/>
          <w:szCs w:val="22"/>
        </w:rPr>
        <w:t>Retrieved 15 January 2019 from: &lt;</w:t>
      </w:r>
      <w:hyperlink r:id="rId25" w:anchor="62652a0b104e" w:history="1">
        <w:r w:rsidRPr="00711310">
          <w:rPr>
            <w:rStyle w:val="Hyperlink"/>
            <w:rFonts w:ascii="Times" w:hAnsi="Times" w:cs="Arial"/>
            <w:sz w:val="22"/>
            <w:szCs w:val="22"/>
          </w:rPr>
          <w:t>https://www.forbes.com/sites/stevedenning/2014/06/17/why-the-worlds-dumbest-idea-is-finally-dying/#62652a0b104e</w:t>
        </w:r>
      </w:hyperlink>
      <w:r w:rsidRPr="00711310">
        <w:rPr>
          <w:rFonts w:ascii="Times" w:hAnsi="Times" w:cs="Arial"/>
          <w:color w:val="000000"/>
          <w:sz w:val="22"/>
          <w:szCs w:val="22"/>
        </w:rPr>
        <w:t xml:space="preserve">) </w:t>
      </w:r>
    </w:p>
    <w:p w14:paraId="7599AE33" w14:textId="77777777" w:rsidR="00050058" w:rsidRPr="00711310" w:rsidRDefault="00050058" w:rsidP="00050058">
      <w:pPr>
        <w:ind w:left="567" w:hanging="567"/>
        <w:rPr>
          <w:rFonts w:ascii="Times" w:hAnsi="Times"/>
          <w:sz w:val="22"/>
          <w:szCs w:val="22"/>
        </w:rPr>
      </w:pPr>
      <w:r w:rsidRPr="00711310">
        <w:rPr>
          <w:rFonts w:ascii="Times" w:hAnsi="Times"/>
          <w:sz w:val="22"/>
          <w:szCs w:val="22"/>
        </w:rPr>
        <w:t xml:space="preserve">Drury, C. (2012). </w:t>
      </w:r>
      <w:r w:rsidRPr="00711310">
        <w:rPr>
          <w:rFonts w:ascii="Times" w:hAnsi="Times"/>
          <w:i/>
          <w:sz w:val="22"/>
          <w:szCs w:val="22"/>
        </w:rPr>
        <w:t>Management and Cost Accounting,8</w:t>
      </w:r>
      <w:r w:rsidRPr="00711310">
        <w:rPr>
          <w:rFonts w:ascii="Times" w:hAnsi="Times"/>
          <w:i/>
          <w:sz w:val="22"/>
          <w:szCs w:val="22"/>
          <w:vertAlign w:val="superscript"/>
        </w:rPr>
        <w:t>th</w:t>
      </w:r>
      <w:r w:rsidRPr="00711310">
        <w:rPr>
          <w:rFonts w:ascii="Times" w:hAnsi="Times"/>
          <w:i/>
          <w:sz w:val="22"/>
          <w:szCs w:val="22"/>
        </w:rPr>
        <w:t xml:space="preserve"> Edition. </w:t>
      </w:r>
      <w:proofErr w:type="spellStart"/>
      <w:r w:rsidRPr="00711310">
        <w:rPr>
          <w:rFonts w:ascii="Times" w:hAnsi="Times"/>
          <w:sz w:val="22"/>
          <w:szCs w:val="22"/>
        </w:rPr>
        <w:t>Hapshire</w:t>
      </w:r>
      <w:proofErr w:type="spellEnd"/>
      <w:r w:rsidRPr="00711310">
        <w:rPr>
          <w:rFonts w:ascii="Times" w:hAnsi="Times"/>
          <w:sz w:val="22"/>
          <w:szCs w:val="22"/>
        </w:rPr>
        <w:t>, UK: Cengage Learning EMEA.</w:t>
      </w:r>
    </w:p>
    <w:p w14:paraId="23BCC108" w14:textId="77777777" w:rsidR="00050058" w:rsidRPr="00711310" w:rsidRDefault="00050058" w:rsidP="00050058">
      <w:pPr>
        <w:ind w:left="567" w:hanging="567"/>
        <w:rPr>
          <w:rFonts w:ascii="Times" w:hAnsi="Times"/>
          <w:sz w:val="22"/>
          <w:szCs w:val="22"/>
        </w:rPr>
      </w:pPr>
      <w:r w:rsidRPr="00711310">
        <w:rPr>
          <w:rFonts w:ascii="Times" w:hAnsi="Times"/>
          <w:sz w:val="22"/>
          <w:szCs w:val="22"/>
        </w:rPr>
        <w:t xml:space="preserve">Dunstan, R. (no date). Capital Investment Appraisal. </w:t>
      </w:r>
      <w:r w:rsidRPr="00711310">
        <w:rPr>
          <w:rFonts w:ascii="Times" w:hAnsi="Times"/>
          <w:i/>
          <w:sz w:val="22"/>
          <w:szCs w:val="22"/>
        </w:rPr>
        <w:t xml:space="preserve">Financial Management Course (SBMA7100D) </w:t>
      </w:r>
      <w:proofErr w:type="spellStart"/>
      <w:r w:rsidRPr="00711310">
        <w:rPr>
          <w:rFonts w:ascii="Times" w:hAnsi="Times"/>
          <w:i/>
          <w:sz w:val="22"/>
          <w:szCs w:val="22"/>
        </w:rPr>
        <w:t>Powerpoint</w:t>
      </w:r>
      <w:proofErr w:type="spellEnd"/>
      <w:r w:rsidRPr="00711310">
        <w:rPr>
          <w:rFonts w:ascii="Times" w:hAnsi="Times"/>
          <w:i/>
          <w:sz w:val="22"/>
          <w:szCs w:val="22"/>
        </w:rPr>
        <w:t xml:space="preserve"> Presentation, Slides 34-35 &amp; 47. </w:t>
      </w:r>
      <w:r w:rsidRPr="00711310">
        <w:rPr>
          <w:rFonts w:ascii="Times" w:hAnsi="Times"/>
          <w:sz w:val="22"/>
          <w:szCs w:val="22"/>
        </w:rPr>
        <w:t>University of Wales Trinity Saint David.</w:t>
      </w:r>
    </w:p>
    <w:p w14:paraId="1B4615F7" w14:textId="77777777" w:rsidR="00050058" w:rsidRPr="00711310" w:rsidRDefault="00050058" w:rsidP="00050058">
      <w:pPr>
        <w:ind w:left="567" w:hanging="567"/>
        <w:rPr>
          <w:rFonts w:ascii="Times" w:hAnsi="Times"/>
          <w:sz w:val="22"/>
          <w:szCs w:val="22"/>
        </w:rPr>
      </w:pPr>
      <w:r w:rsidRPr="00711310">
        <w:rPr>
          <w:rFonts w:ascii="Times" w:hAnsi="Times"/>
          <w:sz w:val="22"/>
          <w:szCs w:val="22"/>
        </w:rPr>
        <w:t>EasyJet PLC. (2008). Annual Report and Accounts 2008.</w:t>
      </w:r>
    </w:p>
    <w:p w14:paraId="033C35B2" w14:textId="00BDDE80" w:rsidR="00E56CF0" w:rsidRPr="00711310" w:rsidRDefault="00050058" w:rsidP="00E56CF0">
      <w:pPr>
        <w:ind w:left="567" w:hanging="567"/>
        <w:rPr>
          <w:rFonts w:ascii="Times" w:hAnsi="Times"/>
          <w:sz w:val="22"/>
          <w:szCs w:val="22"/>
        </w:rPr>
      </w:pPr>
      <w:r w:rsidRPr="00711310">
        <w:rPr>
          <w:rFonts w:ascii="Times" w:hAnsi="Times"/>
          <w:sz w:val="22"/>
          <w:szCs w:val="22"/>
        </w:rPr>
        <w:t>EasyJet PLC. (2009). Annual Report and Accounts 2009.</w:t>
      </w:r>
    </w:p>
    <w:p w14:paraId="37E4A09E" w14:textId="77777777" w:rsidR="00E56CF0" w:rsidRPr="00711310" w:rsidRDefault="00E56CF0" w:rsidP="00E56CF0">
      <w:pPr>
        <w:ind w:left="567" w:hanging="567"/>
        <w:rPr>
          <w:rFonts w:ascii="Times" w:hAnsi="Times"/>
          <w:sz w:val="22"/>
          <w:szCs w:val="22"/>
        </w:rPr>
      </w:pPr>
      <w:r w:rsidRPr="00711310">
        <w:rPr>
          <w:rFonts w:ascii="Times" w:hAnsi="Times"/>
          <w:sz w:val="22"/>
          <w:szCs w:val="22"/>
        </w:rPr>
        <w:t>EasyJet PLC. (2014). Making Travel Easy and Affordable: Annual Report and Accounts 2014.</w:t>
      </w:r>
    </w:p>
    <w:p w14:paraId="58F2ABA7" w14:textId="77777777" w:rsidR="00E56CF0" w:rsidRPr="00711310" w:rsidRDefault="00E56CF0" w:rsidP="00E56CF0">
      <w:pPr>
        <w:ind w:left="567" w:hanging="567"/>
        <w:rPr>
          <w:rFonts w:ascii="Times" w:hAnsi="Times"/>
          <w:sz w:val="22"/>
          <w:szCs w:val="22"/>
        </w:rPr>
      </w:pPr>
      <w:r w:rsidRPr="00711310">
        <w:rPr>
          <w:rFonts w:ascii="Times" w:hAnsi="Times"/>
          <w:sz w:val="22"/>
          <w:szCs w:val="22"/>
        </w:rPr>
        <w:t>EasyJet PLC. (2015). How 20 Years Have Flown: Annual Report and Accounts 2015.</w:t>
      </w:r>
    </w:p>
    <w:p w14:paraId="70B00B31" w14:textId="77777777" w:rsidR="00E56CF0" w:rsidRPr="00711310" w:rsidRDefault="00E56CF0" w:rsidP="00E56CF0">
      <w:pPr>
        <w:ind w:left="567" w:hanging="567"/>
        <w:rPr>
          <w:rFonts w:ascii="Times" w:hAnsi="Times"/>
          <w:sz w:val="22"/>
          <w:szCs w:val="22"/>
        </w:rPr>
      </w:pPr>
      <w:r w:rsidRPr="00711310">
        <w:rPr>
          <w:rFonts w:ascii="Times" w:hAnsi="Times"/>
          <w:sz w:val="22"/>
          <w:szCs w:val="22"/>
        </w:rPr>
        <w:t xml:space="preserve">EasyJet PLC. (2016). Investing in our Strengths: Annual Report and Accounts 2016. </w:t>
      </w:r>
    </w:p>
    <w:p w14:paraId="2CAA5BBA" w14:textId="77777777" w:rsidR="00E56CF0" w:rsidRPr="00711310" w:rsidRDefault="00E56CF0" w:rsidP="00E56CF0">
      <w:pPr>
        <w:ind w:left="567" w:hanging="567"/>
        <w:rPr>
          <w:rFonts w:ascii="Times" w:hAnsi="Times"/>
          <w:sz w:val="22"/>
          <w:szCs w:val="22"/>
        </w:rPr>
      </w:pPr>
      <w:r w:rsidRPr="00711310">
        <w:rPr>
          <w:rFonts w:ascii="Times" w:hAnsi="Times"/>
          <w:sz w:val="22"/>
          <w:szCs w:val="22"/>
        </w:rPr>
        <w:t xml:space="preserve">EasyJet PLC. (2017). Purposeful and Disciplined Growth: Annual Report and Accounts 2017. </w:t>
      </w:r>
    </w:p>
    <w:p w14:paraId="1E8DAB0A" w14:textId="77777777" w:rsidR="00E56CF0" w:rsidRPr="00711310" w:rsidRDefault="00E56CF0" w:rsidP="00E56CF0">
      <w:pPr>
        <w:ind w:left="567" w:hanging="567"/>
        <w:rPr>
          <w:rFonts w:ascii="Times" w:hAnsi="Times"/>
          <w:sz w:val="22"/>
          <w:szCs w:val="22"/>
        </w:rPr>
      </w:pPr>
      <w:r w:rsidRPr="00711310">
        <w:rPr>
          <w:rFonts w:ascii="Times" w:hAnsi="Times"/>
          <w:sz w:val="22"/>
          <w:szCs w:val="22"/>
        </w:rPr>
        <w:t>EasyJet PLC. (2018). The Warmest Welcome in the Sky: Annual Report and Accounts 2018.</w:t>
      </w:r>
    </w:p>
    <w:p w14:paraId="3BE76883" w14:textId="77777777" w:rsidR="00E56CF0" w:rsidRPr="00711310" w:rsidRDefault="00E56CF0" w:rsidP="00E56CF0">
      <w:pPr>
        <w:ind w:left="567" w:hanging="567"/>
        <w:rPr>
          <w:rFonts w:ascii="Times" w:hAnsi="Times"/>
          <w:sz w:val="22"/>
          <w:szCs w:val="22"/>
        </w:rPr>
      </w:pPr>
      <w:r w:rsidRPr="00711310">
        <w:rPr>
          <w:rFonts w:ascii="Times" w:hAnsi="Times"/>
          <w:sz w:val="22"/>
          <w:szCs w:val="22"/>
        </w:rPr>
        <w:t xml:space="preserve">EasyJet PLC. (no date A). </w:t>
      </w:r>
      <w:r w:rsidRPr="00711310">
        <w:rPr>
          <w:rFonts w:ascii="Times" w:hAnsi="Times"/>
          <w:i/>
          <w:sz w:val="22"/>
          <w:szCs w:val="22"/>
        </w:rPr>
        <w:t>About: What we do.</w:t>
      </w:r>
      <w:r w:rsidRPr="00711310">
        <w:rPr>
          <w:rFonts w:ascii="Times" w:hAnsi="Times"/>
          <w:sz w:val="22"/>
          <w:szCs w:val="22"/>
        </w:rPr>
        <w:t xml:space="preserve"> Retrieved 4 December 2018 from: &lt;</w:t>
      </w:r>
      <w:hyperlink r:id="rId26" w:history="1">
        <w:r w:rsidRPr="00711310">
          <w:rPr>
            <w:rStyle w:val="Hyperlink"/>
            <w:rFonts w:ascii="Times" w:eastAsiaTheme="majorEastAsia" w:hAnsi="Times"/>
            <w:sz w:val="22"/>
            <w:szCs w:val="22"/>
          </w:rPr>
          <w:t>http://corporate.easyjet.com/about/what-we-do</w:t>
        </w:r>
      </w:hyperlink>
      <w:r w:rsidRPr="00711310">
        <w:rPr>
          <w:rFonts w:ascii="Times" w:hAnsi="Times"/>
          <w:sz w:val="22"/>
          <w:szCs w:val="22"/>
        </w:rPr>
        <w:t xml:space="preserve">&gt; </w:t>
      </w:r>
    </w:p>
    <w:p w14:paraId="37A1472D" w14:textId="77777777" w:rsidR="00E56CF0" w:rsidRPr="00711310" w:rsidRDefault="00E56CF0" w:rsidP="00E56CF0">
      <w:pPr>
        <w:ind w:left="567" w:hanging="567"/>
        <w:rPr>
          <w:rFonts w:ascii="Times" w:hAnsi="Times"/>
          <w:sz w:val="22"/>
          <w:szCs w:val="22"/>
        </w:rPr>
      </w:pPr>
      <w:r w:rsidRPr="00711310">
        <w:rPr>
          <w:rFonts w:ascii="Times" w:hAnsi="Times"/>
          <w:sz w:val="22"/>
          <w:szCs w:val="22"/>
        </w:rPr>
        <w:t xml:space="preserve">EasyJet PLC. (no date B). </w:t>
      </w:r>
      <w:r w:rsidRPr="00711310">
        <w:rPr>
          <w:rFonts w:ascii="Times" w:hAnsi="Times"/>
          <w:i/>
          <w:sz w:val="22"/>
          <w:szCs w:val="22"/>
        </w:rPr>
        <w:t xml:space="preserve">Corporate Responsibility: Our Commitment. </w:t>
      </w:r>
      <w:r w:rsidRPr="00711310">
        <w:rPr>
          <w:rFonts w:ascii="Times" w:hAnsi="Times"/>
          <w:color w:val="000000" w:themeColor="text1"/>
          <w:sz w:val="22"/>
          <w:szCs w:val="22"/>
        </w:rPr>
        <w:t xml:space="preserve">Retrieved </w:t>
      </w:r>
      <w:r w:rsidRPr="00711310">
        <w:rPr>
          <w:rFonts w:ascii="Times" w:hAnsi="Times"/>
          <w:sz w:val="22"/>
          <w:szCs w:val="22"/>
        </w:rPr>
        <w:t>4 December 2018 from: &lt;</w:t>
      </w:r>
      <w:hyperlink r:id="rId27" w:history="1">
        <w:r w:rsidRPr="00711310">
          <w:rPr>
            <w:rStyle w:val="Hyperlink"/>
            <w:rFonts w:ascii="Times" w:eastAsiaTheme="majorEastAsia" w:hAnsi="Times"/>
            <w:sz w:val="22"/>
            <w:szCs w:val="22"/>
          </w:rPr>
          <w:t>http://corporate.easyjet.com/corporate-responsibility/our-commitment</w:t>
        </w:r>
      </w:hyperlink>
      <w:r w:rsidRPr="00711310">
        <w:rPr>
          <w:rFonts w:ascii="Times" w:hAnsi="Times"/>
          <w:sz w:val="22"/>
          <w:szCs w:val="22"/>
        </w:rPr>
        <w:t xml:space="preserve">&gt; </w:t>
      </w:r>
    </w:p>
    <w:p w14:paraId="41345E2B" w14:textId="77777777" w:rsidR="00E56CF0" w:rsidRPr="00711310" w:rsidRDefault="00E56CF0" w:rsidP="00E56CF0">
      <w:pPr>
        <w:ind w:left="567" w:hanging="567"/>
        <w:rPr>
          <w:rFonts w:ascii="Times" w:hAnsi="Times"/>
          <w:sz w:val="22"/>
          <w:szCs w:val="22"/>
        </w:rPr>
      </w:pPr>
      <w:r w:rsidRPr="00711310">
        <w:rPr>
          <w:rFonts w:ascii="Times" w:hAnsi="Times"/>
          <w:sz w:val="22"/>
          <w:szCs w:val="22"/>
        </w:rPr>
        <w:t xml:space="preserve">EasyJet PLC. (no date C). </w:t>
      </w:r>
      <w:r w:rsidRPr="00711310">
        <w:rPr>
          <w:rFonts w:ascii="Times" w:hAnsi="Times"/>
          <w:i/>
          <w:sz w:val="22"/>
          <w:szCs w:val="22"/>
        </w:rPr>
        <w:t xml:space="preserve">Corporate Responsibility: Environment. </w:t>
      </w:r>
      <w:r w:rsidRPr="00711310">
        <w:rPr>
          <w:rFonts w:ascii="Times" w:hAnsi="Times"/>
          <w:color w:val="000000" w:themeColor="text1"/>
          <w:sz w:val="22"/>
          <w:szCs w:val="22"/>
        </w:rPr>
        <w:t xml:space="preserve">Retrieved </w:t>
      </w:r>
      <w:r w:rsidRPr="00711310">
        <w:rPr>
          <w:rFonts w:ascii="Times" w:hAnsi="Times"/>
          <w:sz w:val="22"/>
          <w:szCs w:val="22"/>
        </w:rPr>
        <w:t>4 December 2018 from: &lt;</w:t>
      </w:r>
      <w:hyperlink r:id="rId28" w:history="1">
        <w:r w:rsidRPr="00711310">
          <w:rPr>
            <w:rStyle w:val="Hyperlink"/>
            <w:rFonts w:ascii="Times" w:eastAsiaTheme="majorEastAsia" w:hAnsi="Times"/>
            <w:sz w:val="22"/>
            <w:szCs w:val="22"/>
          </w:rPr>
          <w:t>http://corporate.easyjet.com/corporate-responsibility/environment</w:t>
        </w:r>
      </w:hyperlink>
      <w:r w:rsidRPr="00711310">
        <w:rPr>
          <w:rFonts w:ascii="Times" w:hAnsi="Times"/>
          <w:sz w:val="22"/>
          <w:szCs w:val="22"/>
        </w:rPr>
        <w:t xml:space="preserve">&gt;  </w:t>
      </w:r>
    </w:p>
    <w:p w14:paraId="110D62C7" w14:textId="77777777" w:rsidR="00E56CF0" w:rsidRPr="00711310" w:rsidRDefault="00E56CF0" w:rsidP="00E56CF0">
      <w:pPr>
        <w:ind w:left="567" w:hanging="567"/>
        <w:rPr>
          <w:rFonts w:ascii="Times" w:hAnsi="Times"/>
          <w:sz w:val="22"/>
          <w:szCs w:val="22"/>
        </w:rPr>
      </w:pPr>
      <w:r w:rsidRPr="00711310">
        <w:rPr>
          <w:rFonts w:ascii="Times" w:hAnsi="Times"/>
          <w:sz w:val="22"/>
          <w:szCs w:val="22"/>
        </w:rPr>
        <w:t xml:space="preserve">EasyJet PLC. (no date D). </w:t>
      </w:r>
      <w:r w:rsidRPr="00711310">
        <w:rPr>
          <w:rFonts w:ascii="Times" w:hAnsi="Times"/>
          <w:i/>
          <w:sz w:val="22"/>
          <w:szCs w:val="22"/>
        </w:rPr>
        <w:t xml:space="preserve">Corporate Responsibility: Gender Pay Gap Report. </w:t>
      </w:r>
      <w:r w:rsidRPr="00711310">
        <w:rPr>
          <w:rFonts w:ascii="Times" w:hAnsi="Times"/>
          <w:color w:val="000000" w:themeColor="text1"/>
          <w:sz w:val="22"/>
          <w:szCs w:val="22"/>
        </w:rPr>
        <w:t xml:space="preserve">Retrieved </w:t>
      </w:r>
      <w:r w:rsidRPr="00711310">
        <w:rPr>
          <w:rFonts w:ascii="Times" w:hAnsi="Times"/>
          <w:sz w:val="22"/>
          <w:szCs w:val="22"/>
        </w:rPr>
        <w:t>4 December 2018 from: &lt;</w:t>
      </w:r>
      <w:hyperlink r:id="rId29" w:history="1">
        <w:r w:rsidRPr="00711310">
          <w:rPr>
            <w:rStyle w:val="Hyperlink"/>
            <w:rFonts w:ascii="Times" w:eastAsiaTheme="majorEastAsia" w:hAnsi="Times"/>
            <w:sz w:val="22"/>
            <w:szCs w:val="22"/>
          </w:rPr>
          <w:t>http://corporate.easyjet.com/~/media/Files/E/Easyjet/attachments/easyjet-gender-pay-gap-report-november-2017-v2</w:t>
        </w:r>
      </w:hyperlink>
      <w:r w:rsidRPr="00711310">
        <w:rPr>
          <w:rFonts w:ascii="Times" w:hAnsi="Times"/>
          <w:sz w:val="22"/>
          <w:szCs w:val="22"/>
        </w:rPr>
        <w:t xml:space="preserve">&gt;   </w:t>
      </w:r>
    </w:p>
    <w:p w14:paraId="499326E3" w14:textId="77777777" w:rsidR="00E56CF0" w:rsidRPr="00711310" w:rsidRDefault="00E56CF0" w:rsidP="00E56CF0">
      <w:pPr>
        <w:ind w:left="567" w:hanging="567"/>
        <w:rPr>
          <w:rFonts w:ascii="Times" w:hAnsi="Times"/>
          <w:sz w:val="22"/>
          <w:szCs w:val="22"/>
        </w:rPr>
      </w:pPr>
      <w:r w:rsidRPr="00711310">
        <w:rPr>
          <w:rFonts w:ascii="Times" w:hAnsi="Times"/>
          <w:sz w:val="22"/>
          <w:szCs w:val="22"/>
        </w:rPr>
        <w:t xml:space="preserve">EasyJet PLC. (no date E). </w:t>
      </w:r>
      <w:r w:rsidRPr="00711310">
        <w:rPr>
          <w:rFonts w:ascii="Times" w:hAnsi="Times"/>
          <w:i/>
          <w:sz w:val="22"/>
          <w:szCs w:val="22"/>
        </w:rPr>
        <w:t xml:space="preserve">Corporate Responsibility: Modern Slavery Act Statement. </w:t>
      </w:r>
      <w:r w:rsidRPr="00711310">
        <w:rPr>
          <w:rFonts w:ascii="Times" w:hAnsi="Times"/>
          <w:color w:val="000000" w:themeColor="text1"/>
          <w:sz w:val="22"/>
          <w:szCs w:val="22"/>
        </w:rPr>
        <w:t xml:space="preserve">Retrieved </w:t>
      </w:r>
      <w:r w:rsidRPr="00711310">
        <w:rPr>
          <w:rFonts w:ascii="Times" w:hAnsi="Times"/>
          <w:sz w:val="22"/>
          <w:szCs w:val="22"/>
        </w:rPr>
        <w:t>4 December 2018 from: &lt;</w:t>
      </w:r>
      <w:hyperlink r:id="rId30" w:history="1">
        <w:r w:rsidRPr="00711310">
          <w:rPr>
            <w:rStyle w:val="Hyperlink"/>
            <w:rFonts w:ascii="Times" w:eastAsiaTheme="majorEastAsia" w:hAnsi="Times"/>
            <w:sz w:val="22"/>
            <w:szCs w:val="22"/>
          </w:rPr>
          <w:t>http://corporate.easyjet.com/corporate-responsibility/modern-slavery-act-statement</w:t>
        </w:r>
      </w:hyperlink>
      <w:r w:rsidRPr="00711310">
        <w:rPr>
          <w:rFonts w:ascii="Times" w:hAnsi="Times"/>
          <w:sz w:val="22"/>
          <w:szCs w:val="22"/>
        </w:rPr>
        <w:t xml:space="preserve">&gt;   </w:t>
      </w:r>
    </w:p>
    <w:p w14:paraId="2D47ADF4" w14:textId="77777777" w:rsidR="00E56CF0" w:rsidRPr="00711310" w:rsidRDefault="00E56CF0" w:rsidP="00E56CF0">
      <w:pPr>
        <w:ind w:left="567" w:hanging="567"/>
        <w:rPr>
          <w:rFonts w:ascii="Times" w:hAnsi="Times"/>
          <w:sz w:val="22"/>
          <w:szCs w:val="22"/>
        </w:rPr>
      </w:pPr>
      <w:r w:rsidRPr="00711310">
        <w:rPr>
          <w:rFonts w:ascii="Times" w:hAnsi="Times"/>
          <w:sz w:val="22"/>
          <w:szCs w:val="22"/>
        </w:rPr>
        <w:t xml:space="preserve">EasyJet PLC. (no date F). </w:t>
      </w:r>
      <w:r w:rsidRPr="00711310">
        <w:rPr>
          <w:rFonts w:ascii="Times" w:hAnsi="Times"/>
          <w:i/>
          <w:sz w:val="22"/>
          <w:szCs w:val="22"/>
        </w:rPr>
        <w:t>Investors: Governance.</w:t>
      </w:r>
      <w:r w:rsidRPr="00711310">
        <w:rPr>
          <w:rFonts w:ascii="Times" w:hAnsi="Times"/>
          <w:sz w:val="22"/>
          <w:szCs w:val="22"/>
        </w:rPr>
        <w:t xml:space="preserve"> </w:t>
      </w:r>
      <w:r w:rsidRPr="00711310">
        <w:rPr>
          <w:rFonts w:ascii="Times" w:hAnsi="Times"/>
          <w:color w:val="000000" w:themeColor="text1"/>
          <w:sz w:val="22"/>
          <w:szCs w:val="22"/>
        </w:rPr>
        <w:t xml:space="preserve">Retrieved </w:t>
      </w:r>
      <w:r w:rsidRPr="00711310">
        <w:rPr>
          <w:rFonts w:ascii="Times" w:hAnsi="Times"/>
          <w:sz w:val="22"/>
          <w:szCs w:val="22"/>
        </w:rPr>
        <w:t>4 December 2018 from:</w:t>
      </w:r>
      <w:r w:rsidRPr="00711310">
        <w:rPr>
          <w:rFonts w:ascii="Times" w:hAnsi="Times"/>
          <w:color w:val="000000" w:themeColor="text1"/>
          <w:sz w:val="22"/>
          <w:szCs w:val="22"/>
        </w:rPr>
        <w:t xml:space="preserve"> </w:t>
      </w:r>
      <w:r w:rsidRPr="00711310">
        <w:rPr>
          <w:rFonts w:ascii="Times" w:hAnsi="Times"/>
          <w:sz w:val="22"/>
          <w:szCs w:val="22"/>
        </w:rPr>
        <w:t>&lt;</w:t>
      </w:r>
      <w:hyperlink r:id="rId31" w:history="1">
        <w:r w:rsidRPr="00711310">
          <w:rPr>
            <w:rStyle w:val="Hyperlink"/>
            <w:rFonts w:ascii="Times" w:eastAsiaTheme="majorEastAsia" w:hAnsi="Times"/>
            <w:sz w:val="22"/>
            <w:szCs w:val="22"/>
          </w:rPr>
          <w:t>http://corporate.easyjet.com/investors/governance</w:t>
        </w:r>
      </w:hyperlink>
      <w:r w:rsidRPr="00711310">
        <w:rPr>
          <w:rFonts w:ascii="Times" w:hAnsi="Times"/>
          <w:sz w:val="22"/>
          <w:szCs w:val="22"/>
        </w:rPr>
        <w:t>&gt;</w:t>
      </w:r>
    </w:p>
    <w:p w14:paraId="31E93B2A" w14:textId="77777777" w:rsidR="00E56CF0" w:rsidRPr="00711310" w:rsidRDefault="00E56CF0" w:rsidP="00E56CF0">
      <w:pPr>
        <w:ind w:left="567" w:hanging="567"/>
        <w:rPr>
          <w:rFonts w:ascii="Times" w:hAnsi="Times"/>
          <w:sz w:val="22"/>
          <w:szCs w:val="22"/>
        </w:rPr>
      </w:pPr>
      <w:r w:rsidRPr="00711310">
        <w:rPr>
          <w:rFonts w:ascii="Times" w:hAnsi="Times"/>
          <w:sz w:val="22"/>
          <w:szCs w:val="22"/>
        </w:rPr>
        <w:t xml:space="preserve">EasyJet PLC. (no date G). </w:t>
      </w:r>
      <w:r w:rsidRPr="00711310">
        <w:rPr>
          <w:rFonts w:ascii="Times" w:hAnsi="Times"/>
          <w:i/>
          <w:sz w:val="22"/>
          <w:szCs w:val="22"/>
        </w:rPr>
        <w:t>Strategy.</w:t>
      </w:r>
      <w:r w:rsidRPr="00711310">
        <w:rPr>
          <w:rFonts w:ascii="Times" w:hAnsi="Times"/>
          <w:sz w:val="22"/>
          <w:szCs w:val="22"/>
        </w:rPr>
        <w:t xml:space="preserve"> </w:t>
      </w:r>
      <w:r w:rsidRPr="00711310">
        <w:rPr>
          <w:rFonts w:ascii="Times" w:hAnsi="Times"/>
          <w:color w:val="000000" w:themeColor="text1"/>
          <w:sz w:val="22"/>
          <w:szCs w:val="22"/>
        </w:rPr>
        <w:t xml:space="preserve">Retrieved </w:t>
      </w:r>
      <w:r w:rsidRPr="00711310">
        <w:rPr>
          <w:rFonts w:ascii="Times" w:hAnsi="Times"/>
          <w:sz w:val="22"/>
          <w:szCs w:val="22"/>
        </w:rPr>
        <w:t>4 December 2018 from:</w:t>
      </w:r>
      <w:r w:rsidRPr="00711310">
        <w:rPr>
          <w:rFonts w:ascii="Times" w:hAnsi="Times"/>
          <w:color w:val="000000" w:themeColor="text1"/>
          <w:sz w:val="22"/>
          <w:szCs w:val="22"/>
        </w:rPr>
        <w:t xml:space="preserve"> </w:t>
      </w:r>
      <w:r w:rsidRPr="00711310">
        <w:rPr>
          <w:rFonts w:ascii="Times" w:hAnsi="Times"/>
          <w:sz w:val="22"/>
          <w:szCs w:val="22"/>
        </w:rPr>
        <w:t>&lt;</w:t>
      </w:r>
      <w:hyperlink r:id="rId32" w:history="1">
        <w:r w:rsidRPr="00711310">
          <w:rPr>
            <w:rStyle w:val="Hyperlink"/>
            <w:rFonts w:ascii="Times" w:eastAsiaTheme="majorEastAsia" w:hAnsi="Times"/>
            <w:sz w:val="22"/>
            <w:szCs w:val="22"/>
          </w:rPr>
          <w:t>http://corporate.easyjet.com/about/strategy</w:t>
        </w:r>
      </w:hyperlink>
      <w:r w:rsidRPr="00711310">
        <w:rPr>
          <w:rFonts w:ascii="Times" w:hAnsi="Times"/>
          <w:sz w:val="22"/>
          <w:szCs w:val="22"/>
        </w:rPr>
        <w:t xml:space="preserve">&gt; </w:t>
      </w:r>
    </w:p>
    <w:p w14:paraId="02EE18DB" w14:textId="2C096D96" w:rsidR="00E56CF0" w:rsidRPr="00711310" w:rsidRDefault="00E56CF0" w:rsidP="00E56CF0">
      <w:pPr>
        <w:pStyle w:val="NormalWeb"/>
        <w:spacing w:before="0" w:beforeAutospacing="0" w:after="0" w:afterAutospacing="0"/>
        <w:ind w:left="567" w:hanging="567"/>
        <w:rPr>
          <w:rFonts w:ascii="Times" w:hAnsi="Times"/>
          <w:color w:val="000000" w:themeColor="text1"/>
          <w:sz w:val="22"/>
          <w:szCs w:val="22"/>
        </w:rPr>
      </w:pPr>
      <w:r w:rsidRPr="00711310">
        <w:rPr>
          <w:rFonts w:ascii="Times" w:hAnsi="Times"/>
          <w:color w:val="000000" w:themeColor="text1"/>
          <w:sz w:val="22"/>
          <w:szCs w:val="22"/>
        </w:rPr>
        <w:t xml:space="preserve">FRC (Financial Reporting Council). (2018). The UK Corporate Governance Code. </w:t>
      </w:r>
      <w:r w:rsidRPr="00711310">
        <w:rPr>
          <w:rFonts w:ascii="Times" w:hAnsi="Times"/>
          <w:i/>
          <w:color w:val="000000" w:themeColor="text1"/>
          <w:sz w:val="22"/>
          <w:szCs w:val="22"/>
        </w:rPr>
        <w:t>The Financial Reporting Council Limited 2018</w:t>
      </w:r>
      <w:r w:rsidRPr="00711310">
        <w:rPr>
          <w:rFonts w:ascii="Times" w:hAnsi="Times"/>
          <w:color w:val="000000" w:themeColor="text1"/>
          <w:sz w:val="22"/>
          <w:szCs w:val="22"/>
        </w:rPr>
        <w:t xml:space="preserve">. Retrieved </w:t>
      </w:r>
      <w:r w:rsidRPr="00711310">
        <w:rPr>
          <w:rFonts w:ascii="Times" w:hAnsi="Times"/>
          <w:sz w:val="22"/>
          <w:szCs w:val="22"/>
        </w:rPr>
        <w:t>4 December 2018 from:</w:t>
      </w:r>
      <w:r w:rsidRPr="00711310">
        <w:rPr>
          <w:rFonts w:ascii="Times" w:hAnsi="Times"/>
          <w:color w:val="000000" w:themeColor="text1"/>
          <w:sz w:val="22"/>
          <w:szCs w:val="22"/>
        </w:rPr>
        <w:t xml:space="preserve"> &lt;</w:t>
      </w:r>
      <w:hyperlink r:id="rId33" w:history="1">
        <w:r w:rsidRPr="00711310">
          <w:rPr>
            <w:rStyle w:val="Hyperlink"/>
            <w:rFonts w:ascii="Times" w:hAnsi="Times"/>
            <w:sz w:val="22"/>
            <w:szCs w:val="22"/>
          </w:rPr>
          <w:t>https://www.frc.org.uk/getattachment/88bd8c45-50ea-4841-95b0-d2f4f48069a2/2018-UK-Corporate-Governance-Code-FINAL.pdf</w:t>
        </w:r>
      </w:hyperlink>
      <w:r w:rsidRPr="00711310">
        <w:rPr>
          <w:rFonts w:ascii="Times" w:hAnsi="Times"/>
          <w:color w:val="000000" w:themeColor="text1"/>
          <w:sz w:val="22"/>
          <w:szCs w:val="22"/>
        </w:rPr>
        <w:t xml:space="preserve">&gt; </w:t>
      </w:r>
    </w:p>
    <w:p w14:paraId="34A123B4" w14:textId="77777777" w:rsidR="00050058" w:rsidRPr="00711310" w:rsidRDefault="00050058" w:rsidP="00050058">
      <w:pPr>
        <w:ind w:left="567" w:hanging="567"/>
        <w:rPr>
          <w:rFonts w:ascii="Times" w:hAnsi="Times"/>
          <w:sz w:val="22"/>
          <w:szCs w:val="22"/>
        </w:rPr>
      </w:pPr>
      <w:r w:rsidRPr="00711310">
        <w:rPr>
          <w:rFonts w:ascii="Times" w:hAnsi="Times"/>
          <w:sz w:val="22"/>
          <w:szCs w:val="22"/>
        </w:rPr>
        <w:t xml:space="preserve">Furness, B. (2015). A Focus on Results: Finance Consulting. </w:t>
      </w:r>
      <w:r w:rsidRPr="00711310">
        <w:rPr>
          <w:rFonts w:ascii="Times" w:hAnsi="Times"/>
          <w:i/>
          <w:sz w:val="22"/>
          <w:szCs w:val="22"/>
        </w:rPr>
        <w:t xml:space="preserve">PricewaterhouseCoopers. </w:t>
      </w:r>
      <w:r w:rsidRPr="00711310">
        <w:rPr>
          <w:rFonts w:ascii="Times" w:hAnsi="Times" w:cs="Arial"/>
          <w:color w:val="000000"/>
          <w:sz w:val="22"/>
          <w:szCs w:val="22"/>
        </w:rPr>
        <w:t>Retrieved 15 January 2019 from: &lt;</w:t>
      </w:r>
      <w:hyperlink r:id="rId34" w:history="1">
        <w:r w:rsidRPr="00711310">
          <w:rPr>
            <w:rStyle w:val="Hyperlink"/>
            <w:rFonts w:ascii="Times" w:hAnsi="Times" w:cs="Arial"/>
            <w:sz w:val="22"/>
            <w:szCs w:val="22"/>
          </w:rPr>
          <w:t>https://www.pwc.co.uk/services/consulting/finance.html</w:t>
        </w:r>
      </w:hyperlink>
      <w:r w:rsidRPr="00711310">
        <w:rPr>
          <w:rFonts w:ascii="Times" w:hAnsi="Times" w:cs="Arial"/>
          <w:color w:val="000000"/>
          <w:sz w:val="22"/>
          <w:szCs w:val="22"/>
        </w:rPr>
        <w:t xml:space="preserve">&gt; </w:t>
      </w:r>
    </w:p>
    <w:p w14:paraId="34AEAB81" w14:textId="77777777" w:rsidR="00E56CF0" w:rsidRPr="00711310" w:rsidRDefault="00E56CF0" w:rsidP="00E56CF0">
      <w:pPr>
        <w:ind w:left="567" w:hanging="567"/>
        <w:rPr>
          <w:rFonts w:ascii="Times" w:hAnsi="Times"/>
          <w:color w:val="000000" w:themeColor="text1"/>
          <w:sz w:val="22"/>
          <w:szCs w:val="22"/>
        </w:rPr>
      </w:pPr>
      <w:r w:rsidRPr="00711310">
        <w:rPr>
          <w:rFonts w:ascii="Times" w:hAnsi="Times"/>
          <w:color w:val="000000" w:themeColor="text1"/>
          <w:sz w:val="22"/>
          <w:szCs w:val="22"/>
        </w:rPr>
        <w:lastRenderedPageBreak/>
        <w:t xml:space="preserve">Gibson, C. (2009). </w:t>
      </w:r>
      <w:r w:rsidRPr="00711310">
        <w:rPr>
          <w:rFonts w:ascii="Times" w:hAnsi="Times"/>
          <w:i/>
          <w:color w:val="000000" w:themeColor="text1"/>
          <w:sz w:val="22"/>
          <w:szCs w:val="22"/>
        </w:rPr>
        <w:t>Financial Reporting &amp; Analysis: Using Financial Accounting Information, 11</w:t>
      </w:r>
      <w:r w:rsidRPr="00711310">
        <w:rPr>
          <w:rFonts w:ascii="Times" w:hAnsi="Times"/>
          <w:i/>
          <w:color w:val="000000" w:themeColor="text1"/>
          <w:sz w:val="22"/>
          <w:szCs w:val="22"/>
          <w:vertAlign w:val="superscript"/>
        </w:rPr>
        <w:t>th</w:t>
      </w:r>
      <w:r w:rsidRPr="00711310">
        <w:rPr>
          <w:rFonts w:ascii="Times" w:hAnsi="Times"/>
          <w:i/>
          <w:color w:val="000000" w:themeColor="text1"/>
          <w:sz w:val="22"/>
          <w:szCs w:val="22"/>
        </w:rPr>
        <w:t xml:space="preserve"> Ed. </w:t>
      </w:r>
      <w:r w:rsidRPr="00711310">
        <w:rPr>
          <w:rFonts w:ascii="Times" w:hAnsi="Times"/>
          <w:color w:val="000000" w:themeColor="text1"/>
          <w:sz w:val="22"/>
          <w:szCs w:val="22"/>
        </w:rPr>
        <w:t xml:space="preserve">Mason: South-Western Cengage Learning. </w:t>
      </w:r>
    </w:p>
    <w:p w14:paraId="2BF64EC1" w14:textId="77777777" w:rsidR="00E56CF0" w:rsidRPr="00711310" w:rsidRDefault="00E56CF0" w:rsidP="00E56CF0">
      <w:pPr>
        <w:ind w:left="567" w:hanging="567"/>
        <w:rPr>
          <w:rFonts w:ascii="Times" w:hAnsi="Times"/>
          <w:color w:val="000000" w:themeColor="text1"/>
          <w:sz w:val="22"/>
          <w:szCs w:val="22"/>
        </w:rPr>
      </w:pPr>
      <w:r w:rsidRPr="00711310">
        <w:rPr>
          <w:rFonts w:ascii="Times" w:hAnsi="Times"/>
          <w:color w:val="000000" w:themeColor="text1"/>
          <w:sz w:val="22"/>
          <w:szCs w:val="22"/>
        </w:rPr>
        <w:t>Home Office, Bradley, K., &amp; May, T. (2015). “Historic Law to End Modern Slavery Passed.”</w:t>
      </w:r>
      <w:r w:rsidRPr="00711310">
        <w:rPr>
          <w:rFonts w:ascii="Times" w:hAnsi="Times"/>
          <w:i/>
          <w:color w:val="000000" w:themeColor="text1"/>
          <w:sz w:val="22"/>
          <w:szCs w:val="22"/>
        </w:rPr>
        <w:t xml:space="preserve"> UK Government.</w:t>
      </w:r>
      <w:r w:rsidRPr="00711310">
        <w:rPr>
          <w:rFonts w:ascii="Times" w:hAnsi="Times"/>
          <w:color w:val="000000" w:themeColor="text1"/>
          <w:sz w:val="22"/>
          <w:szCs w:val="22"/>
        </w:rPr>
        <w:t xml:space="preserve"> Retrieved 4 December 2018 from: &lt;</w:t>
      </w:r>
      <w:hyperlink r:id="rId35" w:history="1">
        <w:r w:rsidRPr="00711310">
          <w:rPr>
            <w:rStyle w:val="Hyperlink"/>
            <w:rFonts w:ascii="Times" w:eastAsiaTheme="majorEastAsia" w:hAnsi="Times"/>
            <w:color w:val="000000" w:themeColor="text1"/>
            <w:sz w:val="22"/>
            <w:szCs w:val="22"/>
          </w:rPr>
          <w:t>https://www.gov.uk/government/news/historic-law-to-end-modern-slavery-passed</w:t>
        </w:r>
      </w:hyperlink>
      <w:r w:rsidRPr="00711310">
        <w:rPr>
          <w:rFonts w:ascii="Times" w:hAnsi="Times"/>
          <w:color w:val="000000" w:themeColor="text1"/>
          <w:sz w:val="22"/>
          <w:szCs w:val="22"/>
        </w:rPr>
        <w:t xml:space="preserve">&gt; </w:t>
      </w:r>
    </w:p>
    <w:p w14:paraId="036E2C85" w14:textId="23380241" w:rsidR="00E56CF0" w:rsidRPr="00711310" w:rsidRDefault="00E56CF0" w:rsidP="00711310">
      <w:pPr>
        <w:ind w:left="567" w:hanging="567"/>
        <w:rPr>
          <w:rFonts w:ascii="Times" w:hAnsi="Times"/>
          <w:color w:val="000000" w:themeColor="text1"/>
          <w:sz w:val="22"/>
          <w:szCs w:val="22"/>
        </w:rPr>
      </w:pPr>
      <w:r w:rsidRPr="00711310">
        <w:rPr>
          <w:rFonts w:ascii="Times" w:hAnsi="Times"/>
          <w:color w:val="000000" w:themeColor="text1"/>
          <w:sz w:val="22"/>
          <w:szCs w:val="22"/>
        </w:rPr>
        <w:t xml:space="preserve">Hughes, J. &amp; Simpson, M.&amp; </w:t>
      </w:r>
      <w:proofErr w:type="spellStart"/>
      <w:r w:rsidRPr="00711310">
        <w:rPr>
          <w:rFonts w:ascii="Times" w:hAnsi="Times"/>
          <w:color w:val="000000" w:themeColor="text1"/>
          <w:sz w:val="22"/>
          <w:szCs w:val="22"/>
        </w:rPr>
        <w:t>Padmore</w:t>
      </w:r>
      <w:proofErr w:type="spellEnd"/>
      <w:r w:rsidRPr="00711310">
        <w:rPr>
          <w:rFonts w:ascii="Times" w:hAnsi="Times"/>
          <w:color w:val="000000" w:themeColor="text1"/>
          <w:sz w:val="22"/>
          <w:szCs w:val="22"/>
        </w:rPr>
        <w:t xml:space="preserve">, J. &amp; </w:t>
      </w:r>
      <w:proofErr w:type="spellStart"/>
      <w:r w:rsidRPr="00711310">
        <w:rPr>
          <w:rFonts w:ascii="Times" w:hAnsi="Times"/>
          <w:color w:val="000000" w:themeColor="text1"/>
          <w:sz w:val="22"/>
          <w:szCs w:val="22"/>
        </w:rPr>
        <w:t>Padmore</w:t>
      </w:r>
      <w:proofErr w:type="spellEnd"/>
      <w:r w:rsidRPr="00711310">
        <w:rPr>
          <w:rFonts w:ascii="Times" w:hAnsi="Times"/>
          <w:color w:val="000000" w:themeColor="text1"/>
          <w:sz w:val="22"/>
          <w:szCs w:val="22"/>
        </w:rPr>
        <w:t xml:space="preserve">, </w:t>
      </w:r>
      <w:proofErr w:type="gramStart"/>
      <w:r w:rsidRPr="00711310">
        <w:rPr>
          <w:rFonts w:ascii="Times" w:hAnsi="Times"/>
          <w:color w:val="000000" w:themeColor="text1"/>
          <w:sz w:val="22"/>
          <w:szCs w:val="22"/>
        </w:rPr>
        <w:t>J..</w:t>
      </w:r>
      <w:proofErr w:type="gramEnd"/>
      <w:r w:rsidRPr="00711310">
        <w:rPr>
          <w:rFonts w:ascii="Times" w:hAnsi="Times"/>
          <w:color w:val="000000" w:themeColor="text1"/>
          <w:sz w:val="22"/>
          <w:szCs w:val="22"/>
        </w:rPr>
        <w:t xml:space="preserve"> (no date). Inherent limitations in using financial ratio analysis to assess small and medium sized company performance. </w:t>
      </w:r>
      <w:proofErr w:type="spellStart"/>
      <w:r w:rsidRPr="00711310">
        <w:rPr>
          <w:rFonts w:ascii="Times" w:hAnsi="Times"/>
          <w:i/>
          <w:color w:val="000000" w:themeColor="text1"/>
          <w:sz w:val="22"/>
          <w:szCs w:val="22"/>
        </w:rPr>
        <w:t>ResarchGate</w:t>
      </w:r>
      <w:proofErr w:type="spellEnd"/>
      <w:r w:rsidRPr="00711310">
        <w:rPr>
          <w:rFonts w:ascii="Times" w:hAnsi="Times"/>
          <w:i/>
          <w:color w:val="000000" w:themeColor="text1"/>
          <w:sz w:val="22"/>
          <w:szCs w:val="22"/>
        </w:rPr>
        <w:t>.</w:t>
      </w:r>
      <w:r w:rsidRPr="00711310">
        <w:rPr>
          <w:rFonts w:ascii="Times" w:hAnsi="Times"/>
          <w:color w:val="000000" w:themeColor="text1"/>
          <w:sz w:val="22"/>
          <w:szCs w:val="22"/>
        </w:rPr>
        <w:t xml:space="preserve"> Retrieved 8 December 2018 from: &lt;</w:t>
      </w:r>
      <w:hyperlink r:id="rId36" w:history="1">
        <w:r w:rsidRPr="00711310">
          <w:rPr>
            <w:rStyle w:val="Hyperlink"/>
            <w:rFonts w:ascii="Times" w:eastAsiaTheme="majorEastAsia" w:hAnsi="Times"/>
            <w:color w:val="000000" w:themeColor="text1"/>
            <w:sz w:val="22"/>
            <w:szCs w:val="22"/>
          </w:rPr>
          <w:t>https://www.researchgate.net/publication/228484206_Inherent_limitations_in_using_financial_ratio_analysis_to_assess_small_and_medium_sized_company_performance</w:t>
        </w:r>
      </w:hyperlink>
      <w:r w:rsidRPr="00711310">
        <w:rPr>
          <w:rFonts w:ascii="Times" w:hAnsi="Times"/>
          <w:color w:val="000000" w:themeColor="text1"/>
          <w:sz w:val="22"/>
          <w:szCs w:val="22"/>
        </w:rPr>
        <w:t>&gt;</w:t>
      </w:r>
    </w:p>
    <w:p w14:paraId="53B97E87" w14:textId="77777777" w:rsidR="00711310" w:rsidRPr="00711310" w:rsidRDefault="00050058" w:rsidP="00711310">
      <w:pPr>
        <w:ind w:left="567" w:hanging="567"/>
        <w:rPr>
          <w:rFonts w:ascii="Times" w:hAnsi="Times" w:cs="Arial"/>
          <w:color w:val="000000" w:themeColor="text1"/>
          <w:sz w:val="22"/>
          <w:szCs w:val="22"/>
        </w:rPr>
      </w:pPr>
      <w:r w:rsidRPr="00711310">
        <w:rPr>
          <w:rFonts w:ascii="Times" w:hAnsi="Times"/>
          <w:color w:val="000000" w:themeColor="text1"/>
          <w:sz w:val="22"/>
          <w:szCs w:val="22"/>
        </w:rPr>
        <w:t xml:space="preserve">IAEA (International Atomic Energy Agency). (2013). </w:t>
      </w:r>
      <w:r w:rsidRPr="00711310">
        <w:rPr>
          <w:rFonts w:ascii="Times" w:hAnsi="Times"/>
          <w:i/>
          <w:color w:val="000000" w:themeColor="text1"/>
          <w:sz w:val="22"/>
          <w:szCs w:val="22"/>
        </w:rPr>
        <w:t>Monitoring and Evaluation Guidelines: Technical Cooperation Projects.</w:t>
      </w:r>
      <w:r w:rsidRPr="00711310">
        <w:rPr>
          <w:rFonts w:ascii="Times" w:hAnsi="Times"/>
          <w:color w:val="000000" w:themeColor="text1"/>
          <w:sz w:val="22"/>
          <w:szCs w:val="22"/>
        </w:rPr>
        <w:t xml:space="preserve"> Retrieved </w:t>
      </w:r>
      <w:r w:rsidRPr="00711310">
        <w:rPr>
          <w:rFonts w:ascii="Times" w:hAnsi="Times" w:cs="Arial"/>
          <w:color w:val="000000" w:themeColor="text1"/>
          <w:sz w:val="22"/>
          <w:szCs w:val="22"/>
        </w:rPr>
        <w:t>15 January 2019 from: &lt;</w:t>
      </w:r>
      <w:hyperlink r:id="rId37" w:history="1">
        <w:r w:rsidRPr="00711310">
          <w:rPr>
            <w:rStyle w:val="Hyperlink"/>
            <w:rFonts w:ascii="Times" w:hAnsi="Times" w:cs="Arial"/>
            <w:color w:val="000000" w:themeColor="text1"/>
            <w:sz w:val="22"/>
            <w:szCs w:val="22"/>
          </w:rPr>
          <w:t>https://www.iaea.org/sites/default/files/documents/tc/TCP_MandE_Manual.pdf</w:t>
        </w:r>
      </w:hyperlink>
      <w:r w:rsidRPr="00711310">
        <w:rPr>
          <w:rFonts w:ascii="Times" w:hAnsi="Times" w:cs="Arial"/>
          <w:color w:val="000000" w:themeColor="text1"/>
          <w:sz w:val="22"/>
          <w:szCs w:val="22"/>
        </w:rPr>
        <w:t>&gt;</w:t>
      </w:r>
    </w:p>
    <w:p w14:paraId="01CE55EF" w14:textId="0E37EAB2" w:rsidR="00711310" w:rsidRPr="00711310" w:rsidRDefault="00711310" w:rsidP="00711310">
      <w:pPr>
        <w:ind w:left="567" w:hanging="567"/>
        <w:rPr>
          <w:rFonts w:ascii="Times" w:hAnsi="Times"/>
          <w:color w:val="000000" w:themeColor="text1"/>
          <w:sz w:val="22"/>
          <w:szCs w:val="22"/>
        </w:rPr>
      </w:pPr>
      <w:r w:rsidRPr="00711310">
        <w:rPr>
          <w:rFonts w:ascii="Times" w:hAnsi="Times"/>
          <w:color w:val="000000" w:themeColor="text1"/>
          <w:sz w:val="22"/>
          <w:szCs w:val="22"/>
        </w:rPr>
        <w:t xml:space="preserve">IIRC (International Integrated Reporting Council). (2013). </w:t>
      </w:r>
      <w:r w:rsidRPr="00711310">
        <w:rPr>
          <w:rFonts w:ascii="Times" w:hAnsi="Times"/>
          <w:i/>
          <w:color w:val="000000" w:themeColor="text1"/>
          <w:sz w:val="22"/>
          <w:szCs w:val="22"/>
        </w:rPr>
        <w:t xml:space="preserve">The International </w:t>
      </w:r>
      <w:proofErr w:type="spellStart"/>
      <w:r w:rsidRPr="00711310">
        <w:rPr>
          <w:rFonts w:ascii="Times" w:hAnsi="Times"/>
          <w:i/>
          <w:color w:val="000000" w:themeColor="text1"/>
          <w:sz w:val="22"/>
          <w:szCs w:val="22"/>
        </w:rPr>
        <w:t>Frameowrk</w:t>
      </w:r>
      <w:proofErr w:type="spellEnd"/>
      <w:r w:rsidRPr="00711310">
        <w:rPr>
          <w:rFonts w:ascii="Times" w:hAnsi="Times"/>
          <w:i/>
          <w:color w:val="000000" w:themeColor="text1"/>
          <w:sz w:val="22"/>
          <w:szCs w:val="22"/>
        </w:rPr>
        <w:t xml:space="preserve"> – Integrated Reporting. </w:t>
      </w:r>
      <w:r w:rsidRPr="00711310">
        <w:rPr>
          <w:rFonts w:ascii="Times" w:hAnsi="Times"/>
          <w:color w:val="000000" w:themeColor="text1"/>
          <w:sz w:val="22"/>
          <w:szCs w:val="22"/>
        </w:rPr>
        <w:t>&lt;</w:t>
      </w:r>
      <w:hyperlink r:id="rId38" w:history="1">
        <w:r w:rsidRPr="00711310">
          <w:rPr>
            <w:rStyle w:val="Hyperlink"/>
            <w:rFonts w:ascii="Times" w:hAnsi="Times"/>
            <w:color w:val="000000" w:themeColor="text1"/>
            <w:sz w:val="22"/>
            <w:szCs w:val="22"/>
          </w:rPr>
          <w:t>http://integratedreporting.org/wp-content/uploads/2013/12/13-12-08-THE-INTERNATIONAL-IR-FRAMEWORK-2-1.pdf</w:t>
        </w:r>
      </w:hyperlink>
      <w:r w:rsidRPr="00711310">
        <w:rPr>
          <w:rFonts w:ascii="Times" w:hAnsi="Times"/>
          <w:color w:val="000000" w:themeColor="text1"/>
          <w:sz w:val="22"/>
          <w:szCs w:val="22"/>
        </w:rPr>
        <w:t>&gt;</w:t>
      </w:r>
    </w:p>
    <w:p w14:paraId="3FFA8E2C" w14:textId="77777777" w:rsidR="00E56CF0" w:rsidRPr="00711310" w:rsidRDefault="00E56CF0" w:rsidP="00E56CF0">
      <w:pPr>
        <w:ind w:left="567" w:hanging="567"/>
        <w:rPr>
          <w:rFonts w:ascii="Times" w:hAnsi="Times"/>
          <w:color w:val="000000" w:themeColor="text1"/>
          <w:sz w:val="22"/>
          <w:szCs w:val="22"/>
        </w:rPr>
      </w:pPr>
      <w:proofErr w:type="spellStart"/>
      <w:r w:rsidRPr="00711310">
        <w:rPr>
          <w:rFonts w:ascii="Times" w:hAnsi="Times"/>
          <w:color w:val="000000" w:themeColor="text1"/>
          <w:sz w:val="22"/>
          <w:szCs w:val="22"/>
        </w:rPr>
        <w:t>Jagerson</w:t>
      </w:r>
      <w:proofErr w:type="spellEnd"/>
      <w:r w:rsidRPr="00711310">
        <w:rPr>
          <w:rFonts w:ascii="Times" w:hAnsi="Times"/>
          <w:color w:val="000000" w:themeColor="text1"/>
          <w:sz w:val="22"/>
          <w:szCs w:val="22"/>
        </w:rPr>
        <w:t xml:space="preserve">, J. (2019). Compound Annual Growth Rate. </w:t>
      </w:r>
      <w:r w:rsidRPr="00711310">
        <w:rPr>
          <w:rFonts w:ascii="Times" w:hAnsi="Times"/>
          <w:i/>
          <w:color w:val="000000" w:themeColor="text1"/>
          <w:sz w:val="22"/>
          <w:szCs w:val="22"/>
        </w:rPr>
        <w:t xml:space="preserve">Investopedia – Investing &gt; Financial Analysis. </w:t>
      </w:r>
      <w:r w:rsidRPr="00711310">
        <w:rPr>
          <w:rFonts w:ascii="Times" w:hAnsi="Times"/>
          <w:color w:val="000000" w:themeColor="text1"/>
          <w:sz w:val="22"/>
          <w:szCs w:val="22"/>
        </w:rPr>
        <w:t>Retrieved 12 January 2019 from: &lt;</w:t>
      </w:r>
      <w:hyperlink r:id="rId39" w:history="1">
        <w:r w:rsidRPr="00711310">
          <w:rPr>
            <w:rStyle w:val="Hyperlink"/>
            <w:rFonts w:ascii="Times" w:eastAsiaTheme="majorEastAsia" w:hAnsi="Times"/>
            <w:color w:val="000000" w:themeColor="text1"/>
            <w:sz w:val="22"/>
            <w:szCs w:val="22"/>
          </w:rPr>
          <w:t>https://www.investopedia.com/terms/c/cagr.asp</w:t>
        </w:r>
      </w:hyperlink>
      <w:r w:rsidRPr="00711310">
        <w:rPr>
          <w:rFonts w:ascii="Times" w:hAnsi="Times"/>
          <w:color w:val="000000" w:themeColor="text1"/>
          <w:sz w:val="22"/>
          <w:szCs w:val="22"/>
        </w:rPr>
        <w:t xml:space="preserve">&gt; </w:t>
      </w:r>
    </w:p>
    <w:p w14:paraId="1FA960FD" w14:textId="0A2CF3AC" w:rsidR="00E56CF0" w:rsidRPr="00711310" w:rsidRDefault="00E56CF0" w:rsidP="00E56CF0">
      <w:pPr>
        <w:ind w:left="567" w:hanging="567"/>
        <w:rPr>
          <w:rFonts w:ascii="Times" w:hAnsi="Times"/>
          <w:sz w:val="22"/>
          <w:szCs w:val="22"/>
        </w:rPr>
      </w:pPr>
      <w:r w:rsidRPr="00711310">
        <w:rPr>
          <w:rFonts w:ascii="Times" w:hAnsi="Times"/>
          <w:color w:val="000000" w:themeColor="text1"/>
          <w:sz w:val="22"/>
          <w:szCs w:val="22"/>
        </w:rPr>
        <w:t>LSE (London Stock Exchange</w:t>
      </w:r>
      <w:r w:rsidRPr="00711310">
        <w:rPr>
          <w:rFonts w:ascii="Times" w:hAnsi="Times"/>
          <w:sz w:val="22"/>
          <w:szCs w:val="22"/>
        </w:rPr>
        <w:t xml:space="preserve">). (2018). EZJ EASYJET PLC ORD 27 2/7P. </w:t>
      </w:r>
      <w:r w:rsidRPr="00711310">
        <w:rPr>
          <w:rFonts w:ascii="Times" w:hAnsi="Times"/>
          <w:i/>
          <w:sz w:val="22"/>
          <w:szCs w:val="22"/>
        </w:rPr>
        <w:t xml:space="preserve">Prices &amp; Markets &gt; Stocks. </w:t>
      </w:r>
      <w:r w:rsidRPr="00711310">
        <w:rPr>
          <w:rFonts w:ascii="Times" w:hAnsi="Times"/>
          <w:sz w:val="22"/>
          <w:szCs w:val="22"/>
        </w:rPr>
        <w:t>Retrieved 4 December 2018 from: &lt;</w:t>
      </w:r>
      <w:hyperlink r:id="rId40" w:history="1">
        <w:r w:rsidRPr="00711310">
          <w:rPr>
            <w:rStyle w:val="Hyperlink"/>
            <w:rFonts w:ascii="Times" w:eastAsiaTheme="majorEastAsia" w:hAnsi="Times"/>
            <w:sz w:val="22"/>
            <w:szCs w:val="22"/>
          </w:rPr>
          <w:t>https://www.londonstockexchange.com/exchange/prices-and-markets/stocks/summary/company-summary/GB00B7KR2P84GBGBXSET1.html</w:t>
        </w:r>
      </w:hyperlink>
      <w:r w:rsidRPr="00711310">
        <w:rPr>
          <w:rFonts w:ascii="Times" w:hAnsi="Times"/>
          <w:sz w:val="22"/>
          <w:szCs w:val="22"/>
        </w:rPr>
        <w:t>&gt;</w:t>
      </w:r>
    </w:p>
    <w:p w14:paraId="48ED0316" w14:textId="77777777" w:rsidR="00050058" w:rsidRPr="00711310" w:rsidRDefault="00050058" w:rsidP="00050058">
      <w:pPr>
        <w:ind w:left="567" w:hanging="567"/>
        <w:rPr>
          <w:rFonts w:ascii="Times" w:hAnsi="Times" w:cs="Arial"/>
          <w:color w:val="000000"/>
          <w:sz w:val="22"/>
          <w:szCs w:val="22"/>
        </w:rPr>
      </w:pPr>
      <w:r w:rsidRPr="00711310">
        <w:rPr>
          <w:rFonts w:ascii="Times" w:hAnsi="Times"/>
          <w:sz w:val="22"/>
          <w:szCs w:val="22"/>
        </w:rPr>
        <w:t>Open Learning World. (2011).</w:t>
      </w:r>
      <w:r w:rsidRPr="00711310">
        <w:rPr>
          <w:rFonts w:ascii="Times" w:hAnsi="Times" w:cs="Arial"/>
          <w:color w:val="000000"/>
          <w:sz w:val="22"/>
          <w:szCs w:val="22"/>
        </w:rPr>
        <w:t xml:space="preserve"> Investment Appraisal &gt; Methods and Considerations &gt; Non-discounting Methods. Retrieved 30 December 2018 from: &lt;</w:t>
      </w:r>
      <w:hyperlink r:id="rId41" w:anchor="st_0" w:history="1">
        <w:r w:rsidRPr="00711310">
          <w:rPr>
            <w:rStyle w:val="Hyperlink"/>
            <w:rFonts w:ascii="Times" w:hAnsi="Times" w:cs="Arial"/>
            <w:sz w:val="22"/>
            <w:szCs w:val="22"/>
          </w:rPr>
          <w:t>http://www.openlearningworld.com/books/Investment%20Appraisal/Investment%20Appraisal%20-%20Methods%20And%20Considerations/Non-discounting%20Methods.html#st_0</w:t>
        </w:r>
      </w:hyperlink>
      <w:r w:rsidRPr="00711310">
        <w:rPr>
          <w:rFonts w:ascii="Times" w:hAnsi="Times" w:cs="Arial"/>
          <w:color w:val="000000"/>
          <w:sz w:val="22"/>
          <w:szCs w:val="22"/>
        </w:rPr>
        <w:t>&gt;</w:t>
      </w:r>
    </w:p>
    <w:p w14:paraId="7334F78D" w14:textId="5209CCFD" w:rsidR="005D7CD3" w:rsidRPr="00711310" w:rsidRDefault="005D7CD3" w:rsidP="00050058">
      <w:pPr>
        <w:ind w:left="567" w:hanging="567"/>
        <w:rPr>
          <w:rFonts w:ascii="Times" w:hAnsi="Times" w:cs="Arial"/>
          <w:color w:val="000000"/>
          <w:sz w:val="22"/>
          <w:szCs w:val="22"/>
        </w:rPr>
      </w:pPr>
      <w:proofErr w:type="spellStart"/>
      <w:r w:rsidRPr="00711310">
        <w:rPr>
          <w:rFonts w:ascii="Times" w:hAnsi="Times"/>
          <w:sz w:val="22"/>
          <w:szCs w:val="22"/>
        </w:rPr>
        <w:t>Orlitzky</w:t>
      </w:r>
      <w:proofErr w:type="spellEnd"/>
      <w:r w:rsidRPr="00711310">
        <w:rPr>
          <w:rFonts w:ascii="Times" w:hAnsi="Times"/>
          <w:sz w:val="22"/>
          <w:szCs w:val="22"/>
        </w:rPr>
        <w:t>, M.</w:t>
      </w:r>
      <w:proofErr w:type="gramStart"/>
      <w:r w:rsidRPr="00711310">
        <w:rPr>
          <w:rFonts w:ascii="Times" w:hAnsi="Times"/>
          <w:sz w:val="22"/>
          <w:szCs w:val="22"/>
        </w:rPr>
        <w:t>,  Schmidt</w:t>
      </w:r>
      <w:proofErr w:type="gramEnd"/>
      <w:r w:rsidRPr="00711310">
        <w:rPr>
          <w:rFonts w:ascii="Times" w:hAnsi="Times"/>
          <w:sz w:val="22"/>
          <w:szCs w:val="22"/>
        </w:rPr>
        <w:t xml:space="preserve">, F. &amp; </w:t>
      </w:r>
      <w:proofErr w:type="spellStart"/>
      <w:r w:rsidRPr="00711310">
        <w:rPr>
          <w:rFonts w:ascii="Times" w:hAnsi="Times"/>
          <w:sz w:val="22"/>
          <w:szCs w:val="22"/>
        </w:rPr>
        <w:t>Rynes</w:t>
      </w:r>
      <w:proofErr w:type="spellEnd"/>
      <w:r w:rsidRPr="00711310">
        <w:rPr>
          <w:rFonts w:ascii="Times" w:hAnsi="Times"/>
          <w:sz w:val="22"/>
          <w:szCs w:val="22"/>
        </w:rPr>
        <w:t xml:space="preserve">, S. (2003). Corporate Social and Financial Performance: A Meta-Analysis. </w:t>
      </w:r>
      <w:r w:rsidRPr="00711310">
        <w:rPr>
          <w:rFonts w:ascii="Times" w:hAnsi="Times"/>
          <w:i/>
          <w:sz w:val="22"/>
          <w:szCs w:val="22"/>
        </w:rPr>
        <w:t>Organization Studies 24</w:t>
      </w:r>
      <w:r w:rsidRPr="00711310">
        <w:rPr>
          <w:rFonts w:ascii="Times" w:hAnsi="Times"/>
          <w:sz w:val="22"/>
          <w:szCs w:val="22"/>
        </w:rPr>
        <w:t>(3), p. 403-441.</w:t>
      </w:r>
    </w:p>
    <w:p w14:paraId="479C496B" w14:textId="77777777" w:rsidR="00050058" w:rsidRPr="00711310" w:rsidRDefault="00050058" w:rsidP="00050058">
      <w:pPr>
        <w:ind w:left="567" w:hanging="567"/>
        <w:rPr>
          <w:rFonts w:ascii="Times" w:hAnsi="Times" w:cs="Arial"/>
          <w:color w:val="000000"/>
          <w:sz w:val="22"/>
          <w:szCs w:val="22"/>
        </w:rPr>
      </w:pPr>
      <w:r w:rsidRPr="00711310">
        <w:rPr>
          <w:rFonts w:ascii="Times" w:hAnsi="Times" w:cs="Arial"/>
          <w:color w:val="000000"/>
          <w:sz w:val="22"/>
          <w:szCs w:val="22"/>
        </w:rPr>
        <w:t xml:space="preserve">Swales, A. &amp; Bell, D. (2015). Financial Performance Management. </w:t>
      </w:r>
      <w:r w:rsidRPr="00711310">
        <w:rPr>
          <w:rFonts w:ascii="Times" w:hAnsi="Times"/>
          <w:i/>
          <w:sz w:val="22"/>
          <w:szCs w:val="22"/>
        </w:rPr>
        <w:t xml:space="preserve">PricewaterhouseCoopers. </w:t>
      </w:r>
      <w:r w:rsidRPr="00711310">
        <w:rPr>
          <w:rFonts w:ascii="Times" w:hAnsi="Times" w:cs="Arial"/>
          <w:color w:val="000000"/>
          <w:sz w:val="22"/>
          <w:szCs w:val="22"/>
        </w:rPr>
        <w:t>Retrieved 15 January 2019 from: &lt;</w:t>
      </w:r>
      <w:hyperlink r:id="rId42" w:history="1">
        <w:r w:rsidRPr="00711310">
          <w:rPr>
            <w:rStyle w:val="Hyperlink"/>
            <w:rFonts w:ascii="Times" w:hAnsi="Times" w:cs="Arial"/>
            <w:sz w:val="22"/>
            <w:szCs w:val="22"/>
          </w:rPr>
          <w:t>https://www.pwc.co.uk/services/consulting/finance/finance-performance-management.html</w:t>
        </w:r>
      </w:hyperlink>
      <w:r w:rsidRPr="00711310">
        <w:rPr>
          <w:rFonts w:ascii="Times" w:hAnsi="Times" w:cs="Arial"/>
          <w:color w:val="000000"/>
          <w:sz w:val="22"/>
          <w:szCs w:val="22"/>
        </w:rPr>
        <w:t>&gt;</w:t>
      </w:r>
    </w:p>
    <w:p w14:paraId="16E3F42E" w14:textId="2BC0D983" w:rsidR="00E56CF0" w:rsidRPr="00711310" w:rsidRDefault="00E56CF0" w:rsidP="00E56CF0">
      <w:pPr>
        <w:ind w:left="567" w:hanging="567"/>
        <w:rPr>
          <w:rFonts w:ascii="Times" w:hAnsi="Times"/>
          <w:sz w:val="22"/>
          <w:szCs w:val="22"/>
        </w:rPr>
      </w:pPr>
      <w:proofErr w:type="spellStart"/>
      <w:r w:rsidRPr="00711310">
        <w:rPr>
          <w:rFonts w:ascii="Times" w:hAnsi="Times"/>
          <w:sz w:val="22"/>
          <w:szCs w:val="22"/>
        </w:rPr>
        <w:t>Schoenebeck</w:t>
      </w:r>
      <w:proofErr w:type="spellEnd"/>
      <w:r w:rsidRPr="00711310">
        <w:rPr>
          <w:rFonts w:ascii="Times" w:hAnsi="Times"/>
          <w:sz w:val="22"/>
          <w:szCs w:val="22"/>
        </w:rPr>
        <w:t xml:space="preserve">, K. &amp; </w:t>
      </w:r>
      <w:proofErr w:type="spellStart"/>
      <w:r w:rsidRPr="00711310">
        <w:rPr>
          <w:rFonts w:ascii="Times" w:hAnsi="Times"/>
          <w:sz w:val="22"/>
          <w:szCs w:val="22"/>
        </w:rPr>
        <w:t>Holtzman</w:t>
      </w:r>
      <w:proofErr w:type="spellEnd"/>
      <w:r w:rsidRPr="00711310">
        <w:rPr>
          <w:rFonts w:ascii="Times" w:hAnsi="Times"/>
          <w:sz w:val="22"/>
          <w:szCs w:val="22"/>
        </w:rPr>
        <w:t xml:space="preserve">, M. (2013). </w:t>
      </w:r>
      <w:r w:rsidRPr="00711310">
        <w:rPr>
          <w:rFonts w:ascii="Times" w:hAnsi="Times"/>
          <w:i/>
          <w:sz w:val="22"/>
          <w:szCs w:val="22"/>
        </w:rPr>
        <w:t xml:space="preserve">Interpreting and </w:t>
      </w:r>
      <w:proofErr w:type="spellStart"/>
      <w:r w:rsidRPr="00711310">
        <w:rPr>
          <w:rFonts w:ascii="Times" w:hAnsi="Times"/>
          <w:i/>
          <w:sz w:val="22"/>
          <w:szCs w:val="22"/>
        </w:rPr>
        <w:t>Analyzing</w:t>
      </w:r>
      <w:proofErr w:type="spellEnd"/>
      <w:r w:rsidRPr="00711310">
        <w:rPr>
          <w:rFonts w:ascii="Times" w:hAnsi="Times"/>
          <w:i/>
          <w:sz w:val="22"/>
          <w:szCs w:val="22"/>
        </w:rPr>
        <w:t xml:space="preserve"> Financial Statements: A Project-Based Approach, 6</w:t>
      </w:r>
      <w:r w:rsidRPr="00711310">
        <w:rPr>
          <w:rFonts w:ascii="Times" w:hAnsi="Times"/>
          <w:i/>
          <w:sz w:val="22"/>
          <w:szCs w:val="22"/>
          <w:vertAlign w:val="superscript"/>
        </w:rPr>
        <w:t>th</w:t>
      </w:r>
      <w:r w:rsidRPr="00711310">
        <w:rPr>
          <w:rFonts w:ascii="Times" w:hAnsi="Times"/>
          <w:i/>
          <w:sz w:val="22"/>
          <w:szCs w:val="22"/>
        </w:rPr>
        <w:t xml:space="preserve"> Ed. </w:t>
      </w:r>
      <w:r w:rsidRPr="00711310">
        <w:rPr>
          <w:rFonts w:ascii="Times" w:hAnsi="Times"/>
          <w:sz w:val="22"/>
          <w:szCs w:val="22"/>
        </w:rPr>
        <w:t>Upper Saddle River: Prentice Hall.</w:t>
      </w:r>
    </w:p>
    <w:p w14:paraId="6CFB9B5F" w14:textId="72E5EBC8" w:rsidR="00E56CF0" w:rsidRPr="00711310" w:rsidRDefault="00E56CF0" w:rsidP="00E56CF0">
      <w:pPr>
        <w:ind w:left="567" w:hanging="567"/>
        <w:rPr>
          <w:rFonts w:ascii="Times" w:hAnsi="Times"/>
          <w:sz w:val="22"/>
          <w:szCs w:val="22"/>
        </w:rPr>
      </w:pPr>
      <w:r w:rsidRPr="00711310">
        <w:rPr>
          <w:rFonts w:ascii="Times" w:hAnsi="Times"/>
          <w:sz w:val="22"/>
          <w:szCs w:val="22"/>
        </w:rPr>
        <w:t xml:space="preserve">UK (United Kingdom) Government. (2015). </w:t>
      </w:r>
      <w:r w:rsidRPr="00711310">
        <w:rPr>
          <w:rFonts w:ascii="Times" w:hAnsi="Times"/>
          <w:i/>
          <w:sz w:val="22"/>
          <w:szCs w:val="22"/>
        </w:rPr>
        <w:t>Modern Slavery Act of 2015 – Chapter 30.</w:t>
      </w:r>
      <w:r w:rsidRPr="00711310">
        <w:rPr>
          <w:rFonts w:ascii="Times" w:hAnsi="Times"/>
          <w:sz w:val="22"/>
          <w:szCs w:val="22"/>
        </w:rPr>
        <w:t xml:space="preserve">  </w:t>
      </w:r>
    </w:p>
    <w:p w14:paraId="51B97353" w14:textId="77777777" w:rsidR="00050058" w:rsidRPr="00711310" w:rsidRDefault="00050058" w:rsidP="00050058">
      <w:pPr>
        <w:ind w:left="567" w:hanging="567"/>
        <w:rPr>
          <w:rFonts w:ascii="Times" w:hAnsi="Times" w:cs="Arial"/>
          <w:color w:val="000000"/>
          <w:sz w:val="22"/>
          <w:szCs w:val="22"/>
        </w:rPr>
      </w:pPr>
      <w:r w:rsidRPr="00711310">
        <w:rPr>
          <w:rFonts w:ascii="Times" w:hAnsi="Times" w:cs="Arial"/>
          <w:color w:val="000000"/>
          <w:sz w:val="22"/>
          <w:szCs w:val="22"/>
        </w:rPr>
        <w:t>UN (United Nations). (no date A). Sustainable Development Goals 13. Retrieved 15 January 2019 from: &lt;</w:t>
      </w:r>
      <w:hyperlink r:id="rId43" w:history="1">
        <w:r w:rsidRPr="00711310">
          <w:rPr>
            <w:rStyle w:val="Hyperlink"/>
            <w:rFonts w:ascii="Times" w:hAnsi="Times" w:cs="Arial"/>
            <w:sz w:val="22"/>
            <w:szCs w:val="22"/>
          </w:rPr>
          <w:t>https://sustainabledevelopment.un.org/sdg13</w:t>
        </w:r>
      </w:hyperlink>
      <w:r w:rsidRPr="00711310">
        <w:rPr>
          <w:rFonts w:ascii="Times" w:hAnsi="Times" w:cs="Arial"/>
          <w:color w:val="000000"/>
          <w:sz w:val="22"/>
          <w:szCs w:val="22"/>
        </w:rPr>
        <w:t>&gt;</w:t>
      </w:r>
    </w:p>
    <w:p w14:paraId="528A0EBE" w14:textId="77777777" w:rsidR="00050058" w:rsidRPr="00711310" w:rsidRDefault="00050058" w:rsidP="00050058">
      <w:pPr>
        <w:ind w:left="567" w:hanging="567"/>
        <w:rPr>
          <w:rFonts w:ascii="Times" w:hAnsi="Times"/>
          <w:sz w:val="22"/>
          <w:szCs w:val="22"/>
        </w:rPr>
      </w:pPr>
      <w:r w:rsidRPr="00711310">
        <w:rPr>
          <w:rFonts w:ascii="Times" w:hAnsi="Times" w:cs="Arial"/>
          <w:color w:val="000000"/>
          <w:sz w:val="22"/>
          <w:szCs w:val="22"/>
        </w:rPr>
        <w:t>UN (United Nations). (no date B). Sustainable Development Goal 15. Retrieved 15 January 2019 from: &lt;</w:t>
      </w:r>
      <w:hyperlink r:id="rId44" w:history="1">
        <w:r w:rsidRPr="00711310">
          <w:rPr>
            <w:rStyle w:val="Hyperlink"/>
            <w:rFonts w:ascii="Times" w:hAnsi="Times" w:cs="Arial"/>
            <w:sz w:val="22"/>
            <w:szCs w:val="22"/>
          </w:rPr>
          <w:t>https://sustainabledevelopment.un.org/sdg15</w:t>
        </w:r>
      </w:hyperlink>
      <w:r w:rsidRPr="00711310">
        <w:rPr>
          <w:rFonts w:ascii="Times" w:hAnsi="Times" w:cs="Arial"/>
          <w:color w:val="000000"/>
          <w:sz w:val="22"/>
          <w:szCs w:val="22"/>
        </w:rPr>
        <w:t>&gt;</w:t>
      </w:r>
    </w:p>
    <w:p w14:paraId="641B92D1" w14:textId="799351C9" w:rsidR="00E56CF0" w:rsidRPr="00711310" w:rsidRDefault="00E56CF0" w:rsidP="00E56CF0">
      <w:pPr>
        <w:ind w:left="567" w:hanging="567"/>
        <w:rPr>
          <w:rFonts w:ascii="Times" w:hAnsi="Times"/>
          <w:sz w:val="22"/>
          <w:szCs w:val="22"/>
        </w:rPr>
      </w:pPr>
      <w:r w:rsidRPr="00711310">
        <w:rPr>
          <w:rFonts w:ascii="Times" w:hAnsi="Times"/>
          <w:sz w:val="22"/>
          <w:szCs w:val="22"/>
        </w:rPr>
        <w:t xml:space="preserve">UN (United Nations). (no date C). Universal Declaration of Human Rights. </w:t>
      </w:r>
      <w:r w:rsidRPr="00711310">
        <w:rPr>
          <w:rFonts w:ascii="Times" w:hAnsi="Times"/>
          <w:color w:val="000000" w:themeColor="text1"/>
          <w:sz w:val="22"/>
          <w:szCs w:val="22"/>
        </w:rPr>
        <w:t xml:space="preserve">Retrieved </w:t>
      </w:r>
      <w:r w:rsidRPr="00711310">
        <w:rPr>
          <w:rFonts w:ascii="Times" w:hAnsi="Times"/>
          <w:sz w:val="22"/>
          <w:szCs w:val="22"/>
        </w:rPr>
        <w:t>4 December 2018 from:</w:t>
      </w:r>
      <w:r w:rsidRPr="00711310">
        <w:rPr>
          <w:rFonts w:ascii="Times" w:hAnsi="Times"/>
          <w:color w:val="000000" w:themeColor="text1"/>
          <w:sz w:val="22"/>
          <w:szCs w:val="22"/>
        </w:rPr>
        <w:t xml:space="preserve"> &lt;</w:t>
      </w:r>
      <w:hyperlink r:id="rId45" w:history="1">
        <w:r w:rsidRPr="00711310">
          <w:rPr>
            <w:rStyle w:val="Hyperlink"/>
            <w:rFonts w:ascii="Times" w:eastAsiaTheme="majorEastAsia" w:hAnsi="Times"/>
            <w:sz w:val="22"/>
            <w:szCs w:val="22"/>
          </w:rPr>
          <w:t>http://www.un.org/en/universal-declaration-human-rights/</w:t>
        </w:r>
      </w:hyperlink>
      <w:r w:rsidRPr="00711310">
        <w:rPr>
          <w:rFonts w:ascii="Times" w:hAnsi="Times"/>
          <w:sz w:val="22"/>
          <w:szCs w:val="22"/>
        </w:rPr>
        <w:t xml:space="preserve">&gt; </w:t>
      </w:r>
    </w:p>
    <w:p w14:paraId="5E702620" w14:textId="0F7372B8" w:rsidR="00E56CF0" w:rsidRPr="00711310" w:rsidRDefault="00E56CF0" w:rsidP="00E56CF0">
      <w:pPr>
        <w:ind w:left="567" w:hanging="567"/>
        <w:rPr>
          <w:rFonts w:ascii="Times" w:hAnsi="Times"/>
          <w:sz w:val="22"/>
          <w:szCs w:val="22"/>
        </w:rPr>
      </w:pPr>
      <w:proofErr w:type="spellStart"/>
      <w:r w:rsidRPr="00711310">
        <w:rPr>
          <w:rFonts w:ascii="Times" w:hAnsi="Times"/>
          <w:sz w:val="22"/>
          <w:szCs w:val="22"/>
        </w:rPr>
        <w:t>Waltenberger</w:t>
      </w:r>
      <w:proofErr w:type="spellEnd"/>
      <w:r w:rsidRPr="00711310">
        <w:rPr>
          <w:rFonts w:ascii="Times" w:hAnsi="Times"/>
          <w:sz w:val="22"/>
          <w:szCs w:val="22"/>
        </w:rPr>
        <w:t xml:space="preserve">, J., &amp; Ruff-Stahl, H. (2018). Implications of Short Scheduled Ground Times for European Carriers. </w:t>
      </w:r>
      <w:r w:rsidRPr="00711310">
        <w:rPr>
          <w:rFonts w:ascii="Times" w:hAnsi="Times"/>
          <w:i/>
          <w:sz w:val="22"/>
          <w:szCs w:val="22"/>
        </w:rPr>
        <w:t>International Journal of Aviation, Aeronautics, and Aerospace 5</w:t>
      </w:r>
      <w:r w:rsidRPr="00711310">
        <w:rPr>
          <w:rFonts w:ascii="Times" w:hAnsi="Times"/>
          <w:sz w:val="22"/>
          <w:szCs w:val="22"/>
        </w:rPr>
        <w:t xml:space="preserve">(3). </w:t>
      </w:r>
      <w:r w:rsidRPr="00711310">
        <w:rPr>
          <w:rFonts w:ascii="Times" w:hAnsi="Times"/>
          <w:color w:val="000000" w:themeColor="text1"/>
          <w:sz w:val="22"/>
          <w:szCs w:val="22"/>
        </w:rPr>
        <w:t xml:space="preserve">Retrieved </w:t>
      </w:r>
      <w:r w:rsidRPr="00711310">
        <w:rPr>
          <w:rFonts w:ascii="Times" w:hAnsi="Times"/>
          <w:sz w:val="22"/>
          <w:szCs w:val="22"/>
        </w:rPr>
        <w:t>4 December 2018 from:</w:t>
      </w:r>
      <w:r w:rsidRPr="00711310">
        <w:rPr>
          <w:rFonts w:ascii="Times" w:hAnsi="Times"/>
          <w:color w:val="000000" w:themeColor="text1"/>
          <w:sz w:val="22"/>
          <w:szCs w:val="22"/>
        </w:rPr>
        <w:t xml:space="preserve"> &lt;</w:t>
      </w:r>
      <w:hyperlink r:id="rId46" w:history="1">
        <w:r w:rsidRPr="00711310">
          <w:rPr>
            <w:rStyle w:val="Hyperlink"/>
            <w:rFonts w:ascii="Times" w:hAnsi="Times" w:cs="Arial"/>
            <w:sz w:val="22"/>
            <w:szCs w:val="22"/>
            <w:shd w:val="clear" w:color="auto" w:fill="FFFFFF"/>
          </w:rPr>
          <w:t>https://doi.org/10.15394/ijaaa.2018.1244</w:t>
        </w:r>
      </w:hyperlink>
      <w:r w:rsidRPr="00711310">
        <w:rPr>
          <w:rFonts w:ascii="Times" w:hAnsi="Times" w:cs="Arial"/>
          <w:color w:val="000000"/>
          <w:sz w:val="22"/>
          <w:szCs w:val="22"/>
          <w:shd w:val="clear" w:color="auto" w:fill="FFFFFF"/>
        </w:rPr>
        <w:t>&gt;</w:t>
      </w:r>
    </w:p>
    <w:p w14:paraId="7BC33FC3" w14:textId="77777777" w:rsidR="00EC293C" w:rsidRPr="00EC293C" w:rsidRDefault="00EC293C" w:rsidP="00EC293C">
      <w:pPr>
        <w:rPr>
          <w:rFonts w:ascii="Times" w:hAnsi="Times" w:cs="Arial"/>
          <w:b/>
          <w:sz w:val="22"/>
          <w:szCs w:val="22"/>
        </w:rPr>
      </w:pPr>
    </w:p>
    <w:sectPr w:rsidR="00EC293C" w:rsidRPr="00EC293C" w:rsidSect="008206B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72F53E" w14:textId="77777777" w:rsidR="00102E32" w:rsidRDefault="00102E32" w:rsidP="00557442">
      <w:r>
        <w:separator/>
      </w:r>
    </w:p>
  </w:endnote>
  <w:endnote w:type="continuationSeparator" w:id="0">
    <w:p w14:paraId="38B096DF" w14:textId="77777777" w:rsidR="00102E32" w:rsidRDefault="00102E32" w:rsidP="00557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Body)">
    <w:altName w:val="Calibri"/>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1B9560" w14:textId="77777777" w:rsidR="00442E8B" w:rsidRDefault="00442E8B" w:rsidP="00895CB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3E442B" w14:textId="77777777" w:rsidR="00442E8B" w:rsidRDefault="00442E8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BA2FD7" w14:textId="77777777" w:rsidR="00442E8B" w:rsidRPr="00D82CDC" w:rsidRDefault="00442E8B" w:rsidP="00895CB6">
    <w:pPr>
      <w:pStyle w:val="Footer"/>
      <w:framePr w:wrap="none" w:vAnchor="text" w:hAnchor="margin" w:xAlign="center" w:y="1"/>
      <w:rPr>
        <w:rStyle w:val="PageNumber"/>
      </w:rPr>
    </w:pPr>
    <w:r w:rsidRPr="00D82CDC">
      <w:rPr>
        <w:rStyle w:val="PageNumber"/>
      </w:rPr>
      <w:fldChar w:fldCharType="begin"/>
    </w:r>
    <w:r w:rsidRPr="00D82CDC">
      <w:rPr>
        <w:rStyle w:val="PageNumber"/>
      </w:rPr>
      <w:instrText xml:space="preserve">PAGE  </w:instrText>
    </w:r>
    <w:r w:rsidRPr="00D82CDC">
      <w:rPr>
        <w:rStyle w:val="PageNumber"/>
      </w:rPr>
      <w:fldChar w:fldCharType="separate"/>
    </w:r>
    <w:r w:rsidR="00F055D8">
      <w:rPr>
        <w:rStyle w:val="PageNumber"/>
        <w:noProof/>
      </w:rPr>
      <w:t>1</w:t>
    </w:r>
    <w:r w:rsidRPr="00D82CDC">
      <w:rPr>
        <w:rStyle w:val="PageNumber"/>
      </w:rPr>
      <w:fldChar w:fldCharType="end"/>
    </w:r>
  </w:p>
  <w:p w14:paraId="34CA3308" w14:textId="77777777" w:rsidR="00442E8B" w:rsidRDefault="00442E8B">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5FC53" w14:textId="77777777" w:rsidR="00442E8B" w:rsidRDefault="00442E8B" w:rsidP="00895CB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7DEA73" w14:textId="77777777" w:rsidR="00442E8B" w:rsidRDefault="00442E8B">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70374" w14:textId="77777777" w:rsidR="00442E8B" w:rsidRPr="00D82CDC" w:rsidRDefault="00442E8B" w:rsidP="00895CB6">
    <w:pPr>
      <w:pStyle w:val="Footer"/>
      <w:framePr w:wrap="none" w:vAnchor="text" w:hAnchor="margin" w:xAlign="center" w:y="1"/>
      <w:rPr>
        <w:rStyle w:val="PageNumber"/>
      </w:rPr>
    </w:pPr>
    <w:r w:rsidRPr="00D82CDC">
      <w:rPr>
        <w:rStyle w:val="PageNumber"/>
      </w:rPr>
      <w:fldChar w:fldCharType="begin"/>
    </w:r>
    <w:r w:rsidRPr="00D82CDC">
      <w:rPr>
        <w:rStyle w:val="PageNumber"/>
      </w:rPr>
      <w:instrText xml:space="preserve">PAGE  </w:instrText>
    </w:r>
    <w:r w:rsidRPr="00D82CDC">
      <w:rPr>
        <w:rStyle w:val="PageNumber"/>
      </w:rPr>
      <w:fldChar w:fldCharType="separate"/>
    </w:r>
    <w:r w:rsidR="00860DEE">
      <w:rPr>
        <w:rStyle w:val="PageNumber"/>
        <w:noProof/>
      </w:rPr>
      <w:t>6</w:t>
    </w:r>
    <w:r w:rsidRPr="00D82CDC">
      <w:rPr>
        <w:rStyle w:val="PageNumber"/>
      </w:rPr>
      <w:fldChar w:fldCharType="end"/>
    </w:r>
  </w:p>
  <w:p w14:paraId="7E8C77EA" w14:textId="77777777" w:rsidR="00442E8B" w:rsidRDefault="00442E8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58B01E" w14:textId="77777777" w:rsidR="00102E32" w:rsidRDefault="00102E32" w:rsidP="00557442">
      <w:r>
        <w:separator/>
      </w:r>
    </w:p>
  </w:footnote>
  <w:footnote w:type="continuationSeparator" w:id="0">
    <w:p w14:paraId="063151B2" w14:textId="77777777" w:rsidR="00102E32" w:rsidRDefault="00102E32" w:rsidP="00557442">
      <w:r>
        <w:continuationSeparator/>
      </w:r>
    </w:p>
  </w:footnote>
  <w:footnote w:id="1">
    <w:p w14:paraId="6832F3A9" w14:textId="1640B63F" w:rsidR="00442E8B" w:rsidRPr="0089681E" w:rsidRDefault="00442E8B" w:rsidP="007672DE">
      <w:pPr>
        <w:ind w:firstLine="284"/>
        <w:jc w:val="both"/>
        <w:rPr>
          <w:color w:val="000000" w:themeColor="text1"/>
        </w:rPr>
      </w:pPr>
      <w:r w:rsidRPr="0089681E">
        <w:rPr>
          <w:rStyle w:val="FootnoteReference"/>
          <w:color w:val="000000" w:themeColor="text1"/>
        </w:rPr>
        <w:footnoteRef/>
      </w:r>
      <w:r w:rsidRPr="0089681E">
        <w:rPr>
          <w:color w:val="000000" w:themeColor="text1"/>
        </w:rPr>
        <w:t xml:space="preserve"> </w:t>
      </w:r>
      <w:r w:rsidRPr="0089681E">
        <w:rPr>
          <w:color w:val="000000" w:themeColor="text1"/>
          <w:lang w:val="en-CA"/>
        </w:rPr>
        <w:t xml:space="preserve">For more information, please see the </w:t>
      </w:r>
      <w:r w:rsidRPr="0089681E">
        <w:rPr>
          <w:i/>
          <w:color w:val="000000" w:themeColor="text1"/>
          <w:lang w:val="en-CA"/>
        </w:rPr>
        <w:t xml:space="preserve">Universal Declaration of Human Rights </w:t>
      </w:r>
      <w:r w:rsidRPr="0089681E">
        <w:rPr>
          <w:color w:val="000000" w:themeColor="text1"/>
          <w:lang w:val="en-CA"/>
        </w:rPr>
        <w:t>of the United Nations which</w:t>
      </w:r>
      <w:r w:rsidR="0079734A">
        <w:rPr>
          <w:color w:val="000000" w:themeColor="text1"/>
          <w:lang w:val="en-CA"/>
        </w:rPr>
        <w:t xml:space="preserve"> </w:t>
      </w:r>
      <w:r w:rsidRPr="0089681E">
        <w:rPr>
          <w:color w:val="000000" w:themeColor="text1"/>
          <w:lang w:val="en-CA"/>
        </w:rPr>
        <w:t>sets out</w:t>
      </w:r>
      <w:r w:rsidRPr="0089681E">
        <w:rPr>
          <w:color w:val="000000" w:themeColor="text1"/>
          <w:shd w:val="clear" w:color="auto" w:fill="FFFFFF"/>
        </w:rPr>
        <w:t xml:space="preserve"> fundamental human rights meant to be enjoyed and universally protected for all persons (UN no date).</w:t>
      </w:r>
    </w:p>
  </w:footnote>
  <w:footnote w:id="2">
    <w:p w14:paraId="05BA7729" w14:textId="4B9C5EAF" w:rsidR="00442E8B" w:rsidRPr="0089681E" w:rsidRDefault="00442E8B" w:rsidP="007672DE">
      <w:pPr>
        <w:ind w:firstLine="284"/>
        <w:jc w:val="both"/>
      </w:pPr>
      <w:r w:rsidRPr="0089681E">
        <w:rPr>
          <w:rStyle w:val="FootnoteReference"/>
          <w:color w:val="000000" w:themeColor="text1"/>
        </w:rPr>
        <w:footnoteRef/>
      </w:r>
      <w:r w:rsidRPr="0089681E">
        <w:rPr>
          <w:color w:val="000000" w:themeColor="text1"/>
        </w:rPr>
        <w:t xml:space="preserve"> In summary, the </w:t>
      </w:r>
      <w:r w:rsidRPr="0089681E">
        <w:rPr>
          <w:i/>
          <w:color w:val="000000" w:themeColor="text1"/>
        </w:rPr>
        <w:t>Modern Slavery Act</w:t>
      </w:r>
      <w:r w:rsidRPr="0089681E">
        <w:rPr>
          <w:color w:val="000000" w:themeColor="text1"/>
        </w:rPr>
        <w:t xml:space="preserve"> is a UK governmental policy which seeks to eradicate slavery in all forms (e.g. slavery, servitude, forced/compulsory labour, human trafficking) and </w:t>
      </w:r>
      <w:r w:rsidR="00412455">
        <w:rPr>
          <w:color w:val="000000" w:themeColor="text1"/>
        </w:rPr>
        <w:t xml:space="preserve">protect </w:t>
      </w:r>
      <w:r w:rsidRPr="0089681E">
        <w:rPr>
          <w:color w:val="000000"/>
          <w:shd w:val="clear" w:color="auto" w:fill="FFFFFF"/>
        </w:rPr>
        <w:t>victims</w:t>
      </w:r>
      <w:r w:rsidRPr="0089681E">
        <w:rPr>
          <w:i/>
          <w:color w:val="000000" w:themeColor="text1"/>
        </w:rPr>
        <w:t xml:space="preserve"> </w:t>
      </w:r>
      <w:r w:rsidRPr="0089681E">
        <w:rPr>
          <w:color w:val="000000" w:themeColor="text1"/>
        </w:rPr>
        <w:t>(UK Government 2015; Home Office</w:t>
      </w:r>
      <w:r w:rsidR="00412455">
        <w:rPr>
          <w:color w:val="000000" w:themeColor="text1"/>
        </w:rPr>
        <w:t xml:space="preserve"> et al.</w:t>
      </w:r>
      <w:r w:rsidRPr="0089681E">
        <w:rPr>
          <w:color w:val="000000" w:themeColor="text1"/>
        </w:rPr>
        <w:t xml:space="preserve"> 2015). </w:t>
      </w:r>
      <w:r w:rsidRPr="0089681E">
        <w:rPr>
          <w:i/>
          <w:color w:val="000000" w:themeColor="text1"/>
        </w:rPr>
        <w:t xml:space="preserve"> </w:t>
      </w:r>
    </w:p>
  </w:footnote>
  <w:footnote w:id="3">
    <w:p w14:paraId="5D7A0E6C" w14:textId="43C1B0AD" w:rsidR="00442E8B" w:rsidRDefault="00442E8B" w:rsidP="007672DE">
      <w:pPr>
        <w:pStyle w:val="FootnoteText"/>
        <w:ind w:firstLine="284"/>
      </w:pPr>
      <w:r w:rsidRPr="007F7C5F">
        <w:rPr>
          <w:rStyle w:val="FootnoteReference"/>
          <w:sz w:val="20"/>
          <w:szCs w:val="20"/>
        </w:rPr>
        <w:footnoteRef/>
      </w:r>
      <w:r w:rsidRPr="007F7C5F">
        <w:rPr>
          <w:sz w:val="20"/>
          <w:szCs w:val="20"/>
        </w:rPr>
        <w:t xml:space="preserve"> Based on calculations derived from </w:t>
      </w:r>
      <w:proofErr w:type="spellStart"/>
      <w:r w:rsidRPr="007F7C5F">
        <w:rPr>
          <w:sz w:val="20"/>
          <w:szCs w:val="20"/>
        </w:rPr>
        <w:t>Atrill</w:t>
      </w:r>
      <w:proofErr w:type="spellEnd"/>
      <w:r w:rsidRPr="007F7C5F">
        <w:rPr>
          <w:sz w:val="20"/>
          <w:szCs w:val="20"/>
        </w:rPr>
        <w:t xml:space="preserve"> 2013, p. 185-211.</w:t>
      </w:r>
    </w:p>
  </w:footnote>
  <w:footnote w:id="4">
    <w:p w14:paraId="2E883DB8" w14:textId="77777777" w:rsidR="00442E8B" w:rsidRPr="00803120" w:rsidRDefault="00442E8B" w:rsidP="007672DE">
      <w:pPr>
        <w:pStyle w:val="FootnoteText"/>
        <w:jc w:val="both"/>
        <w:rPr>
          <w:rFonts w:ascii="Times" w:hAnsi="Times"/>
          <w:sz w:val="20"/>
          <w:szCs w:val="20"/>
          <w:lang w:val="en-CA"/>
        </w:rPr>
      </w:pPr>
      <w:r w:rsidRPr="00803120">
        <w:rPr>
          <w:rStyle w:val="FootnoteReference"/>
          <w:rFonts w:ascii="Times" w:hAnsi="Times"/>
          <w:sz w:val="20"/>
          <w:szCs w:val="20"/>
        </w:rPr>
        <w:footnoteRef/>
      </w:r>
      <w:r w:rsidRPr="00803120">
        <w:rPr>
          <w:rFonts w:ascii="Times" w:hAnsi="Times"/>
          <w:sz w:val="20"/>
          <w:szCs w:val="20"/>
        </w:rPr>
        <w:t xml:space="preserve"> </w:t>
      </w:r>
      <w:r w:rsidRPr="00803120">
        <w:rPr>
          <w:rFonts w:ascii="Times" w:hAnsi="Times"/>
          <w:color w:val="000000" w:themeColor="text1"/>
          <w:sz w:val="20"/>
          <w:szCs w:val="20"/>
        </w:rPr>
        <w:t xml:space="preserve">In 2016, EasyJet began measuring </w:t>
      </w:r>
      <w:r>
        <w:rPr>
          <w:rFonts w:ascii="Times" w:hAnsi="Times"/>
          <w:color w:val="000000" w:themeColor="text1"/>
          <w:sz w:val="20"/>
          <w:szCs w:val="20"/>
        </w:rPr>
        <w:t>profitability</w:t>
      </w:r>
      <w:r w:rsidRPr="00803120">
        <w:rPr>
          <w:rFonts w:ascii="Times" w:hAnsi="Times"/>
          <w:color w:val="000000" w:themeColor="text1"/>
          <w:sz w:val="20"/>
          <w:szCs w:val="20"/>
        </w:rPr>
        <w:t xml:space="preserve"> in two ways: headline and non-headline profits. The former excludes costs for non-recurring and one-off items, including major capital investments, and the latter includes them (EasyJet 2016). This was done due to the nature of the airline industry which requires large, one-off investments to evolve and grow (e.g. purchasing of new aircraft). For investors, this separation is better because it gives a healthier idea of the company’s progression, financial performance and evolution. For analysts, this is also better as the separation removes amounts which would otherwise skew their analyses.</w:t>
      </w:r>
    </w:p>
  </w:footnote>
  <w:footnote w:id="5">
    <w:p w14:paraId="3BB498AE" w14:textId="77777777" w:rsidR="00442E8B" w:rsidRPr="000D3D12" w:rsidRDefault="00442E8B" w:rsidP="007672DE">
      <w:pPr>
        <w:pStyle w:val="FootnoteText"/>
        <w:ind w:firstLine="284"/>
        <w:jc w:val="both"/>
        <w:rPr>
          <w:rFonts w:ascii="Times" w:hAnsi="Times"/>
          <w:sz w:val="20"/>
          <w:szCs w:val="20"/>
          <w:lang w:val="en-CA"/>
        </w:rPr>
      </w:pPr>
      <w:r w:rsidRPr="000D3D12">
        <w:rPr>
          <w:rStyle w:val="FootnoteReference"/>
          <w:rFonts w:ascii="Times" w:hAnsi="Times"/>
          <w:sz w:val="20"/>
          <w:szCs w:val="20"/>
        </w:rPr>
        <w:footnoteRef/>
      </w:r>
      <w:r w:rsidRPr="000D3D12">
        <w:rPr>
          <w:rFonts w:ascii="Times" w:hAnsi="Times"/>
          <w:sz w:val="20"/>
          <w:szCs w:val="20"/>
        </w:rPr>
        <w:t xml:space="preserve"> </w:t>
      </w:r>
      <w:r w:rsidRPr="000D3D12">
        <w:rPr>
          <w:rFonts w:ascii="Times" w:hAnsi="Times"/>
          <w:sz w:val="20"/>
          <w:szCs w:val="20"/>
          <w:lang w:val="en-CA"/>
        </w:rPr>
        <w:t xml:space="preserve">Terminology for all ratios calculated has been aligned, where possible, with the terminology used by </w:t>
      </w:r>
      <w:r>
        <w:rPr>
          <w:rFonts w:ascii="Times" w:hAnsi="Times"/>
          <w:sz w:val="20"/>
          <w:szCs w:val="20"/>
          <w:lang w:val="en-CA"/>
        </w:rPr>
        <w:t>EasyJet</w:t>
      </w:r>
      <w:r w:rsidRPr="000D3D12">
        <w:rPr>
          <w:rFonts w:ascii="Times" w:hAnsi="Times"/>
          <w:sz w:val="20"/>
          <w:szCs w:val="20"/>
          <w:lang w:val="en-CA"/>
        </w:rPr>
        <w:t xml:space="preserve"> PLC, as per Appendices II</w:t>
      </w:r>
      <w:r>
        <w:rPr>
          <w:rFonts w:ascii="Times" w:hAnsi="Times"/>
          <w:sz w:val="20"/>
          <w:szCs w:val="20"/>
          <w:lang w:val="en-CA"/>
        </w:rPr>
        <w:t>I</w:t>
      </w:r>
      <w:r w:rsidRPr="000D3D12">
        <w:rPr>
          <w:rFonts w:ascii="Times" w:hAnsi="Times"/>
          <w:sz w:val="20"/>
          <w:szCs w:val="20"/>
          <w:lang w:val="en-CA"/>
        </w:rPr>
        <w:t xml:space="preserve"> –</w:t>
      </w:r>
      <w:r>
        <w:rPr>
          <w:rFonts w:ascii="Times" w:hAnsi="Times"/>
          <w:sz w:val="20"/>
          <w:szCs w:val="20"/>
          <w:lang w:val="en-CA"/>
        </w:rPr>
        <w:t xml:space="preserve"> </w:t>
      </w:r>
      <w:r w:rsidRPr="000D3D12">
        <w:rPr>
          <w:rFonts w:ascii="Times" w:hAnsi="Times"/>
          <w:sz w:val="20"/>
          <w:szCs w:val="20"/>
          <w:lang w:val="en-CA"/>
        </w:rPr>
        <w:t>V.</w:t>
      </w:r>
    </w:p>
  </w:footnote>
  <w:footnote w:id="6">
    <w:p w14:paraId="1A522713" w14:textId="77777777" w:rsidR="00442E8B" w:rsidRPr="000D3D12" w:rsidRDefault="00442E8B" w:rsidP="007672DE">
      <w:pPr>
        <w:pStyle w:val="FootnoteText"/>
        <w:ind w:firstLine="284"/>
        <w:rPr>
          <w:lang w:val="en-CA"/>
        </w:rPr>
      </w:pPr>
      <w:r w:rsidRPr="000D3D12">
        <w:rPr>
          <w:rStyle w:val="FootnoteReference"/>
          <w:rFonts w:ascii="Times" w:hAnsi="Times"/>
          <w:sz w:val="20"/>
          <w:szCs w:val="20"/>
        </w:rPr>
        <w:footnoteRef/>
      </w:r>
      <w:r w:rsidRPr="000D3D12">
        <w:rPr>
          <w:rFonts w:ascii="Times" w:hAnsi="Times"/>
          <w:sz w:val="20"/>
          <w:szCs w:val="20"/>
        </w:rPr>
        <w:t xml:space="preserve"> All methodologies/formulae used and referred to from Appendix I, 1 – 5 above, were derived from </w:t>
      </w:r>
      <w:proofErr w:type="spellStart"/>
      <w:r w:rsidRPr="000D3D12">
        <w:rPr>
          <w:rFonts w:ascii="Times" w:hAnsi="Times"/>
          <w:sz w:val="20"/>
          <w:szCs w:val="20"/>
        </w:rPr>
        <w:t>Atrill</w:t>
      </w:r>
      <w:proofErr w:type="spellEnd"/>
      <w:r w:rsidRPr="000D3D12">
        <w:rPr>
          <w:rFonts w:ascii="Times" w:hAnsi="Times"/>
          <w:sz w:val="20"/>
          <w:szCs w:val="20"/>
        </w:rPr>
        <w:t xml:space="preserve"> and </w:t>
      </w:r>
      <w:proofErr w:type="spellStart"/>
      <w:r w:rsidRPr="000D3D12">
        <w:rPr>
          <w:rFonts w:ascii="Times" w:hAnsi="Times"/>
          <w:sz w:val="20"/>
          <w:szCs w:val="20"/>
        </w:rPr>
        <w:t>McLaney</w:t>
      </w:r>
      <w:proofErr w:type="spellEnd"/>
      <w:r w:rsidRPr="000D3D12">
        <w:rPr>
          <w:rFonts w:ascii="Times" w:hAnsi="Times"/>
          <w:sz w:val="20"/>
          <w:szCs w:val="20"/>
        </w:rPr>
        <w:t xml:space="preserve"> 2013, p. 185-211, unless cited otherwise.</w:t>
      </w:r>
    </w:p>
  </w:footnote>
  <w:footnote w:id="7">
    <w:p w14:paraId="5CB1D1E7" w14:textId="77777777" w:rsidR="00442E8B" w:rsidRPr="008279DF" w:rsidRDefault="00442E8B" w:rsidP="007672DE">
      <w:pPr>
        <w:pStyle w:val="FootnoteText"/>
        <w:rPr>
          <w:rFonts w:ascii="Times" w:hAnsi="Times"/>
          <w:lang w:val="en-CA"/>
        </w:rPr>
      </w:pPr>
      <w:r w:rsidRPr="008279DF">
        <w:rPr>
          <w:rStyle w:val="FootnoteReference"/>
          <w:rFonts w:ascii="Times" w:hAnsi="Times"/>
          <w:sz w:val="20"/>
        </w:rPr>
        <w:footnoteRef/>
      </w:r>
      <w:r w:rsidRPr="008279DF">
        <w:rPr>
          <w:rFonts w:ascii="Times" w:hAnsi="Times"/>
          <w:sz w:val="20"/>
        </w:rPr>
        <w:t xml:space="preserve"> Calculated separately from </w:t>
      </w:r>
      <w:r>
        <w:rPr>
          <w:rFonts w:ascii="Times" w:hAnsi="Times"/>
          <w:sz w:val="20"/>
        </w:rPr>
        <w:t>EasyJet</w:t>
      </w:r>
      <w:r w:rsidRPr="008279DF">
        <w:rPr>
          <w:rFonts w:ascii="Times" w:hAnsi="Times"/>
          <w:sz w:val="20"/>
        </w:rPr>
        <w:t>’s Balance Sheets.</w:t>
      </w:r>
    </w:p>
  </w:footnote>
  <w:footnote w:id="8">
    <w:p w14:paraId="72994669" w14:textId="77777777" w:rsidR="00442E8B" w:rsidRPr="003E239C" w:rsidRDefault="00442E8B">
      <w:pPr>
        <w:pStyle w:val="FootnoteText"/>
        <w:rPr>
          <w:sz w:val="20"/>
          <w:szCs w:val="20"/>
          <w:lang w:val="en-CA"/>
        </w:rPr>
      </w:pPr>
      <w:r w:rsidRPr="003E239C">
        <w:rPr>
          <w:rStyle w:val="FootnoteReference"/>
          <w:sz w:val="20"/>
          <w:szCs w:val="20"/>
        </w:rPr>
        <w:footnoteRef/>
      </w:r>
      <w:r w:rsidRPr="003E239C">
        <w:rPr>
          <w:sz w:val="20"/>
          <w:szCs w:val="20"/>
        </w:rPr>
        <w:t xml:space="preserve"> </w:t>
      </w:r>
      <w:r w:rsidRPr="003E239C">
        <w:rPr>
          <w:color w:val="000000" w:themeColor="text1"/>
          <w:sz w:val="20"/>
          <w:szCs w:val="20"/>
        </w:rPr>
        <w:t xml:space="preserve">Note: All calculations derived from </w:t>
      </w:r>
      <w:proofErr w:type="spellStart"/>
      <w:r w:rsidRPr="003E239C">
        <w:rPr>
          <w:color w:val="000000" w:themeColor="text1"/>
          <w:sz w:val="20"/>
          <w:szCs w:val="20"/>
        </w:rPr>
        <w:t>Atrill</w:t>
      </w:r>
      <w:proofErr w:type="spellEnd"/>
      <w:r w:rsidRPr="003E239C">
        <w:rPr>
          <w:color w:val="000000" w:themeColor="text1"/>
          <w:sz w:val="20"/>
          <w:szCs w:val="20"/>
        </w:rPr>
        <w:t xml:space="preserve"> 2013, p. 345-369</w:t>
      </w:r>
    </w:p>
  </w:footnote>
  <w:footnote w:id="9">
    <w:p w14:paraId="7D2F155D" w14:textId="77777777" w:rsidR="00442E8B" w:rsidRPr="000A2B5F" w:rsidRDefault="00442E8B" w:rsidP="00EC3EB0">
      <w:pPr>
        <w:pStyle w:val="FootnoteText"/>
        <w:ind w:firstLine="284"/>
        <w:jc w:val="both"/>
        <w:rPr>
          <w:lang w:val="en-CA"/>
        </w:rPr>
      </w:pPr>
      <w:r w:rsidRPr="000A2B5F">
        <w:rPr>
          <w:rStyle w:val="FootnoteReference"/>
          <w:sz w:val="20"/>
          <w:szCs w:val="20"/>
        </w:rPr>
        <w:footnoteRef/>
      </w:r>
      <w:r w:rsidRPr="000A2B5F">
        <w:rPr>
          <w:sz w:val="20"/>
          <w:szCs w:val="20"/>
        </w:rPr>
        <w:t xml:space="preserve"> </w:t>
      </w:r>
      <w:r>
        <w:rPr>
          <w:sz w:val="20"/>
          <w:szCs w:val="20"/>
        </w:rPr>
        <w:t>However, since</w:t>
      </w:r>
      <w:r w:rsidRPr="000A2B5F">
        <w:rPr>
          <w:sz w:val="20"/>
          <w:szCs w:val="20"/>
        </w:rPr>
        <w:t xml:space="preserve"> this is not being taken into account </w:t>
      </w:r>
      <w:r>
        <w:rPr>
          <w:sz w:val="20"/>
          <w:szCs w:val="20"/>
        </w:rPr>
        <w:t xml:space="preserve">in this </w:t>
      </w:r>
      <w:r w:rsidRPr="000A2B5F">
        <w:rPr>
          <w:sz w:val="20"/>
          <w:szCs w:val="20"/>
        </w:rPr>
        <w:t>part of th</w:t>
      </w:r>
      <w:r>
        <w:rPr>
          <w:sz w:val="20"/>
          <w:szCs w:val="20"/>
        </w:rPr>
        <w:t>e</w:t>
      </w:r>
      <w:r w:rsidRPr="000A2B5F">
        <w:rPr>
          <w:sz w:val="20"/>
          <w:szCs w:val="20"/>
        </w:rPr>
        <w:t xml:space="preserve"> analysis, </w:t>
      </w:r>
      <w:r>
        <w:rPr>
          <w:sz w:val="20"/>
          <w:szCs w:val="20"/>
        </w:rPr>
        <w:t>one can</w:t>
      </w:r>
      <w:r w:rsidRPr="000A2B5F">
        <w:rPr>
          <w:sz w:val="20"/>
          <w:szCs w:val="20"/>
        </w:rPr>
        <w:t xml:space="preserve"> assume that in reality it would be a major component of decision-making.</w:t>
      </w:r>
    </w:p>
  </w:footnote>
  <w:footnote w:id="10">
    <w:p w14:paraId="12538E4B" w14:textId="77777777" w:rsidR="00442E8B" w:rsidRPr="003E239C" w:rsidRDefault="00442E8B" w:rsidP="003E239C">
      <w:pPr>
        <w:pStyle w:val="FootnoteText"/>
        <w:ind w:firstLine="284"/>
        <w:jc w:val="both"/>
        <w:rPr>
          <w:sz w:val="20"/>
          <w:szCs w:val="20"/>
        </w:rPr>
      </w:pPr>
      <w:r w:rsidRPr="003E239C">
        <w:rPr>
          <w:rStyle w:val="FootnoteReference"/>
          <w:sz w:val="20"/>
          <w:szCs w:val="20"/>
        </w:rPr>
        <w:footnoteRef/>
      </w:r>
      <w:r w:rsidRPr="003E239C">
        <w:rPr>
          <w:sz w:val="20"/>
          <w:szCs w:val="20"/>
        </w:rPr>
        <w:t xml:space="preserve"> </w:t>
      </w:r>
      <w:r>
        <w:rPr>
          <w:sz w:val="20"/>
          <w:szCs w:val="20"/>
        </w:rPr>
        <w:t>This study</w:t>
      </w:r>
      <w:r w:rsidRPr="003E239C">
        <w:rPr>
          <w:sz w:val="20"/>
          <w:szCs w:val="20"/>
        </w:rPr>
        <w:t xml:space="preserve"> only </w:t>
      </w:r>
      <w:r>
        <w:rPr>
          <w:sz w:val="20"/>
          <w:szCs w:val="20"/>
        </w:rPr>
        <w:t>requires</w:t>
      </w:r>
      <w:r w:rsidRPr="003E239C">
        <w:rPr>
          <w:sz w:val="20"/>
          <w:szCs w:val="20"/>
        </w:rPr>
        <w:t xml:space="preserve"> </w:t>
      </w:r>
      <w:r>
        <w:rPr>
          <w:sz w:val="20"/>
          <w:szCs w:val="20"/>
        </w:rPr>
        <w:t>a calculation of</w:t>
      </w:r>
      <w:r w:rsidRPr="003E239C">
        <w:rPr>
          <w:sz w:val="20"/>
          <w:szCs w:val="20"/>
        </w:rPr>
        <w:t xml:space="preserve"> the approximate IRR for the selected project,</w:t>
      </w:r>
      <w:r>
        <w:rPr>
          <w:sz w:val="20"/>
          <w:szCs w:val="20"/>
        </w:rPr>
        <w:t xml:space="preserve"> but</w:t>
      </w:r>
      <w:r w:rsidRPr="003E239C">
        <w:rPr>
          <w:sz w:val="20"/>
          <w:szCs w:val="20"/>
        </w:rPr>
        <w:t xml:space="preserve"> in the interest of a more in-depth analysis, the approximate IRR for projects A and B </w:t>
      </w:r>
      <w:r>
        <w:rPr>
          <w:sz w:val="20"/>
          <w:szCs w:val="20"/>
        </w:rPr>
        <w:t xml:space="preserve">are 34.15% and 28.37% respectively. </w:t>
      </w:r>
      <w:r w:rsidRPr="00875C90">
        <w:rPr>
          <w:sz w:val="20"/>
          <w:szCs w:val="20"/>
        </w:rPr>
        <w:t xml:space="preserve">Using the IRR approach to appraise the </w:t>
      </w:r>
      <w:r>
        <w:rPr>
          <w:sz w:val="20"/>
          <w:szCs w:val="20"/>
        </w:rPr>
        <w:t>investments, these can be ranke</w:t>
      </w:r>
      <w:r w:rsidRPr="00875C90">
        <w:rPr>
          <w:sz w:val="20"/>
          <w:szCs w:val="20"/>
        </w:rPr>
        <w:t>d from best to worst as follows: A, B, C. However, due to the limitations of the IRR method as a stand-alone approach, the NPV method should still be followed.</w:t>
      </w:r>
    </w:p>
  </w:footnote>
  <w:footnote w:id="11">
    <w:p w14:paraId="2A869050" w14:textId="77777777" w:rsidR="00442E8B" w:rsidRPr="00AA365F" w:rsidRDefault="00442E8B">
      <w:pPr>
        <w:pStyle w:val="FootnoteText"/>
        <w:rPr>
          <w:lang w:val="en-CA"/>
        </w:rPr>
      </w:pPr>
      <w:r>
        <w:rPr>
          <w:rStyle w:val="FootnoteReference"/>
        </w:rPr>
        <w:footnoteRef/>
      </w:r>
      <w:r>
        <w:t xml:space="preserve"> </w:t>
      </w:r>
      <w:r>
        <w:rPr>
          <w:color w:val="000000" w:themeColor="text1"/>
          <w:sz w:val="22"/>
          <w:szCs w:val="22"/>
        </w:rPr>
        <w:t>See Annex I for a discussion on ARR, PP and IRR short-comings.</w:t>
      </w:r>
    </w:p>
  </w:footnote>
  <w:footnote w:id="12">
    <w:p w14:paraId="075B2854" w14:textId="77777777" w:rsidR="00442E8B" w:rsidRPr="00E640A8" w:rsidRDefault="00442E8B" w:rsidP="00B0692D">
      <w:pPr>
        <w:pStyle w:val="FootnoteText"/>
        <w:ind w:firstLine="284"/>
        <w:jc w:val="both"/>
        <w:rPr>
          <w:sz w:val="22"/>
          <w:szCs w:val="22"/>
        </w:rPr>
      </w:pPr>
      <w:r w:rsidRPr="00E640A8">
        <w:rPr>
          <w:rStyle w:val="FootnoteReference"/>
          <w:sz w:val="20"/>
          <w:szCs w:val="22"/>
        </w:rPr>
        <w:footnoteRef/>
      </w:r>
      <w:r w:rsidRPr="00E640A8">
        <w:rPr>
          <w:sz w:val="20"/>
          <w:szCs w:val="22"/>
        </w:rPr>
        <w:t xml:space="preserve"> For example, </w:t>
      </w:r>
      <w:proofErr w:type="spellStart"/>
      <w:r w:rsidRPr="00E640A8">
        <w:rPr>
          <w:sz w:val="20"/>
          <w:szCs w:val="22"/>
        </w:rPr>
        <w:t>easyJet’s</w:t>
      </w:r>
      <w:proofErr w:type="spellEnd"/>
      <w:r w:rsidRPr="00E640A8">
        <w:rPr>
          <w:sz w:val="20"/>
          <w:szCs w:val="22"/>
        </w:rPr>
        <w:t xml:space="preserve"> purchase of GB Airways Ltd for £103 million in 2007, was an excellent fit. Not only did </w:t>
      </w:r>
      <w:proofErr w:type="spellStart"/>
      <w:r w:rsidRPr="00E640A8">
        <w:rPr>
          <w:sz w:val="20"/>
          <w:szCs w:val="22"/>
        </w:rPr>
        <w:t>easyJet</w:t>
      </w:r>
      <w:proofErr w:type="spellEnd"/>
      <w:r w:rsidRPr="00E640A8">
        <w:rPr>
          <w:sz w:val="20"/>
          <w:szCs w:val="22"/>
        </w:rPr>
        <w:t xml:space="preserve"> already operate as a British Airways franchise from Gatwick, but it </w:t>
      </w:r>
      <w:r>
        <w:rPr>
          <w:sz w:val="20"/>
          <w:szCs w:val="22"/>
        </w:rPr>
        <w:t>became the</w:t>
      </w:r>
      <w:r w:rsidRPr="00E640A8">
        <w:rPr>
          <w:sz w:val="20"/>
          <w:szCs w:val="22"/>
        </w:rPr>
        <w:t xml:space="preserve"> largest carrier there</w:t>
      </w:r>
      <w:r>
        <w:rPr>
          <w:sz w:val="20"/>
          <w:szCs w:val="22"/>
        </w:rPr>
        <w:t xml:space="preserve"> as a result</w:t>
      </w:r>
      <w:r w:rsidRPr="00E640A8">
        <w:rPr>
          <w:sz w:val="20"/>
          <w:szCs w:val="22"/>
        </w:rPr>
        <w:t xml:space="preserve">. In line with </w:t>
      </w:r>
      <w:proofErr w:type="spellStart"/>
      <w:r w:rsidRPr="00E640A8">
        <w:rPr>
          <w:sz w:val="20"/>
          <w:szCs w:val="22"/>
        </w:rPr>
        <w:t>easyJet’s</w:t>
      </w:r>
      <w:proofErr w:type="spellEnd"/>
      <w:r w:rsidRPr="00E640A8">
        <w:rPr>
          <w:sz w:val="20"/>
          <w:szCs w:val="22"/>
        </w:rPr>
        <w:t xml:space="preserve"> strategy to expand operations, by integrating GB Airways Ltd. </w:t>
      </w:r>
      <w:r>
        <w:rPr>
          <w:sz w:val="20"/>
          <w:szCs w:val="22"/>
        </w:rPr>
        <w:t>in</w:t>
      </w:r>
      <w:r w:rsidRPr="00E640A8">
        <w:rPr>
          <w:sz w:val="20"/>
          <w:szCs w:val="22"/>
        </w:rPr>
        <w:t>to its low-cost business model</w:t>
      </w:r>
      <w:r>
        <w:rPr>
          <w:sz w:val="20"/>
          <w:szCs w:val="22"/>
        </w:rPr>
        <w:t>,</w:t>
      </w:r>
      <w:r w:rsidRPr="00E640A8">
        <w:rPr>
          <w:sz w:val="20"/>
          <w:szCs w:val="22"/>
        </w:rPr>
        <w:t xml:space="preserve"> it was able to still generate a profit of £83.2 million in 2008 and £71.2 million in 2009, despite the initial capital investment (</w:t>
      </w:r>
      <w:proofErr w:type="spellStart"/>
      <w:r w:rsidRPr="00E640A8">
        <w:rPr>
          <w:sz w:val="20"/>
          <w:szCs w:val="22"/>
        </w:rPr>
        <w:t>easyJet</w:t>
      </w:r>
      <w:proofErr w:type="spellEnd"/>
      <w:r w:rsidRPr="00E640A8">
        <w:rPr>
          <w:sz w:val="20"/>
          <w:szCs w:val="22"/>
        </w:rPr>
        <w:t xml:space="preserve"> PLC 2008; EasyJet PLC 2009; </w:t>
      </w:r>
      <w:proofErr w:type="spellStart"/>
      <w:r w:rsidRPr="00E640A8">
        <w:rPr>
          <w:sz w:val="20"/>
          <w:szCs w:val="22"/>
        </w:rPr>
        <w:t>Atrill</w:t>
      </w:r>
      <w:proofErr w:type="spellEnd"/>
      <w:r w:rsidRPr="00E640A8">
        <w:rPr>
          <w:sz w:val="20"/>
          <w:szCs w:val="22"/>
        </w:rPr>
        <w:t xml:space="preserve"> 2012). </w:t>
      </w:r>
    </w:p>
  </w:footnote>
  <w:footnote w:id="13">
    <w:p w14:paraId="4F26DB22" w14:textId="77777777" w:rsidR="00442E8B" w:rsidRPr="00E74A15" w:rsidRDefault="00442E8B">
      <w:pPr>
        <w:pStyle w:val="FootnoteText"/>
        <w:rPr>
          <w:sz w:val="20"/>
          <w:szCs w:val="20"/>
          <w:lang w:val="en-CA"/>
        </w:rPr>
      </w:pPr>
      <w:r w:rsidRPr="00E74A15">
        <w:rPr>
          <w:rStyle w:val="FootnoteReference"/>
          <w:sz w:val="20"/>
          <w:szCs w:val="20"/>
        </w:rPr>
        <w:footnoteRef/>
      </w:r>
      <w:r w:rsidRPr="00E74A15">
        <w:rPr>
          <w:sz w:val="20"/>
          <w:szCs w:val="20"/>
        </w:rPr>
        <w:t xml:space="preserve"> </w:t>
      </w:r>
      <w:r w:rsidRPr="00E74A15">
        <w:rPr>
          <w:sz w:val="20"/>
          <w:szCs w:val="20"/>
          <w:lang w:val="en-CA"/>
        </w:rPr>
        <w:t>GPV: Gross Present Value.</w:t>
      </w:r>
    </w:p>
  </w:footnote>
  <w:footnote w:id="14">
    <w:p w14:paraId="20B17F2B" w14:textId="77777777" w:rsidR="00442E8B" w:rsidRDefault="00442E8B" w:rsidP="00B71A16">
      <w:pPr>
        <w:pStyle w:val="FootnoteText"/>
        <w:ind w:firstLine="284"/>
        <w:jc w:val="both"/>
      </w:pPr>
      <w:r w:rsidRPr="00B71A16">
        <w:rPr>
          <w:rStyle w:val="FootnoteReference"/>
          <w:sz w:val="20"/>
        </w:rPr>
        <w:footnoteRef/>
      </w:r>
      <w:r w:rsidRPr="00B71A16">
        <w:rPr>
          <w:sz w:val="20"/>
        </w:rPr>
        <w:t xml:space="preserve"> In this respect, options deemed not relevant and, thus, which were not included: convertible loan notes; high-yield bonds; mortgages; warrants; sale-and-leaseback arrangement; hire asset; finance leases; and securitization.</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5397C"/>
    <w:multiLevelType w:val="hybridMultilevel"/>
    <w:tmpl w:val="E1900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A0074"/>
    <w:multiLevelType w:val="hybridMultilevel"/>
    <w:tmpl w:val="442A8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3A7A15"/>
    <w:multiLevelType w:val="hybridMultilevel"/>
    <w:tmpl w:val="A18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7F49CE"/>
    <w:multiLevelType w:val="multilevel"/>
    <w:tmpl w:val="1090E12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7E513B6"/>
    <w:multiLevelType w:val="hybridMultilevel"/>
    <w:tmpl w:val="AA5C329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D21F56"/>
    <w:multiLevelType w:val="hybridMultilevel"/>
    <w:tmpl w:val="70A4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DB5F6D"/>
    <w:multiLevelType w:val="hybridMultilevel"/>
    <w:tmpl w:val="47D298E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09884750"/>
    <w:multiLevelType w:val="hybridMultilevel"/>
    <w:tmpl w:val="F780A4E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nsid w:val="19685742"/>
    <w:multiLevelType w:val="hybridMultilevel"/>
    <w:tmpl w:val="FC26E3D0"/>
    <w:lvl w:ilvl="0" w:tplc="45E864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98734A"/>
    <w:multiLevelType w:val="hybridMultilevel"/>
    <w:tmpl w:val="81F65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2DA4F66"/>
    <w:multiLevelType w:val="hybridMultilevel"/>
    <w:tmpl w:val="72164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CA4BE8"/>
    <w:multiLevelType w:val="hybridMultilevel"/>
    <w:tmpl w:val="417C85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23DE5D00">
      <w:start w:val="2"/>
      <w:numFmt w:val="decimal"/>
      <w:lvlText w:val="%4."/>
      <w:lvlJc w:val="left"/>
      <w:pPr>
        <w:ind w:left="2880" w:hanging="360"/>
      </w:pPr>
      <w:rPr>
        <w:rFonts w:hint="default"/>
        <w:b/>
        <w:i w:val="0"/>
      </w:rPr>
    </w:lvl>
    <w:lvl w:ilvl="4" w:tplc="1F962AE4">
      <w:start w:val="3"/>
      <w:numFmt w:val="decimal"/>
      <w:lvlText w:val="%5.2"/>
      <w:lvlJc w:val="left"/>
      <w:pPr>
        <w:ind w:left="3600" w:hanging="360"/>
      </w:pPr>
      <w:rPr>
        <w:rFonts w:hint="default"/>
      </w:rPr>
    </w:lvl>
    <w:lvl w:ilvl="5" w:tplc="64406CC6">
      <w:start w:val="6"/>
      <w:numFmt w:val="bullet"/>
      <w:lvlText w:val="-"/>
      <w:lvlJc w:val="left"/>
      <w:pPr>
        <w:ind w:left="4500" w:hanging="360"/>
      </w:pPr>
      <w:rPr>
        <w:rFonts w:ascii="Times" w:eastAsia="Times New Roman" w:hAnsi="Times" w:cs="Time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23849F3"/>
    <w:multiLevelType w:val="hybridMultilevel"/>
    <w:tmpl w:val="7B2C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B100A1"/>
    <w:multiLevelType w:val="hybridMultilevel"/>
    <w:tmpl w:val="B63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D46621"/>
    <w:multiLevelType w:val="hybridMultilevel"/>
    <w:tmpl w:val="8CCE34DE"/>
    <w:lvl w:ilvl="0" w:tplc="945E7B00">
      <w:start w:val="1"/>
      <w:numFmt w:val="decimal"/>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5BD4400E">
      <w:start w:val="1"/>
      <w:numFmt w:val="decimal"/>
      <w:lvlText w:val="%4."/>
      <w:lvlJc w:val="left"/>
      <w:pPr>
        <w:ind w:left="2880" w:hanging="36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E7E267C"/>
    <w:multiLevelType w:val="hybridMultilevel"/>
    <w:tmpl w:val="F780A4E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2190E25"/>
    <w:multiLevelType w:val="hybridMultilevel"/>
    <w:tmpl w:val="A650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30393B"/>
    <w:multiLevelType w:val="multilevel"/>
    <w:tmpl w:val="752ECDA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9CB241B"/>
    <w:multiLevelType w:val="hybridMultilevel"/>
    <w:tmpl w:val="CA7A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B7756A1"/>
    <w:multiLevelType w:val="hybridMultilevel"/>
    <w:tmpl w:val="8FD0CBF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A9721D"/>
    <w:multiLevelType w:val="multilevel"/>
    <w:tmpl w:val="1090E12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F023549"/>
    <w:multiLevelType w:val="hybridMultilevel"/>
    <w:tmpl w:val="0096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FF35EA"/>
    <w:multiLevelType w:val="hybridMultilevel"/>
    <w:tmpl w:val="F62A7248"/>
    <w:lvl w:ilvl="0" w:tplc="6290C576">
      <w:start w:val="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2C7D3A"/>
    <w:multiLevelType w:val="hybridMultilevel"/>
    <w:tmpl w:val="BEDC7B8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nsid w:val="524A371A"/>
    <w:multiLevelType w:val="hybridMultilevel"/>
    <w:tmpl w:val="1A1E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2A84C73"/>
    <w:multiLevelType w:val="hybridMultilevel"/>
    <w:tmpl w:val="22B84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2B71E9"/>
    <w:multiLevelType w:val="multilevel"/>
    <w:tmpl w:val="8D86CF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C08681C"/>
    <w:multiLevelType w:val="hybridMultilevel"/>
    <w:tmpl w:val="9E0A4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D47ADE"/>
    <w:multiLevelType w:val="hybridMultilevel"/>
    <w:tmpl w:val="F5C06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56A5C26"/>
    <w:multiLevelType w:val="hybridMultilevel"/>
    <w:tmpl w:val="E1004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C2D537A"/>
    <w:multiLevelType w:val="hybridMultilevel"/>
    <w:tmpl w:val="6F709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801439"/>
    <w:multiLevelType w:val="hybridMultilevel"/>
    <w:tmpl w:val="5B18375E"/>
    <w:lvl w:ilvl="0" w:tplc="3544EAE0">
      <w:start w:val="5"/>
      <w:numFmt w:val="bullet"/>
      <w:lvlText w:val="-"/>
      <w:lvlJc w:val="left"/>
      <w:pPr>
        <w:ind w:left="720" w:hanging="360"/>
      </w:pPr>
      <w:rPr>
        <w:rFonts w:ascii="Times New Roman" w:eastAsia="Times New Roman" w:hAnsi="Times New Roman" w:cs="Times New Roman" w:hint="default"/>
        <w:b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6852AC7"/>
    <w:multiLevelType w:val="hybridMultilevel"/>
    <w:tmpl w:val="735C2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9539D8"/>
    <w:multiLevelType w:val="hybridMultilevel"/>
    <w:tmpl w:val="9C5267C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nsid w:val="7A475228"/>
    <w:multiLevelType w:val="multilevel"/>
    <w:tmpl w:val="7160E4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D54659C"/>
    <w:multiLevelType w:val="hybridMultilevel"/>
    <w:tmpl w:val="AD309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B40725"/>
    <w:multiLevelType w:val="hybridMultilevel"/>
    <w:tmpl w:val="9BD83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C10481"/>
    <w:multiLevelType w:val="hybridMultilevel"/>
    <w:tmpl w:val="FE2C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7"/>
  </w:num>
  <w:num w:numId="4">
    <w:abstractNumId w:val="31"/>
  </w:num>
  <w:num w:numId="5">
    <w:abstractNumId w:val="9"/>
  </w:num>
  <w:num w:numId="6">
    <w:abstractNumId w:val="10"/>
  </w:num>
  <w:num w:numId="7">
    <w:abstractNumId w:val="15"/>
  </w:num>
  <w:num w:numId="8">
    <w:abstractNumId w:val="27"/>
  </w:num>
  <w:num w:numId="9">
    <w:abstractNumId w:val="6"/>
  </w:num>
  <w:num w:numId="10">
    <w:abstractNumId w:val="21"/>
  </w:num>
  <w:num w:numId="11">
    <w:abstractNumId w:val="16"/>
  </w:num>
  <w:num w:numId="12">
    <w:abstractNumId w:val="1"/>
  </w:num>
  <w:num w:numId="13">
    <w:abstractNumId w:val="17"/>
  </w:num>
  <w:num w:numId="14">
    <w:abstractNumId w:val="24"/>
  </w:num>
  <w:num w:numId="15">
    <w:abstractNumId w:val="32"/>
  </w:num>
  <w:num w:numId="16">
    <w:abstractNumId w:val="3"/>
  </w:num>
  <w:num w:numId="17">
    <w:abstractNumId w:val="22"/>
  </w:num>
  <w:num w:numId="18">
    <w:abstractNumId w:val="0"/>
  </w:num>
  <w:num w:numId="19">
    <w:abstractNumId w:val="13"/>
  </w:num>
  <w:num w:numId="20">
    <w:abstractNumId w:val="26"/>
  </w:num>
  <w:num w:numId="21">
    <w:abstractNumId w:val="37"/>
  </w:num>
  <w:num w:numId="22">
    <w:abstractNumId w:val="14"/>
  </w:num>
  <w:num w:numId="23">
    <w:abstractNumId w:val="29"/>
  </w:num>
  <w:num w:numId="24">
    <w:abstractNumId w:val="25"/>
  </w:num>
  <w:num w:numId="25">
    <w:abstractNumId w:val="18"/>
  </w:num>
  <w:num w:numId="26">
    <w:abstractNumId w:val="39"/>
  </w:num>
  <w:num w:numId="27">
    <w:abstractNumId w:val="2"/>
  </w:num>
  <w:num w:numId="28">
    <w:abstractNumId w:val="19"/>
  </w:num>
  <w:num w:numId="29">
    <w:abstractNumId w:val="33"/>
  </w:num>
  <w:num w:numId="30">
    <w:abstractNumId w:val="23"/>
  </w:num>
  <w:num w:numId="31">
    <w:abstractNumId w:val="35"/>
  </w:num>
  <w:num w:numId="32">
    <w:abstractNumId w:val="34"/>
  </w:num>
  <w:num w:numId="33">
    <w:abstractNumId w:val="38"/>
  </w:num>
  <w:num w:numId="34">
    <w:abstractNumId w:val="28"/>
  </w:num>
  <w:num w:numId="35">
    <w:abstractNumId w:val="11"/>
  </w:num>
  <w:num w:numId="36">
    <w:abstractNumId w:val="20"/>
  </w:num>
  <w:num w:numId="37">
    <w:abstractNumId w:val="36"/>
  </w:num>
  <w:num w:numId="38">
    <w:abstractNumId w:val="5"/>
  </w:num>
  <w:num w:numId="39">
    <w:abstractNumId w:val="30"/>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855"/>
    <w:rsid w:val="0001255B"/>
    <w:rsid w:val="0004076A"/>
    <w:rsid w:val="00044C1C"/>
    <w:rsid w:val="00050058"/>
    <w:rsid w:val="00052802"/>
    <w:rsid w:val="000532E2"/>
    <w:rsid w:val="00054678"/>
    <w:rsid w:val="00061895"/>
    <w:rsid w:val="000674DE"/>
    <w:rsid w:val="00070073"/>
    <w:rsid w:val="00074CF7"/>
    <w:rsid w:val="00081439"/>
    <w:rsid w:val="00085452"/>
    <w:rsid w:val="00087245"/>
    <w:rsid w:val="000A2B5F"/>
    <w:rsid w:val="000A4C83"/>
    <w:rsid w:val="000B0945"/>
    <w:rsid w:val="000B4BEE"/>
    <w:rsid w:val="000C24C8"/>
    <w:rsid w:val="000C6401"/>
    <w:rsid w:val="000D06A2"/>
    <w:rsid w:val="000E3B49"/>
    <w:rsid w:val="000E7C7D"/>
    <w:rsid w:val="000F5D3C"/>
    <w:rsid w:val="001000C6"/>
    <w:rsid w:val="00102E32"/>
    <w:rsid w:val="001173CA"/>
    <w:rsid w:val="00141A03"/>
    <w:rsid w:val="00154964"/>
    <w:rsid w:val="0015712C"/>
    <w:rsid w:val="00157F32"/>
    <w:rsid w:val="00170791"/>
    <w:rsid w:val="00177ACD"/>
    <w:rsid w:val="001804BC"/>
    <w:rsid w:val="00180533"/>
    <w:rsid w:val="00183370"/>
    <w:rsid w:val="001838BB"/>
    <w:rsid w:val="00183959"/>
    <w:rsid w:val="00195E72"/>
    <w:rsid w:val="001A14C8"/>
    <w:rsid w:val="001A685B"/>
    <w:rsid w:val="001B2698"/>
    <w:rsid w:val="001C2B02"/>
    <w:rsid w:val="001C7385"/>
    <w:rsid w:val="001D1456"/>
    <w:rsid w:val="001D367F"/>
    <w:rsid w:val="001D6D4A"/>
    <w:rsid w:val="001F2229"/>
    <w:rsid w:val="00217B5C"/>
    <w:rsid w:val="00224767"/>
    <w:rsid w:val="0024130A"/>
    <w:rsid w:val="002422F8"/>
    <w:rsid w:val="00243772"/>
    <w:rsid w:val="00281280"/>
    <w:rsid w:val="00286B54"/>
    <w:rsid w:val="00295867"/>
    <w:rsid w:val="002A07EB"/>
    <w:rsid w:val="002A450B"/>
    <w:rsid w:val="002D1FE4"/>
    <w:rsid w:val="002D315E"/>
    <w:rsid w:val="002E33E2"/>
    <w:rsid w:val="002F7BC8"/>
    <w:rsid w:val="00302371"/>
    <w:rsid w:val="003160A9"/>
    <w:rsid w:val="0032006B"/>
    <w:rsid w:val="00320C3B"/>
    <w:rsid w:val="00333214"/>
    <w:rsid w:val="00341A4E"/>
    <w:rsid w:val="00346B1B"/>
    <w:rsid w:val="00350C01"/>
    <w:rsid w:val="003541E6"/>
    <w:rsid w:val="00356592"/>
    <w:rsid w:val="0037087C"/>
    <w:rsid w:val="00374BE7"/>
    <w:rsid w:val="00384C4D"/>
    <w:rsid w:val="003A6187"/>
    <w:rsid w:val="003A7897"/>
    <w:rsid w:val="003D3E67"/>
    <w:rsid w:val="003E05AC"/>
    <w:rsid w:val="003E0953"/>
    <w:rsid w:val="003E11B0"/>
    <w:rsid w:val="003E239C"/>
    <w:rsid w:val="003E39A0"/>
    <w:rsid w:val="0041108B"/>
    <w:rsid w:val="00412455"/>
    <w:rsid w:val="004126CD"/>
    <w:rsid w:val="004208DC"/>
    <w:rsid w:val="004316EC"/>
    <w:rsid w:val="00431DE0"/>
    <w:rsid w:val="00442E8B"/>
    <w:rsid w:val="00447B2D"/>
    <w:rsid w:val="00455462"/>
    <w:rsid w:val="004701C3"/>
    <w:rsid w:val="0047605A"/>
    <w:rsid w:val="00483DBC"/>
    <w:rsid w:val="00491066"/>
    <w:rsid w:val="004B79CE"/>
    <w:rsid w:val="004C290E"/>
    <w:rsid w:val="004C6182"/>
    <w:rsid w:val="004D3AD7"/>
    <w:rsid w:val="0052209B"/>
    <w:rsid w:val="00524E56"/>
    <w:rsid w:val="00533BBC"/>
    <w:rsid w:val="005344B3"/>
    <w:rsid w:val="005371C6"/>
    <w:rsid w:val="005458EE"/>
    <w:rsid w:val="005520E3"/>
    <w:rsid w:val="0055405F"/>
    <w:rsid w:val="00557442"/>
    <w:rsid w:val="0056372B"/>
    <w:rsid w:val="005637D7"/>
    <w:rsid w:val="00564DB2"/>
    <w:rsid w:val="005674F4"/>
    <w:rsid w:val="005B3042"/>
    <w:rsid w:val="005C09EE"/>
    <w:rsid w:val="005D3909"/>
    <w:rsid w:val="005D52D9"/>
    <w:rsid w:val="005D7CD3"/>
    <w:rsid w:val="005E27D9"/>
    <w:rsid w:val="005E5DA4"/>
    <w:rsid w:val="005E60E5"/>
    <w:rsid w:val="005F599B"/>
    <w:rsid w:val="005F5BC8"/>
    <w:rsid w:val="00607D81"/>
    <w:rsid w:val="00610028"/>
    <w:rsid w:val="0062142A"/>
    <w:rsid w:val="00626376"/>
    <w:rsid w:val="00634A7D"/>
    <w:rsid w:val="00664C59"/>
    <w:rsid w:val="00671E82"/>
    <w:rsid w:val="0068079B"/>
    <w:rsid w:val="006858CE"/>
    <w:rsid w:val="006917A9"/>
    <w:rsid w:val="0069772E"/>
    <w:rsid w:val="006A01E8"/>
    <w:rsid w:val="006A43E8"/>
    <w:rsid w:val="006B0012"/>
    <w:rsid w:val="006B26FE"/>
    <w:rsid w:val="006C7BFC"/>
    <w:rsid w:val="006E46A4"/>
    <w:rsid w:val="00703855"/>
    <w:rsid w:val="007041DD"/>
    <w:rsid w:val="007072FE"/>
    <w:rsid w:val="00711310"/>
    <w:rsid w:val="00722E76"/>
    <w:rsid w:val="00724B4E"/>
    <w:rsid w:val="00726A45"/>
    <w:rsid w:val="00727A93"/>
    <w:rsid w:val="0073508C"/>
    <w:rsid w:val="007609C4"/>
    <w:rsid w:val="007620DE"/>
    <w:rsid w:val="007672DE"/>
    <w:rsid w:val="00784AA8"/>
    <w:rsid w:val="0079734A"/>
    <w:rsid w:val="007A59F9"/>
    <w:rsid w:val="007D0DD6"/>
    <w:rsid w:val="007D4052"/>
    <w:rsid w:val="007E04AC"/>
    <w:rsid w:val="007E5667"/>
    <w:rsid w:val="007F2030"/>
    <w:rsid w:val="007F3A5A"/>
    <w:rsid w:val="007F7C5F"/>
    <w:rsid w:val="008206B9"/>
    <w:rsid w:val="00827092"/>
    <w:rsid w:val="00843689"/>
    <w:rsid w:val="00851BF3"/>
    <w:rsid w:val="00854E71"/>
    <w:rsid w:val="00860DEE"/>
    <w:rsid w:val="00863324"/>
    <w:rsid w:val="00870BF1"/>
    <w:rsid w:val="00875C90"/>
    <w:rsid w:val="00895CB6"/>
    <w:rsid w:val="00897AAE"/>
    <w:rsid w:val="008A46B7"/>
    <w:rsid w:val="008B4B1E"/>
    <w:rsid w:val="008C7198"/>
    <w:rsid w:val="008E6830"/>
    <w:rsid w:val="008E7207"/>
    <w:rsid w:val="0090557D"/>
    <w:rsid w:val="009109E9"/>
    <w:rsid w:val="00912361"/>
    <w:rsid w:val="009205F8"/>
    <w:rsid w:val="0094709B"/>
    <w:rsid w:val="009476F4"/>
    <w:rsid w:val="009504EF"/>
    <w:rsid w:val="0095152D"/>
    <w:rsid w:val="009558D1"/>
    <w:rsid w:val="00986DD5"/>
    <w:rsid w:val="009A7469"/>
    <w:rsid w:val="009B6D49"/>
    <w:rsid w:val="009C083D"/>
    <w:rsid w:val="009C21E4"/>
    <w:rsid w:val="009C2DC5"/>
    <w:rsid w:val="009C3A55"/>
    <w:rsid w:val="009E6856"/>
    <w:rsid w:val="009F29A8"/>
    <w:rsid w:val="00A07D00"/>
    <w:rsid w:val="00A10F8B"/>
    <w:rsid w:val="00A51411"/>
    <w:rsid w:val="00A514E6"/>
    <w:rsid w:val="00A52491"/>
    <w:rsid w:val="00A55E40"/>
    <w:rsid w:val="00A61FFE"/>
    <w:rsid w:val="00A67A1D"/>
    <w:rsid w:val="00A73BB3"/>
    <w:rsid w:val="00A77141"/>
    <w:rsid w:val="00A9014D"/>
    <w:rsid w:val="00A92C3A"/>
    <w:rsid w:val="00AA365F"/>
    <w:rsid w:val="00AA5228"/>
    <w:rsid w:val="00AB1591"/>
    <w:rsid w:val="00AB40D6"/>
    <w:rsid w:val="00AC6228"/>
    <w:rsid w:val="00AD1388"/>
    <w:rsid w:val="00AD401C"/>
    <w:rsid w:val="00B0692D"/>
    <w:rsid w:val="00B120AA"/>
    <w:rsid w:val="00B139CB"/>
    <w:rsid w:val="00B30242"/>
    <w:rsid w:val="00B4411F"/>
    <w:rsid w:val="00B479EE"/>
    <w:rsid w:val="00B66A9F"/>
    <w:rsid w:val="00B71A16"/>
    <w:rsid w:val="00B7592D"/>
    <w:rsid w:val="00B81CE1"/>
    <w:rsid w:val="00B837D6"/>
    <w:rsid w:val="00B93C81"/>
    <w:rsid w:val="00B93CCE"/>
    <w:rsid w:val="00B95D24"/>
    <w:rsid w:val="00BA1567"/>
    <w:rsid w:val="00BB3FB6"/>
    <w:rsid w:val="00BC569E"/>
    <w:rsid w:val="00BD227A"/>
    <w:rsid w:val="00C01D2E"/>
    <w:rsid w:val="00C07AB3"/>
    <w:rsid w:val="00C204AE"/>
    <w:rsid w:val="00C24454"/>
    <w:rsid w:val="00C37096"/>
    <w:rsid w:val="00C44F68"/>
    <w:rsid w:val="00C53311"/>
    <w:rsid w:val="00C57946"/>
    <w:rsid w:val="00C7553C"/>
    <w:rsid w:val="00C9076F"/>
    <w:rsid w:val="00CA2819"/>
    <w:rsid w:val="00CA4CEB"/>
    <w:rsid w:val="00CC4CCE"/>
    <w:rsid w:val="00CD4A76"/>
    <w:rsid w:val="00CD4D1D"/>
    <w:rsid w:val="00CE12BF"/>
    <w:rsid w:val="00CF4FCF"/>
    <w:rsid w:val="00D0649B"/>
    <w:rsid w:val="00D227E7"/>
    <w:rsid w:val="00D22C91"/>
    <w:rsid w:val="00D448A4"/>
    <w:rsid w:val="00D5452B"/>
    <w:rsid w:val="00D551B3"/>
    <w:rsid w:val="00D6183E"/>
    <w:rsid w:val="00D6330F"/>
    <w:rsid w:val="00D63C67"/>
    <w:rsid w:val="00D6439A"/>
    <w:rsid w:val="00D767CB"/>
    <w:rsid w:val="00D9023E"/>
    <w:rsid w:val="00DB3965"/>
    <w:rsid w:val="00DB3CD6"/>
    <w:rsid w:val="00DC072C"/>
    <w:rsid w:val="00DC1322"/>
    <w:rsid w:val="00DC3C36"/>
    <w:rsid w:val="00DC58FE"/>
    <w:rsid w:val="00DD68B1"/>
    <w:rsid w:val="00DE5020"/>
    <w:rsid w:val="00DE79C8"/>
    <w:rsid w:val="00E06C0E"/>
    <w:rsid w:val="00E14E50"/>
    <w:rsid w:val="00E16DAC"/>
    <w:rsid w:val="00E21600"/>
    <w:rsid w:val="00E37BCB"/>
    <w:rsid w:val="00E44C56"/>
    <w:rsid w:val="00E50AF6"/>
    <w:rsid w:val="00E56CF0"/>
    <w:rsid w:val="00E640A8"/>
    <w:rsid w:val="00E728F4"/>
    <w:rsid w:val="00E74A15"/>
    <w:rsid w:val="00E816CA"/>
    <w:rsid w:val="00E824F2"/>
    <w:rsid w:val="00E86243"/>
    <w:rsid w:val="00EA3A27"/>
    <w:rsid w:val="00EA468B"/>
    <w:rsid w:val="00EA6051"/>
    <w:rsid w:val="00EA6A4D"/>
    <w:rsid w:val="00EB450F"/>
    <w:rsid w:val="00EB4E6B"/>
    <w:rsid w:val="00EB7A7D"/>
    <w:rsid w:val="00EC293C"/>
    <w:rsid w:val="00EC3EB0"/>
    <w:rsid w:val="00F00020"/>
    <w:rsid w:val="00F02E77"/>
    <w:rsid w:val="00F055D8"/>
    <w:rsid w:val="00F07F80"/>
    <w:rsid w:val="00F44C1C"/>
    <w:rsid w:val="00F5060D"/>
    <w:rsid w:val="00FE6910"/>
    <w:rsid w:val="00FE7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A039A"/>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03855"/>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6A01E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7672DE"/>
    <w:pPr>
      <w:spacing w:before="100" w:beforeAutospacing="1" w:after="100" w:afterAutospacing="1"/>
      <w:outlineLvl w:val="1"/>
    </w:pPr>
    <w:rPr>
      <w:rFonts w:eastAsiaTheme="minorHAnsi"/>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1E8"/>
    <w:rPr>
      <w:rFonts w:asciiTheme="majorHAnsi" w:eastAsiaTheme="majorEastAsia" w:hAnsiTheme="majorHAnsi" w:cstheme="majorBidi"/>
      <w:b/>
      <w:bCs/>
      <w:color w:val="2F5496" w:themeColor="accent1" w:themeShade="BF"/>
      <w:sz w:val="28"/>
      <w:szCs w:val="28"/>
      <w:lang w:val="en-GB" w:eastAsia="en-GB"/>
    </w:rPr>
  </w:style>
  <w:style w:type="character" w:customStyle="1" w:styleId="Heading2Char">
    <w:name w:val="Heading 2 Char"/>
    <w:basedOn w:val="DefaultParagraphFont"/>
    <w:link w:val="Heading2"/>
    <w:uiPriority w:val="9"/>
    <w:rsid w:val="007672DE"/>
    <w:rPr>
      <w:rFonts w:ascii="Times New Roman" w:hAnsi="Times New Roman" w:cs="Times New Roman"/>
      <w:b/>
      <w:bCs/>
      <w:sz w:val="36"/>
      <w:szCs w:val="36"/>
    </w:rPr>
  </w:style>
  <w:style w:type="paragraph" w:styleId="ListParagraph">
    <w:name w:val="List Paragraph"/>
    <w:basedOn w:val="Normal"/>
    <w:uiPriority w:val="34"/>
    <w:qFormat/>
    <w:rsid w:val="001A685B"/>
    <w:pPr>
      <w:ind w:left="720"/>
      <w:contextualSpacing/>
    </w:pPr>
  </w:style>
  <w:style w:type="paragraph" w:customStyle="1" w:styleId="p1">
    <w:name w:val="p1"/>
    <w:basedOn w:val="Normal"/>
    <w:rsid w:val="0004076A"/>
    <w:rPr>
      <w:rFonts w:ascii="Times" w:eastAsiaTheme="minorHAnsi" w:hAnsi="Times"/>
      <w:sz w:val="14"/>
      <w:szCs w:val="14"/>
      <w:lang w:val="en-US" w:eastAsia="en-US"/>
    </w:rPr>
  </w:style>
  <w:style w:type="character" w:customStyle="1" w:styleId="s1">
    <w:name w:val="s1"/>
    <w:basedOn w:val="DefaultParagraphFont"/>
    <w:rsid w:val="0004076A"/>
    <w:rPr>
      <w:rFonts w:ascii="Helvetica" w:hAnsi="Helvetica" w:hint="default"/>
      <w:color w:val="00E0FF"/>
      <w:sz w:val="12"/>
      <w:szCs w:val="12"/>
    </w:rPr>
  </w:style>
  <w:style w:type="paragraph" w:styleId="FootnoteText">
    <w:name w:val="footnote text"/>
    <w:basedOn w:val="Normal"/>
    <w:link w:val="FootnoteTextChar"/>
    <w:uiPriority w:val="99"/>
    <w:unhideWhenUsed/>
    <w:rsid w:val="00557442"/>
    <w:rPr>
      <w:sz w:val="24"/>
      <w:szCs w:val="24"/>
    </w:rPr>
  </w:style>
  <w:style w:type="character" w:customStyle="1" w:styleId="FootnoteTextChar">
    <w:name w:val="Footnote Text Char"/>
    <w:basedOn w:val="DefaultParagraphFont"/>
    <w:link w:val="FootnoteText"/>
    <w:uiPriority w:val="99"/>
    <w:rsid w:val="00557442"/>
    <w:rPr>
      <w:rFonts w:ascii="Times New Roman" w:eastAsia="Times New Roman" w:hAnsi="Times New Roman" w:cs="Times New Roman"/>
      <w:lang w:val="en-GB" w:eastAsia="en-GB"/>
    </w:rPr>
  </w:style>
  <w:style w:type="character" w:styleId="FootnoteReference">
    <w:name w:val="footnote reference"/>
    <w:basedOn w:val="DefaultParagraphFont"/>
    <w:uiPriority w:val="99"/>
    <w:unhideWhenUsed/>
    <w:rsid w:val="00557442"/>
    <w:rPr>
      <w:vertAlign w:val="superscript"/>
    </w:rPr>
  </w:style>
  <w:style w:type="character" w:styleId="Hyperlink">
    <w:name w:val="Hyperlink"/>
    <w:basedOn w:val="DefaultParagraphFont"/>
    <w:uiPriority w:val="99"/>
    <w:unhideWhenUsed/>
    <w:rsid w:val="00374BE7"/>
    <w:rPr>
      <w:strike w:val="0"/>
      <w:dstrike w:val="0"/>
      <w:color w:val="444444"/>
      <w:u w:val="none"/>
      <w:effect w:val="none"/>
      <w:shd w:val="clear" w:color="auto" w:fill="auto"/>
    </w:rPr>
  </w:style>
  <w:style w:type="character" w:customStyle="1" w:styleId="apple-converted-space">
    <w:name w:val="apple-converted-space"/>
    <w:basedOn w:val="DefaultParagraphFont"/>
    <w:rsid w:val="00302371"/>
  </w:style>
  <w:style w:type="character" w:styleId="FollowedHyperlink">
    <w:name w:val="FollowedHyperlink"/>
    <w:basedOn w:val="DefaultParagraphFont"/>
    <w:uiPriority w:val="99"/>
    <w:semiHidden/>
    <w:unhideWhenUsed/>
    <w:rsid w:val="0073508C"/>
    <w:rPr>
      <w:color w:val="954F72" w:themeColor="followedHyperlink"/>
      <w:u w:val="single"/>
    </w:rPr>
  </w:style>
  <w:style w:type="paragraph" w:styleId="Footer">
    <w:name w:val="footer"/>
    <w:basedOn w:val="Normal"/>
    <w:link w:val="FooterChar"/>
    <w:uiPriority w:val="99"/>
    <w:unhideWhenUsed/>
    <w:rsid w:val="003E05AC"/>
    <w:pPr>
      <w:tabs>
        <w:tab w:val="center" w:pos="4680"/>
        <w:tab w:val="right" w:pos="9360"/>
      </w:tabs>
    </w:pPr>
    <w:rPr>
      <w:rFonts w:eastAsiaTheme="minorHAnsi"/>
      <w:sz w:val="24"/>
      <w:szCs w:val="24"/>
      <w:lang w:val="en-US" w:eastAsia="en-US"/>
    </w:rPr>
  </w:style>
  <w:style w:type="character" w:customStyle="1" w:styleId="FooterChar">
    <w:name w:val="Footer Char"/>
    <w:basedOn w:val="DefaultParagraphFont"/>
    <w:link w:val="Footer"/>
    <w:uiPriority w:val="99"/>
    <w:rsid w:val="003E05AC"/>
    <w:rPr>
      <w:rFonts w:ascii="Times New Roman" w:hAnsi="Times New Roman" w:cs="Times New Roman"/>
    </w:rPr>
  </w:style>
  <w:style w:type="character" w:styleId="PageNumber">
    <w:name w:val="page number"/>
    <w:basedOn w:val="DefaultParagraphFont"/>
    <w:uiPriority w:val="99"/>
    <w:semiHidden/>
    <w:unhideWhenUsed/>
    <w:rsid w:val="003E05AC"/>
  </w:style>
  <w:style w:type="paragraph" w:styleId="BalloonText">
    <w:name w:val="Balloon Text"/>
    <w:basedOn w:val="Normal"/>
    <w:link w:val="BalloonTextChar"/>
    <w:uiPriority w:val="99"/>
    <w:semiHidden/>
    <w:unhideWhenUsed/>
    <w:rsid w:val="003E05AC"/>
    <w:rPr>
      <w:rFonts w:ascii="Tahoma" w:hAnsi="Tahoma" w:cs="Tahoma"/>
      <w:sz w:val="16"/>
      <w:szCs w:val="16"/>
    </w:rPr>
  </w:style>
  <w:style w:type="character" w:customStyle="1" w:styleId="BalloonTextChar">
    <w:name w:val="Balloon Text Char"/>
    <w:basedOn w:val="DefaultParagraphFont"/>
    <w:link w:val="BalloonText"/>
    <w:uiPriority w:val="99"/>
    <w:semiHidden/>
    <w:rsid w:val="003E05AC"/>
    <w:rPr>
      <w:rFonts w:ascii="Tahoma" w:eastAsia="Times New Roman" w:hAnsi="Tahoma" w:cs="Tahoma"/>
      <w:sz w:val="16"/>
      <w:szCs w:val="16"/>
      <w:lang w:val="en-GB" w:eastAsia="en-GB"/>
    </w:rPr>
  </w:style>
  <w:style w:type="paragraph" w:styleId="TOCHeading">
    <w:name w:val="TOC Heading"/>
    <w:basedOn w:val="Heading1"/>
    <w:next w:val="Normal"/>
    <w:uiPriority w:val="39"/>
    <w:unhideWhenUsed/>
    <w:qFormat/>
    <w:rsid w:val="00895CB6"/>
    <w:pPr>
      <w:spacing w:line="276" w:lineRule="auto"/>
      <w:outlineLvl w:val="9"/>
    </w:pPr>
    <w:rPr>
      <w:lang w:val="en-US" w:eastAsia="ja-JP"/>
    </w:rPr>
  </w:style>
  <w:style w:type="paragraph" w:styleId="TOC1">
    <w:name w:val="toc 1"/>
    <w:basedOn w:val="Normal"/>
    <w:next w:val="Normal"/>
    <w:autoRedefine/>
    <w:uiPriority w:val="39"/>
    <w:unhideWhenUsed/>
    <w:rsid w:val="009C083D"/>
    <w:pPr>
      <w:tabs>
        <w:tab w:val="right" w:leader="dot" w:pos="9350"/>
      </w:tabs>
      <w:spacing w:after="100"/>
      <w:ind w:left="426" w:hanging="426"/>
    </w:pPr>
    <w:rPr>
      <w:rFonts w:ascii="Times" w:hAnsi="Times"/>
      <w:b/>
      <w:noProof/>
      <w:sz w:val="28"/>
      <w:szCs w:val="28"/>
    </w:rPr>
  </w:style>
  <w:style w:type="paragraph" w:styleId="TOC2">
    <w:name w:val="toc 2"/>
    <w:basedOn w:val="Normal"/>
    <w:next w:val="Normal"/>
    <w:autoRedefine/>
    <w:uiPriority w:val="39"/>
    <w:unhideWhenUsed/>
    <w:rsid w:val="00895CB6"/>
    <w:pPr>
      <w:spacing w:after="100"/>
      <w:ind w:left="200"/>
    </w:pPr>
  </w:style>
  <w:style w:type="table" w:styleId="TableGrid">
    <w:name w:val="Table Grid"/>
    <w:basedOn w:val="TableNormal"/>
    <w:uiPriority w:val="39"/>
    <w:rsid w:val="001833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3E39A0"/>
    <w:rPr>
      <w:rFonts w:ascii="Times New Roman" w:eastAsia="Times New Roman" w:hAnsi="Times New Roman" w:cs="Times New Roman"/>
      <w:sz w:val="20"/>
      <w:szCs w:val="20"/>
      <w:lang w:val="en-GB" w:eastAsia="en-GB"/>
    </w:rPr>
  </w:style>
  <w:style w:type="paragraph" w:customStyle="1" w:styleId="p2">
    <w:name w:val="p2"/>
    <w:basedOn w:val="Normal"/>
    <w:rsid w:val="007672DE"/>
    <w:rPr>
      <w:rFonts w:ascii="Helvetica" w:eastAsiaTheme="minorHAnsi" w:hAnsi="Helvetica"/>
      <w:sz w:val="11"/>
      <w:szCs w:val="11"/>
      <w:lang w:val="en-US" w:eastAsia="en-US"/>
    </w:rPr>
  </w:style>
  <w:style w:type="paragraph" w:styleId="Header">
    <w:name w:val="header"/>
    <w:basedOn w:val="Normal"/>
    <w:link w:val="HeaderChar"/>
    <w:uiPriority w:val="99"/>
    <w:unhideWhenUsed/>
    <w:rsid w:val="007672DE"/>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672DE"/>
    <w:rPr>
      <w:sz w:val="22"/>
      <w:szCs w:val="22"/>
      <w:lang w:val="en-GB"/>
    </w:rPr>
  </w:style>
  <w:style w:type="character" w:customStyle="1" w:styleId="ls29">
    <w:name w:val="ls29"/>
    <w:basedOn w:val="DefaultParagraphFont"/>
    <w:rsid w:val="007672DE"/>
  </w:style>
  <w:style w:type="character" w:customStyle="1" w:styleId="ff6">
    <w:name w:val="ff6"/>
    <w:basedOn w:val="DefaultParagraphFont"/>
    <w:rsid w:val="007672DE"/>
  </w:style>
  <w:style w:type="character" w:customStyle="1" w:styleId="ls42">
    <w:name w:val="ls42"/>
    <w:basedOn w:val="DefaultParagraphFont"/>
    <w:rsid w:val="007672DE"/>
  </w:style>
  <w:style w:type="character" w:customStyle="1" w:styleId="ilfuvd">
    <w:name w:val="ilfuvd"/>
    <w:basedOn w:val="DefaultParagraphFont"/>
    <w:rsid w:val="007672DE"/>
  </w:style>
  <w:style w:type="paragraph" w:styleId="NormalWeb">
    <w:name w:val="Normal (Web)"/>
    <w:basedOn w:val="Normal"/>
    <w:uiPriority w:val="99"/>
    <w:unhideWhenUsed/>
    <w:rsid w:val="00E56CF0"/>
    <w:pPr>
      <w:spacing w:before="100" w:beforeAutospacing="1" w:after="100" w:afterAutospacing="1"/>
    </w:pPr>
    <w:rPr>
      <w:rFonts w:eastAsiaTheme="minorHAns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1251">
      <w:bodyDiv w:val="1"/>
      <w:marLeft w:val="0"/>
      <w:marRight w:val="0"/>
      <w:marTop w:val="0"/>
      <w:marBottom w:val="0"/>
      <w:divBdr>
        <w:top w:val="none" w:sz="0" w:space="0" w:color="auto"/>
        <w:left w:val="none" w:sz="0" w:space="0" w:color="auto"/>
        <w:bottom w:val="none" w:sz="0" w:space="0" w:color="auto"/>
        <w:right w:val="none" w:sz="0" w:space="0" w:color="auto"/>
      </w:divBdr>
    </w:div>
    <w:div w:id="82848688">
      <w:bodyDiv w:val="1"/>
      <w:marLeft w:val="0"/>
      <w:marRight w:val="0"/>
      <w:marTop w:val="0"/>
      <w:marBottom w:val="0"/>
      <w:divBdr>
        <w:top w:val="none" w:sz="0" w:space="0" w:color="auto"/>
        <w:left w:val="none" w:sz="0" w:space="0" w:color="auto"/>
        <w:bottom w:val="none" w:sz="0" w:space="0" w:color="auto"/>
        <w:right w:val="none" w:sz="0" w:space="0" w:color="auto"/>
      </w:divBdr>
    </w:div>
    <w:div w:id="174223889">
      <w:bodyDiv w:val="1"/>
      <w:marLeft w:val="0"/>
      <w:marRight w:val="0"/>
      <w:marTop w:val="0"/>
      <w:marBottom w:val="0"/>
      <w:divBdr>
        <w:top w:val="none" w:sz="0" w:space="0" w:color="auto"/>
        <w:left w:val="none" w:sz="0" w:space="0" w:color="auto"/>
        <w:bottom w:val="none" w:sz="0" w:space="0" w:color="auto"/>
        <w:right w:val="none" w:sz="0" w:space="0" w:color="auto"/>
      </w:divBdr>
    </w:div>
    <w:div w:id="191964874">
      <w:bodyDiv w:val="1"/>
      <w:marLeft w:val="0"/>
      <w:marRight w:val="0"/>
      <w:marTop w:val="0"/>
      <w:marBottom w:val="0"/>
      <w:divBdr>
        <w:top w:val="none" w:sz="0" w:space="0" w:color="auto"/>
        <w:left w:val="none" w:sz="0" w:space="0" w:color="auto"/>
        <w:bottom w:val="none" w:sz="0" w:space="0" w:color="auto"/>
        <w:right w:val="none" w:sz="0" w:space="0" w:color="auto"/>
      </w:divBdr>
    </w:div>
    <w:div w:id="257833245">
      <w:bodyDiv w:val="1"/>
      <w:marLeft w:val="0"/>
      <w:marRight w:val="0"/>
      <w:marTop w:val="0"/>
      <w:marBottom w:val="0"/>
      <w:divBdr>
        <w:top w:val="none" w:sz="0" w:space="0" w:color="auto"/>
        <w:left w:val="none" w:sz="0" w:space="0" w:color="auto"/>
        <w:bottom w:val="none" w:sz="0" w:space="0" w:color="auto"/>
        <w:right w:val="none" w:sz="0" w:space="0" w:color="auto"/>
      </w:divBdr>
    </w:div>
    <w:div w:id="440687997">
      <w:bodyDiv w:val="1"/>
      <w:marLeft w:val="0"/>
      <w:marRight w:val="0"/>
      <w:marTop w:val="0"/>
      <w:marBottom w:val="0"/>
      <w:divBdr>
        <w:top w:val="none" w:sz="0" w:space="0" w:color="auto"/>
        <w:left w:val="none" w:sz="0" w:space="0" w:color="auto"/>
        <w:bottom w:val="none" w:sz="0" w:space="0" w:color="auto"/>
        <w:right w:val="none" w:sz="0" w:space="0" w:color="auto"/>
      </w:divBdr>
    </w:div>
    <w:div w:id="546186894">
      <w:bodyDiv w:val="1"/>
      <w:marLeft w:val="0"/>
      <w:marRight w:val="0"/>
      <w:marTop w:val="0"/>
      <w:marBottom w:val="0"/>
      <w:divBdr>
        <w:top w:val="none" w:sz="0" w:space="0" w:color="auto"/>
        <w:left w:val="none" w:sz="0" w:space="0" w:color="auto"/>
        <w:bottom w:val="none" w:sz="0" w:space="0" w:color="auto"/>
        <w:right w:val="none" w:sz="0" w:space="0" w:color="auto"/>
      </w:divBdr>
    </w:div>
    <w:div w:id="701593935">
      <w:bodyDiv w:val="1"/>
      <w:marLeft w:val="0"/>
      <w:marRight w:val="0"/>
      <w:marTop w:val="0"/>
      <w:marBottom w:val="0"/>
      <w:divBdr>
        <w:top w:val="none" w:sz="0" w:space="0" w:color="auto"/>
        <w:left w:val="none" w:sz="0" w:space="0" w:color="auto"/>
        <w:bottom w:val="none" w:sz="0" w:space="0" w:color="auto"/>
        <w:right w:val="none" w:sz="0" w:space="0" w:color="auto"/>
      </w:divBdr>
    </w:div>
    <w:div w:id="847793304">
      <w:bodyDiv w:val="1"/>
      <w:marLeft w:val="0"/>
      <w:marRight w:val="0"/>
      <w:marTop w:val="0"/>
      <w:marBottom w:val="0"/>
      <w:divBdr>
        <w:top w:val="none" w:sz="0" w:space="0" w:color="auto"/>
        <w:left w:val="none" w:sz="0" w:space="0" w:color="auto"/>
        <w:bottom w:val="none" w:sz="0" w:space="0" w:color="auto"/>
        <w:right w:val="none" w:sz="0" w:space="0" w:color="auto"/>
      </w:divBdr>
    </w:div>
    <w:div w:id="980965413">
      <w:bodyDiv w:val="1"/>
      <w:marLeft w:val="0"/>
      <w:marRight w:val="0"/>
      <w:marTop w:val="0"/>
      <w:marBottom w:val="0"/>
      <w:divBdr>
        <w:top w:val="none" w:sz="0" w:space="0" w:color="auto"/>
        <w:left w:val="none" w:sz="0" w:space="0" w:color="auto"/>
        <w:bottom w:val="none" w:sz="0" w:space="0" w:color="auto"/>
        <w:right w:val="none" w:sz="0" w:space="0" w:color="auto"/>
      </w:divBdr>
    </w:div>
    <w:div w:id="1346900768">
      <w:bodyDiv w:val="1"/>
      <w:marLeft w:val="0"/>
      <w:marRight w:val="0"/>
      <w:marTop w:val="0"/>
      <w:marBottom w:val="0"/>
      <w:divBdr>
        <w:top w:val="none" w:sz="0" w:space="0" w:color="auto"/>
        <w:left w:val="none" w:sz="0" w:space="0" w:color="auto"/>
        <w:bottom w:val="none" w:sz="0" w:space="0" w:color="auto"/>
        <w:right w:val="none" w:sz="0" w:space="0" w:color="auto"/>
      </w:divBdr>
    </w:div>
    <w:div w:id="1432622422">
      <w:bodyDiv w:val="1"/>
      <w:marLeft w:val="0"/>
      <w:marRight w:val="0"/>
      <w:marTop w:val="0"/>
      <w:marBottom w:val="0"/>
      <w:divBdr>
        <w:top w:val="none" w:sz="0" w:space="0" w:color="auto"/>
        <w:left w:val="none" w:sz="0" w:space="0" w:color="auto"/>
        <w:bottom w:val="none" w:sz="0" w:space="0" w:color="auto"/>
        <w:right w:val="none" w:sz="0" w:space="0" w:color="auto"/>
      </w:divBdr>
    </w:div>
    <w:div w:id="1707872814">
      <w:bodyDiv w:val="1"/>
      <w:marLeft w:val="0"/>
      <w:marRight w:val="0"/>
      <w:marTop w:val="0"/>
      <w:marBottom w:val="0"/>
      <w:divBdr>
        <w:top w:val="none" w:sz="0" w:space="0" w:color="auto"/>
        <w:left w:val="none" w:sz="0" w:space="0" w:color="auto"/>
        <w:bottom w:val="none" w:sz="0" w:space="0" w:color="auto"/>
        <w:right w:val="none" w:sz="0" w:space="0" w:color="auto"/>
      </w:divBdr>
      <w:divsChild>
        <w:div w:id="1153987081">
          <w:marLeft w:val="0"/>
          <w:marRight w:val="0"/>
          <w:marTop w:val="0"/>
          <w:marBottom w:val="0"/>
          <w:divBdr>
            <w:top w:val="none" w:sz="0" w:space="0" w:color="auto"/>
            <w:left w:val="none" w:sz="0" w:space="0" w:color="auto"/>
            <w:bottom w:val="none" w:sz="0" w:space="0" w:color="auto"/>
            <w:right w:val="none" w:sz="0" w:space="0" w:color="auto"/>
          </w:divBdr>
          <w:divsChild>
            <w:div w:id="1445462605">
              <w:marLeft w:val="0"/>
              <w:marRight w:val="0"/>
              <w:marTop w:val="0"/>
              <w:marBottom w:val="0"/>
              <w:divBdr>
                <w:top w:val="none" w:sz="0" w:space="0" w:color="auto"/>
                <w:left w:val="none" w:sz="0" w:space="0" w:color="auto"/>
                <w:bottom w:val="none" w:sz="0" w:space="0" w:color="auto"/>
                <w:right w:val="none" w:sz="0" w:space="0" w:color="auto"/>
              </w:divBdr>
              <w:divsChild>
                <w:div w:id="412942652">
                  <w:marLeft w:val="0"/>
                  <w:marRight w:val="0"/>
                  <w:marTop w:val="0"/>
                  <w:marBottom w:val="0"/>
                  <w:divBdr>
                    <w:top w:val="none" w:sz="0" w:space="0" w:color="auto"/>
                    <w:left w:val="none" w:sz="0" w:space="0" w:color="auto"/>
                    <w:bottom w:val="none" w:sz="0" w:space="0" w:color="auto"/>
                    <w:right w:val="none" w:sz="0" w:space="0" w:color="auto"/>
                  </w:divBdr>
                  <w:divsChild>
                    <w:div w:id="16478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037312">
      <w:bodyDiv w:val="1"/>
      <w:marLeft w:val="0"/>
      <w:marRight w:val="0"/>
      <w:marTop w:val="0"/>
      <w:marBottom w:val="0"/>
      <w:divBdr>
        <w:top w:val="none" w:sz="0" w:space="0" w:color="auto"/>
        <w:left w:val="none" w:sz="0" w:space="0" w:color="auto"/>
        <w:bottom w:val="none" w:sz="0" w:space="0" w:color="auto"/>
        <w:right w:val="none" w:sz="0" w:space="0" w:color="auto"/>
      </w:divBdr>
    </w:div>
    <w:div w:id="1823739323">
      <w:bodyDiv w:val="1"/>
      <w:marLeft w:val="0"/>
      <w:marRight w:val="0"/>
      <w:marTop w:val="0"/>
      <w:marBottom w:val="0"/>
      <w:divBdr>
        <w:top w:val="none" w:sz="0" w:space="0" w:color="auto"/>
        <w:left w:val="none" w:sz="0" w:space="0" w:color="auto"/>
        <w:bottom w:val="none" w:sz="0" w:space="0" w:color="auto"/>
        <w:right w:val="none" w:sz="0" w:space="0" w:color="auto"/>
      </w:divBdr>
    </w:div>
    <w:div w:id="1958752661">
      <w:bodyDiv w:val="1"/>
      <w:marLeft w:val="0"/>
      <w:marRight w:val="0"/>
      <w:marTop w:val="0"/>
      <w:marBottom w:val="0"/>
      <w:divBdr>
        <w:top w:val="none" w:sz="0" w:space="0" w:color="auto"/>
        <w:left w:val="none" w:sz="0" w:space="0" w:color="auto"/>
        <w:bottom w:val="none" w:sz="0" w:space="0" w:color="auto"/>
        <w:right w:val="none" w:sz="0" w:space="0" w:color="auto"/>
      </w:divBdr>
    </w:div>
    <w:div w:id="20735759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yperlink" Target="https://doi.org/10.15394/ijaaa.2018.1244" TargetMode="External"/><Relationship Id="rId47" Type="http://schemas.openxmlformats.org/officeDocument/2006/relationships/fontTable" Target="fontTable.xml"/><Relationship Id="rId48" Type="http://schemas.openxmlformats.org/officeDocument/2006/relationships/theme" Target="theme/theme1.xml"/><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hyperlink" Target="https://www.sisense.com/blog/calculate-year-year-growth/" TargetMode="External"/><Relationship Id="rId24" Type="http://schemas.openxmlformats.org/officeDocument/2006/relationships/hyperlink" Target="https://www.pwc.co.uk/services/consulting/finance/finance-technology.html" TargetMode="External"/><Relationship Id="rId25" Type="http://schemas.openxmlformats.org/officeDocument/2006/relationships/hyperlink" Target="https://www.forbes.com/sites/stevedenning/2014/06/17/why-the-worlds-dumbest-idea-is-finally-dying/" TargetMode="External"/><Relationship Id="rId26" Type="http://schemas.openxmlformats.org/officeDocument/2006/relationships/hyperlink" Target="http://corporate.easyjet.com/about/what-we-do" TargetMode="External"/><Relationship Id="rId27" Type="http://schemas.openxmlformats.org/officeDocument/2006/relationships/hyperlink" Target="http://corporate.easyjet.com/corporate-responsibility/our-commitment" TargetMode="External"/><Relationship Id="rId28" Type="http://schemas.openxmlformats.org/officeDocument/2006/relationships/hyperlink" Target="http://corporate.easyjet.com/corporate-responsibility/environment" TargetMode="External"/><Relationship Id="rId29" Type="http://schemas.openxmlformats.org/officeDocument/2006/relationships/hyperlink" Target="http://corporate.easyjet.com/~/media/Files/E/Easyjet/attachments/easyjet-gender-pay-gap-report-november-2017-v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corporate.easyjet.com/corporate-responsibility/modern-slavery-act-statement" TargetMode="External"/><Relationship Id="rId31" Type="http://schemas.openxmlformats.org/officeDocument/2006/relationships/hyperlink" Target="http://corporate.easyjet.com/investors/governance" TargetMode="External"/><Relationship Id="rId32" Type="http://schemas.openxmlformats.org/officeDocument/2006/relationships/hyperlink" Target="http://corporate.easyjet.com/about/strategy" TargetMode="External"/><Relationship Id="rId9" Type="http://schemas.openxmlformats.org/officeDocument/2006/relationships/image" Target="cid:image001.png@01D0EA4A.2BD679A0"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s://www.frc.org.uk/getattachment/88bd8c45-50ea-4841-95b0-d2f4f48069a2/2018-UK-Corporate-Governance-Code-FINAL.pdf" TargetMode="External"/><Relationship Id="rId34" Type="http://schemas.openxmlformats.org/officeDocument/2006/relationships/hyperlink" Target="https://www.pwc.co.uk/services/consulting/finance.html" TargetMode="External"/><Relationship Id="rId35" Type="http://schemas.openxmlformats.org/officeDocument/2006/relationships/hyperlink" Target="https://www.gov.uk/government/news/historic-law-to-end-modern-slavery-passed" TargetMode="External"/><Relationship Id="rId36" Type="http://schemas.openxmlformats.org/officeDocument/2006/relationships/hyperlink" Target="https://www.researchgate.net/publication/228484206_Inherent_limitations_in_using_financial_ratio_analysis_to_assess_small_and_medium_sized_company_performance" TargetMode="Externa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37" Type="http://schemas.openxmlformats.org/officeDocument/2006/relationships/hyperlink" Target="https://www.iaea.org/sites/default/files/documents/tc/TCP_MandE_Manual.pdf" TargetMode="External"/><Relationship Id="rId38" Type="http://schemas.openxmlformats.org/officeDocument/2006/relationships/hyperlink" Target="http://integratedreporting.org/wp-content/uploads/2013/12/13-12-08-THE-INTERNATIONAL-IR-FRAMEWORK-2-1.pdf" TargetMode="External"/><Relationship Id="rId39" Type="http://schemas.openxmlformats.org/officeDocument/2006/relationships/hyperlink" Target="https://www.investopedia.com/terms/c/cagr.asp" TargetMode="External"/><Relationship Id="rId40" Type="http://schemas.openxmlformats.org/officeDocument/2006/relationships/hyperlink" Target="https://www.londonstockexchange.com/exchange/prices-and-markets/stocks/summary/company-summary/GB00B7KR2P84GBGBXSET1.html" TargetMode="External"/><Relationship Id="rId41" Type="http://schemas.openxmlformats.org/officeDocument/2006/relationships/hyperlink" Target="http://www.openlearningworld.com/books/Investment%20Appraisal/Investment%20Appraisal%20-%20Methods%20And%20Considerations/Non-discounting%20Methods.html" TargetMode="External"/><Relationship Id="rId42" Type="http://schemas.openxmlformats.org/officeDocument/2006/relationships/hyperlink" Target="https://www.pwc.co.uk/services/consulting/finance/finance-performance-management.html" TargetMode="External"/><Relationship Id="rId43" Type="http://schemas.openxmlformats.org/officeDocument/2006/relationships/hyperlink" Target="https://sustainabledevelopment.un.org/sdg13" TargetMode="External"/><Relationship Id="rId44" Type="http://schemas.openxmlformats.org/officeDocument/2006/relationships/hyperlink" Target="https://sustainabledevelopment.un.org/sdg15" TargetMode="External"/><Relationship Id="rId45" Type="http://schemas.openxmlformats.org/officeDocument/2006/relationships/hyperlink" Target="http://www.un.org/en/universal-declaration-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F302D62-4810-7143-B03F-69A95156E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36</Pages>
  <Words>10090</Words>
  <Characters>57519</Characters>
  <Application>Microsoft Macintosh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ICC - International Criminal Court</Company>
  <LinksUpToDate>false</LinksUpToDate>
  <CharactersWithSpaces>67475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DeFreitas</dc:creator>
  <cp:keywords/>
  <dc:description/>
  <cp:lastModifiedBy>Kyle DeFreitas</cp:lastModifiedBy>
  <cp:revision>25</cp:revision>
  <dcterms:created xsi:type="dcterms:W3CDTF">2019-01-18T17:52:00Z</dcterms:created>
  <dcterms:modified xsi:type="dcterms:W3CDTF">2019-01-18T22:52:00Z</dcterms:modified>
</cp:coreProperties>
</file>