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FC7FA" w14:textId="74998A29" w:rsidR="007E7650" w:rsidRPr="00FB00C1" w:rsidRDefault="00900582" w:rsidP="00FB00C1">
      <w:pPr>
        <w:spacing w:before="900"/>
        <w:jc w:val="center"/>
        <w:rPr>
          <w:rFonts w:ascii="Arial" w:hAnsi="Arial" w:cs="Arial"/>
          <w:b/>
          <w:sz w:val="28"/>
          <w:szCs w:val="28"/>
        </w:rPr>
      </w:pPr>
      <w:r w:rsidRPr="00FB00C1">
        <w:rPr>
          <w:rFonts w:ascii="Arial" w:hAnsi="Arial" w:cs="Arial"/>
          <w:b/>
          <w:sz w:val="28"/>
          <w:szCs w:val="28"/>
        </w:rPr>
        <w:t>Quality Assurance and Root Cause Analysis in Health and</w:t>
      </w:r>
      <w:r w:rsidR="00FB00C1" w:rsidRPr="00FB00C1">
        <w:rPr>
          <w:rFonts w:ascii="Arial" w:hAnsi="Arial" w:cs="Arial"/>
          <w:b/>
          <w:sz w:val="28"/>
          <w:szCs w:val="28"/>
        </w:rPr>
        <w:t xml:space="preserve"> </w:t>
      </w:r>
      <w:r w:rsidRPr="00FB00C1">
        <w:rPr>
          <w:rFonts w:ascii="Arial" w:hAnsi="Arial" w:cs="Arial"/>
          <w:b/>
          <w:sz w:val="28"/>
          <w:szCs w:val="28"/>
        </w:rPr>
        <w:t>Social Care</w:t>
      </w:r>
    </w:p>
    <w:p w14:paraId="2157C71F" w14:textId="77777777" w:rsidR="007E7650" w:rsidRPr="00017FE6" w:rsidRDefault="00900582" w:rsidP="005C2004">
      <w:pPr>
        <w:jc w:val="center"/>
        <w:rPr>
          <w:rFonts w:ascii="Arial" w:hAnsi="Arial" w:cs="Arial"/>
          <w:b/>
        </w:rPr>
      </w:pPr>
      <w:r w:rsidRPr="00017FE6">
        <w:rPr>
          <w:rFonts w:ascii="Arial" w:hAnsi="Arial" w:cs="Arial"/>
          <w:b/>
          <w:sz w:val="28"/>
        </w:rPr>
        <w:t>Case Study: The Shrewsbury and Telford Hospital NHS Trust Maternity Scandal</w:t>
      </w:r>
    </w:p>
    <w:p w14:paraId="3F7EA922" w14:textId="77777777" w:rsidR="007E7650" w:rsidRPr="000A3C6D" w:rsidRDefault="00900582" w:rsidP="005C2004">
      <w:pPr>
        <w:spacing w:after="60"/>
        <w:jc w:val="center"/>
        <w:rPr>
          <w:rFonts w:ascii="Arial" w:hAnsi="Arial" w:cs="Arial"/>
          <w:bCs/>
        </w:rPr>
      </w:pPr>
      <w:r w:rsidRPr="000A3C6D">
        <w:rPr>
          <w:rFonts w:ascii="Arial" w:hAnsi="Arial" w:cs="Arial"/>
          <w:bCs/>
        </w:rPr>
        <w:t xml:space="preserve">Student name: Norin </w:t>
      </w:r>
      <w:proofErr w:type="spellStart"/>
      <w:r w:rsidRPr="000A3C6D">
        <w:rPr>
          <w:rFonts w:ascii="Arial" w:hAnsi="Arial" w:cs="Arial"/>
          <w:bCs/>
        </w:rPr>
        <w:t>Mohamadmunafkhan</w:t>
      </w:r>
      <w:proofErr w:type="spellEnd"/>
      <w:r w:rsidRPr="000A3C6D">
        <w:rPr>
          <w:rFonts w:ascii="Arial" w:hAnsi="Arial" w:cs="Arial"/>
          <w:bCs/>
        </w:rPr>
        <w:t xml:space="preserve"> Qureshi</w:t>
      </w:r>
    </w:p>
    <w:p w14:paraId="792B5204" w14:textId="77777777" w:rsidR="007E7650" w:rsidRPr="000A3C6D" w:rsidRDefault="00900582" w:rsidP="005C2004">
      <w:pPr>
        <w:spacing w:after="60"/>
        <w:jc w:val="center"/>
        <w:rPr>
          <w:rFonts w:ascii="Arial" w:hAnsi="Arial" w:cs="Arial"/>
          <w:bCs/>
        </w:rPr>
      </w:pPr>
      <w:r w:rsidRPr="000A3C6D">
        <w:rPr>
          <w:rFonts w:ascii="Arial" w:hAnsi="Arial" w:cs="Arial"/>
          <w:bCs/>
        </w:rPr>
        <w:t>Student ID: 2528087</w:t>
      </w:r>
    </w:p>
    <w:p w14:paraId="0DF66D66" w14:textId="77777777" w:rsidR="007E7650" w:rsidRPr="000A3C6D" w:rsidRDefault="00900582" w:rsidP="005C2004">
      <w:pPr>
        <w:spacing w:after="60"/>
        <w:jc w:val="center"/>
        <w:rPr>
          <w:rFonts w:ascii="Arial" w:hAnsi="Arial" w:cs="Arial"/>
          <w:bCs/>
        </w:rPr>
      </w:pPr>
      <w:r w:rsidRPr="000A3C6D">
        <w:rPr>
          <w:rFonts w:ascii="Arial" w:hAnsi="Arial" w:cs="Arial"/>
          <w:bCs/>
        </w:rPr>
        <w:t>Module: Quality Assurance and Service Improvements</w:t>
      </w:r>
    </w:p>
    <w:p w14:paraId="41CFA4F7" w14:textId="77777777" w:rsidR="007E7650" w:rsidRPr="000A3C6D" w:rsidRDefault="00900582" w:rsidP="005C2004">
      <w:pPr>
        <w:spacing w:after="60"/>
        <w:jc w:val="center"/>
        <w:rPr>
          <w:rFonts w:ascii="Arial" w:hAnsi="Arial" w:cs="Arial"/>
          <w:bCs/>
        </w:rPr>
      </w:pPr>
      <w:r w:rsidRPr="000A3C6D">
        <w:rPr>
          <w:rFonts w:ascii="Arial" w:hAnsi="Arial" w:cs="Arial"/>
          <w:bCs/>
        </w:rPr>
        <w:t>Module code: LCHS7006</w:t>
      </w:r>
    </w:p>
    <w:p w14:paraId="55F87970" w14:textId="77777777" w:rsidR="007E7650" w:rsidRPr="000A3C6D" w:rsidRDefault="00900582" w:rsidP="005C2004">
      <w:pPr>
        <w:spacing w:after="60"/>
        <w:jc w:val="center"/>
        <w:rPr>
          <w:rFonts w:ascii="Arial" w:hAnsi="Arial" w:cs="Arial"/>
          <w:bCs/>
        </w:rPr>
      </w:pPr>
      <w:r w:rsidRPr="000A3C6D">
        <w:rPr>
          <w:rFonts w:ascii="Arial" w:hAnsi="Arial" w:cs="Arial"/>
          <w:bCs/>
        </w:rPr>
        <w:t xml:space="preserve">Lecturer: Christopher </w:t>
      </w:r>
      <w:proofErr w:type="spellStart"/>
      <w:r w:rsidRPr="000A3C6D">
        <w:rPr>
          <w:rFonts w:ascii="Arial" w:hAnsi="Arial" w:cs="Arial"/>
          <w:bCs/>
        </w:rPr>
        <w:t>Mafuva</w:t>
      </w:r>
      <w:proofErr w:type="spellEnd"/>
    </w:p>
    <w:p w14:paraId="38579222" w14:textId="77777777" w:rsidR="007E7650" w:rsidRPr="000A3C6D" w:rsidRDefault="00900582" w:rsidP="005C2004">
      <w:pPr>
        <w:spacing w:after="60"/>
        <w:jc w:val="center"/>
        <w:rPr>
          <w:rFonts w:ascii="Arial" w:hAnsi="Arial" w:cs="Arial"/>
          <w:bCs/>
        </w:rPr>
      </w:pPr>
      <w:proofErr w:type="spellStart"/>
      <w:r w:rsidRPr="000A3C6D">
        <w:rPr>
          <w:rFonts w:ascii="Arial" w:hAnsi="Arial" w:cs="Arial"/>
          <w:bCs/>
        </w:rPr>
        <w:t>Programme</w:t>
      </w:r>
      <w:proofErr w:type="spellEnd"/>
      <w:r w:rsidRPr="000A3C6D">
        <w:rPr>
          <w:rFonts w:ascii="Arial" w:hAnsi="Arial" w:cs="Arial"/>
          <w:bCs/>
        </w:rPr>
        <w:t>: MSc Public Health and Social Care in Practice</w:t>
      </w:r>
    </w:p>
    <w:p w14:paraId="6A6468BD" w14:textId="6484A39A" w:rsidR="007E7650" w:rsidRPr="000A3C6D" w:rsidRDefault="00900582" w:rsidP="003644C1">
      <w:pPr>
        <w:spacing w:after="60"/>
        <w:jc w:val="center"/>
        <w:rPr>
          <w:rFonts w:ascii="Arial" w:hAnsi="Arial" w:cs="Arial"/>
          <w:bCs/>
        </w:rPr>
      </w:pPr>
      <w:r w:rsidRPr="000A3C6D">
        <w:rPr>
          <w:rFonts w:ascii="Arial" w:hAnsi="Arial" w:cs="Arial"/>
          <w:bCs/>
        </w:rPr>
        <w:t>Assessment: Assessment 2 – Written Report</w:t>
      </w:r>
    </w:p>
    <w:p w14:paraId="29131AA4" w14:textId="77777777" w:rsidR="007E7650" w:rsidRPr="000A3C6D" w:rsidRDefault="00900582" w:rsidP="005C2004">
      <w:pPr>
        <w:jc w:val="center"/>
        <w:rPr>
          <w:rFonts w:ascii="Arial" w:hAnsi="Arial" w:cs="Arial"/>
          <w:bCs/>
        </w:rPr>
      </w:pPr>
      <w:r w:rsidRPr="000A3C6D">
        <w:rPr>
          <w:rFonts w:ascii="Arial" w:hAnsi="Arial" w:cs="Arial"/>
          <w:bCs/>
        </w:rPr>
        <w:br w:type="page"/>
      </w:r>
    </w:p>
    <w:p w14:paraId="5CF1C258" w14:textId="77777777" w:rsidR="007E7650" w:rsidRPr="000A3C6D" w:rsidRDefault="00900582" w:rsidP="005C2004">
      <w:pPr>
        <w:pStyle w:val="Heading1"/>
        <w:jc w:val="left"/>
        <w:rPr>
          <w:rFonts w:ascii="Arial" w:hAnsi="Arial" w:cs="Arial"/>
          <w:b w:val="0"/>
        </w:rPr>
      </w:pPr>
      <w:r w:rsidRPr="000A3C6D">
        <w:rPr>
          <w:rFonts w:ascii="Arial" w:hAnsi="Arial" w:cs="Arial"/>
          <w:b w:val="0"/>
        </w:rPr>
        <w:lastRenderedPageBreak/>
        <w:t>1</w:t>
      </w:r>
      <w:r w:rsidRPr="000A3C6D">
        <w:rPr>
          <w:rFonts w:ascii="Arial" w:hAnsi="Arial" w:cs="Arial"/>
          <w:bCs w:val="0"/>
        </w:rPr>
        <w:t>.</w:t>
      </w:r>
      <w:r w:rsidRPr="000A3C6D">
        <w:rPr>
          <w:rFonts w:ascii="Arial" w:hAnsi="Arial" w:cs="Arial"/>
          <w:bCs w:val="0"/>
          <w:u w:val="single"/>
        </w:rPr>
        <w:t xml:space="preserve"> Introduction</w:t>
      </w:r>
    </w:p>
    <w:p w14:paraId="7C9CD1B4" w14:textId="6043372B" w:rsidR="00FD1344" w:rsidRPr="000A3C6D" w:rsidRDefault="00FD1344" w:rsidP="00311DF8">
      <w:pPr>
        <w:jc w:val="left"/>
        <w:rPr>
          <w:rFonts w:ascii="Arial" w:hAnsi="Arial" w:cs="Arial"/>
          <w:bCs/>
          <w:lang w:val="en-IN"/>
        </w:rPr>
      </w:pPr>
      <w:r w:rsidRPr="000A3C6D">
        <w:rPr>
          <w:rFonts w:ascii="Arial" w:hAnsi="Arial" w:cs="Arial"/>
          <w:bCs/>
          <w:lang w:val="en-IN"/>
        </w:rPr>
        <w:t xml:space="preserve">Quality Assurance (QA) in health and social care is a </w:t>
      </w:r>
      <w:r w:rsidR="00F121C0">
        <w:rPr>
          <w:rFonts w:ascii="Arial" w:hAnsi="Arial" w:cs="Arial"/>
          <w:bCs/>
          <w:lang w:val="en-IN"/>
        </w:rPr>
        <w:t>quality-assuring system for safe, effective, person-centred</w:t>
      </w:r>
      <w:r w:rsidR="00126AED" w:rsidRPr="000A3C6D">
        <w:rPr>
          <w:rFonts w:ascii="Arial" w:hAnsi="Arial" w:cs="Arial"/>
          <w:bCs/>
          <w:lang w:val="en-IN"/>
        </w:rPr>
        <w:t>,</w:t>
      </w:r>
      <w:r w:rsidRPr="000A3C6D">
        <w:rPr>
          <w:rFonts w:ascii="Arial" w:hAnsi="Arial" w:cs="Arial"/>
          <w:bCs/>
          <w:lang w:val="en-IN"/>
        </w:rPr>
        <w:t xml:space="preserve"> evidence-informed care. Accordingly, the </w:t>
      </w:r>
      <w:proofErr w:type="spellStart"/>
      <w:r w:rsidRPr="000A3C6D">
        <w:rPr>
          <w:rFonts w:ascii="Arial" w:hAnsi="Arial" w:cs="Arial"/>
          <w:bCs/>
          <w:lang w:val="en-IN"/>
        </w:rPr>
        <w:t>SaTH</w:t>
      </w:r>
      <w:proofErr w:type="spellEnd"/>
      <w:r w:rsidRPr="000A3C6D">
        <w:rPr>
          <w:rFonts w:ascii="Arial" w:hAnsi="Arial" w:cs="Arial"/>
          <w:bCs/>
          <w:lang w:val="en-IN"/>
        </w:rPr>
        <w:t xml:space="preserve"> maternity scandal in Shropshire and Telford cannot be best understood as </w:t>
      </w:r>
      <w:r w:rsidR="00F121C0">
        <w:rPr>
          <w:rFonts w:ascii="Arial" w:hAnsi="Arial" w:cs="Arial"/>
          <w:bCs/>
          <w:lang w:val="en-IN"/>
        </w:rPr>
        <w:t xml:space="preserve">a series of </w:t>
      </w:r>
      <w:r w:rsidRPr="000A3C6D">
        <w:rPr>
          <w:rFonts w:ascii="Arial" w:hAnsi="Arial" w:cs="Arial"/>
          <w:bCs/>
          <w:lang w:val="en-IN"/>
        </w:rPr>
        <w:t xml:space="preserve">individual clinical errors. The Ockenden review </w:t>
      </w:r>
      <w:r w:rsidR="00F121C0">
        <w:rPr>
          <w:rFonts w:ascii="Arial" w:hAnsi="Arial" w:cs="Arial"/>
          <w:bCs/>
          <w:lang w:val="en-IN"/>
        </w:rPr>
        <w:t xml:space="preserve">examined 1,486 families with 1,592 clinical incidents, in which appalling scope and continuity of concerns were </w:t>
      </w:r>
      <w:r w:rsidRPr="000A3C6D">
        <w:rPr>
          <w:rFonts w:ascii="Arial" w:hAnsi="Arial" w:cs="Arial"/>
          <w:bCs/>
          <w:lang w:val="en-IN"/>
        </w:rPr>
        <w:t>evidenced over many years</w:t>
      </w:r>
      <w:r w:rsidR="00A23C03" w:rsidRPr="000A3C6D">
        <w:rPr>
          <w:rFonts w:ascii="Arial" w:hAnsi="Arial" w:cs="Arial"/>
          <w:bCs/>
          <w:lang w:val="en-IN"/>
        </w:rPr>
        <w:t xml:space="preserve"> </w:t>
      </w:r>
      <w:r w:rsidRPr="000A3C6D">
        <w:rPr>
          <w:rFonts w:ascii="Arial" w:hAnsi="Arial" w:cs="Arial"/>
          <w:bCs/>
          <w:lang w:val="en-IN"/>
        </w:rPr>
        <w:t>(</w:t>
      </w:r>
      <w:r w:rsidR="00111013" w:rsidRPr="000A3C6D">
        <w:rPr>
          <w:rFonts w:ascii="Arial" w:hAnsi="Arial" w:cs="Arial"/>
          <w:bCs/>
          <w:lang w:val="en-IN"/>
        </w:rPr>
        <w:t>Ockenden</w:t>
      </w:r>
      <w:r w:rsidRPr="000A3C6D">
        <w:rPr>
          <w:rFonts w:ascii="Arial" w:hAnsi="Arial" w:cs="Arial"/>
          <w:bCs/>
          <w:lang w:val="en-IN"/>
        </w:rPr>
        <w:t xml:space="preserve">, 2022). The case provides a firm </w:t>
      </w:r>
      <w:r w:rsidR="00F121C0">
        <w:rPr>
          <w:rFonts w:ascii="Arial" w:hAnsi="Arial" w:cs="Arial"/>
          <w:bCs/>
          <w:lang w:val="en-IN"/>
        </w:rPr>
        <w:t>basis for studying how organisational barriers are rendered ineffective by poor escalation, learning failure, and an unsafe culture, leading to</w:t>
      </w:r>
      <w:r w:rsidRPr="000A3C6D">
        <w:rPr>
          <w:rFonts w:ascii="Arial" w:hAnsi="Arial" w:cs="Arial"/>
          <w:bCs/>
          <w:lang w:val="en-IN"/>
        </w:rPr>
        <w:t xml:space="preserve"> preventable harm.</w:t>
      </w:r>
    </w:p>
    <w:p w14:paraId="21393980" w14:textId="1EC5AF3D" w:rsidR="00137C61" w:rsidRPr="000A3C6D" w:rsidRDefault="00FD1344" w:rsidP="005C2004">
      <w:pPr>
        <w:jc w:val="left"/>
        <w:rPr>
          <w:rFonts w:ascii="Arial" w:hAnsi="Arial" w:cs="Arial"/>
          <w:bCs/>
        </w:rPr>
      </w:pPr>
      <w:r w:rsidRPr="000A3C6D">
        <w:rPr>
          <w:rFonts w:ascii="Arial" w:hAnsi="Arial" w:cs="Arial"/>
          <w:bCs/>
          <w:lang w:val="en-IN"/>
        </w:rPr>
        <w:t xml:space="preserve">This report exposes </w:t>
      </w:r>
      <w:proofErr w:type="spellStart"/>
      <w:r w:rsidR="00F121C0">
        <w:rPr>
          <w:rFonts w:ascii="Arial" w:hAnsi="Arial" w:cs="Arial"/>
          <w:bCs/>
          <w:lang w:val="en-IN"/>
        </w:rPr>
        <w:t>SaTH’s</w:t>
      </w:r>
      <w:proofErr w:type="spellEnd"/>
      <w:r w:rsidR="00F121C0">
        <w:rPr>
          <w:rFonts w:ascii="Arial" w:hAnsi="Arial" w:cs="Arial"/>
          <w:bCs/>
          <w:lang w:val="en-IN"/>
        </w:rPr>
        <w:t xml:space="preserve"> system flaws using Ishikawa’s Fishbone model, Reason’s Swiss Cheese Model, and Donabedian’s Structure-Process-Outcome model, building upon the earlier report with a Five Whys root-cause analysis and SWOT &amp; PESTLE analyses</w:t>
      </w:r>
      <w:r w:rsidRPr="000A3C6D">
        <w:rPr>
          <w:rFonts w:ascii="Arial" w:hAnsi="Arial" w:cs="Arial"/>
          <w:bCs/>
          <w:lang w:val="en-IN"/>
        </w:rPr>
        <w:t xml:space="preserve">. </w:t>
      </w:r>
      <w:r w:rsidR="00CC0D30" w:rsidRPr="000A3C6D">
        <w:rPr>
          <w:rFonts w:ascii="Arial" w:hAnsi="Arial" w:cs="Arial"/>
          <w:bCs/>
          <w:lang w:val="en-IN"/>
        </w:rPr>
        <w:t xml:space="preserve">Each method is correctly complementary: the Fishbone diagram locates </w:t>
      </w:r>
      <w:r w:rsidR="00F121C0">
        <w:rPr>
          <w:rFonts w:ascii="Arial" w:hAnsi="Arial" w:cs="Arial"/>
          <w:bCs/>
          <w:lang w:val="en-IN"/>
        </w:rPr>
        <w:t>where a fault is likely to occur; the Five Whys provides depth of causality; the Swiss Cheese model shows where that hole can leak into the system; and the Structure follows Process to Outcome.</w:t>
      </w:r>
      <w:r w:rsidRPr="000A3C6D">
        <w:rPr>
          <w:rFonts w:ascii="Arial" w:hAnsi="Arial" w:cs="Arial"/>
          <w:bCs/>
          <w:lang w:val="en-IN"/>
        </w:rPr>
        <w:t xml:space="preserve"> However, the evidence shows </w:t>
      </w:r>
      <w:r w:rsidR="00645197">
        <w:rPr>
          <w:rFonts w:ascii="Arial" w:hAnsi="Arial" w:cs="Arial"/>
          <w:bCs/>
          <w:lang w:val="en-IN"/>
        </w:rPr>
        <w:t>that root-cause analysis can overlook everything except its concluding recommendations, especially where evidence, ownership,</w:t>
      </w:r>
      <w:r w:rsidRPr="000A3C6D">
        <w:rPr>
          <w:rFonts w:ascii="Arial" w:hAnsi="Arial" w:cs="Arial"/>
          <w:bCs/>
          <w:lang w:val="en-IN"/>
        </w:rPr>
        <w:t xml:space="preserve"> and implementation are lacking. </w:t>
      </w:r>
      <w:r w:rsidR="00137C61" w:rsidRPr="000A3C6D">
        <w:rPr>
          <w:rFonts w:ascii="Arial" w:hAnsi="Arial" w:cs="Arial"/>
          <w:bCs/>
        </w:rPr>
        <w:t xml:space="preserve">The RCA practice employed in NHS hospitals was </w:t>
      </w:r>
      <w:proofErr w:type="spellStart"/>
      <w:r w:rsidR="00645197">
        <w:rPr>
          <w:rFonts w:ascii="Arial" w:hAnsi="Arial" w:cs="Arial"/>
          <w:bCs/>
        </w:rPr>
        <w:t>analysed</w:t>
      </w:r>
      <w:proofErr w:type="spellEnd"/>
      <w:r w:rsidR="00645197">
        <w:rPr>
          <w:rFonts w:ascii="Arial" w:hAnsi="Arial" w:cs="Arial"/>
          <w:bCs/>
        </w:rPr>
        <w:t xml:space="preserve"> in several studies and found to include weak recommendations</w:t>
      </w:r>
      <w:r w:rsidR="00137C61" w:rsidRPr="000A3C6D">
        <w:rPr>
          <w:rFonts w:ascii="Arial" w:hAnsi="Arial" w:cs="Arial"/>
          <w:bCs/>
        </w:rPr>
        <w:t xml:space="preserve">. This analysis demonstrates that performing an investigation does not make a process or procedure safer (Martin-Delgado et al., 2020). Additionally, the Five Whys should not be mistaken for </w:t>
      </w:r>
      <w:r w:rsidR="00645197">
        <w:rPr>
          <w:rFonts w:ascii="Arial" w:hAnsi="Arial" w:cs="Arial"/>
          <w:bCs/>
        </w:rPr>
        <w:t>evidence of a root cause</w:t>
      </w:r>
      <w:r w:rsidR="00137C61" w:rsidRPr="000A3C6D">
        <w:rPr>
          <w:rFonts w:ascii="Arial" w:hAnsi="Arial" w:cs="Arial"/>
          <w:bCs/>
        </w:rPr>
        <w:t xml:space="preserve"> (Card, 2017).</w:t>
      </w:r>
    </w:p>
    <w:p w14:paraId="734B8F8D" w14:textId="351F2E61" w:rsidR="00FD1344" w:rsidRPr="000A3C6D" w:rsidRDefault="00FD1344" w:rsidP="005C2004">
      <w:pPr>
        <w:jc w:val="left"/>
        <w:rPr>
          <w:rFonts w:ascii="Arial" w:hAnsi="Arial" w:cs="Arial"/>
          <w:bCs/>
          <w:lang w:val="en-IN"/>
        </w:rPr>
      </w:pPr>
      <w:r w:rsidRPr="000A3C6D">
        <w:rPr>
          <w:rFonts w:ascii="Arial" w:hAnsi="Arial" w:cs="Arial"/>
          <w:bCs/>
          <w:lang w:val="en-IN"/>
        </w:rPr>
        <w:t xml:space="preserve">The report also draws on existing literature on safety culture, psychological safety and quality improvement. Systematic reviews have </w:t>
      </w:r>
      <w:r w:rsidR="00645197">
        <w:rPr>
          <w:rFonts w:ascii="Arial" w:hAnsi="Arial" w:cs="Arial"/>
          <w:bCs/>
          <w:lang w:val="en-IN"/>
        </w:rPr>
        <w:t>identified staffing, non-punitive responses to error, handovers,</w:t>
      </w:r>
      <w:r w:rsidRPr="000A3C6D">
        <w:rPr>
          <w:rFonts w:ascii="Arial" w:hAnsi="Arial" w:cs="Arial"/>
          <w:bCs/>
          <w:lang w:val="en-IN"/>
        </w:rPr>
        <w:t xml:space="preserve"> and teamwork across boundaries as persistent weaknesses in hospital safety culture (Reis, Paiva and Sousa, 2018). Psychological safety is particularly relevant</w:t>
      </w:r>
      <w:r w:rsidR="00645197">
        <w:rPr>
          <w:rFonts w:ascii="Arial" w:hAnsi="Arial" w:cs="Arial"/>
          <w:bCs/>
          <w:lang w:val="en-IN"/>
        </w:rPr>
        <w:t>, given that staff need the willingness and capacity to challenge decisions and escalate risks</w:t>
      </w:r>
      <w:r w:rsidRPr="000A3C6D">
        <w:rPr>
          <w:rFonts w:ascii="Arial" w:hAnsi="Arial" w:cs="Arial"/>
          <w:bCs/>
          <w:lang w:val="en-IN"/>
        </w:rPr>
        <w:t xml:space="preserve"> without reprisal. A systematic review has found </w:t>
      </w:r>
      <w:r w:rsidR="007E24A9">
        <w:rPr>
          <w:rFonts w:ascii="Arial" w:hAnsi="Arial" w:cs="Arial"/>
          <w:bCs/>
          <w:lang w:val="en-IN"/>
        </w:rPr>
        <w:t>that enablers of psychological safety in healthcare teams include organisational safety priority, learning orientation, support, inclusiveness, and hierarchy (O’Donovan</w:t>
      </w:r>
      <w:r w:rsidRPr="000A3C6D">
        <w:rPr>
          <w:rFonts w:ascii="Arial" w:hAnsi="Arial" w:cs="Arial"/>
          <w:bCs/>
          <w:lang w:val="en-IN"/>
        </w:rPr>
        <w:t xml:space="preserve"> </w:t>
      </w:r>
      <w:r w:rsidR="005B186D">
        <w:rPr>
          <w:rFonts w:ascii="Arial" w:hAnsi="Arial" w:cs="Arial"/>
          <w:bCs/>
          <w:lang w:val="en-IN"/>
        </w:rPr>
        <w:t>&amp;</w:t>
      </w:r>
      <w:r w:rsidRPr="000A3C6D">
        <w:rPr>
          <w:rFonts w:ascii="Arial" w:hAnsi="Arial" w:cs="Arial"/>
          <w:bCs/>
          <w:lang w:val="en-IN"/>
        </w:rPr>
        <w:t xml:space="preserve"> McAuliffe, 2020). More </w:t>
      </w:r>
      <w:r w:rsidRPr="000A3C6D">
        <w:rPr>
          <w:rFonts w:ascii="Arial" w:hAnsi="Arial" w:cs="Arial"/>
          <w:bCs/>
          <w:lang w:val="en-IN"/>
        </w:rPr>
        <w:lastRenderedPageBreak/>
        <w:t xml:space="preserve">recent evidence </w:t>
      </w:r>
      <w:r w:rsidR="007E24A9">
        <w:rPr>
          <w:rFonts w:ascii="Arial" w:hAnsi="Arial" w:cs="Arial"/>
          <w:bCs/>
          <w:lang w:val="en-IN"/>
        </w:rPr>
        <w:t>suggests an association between psychological safety and objective hospital safety indicators, though the evidence remains</w:t>
      </w:r>
      <w:r w:rsidRPr="000A3C6D">
        <w:rPr>
          <w:rFonts w:ascii="Arial" w:hAnsi="Arial" w:cs="Arial"/>
          <w:bCs/>
          <w:lang w:val="en-IN"/>
        </w:rPr>
        <w:t xml:space="preserve"> mixed (Montgomery et al., 2025).</w:t>
      </w:r>
    </w:p>
    <w:p w14:paraId="34CF1B8B" w14:textId="35EFE7CC" w:rsidR="00FD1344" w:rsidRPr="000A3C6D" w:rsidRDefault="00FD1344" w:rsidP="005C2004">
      <w:pPr>
        <w:jc w:val="left"/>
        <w:rPr>
          <w:rFonts w:ascii="Arial" w:hAnsi="Arial" w:cs="Arial"/>
          <w:bCs/>
          <w:lang w:val="en-IN"/>
        </w:rPr>
      </w:pPr>
      <w:r w:rsidRPr="000A3C6D">
        <w:rPr>
          <w:rFonts w:ascii="Arial" w:hAnsi="Arial" w:cs="Arial"/>
          <w:bCs/>
          <w:lang w:val="en-IN"/>
        </w:rPr>
        <w:t>The analysis thus extends beyond recounting the Ockenden report. It explores reasons why warning signs may not translate into action</w:t>
      </w:r>
      <w:r w:rsidR="007E24A9">
        <w:rPr>
          <w:rFonts w:ascii="Arial" w:hAnsi="Arial" w:cs="Arial"/>
          <w:bCs/>
          <w:lang w:val="en-IN"/>
        </w:rPr>
        <w:t>, how external policy and strategic drivers may shape behaviour,</w:t>
      </w:r>
      <w:r w:rsidRPr="000A3C6D">
        <w:rPr>
          <w:rFonts w:ascii="Arial" w:hAnsi="Arial" w:cs="Arial"/>
          <w:bCs/>
          <w:lang w:val="en-IN"/>
        </w:rPr>
        <w:t xml:space="preserve"> and how improvements can be instituted and evaluated. NHS England policy today, such as PSIRF</w:t>
      </w:r>
      <w:r w:rsidR="007E24A9">
        <w:rPr>
          <w:rFonts w:ascii="Arial" w:hAnsi="Arial" w:cs="Arial"/>
          <w:bCs/>
          <w:lang w:val="en-IN"/>
        </w:rPr>
        <w:t>,</w:t>
      </w:r>
      <w:r w:rsidRPr="000A3C6D">
        <w:rPr>
          <w:rFonts w:ascii="Arial" w:hAnsi="Arial" w:cs="Arial"/>
          <w:bCs/>
          <w:lang w:val="en-IN"/>
        </w:rPr>
        <w:t xml:space="preserve"> advocates </w:t>
      </w:r>
      <w:r w:rsidR="005B186D">
        <w:rPr>
          <w:rFonts w:ascii="Arial" w:hAnsi="Arial" w:cs="Arial"/>
          <w:bCs/>
          <w:lang w:val="en-IN"/>
        </w:rPr>
        <w:t>proportionate, system-based learning, engagement with</w:t>
      </w:r>
      <w:r w:rsidRPr="000A3C6D">
        <w:rPr>
          <w:rFonts w:ascii="Arial" w:hAnsi="Arial" w:cs="Arial"/>
          <w:bCs/>
          <w:lang w:val="en-IN"/>
        </w:rPr>
        <w:t xml:space="preserve"> the affected population, and safety action (NHS England, 2026a). CQC evidence also shows leadership, governance, staffing, transparency and timely response to risk as the most important indicators for safer maternity services (CQC, 2024). The report is rounded off with implementation strategies </w:t>
      </w:r>
      <w:r w:rsidR="007E24A9">
        <w:rPr>
          <w:rFonts w:ascii="Arial" w:hAnsi="Arial" w:cs="Arial"/>
          <w:bCs/>
          <w:lang w:val="en-IN"/>
        </w:rPr>
        <w:t>for PDSA cycles, system and individual measures, board oversight,</w:t>
      </w:r>
      <w:r w:rsidRPr="000A3C6D">
        <w:rPr>
          <w:rFonts w:ascii="Arial" w:hAnsi="Arial" w:cs="Arial"/>
          <w:bCs/>
          <w:lang w:val="en-IN"/>
        </w:rPr>
        <w:t xml:space="preserve"> and patient and staff involvement.</w:t>
      </w:r>
    </w:p>
    <w:p w14:paraId="60C6FC80" w14:textId="0289EF6B" w:rsidR="00B31284" w:rsidRPr="000A3C6D" w:rsidRDefault="00B31284" w:rsidP="005C30CC">
      <w:pPr>
        <w:jc w:val="left"/>
        <w:rPr>
          <w:rFonts w:ascii="Arial" w:hAnsi="Arial" w:cs="Arial"/>
          <w:bCs/>
          <w:i/>
          <w:iCs/>
          <w:color w:val="000000" w:themeColor="text1"/>
          <w:sz w:val="20"/>
          <w:lang w:val="en-IN"/>
        </w:rPr>
      </w:pPr>
    </w:p>
    <w:p w14:paraId="22483BD8" w14:textId="00B27DE5" w:rsidR="00B31284" w:rsidRPr="000A3C6D" w:rsidRDefault="00B31284" w:rsidP="005C30CC">
      <w:pPr>
        <w:jc w:val="left"/>
        <w:rPr>
          <w:rFonts w:ascii="Arial" w:hAnsi="Arial" w:cs="Arial"/>
          <w:bCs/>
          <w:i/>
          <w:iCs/>
          <w:color w:val="000000" w:themeColor="text1"/>
          <w:sz w:val="20"/>
          <w:lang w:val="en-IN"/>
        </w:rPr>
      </w:pPr>
      <w:r w:rsidRPr="000A3C6D">
        <w:rPr>
          <w:rFonts w:ascii="Arial" w:hAnsi="Arial" w:cs="Arial"/>
          <w:bCs/>
          <w:noProof/>
        </w:rPr>
        <w:drawing>
          <wp:anchor distT="0" distB="0" distL="114300" distR="114300" simplePos="0" relativeHeight="251658240" behindDoc="0" locked="0" layoutInCell="1" allowOverlap="1" wp14:anchorId="22DF12B4" wp14:editId="1F33CD28">
            <wp:simplePos x="0" y="0"/>
            <wp:positionH relativeFrom="margin">
              <wp:posOffset>356062</wp:posOffset>
            </wp:positionH>
            <wp:positionV relativeFrom="paragraph">
              <wp:posOffset>10160</wp:posOffset>
            </wp:positionV>
            <wp:extent cx="5303520" cy="3426890"/>
            <wp:effectExtent l="0" t="0" r="0" b="2540"/>
            <wp:wrapSquare wrapText="bothSides"/>
            <wp:docPr id="1" name="Picture 1" descr="Quality assurance figure illustrating maternity safety evidence or implementation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ckenden_scale_chart.png"/>
                    <pic:cNvPicPr/>
                  </pic:nvPicPr>
                  <pic:blipFill>
                    <a:blip r:embed="rId8"/>
                    <a:stretch>
                      <a:fillRect/>
                    </a:stretch>
                  </pic:blipFill>
                  <pic:spPr>
                    <a:xfrm>
                      <a:off x="0" y="0"/>
                      <a:ext cx="5303520" cy="3426890"/>
                    </a:xfrm>
                    <a:prstGeom prst="rect">
                      <a:avLst/>
                    </a:prstGeom>
                  </pic:spPr>
                </pic:pic>
              </a:graphicData>
            </a:graphic>
          </wp:anchor>
        </w:drawing>
      </w:r>
    </w:p>
    <w:p w14:paraId="20A3EDD5" w14:textId="20117D4F" w:rsidR="00B31284" w:rsidRPr="000A3C6D" w:rsidRDefault="00B31284" w:rsidP="005C30CC">
      <w:pPr>
        <w:jc w:val="left"/>
        <w:rPr>
          <w:rFonts w:ascii="Arial" w:hAnsi="Arial" w:cs="Arial"/>
          <w:bCs/>
          <w:i/>
          <w:iCs/>
          <w:color w:val="000000" w:themeColor="text1"/>
          <w:sz w:val="20"/>
          <w:lang w:val="en-IN"/>
        </w:rPr>
      </w:pPr>
      <w:r w:rsidRPr="000A3C6D">
        <w:rPr>
          <w:rFonts w:ascii="Arial" w:hAnsi="Arial" w:cs="Arial"/>
          <w:bCs/>
          <w:i/>
          <w:iCs/>
          <w:color w:val="000000" w:themeColor="text1"/>
          <w:sz w:val="20"/>
          <w:lang w:val="en-IN"/>
        </w:rPr>
        <w:t xml:space="preserve"> </w:t>
      </w:r>
    </w:p>
    <w:p w14:paraId="163CBEF0" w14:textId="4B297685" w:rsidR="00B31284" w:rsidRPr="000A3C6D" w:rsidRDefault="00B31284" w:rsidP="008C05ED">
      <w:pPr>
        <w:jc w:val="center"/>
        <w:rPr>
          <w:rFonts w:ascii="Arial" w:hAnsi="Arial" w:cs="Arial"/>
          <w:bCs/>
          <w:i/>
          <w:iCs/>
          <w:color w:val="000000" w:themeColor="text1"/>
          <w:sz w:val="18"/>
          <w:szCs w:val="18"/>
          <w:lang w:val="en-IN"/>
        </w:rPr>
      </w:pPr>
    </w:p>
    <w:p w14:paraId="07287F97" w14:textId="2963B8C7" w:rsidR="00AE64DB" w:rsidRPr="000A3C6D" w:rsidRDefault="00AE64DB" w:rsidP="008C05ED">
      <w:pPr>
        <w:jc w:val="center"/>
        <w:rPr>
          <w:rFonts w:ascii="Arial" w:hAnsi="Arial" w:cs="Arial"/>
          <w:bCs/>
          <w:sz w:val="18"/>
          <w:szCs w:val="18"/>
          <w:lang w:val="en-IN"/>
        </w:rPr>
      </w:pPr>
      <w:r w:rsidRPr="000A3C6D">
        <w:rPr>
          <w:rFonts w:ascii="Arial" w:hAnsi="Arial" w:cs="Arial"/>
          <w:bCs/>
          <w:i/>
          <w:iCs/>
          <w:color w:val="000000" w:themeColor="text1"/>
          <w:sz w:val="18"/>
          <w:szCs w:val="18"/>
          <w:lang w:val="en-IN"/>
        </w:rPr>
        <w:t>Figure 1. Scope of Ockenden review</w:t>
      </w:r>
      <w:r w:rsidR="007E24A9">
        <w:rPr>
          <w:rFonts w:ascii="Arial" w:hAnsi="Arial" w:cs="Arial"/>
          <w:bCs/>
          <w:i/>
          <w:iCs/>
          <w:color w:val="000000" w:themeColor="text1"/>
          <w:sz w:val="18"/>
          <w:szCs w:val="18"/>
          <w:lang w:val="en-IN"/>
        </w:rPr>
        <w:t>:</w:t>
      </w:r>
      <w:r w:rsidRPr="000A3C6D">
        <w:rPr>
          <w:rFonts w:ascii="Arial" w:hAnsi="Arial" w:cs="Arial"/>
          <w:bCs/>
          <w:i/>
          <w:iCs/>
          <w:color w:val="000000" w:themeColor="text1"/>
          <w:sz w:val="18"/>
          <w:szCs w:val="18"/>
          <w:lang w:val="en-IN"/>
        </w:rPr>
        <w:t xml:space="preserve"> 1,486 families and 1,592 clinical incidents reviewed (Ockenden, 2022).</w:t>
      </w:r>
    </w:p>
    <w:p w14:paraId="079E18F2" w14:textId="47ADF2A6" w:rsidR="007E7650" w:rsidRPr="000A3C6D" w:rsidRDefault="00900582" w:rsidP="005C2004">
      <w:pPr>
        <w:pStyle w:val="Heading1"/>
        <w:jc w:val="left"/>
        <w:rPr>
          <w:rFonts w:ascii="Arial" w:hAnsi="Arial" w:cs="Arial"/>
          <w:bCs w:val="0"/>
          <w:u w:val="single"/>
        </w:rPr>
      </w:pPr>
      <w:r w:rsidRPr="000A3C6D">
        <w:rPr>
          <w:rFonts w:ascii="Arial" w:hAnsi="Arial" w:cs="Arial"/>
          <w:b w:val="0"/>
        </w:rPr>
        <w:lastRenderedPageBreak/>
        <w:t>2</w:t>
      </w:r>
      <w:r w:rsidRPr="000A3C6D">
        <w:rPr>
          <w:rFonts w:ascii="Arial" w:hAnsi="Arial" w:cs="Arial"/>
          <w:b w:val="0"/>
          <w:u w:val="single"/>
        </w:rPr>
        <w:t xml:space="preserve">. </w:t>
      </w:r>
      <w:r w:rsidRPr="000A3C6D">
        <w:rPr>
          <w:rFonts w:ascii="Arial" w:hAnsi="Arial" w:cs="Arial"/>
          <w:bCs w:val="0"/>
          <w:u w:val="single"/>
        </w:rPr>
        <w:t>Critical analysis: literature, root causes, policy and impact</w:t>
      </w:r>
    </w:p>
    <w:p w14:paraId="572FABDE" w14:textId="77777777" w:rsidR="007E7650" w:rsidRPr="000A3C6D" w:rsidRDefault="00900582" w:rsidP="005C2004">
      <w:pPr>
        <w:pStyle w:val="Heading2"/>
        <w:jc w:val="left"/>
        <w:rPr>
          <w:rFonts w:ascii="Arial" w:hAnsi="Arial" w:cs="Arial"/>
          <w:b w:val="0"/>
        </w:rPr>
      </w:pPr>
      <w:r w:rsidRPr="000A3C6D">
        <w:rPr>
          <w:rFonts w:ascii="Arial" w:hAnsi="Arial" w:cs="Arial"/>
          <w:b w:val="0"/>
        </w:rPr>
        <w:t>2.1 Root-cause analysis: from event description to system explanation</w:t>
      </w:r>
    </w:p>
    <w:p w14:paraId="685352C9" w14:textId="59BDBB04" w:rsidR="00AD4010" w:rsidRPr="000A3C6D" w:rsidRDefault="00AD4010" w:rsidP="005C2004">
      <w:pPr>
        <w:pStyle w:val="Heading2"/>
        <w:jc w:val="left"/>
        <w:rPr>
          <w:rFonts w:ascii="Arial" w:hAnsi="Arial" w:cs="Arial"/>
          <w:b w:val="0"/>
          <w:color w:val="000000" w:themeColor="text1"/>
          <w:lang w:val="en-IN"/>
        </w:rPr>
      </w:pPr>
      <w:r w:rsidRPr="000A3C6D">
        <w:rPr>
          <w:rFonts w:ascii="Arial" w:hAnsi="Arial" w:cs="Arial"/>
          <w:b w:val="0"/>
          <w:color w:val="000000" w:themeColor="text1"/>
          <w:lang w:val="en-IN"/>
        </w:rPr>
        <w:t xml:space="preserve">The first analytical enhancement proposed above is to clarify the Five Whys rather than (or as well as) Fishbone categorisations. The statement of the problem for this example is as follows: </w:t>
      </w:r>
      <w:r w:rsidR="007E24A9">
        <w:rPr>
          <w:rFonts w:ascii="Arial" w:hAnsi="Arial" w:cs="Arial"/>
          <w:b w:val="0"/>
          <w:color w:val="000000" w:themeColor="text1"/>
          <w:lang w:val="en-IN"/>
        </w:rPr>
        <w:t>preventable maternity harm may recur because signals were not consistently escalated to prompt, accountable action.</w:t>
      </w:r>
      <w:r w:rsidRPr="000A3C6D">
        <w:rPr>
          <w:rFonts w:ascii="Arial" w:hAnsi="Arial" w:cs="Arial"/>
          <w:b w:val="0"/>
          <w:color w:val="000000" w:themeColor="text1"/>
          <w:lang w:val="en-IN"/>
        </w:rPr>
        <w:t xml:space="preserve"> Why 1 is thus escalation failure; why 2 is interplay of staffing, communication, multi-disciplinary working; why 3 is weak assurance and lapses in learning; why 4 is organisational incentives including survey results and learning recommendations which might compete with individuated clinical judgement; and why 5 is lack of a reliable learning feedback loop showing intervention adherence. The Five Whys technique is helpful in that it aims to </w:t>
      </w:r>
      <w:r w:rsidR="007E24A9">
        <w:rPr>
          <w:rFonts w:ascii="Arial" w:hAnsi="Arial" w:cs="Arial"/>
          <w:b w:val="0"/>
          <w:color w:val="000000" w:themeColor="text1"/>
          <w:lang w:val="en-IN"/>
        </w:rPr>
        <w:t>uncover underlying causes rather than the apparent shortcoming, but should be understood as neither a simple linear causal demonstration nor a</w:t>
      </w:r>
      <w:r w:rsidRPr="000A3C6D">
        <w:rPr>
          <w:rFonts w:ascii="Arial" w:hAnsi="Arial" w:cs="Arial"/>
          <w:b w:val="0"/>
          <w:color w:val="000000" w:themeColor="text1"/>
          <w:lang w:val="en-IN"/>
        </w:rPr>
        <w:t xml:space="preserve"> solution.</w:t>
      </w:r>
    </w:p>
    <w:p w14:paraId="14F6FED5" w14:textId="6769EB86" w:rsidR="009F7A39" w:rsidRPr="000A3C6D" w:rsidRDefault="00AD4010" w:rsidP="005C2004">
      <w:pPr>
        <w:pStyle w:val="Heading2"/>
        <w:jc w:val="left"/>
        <w:rPr>
          <w:rFonts w:ascii="Arial" w:hAnsi="Arial" w:cs="Arial"/>
          <w:b w:val="0"/>
          <w:color w:val="000000" w:themeColor="text1"/>
          <w:lang w:val="en-IN"/>
        </w:rPr>
      </w:pPr>
      <w:r w:rsidRPr="000A3C6D">
        <w:rPr>
          <w:rFonts w:ascii="Arial" w:hAnsi="Arial" w:cs="Arial"/>
          <w:b w:val="0"/>
          <w:color w:val="000000" w:themeColor="text1"/>
          <w:lang w:val="en-IN"/>
        </w:rPr>
        <w:t>Ishikawa’s Fishbone model remains useful</w:t>
      </w:r>
      <w:r w:rsidR="008A37FC">
        <w:rPr>
          <w:rFonts w:ascii="Arial" w:hAnsi="Arial" w:cs="Arial"/>
          <w:b w:val="0"/>
          <w:color w:val="000000" w:themeColor="text1"/>
          <w:lang w:val="en-IN"/>
        </w:rPr>
        <w:t xml:space="preserve">, as </w:t>
      </w:r>
      <w:proofErr w:type="spellStart"/>
      <w:r w:rsidR="008A37FC">
        <w:rPr>
          <w:rFonts w:ascii="Arial" w:hAnsi="Arial" w:cs="Arial"/>
          <w:b w:val="0"/>
          <w:color w:val="000000" w:themeColor="text1"/>
          <w:lang w:val="en-IN"/>
        </w:rPr>
        <w:t>SaTH’s</w:t>
      </w:r>
      <w:proofErr w:type="spellEnd"/>
      <w:r w:rsidR="008A37FC">
        <w:rPr>
          <w:rFonts w:ascii="Arial" w:hAnsi="Arial" w:cs="Arial"/>
          <w:b w:val="0"/>
          <w:color w:val="000000" w:themeColor="text1"/>
          <w:lang w:val="en-IN"/>
        </w:rPr>
        <w:t xml:space="preserve"> deficiencies spanned all areas: people and staffing, processes and escalation, governance, training, communication, culture,</w:t>
      </w:r>
      <w:r w:rsidRPr="000A3C6D">
        <w:rPr>
          <w:rFonts w:ascii="Arial" w:hAnsi="Arial" w:cs="Arial"/>
          <w:b w:val="0"/>
          <w:color w:val="000000" w:themeColor="text1"/>
          <w:lang w:val="en-IN"/>
        </w:rPr>
        <w:t xml:space="preserve"> and measurement. </w:t>
      </w:r>
    </w:p>
    <w:p w14:paraId="3BC02F5E" w14:textId="501080F6" w:rsidR="009F7A39" w:rsidRPr="000A3C6D" w:rsidRDefault="009F7A39" w:rsidP="009F7A39">
      <w:pPr>
        <w:rPr>
          <w:rFonts w:ascii="Arial" w:hAnsi="Arial" w:cs="Arial"/>
          <w:bCs/>
          <w:lang w:val="en-IN"/>
        </w:rPr>
      </w:pPr>
      <w:r w:rsidRPr="000A3C6D">
        <w:rPr>
          <w:rFonts w:ascii="Arial" w:hAnsi="Arial" w:cs="Arial"/>
          <w:bCs/>
          <w:noProof/>
          <w:lang w:val="en-IN"/>
        </w:rPr>
        <w:lastRenderedPageBreak/>
        <w:drawing>
          <wp:inline distT="0" distB="0" distL="0" distR="0" wp14:anchorId="24304824" wp14:editId="6508B54E">
            <wp:extent cx="6126480" cy="4084320"/>
            <wp:effectExtent l="0" t="0" r="7620" b="0"/>
            <wp:docPr id="16847475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747593" name="Picture 1684747593"/>
                    <pic:cNvPicPr/>
                  </pic:nvPicPr>
                  <pic:blipFill>
                    <a:blip r:embed="rId9"/>
                    <a:stretch>
                      <a:fillRect/>
                    </a:stretch>
                  </pic:blipFill>
                  <pic:spPr>
                    <a:xfrm>
                      <a:off x="0" y="0"/>
                      <a:ext cx="6126480" cy="4084320"/>
                    </a:xfrm>
                    <a:prstGeom prst="rect">
                      <a:avLst/>
                    </a:prstGeom>
                  </pic:spPr>
                </pic:pic>
              </a:graphicData>
            </a:graphic>
          </wp:inline>
        </w:drawing>
      </w:r>
    </w:p>
    <w:p w14:paraId="54584C18" w14:textId="77777777" w:rsidR="009F7A39" w:rsidRPr="000A3C6D" w:rsidRDefault="009F7A39" w:rsidP="009F7A39">
      <w:pPr>
        <w:rPr>
          <w:rFonts w:ascii="Arial" w:hAnsi="Arial" w:cs="Arial"/>
          <w:bCs/>
          <w:lang w:val="en-IN"/>
        </w:rPr>
      </w:pPr>
    </w:p>
    <w:p w14:paraId="04100030" w14:textId="77777777" w:rsidR="009F7A39" w:rsidRPr="000A3C6D" w:rsidRDefault="009F7A39" w:rsidP="009F7A39">
      <w:pPr>
        <w:rPr>
          <w:rFonts w:ascii="Arial" w:hAnsi="Arial" w:cs="Arial"/>
          <w:bCs/>
          <w:lang w:val="en-IN"/>
        </w:rPr>
      </w:pPr>
    </w:p>
    <w:p w14:paraId="74E3E01D" w14:textId="77777777" w:rsidR="009F7A39" w:rsidRPr="000A3C6D" w:rsidRDefault="009F7A39" w:rsidP="009F7A39">
      <w:pPr>
        <w:jc w:val="center"/>
        <w:rPr>
          <w:rFonts w:ascii="Arial" w:hAnsi="Arial" w:cs="Arial"/>
          <w:bCs/>
          <w:lang w:val="en-IN"/>
        </w:rPr>
      </w:pPr>
      <w:r w:rsidRPr="000A3C6D">
        <w:rPr>
          <w:rFonts w:ascii="Arial" w:hAnsi="Arial" w:cs="Arial"/>
          <w:bCs/>
        </w:rPr>
        <w:t xml:space="preserve">Figure 2. Fishbone diagram: Root causes of maternity safety failures at </w:t>
      </w:r>
      <w:proofErr w:type="spellStart"/>
      <w:r w:rsidRPr="000A3C6D">
        <w:rPr>
          <w:rFonts w:ascii="Arial" w:hAnsi="Arial" w:cs="Arial"/>
          <w:bCs/>
        </w:rPr>
        <w:t>SaTH</w:t>
      </w:r>
      <w:proofErr w:type="spellEnd"/>
      <w:r w:rsidRPr="000A3C6D">
        <w:rPr>
          <w:rFonts w:ascii="Arial" w:hAnsi="Arial" w:cs="Arial"/>
          <w:bCs/>
        </w:rPr>
        <w:t>.</w:t>
      </w:r>
      <w:r w:rsidRPr="000A3C6D">
        <w:rPr>
          <w:rFonts w:ascii="Arial" w:hAnsi="Arial" w:cs="Arial"/>
          <w:bCs/>
        </w:rPr>
        <w:br/>
      </w:r>
      <w:r w:rsidRPr="000A3C6D">
        <w:rPr>
          <w:rFonts w:ascii="Arial" w:hAnsi="Arial" w:cs="Arial"/>
          <w:bCs/>
          <w:i/>
          <w:iCs/>
        </w:rPr>
        <w:t xml:space="preserve">Source: Adapted from Ishikawa (1990) and </w:t>
      </w:r>
      <w:proofErr w:type="spellStart"/>
      <w:r w:rsidRPr="000A3C6D">
        <w:rPr>
          <w:rFonts w:ascii="Arial" w:hAnsi="Arial" w:cs="Arial"/>
          <w:bCs/>
          <w:i/>
          <w:iCs/>
        </w:rPr>
        <w:t>Ockenden</w:t>
      </w:r>
      <w:proofErr w:type="spellEnd"/>
      <w:r w:rsidRPr="000A3C6D">
        <w:rPr>
          <w:rFonts w:ascii="Arial" w:hAnsi="Arial" w:cs="Arial"/>
          <w:bCs/>
          <w:i/>
          <w:iCs/>
        </w:rPr>
        <w:t xml:space="preserve"> (2022).</w:t>
      </w:r>
    </w:p>
    <w:p w14:paraId="7EAB134A" w14:textId="77777777" w:rsidR="009F7A39" w:rsidRPr="000A3C6D" w:rsidRDefault="009F7A39" w:rsidP="009F7A39">
      <w:pPr>
        <w:rPr>
          <w:rFonts w:ascii="Arial" w:hAnsi="Arial" w:cs="Arial"/>
          <w:bCs/>
          <w:lang w:val="en-IN"/>
        </w:rPr>
      </w:pPr>
    </w:p>
    <w:p w14:paraId="6C220D87" w14:textId="6026F39E" w:rsidR="009F7A39" w:rsidRPr="000A3C6D" w:rsidRDefault="009F7A39" w:rsidP="005C2004">
      <w:pPr>
        <w:pStyle w:val="Heading2"/>
        <w:jc w:val="left"/>
        <w:rPr>
          <w:rFonts w:ascii="Arial" w:hAnsi="Arial" w:cs="Arial"/>
          <w:b w:val="0"/>
          <w:color w:val="000000" w:themeColor="text1"/>
          <w:lang w:val="en-IN"/>
        </w:rPr>
      </w:pPr>
    </w:p>
    <w:p w14:paraId="5F9BE985" w14:textId="1D2DEF98" w:rsidR="00AD4010" w:rsidRPr="000A3C6D" w:rsidRDefault="00AD4010" w:rsidP="005C2004">
      <w:pPr>
        <w:pStyle w:val="Heading2"/>
        <w:jc w:val="left"/>
        <w:rPr>
          <w:rFonts w:ascii="Arial" w:hAnsi="Arial" w:cs="Arial"/>
          <w:b w:val="0"/>
          <w:color w:val="000000" w:themeColor="text1"/>
          <w:lang w:val="en-IN"/>
        </w:rPr>
      </w:pPr>
      <w:r w:rsidRPr="000A3C6D">
        <w:rPr>
          <w:rFonts w:ascii="Arial" w:hAnsi="Arial" w:cs="Arial"/>
          <w:b w:val="0"/>
          <w:color w:val="000000" w:themeColor="text1"/>
          <w:lang w:val="en-IN"/>
        </w:rPr>
        <w:t>However, attributing causes in this way does not determine their relative importance. Reason’s Swiss Cheese Model enhances the explanation by illustrating the convergence of imperfect defences (</w:t>
      </w:r>
      <w:proofErr w:type="spellStart"/>
      <w:r w:rsidRPr="000A3C6D">
        <w:rPr>
          <w:rFonts w:ascii="Arial" w:hAnsi="Arial" w:cs="Arial"/>
          <w:b w:val="0"/>
          <w:color w:val="000000" w:themeColor="text1"/>
          <w:lang w:val="en-IN"/>
        </w:rPr>
        <w:t>Perneger</w:t>
      </w:r>
      <w:proofErr w:type="spellEnd"/>
      <w:r w:rsidRPr="000A3C6D">
        <w:rPr>
          <w:rFonts w:ascii="Arial" w:hAnsi="Arial" w:cs="Arial"/>
          <w:b w:val="0"/>
          <w:color w:val="000000" w:themeColor="text1"/>
          <w:lang w:val="en-IN"/>
        </w:rPr>
        <w:t xml:space="preserve">, 2005), while Donabedian correlates structure to process and outcome. The implication, therefore, is not simply that staffing ultimately caused harm, but that staffing stress became significantly more hazardous when </w:t>
      </w:r>
      <w:r w:rsidR="008A37FC">
        <w:rPr>
          <w:rFonts w:ascii="Arial" w:hAnsi="Arial" w:cs="Arial"/>
          <w:b w:val="0"/>
          <w:color w:val="000000" w:themeColor="text1"/>
          <w:lang w:val="en-IN"/>
        </w:rPr>
        <w:t xml:space="preserve">exacerbated by poor escalation, teamwork and assurance, attributes associated with leadership according to </w:t>
      </w:r>
      <w:proofErr w:type="spellStart"/>
      <w:r w:rsidR="008A37FC">
        <w:rPr>
          <w:rFonts w:ascii="Arial" w:hAnsi="Arial" w:cs="Arial"/>
          <w:b w:val="0"/>
          <w:color w:val="000000" w:themeColor="text1"/>
          <w:lang w:val="en-IN"/>
        </w:rPr>
        <w:t>Churruca</w:t>
      </w:r>
      <w:proofErr w:type="spellEnd"/>
      <w:r w:rsidR="008A37FC">
        <w:rPr>
          <w:rFonts w:ascii="Arial" w:hAnsi="Arial" w:cs="Arial"/>
          <w:b w:val="0"/>
          <w:color w:val="000000" w:themeColor="text1"/>
          <w:lang w:val="en-IN"/>
        </w:rPr>
        <w:t xml:space="preserve"> et al.</w:t>
      </w:r>
      <w:r w:rsidRPr="000A3C6D">
        <w:rPr>
          <w:rFonts w:ascii="Arial" w:hAnsi="Arial" w:cs="Arial"/>
          <w:b w:val="0"/>
          <w:color w:val="000000" w:themeColor="text1"/>
          <w:lang w:val="en-IN"/>
        </w:rPr>
        <w:t xml:space="preserve"> (2021). Vibe et al. (2024) conclude that multiple factors are influential, but that </w:t>
      </w:r>
      <w:r w:rsidR="008A37FC">
        <w:rPr>
          <w:rFonts w:ascii="Arial" w:hAnsi="Arial" w:cs="Arial"/>
          <w:b w:val="0"/>
          <w:color w:val="000000" w:themeColor="text1"/>
          <w:lang w:val="en-IN"/>
        </w:rPr>
        <w:t>differences between methodologies prevent a definitive causal inference</w:t>
      </w:r>
      <w:r w:rsidRPr="000A3C6D">
        <w:rPr>
          <w:rFonts w:ascii="Arial" w:hAnsi="Arial" w:cs="Arial"/>
          <w:b w:val="0"/>
          <w:color w:val="000000" w:themeColor="text1"/>
          <w:lang w:val="en-IN"/>
        </w:rPr>
        <w:t xml:space="preserve">. </w:t>
      </w:r>
      <w:proofErr w:type="spellStart"/>
      <w:r w:rsidRPr="000A3C6D">
        <w:rPr>
          <w:rFonts w:ascii="Arial" w:hAnsi="Arial" w:cs="Arial"/>
          <w:b w:val="0"/>
          <w:color w:val="000000" w:themeColor="text1"/>
          <w:lang w:val="en-IN"/>
        </w:rPr>
        <w:t>SaTH</w:t>
      </w:r>
      <w:proofErr w:type="spellEnd"/>
      <w:r w:rsidRPr="000A3C6D">
        <w:rPr>
          <w:rFonts w:ascii="Arial" w:hAnsi="Arial" w:cs="Arial"/>
          <w:b w:val="0"/>
          <w:color w:val="000000" w:themeColor="text1"/>
          <w:lang w:val="en-IN"/>
        </w:rPr>
        <w:t xml:space="preserve"> is therefore best conceived as a system failure.</w:t>
      </w:r>
    </w:p>
    <w:p w14:paraId="776803B9" w14:textId="77777777" w:rsidR="006809AE" w:rsidRPr="000A3C6D" w:rsidRDefault="006809AE" w:rsidP="006809AE">
      <w:pPr>
        <w:rPr>
          <w:rFonts w:ascii="Arial" w:hAnsi="Arial" w:cs="Arial"/>
          <w:bCs/>
          <w:lang w:val="en-IN"/>
        </w:rPr>
      </w:pPr>
    </w:p>
    <w:p w14:paraId="4B3C6988" w14:textId="66F26D29" w:rsidR="006809AE" w:rsidRPr="000A3C6D" w:rsidRDefault="006809AE" w:rsidP="006809AE">
      <w:pPr>
        <w:rPr>
          <w:rFonts w:ascii="Arial" w:hAnsi="Arial" w:cs="Arial"/>
          <w:bCs/>
          <w:lang w:val="en-IN"/>
        </w:rPr>
      </w:pPr>
      <w:r w:rsidRPr="000A3C6D">
        <w:rPr>
          <w:rFonts w:ascii="Arial" w:hAnsi="Arial" w:cs="Arial"/>
          <w:bCs/>
          <w:noProof/>
          <w:lang w:val="en-IN"/>
        </w:rPr>
        <w:drawing>
          <wp:inline distT="0" distB="0" distL="0" distR="0" wp14:anchorId="7D52B64D" wp14:editId="5F2F673B">
            <wp:extent cx="6126480" cy="3374571"/>
            <wp:effectExtent l="0" t="0" r="7620" b="0"/>
            <wp:docPr id="18706136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613655" name="Picture 1870613655"/>
                    <pic:cNvPicPr/>
                  </pic:nvPicPr>
                  <pic:blipFill rotWithShape="1">
                    <a:blip r:embed="rId10"/>
                    <a:srcRect b="26558"/>
                    <a:stretch>
                      <a:fillRect/>
                    </a:stretch>
                  </pic:blipFill>
                  <pic:spPr bwMode="auto">
                    <a:xfrm>
                      <a:off x="0" y="0"/>
                      <a:ext cx="6126480" cy="3374571"/>
                    </a:xfrm>
                    <a:prstGeom prst="rect">
                      <a:avLst/>
                    </a:prstGeom>
                    <a:ln>
                      <a:noFill/>
                    </a:ln>
                    <a:extLst>
                      <a:ext uri="{53640926-AAD7-44D8-BBD7-CCE9431645EC}">
                        <a14:shadowObscured xmlns:a14="http://schemas.microsoft.com/office/drawing/2010/main"/>
                      </a:ext>
                    </a:extLst>
                  </pic:spPr>
                </pic:pic>
              </a:graphicData>
            </a:graphic>
          </wp:inline>
        </w:drawing>
      </w:r>
    </w:p>
    <w:p w14:paraId="40E2DFAF" w14:textId="77777777" w:rsidR="006809AE" w:rsidRPr="000A3C6D" w:rsidRDefault="006809AE" w:rsidP="006809AE">
      <w:pPr>
        <w:rPr>
          <w:rFonts w:ascii="Arial" w:hAnsi="Arial" w:cs="Arial"/>
          <w:bCs/>
          <w:lang w:val="en-IN"/>
        </w:rPr>
      </w:pPr>
    </w:p>
    <w:p w14:paraId="1820E3F5" w14:textId="45FF8A3A" w:rsidR="006809AE" w:rsidRPr="000A3C6D" w:rsidRDefault="006809AE" w:rsidP="006809AE">
      <w:pPr>
        <w:jc w:val="center"/>
        <w:rPr>
          <w:rFonts w:ascii="Arial" w:hAnsi="Arial" w:cs="Arial"/>
          <w:bCs/>
          <w:lang w:val="en-IN"/>
        </w:rPr>
      </w:pPr>
      <w:r w:rsidRPr="000A3C6D">
        <w:rPr>
          <w:rFonts w:ascii="Arial" w:hAnsi="Arial" w:cs="Arial"/>
          <w:bCs/>
        </w:rPr>
        <w:t xml:space="preserve">Figure 3. Donabedian Structure–Process–Outcome model applied to maternity care at </w:t>
      </w:r>
      <w:proofErr w:type="spellStart"/>
      <w:r w:rsidRPr="000A3C6D">
        <w:rPr>
          <w:rFonts w:ascii="Arial" w:hAnsi="Arial" w:cs="Arial"/>
          <w:bCs/>
        </w:rPr>
        <w:t>SaTH</w:t>
      </w:r>
      <w:proofErr w:type="spellEnd"/>
      <w:r w:rsidRPr="000A3C6D">
        <w:rPr>
          <w:rFonts w:ascii="Arial" w:hAnsi="Arial" w:cs="Arial"/>
          <w:bCs/>
        </w:rPr>
        <w:t>.</w:t>
      </w:r>
      <w:r w:rsidRPr="000A3C6D">
        <w:rPr>
          <w:rFonts w:ascii="Arial" w:hAnsi="Arial" w:cs="Arial"/>
          <w:bCs/>
        </w:rPr>
        <w:br/>
      </w:r>
      <w:r w:rsidRPr="000A3C6D">
        <w:rPr>
          <w:rFonts w:ascii="Arial" w:hAnsi="Arial" w:cs="Arial"/>
          <w:bCs/>
          <w:i/>
          <w:iCs/>
        </w:rPr>
        <w:t>Source: Adapted from Donabedian (1988).</w:t>
      </w:r>
    </w:p>
    <w:p w14:paraId="2A85BA71" w14:textId="3B05FB80" w:rsidR="00F1250F" w:rsidRPr="000A3C6D" w:rsidRDefault="00F1250F" w:rsidP="00F1250F">
      <w:pPr>
        <w:rPr>
          <w:rFonts w:ascii="Arial" w:hAnsi="Arial" w:cs="Arial"/>
          <w:bCs/>
          <w:lang w:val="en-IN"/>
        </w:rPr>
      </w:pPr>
    </w:p>
    <w:p w14:paraId="7B5A80DC" w14:textId="36A8BCF2" w:rsidR="00AD4010" w:rsidRPr="000A3C6D" w:rsidRDefault="00AD4010" w:rsidP="005C2004">
      <w:pPr>
        <w:pStyle w:val="Heading2"/>
        <w:jc w:val="left"/>
        <w:rPr>
          <w:rFonts w:ascii="Arial" w:hAnsi="Arial" w:cs="Arial"/>
          <w:b w:val="0"/>
          <w:lang w:val="en-IN"/>
        </w:rPr>
      </w:pPr>
      <w:r w:rsidRPr="000A3C6D">
        <w:rPr>
          <w:rFonts w:ascii="Arial" w:hAnsi="Arial" w:cs="Arial"/>
          <w:b w:val="0"/>
          <w:lang w:val="en-IN"/>
        </w:rPr>
        <w:lastRenderedPageBreak/>
        <w:t>2.2 Literature and policy: why organisational learning matters</w:t>
      </w:r>
    </w:p>
    <w:p w14:paraId="05306289" w14:textId="58DF1666" w:rsidR="00821C89" w:rsidRPr="000A3C6D" w:rsidRDefault="008B2F67" w:rsidP="005C2004">
      <w:pPr>
        <w:pStyle w:val="Heading2"/>
        <w:jc w:val="left"/>
        <w:rPr>
          <w:rFonts w:ascii="Arial" w:hAnsi="Arial" w:cs="Arial"/>
          <w:b w:val="0"/>
          <w:color w:val="000000" w:themeColor="text1"/>
        </w:rPr>
      </w:pPr>
      <w:r w:rsidRPr="000A3C6D">
        <w:rPr>
          <w:rFonts w:ascii="Arial" w:hAnsi="Arial" w:cs="Arial"/>
          <w:b w:val="0"/>
          <w:color w:val="000000" w:themeColor="text1"/>
        </w:rPr>
        <w:t xml:space="preserve">The </w:t>
      </w:r>
      <w:proofErr w:type="spellStart"/>
      <w:r w:rsidRPr="000A3C6D">
        <w:rPr>
          <w:rFonts w:ascii="Arial" w:hAnsi="Arial" w:cs="Arial"/>
          <w:b w:val="0"/>
          <w:color w:val="000000" w:themeColor="text1"/>
        </w:rPr>
        <w:t>Ockenden</w:t>
      </w:r>
      <w:proofErr w:type="spellEnd"/>
      <w:r w:rsidRPr="000A3C6D">
        <w:rPr>
          <w:rFonts w:ascii="Arial" w:hAnsi="Arial" w:cs="Arial"/>
          <w:b w:val="0"/>
          <w:color w:val="000000" w:themeColor="text1"/>
        </w:rPr>
        <w:t xml:space="preserve"> review shows that mismanagement was persistent </w:t>
      </w:r>
      <w:r w:rsidR="005B186D">
        <w:rPr>
          <w:rFonts w:ascii="Arial" w:hAnsi="Arial" w:cs="Arial"/>
          <w:b w:val="0"/>
          <w:color w:val="000000" w:themeColor="text1"/>
        </w:rPr>
        <w:t>across numerous incidents rather than</w:t>
      </w:r>
      <w:r w:rsidRPr="000A3C6D">
        <w:rPr>
          <w:rFonts w:ascii="Arial" w:hAnsi="Arial" w:cs="Arial"/>
          <w:b w:val="0"/>
          <w:color w:val="000000" w:themeColor="text1"/>
        </w:rPr>
        <w:t xml:space="preserve"> just one; a more likely explanation is that some level of mismanagement was always present. A failure to manage with appropriate oversight and accountability is also reflected in the2010, 2012, and 2014 reviews. The related 2013, 2015</w:t>
      </w:r>
      <w:r w:rsidR="005B186D">
        <w:rPr>
          <w:rFonts w:ascii="Arial" w:hAnsi="Arial" w:cs="Arial"/>
          <w:b w:val="0"/>
          <w:color w:val="000000" w:themeColor="text1"/>
        </w:rPr>
        <w:t>, and 2022 reports, like the above reviews, provide further insights into leadership, management,</w:t>
      </w:r>
      <w:r w:rsidRPr="000A3C6D">
        <w:rPr>
          <w:rFonts w:ascii="Arial" w:hAnsi="Arial" w:cs="Arial"/>
          <w:b w:val="0"/>
          <w:color w:val="000000" w:themeColor="text1"/>
        </w:rPr>
        <w:t xml:space="preserve"> and oversight. “These recurring themes support system-wide improvement rather than blaming staff.”</w:t>
      </w:r>
    </w:p>
    <w:p w14:paraId="75999299" w14:textId="0E7E5CB9" w:rsidR="00AD4010" w:rsidRPr="000A3C6D" w:rsidRDefault="00AD4010" w:rsidP="005C2004">
      <w:pPr>
        <w:pStyle w:val="Heading2"/>
        <w:jc w:val="left"/>
        <w:rPr>
          <w:rFonts w:ascii="Arial" w:hAnsi="Arial" w:cs="Arial"/>
          <w:b w:val="0"/>
          <w:color w:val="000000" w:themeColor="text1"/>
          <w:lang w:val="en-IN"/>
        </w:rPr>
      </w:pPr>
      <w:r w:rsidRPr="000A3C6D">
        <w:rPr>
          <w:rFonts w:ascii="Arial" w:hAnsi="Arial" w:cs="Arial"/>
          <w:b w:val="0"/>
          <w:color w:val="000000" w:themeColor="text1"/>
          <w:lang w:val="en-IN"/>
        </w:rPr>
        <w:t xml:space="preserve">This is supported by peer-reviewed literature. Reis, Paiva and Sousa (2018) highlight staffing, handovers, teamwork and non-punitive response to error as key </w:t>
      </w:r>
      <w:r w:rsidR="005B186D">
        <w:rPr>
          <w:rFonts w:ascii="Arial" w:hAnsi="Arial" w:cs="Arial"/>
          <w:b w:val="0"/>
          <w:color w:val="000000" w:themeColor="text1"/>
          <w:lang w:val="en-IN"/>
        </w:rPr>
        <w:t>aspects of safety culture</w:t>
      </w:r>
      <w:r w:rsidRPr="000A3C6D">
        <w:rPr>
          <w:rFonts w:ascii="Arial" w:hAnsi="Arial" w:cs="Arial"/>
          <w:b w:val="0"/>
          <w:color w:val="000000" w:themeColor="text1"/>
          <w:lang w:val="en-IN"/>
        </w:rPr>
        <w:t xml:space="preserve">, whilst </w:t>
      </w:r>
      <w:proofErr w:type="spellStart"/>
      <w:r w:rsidRPr="000A3C6D">
        <w:rPr>
          <w:rFonts w:ascii="Arial" w:hAnsi="Arial" w:cs="Arial"/>
          <w:b w:val="0"/>
          <w:color w:val="000000" w:themeColor="text1"/>
          <w:lang w:val="en-IN"/>
        </w:rPr>
        <w:t>Churruca</w:t>
      </w:r>
      <w:proofErr w:type="spellEnd"/>
      <w:r w:rsidRPr="000A3C6D">
        <w:rPr>
          <w:rFonts w:ascii="Arial" w:hAnsi="Arial" w:cs="Arial"/>
          <w:b w:val="0"/>
          <w:color w:val="000000" w:themeColor="text1"/>
          <w:lang w:val="en-IN"/>
        </w:rPr>
        <w:t xml:space="preserve"> et al. (2021) demonstrate that an individual safety-culture assessment tool cannot account for the complexity. Finn et al. (2024) add that teamwork</w:t>
      </w:r>
      <w:r w:rsidR="005B186D">
        <w:rPr>
          <w:rFonts w:ascii="Arial" w:hAnsi="Arial" w:cs="Arial"/>
          <w:b w:val="0"/>
          <w:color w:val="000000" w:themeColor="text1"/>
          <w:lang w:val="en-IN"/>
        </w:rPr>
        <w:t>, team training, support from leadership, and just-culture approaches are common themes across safety-culture initiatives, paralleling evidence from cross-sectional reviews</w:t>
      </w:r>
      <w:r w:rsidRPr="000A3C6D">
        <w:rPr>
          <w:rFonts w:ascii="Arial" w:hAnsi="Arial" w:cs="Arial"/>
          <w:b w:val="0"/>
          <w:color w:val="000000" w:themeColor="text1"/>
          <w:lang w:val="en-IN"/>
        </w:rPr>
        <w:t xml:space="preserve"> (Morello et al., 2013). As far as </w:t>
      </w:r>
      <w:proofErr w:type="spellStart"/>
      <w:r w:rsidRPr="000A3C6D">
        <w:rPr>
          <w:rFonts w:ascii="Arial" w:hAnsi="Arial" w:cs="Arial"/>
          <w:b w:val="0"/>
          <w:color w:val="000000" w:themeColor="text1"/>
          <w:lang w:val="en-IN"/>
        </w:rPr>
        <w:t>SaTH’s</w:t>
      </w:r>
      <w:proofErr w:type="spellEnd"/>
      <w:r w:rsidRPr="000A3C6D">
        <w:rPr>
          <w:rFonts w:ascii="Arial" w:hAnsi="Arial" w:cs="Arial"/>
          <w:b w:val="0"/>
          <w:color w:val="000000" w:themeColor="text1"/>
          <w:lang w:val="en-IN"/>
        </w:rPr>
        <w:t xml:space="preserve"> </w:t>
      </w:r>
      <w:r w:rsidR="005B186D">
        <w:rPr>
          <w:rFonts w:ascii="Arial" w:hAnsi="Arial" w:cs="Arial"/>
          <w:b w:val="0"/>
          <w:color w:val="000000" w:themeColor="text1"/>
          <w:lang w:val="en-IN"/>
        </w:rPr>
        <w:t>policies or training are concerned, this does not necessarily suggest that staff can safely challenge the environment; it</w:t>
      </w:r>
      <w:r w:rsidRPr="000A3C6D">
        <w:rPr>
          <w:rFonts w:ascii="Arial" w:hAnsi="Arial" w:cs="Arial"/>
          <w:b w:val="0"/>
          <w:color w:val="000000" w:themeColor="text1"/>
          <w:lang w:val="en-IN"/>
        </w:rPr>
        <w:t xml:space="preserve"> could be formal assurance of system design or lived assurance in the team environment.</w:t>
      </w:r>
    </w:p>
    <w:p w14:paraId="1F99E295" w14:textId="05BC24E3" w:rsidR="00AD4010" w:rsidRPr="000A3C6D" w:rsidRDefault="00AD4010" w:rsidP="005C2004">
      <w:pPr>
        <w:pStyle w:val="Heading2"/>
        <w:jc w:val="left"/>
        <w:rPr>
          <w:rFonts w:ascii="Arial" w:hAnsi="Arial" w:cs="Arial"/>
          <w:b w:val="0"/>
          <w:color w:val="000000" w:themeColor="text1"/>
          <w:lang w:val="en-IN"/>
        </w:rPr>
      </w:pPr>
      <w:r w:rsidRPr="000A3C6D">
        <w:rPr>
          <w:rFonts w:ascii="Arial" w:hAnsi="Arial" w:cs="Arial"/>
          <w:b w:val="0"/>
          <w:color w:val="000000" w:themeColor="text1"/>
          <w:lang w:val="en-IN"/>
        </w:rPr>
        <w:t xml:space="preserve">Policy analysis is relevant because performance measures can have perverse effects. Ockenden articulated fears that targets against C-section thresholds conflicted with clinical </w:t>
      </w:r>
      <w:r w:rsidR="005B186D">
        <w:rPr>
          <w:rFonts w:ascii="Arial" w:hAnsi="Arial" w:cs="Arial"/>
          <w:b w:val="0"/>
          <w:color w:val="000000" w:themeColor="text1"/>
          <w:lang w:val="en-IN"/>
        </w:rPr>
        <w:t>decision-making</w:t>
      </w:r>
      <w:r w:rsidRPr="000A3C6D">
        <w:rPr>
          <w:rFonts w:ascii="Arial" w:hAnsi="Arial" w:cs="Arial"/>
          <w:b w:val="0"/>
          <w:color w:val="000000" w:themeColor="text1"/>
          <w:lang w:val="en-IN"/>
        </w:rPr>
        <w:t xml:space="preserve"> (Ockenden, 2022). The essence is not measurement </w:t>
      </w:r>
      <w:r w:rsidR="005B186D">
        <w:rPr>
          <w:rFonts w:ascii="Arial" w:hAnsi="Arial" w:cs="Arial"/>
          <w:b w:val="0"/>
          <w:color w:val="000000" w:themeColor="text1"/>
          <w:lang w:val="en-IN"/>
        </w:rPr>
        <w:t>itself, but its potential to facilitate performance when staff believe it is more important</w:t>
      </w:r>
      <w:r w:rsidRPr="000A3C6D">
        <w:rPr>
          <w:rFonts w:ascii="Arial" w:hAnsi="Arial" w:cs="Arial"/>
          <w:b w:val="0"/>
          <w:color w:val="000000" w:themeColor="text1"/>
          <w:lang w:val="en-IN"/>
        </w:rPr>
        <w:t xml:space="preserve"> than subtle clinical </w:t>
      </w:r>
      <w:r w:rsidR="00B63E5F">
        <w:rPr>
          <w:rFonts w:ascii="Arial" w:hAnsi="Arial" w:cs="Arial"/>
          <w:b w:val="0"/>
          <w:color w:val="000000" w:themeColor="text1"/>
          <w:lang w:val="en-IN"/>
        </w:rPr>
        <w:t xml:space="preserve">needs. The NICE (2022) guidelines provide the best example of </w:t>
      </w:r>
      <w:r w:rsidR="005B186D">
        <w:rPr>
          <w:rFonts w:ascii="Arial" w:hAnsi="Arial" w:cs="Arial"/>
          <w:b w:val="0"/>
          <w:color w:val="000000" w:themeColor="text1"/>
          <w:lang w:val="en-IN"/>
        </w:rPr>
        <w:t>how to assess and manage</w:t>
      </w:r>
      <w:r w:rsidR="00B63E5F">
        <w:rPr>
          <w:rFonts w:ascii="Arial" w:hAnsi="Arial" w:cs="Arial"/>
          <w:b w:val="0"/>
          <w:color w:val="000000" w:themeColor="text1"/>
          <w:lang w:val="en-IN"/>
        </w:rPr>
        <w:t xml:space="preserve"> </w:t>
      </w:r>
      <w:proofErr w:type="spellStart"/>
      <w:r w:rsidR="00B63E5F">
        <w:rPr>
          <w:rFonts w:ascii="Arial" w:hAnsi="Arial" w:cs="Arial"/>
          <w:b w:val="0"/>
          <w:color w:val="000000" w:themeColor="text1"/>
          <w:lang w:val="en-IN"/>
        </w:rPr>
        <w:t>fetal</w:t>
      </w:r>
      <w:proofErr w:type="spellEnd"/>
      <w:r w:rsidR="00B63E5F">
        <w:rPr>
          <w:rFonts w:ascii="Arial" w:hAnsi="Arial" w:cs="Arial"/>
          <w:b w:val="0"/>
          <w:color w:val="000000" w:themeColor="text1"/>
          <w:lang w:val="en-IN"/>
        </w:rPr>
        <w:t xml:space="preserve"> monitoring findings</w:t>
      </w:r>
      <w:r w:rsidR="00CF4D25" w:rsidRPr="000A3C6D">
        <w:rPr>
          <w:rFonts w:ascii="Arial" w:hAnsi="Arial" w:cs="Arial"/>
          <w:b w:val="0"/>
          <w:color w:val="000000" w:themeColor="text1"/>
        </w:rPr>
        <w:t xml:space="preserve">. When drawing up a performance framework, one has to consider the potential </w:t>
      </w:r>
      <w:r w:rsidR="00B63E5F">
        <w:rPr>
          <w:rFonts w:ascii="Arial" w:hAnsi="Arial" w:cs="Arial"/>
          <w:b w:val="0"/>
          <w:color w:val="000000" w:themeColor="text1"/>
        </w:rPr>
        <w:t>risks and rewards</w:t>
      </w:r>
      <w:r w:rsidR="00CF4D25" w:rsidRPr="000A3C6D">
        <w:rPr>
          <w:rFonts w:ascii="Arial" w:hAnsi="Arial" w:cs="Arial"/>
          <w:b w:val="0"/>
          <w:color w:val="000000" w:themeColor="text1"/>
        </w:rPr>
        <w:t>, and how the target comparison should be interpreted within the clinical context</w:t>
      </w:r>
      <w:r w:rsidR="00B63E5F">
        <w:rPr>
          <w:rFonts w:ascii="Arial" w:hAnsi="Arial" w:cs="Arial"/>
          <w:b w:val="0"/>
          <w:color w:val="000000" w:themeColor="text1"/>
        </w:rPr>
        <w:t>.</w:t>
      </w:r>
      <w:r w:rsidRPr="000A3C6D">
        <w:rPr>
          <w:rFonts w:ascii="Arial" w:hAnsi="Arial" w:cs="Arial"/>
          <w:b w:val="0"/>
          <w:color w:val="000000" w:themeColor="text1"/>
          <w:lang w:val="en-IN"/>
        </w:rPr>
        <w:t xml:space="preserve"> The implementation of wider system accountability through the Health and Care Act 2022 underpins the need for maternity assurance to be embedded across all levels, rather than in a single professional group.</w:t>
      </w:r>
    </w:p>
    <w:p w14:paraId="7621734F" w14:textId="16BC4055" w:rsidR="00F11C3E" w:rsidRPr="000A3C6D" w:rsidRDefault="00900582" w:rsidP="005C2004">
      <w:pPr>
        <w:pStyle w:val="Heading2"/>
        <w:jc w:val="left"/>
        <w:rPr>
          <w:rFonts w:ascii="Arial" w:hAnsi="Arial" w:cs="Arial"/>
          <w:b w:val="0"/>
        </w:rPr>
      </w:pPr>
      <w:r w:rsidRPr="000A3C6D">
        <w:rPr>
          <w:rFonts w:ascii="Arial" w:hAnsi="Arial" w:cs="Arial"/>
          <w:b w:val="0"/>
        </w:rPr>
        <w:t>2.3 SWOT and PESTLE analysis</w:t>
      </w:r>
    </w:p>
    <w:p w14:paraId="0373976E" w14:textId="6E3409A2" w:rsidR="00BD6032" w:rsidRPr="000A3C6D" w:rsidRDefault="00BD6032" w:rsidP="00BD6032">
      <w:pPr>
        <w:ind w:firstLine="360"/>
        <w:jc w:val="left"/>
        <w:rPr>
          <w:rFonts w:ascii="Arial" w:hAnsi="Arial" w:cs="Arial"/>
          <w:bCs/>
          <w:lang w:val="en-IN"/>
        </w:rPr>
      </w:pPr>
      <w:r w:rsidRPr="000A3C6D">
        <w:rPr>
          <w:rFonts w:ascii="Arial" w:hAnsi="Arial" w:cs="Arial"/>
          <w:bCs/>
          <w:lang w:val="en-IN"/>
        </w:rPr>
        <w:t>A targeted SWOT analysis reports on internal and external strategic conditions. SWOT analysis indicated strengths</w:t>
      </w:r>
      <w:r w:rsidR="00B63E5F">
        <w:rPr>
          <w:rFonts w:ascii="Arial" w:hAnsi="Arial" w:cs="Arial"/>
          <w:bCs/>
          <w:lang w:val="en-IN"/>
        </w:rPr>
        <w:t xml:space="preserve">, including Ockenden's national learning, reliable maternity </w:t>
      </w:r>
      <w:r w:rsidR="00B63E5F">
        <w:rPr>
          <w:rFonts w:ascii="Arial" w:hAnsi="Arial" w:cs="Arial"/>
          <w:bCs/>
          <w:lang w:val="en-IN"/>
        </w:rPr>
        <w:lastRenderedPageBreak/>
        <w:t>governance arrangements, strong clinical guidance, and PSIRF as a structured learning framework (Kirk et al.</w:t>
      </w:r>
      <w:r w:rsidRPr="000A3C6D">
        <w:rPr>
          <w:rFonts w:ascii="Arial" w:hAnsi="Arial" w:cs="Arial"/>
          <w:bCs/>
          <w:lang w:val="en-IN"/>
        </w:rPr>
        <w:t xml:space="preserve">, 2013). However, a strength can only be </w:t>
      </w:r>
      <w:r w:rsidR="00B63E5F">
        <w:rPr>
          <w:rFonts w:ascii="Arial" w:hAnsi="Arial" w:cs="Arial"/>
          <w:bCs/>
          <w:lang w:val="en-IN"/>
        </w:rPr>
        <w:t>realised</w:t>
      </w:r>
      <w:r w:rsidRPr="000A3C6D">
        <w:rPr>
          <w:rFonts w:ascii="Arial" w:hAnsi="Arial" w:cs="Arial"/>
          <w:bCs/>
          <w:lang w:val="en-IN"/>
        </w:rPr>
        <w:t xml:space="preserve"> if it is converted into reliable actions- PSIRF will not solve poor investigation capacity or leadership. Weaknesses include workforce pressure, disjointed information, gaps in the loop and an inconsistent safety culture. It should be noted that workforce pressure will probably undermine safety continuity and increase escalation, but will not be a causal factor unless it is </w:t>
      </w:r>
      <w:r w:rsidR="00B63E5F">
        <w:rPr>
          <w:rFonts w:ascii="Arial" w:hAnsi="Arial" w:cs="Arial"/>
          <w:bCs/>
          <w:lang w:val="en-IN"/>
        </w:rPr>
        <w:t>recognised</w:t>
      </w:r>
      <w:r w:rsidRPr="000A3C6D">
        <w:rPr>
          <w:rFonts w:ascii="Arial" w:hAnsi="Arial" w:cs="Arial"/>
          <w:bCs/>
          <w:lang w:val="en-IN"/>
        </w:rPr>
        <w:t xml:space="preserve"> and a response is implemented through the governance actions. The threats </w:t>
      </w:r>
      <w:r w:rsidR="00B63E5F">
        <w:rPr>
          <w:rFonts w:ascii="Arial" w:hAnsi="Arial" w:cs="Arial"/>
          <w:bCs/>
          <w:lang w:val="en-IN"/>
        </w:rPr>
        <w:t>to</w:t>
      </w:r>
      <w:r w:rsidRPr="000A3C6D">
        <w:rPr>
          <w:rFonts w:ascii="Arial" w:hAnsi="Arial" w:cs="Arial"/>
          <w:bCs/>
          <w:lang w:val="en-IN"/>
        </w:rPr>
        <w:t xml:space="preserve"> the system will remain the same </w:t>
      </w:r>
      <w:r w:rsidR="00B63E5F">
        <w:rPr>
          <w:rFonts w:ascii="Arial" w:hAnsi="Arial" w:cs="Arial"/>
          <w:bCs/>
          <w:lang w:val="en-IN"/>
        </w:rPr>
        <w:t>regardless of how well-staffed</w:t>
      </w:r>
      <w:r w:rsidRPr="000A3C6D">
        <w:rPr>
          <w:rFonts w:ascii="Arial" w:hAnsi="Arial" w:cs="Arial"/>
          <w:bCs/>
          <w:lang w:val="en-IN"/>
        </w:rPr>
        <w:t xml:space="preserve"> it is. However, </w:t>
      </w:r>
      <w:proofErr w:type="spellStart"/>
      <w:r w:rsidRPr="000A3C6D">
        <w:rPr>
          <w:rFonts w:ascii="Arial" w:hAnsi="Arial" w:cs="Arial"/>
          <w:bCs/>
          <w:lang w:val="en-IN"/>
        </w:rPr>
        <w:t>athreat</w:t>
      </w:r>
      <w:proofErr w:type="spellEnd"/>
      <w:r w:rsidRPr="000A3C6D">
        <w:rPr>
          <w:rFonts w:ascii="Arial" w:hAnsi="Arial" w:cs="Arial"/>
          <w:bCs/>
          <w:lang w:val="en-IN"/>
        </w:rPr>
        <w:t xml:space="preserve"> will recommend designing for control “must have services” or “Hot staff”. SWOT is a system scanning tool rather than causal evidence (Helms </w:t>
      </w:r>
      <w:r w:rsidR="00B63E5F">
        <w:rPr>
          <w:rFonts w:ascii="Arial" w:hAnsi="Arial" w:cs="Arial"/>
          <w:bCs/>
          <w:lang w:val="en-IN"/>
        </w:rPr>
        <w:t>&amp;</w:t>
      </w:r>
      <w:r w:rsidRPr="000A3C6D">
        <w:rPr>
          <w:rFonts w:ascii="Arial" w:hAnsi="Arial" w:cs="Arial"/>
          <w:bCs/>
          <w:lang w:val="en-IN"/>
        </w:rPr>
        <w:t xml:space="preserve"> Nixon, 2010). This relies on presenting and linking to risk and control.</w:t>
      </w:r>
    </w:p>
    <w:p w14:paraId="04850831" w14:textId="599C045F" w:rsidR="00BD6032" w:rsidRPr="000A3C6D" w:rsidRDefault="00BD6032" w:rsidP="00BD6032">
      <w:pPr>
        <w:ind w:firstLine="360"/>
        <w:jc w:val="left"/>
        <w:rPr>
          <w:rFonts w:ascii="Arial" w:hAnsi="Arial" w:cs="Arial"/>
          <w:bCs/>
          <w:lang w:val="en-IN"/>
        </w:rPr>
      </w:pPr>
      <w:r w:rsidRPr="000A3C6D">
        <w:rPr>
          <w:rFonts w:ascii="Arial" w:hAnsi="Arial" w:cs="Arial"/>
          <w:bCs/>
          <w:lang w:val="en-IN"/>
        </w:rPr>
        <w:t xml:space="preserve">PESTLE covers external elements. In Politics, maternity safety is an area of high accountability, which means that it can facilitate change, but can also lead to superficial compliance. In Economics, avoidable harms account for </w:t>
      </w:r>
      <w:r w:rsidR="00BE5ACE">
        <w:rPr>
          <w:rFonts w:ascii="Arial" w:hAnsi="Arial" w:cs="Arial"/>
          <w:bCs/>
          <w:lang w:val="en-IN"/>
        </w:rPr>
        <w:t>high</w:t>
      </w:r>
      <w:r w:rsidRPr="000A3C6D">
        <w:rPr>
          <w:rFonts w:ascii="Arial" w:hAnsi="Arial" w:cs="Arial"/>
          <w:bCs/>
          <w:lang w:val="en-IN"/>
        </w:rPr>
        <w:t xml:space="preserve"> costs, with NHS Resolution reporting that in 2024/25, maternity accounted for 42% of clinical negligence payments (NHS Resolution, 2025).</w:t>
      </w:r>
    </w:p>
    <w:p w14:paraId="5258418E" w14:textId="61F7A640" w:rsidR="00926C3A" w:rsidRPr="000A3C6D" w:rsidRDefault="00926C3A" w:rsidP="00926C3A">
      <w:pPr>
        <w:ind w:firstLine="360"/>
        <w:jc w:val="left"/>
        <w:rPr>
          <w:rFonts w:ascii="Arial" w:hAnsi="Arial" w:cs="Arial"/>
          <w:bCs/>
          <w:lang w:val="en-IN"/>
        </w:rPr>
      </w:pPr>
      <w:r w:rsidRPr="008B2873">
        <w:rPr>
          <w:rFonts w:ascii="Arial" w:hAnsi="Arial" w:cs="Arial"/>
          <w:bCs/>
          <w:color w:val="548DD4" w:themeColor="text2" w:themeTint="99"/>
          <w:lang w:val="en-IN"/>
        </w:rPr>
        <w:t>2.4 Quality, efficiency and equity impact: In this section</w:t>
      </w:r>
      <w:r w:rsidR="00BE5ACE" w:rsidRPr="008B2873">
        <w:rPr>
          <w:rFonts w:ascii="Arial" w:hAnsi="Arial" w:cs="Arial"/>
          <w:bCs/>
          <w:color w:val="548DD4" w:themeColor="text2" w:themeTint="99"/>
          <w:lang w:val="en-IN"/>
        </w:rPr>
        <w:t>, I would evaluate how ERIG affects efficiency, quality and equity.</w:t>
      </w:r>
    </w:p>
    <w:p w14:paraId="1ED7B6DC" w14:textId="6DFDC382" w:rsidR="00926C3A" w:rsidRPr="000A3C6D" w:rsidRDefault="00BE5ACE" w:rsidP="00926C3A">
      <w:pPr>
        <w:ind w:firstLine="360"/>
        <w:jc w:val="left"/>
        <w:rPr>
          <w:rFonts w:ascii="Arial" w:hAnsi="Arial" w:cs="Arial"/>
          <w:bCs/>
          <w:lang w:val="en-IN"/>
        </w:rPr>
      </w:pPr>
      <w:proofErr w:type="spellStart"/>
      <w:r>
        <w:rPr>
          <w:rFonts w:ascii="Arial" w:hAnsi="Arial" w:cs="Arial"/>
          <w:bCs/>
          <w:lang w:val="en-IN"/>
        </w:rPr>
        <w:t>SaTHs'</w:t>
      </w:r>
      <w:proofErr w:type="spellEnd"/>
      <w:r w:rsidR="00926C3A" w:rsidRPr="000A3C6D">
        <w:rPr>
          <w:rFonts w:ascii="Arial" w:hAnsi="Arial" w:cs="Arial"/>
          <w:bCs/>
          <w:lang w:val="en-IN"/>
        </w:rPr>
        <w:t xml:space="preserve"> cost consequences are maternal and neonatal harm that is preventable, lost confidence and staff morale. Its efficiency consequences include the </w:t>
      </w:r>
      <w:r w:rsidR="00B63E5F">
        <w:rPr>
          <w:rFonts w:ascii="Arial" w:hAnsi="Arial" w:cs="Arial"/>
          <w:bCs/>
          <w:lang w:val="en-IN"/>
        </w:rPr>
        <w:t>number</w:t>
      </w:r>
      <w:r>
        <w:rPr>
          <w:rFonts w:ascii="Arial" w:hAnsi="Arial" w:cs="Arial"/>
          <w:bCs/>
          <w:lang w:val="en-IN"/>
        </w:rPr>
        <w:t xml:space="preserve"> of investigations, complaints, </w:t>
      </w:r>
      <w:r w:rsidR="00B63E5F">
        <w:rPr>
          <w:rFonts w:ascii="Arial" w:hAnsi="Arial" w:cs="Arial"/>
          <w:bCs/>
          <w:lang w:val="en-IN"/>
        </w:rPr>
        <w:t>and litigation, as well as ongoing care costs, which may mean that</w:t>
      </w:r>
      <w:r>
        <w:rPr>
          <w:rFonts w:ascii="Arial" w:hAnsi="Arial" w:cs="Arial"/>
          <w:bCs/>
          <w:lang w:val="en-IN"/>
        </w:rPr>
        <w:t xml:space="preserve"> institutional costs are insignificant. In contrast, the</w:t>
      </w:r>
      <w:r w:rsidR="00926C3A" w:rsidRPr="000A3C6D">
        <w:rPr>
          <w:rFonts w:ascii="Arial" w:hAnsi="Arial" w:cs="Arial"/>
          <w:bCs/>
          <w:lang w:val="en-IN"/>
        </w:rPr>
        <w:t xml:space="preserve"> human costs that inform the wider sustainability crisis are enormous (NHS Resolution, 2025). Equity is just as critical. National maternity surveillance has consistently shown that maternity and perinatal mortality vary by ethnicity and deprivation (MBRRACE-UK, 2024)</w:t>
      </w:r>
      <w:r>
        <w:rPr>
          <w:rFonts w:ascii="Arial" w:hAnsi="Arial" w:cs="Arial"/>
          <w:bCs/>
          <w:lang w:val="en-IN"/>
        </w:rPr>
        <w:t>;</w:t>
      </w:r>
      <w:r w:rsidR="00926C3A" w:rsidRPr="000A3C6D">
        <w:rPr>
          <w:rFonts w:ascii="Arial" w:hAnsi="Arial" w:cs="Arial"/>
          <w:bCs/>
          <w:lang w:val="en-IN"/>
        </w:rPr>
        <w:t xml:space="preserve"> therefore</w:t>
      </w:r>
      <w:r>
        <w:rPr>
          <w:rFonts w:ascii="Arial" w:hAnsi="Arial" w:cs="Arial"/>
          <w:bCs/>
          <w:lang w:val="en-IN"/>
        </w:rPr>
        <w:t>, there</w:t>
      </w:r>
      <w:r w:rsidR="00926C3A" w:rsidRPr="000A3C6D">
        <w:rPr>
          <w:rFonts w:ascii="Arial" w:hAnsi="Arial" w:cs="Arial"/>
          <w:bCs/>
          <w:lang w:val="en-IN"/>
        </w:rPr>
        <w:t xml:space="preserve"> is a need to report key measures on safety dashboards by law and clinically appropriate </w:t>
      </w:r>
      <w:r>
        <w:rPr>
          <w:rFonts w:ascii="Arial" w:hAnsi="Arial" w:cs="Arial"/>
          <w:bCs/>
          <w:lang w:val="en-IN"/>
        </w:rPr>
        <w:t xml:space="preserve">measures, </w:t>
      </w:r>
      <w:r w:rsidR="00926C3A" w:rsidRPr="000A3C6D">
        <w:rPr>
          <w:rFonts w:ascii="Arial" w:hAnsi="Arial" w:cs="Arial"/>
          <w:bCs/>
          <w:lang w:val="en-IN"/>
        </w:rPr>
        <w:t>including ethnicity and deprivation and to include patient experience:</w:t>
      </w:r>
    </w:p>
    <w:p w14:paraId="548EDA55" w14:textId="0ED45215" w:rsidR="00926C3A" w:rsidRPr="000A3C6D" w:rsidRDefault="00812C47" w:rsidP="00926C3A">
      <w:pPr>
        <w:ind w:firstLine="360"/>
        <w:jc w:val="left"/>
        <w:rPr>
          <w:rFonts w:ascii="Arial" w:hAnsi="Arial" w:cs="Arial"/>
          <w:bCs/>
          <w:lang w:val="en-IN"/>
        </w:rPr>
      </w:pPr>
      <w:r>
        <w:rPr>
          <w:rFonts w:ascii="Arial" w:hAnsi="Arial" w:cs="Arial"/>
          <w:bCs/>
          <w:lang w:val="en-IN"/>
        </w:rPr>
        <w:t xml:space="preserve">CQC's national maternity review provides an up-to-date </w:t>
      </w:r>
      <w:r w:rsidR="00BE5ACE">
        <w:rPr>
          <w:rFonts w:ascii="Arial" w:hAnsi="Arial" w:cs="Arial"/>
          <w:bCs/>
          <w:lang w:val="en-IN"/>
        </w:rPr>
        <w:t>assessment, and it reports</w:t>
      </w:r>
      <w:r>
        <w:rPr>
          <w:rFonts w:ascii="Arial" w:hAnsi="Arial" w:cs="Arial"/>
          <w:bCs/>
          <w:lang w:val="en-IN"/>
        </w:rPr>
        <w:t xml:space="preserve"> that robust leadership, governance,</w:t>
      </w:r>
      <w:r w:rsidR="00926C3A" w:rsidRPr="000A3C6D">
        <w:rPr>
          <w:rFonts w:ascii="Arial" w:hAnsi="Arial" w:cs="Arial"/>
          <w:bCs/>
          <w:lang w:val="en-IN"/>
        </w:rPr>
        <w:t xml:space="preserve"> and a positive culture underpin safe, personalised care (CQC, 2024). This</w:t>
      </w:r>
      <w:r>
        <w:rPr>
          <w:rFonts w:ascii="Arial" w:hAnsi="Arial" w:cs="Arial"/>
          <w:bCs/>
          <w:lang w:val="en-IN"/>
        </w:rPr>
        <w:t>, however, must be monitored through an analysis of outcomes and on-the-ground experience</w:t>
      </w:r>
      <w:r w:rsidR="00926C3A" w:rsidRPr="000A3C6D">
        <w:rPr>
          <w:rFonts w:ascii="Arial" w:hAnsi="Arial" w:cs="Arial"/>
          <w:bCs/>
          <w:lang w:val="en-IN"/>
        </w:rPr>
        <w:t xml:space="preserve"> rather than through compliance. </w:t>
      </w:r>
      <w:proofErr w:type="spellStart"/>
      <w:r w:rsidR="00926C3A" w:rsidRPr="000A3C6D">
        <w:rPr>
          <w:rFonts w:ascii="Arial" w:hAnsi="Arial" w:cs="Arial"/>
          <w:bCs/>
          <w:lang w:val="en-IN"/>
        </w:rPr>
        <w:t>Churruca</w:t>
      </w:r>
      <w:proofErr w:type="spellEnd"/>
      <w:r w:rsidR="00926C3A" w:rsidRPr="000A3C6D">
        <w:rPr>
          <w:rFonts w:ascii="Arial" w:hAnsi="Arial" w:cs="Arial"/>
          <w:bCs/>
          <w:lang w:val="en-IN"/>
        </w:rPr>
        <w:t xml:space="preserve"> et al. (2021) illustrate </w:t>
      </w:r>
      <w:r w:rsidR="00926C3A" w:rsidRPr="000A3C6D">
        <w:rPr>
          <w:rFonts w:ascii="Arial" w:hAnsi="Arial" w:cs="Arial"/>
          <w:bCs/>
          <w:lang w:val="en-IN"/>
        </w:rPr>
        <w:lastRenderedPageBreak/>
        <w:t xml:space="preserve">why </w:t>
      </w:r>
      <w:r>
        <w:rPr>
          <w:rFonts w:ascii="Arial" w:hAnsi="Arial" w:cs="Arial"/>
          <w:bCs/>
          <w:lang w:val="en-IN"/>
        </w:rPr>
        <w:t>by identifying the multidimensional nature of safety culture and the ways in which qualitative methods can explore contextual forces seldom captured by</w:t>
      </w:r>
      <w:r w:rsidR="00926C3A" w:rsidRPr="000A3C6D">
        <w:rPr>
          <w:rFonts w:ascii="Arial" w:hAnsi="Arial" w:cs="Arial"/>
          <w:bCs/>
          <w:lang w:val="en-IN"/>
        </w:rPr>
        <w:t xml:space="preserve"> quantitative questionnaires. Likewise, Montgomery et al. (2025) show that psychological safety and patient safety are complex variables and</w:t>
      </w:r>
      <w:r>
        <w:rPr>
          <w:rFonts w:ascii="Arial" w:hAnsi="Arial" w:cs="Arial"/>
          <w:bCs/>
          <w:lang w:val="en-IN"/>
        </w:rPr>
        <w:t>, as such, cannot simply be influenced through policy and interventions</w:t>
      </w:r>
      <w:r w:rsidR="00926C3A" w:rsidRPr="000A3C6D">
        <w:rPr>
          <w:rFonts w:ascii="Arial" w:hAnsi="Arial" w:cs="Arial"/>
          <w:bCs/>
          <w:lang w:val="en-IN"/>
        </w:rPr>
        <w:t xml:space="preserve"> to ease speaking up without assurance of safer care. This lends further support to the value of triangulation through staff experience, patient voice, incident trends, outcome data and observation of practice.</w:t>
      </w:r>
    </w:p>
    <w:p w14:paraId="075AC281" w14:textId="1D4C43B5" w:rsidR="00926C3A" w:rsidRPr="000A3C6D" w:rsidRDefault="00926C3A" w:rsidP="00926C3A">
      <w:pPr>
        <w:ind w:firstLine="360"/>
        <w:jc w:val="left"/>
        <w:rPr>
          <w:rFonts w:ascii="Arial" w:hAnsi="Arial" w:cs="Arial"/>
          <w:bCs/>
          <w:lang w:val="en-IN"/>
        </w:rPr>
      </w:pPr>
      <w:r w:rsidRPr="000A3C6D">
        <w:rPr>
          <w:rFonts w:ascii="Arial" w:hAnsi="Arial" w:cs="Arial"/>
          <w:bCs/>
          <w:lang w:val="en-IN"/>
        </w:rPr>
        <w:t xml:space="preserve">Assurance can be based </w:t>
      </w:r>
      <w:r w:rsidR="00812C47">
        <w:rPr>
          <w:rFonts w:ascii="Arial" w:hAnsi="Arial" w:cs="Arial"/>
          <w:bCs/>
          <w:lang w:val="en-IN"/>
        </w:rPr>
        <w:t>on weak signals as well as</w:t>
      </w:r>
      <w:r w:rsidRPr="000A3C6D">
        <w:rPr>
          <w:rFonts w:ascii="Arial" w:hAnsi="Arial" w:cs="Arial"/>
          <w:bCs/>
          <w:lang w:val="en-IN"/>
        </w:rPr>
        <w:t xml:space="preserve"> catastrophic events. Failure to monitor mortality alone </w:t>
      </w:r>
      <w:r w:rsidR="00812C47">
        <w:rPr>
          <w:rFonts w:ascii="Arial" w:hAnsi="Arial" w:cs="Arial"/>
          <w:bCs/>
          <w:lang w:val="en-IN"/>
        </w:rPr>
        <w:t xml:space="preserve">indicates the Board is receiving signals </w:t>
      </w:r>
      <w:r w:rsidRPr="000A3C6D">
        <w:rPr>
          <w:rFonts w:ascii="Arial" w:hAnsi="Arial" w:cs="Arial"/>
          <w:bCs/>
          <w:lang w:val="en-IN"/>
        </w:rPr>
        <w:t xml:space="preserve">too </w:t>
      </w:r>
      <w:r w:rsidR="00812C47">
        <w:rPr>
          <w:rFonts w:ascii="Arial" w:hAnsi="Arial" w:cs="Arial"/>
          <w:bCs/>
          <w:lang w:val="en-IN"/>
        </w:rPr>
        <w:t>late to prevent harm</w:t>
      </w:r>
      <w:r w:rsidRPr="000A3C6D">
        <w:rPr>
          <w:rFonts w:ascii="Arial" w:hAnsi="Arial" w:cs="Arial"/>
          <w:bCs/>
          <w:lang w:val="en-IN"/>
        </w:rPr>
        <w:t xml:space="preserve">. Monitoring early warning signals such as staffing deficits, </w:t>
      </w:r>
      <w:r w:rsidR="00812C47">
        <w:rPr>
          <w:rFonts w:ascii="Arial" w:hAnsi="Arial" w:cs="Arial"/>
          <w:bCs/>
          <w:lang w:val="en-IN"/>
        </w:rPr>
        <w:t>backlogs</w:t>
      </w:r>
      <w:r w:rsidRPr="000A3C6D">
        <w:rPr>
          <w:rFonts w:ascii="Arial" w:hAnsi="Arial" w:cs="Arial"/>
          <w:bCs/>
          <w:lang w:val="en-IN"/>
        </w:rPr>
        <w:t xml:space="preserve">, </w:t>
      </w:r>
      <w:r w:rsidR="00812C47">
        <w:rPr>
          <w:rFonts w:ascii="Arial" w:hAnsi="Arial" w:cs="Arial"/>
          <w:bCs/>
          <w:lang w:val="en-IN"/>
        </w:rPr>
        <w:t>recurring</w:t>
      </w:r>
      <w:r w:rsidRPr="000A3C6D">
        <w:rPr>
          <w:rFonts w:ascii="Arial" w:hAnsi="Arial" w:cs="Arial"/>
          <w:bCs/>
          <w:lang w:val="en-IN"/>
        </w:rPr>
        <w:t xml:space="preserve"> complaints, lack of training, handover errors</w:t>
      </w:r>
      <w:r w:rsidR="00812C47">
        <w:rPr>
          <w:rFonts w:ascii="Arial" w:hAnsi="Arial" w:cs="Arial"/>
          <w:bCs/>
          <w:lang w:val="en-IN"/>
        </w:rPr>
        <w:t>, and psychological safety metrics means these signs can be detected</w:t>
      </w:r>
      <w:r w:rsidRPr="000A3C6D">
        <w:rPr>
          <w:rFonts w:ascii="Arial" w:hAnsi="Arial" w:cs="Arial"/>
          <w:bCs/>
          <w:lang w:val="en-IN"/>
        </w:rPr>
        <w:t xml:space="preserve"> earlier. This aligns with </w:t>
      </w:r>
      <w:r w:rsidR="00812C47">
        <w:rPr>
          <w:rFonts w:ascii="Arial" w:hAnsi="Arial" w:cs="Arial"/>
          <w:bCs/>
          <w:lang w:val="en-IN"/>
        </w:rPr>
        <w:t>a systems approach, where risk builds up stepwise until a threshold is reached,</w:t>
      </w:r>
      <w:r w:rsidRPr="000A3C6D">
        <w:rPr>
          <w:rFonts w:ascii="Arial" w:hAnsi="Arial" w:cs="Arial"/>
          <w:bCs/>
          <w:lang w:val="en-IN"/>
        </w:rPr>
        <w:t xml:space="preserve"> and the problem becomes evident in the data rather than all at once as a single dramatic event. This also meets the CQC requirement for leaders to be proactive with data and to act once risks are identified (CQC, 2024).</w:t>
      </w:r>
    </w:p>
    <w:p w14:paraId="01B2EE83" w14:textId="54C5A8C4" w:rsidR="007E7650" w:rsidRPr="000A3C6D" w:rsidRDefault="007E7650" w:rsidP="008B2873">
      <w:pPr>
        <w:jc w:val="left"/>
        <w:rPr>
          <w:rFonts w:ascii="Arial" w:hAnsi="Arial" w:cs="Arial"/>
          <w:bCs/>
        </w:rPr>
      </w:pPr>
    </w:p>
    <w:p w14:paraId="4874C3F2" w14:textId="77777777" w:rsidR="007E7650" w:rsidRPr="000A3C6D" w:rsidRDefault="00900582" w:rsidP="005C2004">
      <w:pPr>
        <w:pStyle w:val="Heading2"/>
        <w:jc w:val="left"/>
        <w:rPr>
          <w:rFonts w:ascii="Arial" w:hAnsi="Arial" w:cs="Arial"/>
          <w:b w:val="0"/>
        </w:rPr>
      </w:pPr>
      <w:r w:rsidRPr="000A3C6D">
        <w:rPr>
          <w:rFonts w:ascii="Arial" w:hAnsi="Arial" w:cs="Arial"/>
          <w:b w:val="0"/>
        </w:rPr>
        <w:t>Table 1. Improved Five Whys analysis</w:t>
      </w:r>
    </w:p>
    <w:tbl>
      <w:tblPr>
        <w:tblStyle w:val="TableGrid"/>
        <w:tblW w:w="0" w:type="auto"/>
        <w:jc w:val="center"/>
        <w:tblLook w:val="04A0" w:firstRow="1" w:lastRow="0" w:firstColumn="1" w:lastColumn="0" w:noHBand="0" w:noVBand="1"/>
      </w:tblPr>
      <w:tblGrid>
        <w:gridCol w:w="704"/>
        <w:gridCol w:w="2835"/>
        <w:gridCol w:w="3260"/>
        <w:gridCol w:w="2839"/>
      </w:tblGrid>
      <w:tr w:rsidR="007E7650" w:rsidRPr="000A3C6D" w14:paraId="23BBC9F5" w14:textId="77777777" w:rsidTr="0003791D">
        <w:trPr>
          <w:trHeight w:val="365"/>
          <w:tblHeader/>
          <w:jc w:val="center"/>
        </w:trPr>
        <w:tc>
          <w:tcPr>
            <w:tcW w:w="704" w:type="dxa"/>
            <w:shd w:val="clear" w:color="auto" w:fill="D9EAF7"/>
            <w:vAlign w:val="center"/>
          </w:tcPr>
          <w:p w14:paraId="428E0923"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Why</w:t>
            </w:r>
          </w:p>
        </w:tc>
        <w:tc>
          <w:tcPr>
            <w:tcW w:w="2835" w:type="dxa"/>
            <w:shd w:val="clear" w:color="auto" w:fill="D9EAF7"/>
            <w:vAlign w:val="center"/>
          </w:tcPr>
          <w:p w14:paraId="5E01559C"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Question</w:t>
            </w:r>
          </w:p>
        </w:tc>
        <w:tc>
          <w:tcPr>
            <w:tcW w:w="3260" w:type="dxa"/>
            <w:shd w:val="clear" w:color="auto" w:fill="D9EAF7"/>
            <w:vAlign w:val="center"/>
          </w:tcPr>
          <w:p w14:paraId="743E2FF7"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Evidence</w:t>
            </w:r>
          </w:p>
        </w:tc>
        <w:tc>
          <w:tcPr>
            <w:tcW w:w="2839" w:type="dxa"/>
            <w:shd w:val="clear" w:color="auto" w:fill="D9EAF7"/>
          </w:tcPr>
          <w:p w14:paraId="10C2FEF5"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Critical interpretation</w:t>
            </w:r>
          </w:p>
        </w:tc>
      </w:tr>
      <w:tr w:rsidR="007E7650" w:rsidRPr="000A3C6D" w14:paraId="0C6CD0D5" w14:textId="77777777" w:rsidTr="0003791D">
        <w:trPr>
          <w:trHeight w:val="1007"/>
          <w:jc w:val="center"/>
        </w:trPr>
        <w:tc>
          <w:tcPr>
            <w:tcW w:w="704" w:type="dxa"/>
            <w:vAlign w:val="center"/>
          </w:tcPr>
          <w:p w14:paraId="763F8462"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1</w:t>
            </w:r>
          </w:p>
        </w:tc>
        <w:tc>
          <w:tcPr>
            <w:tcW w:w="2835" w:type="dxa"/>
            <w:vAlign w:val="center"/>
          </w:tcPr>
          <w:p w14:paraId="7DC68F45"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Why did harm recur?</w:t>
            </w:r>
          </w:p>
        </w:tc>
        <w:tc>
          <w:tcPr>
            <w:tcW w:w="3260" w:type="dxa"/>
            <w:vAlign w:val="center"/>
          </w:tcPr>
          <w:p w14:paraId="45734B05" w14:textId="77777777" w:rsidR="007E7650" w:rsidRPr="000A3C6D" w:rsidRDefault="00900582" w:rsidP="005C2004">
            <w:pPr>
              <w:spacing w:after="0" w:line="240" w:lineRule="auto"/>
              <w:jc w:val="left"/>
              <w:rPr>
                <w:rFonts w:ascii="Arial" w:hAnsi="Arial" w:cs="Arial"/>
                <w:bCs/>
              </w:rPr>
            </w:pPr>
            <w:proofErr w:type="spellStart"/>
            <w:r w:rsidRPr="000A3C6D">
              <w:rPr>
                <w:rFonts w:ascii="Arial" w:hAnsi="Arial" w:cs="Arial"/>
                <w:bCs/>
                <w:sz w:val="17"/>
              </w:rPr>
              <w:t>Ockenden</w:t>
            </w:r>
            <w:proofErr w:type="spellEnd"/>
            <w:r w:rsidRPr="000A3C6D">
              <w:rPr>
                <w:rFonts w:ascii="Arial" w:hAnsi="Arial" w:cs="Arial"/>
                <w:bCs/>
                <w:sz w:val="17"/>
              </w:rPr>
              <w:t xml:space="preserve"> (2022) identifies repeated concerns, incidents and failures in escalation and responsiveness.</w:t>
            </w:r>
          </w:p>
        </w:tc>
        <w:tc>
          <w:tcPr>
            <w:tcW w:w="2839" w:type="dxa"/>
          </w:tcPr>
          <w:p w14:paraId="7311C984"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Recurrence suggests weak detection-to-action processes rather than a one-off clinical error.</w:t>
            </w:r>
          </w:p>
        </w:tc>
      </w:tr>
      <w:tr w:rsidR="007E7650" w:rsidRPr="000A3C6D" w14:paraId="39821174" w14:textId="77777777" w:rsidTr="0003791D">
        <w:trPr>
          <w:trHeight w:val="1275"/>
          <w:jc w:val="center"/>
        </w:trPr>
        <w:tc>
          <w:tcPr>
            <w:tcW w:w="704" w:type="dxa"/>
            <w:vAlign w:val="center"/>
          </w:tcPr>
          <w:p w14:paraId="459422DE"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2</w:t>
            </w:r>
          </w:p>
        </w:tc>
        <w:tc>
          <w:tcPr>
            <w:tcW w:w="2835" w:type="dxa"/>
            <w:vAlign w:val="center"/>
          </w:tcPr>
          <w:p w14:paraId="5F0A6DEC"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Why was escalation inconsistent?</w:t>
            </w:r>
          </w:p>
        </w:tc>
        <w:tc>
          <w:tcPr>
            <w:tcW w:w="3260" w:type="dxa"/>
            <w:vAlign w:val="center"/>
          </w:tcPr>
          <w:p w14:paraId="2E27D751" w14:textId="77777777" w:rsidR="007E7650" w:rsidRPr="000A3C6D" w:rsidRDefault="00900582" w:rsidP="005C2004">
            <w:pPr>
              <w:spacing w:after="0" w:line="240" w:lineRule="auto"/>
              <w:jc w:val="left"/>
              <w:rPr>
                <w:rFonts w:ascii="Arial" w:hAnsi="Arial" w:cs="Arial"/>
                <w:bCs/>
              </w:rPr>
            </w:pPr>
            <w:proofErr w:type="spellStart"/>
            <w:r w:rsidRPr="000A3C6D">
              <w:rPr>
                <w:rFonts w:ascii="Arial" w:hAnsi="Arial" w:cs="Arial"/>
                <w:bCs/>
                <w:sz w:val="17"/>
              </w:rPr>
              <w:t>Ockenden</w:t>
            </w:r>
            <w:proofErr w:type="spellEnd"/>
            <w:r w:rsidRPr="000A3C6D">
              <w:rPr>
                <w:rFonts w:ascii="Arial" w:hAnsi="Arial" w:cs="Arial"/>
                <w:bCs/>
                <w:sz w:val="17"/>
              </w:rPr>
              <w:t xml:space="preserve"> (2022); </w:t>
            </w:r>
            <w:proofErr w:type="spellStart"/>
            <w:r w:rsidRPr="000A3C6D">
              <w:rPr>
                <w:rFonts w:ascii="Arial" w:hAnsi="Arial" w:cs="Arial"/>
                <w:bCs/>
                <w:sz w:val="17"/>
              </w:rPr>
              <w:t>Churruca</w:t>
            </w:r>
            <w:proofErr w:type="spellEnd"/>
            <w:r w:rsidRPr="000A3C6D">
              <w:rPr>
                <w:rFonts w:ascii="Arial" w:hAnsi="Arial" w:cs="Arial"/>
                <w:bCs/>
                <w:sz w:val="17"/>
              </w:rPr>
              <w:t xml:space="preserve"> et al. (2021); Vibe et al. (2024).</w:t>
            </w:r>
          </w:p>
        </w:tc>
        <w:tc>
          <w:tcPr>
            <w:tcW w:w="2839" w:type="dxa"/>
          </w:tcPr>
          <w:p w14:paraId="497C1D6F"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Staffing, teamwork and safety culture can interact; however, these factors are contributory rather than individually determinative.</w:t>
            </w:r>
          </w:p>
        </w:tc>
      </w:tr>
      <w:tr w:rsidR="007E7650" w:rsidRPr="000A3C6D" w14:paraId="2494718C" w14:textId="77777777" w:rsidTr="0003791D">
        <w:trPr>
          <w:trHeight w:val="1124"/>
          <w:jc w:val="center"/>
        </w:trPr>
        <w:tc>
          <w:tcPr>
            <w:tcW w:w="704" w:type="dxa"/>
            <w:vAlign w:val="center"/>
          </w:tcPr>
          <w:p w14:paraId="4DE458B8"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3</w:t>
            </w:r>
          </w:p>
        </w:tc>
        <w:tc>
          <w:tcPr>
            <w:tcW w:w="2835" w:type="dxa"/>
            <w:vAlign w:val="center"/>
          </w:tcPr>
          <w:p w14:paraId="4C2C72EB"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Why did weaknesses persist?</w:t>
            </w:r>
          </w:p>
        </w:tc>
        <w:tc>
          <w:tcPr>
            <w:tcW w:w="3260" w:type="dxa"/>
            <w:vAlign w:val="center"/>
          </w:tcPr>
          <w:p w14:paraId="604186AC"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 xml:space="preserve">CQC (2024); </w:t>
            </w:r>
            <w:proofErr w:type="spellStart"/>
            <w:r w:rsidRPr="000A3C6D">
              <w:rPr>
                <w:rFonts w:ascii="Arial" w:hAnsi="Arial" w:cs="Arial"/>
                <w:bCs/>
                <w:sz w:val="17"/>
              </w:rPr>
              <w:t>Ockenden</w:t>
            </w:r>
            <w:proofErr w:type="spellEnd"/>
            <w:r w:rsidRPr="000A3C6D">
              <w:rPr>
                <w:rFonts w:ascii="Arial" w:hAnsi="Arial" w:cs="Arial"/>
                <w:bCs/>
                <w:sz w:val="17"/>
              </w:rPr>
              <w:t xml:space="preserve"> (2022).</w:t>
            </w:r>
          </w:p>
        </w:tc>
        <w:tc>
          <w:tcPr>
            <w:tcW w:w="2839" w:type="dxa"/>
          </w:tcPr>
          <w:p w14:paraId="4CD86480"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Governance can generate information without guaranteeing learning; assurance must therefore test whether concerns changed practice.</w:t>
            </w:r>
          </w:p>
        </w:tc>
      </w:tr>
      <w:tr w:rsidR="007E7650" w:rsidRPr="000A3C6D" w14:paraId="11B34C13" w14:textId="77777777" w:rsidTr="0003791D">
        <w:trPr>
          <w:trHeight w:val="1268"/>
          <w:jc w:val="center"/>
        </w:trPr>
        <w:tc>
          <w:tcPr>
            <w:tcW w:w="704" w:type="dxa"/>
            <w:vAlign w:val="center"/>
          </w:tcPr>
          <w:p w14:paraId="6DD4C2AD"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4</w:t>
            </w:r>
          </w:p>
        </w:tc>
        <w:tc>
          <w:tcPr>
            <w:tcW w:w="2835" w:type="dxa"/>
            <w:vAlign w:val="center"/>
          </w:tcPr>
          <w:p w14:paraId="163D573E"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Why was assurance insufficient?</w:t>
            </w:r>
          </w:p>
        </w:tc>
        <w:tc>
          <w:tcPr>
            <w:tcW w:w="3260" w:type="dxa"/>
            <w:vAlign w:val="center"/>
          </w:tcPr>
          <w:p w14:paraId="4A48AAAF" w14:textId="77777777" w:rsidR="007E7650" w:rsidRPr="000A3C6D" w:rsidRDefault="00900582" w:rsidP="005C2004">
            <w:pPr>
              <w:spacing w:after="0" w:line="240" w:lineRule="auto"/>
              <w:jc w:val="left"/>
              <w:rPr>
                <w:rFonts w:ascii="Arial" w:hAnsi="Arial" w:cs="Arial"/>
                <w:bCs/>
              </w:rPr>
            </w:pPr>
            <w:proofErr w:type="spellStart"/>
            <w:r w:rsidRPr="000A3C6D">
              <w:rPr>
                <w:rFonts w:ascii="Arial" w:hAnsi="Arial" w:cs="Arial"/>
                <w:bCs/>
                <w:sz w:val="17"/>
              </w:rPr>
              <w:t>Ockenden</w:t>
            </w:r>
            <w:proofErr w:type="spellEnd"/>
            <w:r w:rsidRPr="000A3C6D">
              <w:rPr>
                <w:rFonts w:ascii="Arial" w:hAnsi="Arial" w:cs="Arial"/>
                <w:bCs/>
                <w:sz w:val="17"/>
              </w:rPr>
              <w:t xml:space="preserve"> (2022) on performance pressures; NICE (2022) on </w:t>
            </w:r>
            <w:proofErr w:type="spellStart"/>
            <w:r w:rsidRPr="000A3C6D">
              <w:rPr>
                <w:rFonts w:ascii="Arial" w:hAnsi="Arial" w:cs="Arial"/>
                <w:bCs/>
                <w:sz w:val="17"/>
              </w:rPr>
              <w:t>individualised</w:t>
            </w:r>
            <w:proofErr w:type="spellEnd"/>
            <w:r w:rsidRPr="000A3C6D">
              <w:rPr>
                <w:rFonts w:ascii="Arial" w:hAnsi="Arial" w:cs="Arial"/>
                <w:bCs/>
                <w:sz w:val="17"/>
              </w:rPr>
              <w:t xml:space="preserve"> clinical decision-making.</w:t>
            </w:r>
          </w:p>
        </w:tc>
        <w:tc>
          <w:tcPr>
            <w:tcW w:w="2839" w:type="dxa"/>
          </w:tcPr>
          <w:p w14:paraId="60C8C826"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Targets may become unsafe when treated as proxies for quality; the issue is how measures are interpreted, not measurement itself.</w:t>
            </w:r>
          </w:p>
        </w:tc>
      </w:tr>
      <w:tr w:rsidR="007E7650" w:rsidRPr="000A3C6D" w14:paraId="0B8F2443" w14:textId="77777777" w:rsidTr="0003791D">
        <w:trPr>
          <w:trHeight w:val="1116"/>
          <w:jc w:val="center"/>
        </w:trPr>
        <w:tc>
          <w:tcPr>
            <w:tcW w:w="704" w:type="dxa"/>
            <w:vAlign w:val="center"/>
          </w:tcPr>
          <w:p w14:paraId="267A2874"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lastRenderedPageBreak/>
              <w:t>5</w:t>
            </w:r>
          </w:p>
        </w:tc>
        <w:tc>
          <w:tcPr>
            <w:tcW w:w="2835" w:type="dxa"/>
            <w:vAlign w:val="center"/>
          </w:tcPr>
          <w:p w14:paraId="376EC2C8"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Why did the system not self-correct?</w:t>
            </w:r>
          </w:p>
        </w:tc>
        <w:tc>
          <w:tcPr>
            <w:tcW w:w="3260" w:type="dxa"/>
            <w:vAlign w:val="center"/>
          </w:tcPr>
          <w:p w14:paraId="2F3347ED"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Martin-Delgado et al. (2020); Driesen et al. (2022); PSIRF principles.</w:t>
            </w:r>
          </w:p>
        </w:tc>
        <w:tc>
          <w:tcPr>
            <w:tcW w:w="2839" w:type="dxa"/>
          </w:tcPr>
          <w:p w14:paraId="5D5B1DB2"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RCA may identify causes without implementation; a learning loop must assign, test and verify corrective action.</w:t>
            </w:r>
          </w:p>
        </w:tc>
      </w:tr>
    </w:tbl>
    <w:p w14:paraId="0D6ED5B7" w14:textId="77777777" w:rsidR="007E7650" w:rsidRPr="000A3C6D" w:rsidRDefault="00900582" w:rsidP="005C2004">
      <w:pPr>
        <w:pStyle w:val="Heading2"/>
        <w:jc w:val="left"/>
        <w:rPr>
          <w:rFonts w:ascii="Arial" w:hAnsi="Arial" w:cs="Arial"/>
          <w:b w:val="0"/>
        </w:rPr>
      </w:pPr>
      <w:r w:rsidRPr="000A3C6D">
        <w:rPr>
          <w:rFonts w:ascii="Arial" w:hAnsi="Arial" w:cs="Arial"/>
          <w:b w:val="0"/>
        </w:rPr>
        <w:t>Table 2. Focused SWOT analysis</w:t>
      </w:r>
    </w:p>
    <w:tbl>
      <w:tblPr>
        <w:tblStyle w:val="TableGrid"/>
        <w:tblW w:w="0" w:type="auto"/>
        <w:jc w:val="center"/>
        <w:tblLook w:val="04A0" w:firstRow="1" w:lastRow="0" w:firstColumn="1" w:lastColumn="0" w:noHBand="0" w:noVBand="1"/>
      </w:tblPr>
      <w:tblGrid>
        <w:gridCol w:w="1413"/>
        <w:gridCol w:w="3118"/>
        <w:gridCol w:w="5107"/>
      </w:tblGrid>
      <w:tr w:rsidR="007E7650" w:rsidRPr="000A3C6D" w14:paraId="41875063" w14:textId="77777777" w:rsidTr="0003791D">
        <w:trPr>
          <w:trHeight w:val="494"/>
          <w:tblHeader/>
          <w:jc w:val="center"/>
        </w:trPr>
        <w:tc>
          <w:tcPr>
            <w:tcW w:w="1413" w:type="dxa"/>
            <w:shd w:val="clear" w:color="auto" w:fill="D9EAF7"/>
            <w:vAlign w:val="center"/>
          </w:tcPr>
          <w:p w14:paraId="700989DF"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Domain</w:t>
            </w:r>
          </w:p>
        </w:tc>
        <w:tc>
          <w:tcPr>
            <w:tcW w:w="3118" w:type="dxa"/>
            <w:shd w:val="clear" w:color="auto" w:fill="D9EAF7"/>
            <w:vAlign w:val="center"/>
          </w:tcPr>
          <w:p w14:paraId="38FB1949"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Evidence/context</w:t>
            </w:r>
          </w:p>
        </w:tc>
        <w:tc>
          <w:tcPr>
            <w:tcW w:w="5107" w:type="dxa"/>
            <w:shd w:val="clear" w:color="auto" w:fill="D9EAF7"/>
          </w:tcPr>
          <w:p w14:paraId="1405E74E"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Level 7 analysis</w:t>
            </w:r>
          </w:p>
        </w:tc>
      </w:tr>
      <w:tr w:rsidR="007E7650" w:rsidRPr="000A3C6D" w14:paraId="5DB8C100" w14:textId="77777777" w:rsidTr="0003791D">
        <w:trPr>
          <w:trHeight w:val="968"/>
          <w:jc w:val="center"/>
        </w:trPr>
        <w:tc>
          <w:tcPr>
            <w:tcW w:w="1413" w:type="dxa"/>
            <w:vAlign w:val="center"/>
          </w:tcPr>
          <w:p w14:paraId="7F23B084"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Strengths</w:t>
            </w:r>
          </w:p>
        </w:tc>
        <w:tc>
          <w:tcPr>
            <w:tcW w:w="3118" w:type="dxa"/>
            <w:vAlign w:val="center"/>
          </w:tcPr>
          <w:p w14:paraId="1737ADE5" w14:textId="77777777" w:rsidR="007E7650" w:rsidRPr="000A3C6D" w:rsidRDefault="00900582" w:rsidP="005C2004">
            <w:pPr>
              <w:spacing w:after="0" w:line="240" w:lineRule="auto"/>
              <w:jc w:val="left"/>
              <w:rPr>
                <w:rFonts w:ascii="Arial" w:hAnsi="Arial" w:cs="Arial"/>
                <w:bCs/>
              </w:rPr>
            </w:pPr>
            <w:proofErr w:type="spellStart"/>
            <w:r w:rsidRPr="000A3C6D">
              <w:rPr>
                <w:rFonts w:ascii="Arial" w:hAnsi="Arial" w:cs="Arial"/>
                <w:bCs/>
                <w:sz w:val="17"/>
              </w:rPr>
              <w:t>Ockenden</w:t>
            </w:r>
            <w:proofErr w:type="spellEnd"/>
            <w:r w:rsidRPr="000A3C6D">
              <w:rPr>
                <w:rFonts w:ascii="Arial" w:hAnsi="Arial" w:cs="Arial"/>
                <w:bCs/>
                <w:sz w:val="17"/>
              </w:rPr>
              <w:t xml:space="preserve"> learning; PSIRF; clinical guidance; governance structures.</w:t>
            </w:r>
          </w:p>
        </w:tc>
        <w:tc>
          <w:tcPr>
            <w:tcW w:w="5107" w:type="dxa"/>
          </w:tcPr>
          <w:p w14:paraId="4E16DA12"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These provide infrastructure for learning, but their value depends on implementation capability and leadership follow-through.</w:t>
            </w:r>
          </w:p>
        </w:tc>
      </w:tr>
      <w:tr w:rsidR="007E7650" w:rsidRPr="000A3C6D" w14:paraId="755E34CD" w14:textId="77777777" w:rsidTr="0003791D">
        <w:trPr>
          <w:trHeight w:val="988"/>
          <w:jc w:val="center"/>
        </w:trPr>
        <w:tc>
          <w:tcPr>
            <w:tcW w:w="1413" w:type="dxa"/>
            <w:vAlign w:val="center"/>
          </w:tcPr>
          <w:p w14:paraId="13D0FC63"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Weaknesses</w:t>
            </w:r>
          </w:p>
        </w:tc>
        <w:tc>
          <w:tcPr>
            <w:tcW w:w="3118" w:type="dxa"/>
            <w:vAlign w:val="center"/>
          </w:tcPr>
          <w:p w14:paraId="536F1E35"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Workforce pressure; variable culture; fragmented information; weak follow-through.</w:t>
            </w:r>
          </w:p>
        </w:tc>
        <w:tc>
          <w:tcPr>
            <w:tcW w:w="5107" w:type="dxa"/>
          </w:tcPr>
          <w:p w14:paraId="68E6B297" w14:textId="6C1D1937" w:rsidR="007E7650" w:rsidRPr="000A3C6D" w:rsidRDefault="00900582" w:rsidP="005C2004">
            <w:pPr>
              <w:spacing w:after="0" w:line="240" w:lineRule="auto"/>
              <w:jc w:val="left"/>
              <w:rPr>
                <w:rFonts w:ascii="Arial" w:hAnsi="Arial" w:cs="Arial"/>
                <w:bCs/>
              </w:rPr>
            </w:pPr>
            <w:r w:rsidRPr="000A3C6D">
              <w:rPr>
                <w:rFonts w:ascii="Arial" w:hAnsi="Arial" w:cs="Arial"/>
                <w:bCs/>
                <w:sz w:val="17"/>
              </w:rPr>
              <w:t xml:space="preserve">Workforce shortages may increase continuity and escalation </w:t>
            </w:r>
            <w:r w:rsidR="00812C47">
              <w:rPr>
                <w:rFonts w:ascii="Arial" w:hAnsi="Arial" w:cs="Arial"/>
                <w:bCs/>
                <w:sz w:val="17"/>
              </w:rPr>
              <w:t>risks; however, culture and governance determine whether staffing risks are</w:t>
            </w:r>
            <w:r w:rsidRPr="000A3C6D">
              <w:rPr>
                <w:rFonts w:ascii="Arial" w:hAnsi="Arial" w:cs="Arial"/>
                <w:bCs/>
                <w:sz w:val="17"/>
              </w:rPr>
              <w:t xml:space="preserve"> </w:t>
            </w:r>
            <w:proofErr w:type="spellStart"/>
            <w:r w:rsidRPr="000A3C6D">
              <w:rPr>
                <w:rFonts w:ascii="Arial" w:hAnsi="Arial" w:cs="Arial"/>
                <w:bCs/>
                <w:sz w:val="17"/>
              </w:rPr>
              <w:t>recognised</w:t>
            </w:r>
            <w:proofErr w:type="spellEnd"/>
            <w:r w:rsidRPr="000A3C6D">
              <w:rPr>
                <w:rFonts w:ascii="Arial" w:hAnsi="Arial" w:cs="Arial"/>
                <w:bCs/>
                <w:sz w:val="17"/>
              </w:rPr>
              <w:t xml:space="preserve"> and acted upon.</w:t>
            </w:r>
          </w:p>
        </w:tc>
      </w:tr>
      <w:tr w:rsidR="007E7650" w:rsidRPr="000A3C6D" w14:paraId="718F2C3D" w14:textId="77777777" w:rsidTr="0003791D">
        <w:trPr>
          <w:trHeight w:val="1252"/>
          <w:jc w:val="center"/>
        </w:trPr>
        <w:tc>
          <w:tcPr>
            <w:tcW w:w="1413" w:type="dxa"/>
            <w:vAlign w:val="center"/>
          </w:tcPr>
          <w:p w14:paraId="3A1C9688"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Opportunities</w:t>
            </w:r>
          </w:p>
        </w:tc>
        <w:tc>
          <w:tcPr>
            <w:tcW w:w="3118" w:type="dxa"/>
            <w:vAlign w:val="center"/>
          </w:tcPr>
          <w:p w14:paraId="75C7B532" w14:textId="18A0F98A" w:rsidR="007E7650" w:rsidRPr="000A3C6D" w:rsidRDefault="00900582" w:rsidP="005C2004">
            <w:pPr>
              <w:spacing w:after="0" w:line="240" w:lineRule="auto"/>
              <w:jc w:val="left"/>
              <w:rPr>
                <w:rFonts w:ascii="Arial" w:hAnsi="Arial" w:cs="Arial"/>
                <w:bCs/>
              </w:rPr>
            </w:pPr>
            <w:r w:rsidRPr="000A3C6D">
              <w:rPr>
                <w:rFonts w:ascii="Arial" w:hAnsi="Arial" w:cs="Arial"/>
                <w:bCs/>
                <w:sz w:val="17"/>
              </w:rPr>
              <w:t>Dashboards</w:t>
            </w:r>
            <w:r w:rsidR="00812C47">
              <w:rPr>
                <w:rFonts w:ascii="Arial" w:hAnsi="Arial" w:cs="Arial"/>
                <w:bCs/>
                <w:sz w:val="17"/>
              </w:rPr>
              <w:t>, simulation, patient safety partners,</w:t>
            </w:r>
            <w:r w:rsidRPr="000A3C6D">
              <w:rPr>
                <w:rFonts w:ascii="Arial" w:hAnsi="Arial" w:cs="Arial"/>
                <w:bCs/>
                <w:sz w:val="17"/>
              </w:rPr>
              <w:t xml:space="preserve"> ICS oversight.</w:t>
            </w:r>
          </w:p>
        </w:tc>
        <w:tc>
          <w:tcPr>
            <w:tcW w:w="5107" w:type="dxa"/>
          </w:tcPr>
          <w:p w14:paraId="097F3E8C"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These can strengthen detection and challenge, but may increase workload or become compliance exercises without clear decision rights.</w:t>
            </w:r>
          </w:p>
        </w:tc>
      </w:tr>
      <w:tr w:rsidR="007E7650" w:rsidRPr="000A3C6D" w14:paraId="4ABE9AFD" w14:textId="77777777" w:rsidTr="0003791D">
        <w:trPr>
          <w:trHeight w:val="1360"/>
          <w:jc w:val="center"/>
        </w:trPr>
        <w:tc>
          <w:tcPr>
            <w:tcW w:w="1413" w:type="dxa"/>
            <w:vAlign w:val="center"/>
          </w:tcPr>
          <w:p w14:paraId="1CA126E2"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Threats</w:t>
            </w:r>
          </w:p>
        </w:tc>
        <w:tc>
          <w:tcPr>
            <w:tcW w:w="3118" w:type="dxa"/>
            <w:vAlign w:val="center"/>
          </w:tcPr>
          <w:p w14:paraId="6D5D765A"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Shortages; financial pressure; litigation; target effects; inequalities.</w:t>
            </w:r>
          </w:p>
        </w:tc>
        <w:tc>
          <w:tcPr>
            <w:tcW w:w="5107" w:type="dxa"/>
          </w:tcPr>
          <w:p w14:paraId="35925B20"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Threats interact rather than operate independently; resilience therefore requires controls that remain effective under operational pressure.</w:t>
            </w:r>
          </w:p>
        </w:tc>
      </w:tr>
    </w:tbl>
    <w:p w14:paraId="0D4CB6E0" w14:textId="77777777" w:rsidR="007E7650" w:rsidRPr="000A3C6D" w:rsidRDefault="00900582" w:rsidP="005C2004">
      <w:pPr>
        <w:pStyle w:val="Heading2"/>
        <w:jc w:val="left"/>
        <w:rPr>
          <w:rFonts w:ascii="Arial" w:hAnsi="Arial" w:cs="Arial"/>
          <w:b w:val="0"/>
        </w:rPr>
      </w:pPr>
      <w:r w:rsidRPr="000A3C6D">
        <w:rPr>
          <w:rFonts w:ascii="Arial" w:hAnsi="Arial" w:cs="Arial"/>
          <w:b w:val="0"/>
        </w:rPr>
        <w:t>Table 3. Focused PESTLE analysis</w:t>
      </w:r>
    </w:p>
    <w:tbl>
      <w:tblPr>
        <w:tblStyle w:val="TableGrid"/>
        <w:tblW w:w="0" w:type="auto"/>
        <w:jc w:val="center"/>
        <w:tblLook w:val="04A0" w:firstRow="1" w:lastRow="0" w:firstColumn="1" w:lastColumn="0" w:noHBand="0" w:noVBand="1"/>
      </w:tblPr>
      <w:tblGrid>
        <w:gridCol w:w="1696"/>
        <w:gridCol w:w="2835"/>
        <w:gridCol w:w="5107"/>
      </w:tblGrid>
      <w:tr w:rsidR="007E7650" w:rsidRPr="000A3C6D" w14:paraId="54818EFB" w14:textId="77777777" w:rsidTr="003D3D4F">
        <w:trPr>
          <w:trHeight w:val="507"/>
          <w:tblHeader/>
          <w:jc w:val="center"/>
        </w:trPr>
        <w:tc>
          <w:tcPr>
            <w:tcW w:w="1696" w:type="dxa"/>
            <w:shd w:val="clear" w:color="auto" w:fill="D9EAF7"/>
            <w:vAlign w:val="center"/>
          </w:tcPr>
          <w:p w14:paraId="5310767B"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Factor</w:t>
            </w:r>
          </w:p>
        </w:tc>
        <w:tc>
          <w:tcPr>
            <w:tcW w:w="2835" w:type="dxa"/>
            <w:shd w:val="clear" w:color="auto" w:fill="D9EAF7"/>
            <w:vAlign w:val="center"/>
          </w:tcPr>
          <w:p w14:paraId="399E34FC"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Evidence/context</w:t>
            </w:r>
          </w:p>
        </w:tc>
        <w:tc>
          <w:tcPr>
            <w:tcW w:w="5107" w:type="dxa"/>
            <w:shd w:val="clear" w:color="auto" w:fill="D9EAF7"/>
          </w:tcPr>
          <w:p w14:paraId="05637B65"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Critical implication</w:t>
            </w:r>
          </w:p>
        </w:tc>
      </w:tr>
      <w:tr w:rsidR="007E7650" w:rsidRPr="000A3C6D" w14:paraId="61D48937" w14:textId="77777777" w:rsidTr="003D3D4F">
        <w:trPr>
          <w:trHeight w:val="865"/>
          <w:jc w:val="center"/>
        </w:trPr>
        <w:tc>
          <w:tcPr>
            <w:tcW w:w="1696" w:type="dxa"/>
            <w:vAlign w:val="center"/>
          </w:tcPr>
          <w:p w14:paraId="0957235B"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Political</w:t>
            </w:r>
          </w:p>
        </w:tc>
        <w:tc>
          <w:tcPr>
            <w:tcW w:w="2835" w:type="dxa"/>
            <w:vAlign w:val="center"/>
          </w:tcPr>
          <w:p w14:paraId="6EF40A4F"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National maternity accountability and regulatory attention.</w:t>
            </w:r>
          </w:p>
        </w:tc>
        <w:tc>
          <w:tcPr>
            <w:tcW w:w="5107" w:type="dxa"/>
          </w:tcPr>
          <w:p w14:paraId="233C7801"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Political visibility can accelerate change but may also encourage symbolic compliance unless outcomes and staff experience are checked.</w:t>
            </w:r>
          </w:p>
        </w:tc>
      </w:tr>
      <w:tr w:rsidR="007E7650" w:rsidRPr="000A3C6D" w14:paraId="5AF93B5A" w14:textId="77777777" w:rsidTr="003D3D4F">
        <w:trPr>
          <w:trHeight w:val="708"/>
          <w:jc w:val="center"/>
        </w:trPr>
        <w:tc>
          <w:tcPr>
            <w:tcW w:w="1696" w:type="dxa"/>
            <w:vAlign w:val="center"/>
          </w:tcPr>
          <w:p w14:paraId="31A0EE6E"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Economic</w:t>
            </w:r>
          </w:p>
        </w:tc>
        <w:tc>
          <w:tcPr>
            <w:tcW w:w="2835" w:type="dxa"/>
            <w:vAlign w:val="center"/>
          </w:tcPr>
          <w:p w14:paraId="05E7B793"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Negligence costs; workforce and resource constraints.</w:t>
            </w:r>
          </w:p>
        </w:tc>
        <w:tc>
          <w:tcPr>
            <w:tcW w:w="5107" w:type="dxa"/>
          </w:tcPr>
          <w:p w14:paraId="257A2C10"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Cost pressure can intensify staffing risk; mitigation must prevent efficiency targets from overriding clinical safety.</w:t>
            </w:r>
          </w:p>
        </w:tc>
      </w:tr>
      <w:tr w:rsidR="007E7650" w:rsidRPr="000A3C6D" w14:paraId="02AAD591" w14:textId="77777777" w:rsidTr="003D3D4F">
        <w:trPr>
          <w:trHeight w:val="691"/>
          <w:jc w:val="center"/>
        </w:trPr>
        <w:tc>
          <w:tcPr>
            <w:tcW w:w="1696" w:type="dxa"/>
            <w:vAlign w:val="center"/>
          </w:tcPr>
          <w:p w14:paraId="2666C7DC"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Social</w:t>
            </w:r>
          </w:p>
        </w:tc>
        <w:tc>
          <w:tcPr>
            <w:tcW w:w="2835" w:type="dxa"/>
            <w:vAlign w:val="center"/>
          </w:tcPr>
          <w:p w14:paraId="500E066E"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Trust, respectful care and inequalities.</w:t>
            </w:r>
          </w:p>
        </w:tc>
        <w:tc>
          <w:tcPr>
            <w:tcW w:w="5107" w:type="dxa"/>
          </w:tcPr>
          <w:p w14:paraId="45199D0D"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Average improvement may conceal groups who remain underserved; stratified experience and outcome data are needed.</w:t>
            </w:r>
          </w:p>
        </w:tc>
      </w:tr>
      <w:tr w:rsidR="007E7650" w:rsidRPr="000A3C6D" w14:paraId="072C1190" w14:textId="77777777" w:rsidTr="003D3D4F">
        <w:trPr>
          <w:trHeight w:val="984"/>
          <w:jc w:val="center"/>
        </w:trPr>
        <w:tc>
          <w:tcPr>
            <w:tcW w:w="1696" w:type="dxa"/>
            <w:vAlign w:val="center"/>
          </w:tcPr>
          <w:p w14:paraId="6ECFC6FB"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Technological</w:t>
            </w:r>
          </w:p>
        </w:tc>
        <w:tc>
          <w:tcPr>
            <w:tcW w:w="2835" w:type="dxa"/>
            <w:vAlign w:val="center"/>
          </w:tcPr>
          <w:p w14:paraId="34118AF1"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Dashboards, electronic records and alerts.</w:t>
            </w:r>
          </w:p>
        </w:tc>
        <w:tc>
          <w:tcPr>
            <w:tcW w:w="5107" w:type="dxa"/>
          </w:tcPr>
          <w:p w14:paraId="200BFE6B"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Better surveillance can coexist with poor data quality or alert fatigue; technology must support decisions rather than increase noise.</w:t>
            </w:r>
          </w:p>
        </w:tc>
      </w:tr>
      <w:tr w:rsidR="007E7650" w:rsidRPr="000A3C6D" w14:paraId="415ED044" w14:textId="77777777" w:rsidTr="003D3D4F">
        <w:trPr>
          <w:trHeight w:val="843"/>
          <w:jc w:val="center"/>
        </w:trPr>
        <w:tc>
          <w:tcPr>
            <w:tcW w:w="1696" w:type="dxa"/>
            <w:vAlign w:val="center"/>
          </w:tcPr>
          <w:p w14:paraId="40AA67C0"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Legal</w:t>
            </w:r>
          </w:p>
        </w:tc>
        <w:tc>
          <w:tcPr>
            <w:tcW w:w="2835" w:type="dxa"/>
            <w:vAlign w:val="center"/>
          </w:tcPr>
          <w:p w14:paraId="645B118E"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Professional, regulatory and statutory duties.</w:t>
            </w:r>
          </w:p>
        </w:tc>
        <w:tc>
          <w:tcPr>
            <w:tcW w:w="5107" w:type="dxa"/>
          </w:tcPr>
          <w:p w14:paraId="14BD6881"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Accountability is necessary, but fear of blame can inhibit reporting unless just-culture safeguards are credible.</w:t>
            </w:r>
          </w:p>
        </w:tc>
      </w:tr>
      <w:tr w:rsidR="007E7650" w:rsidRPr="000A3C6D" w14:paraId="7C4E8F5A" w14:textId="77777777" w:rsidTr="003D3D4F">
        <w:trPr>
          <w:trHeight w:val="840"/>
          <w:jc w:val="center"/>
        </w:trPr>
        <w:tc>
          <w:tcPr>
            <w:tcW w:w="1696" w:type="dxa"/>
            <w:vAlign w:val="center"/>
          </w:tcPr>
          <w:p w14:paraId="6D688B67"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lastRenderedPageBreak/>
              <w:t>Environmental</w:t>
            </w:r>
          </w:p>
        </w:tc>
        <w:tc>
          <w:tcPr>
            <w:tcW w:w="2835" w:type="dxa"/>
            <w:vAlign w:val="center"/>
          </w:tcPr>
          <w:p w14:paraId="5EB8F24A"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Capacity, estates and service configuration.</w:t>
            </w:r>
          </w:p>
        </w:tc>
        <w:tc>
          <w:tcPr>
            <w:tcW w:w="5107" w:type="dxa"/>
          </w:tcPr>
          <w:p w14:paraId="7833F518"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17"/>
              </w:rPr>
              <w:t>Physical and service constraints shape resilience; local solutions must be tested under realistic demand conditions.</w:t>
            </w:r>
          </w:p>
        </w:tc>
      </w:tr>
    </w:tbl>
    <w:p w14:paraId="6CDE76CA" w14:textId="77777777" w:rsidR="007E7650" w:rsidRPr="000A3C6D" w:rsidRDefault="00900582" w:rsidP="005C2004">
      <w:pPr>
        <w:pStyle w:val="Heading1"/>
        <w:jc w:val="left"/>
        <w:rPr>
          <w:rFonts w:ascii="Arial" w:hAnsi="Arial" w:cs="Arial"/>
          <w:b w:val="0"/>
          <w:u w:val="single"/>
        </w:rPr>
      </w:pPr>
      <w:r w:rsidRPr="000A3C6D">
        <w:rPr>
          <w:rFonts w:ascii="Arial" w:hAnsi="Arial" w:cs="Arial"/>
          <w:b w:val="0"/>
        </w:rPr>
        <w:lastRenderedPageBreak/>
        <w:t xml:space="preserve">3. </w:t>
      </w:r>
      <w:r w:rsidRPr="000A3C6D">
        <w:rPr>
          <w:rFonts w:ascii="Arial" w:hAnsi="Arial" w:cs="Arial"/>
          <w:bCs w:val="0"/>
          <w:u w:val="single"/>
        </w:rPr>
        <w:t>Recommendations for sustainable service improvement</w:t>
      </w:r>
    </w:p>
    <w:p w14:paraId="2D801068" w14:textId="77777777" w:rsidR="007E7650" w:rsidRPr="000A3C6D" w:rsidRDefault="00900582" w:rsidP="005C2004">
      <w:pPr>
        <w:pStyle w:val="Heading2"/>
        <w:jc w:val="left"/>
        <w:rPr>
          <w:rFonts w:ascii="Arial" w:hAnsi="Arial" w:cs="Arial"/>
          <w:b w:val="0"/>
        </w:rPr>
      </w:pPr>
      <w:r w:rsidRPr="000A3C6D">
        <w:rPr>
          <w:rFonts w:ascii="Arial" w:hAnsi="Arial" w:cs="Arial"/>
          <w:b w:val="0"/>
        </w:rPr>
        <w:t>3.1 Implementation strategy</w:t>
      </w:r>
    </w:p>
    <w:p w14:paraId="753B9D80" w14:textId="09192E55" w:rsidR="00AA768C" w:rsidRPr="008B2873" w:rsidRDefault="00AA768C" w:rsidP="00AA768C">
      <w:pPr>
        <w:pStyle w:val="Heading2"/>
        <w:rPr>
          <w:rFonts w:ascii="Arial" w:hAnsi="Arial" w:cs="Arial"/>
          <w:b w:val="0"/>
          <w:color w:val="000000" w:themeColor="text1"/>
          <w:szCs w:val="24"/>
          <w:lang w:val="en-IN"/>
        </w:rPr>
      </w:pPr>
      <w:r w:rsidRPr="008B2873">
        <w:rPr>
          <w:rFonts w:ascii="Arial" w:hAnsi="Arial" w:cs="Arial"/>
          <w:b w:val="0"/>
          <w:color w:val="000000" w:themeColor="text1"/>
          <w:szCs w:val="24"/>
          <w:lang w:val="en-IN"/>
        </w:rPr>
        <w:t xml:space="preserve">The recommendations together comprise one coherent </w:t>
      </w:r>
      <w:r w:rsidR="00D757D3" w:rsidRPr="008B2873">
        <w:rPr>
          <w:rFonts w:ascii="Arial" w:hAnsi="Arial" w:cs="Arial"/>
          <w:b w:val="0"/>
          <w:color w:val="000000" w:themeColor="text1"/>
          <w:szCs w:val="24"/>
          <w:lang w:val="en-IN"/>
        </w:rPr>
        <w:t>12-month</w:t>
      </w:r>
      <w:r w:rsidRPr="008B2873">
        <w:rPr>
          <w:rFonts w:ascii="Arial" w:hAnsi="Arial" w:cs="Arial"/>
          <w:b w:val="0"/>
          <w:color w:val="000000" w:themeColor="text1"/>
          <w:szCs w:val="24"/>
          <w:lang w:val="en-IN"/>
        </w:rPr>
        <w:t xml:space="preserve"> improvement programme. The intention is to integrate staffing risk, escalation of </w:t>
      </w:r>
      <w:proofErr w:type="spellStart"/>
      <w:r w:rsidR="00D757D3" w:rsidRPr="008B2873">
        <w:rPr>
          <w:rFonts w:ascii="Arial" w:hAnsi="Arial" w:cs="Arial"/>
          <w:b w:val="0"/>
          <w:color w:val="000000" w:themeColor="text1"/>
          <w:szCs w:val="24"/>
          <w:lang w:val="en-IN"/>
        </w:rPr>
        <w:t>fetal</w:t>
      </w:r>
      <w:proofErr w:type="spellEnd"/>
      <w:r w:rsidR="00D757D3" w:rsidRPr="008B2873">
        <w:rPr>
          <w:rFonts w:ascii="Arial" w:hAnsi="Arial" w:cs="Arial"/>
          <w:b w:val="0"/>
          <w:color w:val="000000" w:themeColor="text1"/>
          <w:szCs w:val="24"/>
          <w:lang w:val="en-IN"/>
        </w:rPr>
        <w:t xml:space="preserve"> monitoring, incident learning, staff voice, and family experience into a single</w:t>
      </w:r>
      <w:r w:rsidRPr="008B2873">
        <w:rPr>
          <w:rFonts w:ascii="Arial" w:hAnsi="Arial" w:cs="Arial"/>
          <w:b w:val="0"/>
          <w:color w:val="000000" w:themeColor="text1"/>
          <w:szCs w:val="24"/>
          <w:lang w:val="en-IN"/>
        </w:rPr>
        <w:t xml:space="preserve"> assurance system. 1–2 months will set baselines and governance; subsequent months will test changes, adapt and embed. The </w:t>
      </w:r>
      <w:r w:rsidR="00D757D3" w:rsidRPr="008B2873">
        <w:rPr>
          <w:rFonts w:ascii="Arial" w:hAnsi="Arial" w:cs="Arial"/>
          <w:b w:val="0"/>
          <w:color w:val="000000" w:themeColor="text1"/>
          <w:szCs w:val="24"/>
          <w:lang w:val="en-IN"/>
        </w:rPr>
        <w:t>suggested numbers are a little ‘</w:t>
      </w:r>
      <w:r w:rsidR="00812C47" w:rsidRPr="008B2873">
        <w:rPr>
          <w:rFonts w:ascii="Arial" w:hAnsi="Arial" w:cs="Arial"/>
          <w:b w:val="0"/>
          <w:color w:val="000000" w:themeColor="text1"/>
          <w:szCs w:val="24"/>
          <w:lang w:val="en-IN"/>
        </w:rPr>
        <w:t>high ’</w:t>
      </w:r>
      <w:r w:rsidR="00D757D3" w:rsidRPr="008B2873">
        <w:rPr>
          <w:rFonts w:ascii="Arial" w:hAnsi="Arial" w:cs="Arial"/>
          <w:b w:val="0"/>
          <w:color w:val="000000" w:themeColor="text1"/>
          <w:szCs w:val="24"/>
          <w:lang w:val="en-IN"/>
        </w:rPr>
        <w:t>; they are improvement targets,</w:t>
      </w:r>
      <w:r w:rsidRPr="008B2873">
        <w:rPr>
          <w:rFonts w:ascii="Arial" w:hAnsi="Arial" w:cs="Arial"/>
          <w:b w:val="0"/>
          <w:color w:val="000000" w:themeColor="text1"/>
          <w:szCs w:val="24"/>
          <w:lang w:val="en-IN"/>
        </w:rPr>
        <w:t xml:space="preserve"> not fancy-dan current measures. Governance is set as: improvement team to maternity governance to quality committee to board to ICS.</w:t>
      </w:r>
    </w:p>
    <w:p w14:paraId="0B16341C" w14:textId="0F3177D6" w:rsidR="00AA768C" w:rsidRPr="008B2873" w:rsidRDefault="00AA768C" w:rsidP="00AA768C">
      <w:pPr>
        <w:pStyle w:val="Heading2"/>
        <w:rPr>
          <w:rFonts w:ascii="Arial" w:hAnsi="Arial" w:cs="Arial"/>
          <w:b w:val="0"/>
          <w:color w:val="000000" w:themeColor="text1"/>
          <w:szCs w:val="24"/>
          <w:lang w:val="en-IN"/>
        </w:rPr>
      </w:pPr>
      <w:r w:rsidRPr="008B2873">
        <w:rPr>
          <w:rFonts w:ascii="Arial" w:hAnsi="Arial" w:cs="Arial"/>
          <w:b w:val="0"/>
          <w:color w:val="000000" w:themeColor="text1"/>
          <w:szCs w:val="24"/>
          <w:lang w:val="en-IN"/>
        </w:rPr>
        <w:t xml:space="preserve">1) </w:t>
      </w:r>
      <w:r w:rsidR="00D757D3" w:rsidRPr="008B2873">
        <w:rPr>
          <w:rFonts w:ascii="Arial" w:hAnsi="Arial" w:cs="Arial"/>
          <w:b w:val="0"/>
          <w:color w:val="000000" w:themeColor="text1"/>
          <w:szCs w:val="24"/>
          <w:lang w:val="en-IN"/>
        </w:rPr>
        <w:t>In</w:t>
      </w:r>
      <w:r w:rsidRPr="008B2873">
        <w:rPr>
          <w:rFonts w:ascii="Arial" w:hAnsi="Arial" w:cs="Arial"/>
          <w:b w:val="0"/>
          <w:color w:val="000000" w:themeColor="text1"/>
          <w:szCs w:val="24"/>
          <w:lang w:val="en-IN"/>
        </w:rPr>
        <w:t xml:space="preserve"> months 1–2, create a delivery of a maternity safety dashboard, with staffing, escalation, outcome, training, incident, complaints and family-experience measures. Datasets need to be checked for baseline quality, against which targets can be set – initial aim is &gt;90% compliance with agreed escalation actions by month 6, subject to clinical approval. Risks include poor </w:t>
      </w:r>
      <w:r w:rsidR="00D757D3" w:rsidRPr="008B2873">
        <w:rPr>
          <w:rFonts w:ascii="Arial" w:hAnsi="Arial" w:cs="Arial"/>
          <w:b w:val="0"/>
          <w:color w:val="000000" w:themeColor="text1"/>
          <w:szCs w:val="24"/>
          <w:lang w:val="en-IN"/>
        </w:rPr>
        <w:t xml:space="preserve">data-collection quality, alert fatigue, and </w:t>
      </w:r>
      <w:r w:rsidRPr="008B2873">
        <w:rPr>
          <w:rFonts w:ascii="Arial" w:hAnsi="Arial" w:cs="Arial"/>
          <w:b w:val="0"/>
          <w:color w:val="000000" w:themeColor="text1"/>
          <w:szCs w:val="24"/>
          <w:lang w:val="en-IN"/>
        </w:rPr>
        <w:t xml:space="preserve">too many indicators. These can be mitigated through a short core dashboard, </w:t>
      </w:r>
      <w:r w:rsidR="00D757D3" w:rsidRPr="008B2873">
        <w:rPr>
          <w:rFonts w:ascii="Arial" w:hAnsi="Arial" w:cs="Arial"/>
          <w:b w:val="0"/>
          <w:color w:val="000000" w:themeColor="text1"/>
          <w:szCs w:val="24"/>
          <w:lang w:val="en-IN"/>
        </w:rPr>
        <w:t>automated data extraction wherever possible, monthly validation,</w:t>
      </w:r>
      <w:r w:rsidRPr="008B2873">
        <w:rPr>
          <w:rFonts w:ascii="Arial" w:hAnsi="Arial" w:cs="Arial"/>
          <w:b w:val="0"/>
          <w:color w:val="000000" w:themeColor="text1"/>
          <w:szCs w:val="24"/>
          <w:lang w:val="en-IN"/>
        </w:rPr>
        <w:t xml:space="preserve"> and clear escalation rules.</w:t>
      </w:r>
    </w:p>
    <w:p w14:paraId="6DD9CC58" w14:textId="2B4D7C7A" w:rsidR="00AA768C" w:rsidRPr="008B2873" w:rsidRDefault="00AA768C" w:rsidP="00AA768C">
      <w:pPr>
        <w:pStyle w:val="Heading2"/>
        <w:rPr>
          <w:rFonts w:ascii="Arial" w:hAnsi="Arial" w:cs="Arial"/>
          <w:b w:val="0"/>
          <w:color w:val="000000" w:themeColor="text1"/>
          <w:szCs w:val="24"/>
          <w:lang w:val="en-IN"/>
        </w:rPr>
      </w:pPr>
      <w:r w:rsidRPr="008B2873">
        <w:rPr>
          <w:rFonts w:ascii="Arial" w:hAnsi="Arial" w:cs="Arial"/>
          <w:b w:val="0"/>
          <w:color w:val="000000" w:themeColor="text1"/>
          <w:szCs w:val="24"/>
          <w:lang w:val="en-IN"/>
        </w:rPr>
        <w:t xml:space="preserve">Secondly, set up learning-to-action RCA source investigation and action in serious and/or recurrent investigations. </w:t>
      </w:r>
      <w:r w:rsidR="00D757D3" w:rsidRPr="008B2873">
        <w:rPr>
          <w:rFonts w:ascii="Arial" w:hAnsi="Arial" w:cs="Arial"/>
          <w:b w:val="0"/>
          <w:color w:val="000000" w:themeColor="text1"/>
          <w:szCs w:val="24"/>
          <w:lang w:val="en-IN"/>
        </w:rPr>
        <w:t>Triangulate</w:t>
      </w:r>
      <w:r w:rsidRPr="008B2873">
        <w:rPr>
          <w:rFonts w:ascii="Arial" w:hAnsi="Arial" w:cs="Arial"/>
          <w:b w:val="0"/>
          <w:color w:val="000000" w:themeColor="text1"/>
          <w:szCs w:val="24"/>
          <w:lang w:val="en-IN"/>
        </w:rPr>
        <w:t xml:space="preserve"> Five Whys with Fishbone, Swiss Cheese, patient/family stories, staff interviews and clinical records. RCA becomes bureaucratic and unimplemented if not </w:t>
      </w:r>
      <w:r w:rsidR="00D757D3" w:rsidRPr="008B2873">
        <w:rPr>
          <w:rFonts w:ascii="Arial" w:hAnsi="Arial" w:cs="Arial"/>
          <w:b w:val="0"/>
          <w:color w:val="000000" w:themeColor="text1"/>
          <w:szCs w:val="24"/>
          <w:lang w:val="en-IN"/>
        </w:rPr>
        <w:t>followed up; systematic evidence demonstrates</w:t>
      </w:r>
      <w:r w:rsidRPr="008B2873">
        <w:rPr>
          <w:rFonts w:ascii="Arial" w:hAnsi="Arial" w:cs="Arial"/>
          <w:b w:val="0"/>
          <w:color w:val="000000" w:themeColor="text1"/>
          <w:szCs w:val="24"/>
          <w:lang w:val="en-IN"/>
        </w:rPr>
        <w:t xml:space="preserve"> poor translation of RCA into safety improvements (Martin-Delgado et al., 2020). </w:t>
      </w:r>
      <w:r w:rsidR="00D757D3" w:rsidRPr="008B2873">
        <w:rPr>
          <w:rFonts w:ascii="Arial" w:hAnsi="Arial" w:cs="Arial"/>
          <w:b w:val="0"/>
          <w:color w:val="000000" w:themeColor="text1"/>
          <w:szCs w:val="24"/>
          <w:lang w:val="en-IN"/>
        </w:rPr>
        <w:t>A combination</w:t>
      </w:r>
      <w:r w:rsidRPr="008B2873">
        <w:rPr>
          <w:rFonts w:ascii="Arial" w:hAnsi="Arial" w:cs="Arial"/>
          <w:b w:val="0"/>
          <w:color w:val="000000" w:themeColor="text1"/>
          <w:szCs w:val="24"/>
          <w:lang w:val="en-IN"/>
        </w:rPr>
        <w:t xml:space="preserve"> mitigation strategy specific to recurring </w:t>
      </w:r>
      <w:r w:rsidR="00D757D3" w:rsidRPr="008B2873">
        <w:rPr>
          <w:rFonts w:ascii="Arial" w:hAnsi="Arial" w:cs="Arial"/>
          <w:b w:val="0"/>
          <w:color w:val="000000" w:themeColor="text1"/>
          <w:szCs w:val="24"/>
          <w:lang w:val="en-IN"/>
        </w:rPr>
        <w:t>speaking-up fear remediation is name-line management, deadlines, verification at 30 and 90 days, and escalation</w:t>
      </w:r>
      <w:r w:rsidRPr="008B2873">
        <w:rPr>
          <w:rFonts w:ascii="Arial" w:hAnsi="Arial" w:cs="Arial"/>
          <w:b w:val="0"/>
          <w:color w:val="000000" w:themeColor="text1"/>
          <w:szCs w:val="24"/>
          <w:lang w:val="en-IN"/>
        </w:rPr>
        <w:t xml:space="preserve"> of overdue tasks to board oversight.</w:t>
      </w:r>
    </w:p>
    <w:p w14:paraId="57813252" w14:textId="058FFFA4" w:rsidR="00AA768C" w:rsidRPr="008B2873" w:rsidRDefault="00AA768C" w:rsidP="00AA768C">
      <w:pPr>
        <w:pStyle w:val="Heading2"/>
        <w:rPr>
          <w:rFonts w:ascii="Arial" w:hAnsi="Arial" w:cs="Arial"/>
          <w:b w:val="0"/>
          <w:color w:val="000000" w:themeColor="text1"/>
          <w:szCs w:val="24"/>
          <w:lang w:val="en-IN"/>
        </w:rPr>
      </w:pPr>
      <w:r w:rsidRPr="008B2873">
        <w:rPr>
          <w:rFonts w:ascii="Arial" w:hAnsi="Arial" w:cs="Arial"/>
          <w:b w:val="0"/>
          <w:color w:val="000000" w:themeColor="text1"/>
          <w:szCs w:val="24"/>
          <w:lang w:val="en-IN"/>
        </w:rPr>
        <w:t xml:space="preserve">Third, improve staffing and escalation through comparing planned and actual staffing in line with acuity. A predefined escalation protocol should mandate senior review if safe capacity is compromised. Drawback: escalation cannot generate staff where an absolute shortfall exists (however, redeployment moves risk elsewhere). Possible mitigating controls would </w:t>
      </w:r>
      <w:r w:rsidR="00D757D3" w:rsidRPr="008B2873">
        <w:rPr>
          <w:rFonts w:ascii="Arial" w:hAnsi="Arial" w:cs="Arial"/>
          <w:b w:val="0"/>
          <w:color w:val="000000" w:themeColor="text1"/>
          <w:szCs w:val="24"/>
          <w:lang w:val="en-IN"/>
        </w:rPr>
        <w:t>include mutual-aid arrangements, daily risk reviews, and board visibility into</w:t>
      </w:r>
      <w:r w:rsidRPr="008B2873">
        <w:rPr>
          <w:rFonts w:ascii="Arial" w:hAnsi="Arial" w:cs="Arial"/>
          <w:b w:val="0"/>
          <w:color w:val="000000" w:themeColor="text1"/>
          <w:szCs w:val="24"/>
          <w:lang w:val="en-IN"/>
        </w:rPr>
        <w:t xml:space="preserve"> frequent shortfalls. </w:t>
      </w:r>
      <w:r w:rsidR="00D757D3" w:rsidRPr="008B2873">
        <w:rPr>
          <w:rFonts w:ascii="Arial" w:hAnsi="Arial" w:cs="Arial"/>
          <w:b w:val="0"/>
          <w:color w:val="000000" w:themeColor="text1"/>
          <w:szCs w:val="24"/>
          <w:lang w:val="en-IN"/>
        </w:rPr>
        <w:t xml:space="preserve">The target would be a </w:t>
      </w:r>
      <w:r w:rsidRPr="008B2873">
        <w:rPr>
          <w:rFonts w:ascii="Arial" w:hAnsi="Arial" w:cs="Arial"/>
          <w:b w:val="0"/>
          <w:color w:val="000000" w:themeColor="text1"/>
          <w:szCs w:val="24"/>
          <w:lang w:val="en-IN"/>
        </w:rPr>
        <w:t>100% documented review of red-flag staffing episodes by month 4, with overtime/agency as balancing measures.</w:t>
      </w:r>
    </w:p>
    <w:p w14:paraId="1274526D" w14:textId="73C16EB2" w:rsidR="00AA768C" w:rsidRPr="008B2873" w:rsidRDefault="00AA768C" w:rsidP="00AA768C">
      <w:pPr>
        <w:pStyle w:val="Heading2"/>
        <w:rPr>
          <w:rFonts w:ascii="Arial" w:hAnsi="Arial" w:cs="Arial"/>
          <w:b w:val="0"/>
          <w:color w:val="000000" w:themeColor="text1"/>
          <w:szCs w:val="24"/>
          <w:lang w:val="en-IN"/>
        </w:rPr>
      </w:pPr>
      <w:r w:rsidRPr="008B2873">
        <w:rPr>
          <w:rFonts w:ascii="Arial" w:hAnsi="Arial" w:cs="Arial"/>
          <w:b w:val="0"/>
          <w:color w:val="000000" w:themeColor="text1"/>
          <w:szCs w:val="24"/>
          <w:lang w:val="en-IN"/>
        </w:rPr>
        <w:lastRenderedPageBreak/>
        <w:t>Four, foster psychological safety and family voice through monthly safety huddles, confidential routes and bypass escalation where indicated. A speak-up policy does not ensure speak-up: defining differences identified by Kane et al. (2023)</w:t>
      </w:r>
      <w:r w:rsidR="007247C3" w:rsidRPr="008B2873">
        <w:rPr>
          <w:rFonts w:ascii="Arial" w:hAnsi="Arial" w:cs="Arial"/>
          <w:b w:val="0"/>
          <w:color w:val="000000" w:themeColor="text1"/>
          <w:szCs w:val="24"/>
          <w:lang w:val="en-IN"/>
        </w:rPr>
        <w:t xml:space="preserve"> and van Dongen et al. (2024) find organisational, team, and individual-related effects; Montgomery et al. (2025) show that the</w:t>
      </w:r>
      <w:r w:rsidRPr="008B2873">
        <w:rPr>
          <w:rFonts w:ascii="Arial" w:hAnsi="Arial" w:cs="Arial"/>
          <w:b w:val="0"/>
          <w:color w:val="000000" w:themeColor="text1"/>
          <w:szCs w:val="24"/>
          <w:lang w:val="en-IN"/>
        </w:rPr>
        <w:t xml:space="preserve"> impact on patient safety is nuanced. Lead response, reporter feedback and staff pulse </w:t>
      </w:r>
      <w:r w:rsidR="007247C3" w:rsidRPr="008B2873">
        <w:rPr>
          <w:rFonts w:ascii="Arial" w:hAnsi="Arial" w:cs="Arial"/>
          <w:b w:val="0"/>
          <w:color w:val="000000" w:themeColor="text1"/>
          <w:szCs w:val="24"/>
          <w:lang w:val="en-IN"/>
        </w:rPr>
        <w:t>checks</w:t>
      </w:r>
      <w:r w:rsidRPr="008B2873">
        <w:rPr>
          <w:rFonts w:ascii="Arial" w:hAnsi="Arial" w:cs="Arial"/>
          <w:b w:val="0"/>
          <w:color w:val="000000" w:themeColor="text1"/>
          <w:szCs w:val="24"/>
          <w:lang w:val="en-IN"/>
        </w:rPr>
        <w:t xml:space="preserve"> are mitigators. Family participation requires defined roles, staff training and feedback loops.</w:t>
      </w:r>
    </w:p>
    <w:p w14:paraId="138AE2E3" w14:textId="77777777" w:rsidR="00AA768C" w:rsidRPr="008B2873" w:rsidRDefault="00AA768C" w:rsidP="00AA768C">
      <w:pPr>
        <w:pStyle w:val="Heading2"/>
        <w:rPr>
          <w:rFonts w:ascii="Arial" w:hAnsi="Arial" w:cs="Arial"/>
          <w:b w:val="0"/>
          <w:color w:val="548DD4" w:themeColor="text2" w:themeTint="99"/>
          <w:szCs w:val="24"/>
          <w:lang w:val="en-IN"/>
        </w:rPr>
      </w:pPr>
      <w:r w:rsidRPr="008B2873">
        <w:rPr>
          <w:rFonts w:ascii="Arial" w:hAnsi="Arial" w:cs="Arial"/>
          <w:b w:val="0"/>
          <w:color w:val="000000" w:themeColor="text1"/>
          <w:szCs w:val="24"/>
          <w:lang w:val="en-IN"/>
        </w:rPr>
        <w:t xml:space="preserve">3.2 </w:t>
      </w:r>
      <w:r w:rsidRPr="008B2873">
        <w:rPr>
          <w:rFonts w:ascii="Arial" w:hAnsi="Arial" w:cs="Arial"/>
          <w:b w:val="0"/>
          <w:color w:val="548DD4" w:themeColor="text2" w:themeTint="99"/>
          <w:szCs w:val="24"/>
          <w:lang w:val="en-IN"/>
        </w:rPr>
        <w:t>PDSA cycle and measurement</w:t>
      </w:r>
    </w:p>
    <w:p w14:paraId="5F4E32BE" w14:textId="560F0BC7" w:rsidR="008A52F2" w:rsidRPr="008B2873" w:rsidRDefault="008A52F2" w:rsidP="008A52F2">
      <w:pPr>
        <w:pStyle w:val="Heading2"/>
        <w:rPr>
          <w:rFonts w:ascii="Arial" w:hAnsi="Arial" w:cs="Arial"/>
          <w:b w:val="0"/>
          <w:color w:val="000000" w:themeColor="text1"/>
          <w:szCs w:val="24"/>
          <w:lang w:val="en-IN"/>
        </w:rPr>
      </w:pPr>
      <w:r w:rsidRPr="008B2873">
        <w:rPr>
          <w:rFonts w:ascii="Arial" w:hAnsi="Arial" w:cs="Arial"/>
          <w:b w:val="0"/>
          <w:color w:val="000000" w:themeColor="text1"/>
          <w:szCs w:val="24"/>
          <w:lang w:val="en-IN"/>
        </w:rPr>
        <w:t xml:space="preserve">According to Taylor et al. (2014) and Knudsen et al. (2019), healthcare studies using the PDSA cycle methodology suffer from certain limitations. Each PDSA cycle should include a prediction, a small-scale test, exploration for surprises, and articulation of the next step. Baselines are established over the </w:t>
      </w:r>
      <w:r w:rsidR="007247C3" w:rsidRPr="008B2873">
        <w:rPr>
          <w:rFonts w:ascii="Arial" w:hAnsi="Arial" w:cs="Arial"/>
          <w:b w:val="0"/>
          <w:color w:val="000000" w:themeColor="text1"/>
          <w:szCs w:val="24"/>
          <w:lang w:val="en-IN"/>
        </w:rPr>
        <w:t>first two months, after which attempts are made to progress towards a clinically significant target while balancing measures are implemented</w:t>
      </w:r>
      <w:r w:rsidRPr="008B2873">
        <w:rPr>
          <w:rFonts w:ascii="Arial" w:hAnsi="Arial" w:cs="Arial"/>
          <w:b w:val="0"/>
          <w:color w:val="000000" w:themeColor="text1"/>
          <w:szCs w:val="24"/>
          <w:lang w:val="en-IN"/>
        </w:rPr>
        <w:t>.</w:t>
      </w:r>
    </w:p>
    <w:p w14:paraId="55FD85C7" w14:textId="0B64C6B9" w:rsidR="008A52F2" w:rsidRPr="008B2873" w:rsidRDefault="008A52F2" w:rsidP="008A52F2">
      <w:pPr>
        <w:pStyle w:val="Heading2"/>
        <w:rPr>
          <w:rFonts w:ascii="Arial" w:hAnsi="Arial" w:cs="Arial"/>
          <w:b w:val="0"/>
          <w:color w:val="000000" w:themeColor="text1"/>
          <w:szCs w:val="24"/>
          <w:lang w:val="en-IN"/>
        </w:rPr>
      </w:pPr>
      <w:r w:rsidRPr="008B2873">
        <w:rPr>
          <w:rFonts w:ascii="Arial" w:hAnsi="Arial" w:cs="Arial"/>
          <w:b w:val="0"/>
          <w:color w:val="000000" w:themeColor="text1"/>
          <w:szCs w:val="24"/>
          <w:lang w:val="en-IN"/>
        </w:rPr>
        <w:t xml:space="preserve">During the first cycle (first three months), a staffing-risk daily huddle will be introduced on one of the maternity units. Prediction: hypothetically, daily huddles will improve staffing escalations. This will be tested for 8 to 12 weeks. Measure: compliance with staffing escalations will be compared </w:t>
      </w:r>
      <w:r w:rsidR="007247C3" w:rsidRPr="008B2873">
        <w:rPr>
          <w:rFonts w:ascii="Arial" w:hAnsi="Arial" w:cs="Arial"/>
          <w:b w:val="0"/>
          <w:color w:val="000000" w:themeColor="text1"/>
          <w:szCs w:val="24"/>
          <w:lang w:val="en-IN"/>
        </w:rPr>
        <w:t>against a baseline, and staff workload will be assessed</w:t>
      </w:r>
      <w:r w:rsidRPr="008B2873">
        <w:rPr>
          <w:rFonts w:ascii="Arial" w:hAnsi="Arial" w:cs="Arial"/>
          <w:b w:val="0"/>
          <w:color w:val="000000" w:themeColor="text1"/>
          <w:szCs w:val="24"/>
          <w:lang w:val="en-IN"/>
        </w:rPr>
        <w:t>. Action: if the huddles demonstrate their utility without negative balancing effects, they will be adapted and introduced on other units.</w:t>
      </w:r>
    </w:p>
    <w:p w14:paraId="7A020C90" w14:textId="6A140C6D" w:rsidR="008A52F2" w:rsidRPr="008B2873" w:rsidRDefault="008A52F2" w:rsidP="008A52F2">
      <w:pPr>
        <w:pStyle w:val="Heading2"/>
        <w:rPr>
          <w:rFonts w:ascii="Arial" w:hAnsi="Arial" w:cs="Arial"/>
          <w:b w:val="0"/>
          <w:color w:val="000000" w:themeColor="text1"/>
          <w:szCs w:val="24"/>
          <w:lang w:val="en-IN"/>
        </w:rPr>
      </w:pPr>
      <w:r w:rsidRPr="008B2873">
        <w:rPr>
          <w:rFonts w:ascii="Arial" w:hAnsi="Arial" w:cs="Arial"/>
          <w:b w:val="0"/>
          <w:color w:val="000000" w:themeColor="text1"/>
          <w:szCs w:val="24"/>
          <w:lang w:val="en-IN"/>
        </w:rPr>
        <w:t xml:space="preserve">The second cycle (fourth to sixth months) will test a </w:t>
      </w:r>
      <w:r w:rsidR="007247C3" w:rsidRPr="008B2873">
        <w:rPr>
          <w:rFonts w:ascii="Arial" w:hAnsi="Arial" w:cs="Arial"/>
          <w:b w:val="0"/>
          <w:color w:val="000000" w:themeColor="text1"/>
          <w:szCs w:val="24"/>
          <w:lang w:val="en-IN"/>
        </w:rPr>
        <w:t xml:space="preserve">standardised abnormal </w:t>
      </w:r>
      <w:proofErr w:type="spellStart"/>
      <w:r w:rsidR="007247C3" w:rsidRPr="008B2873">
        <w:rPr>
          <w:rFonts w:ascii="Arial" w:hAnsi="Arial" w:cs="Arial"/>
          <w:b w:val="0"/>
          <w:color w:val="000000" w:themeColor="text1"/>
          <w:szCs w:val="24"/>
          <w:lang w:val="en-IN"/>
        </w:rPr>
        <w:t>fetal</w:t>
      </w:r>
      <w:proofErr w:type="spellEnd"/>
      <w:r w:rsidR="007247C3" w:rsidRPr="008B2873">
        <w:rPr>
          <w:rFonts w:ascii="Arial" w:hAnsi="Arial" w:cs="Arial"/>
          <w:b w:val="0"/>
          <w:color w:val="000000" w:themeColor="text1"/>
          <w:szCs w:val="24"/>
          <w:lang w:val="en-IN"/>
        </w:rPr>
        <w:t xml:space="preserve"> monitoring</w:t>
      </w:r>
      <w:r w:rsidRPr="008B2873">
        <w:rPr>
          <w:rFonts w:ascii="Arial" w:hAnsi="Arial" w:cs="Arial"/>
          <w:b w:val="0"/>
          <w:color w:val="000000" w:themeColor="text1"/>
          <w:szCs w:val="24"/>
          <w:lang w:val="en-IN"/>
        </w:rPr>
        <w:t xml:space="preserve"> escalation bundle. The measures will be documentation compliance and the time from concern to senior review. Outcome measures will be closely monitored, as </w:t>
      </w:r>
      <w:r w:rsidR="007247C3" w:rsidRPr="008B2873">
        <w:rPr>
          <w:rFonts w:ascii="Arial" w:hAnsi="Arial" w:cs="Arial"/>
          <w:b w:val="0"/>
          <w:color w:val="000000" w:themeColor="text1"/>
          <w:szCs w:val="24"/>
          <w:lang w:val="en-IN"/>
        </w:rPr>
        <w:t>rare and serious adverse events are inadequate</w:t>
      </w:r>
      <w:r w:rsidRPr="008B2873">
        <w:rPr>
          <w:rFonts w:ascii="Arial" w:hAnsi="Arial" w:cs="Arial"/>
          <w:b w:val="0"/>
          <w:color w:val="000000" w:themeColor="text1"/>
          <w:szCs w:val="24"/>
          <w:lang w:val="en-IN"/>
        </w:rPr>
        <w:t xml:space="preserve"> short-cycle measures. The third cycle (seventh to ninth months) will test the complete embedding of an RCA on each unit through completion of actions. The fourth cycle (tenth to twelfth months) will test the spread of the interventions to other units.</w:t>
      </w:r>
    </w:p>
    <w:p w14:paraId="3BA8F862" w14:textId="4AF5942B" w:rsidR="008A52F2" w:rsidRPr="008B2873" w:rsidRDefault="008A52F2" w:rsidP="008A52F2">
      <w:pPr>
        <w:pStyle w:val="Heading2"/>
        <w:rPr>
          <w:rFonts w:ascii="Arial" w:hAnsi="Arial" w:cs="Arial"/>
          <w:b w:val="0"/>
          <w:color w:val="000000" w:themeColor="text1"/>
          <w:szCs w:val="24"/>
          <w:lang w:val="en-IN"/>
        </w:rPr>
      </w:pPr>
      <w:r w:rsidRPr="008B2873">
        <w:rPr>
          <w:rFonts w:ascii="Arial" w:hAnsi="Arial" w:cs="Arial"/>
          <w:b w:val="0"/>
          <w:color w:val="000000" w:themeColor="text1"/>
          <w:szCs w:val="24"/>
          <w:lang w:val="en-IN"/>
        </w:rPr>
        <w:t xml:space="preserve">Process indicators will be </w:t>
      </w:r>
      <w:r w:rsidR="007247C3" w:rsidRPr="008B2873">
        <w:rPr>
          <w:rFonts w:ascii="Arial" w:hAnsi="Arial" w:cs="Arial"/>
          <w:b w:val="0"/>
          <w:color w:val="000000" w:themeColor="text1"/>
          <w:szCs w:val="24"/>
          <w:lang w:val="en-IN"/>
        </w:rPr>
        <w:t>escalations and actions completed; outcomes will be serious adverse events and select perinatal outcomes; and balancing indicators will be overtime, use of agency, staff workload,</w:t>
      </w:r>
      <w:r w:rsidRPr="008B2873">
        <w:rPr>
          <w:rFonts w:ascii="Arial" w:hAnsi="Arial" w:cs="Arial"/>
          <w:b w:val="0"/>
          <w:color w:val="000000" w:themeColor="text1"/>
          <w:szCs w:val="24"/>
          <w:lang w:val="en-IN"/>
        </w:rPr>
        <w:t xml:space="preserve"> and unexpected delays. It should be noted that rare catastrophic adverse events should not be used as the sole short-cycle measure.</w:t>
      </w:r>
    </w:p>
    <w:p w14:paraId="5E1676DA" w14:textId="77777777" w:rsidR="00AA768C" w:rsidRPr="008B2873" w:rsidRDefault="00AA768C" w:rsidP="00AA768C">
      <w:pPr>
        <w:pStyle w:val="Heading2"/>
        <w:rPr>
          <w:rFonts w:ascii="Arial" w:hAnsi="Arial" w:cs="Arial"/>
          <w:b w:val="0"/>
          <w:color w:val="548DD4" w:themeColor="text2" w:themeTint="99"/>
          <w:szCs w:val="24"/>
          <w:lang w:val="en-IN"/>
        </w:rPr>
      </w:pPr>
      <w:r w:rsidRPr="008B2873">
        <w:rPr>
          <w:rFonts w:ascii="Arial" w:hAnsi="Arial" w:cs="Arial"/>
          <w:b w:val="0"/>
          <w:color w:val="000000" w:themeColor="text1"/>
          <w:szCs w:val="24"/>
          <w:lang w:val="en-IN"/>
        </w:rPr>
        <w:lastRenderedPageBreak/>
        <w:t>3.</w:t>
      </w:r>
      <w:r w:rsidRPr="008B2873">
        <w:rPr>
          <w:rFonts w:ascii="Arial" w:hAnsi="Arial" w:cs="Arial"/>
          <w:b w:val="0"/>
          <w:color w:val="548DD4" w:themeColor="text2" w:themeTint="99"/>
          <w:szCs w:val="24"/>
          <w:lang w:val="en-IN"/>
        </w:rPr>
        <w:t>3 Governance, accountability and sustainability</w:t>
      </w:r>
    </w:p>
    <w:p w14:paraId="3805D108" w14:textId="1B5238E7" w:rsidR="005E6A0C" w:rsidRPr="008B2873" w:rsidRDefault="005E6A0C" w:rsidP="005E6A0C">
      <w:pPr>
        <w:pStyle w:val="Heading2"/>
        <w:rPr>
          <w:rFonts w:ascii="Arial" w:hAnsi="Arial" w:cs="Arial"/>
          <w:b w:val="0"/>
          <w:color w:val="000000" w:themeColor="text1"/>
          <w:szCs w:val="24"/>
          <w:lang w:val="en-IN"/>
        </w:rPr>
      </w:pPr>
      <w:r w:rsidRPr="008B2873">
        <w:rPr>
          <w:rFonts w:ascii="Arial" w:hAnsi="Arial" w:cs="Arial"/>
          <w:b w:val="0"/>
          <w:color w:val="000000" w:themeColor="text1"/>
          <w:szCs w:val="24"/>
          <w:lang w:val="en-IN"/>
        </w:rPr>
        <w:t xml:space="preserve">Implementation </w:t>
      </w:r>
      <w:r w:rsidR="007247C3" w:rsidRPr="008B2873">
        <w:rPr>
          <w:rFonts w:ascii="Arial" w:hAnsi="Arial" w:cs="Arial"/>
          <w:b w:val="0"/>
          <w:color w:val="000000" w:themeColor="text1"/>
          <w:szCs w:val="24"/>
          <w:lang w:val="en-IN"/>
        </w:rPr>
        <w:t>utilises</w:t>
      </w:r>
      <w:r w:rsidRPr="008B2873">
        <w:rPr>
          <w:rFonts w:ascii="Arial" w:hAnsi="Arial" w:cs="Arial"/>
          <w:b w:val="0"/>
          <w:color w:val="000000" w:themeColor="text1"/>
          <w:szCs w:val="24"/>
          <w:lang w:val="en-IN"/>
        </w:rPr>
        <w:t xml:space="preserve"> a governance chain</w:t>
      </w:r>
      <w:r w:rsidR="007247C3" w:rsidRPr="008B2873">
        <w:rPr>
          <w:rFonts w:ascii="Arial" w:hAnsi="Arial" w:cs="Arial"/>
          <w:b w:val="0"/>
          <w:color w:val="000000" w:themeColor="text1"/>
          <w:szCs w:val="24"/>
          <w:lang w:val="en-IN"/>
        </w:rPr>
        <w:t xml:space="preserve"> comprising the improvement team, maternity governance, quality committee, board,</w:t>
      </w:r>
      <w:r w:rsidRPr="008B2873">
        <w:rPr>
          <w:rFonts w:ascii="Arial" w:hAnsi="Arial" w:cs="Arial"/>
          <w:b w:val="0"/>
          <w:color w:val="000000" w:themeColor="text1"/>
          <w:szCs w:val="24"/>
          <w:lang w:val="en-IN"/>
        </w:rPr>
        <w:t xml:space="preserve"> and ICS. Risks include governance overload and diluted accountability. Mitigation includes one action log, one owner, escalation dates</w:t>
      </w:r>
      <w:r w:rsidR="007247C3" w:rsidRPr="008B2873">
        <w:rPr>
          <w:rFonts w:ascii="Arial" w:hAnsi="Arial" w:cs="Arial"/>
          <w:b w:val="0"/>
          <w:color w:val="000000" w:themeColor="text1"/>
          <w:szCs w:val="24"/>
          <w:lang w:val="en-IN"/>
        </w:rPr>
        <w:t>, and a provision for senior intervention in the event of</w:t>
      </w:r>
      <w:r w:rsidRPr="008B2873">
        <w:rPr>
          <w:rFonts w:ascii="Arial" w:hAnsi="Arial" w:cs="Arial"/>
          <w:b w:val="0"/>
          <w:color w:val="000000" w:themeColor="text1"/>
          <w:szCs w:val="24"/>
          <w:lang w:val="en-IN"/>
        </w:rPr>
        <w:t xml:space="preserve"> failure to perform. Board papers should indicate pending actions, unsatisfied staff and family challenges. This helps understand whether assurance functions as a control system.</w:t>
      </w:r>
    </w:p>
    <w:p w14:paraId="5230EE6E" w14:textId="3AB3F869" w:rsidR="005E6A0C" w:rsidRPr="008B2873" w:rsidRDefault="005E6A0C" w:rsidP="005E6A0C">
      <w:pPr>
        <w:pStyle w:val="Heading2"/>
        <w:rPr>
          <w:rFonts w:ascii="Arial" w:hAnsi="Arial" w:cs="Arial"/>
          <w:b w:val="0"/>
          <w:color w:val="000000" w:themeColor="text1"/>
          <w:szCs w:val="24"/>
          <w:lang w:val="en-IN"/>
        </w:rPr>
      </w:pPr>
      <w:r w:rsidRPr="008B2873">
        <w:rPr>
          <w:rFonts w:ascii="Arial" w:hAnsi="Arial" w:cs="Arial"/>
          <w:b w:val="0"/>
          <w:color w:val="000000" w:themeColor="text1"/>
          <w:szCs w:val="24"/>
          <w:lang w:val="en-IN"/>
        </w:rPr>
        <w:t xml:space="preserve">Sustained improvement is reviewed at </w:t>
      </w:r>
      <w:r w:rsidR="007247C3" w:rsidRPr="008B2873">
        <w:rPr>
          <w:rFonts w:ascii="Arial" w:hAnsi="Arial" w:cs="Arial"/>
          <w:b w:val="0"/>
          <w:color w:val="000000" w:themeColor="text1"/>
          <w:szCs w:val="24"/>
          <w:lang w:val="en-IN"/>
        </w:rPr>
        <w:t>6- and 12-month</w:t>
      </w:r>
      <w:r w:rsidRPr="008B2873">
        <w:rPr>
          <w:rFonts w:ascii="Arial" w:hAnsi="Arial" w:cs="Arial"/>
          <w:b w:val="0"/>
          <w:color w:val="000000" w:themeColor="text1"/>
          <w:szCs w:val="24"/>
          <w:lang w:val="en-IN"/>
        </w:rPr>
        <w:t xml:space="preserve"> intervals. An improvement is considered sustained when there is a continuing improvement in performance, staff explain the process in detail, audit confirms consistent use of the process and family feedback indicates no new adverse impacts. Regression following changes in staffing or leadership must be addressed through onboarding, quarterly review of the process</w:t>
      </w:r>
      <w:r w:rsidR="007247C3" w:rsidRPr="008B2873">
        <w:rPr>
          <w:rFonts w:ascii="Arial" w:hAnsi="Arial" w:cs="Arial"/>
          <w:b w:val="0"/>
          <w:color w:val="000000" w:themeColor="text1"/>
          <w:szCs w:val="24"/>
          <w:lang w:val="en-IN"/>
        </w:rPr>
        <w:t>, ongoing monitoring of indicators, and a 12-month retest</w:t>
      </w:r>
      <w:r w:rsidRPr="008B2873">
        <w:rPr>
          <w:rFonts w:ascii="Arial" w:hAnsi="Arial" w:cs="Arial"/>
          <w:b w:val="0"/>
          <w:color w:val="000000" w:themeColor="text1"/>
          <w:szCs w:val="24"/>
          <w:lang w:val="en-IN"/>
        </w:rPr>
        <w:t>. This shifts the focus from completion to sustained reliability.</w:t>
      </w:r>
    </w:p>
    <w:p w14:paraId="130EAF47" w14:textId="77777777" w:rsidR="007E7650" w:rsidRPr="000A3C6D" w:rsidRDefault="00900582" w:rsidP="005C2004">
      <w:pPr>
        <w:pStyle w:val="Heading2"/>
        <w:jc w:val="left"/>
        <w:rPr>
          <w:rFonts w:ascii="Arial" w:hAnsi="Arial" w:cs="Arial"/>
          <w:b w:val="0"/>
        </w:rPr>
      </w:pPr>
      <w:r w:rsidRPr="000A3C6D">
        <w:rPr>
          <w:rFonts w:ascii="Arial" w:hAnsi="Arial" w:cs="Arial"/>
          <w:b w:val="0"/>
        </w:rPr>
        <w:t>Table 4. 12-month implementation roadmap</w:t>
      </w:r>
    </w:p>
    <w:tbl>
      <w:tblPr>
        <w:tblStyle w:val="TableGrid"/>
        <w:tblW w:w="0" w:type="auto"/>
        <w:jc w:val="center"/>
        <w:tblLook w:val="04A0" w:firstRow="1" w:lastRow="0" w:firstColumn="1" w:lastColumn="0" w:noHBand="0" w:noVBand="1"/>
      </w:tblPr>
      <w:tblGrid>
        <w:gridCol w:w="3212"/>
        <w:gridCol w:w="3213"/>
        <w:gridCol w:w="3213"/>
      </w:tblGrid>
      <w:tr w:rsidR="007E7650" w:rsidRPr="000A3C6D" w14:paraId="7BCF03FA" w14:textId="77777777">
        <w:trPr>
          <w:tblHeader/>
          <w:jc w:val="center"/>
        </w:trPr>
        <w:tc>
          <w:tcPr>
            <w:tcW w:w="3216" w:type="dxa"/>
            <w:shd w:val="clear" w:color="auto" w:fill="D9EAF7"/>
            <w:vAlign w:val="center"/>
          </w:tcPr>
          <w:p w14:paraId="356700D3"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Timing</w:t>
            </w:r>
          </w:p>
        </w:tc>
        <w:tc>
          <w:tcPr>
            <w:tcW w:w="3216" w:type="dxa"/>
            <w:shd w:val="clear" w:color="auto" w:fill="D9EAF7"/>
            <w:vAlign w:val="center"/>
          </w:tcPr>
          <w:p w14:paraId="4B9763D0"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Action</w:t>
            </w:r>
          </w:p>
        </w:tc>
        <w:tc>
          <w:tcPr>
            <w:tcW w:w="3216" w:type="dxa"/>
            <w:shd w:val="clear" w:color="auto" w:fill="D9EAF7"/>
            <w:vAlign w:val="center"/>
          </w:tcPr>
          <w:p w14:paraId="09DCEF25"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Lead</w:t>
            </w:r>
          </w:p>
        </w:tc>
      </w:tr>
      <w:tr w:rsidR="007E7650" w:rsidRPr="000A3C6D" w14:paraId="6E9B01EB" w14:textId="77777777">
        <w:trPr>
          <w:jc w:val="center"/>
        </w:trPr>
        <w:tc>
          <w:tcPr>
            <w:tcW w:w="3216" w:type="dxa"/>
            <w:vAlign w:val="center"/>
          </w:tcPr>
          <w:p w14:paraId="4FD88E19"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Months 1–2</w:t>
            </w:r>
          </w:p>
        </w:tc>
        <w:tc>
          <w:tcPr>
            <w:tcW w:w="3216" w:type="dxa"/>
            <w:vAlign w:val="center"/>
          </w:tcPr>
          <w:p w14:paraId="41D02DB9"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Dashboard, baseline data, governance and staff/family co-design</w:t>
            </w:r>
          </w:p>
        </w:tc>
        <w:tc>
          <w:tcPr>
            <w:tcW w:w="3216" w:type="dxa"/>
            <w:vAlign w:val="center"/>
          </w:tcPr>
          <w:p w14:paraId="6A76E779"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Executive sponsor</w:t>
            </w:r>
          </w:p>
        </w:tc>
      </w:tr>
      <w:tr w:rsidR="007E7650" w:rsidRPr="000A3C6D" w14:paraId="7E975AD1" w14:textId="77777777">
        <w:trPr>
          <w:jc w:val="center"/>
        </w:trPr>
        <w:tc>
          <w:tcPr>
            <w:tcW w:w="3216" w:type="dxa"/>
            <w:vAlign w:val="center"/>
          </w:tcPr>
          <w:p w14:paraId="4BA582F7"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Months 1–3</w:t>
            </w:r>
          </w:p>
        </w:tc>
        <w:tc>
          <w:tcPr>
            <w:tcW w:w="3216" w:type="dxa"/>
            <w:vAlign w:val="center"/>
          </w:tcPr>
          <w:p w14:paraId="279E1B78"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PDSA 1: staffing-risk huddle</w:t>
            </w:r>
          </w:p>
        </w:tc>
        <w:tc>
          <w:tcPr>
            <w:tcW w:w="3216" w:type="dxa"/>
            <w:vAlign w:val="center"/>
          </w:tcPr>
          <w:p w14:paraId="779086FC"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Maternity governance</w:t>
            </w:r>
          </w:p>
        </w:tc>
      </w:tr>
      <w:tr w:rsidR="007E7650" w:rsidRPr="000A3C6D" w14:paraId="060DB7A2" w14:textId="77777777">
        <w:trPr>
          <w:jc w:val="center"/>
        </w:trPr>
        <w:tc>
          <w:tcPr>
            <w:tcW w:w="3216" w:type="dxa"/>
            <w:vAlign w:val="center"/>
          </w:tcPr>
          <w:p w14:paraId="0F840C13"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Months 4–6</w:t>
            </w:r>
          </w:p>
        </w:tc>
        <w:tc>
          <w:tcPr>
            <w:tcW w:w="3216" w:type="dxa"/>
            <w:vAlign w:val="center"/>
          </w:tcPr>
          <w:p w14:paraId="57CFEA06"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PDSA 2: fetal-monitoring escalation bundle</w:t>
            </w:r>
          </w:p>
        </w:tc>
        <w:tc>
          <w:tcPr>
            <w:tcW w:w="3216" w:type="dxa"/>
            <w:vAlign w:val="center"/>
          </w:tcPr>
          <w:p w14:paraId="5E51E010"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Clinical leads</w:t>
            </w:r>
          </w:p>
        </w:tc>
      </w:tr>
      <w:tr w:rsidR="007E7650" w:rsidRPr="000A3C6D" w14:paraId="461D0D1E" w14:textId="77777777">
        <w:trPr>
          <w:jc w:val="center"/>
        </w:trPr>
        <w:tc>
          <w:tcPr>
            <w:tcW w:w="3216" w:type="dxa"/>
            <w:vAlign w:val="center"/>
          </w:tcPr>
          <w:p w14:paraId="574A71F4"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Months 7–9</w:t>
            </w:r>
          </w:p>
        </w:tc>
        <w:tc>
          <w:tcPr>
            <w:tcW w:w="3216" w:type="dxa"/>
            <w:vAlign w:val="center"/>
          </w:tcPr>
          <w:p w14:paraId="5E028F01"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PDSA 3: learning-to-action RCA</w:t>
            </w:r>
          </w:p>
        </w:tc>
        <w:tc>
          <w:tcPr>
            <w:tcW w:w="3216" w:type="dxa"/>
            <w:vAlign w:val="center"/>
          </w:tcPr>
          <w:p w14:paraId="233512C0"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Quality team</w:t>
            </w:r>
          </w:p>
        </w:tc>
      </w:tr>
      <w:tr w:rsidR="007E7650" w:rsidRPr="000A3C6D" w14:paraId="697F53C1" w14:textId="77777777">
        <w:trPr>
          <w:jc w:val="center"/>
        </w:trPr>
        <w:tc>
          <w:tcPr>
            <w:tcW w:w="3216" w:type="dxa"/>
            <w:vAlign w:val="center"/>
          </w:tcPr>
          <w:p w14:paraId="638D08AB"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Months 10–12</w:t>
            </w:r>
          </w:p>
        </w:tc>
        <w:tc>
          <w:tcPr>
            <w:tcW w:w="3216" w:type="dxa"/>
            <w:vAlign w:val="center"/>
          </w:tcPr>
          <w:p w14:paraId="349280FB"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PDSA 4: spread, sustainability and board review</w:t>
            </w:r>
          </w:p>
        </w:tc>
        <w:tc>
          <w:tcPr>
            <w:tcW w:w="3216" w:type="dxa"/>
            <w:vAlign w:val="center"/>
          </w:tcPr>
          <w:p w14:paraId="736AF67F" w14:textId="77777777" w:rsidR="007E7650" w:rsidRPr="000A3C6D" w:rsidRDefault="00900582" w:rsidP="005C2004">
            <w:pPr>
              <w:spacing w:after="0" w:line="240" w:lineRule="auto"/>
              <w:jc w:val="left"/>
              <w:rPr>
                <w:rFonts w:ascii="Arial" w:hAnsi="Arial" w:cs="Arial"/>
                <w:bCs/>
              </w:rPr>
            </w:pPr>
            <w:r w:rsidRPr="000A3C6D">
              <w:rPr>
                <w:rFonts w:ascii="Arial" w:hAnsi="Arial" w:cs="Arial"/>
                <w:bCs/>
                <w:sz w:val="20"/>
              </w:rPr>
              <w:t>Board/ICS</w:t>
            </w:r>
          </w:p>
        </w:tc>
      </w:tr>
    </w:tbl>
    <w:p w14:paraId="54BD096D" w14:textId="77777777" w:rsidR="007E7650" w:rsidRPr="000A3C6D" w:rsidRDefault="00900582" w:rsidP="005C2004">
      <w:pPr>
        <w:jc w:val="left"/>
        <w:rPr>
          <w:rFonts w:ascii="Arial" w:hAnsi="Arial" w:cs="Arial"/>
          <w:bCs/>
        </w:rPr>
      </w:pPr>
      <w:r w:rsidRPr="000A3C6D">
        <w:rPr>
          <w:rFonts w:ascii="Arial" w:hAnsi="Arial" w:cs="Arial"/>
          <w:bCs/>
          <w:noProof/>
        </w:rPr>
        <w:drawing>
          <wp:inline distT="0" distB="0" distL="0" distR="0" wp14:anchorId="5EF2CD43" wp14:editId="23B97229">
            <wp:extent cx="5760720" cy="1440180"/>
            <wp:effectExtent l="0" t="0" r="0" b="0"/>
            <wp:docPr id="2" name="Picture 2" descr="Quality assurance figure illustrating maternity safety evidence or implementation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dsa_12_month_timeline.png"/>
                    <pic:cNvPicPr/>
                  </pic:nvPicPr>
                  <pic:blipFill>
                    <a:blip r:embed="rId11"/>
                    <a:stretch>
                      <a:fillRect/>
                    </a:stretch>
                  </pic:blipFill>
                  <pic:spPr>
                    <a:xfrm>
                      <a:off x="0" y="0"/>
                      <a:ext cx="5760720" cy="1440180"/>
                    </a:xfrm>
                    <a:prstGeom prst="rect">
                      <a:avLst/>
                    </a:prstGeom>
                  </pic:spPr>
                </pic:pic>
              </a:graphicData>
            </a:graphic>
          </wp:inline>
        </w:drawing>
      </w:r>
    </w:p>
    <w:p w14:paraId="731F6D2A" w14:textId="77777777" w:rsidR="007E7650" w:rsidRPr="000A3C6D" w:rsidRDefault="00900582" w:rsidP="005C2004">
      <w:pPr>
        <w:spacing w:line="240" w:lineRule="auto"/>
        <w:jc w:val="left"/>
        <w:rPr>
          <w:rFonts w:ascii="Arial" w:hAnsi="Arial" w:cs="Arial"/>
          <w:bCs/>
        </w:rPr>
      </w:pPr>
      <w:r w:rsidRPr="000A3C6D">
        <w:rPr>
          <w:rFonts w:ascii="Arial" w:hAnsi="Arial" w:cs="Arial"/>
          <w:bCs/>
          <w:i/>
          <w:sz w:val="20"/>
        </w:rPr>
        <w:t>Figure 2. Integrated 12-month implementation and PDSA timeline.</w:t>
      </w:r>
    </w:p>
    <w:p w14:paraId="17ABEAE8" w14:textId="77777777" w:rsidR="007E7650" w:rsidRPr="000A3C6D" w:rsidRDefault="00900582" w:rsidP="005C2004">
      <w:pPr>
        <w:pStyle w:val="Heading1"/>
        <w:jc w:val="left"/>
        <w:rPr>
          <w:rFonts w:ascii="Arial" w:hAnsi="Arial" w:cs="Arial"/>
          <w:b w:val="0"/>
        </w:rPr>
      </w:pPr>
      <w:r w:rsidRPr="000A3C6D">
        <w:rPr>
          <w:rFonts w:ascii="Arial" w:hAnsi="Arial" w:cs="Arial"/>
          <w:b w:val="0"/>
        </w:rPr>
        <w:lastRenderedPageBreak/>
        <w:t>4.</w:t>
      </w:r>
      <w:r w:rsidRPr="000A3C6D">
        <w:rPr>
          <w:rFonts w:ascii="Arial" w:hAnsi="Arial" w:cs="Arial"/>
          <w:b w:val="0"/>
          <w:u w:val="single"/>
        </w:rPr>
        <w:t xml:space="preserve"> Conclusion</w:t>
      </w:r>
    </w:p>
    <w:p w14:paraId="6ADF08D3" w14:textId="1E35A289" w:rsidR="00FA4D24" w:rsidRPr="008B2873" w:rsidRDefault="00FA4D24" w:rsidP="00FA4D24">
      <w:pPr>
        <w:pStyle w:val="Heading1"/>
        <w:rPr>
          <w:rFonts w:ascii="Arial" w:hAnsi="Arial" w:cs="Arial"/>
          <w:b w:val="0"/>
          <w:color w:val="000000" w:themeColor="text1"/>
          <w:sz w:val="24"/>
          <w:szCs w:val="24"/>
          <w:lang w:val="en-IN"/>
        </w:rPr>
      </w:pPr>
      <w:r w:rsidRPr="008B2873">
        <w:rPr>
          <w:rFonts w:ascii="Arial" w:hAnsi="Arial" w:cs="Arial"/>
          <w:b w:val="0"/>
          <w:color w:val="000000" w:themeColor="text1"/>
          <w:sz w:val="24"/>
          <w:szCs w:val="24"/>
          <w:lang w:val="en-IN"/>
        </w:rPr>
        <w:t xml:space="preserve">The investigation into </w:t>
      </w:r>
      <w:proofErr w:type="spellStart"/>
      <w:r w:rsidRPr="008B2873">
        <w:rPr>
          <w:rFonts w:ascii="Arial" w:hAnsi="Arial" w:cs="Arial"/>
          <w:b w:val="0"/>
          <w:color w:val="000000" w:themeColor="text1"/>
          <w:sz w:val="24"/>
          <w:szCs w:val="24"/>
          <w:lang w:val="en-IN"/>
        </w:rPr>
        <w:t>SaTH's</w:t>
      </w:r>
      <w:proofErr w:type="spellEnd"/>
      <w:r w:rsidRPr="008B2873">
        <w:rPr>
          <w:rFonts w:ascii="Arial" w:hAnsi="Arial" w:cs="Arial"/>
          <w:b w:val="0"/>
          <w:color w:val="000000" w:themeColor="text1"/>
          <w:sz w:val="24"/>
          <w:szCs w:val="24"/>
          <w:lang w:val="en-IN"/>
        </w:rPr>
        <w:t xml:space="preserve"> maternity scandal shows that quality assurance systems are most sustainable when paired with </w:t>
      </w:r>
      <w:r w:rsidR="007247C3" w:rsidRPr="008B2873">
        <w:rPr>
          <w:rFonts w:ascii="Arial" w:hAnsi="Arial" w:cs="Arial"/>
          <w:b w:val="0"/>
          <w:color w:val="000000" w:themeColor="text1"/>
          <w:sz w:val="24"/>
          <w:szCs w:val="24"/>
          <w:lang w:val="en-IN"/>
        </w:rPr>
        <w:t>organisational</w:t>
      </w:r>
      <w:r w:rsidRPr="008B2873">
        <w:rPr>
          <w:rFonts w:ascii="Arial" w:hAnsi="Arial" w:cs="Arial"/>
          <w:b w:val="0"/>
          <w:color w:val="000000" w:themeColor="text1"/>
          <w:sz w:val="24"/>
          <w:szCs w:val="24"/>
          <w:lang w:val="en-IN"/>
        </w:rPr>
        <w:t xml:space="preserve"> learning. One example is the five whys. </w:t>
      </w:r>
      <w:r w:rsidR="007247C3" w:rsidRPr="008B2873">
        <w:rPr>
          <w:rFonts w:ascii="Arial" w:hAnsi="Arial" w:cs="Arial"/>
          <w:b w:val="0"/>
          <w:color w:val="000000" w:themeColor="text1"/>
          <w:sz w:val="24"/>
          <w:szCs w:val="24"/>
          <w:lang w:val="en-IN"/>
        </w:rPr>
        <w:t>In</w:t>
      </w:r>
      <w:r w:rsidRPr="008B2873">
        <w:rPr>
          <w:rFonts w:ascii="Arial" w:hAnsi="Arial" w:cs="Arial"/>
          <w:b w:val="0"/>
          <w:color w:val="000000" w:themeColor="text1"/>
          <w:sz w:val="24"/>
          <w:szCs w:val="24"/>
          <w:lang w:val="en-IN"/>
        </w:rPr>
        <w:t xml:space="preserve"> this case, the escalation that should happen is missed, the assurance that should be present is weak, and learning is incomplete. Therefore, the three models: Fishbone, Swiss Cheese, and Donabedian, demonstrate that addressing the systems is key to </w:t>
      </w:r>
      <w:r w:rsidR="007247C3" w:rsidRPr="008B2873">
        <w:rPr>
          <w:rFonts w:ascii="Arial" w:hAnsi="Arial" w:cs="Arial"/>
          <w:b w:val="0"/>
          <w:color w:val="000000" w:themeColor="text1"/>
          <w:sz w:val="24"/>
          <w:szCs w:val="24"/>
          <w:lang w:val="en-IN"/>
        </w:rPr>
        <w:t>analysing</w:t>
      </w:r>
      <w:r w:rsidRPr="008B2873">
        <w:rPr>
          <w:rFonts w:ascii="Arial" w:hAnsi="Arial" w:cs="Arial"/>
          <w:b w:val="0"/>
          <w:color w:val="000000" w:themeColor="text1"/>
          <w:sz w:val="24"/>
          <w:szCs w:val="24"/>
          <w:lang w:val="en-IN"/>
        </w:rPr>
        <w:t xml:space="preserve"> this as a problem rather than focusing on a single answer. From the case, it seems most evident that, for containing </w:t>
      </w:r>
      <w:proofErr w:type="spellStart"/>
      <w:r w:rsidRPr="008B2873">
        <w:rPr>
          <w:rFonts w:ascii="Arial" w:hAnsi="Arial" w:cs="Arial"/>
          <w:b w:val="0"/>
          <w:color w:val="000000" w:themeColor="text1"/>
          <w:sz w:val="24"/>
          <w:szCs w:val="24"/>
          <w:lang w:val="en-IN"/>
        </w:rPr>
        <w:t>SaTH</w:t>
      </w:r>
      <w:proofErr w:type="spellEnd"/>
      <w:r w:rsidRPr="008B2873">
        <w:rPr>
          <w:rFonts w:ascii="Arial" w:hAnsi="Arial" w:cs="Arial"/>
          <w:b w:val="0"/>
          <w:color w:val="000000" w:themeColor="text1"/>
          <w:sz w:val="24"/>
          <w:szCs w:val="24"/>
          <w:lang w:val="en-IN"/>
        </w:rPr>
        <w:t>-like harm, strengthening the system's capacity, clinical processes, culture, and governance is the most effective approach.</w:t>
      </w:r>
    </w:p>
    <w:p w14:paraId="09626A03" w14:textId="01230438" w:rsidR="00FA4D24" w:rsidRPr="008B2873" w:rsidRDefault="00FA4D24" w:rsidP="00FA4D24">
      <w:pPr>
        <w:pStyle w:val="Heading1"/>
        <w:rPr>
          <w:rFonts w:ascii="Arial" w:hAnsi="Arial" w:cs="Arial"/>
          <w:b w:val="0"/>
          <w:color w:val="000000" w:themeColor="text1"/>
          <w:sz w:val="24"/>
          <w:szCs w:val="24"/>
          <w:lang w:val="en-IN"/>
        </w:rPr>
      </w:pPr>
      <w:r w:rsidRPr="008B2873">
        <w:rPr>
          <w:rFonts w:ascii="Arial" w:hAnsi="Arial" w:cs="Arial"/>
          <w:b w:val="0"/>
          <w:color w:val="000000" w:themeColor="text1"/>
          <w:sz w:val="24"/>
          <w:szCs w:val="24"/>
          <w:lang w:val="en-IN"/>
        </w:rPr>
        <w:t>The impact of implementation is also evident. Safety culture and psychological safety, along with RCA, have been cited in reviews as areas where improvement can be difficult (</w:t>
      </w:r>
      <w:proofErr w:type="spellStart"/>
      <w:r w:rsidRPr="008B2873">
        <w:rPr>
          <w:rFonts w:ascii="Arial" w:hAnsi="Arial" w:cs="Arial"/>
          <w:b w:val="0"/>
          <w:color w:val="000000" w:themeColor="text1"/>
          <w:sz w:val="24"/>
          <w:szCs w:val="24"/>
          <w:lang w:val="en-IN"/>
        </w:rPr>
        <w:t>Churruca</w:t>
      </w:r>
      <w:proofErr w:type="spellEnd"/>
      <w:r w:rsidRPr="008B2873">
        <w:rPr>
          <w:rFonts w:ascii="Arial" w:hAnsi="Arial" w:cs="Arial"/>
          <w:b w:val="0"/>
          <w:color w:val="000000" w:themeColor="text1"/>
          <w:sz w:val="24"/>
          <w:szCs w:val="24"/>
          <w:lang w:val="en-IN"/>
        </w:rPr>
        <w:t xml:space="preserve"> et al., 2021; Finn et al., 2024; Montgomery et al., 2025; Martin-Delgado et al., 2020). This report also reflects that it is not guaranteed that dashboards, training, or </w:t>
      </w:r>
      <w:r w:rsidR="007247C3" w:rsidRPr="008B2873">
        <w:rPr>
          <w:rFonts w:ascii="Arial" w:hAnsi="Arial" w:cs="Arial"/>
          <w:b w:val="0"/>
          <w:color w:val="000000" w:themeColor="text1"/>
          <w:sz w:val="24"/>
          <w:szCs w:val="24"/>
          <w:lang w:val="en-IN"/>
        </w:rPr>
        <w:t>speak-up</w:t>
      </w:r>
      <w:r w:rsidRPr="008B2873">
        <w:rPr>
          <w:rFonts w:ascii="Arial" w:hAnsi="Arial" w:cs="Arial"/>
          <w:b w:val="0"/>
          <w:color w:val="000000" w:themeColor="text1"/>
          <w:sz w:val="24"/>
          <w:szCs w:val="24"/>
          <w:lang w:val="en-IN"/>
        </w:rPr>
        <w:t xml:space="preserve"> policies will automatically benefit safety. </w:t>
      </w:r>
      <w:r w:rsidR="007247C3" w:rsidRPr="008B2873">
        <w:rPr>
          <w:rFonts w:ascii="Arial" w:hAnsi="Arial" w:cs="Arial"/>
          <w:b w:val="0"/>
          <w:color w:val="000000" w:themeColor="text1"/>
          <w:sz w:val="24"/>
          <w:szCs w:val="24"/>
          <w:lang w:val="en-IN"/>
        </w:rPr>
        <w:t>Measurable indicators, barriers, mitigation strategies, and governance accompany each of these interventions</w:t>
      </w:r>
      <w:r w:rsidRPr="008B2873">
        <w:rPr>
          <w:rFonts w:ascii="Arial" w:hAnsi="Arial" w:cs="Arial"/>
          <w:b w:val="0"/>
          <w:color w:val="000000" w:themeColor="text1"/>
          <w:sz w:val="24"/>
          <w:szCs w:val="24"/>
          <w:lang w:val="en-IN"/>
        </w:rPr>
        <w:t xml:space="preserve">. The best assessment is that </w:t>
      </w:r>
      <w:r w:rsidR="007247C3" w:rsidRPr="008B2873">
        <w:rPr>
          <w:rFonts w:ascii="Arial" w:hAnsi="Arial" w:cs="Arial"/>
          <w:b w:val="0"/>
          <w:color w:val="000000" w:themeColor="text1"/>
          <w:sz w:val="24"/>
          <w:szCs w:val="24"/>
          <w:lang w:val="en-IN"/>
        </w:rPr>
        <w:t>a system's failure to improve stems from the disconnect between</w:t>
      </w:r>
      <w:r w:rsidRPr="008B2873">
        <w:rPr>
          <w:rFonts w:ascii="Arial" w:hAnsi="Arial" w:cs="Arial"/>
          <w:b w:val="0"/>
          <w:color w:val="000000" w:themeColor="text1"/>
          <w:sz w:val="24"/>
          <w:szCs w:val="24"/>
          <w:lang w:val="en-IN"/>
        </w:rPr>
        <w:t xml:space="preserve"> learning and systematic execution.</w:t>
      </w:r>
    </w:p>
    <w:p w14:paraId="4D5CFF71" w14:textId="5018CE13" w:rsidR="000A3C6D" w:rsidRPr="008B2873" w:rsidRDefault="000A3C6D" w:rsidP="000A3C6D">
      <w:pPr>
        <w:pStyle w:val="Heading1"/>
        <w:rPr>
          <w:rFonts w:ascii="Arial" w:hAnsi="Arial" w:cs="Arial"/>
          <w:b w:val="0"/>
          <w:color w:val="000000" w:themeColor="text1"/>
          <w:sz w:val="24"/>
          <w:szCs w:val="24"/>
          <w:lang w:val="en-IN"/>
        </w:rPr>
      </w:pPr>
      <w:r w:rsidRPr="008B2873">
        <w:rPr>
          <w:rFonts w:ascii="Arial" w:hAnsi="Arial" w:cs="Arial"/>
          <w:b w:val="0"/>
          <w:color w:val="000000" w:themeColor="text1"/>
          <w:sz w:val="24"/>
          <w:szCs w:val="24"/>
          <w:lang w:val="en-IN"/>
        </w:rPr>
        <w:t xml:space="preserve">Based on the evidence, the primary concern is not the development of another policy or training program in isolation. It is the development of a learning and assurance system that can monitor and identify weak signals, challenge decisions, and assess if the change has influenced a shift in practice. The strongest test of quality is change that is reliable and measurable, even under pressure, and is justified by critical thinking and evidence. This would take quality assurance from compliance to a more meaningful, ongoing learning system in the </w:t>
      </w:r>
      <w:r w:rsidR="008A37FC" w:rsidRPr="008B2873">
        <w:rPr>
          <w:rFonts w:ascii="Arial" w:hAnsi="Arial" w:cs="Arial"/>
          <w:b w:val="0"/>
          <w:color w:val="000000" w:themeColor="text1"/>
          <w:sz w:val="24"/>
          <w:szCs w:val="24"/>
          <w:lang w:val="en-IN"/>
        </w:rPr>
        <w:t>organisation</w:t>
      </w:r>
      <w:r w:rsidRPr="008B2873">
        <w:rPr>
          <w:rFonts w:ascii="Arial" w:hAnsi="Arial" w:cs="Arial"/>
          <w:b w:val="0"/>
          <w:color w:val="000000" w:themeColor="text1"/>
          <w:sz w:val="24"/>
          <w:szCs w:val="24"/>
          <w:lang w:val="en-IN"/>
        </w:rPr>
        <w:t>.</w:t>
      </w:r>
    </w:p>
    <w:p w14:paraId="2CB09D02" w14:textId="77777777" w:rsidR="00830A1E" w:rsidRPr="000A3C6D" w:rsidRDefault="00830A1E" w:rsidP="005C2004">
      <w:pPr>
        <w:pStyle w:val="Heading1"/>
        <w:jc w:val="left"/>
        <w:rPr>
          <w:rFonts w:ascii="Arial" w:hAnsi="Arial" w:cs="Arial"/>
          <w:b w:val="0"/>
          <w:lang w:val="en-IN"/>
        </w:rPr>
      </w:pPr>
    </w:p>
    <w:p w14:paraId="1A746FB9" w14:textId="44F2ABAB" w:rsidR="007E7650" w:rsidRPr="000A3C6D" w:rsidRDefault="00900582" w:rsidP="005C2004">
      <w:pPr>
        <w:pStyle w:val="Heading1"/>
        <w:jc w:val="left"/>
        <w:rPr>
          <w:rFonts w:ascii="Arial" w:hAnsi="Arial" w:cs="Arial"/>
          <w:b w:val="0"/>
          <w:u w:val="single"/>
        </w:rPr>
      </w:pPr>
      <w:r w:rsidRPr="000A3C6D">
        <w:rPr>
          <w:rFonts w:ascii="Arial" w:hAnsi="Arial" w:cs="Arial"/>
          <w:b w:val="0"/>
          <w:u w:val="single"/>
        </w:rPr>
        <w:t>References</w:t>
      </w:r>
    </w:p>
    <w:p w14:paraId="7FEEC7B2"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Card, A.J. (2017) ‘The problem with “5 whys”’, BMJ Quality &amp; Safety, 26(8), pp. 671–677.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12">
        <w:r w:rsidRPr="000A3C6D">
          <w:rPr>
            <w:rFonts w:ascii="Arial" w:hAnsi="Arial" w:cs="Arial"/>
            <w:bCs/>
            <w:color w:val="0563C1"/>
            <w:u w:val="single"/>
          </w:rPr>
          <w:t>https://doi.org/10.1136/bmjqs-2016-005849</w:t>
        </w:r>
      </w:hyperlink>
    </w:p>
    <w:p w14:paraId="06700069"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lastRenderedPageBreak/>
        <w:t xml:space="preserve">Care Quality Commission (2024) National review of maternity services in England 2022 to 2024. Newcastle upon Tyne: CQC. Available at: </w:t>
      </w:r>
      <w:hyperlink r:id="rId13">
        <w:r w:rsidRPr="000A3C6D">
          <w:rPr>
            <w:rFonts w:ascii="Arial" w:hAnsi="Arial" w:cs="Arial"/>
            <w:bCs/>
            <w:color w:val="0563C1"/>
            <w:u w:val="single"/>
          </w:rPr>
          <w:t>https://www.cqc.org.uk/publications/maternity-services-2022-2024</w:t>
        </w:r>
      </w:hyperlink>
      <w:r w:rsidRPr="000A3C6D">
        <w:rPr>
          <w:rFonts w:ascii="Arial" w:hAnsi="Arial" w:cs="Arial"/>
          <w:bCs/>
          <w:sz w:val="21"/>
        </w:rPr>
        <w:t xml:space="preserve"> (Accessed: 12 August 2026).</w:t>
      </w:r>
    </w:p>
    <w:p w14:paraId="11CC82A8" w14:textId="77777777" w:rsidR="007E7650" w:rsidRPr="000A3C6D" w:rsidRDefault="00900582" w:rsidP="00670B41">
      <w:pPr>
        <w:pStyle w:val="ListParagraph"/>
        <w:numPr>
          <w:ilvl w:val="0"/>
          <w:numId w:val="12"/>
        </w:numPr>
        <w:jc w:val="left"/>
        <w:rPr>
          <w:rFonts w:ascii="Arial" w:hAnsi="Arial" w:cs="Arial"/>
          <w:bCs/>
        </w:rPr>
      </w:pPr>
      <w:proofErr w:type="spellStart"/>
      <w:r w:rsidRPr="000A3C6D">
        <w:rPr>
          <w:rFonts w:ascii="Arial" w:hAnsi="Arial" w:cs="Arial"/>
          <w:bCs/>
          <w:sz w:val="21"/>
        </w:rPr>
        <w:t>Churruca</w:t>
      </w:r>
      <w:proofErr w:type="spellEnd"/>
      <w:r w:rsidRPr="000A3C6D">
        <w:rPr>
          <w:rFonts w:ascii="Arial" w:hAnsi="Arial" w:cs="Arial"/>
          <w:bCs/>
          <w:sz w:val="21"/>
        </w:rPr>
        <w:t xml:space="preserve">, K., Ellis, L.A., Pomare, C., Hogden, A., Bierbaum, M., Long, J.C., </w:t>
      </w:r>
      <w:proofErr w:type="spellStart"/>
      <w:r w:rsidRPr="000A3C6D">
        <w:rPr>
          <w:rFonts w:ascii="Arial" w:hAnsi="Arial" w:cs="Arial"/>
          <w:bCs/>
          <w:sz w:val="21"/>
        </w:rPr>
        <w:t>Olekalns</w:t>
      </w:r>
      <w:proofErr w:type="spellEnd"/>
      <w:r w:rsidRPr="000A3C6D">
        <w:rPr>
          <w:rFonts w:ascii="Arial" w:hAnsi="Arial" w:cs="Arial"/>
          <w:bCs/>
          <w:sz w:val="21"/>
        </w:rPr>
        <w:t xml:space="preserve">, A. and Braithwaite, J. (2021) ‘Dimensions of safety culture: a systematic review of quantitative, qualitative and mixed methods for assessing safety culture in hospitals’, BMJ Open, 11(7), e043982.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14">
        <w:r w:rsidRPr="000A3C6D">
          <w:rPr>
            <w:rFonts w:ascii="Arial" w:hAnsi="Arial" w:cs="Arial"/>
            <w:bCs/>
            <w:color w:val="0563C1"/>
            <w:u w:val="single"/>
          </w:rPr>
          <w:t>https://doi.org/10.1136/bmjopen-2020-043982</w:t>
        </w:r>
      </w:hyperlink>
    </w:p>
    <w:p w14:paraId="6DBD1795"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Donabedian, A. (1988) ‘The quality of care: How can it be assessed?’, Journal of the American Medical Association, 260(12), pp. 1743–1748.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15">
        <w:r w:rsidRPr="000A3C6D">
          <w:rPr>
            <w:rFonts w:ascii="Arial" w:hAnsi="Arial" w:cs="Arial"/>
            <w:bCs/>
            <w:color w:val="0563C1"/>
            <w:u w:val="single"/>
          </w:rPr>
          <w:t>https://doi.org/10.1001/jama.260.12.1743</w:t>
        </w:r>
      </w:hyperlink>
    </w:p>
    <w:p w14:paraId="0A3EA3F2"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Driesen, B.E.J.M., Baartmans, M., Merten, H., Otten, R., Walker, C., Nanayakkara, P.W.B. and Wagner, C. (2022) ‘Root cause analysis using the Prevention and Recovery Information System for Monitoring and Analysis method in healthcare facilities: a systematic literature review’, Journal of Patient Safety, 18(4), pp. 342–350.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16">
        <w:r w:rsidRPr="000A3C6D">
          <w:rPr>
            <w:rFonts w:ascii="Arial" w:hAnsi="Arial" w:cs="Arial"/>
            <w:bCs/>
            <w:color w:val="0563C1"/>
            <w:u w:val="single"/>
          </w:rPr>
          <w:t>https://doi.org/10.1097/PTS.0000000000000925</w:t>
        </w:r>
      </w:hyperlink>
    </w:p>
    <w:p w14:paraId="20243549"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Finn, M., Walsh, A., Rafter, N., Mellon, L., Chong, H.Y., Naji, A., O’Brien, N., Williams, D.J. and McCarthy, S.E. (2024) ‘Effect of interventions to improve safety culture on healthcare workers in hospital settings: a systematic review of the international literature’, BMJ Open Quality, 13(2), e002506.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17">
        <w:r w:rsidRPr="000A3C6D">
          <w:rPr>
            <w:rFonts w:ascii="Arial" w:hAnsi="Arial" w:cs="Arial"/>
            <w:bCs/>
            <w:color w:val="0563C1"/>
            <w:u w:val="single"/>
          </w:rPr>
          <w:t>https://doi.org/10.1136/bmjoq-2023-002506</w:t>
        </w:r>
      </w:hyperlink>
    </w:p>
    <w:p w14:paraId="281CF81B" w14:textId="77777777" w:rsidR="007E7650" w:rsidRPr="000A3C6D" w:rsidRDefault="00900582" w:rsidP="00670B41">
      <w:pPr>
        <w:pStyle w:val="ListParagraph"/>
        <w:numPr>
          <w:ilvl w:val="0"/>
          <w:numId w:val="12"/>
        </w:numPr>
        <w:spacing w:after="80" w:line="240" w:lineRule="auto"/>
        <w:jc w:val="left"/>
        <w:rPr>
          <w:rFonts w:ascii="Arial" w:hAnsi="Arial" w:cs="Arial"/>
          <w:bCs/>
        </w:rPr>
      </w:pPr>
      <w:r w:rsidRPr="000A3C6D">
        <w:rPr>
          <w:rFonts w:ascii="Arial" w:hAnsi="Arial" w:cs="Arial"/>
          <w:bCs/>
          <w:sz w:val="21"/>
        </w:rPr>
        <w:t>Francis, R. (2013) Report of the Mid Staffordshire NHS Foundation Trust Public Inquiry. London: The Stationery Office.</w:t>
      </w:r>
    </w:p>
    <w:p w14:paraId="7A66DB54" w14:textId="77777777" w:rsidR="007E7650" w:rsidRPr="000A3C6D" w:rsidRDefault="00900582" w:rsidP="00670B41">
      <w:pPr>
        <w:pStyle w:val="ListParagraph"/>
        <w:numPr>
          <w:ilvl w:val="0"/>
          <w:numId w:val="12"/>
        </w:numPr>
        <w:spacing w:after="80" w:line="240" w:lineRule="auto"/>
        <w:jc w:val="left"/>
        <w:rPr>
          <w:rFonts w:ascii="Arial" w:hAnsi="Arial" w:cs="Arial"/>
          <w:bCs/>
        </w:rPr>
      </w:pPr>
      <w:r w:rsidRPr="000A3C6D">
        <w:rPr>
          <w:rFonts w:ascii="Arial" w:hAnsi="Arial" w:cs="Arial"/>
          <w:bCs/>
          <w:sz w:val="21"/>
        </w:rPr>
        <w:t>Health and Care Act 2022, c.31. London: The Stationery Office.</w:t>
      </w:r>
    </w:p>
    <w:p w14:paraId="56F91635"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Helms, M.M. and Nixon, J. (2010) ‘Exploring SWOT analysis – where are we now?’, Journal of Strategy and Management, 3(3), pp. 215–251.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18">
        <w:r w:rsidRPr="000A3C6D">
          <w:rPr>
            <w:rFonts w:ascii="Arial" w:hAnsi="Arial" w:cs="Arial"/>
            <w:bCs/>
            <w:color w:val="0563C1"/>
            <w:u w:val="single"/>
          </w:rPr>
          <w:t>https://doi.org/10.1108/17554251011064837</w:t>
        </w:r>
      </w:hyperlink>
    </w:p>
    <w:p w14:paraId="2CD5D04A" w14:textId="77777777" w:rsidR="007E7650" w:rsidRPr="000A3C6D" w:rsidRDefault="00900582" w:rsidP="00670B41">
      <w:pPr>
        <w:pStyle w:val="ListParagraph"/>
        <w:numPr>
          <w:ilvl w:val="0"/>
          <w:numId w:val="12"/>
        </w:numPr>
        <w:spacing w:after="80" w:line="240" w:lineRule="auto"/>
        <w:jc w:val="left"/>
        <w:rPr>
          <w:rFonts w:ascii="Arial" w:hAnsi="Arial" w:cs="Arial"/>
          <w:bCs/>
        </w:rPr>
      </w:pPr>
      <w:r w:rsidRPr="000A3C6D">
        <w:rPr>
          <w:rFonts w:ascii="Arial" w:hAnsi="Arial" w:cs="Arial"/>
          <w:bCs/>
          <w:sz w:val="21"/>
        </w:rPr>
        <w:t>Ishikawa, K. (1990) Introduction to Quality Control. Tokyo: 3A Corporation.</w:t>
      </w:r>
    </w:p>
    <w:p w14:paraId="21A462FA"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Kane, J., Munn, L., Kane, S.F. and </w:t>
      </w:r>
      <w:proofErr w:type="spellStart"/>
      <w:r w:rsidRPr="000A3C6D">
        <w:rPr>
          <w:rFonts w:ascii="Arial" w:hAnsi="Arial" w:cs="Arial"/>
          <w:bCs/>
          <w:sz w:val="21"/>
        </w:rPr>
        <w:t>Srulovici</w:t>
      </w:r>
      <w:proofErr w:type="spellEnd"/>
      <w:r w:rsidRPr="000A3C6D">
        <w:rPr>
          <w:rFonts w:ascii="Arial" w:hAnsi="Arial" w:cs="Arial"/>
          <w:bCs/>
          <w:sz w:val="21"/>
        </w:rPr>
        <w:t xml:space="preserve">, E. (2023) ‘Defining speaking up in the healthcare system: a systematic review’, Journal of General Internal Medicine, 38(15), pp. 3406–3413.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19">
        <w:r w:rsidRPr="000A3C6D">
          <w:rPr>
            <w:rFonts w:ascii="Arial" w:hAnsi="Arial" w:cs="Arial"/>
            <w:bCs/>
            <w:color w:val="0563C1"/>
            <w:u w:val="single"/>
          </w:rPr>
          <w:t>https://doi.org/10.1007/s11606-023-08322-0</w:t>
        </w:r>
      </w:hyperlink>
    </w:p>
    <w:p w14:paraId="3A75DE39" w14:textId="77777777" w:rsidR="007E7650" w:rsidRPr="000A3C6D" w:rsidRDefault="00900582" w:rsidP="00670B41">
      <w:pPr>
        <w:pStyle w:val="ListParagraph"/>
        <w:numPr>
          <w:ilvl w:val="0"/>
          <w:numId w:val="12"/>
        </w:numPr>
        <w:spacing w:after="80" w:line="240" w:lineRule="auto"/>
        <w:jc w:val="left"/>
        <w:rPr>
          <w:rFonts w:ascii="Arial" w:hAnsi="Arial" w:cs="Arial"/>
          <w:bCs/>
        </w:rPr>
      </w:pPr>
      <w:r w:rsidRPr="000A3C6D">
        <w:rPr>
          <w:rFonts w:ascii="Arial" w:hAnsi="Arial" w:cs="Arial"/>
          <w:bCs/>
          <w:sz w:val="21"/>
        </w:rPr>
        <w:t>Kirkup, B. (2015) The Report of the Morecambe Bay Investigation. London: The Stationery Office.</w:t>
      </w:r>
    </w:p>
    <w:p w14:paraId="56DAFC89" w14:textId="77777777" w:rsidR="007E7650" w:rsidRPr="000A3C6D" w:rsidRDefault="00900582" w:rsidP="00670B41">
      <w:pPr>
        <w:pStyle w:val="ListParagraph"/>
        <w:numPr>
          <w:ilvl w:val="0"/>
          <w:numId w:val="12"/>
        </w:numPr>
        <w:spacing w:after="80" w:line="240" w:lineRule="auto"/>
        <w:jc w:val="left"/>
        <w:rPr>
          <w:rFonts w:ascii="Arial" w:hAnsi="Arial" w:cs="Arial"/>
          <w:bCs/>
        </w:rPr>
      </w:pPr>
      <w:r w:rsidRPr="000A3C6D">
        <w:rPr>
          <w:rFonts w:ascii="Arial" w:hAnsi="Arial" w:cs="Arial"/>
          <w:bCs/>
          <w:sz w:val="21"/>
        </w:rPr>
        <w:t>Kirkup, B. (2022) Maternity and neonatal services in East Kent: ‘Reading the signals’. London: Department of Health and Social Care.</w:t>
      </w:r>
    </w:p>
    <w:p w14:paraId="2A16E6B8" w14:textId="054155E3"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Knudsen, S.V. et al. (2019) ‘Can quality improvement improve the quality of care? A systematic review of reported effects and methodological </w:t>
      </w:r>
      <w:proofErr w:type="spellStart"/>
      <w:r w:rsidR="008A37FC">
        <w:rPr>
          <w:rFonts w:ascii="Arial" w:hAnsi="Arial" w:cs="Arial"/>
          <w:bCs/>
          <w:sz w:val="21"/>
        </w:rPr>
        <w:t>rigour</w:t>
      </w:r>
      <w:proofErr w:type="spellEnd"/>
      <w:r w:rsidRPr="000A3C6D">
        <w:rPr>
          <w:rFonts w:ascii="Arial" w:hAnsi="Arial" w:cs="Arial"/>
          <w:bCs/>
          <w:sz w:val="21"/>
        </w:rPr>
        <w:t xml:space="preserve"> in plan-do-study-act projects’, BMC Health Services Research, 19, 683.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20">
        <w:r w:rsidRPr="000A3C6D">
          <w:rPr>
            <w:rFonts w:ascii="Arial" w:hAnsi="Arial" w:cs="Arial"/>
            <w:bCs/>
            <w:color w:val="0563C1"/>
            <w:u w:val="single"/>
          </w:rPr>
          <w:t>https://doi.org/10.1186/s12913-019-4482-6</w:t>
        </w:r>
      </w:hyperlink>
    </w:p>
    <w:p w14:paraId="4B9DD73E"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lastRenderedPageBreak/>
        <w:t xml:space="preserve">Martin-Delgado, J. et al. (2020) ‘How much of root cause analysis translates into improved patient safety: A systematic review’, Journal of Patient Safety, 29(6), pp. 524–531.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21">
        <w:r w:rsidRPr="000A3C6D">
          <w:rPr>
            <w:rFonts w:ascii="Arial" w:hAnsi="Arial" w:cs="Arial"/>
            <w:bCs/>
            <w:color w:val="0563C1"/>
            <w:u w:val="single"/>
          </w:rPr>
          <w:t>https://doi.org/10.1159/000508677</w:t>
        </w:r>
      </w:hyperlink>
    </w:p>
    <w:p w14:paraId="01573A6C" w14:textId="77777777" w:rsidR="007E7650" w:rsidRPr="000A3C6D" w:rsidRDefault="00900582" w:rsidP="00670B41">
      <w:pPr>
        <w:pStyle w:val="ListParagraph"/>
        <w:numPr>
          <w:ilvl w:val="0"/>
          <w:numId w:val="12"/>
        </w:numPr>
        <w:spacing w:after="80" w:line="240" w:lineRule="auto"/>
        <w:jc w:val="left"/>
        <w:rPr>
          <w:rFonts w:ascii="Arial" w:hAnsi="Arial" w:cs="Arial"/>
          <w:bCs/>
          <w:sz w:val="21"/>
        </w:rPr>
      </w:pPr>
      <w:r w:rsidRPr="000A3C6D">
        <w:rPr>
          <w:rFonts w:ascii="Arial" w:hAnsi="Arial" w:cs="Arial"/>
          <w:bCs/>
          <w:sz w:val="21"/>
        </w:rPr>
        <w:t>MBRRACE-UK (2024) Saving Lives, Improving Mothers’ Care: State of the Nation Report 2024. Oxford: National Perinatal Epidemiology Unit, University of Oxford.</w:t>
      </w:r>
    </w:p>
    <w:p w14:paraId="40450804" w14:textId="77777777" w:rsidR="00206666" w:rsidRPr="000A3C6D" w:rsidRDefault="00206666" w:rsidP="00206666">
      <w:pPr>
        <w:spacing w:after="80" w:line="240" w:lineRule="auto"/>
        <w:jc w:val="left"/>
        <w:rPr>
          <w:rFonts w:ascii="Arial" w:hAnsi="Arial" w:cs="Arial"/>
          <w:bCs/>
        </w:rPr>
      </w:pPr>
    </w:p>
    <w:p w14:paraId="7658A91C"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Montgomery, A., </w:t>
      </w:r>
      <w:proofErr w:type="spellStart"/>
      <w:r w:rsidRPr="000A3C6D">
        <w:rPr>
          <w:rFonts w:ascii="Arial" w:hAnsi="Arial" w:cs="Arial"/>
          <w:bCs/>
          <w:sz w:val="21"/>
        </w:rPr>
        <w:t>Chalili</w:t>
      </w:r>
      <w:proofErr w:type="spellEnd"/>
      <w:r w:rsidRPr="000A3C6D">
        <w:rPr>
          <w:rFonts w:ascii="Arial" w:hAnsi="Arial" w:cs="Arial"/>
          <w:bCs/>
          <w:sz w:val="21"/>
        </w:rPr>
        <w:t xml:space="preserve">, V., Lainidi, O., Mouratidis, C., </w:t>
      </w:r>
      <w:proofErr w:type="spellStart"/>
      <w:r w:rsidRPr="000A3C6D">
        <w:rPr>
          <w:rFonts w:ascii="Arial" w:hAnsi="Arial" w:cs="Arial"/>
          <w:bCs/>
          <w:sz w:val="21"/>
        </w:rPr>
        <w:t>Maliousis</w:t>
      </w:r>
      <w:proofErr w:type="spellEnd"/>
      <w:r w:rsidRPr="000A3C6D">
        <w:rPr>
          <w:rFonts w:ascii="Arial" w:hAnsi="Arial" w:cs="Arial"/>
          <w:bCs/>
          <w:sz w:val="21"/>
        </w:rPr>
        <w:t xml:space="preserve">, I., </w:t>
      </w:r>
      <w:proofErr w:type="spellStart"/>
      <w:r w:rsidRPr="000A3C6D">
        <w:rPr>
          <w:rFonts w:ascii="Arial" w:hAnsi="Arial" w:cs="Arial"/>
          <w:bCs/>
          <w:sz w:val="21"/>
        </w:rPr>
        <w:t>Paitaridou</w:t>
      </w:r>
      <w:proofErr w:type="spellEnd"/>
      <w:r w:rsidRPr="000A3C6D">
        <w:rPr>
          <w:rFonts w:ascii="Arial" w:hAnsi="Arial" w:cs="Arial"/>
          <w:bCs/>
          <w:sz w:val="21"/>
        </w:rPr>
        <w:t xml:space="preserve">, K. and Leary, A. (2025) ‘Psychological safety and patient safety: a systematic and narrative review’, PLOS ONE, 20(4), e0322215.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22">
        <w:r w:rsidRPr="000A3C6D">
          <w:rPr>
            <w:rFonts w:ascii="Arial" w:hAnsi="Arial" w:cs="Arial"/>
            <w:bCs/>
            <w:color w:val="0563C1"/>
            <w:u w:val="single"/>
          </w:rPr>
          <w:t>https://doi.org/10.1371/journal.pone.0322215</w:t>
        </w:r>
      </w:hyperlink>
    </w:p>
    <w:p w14:paraId="425C7E89"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Morello, R.T. et al. (2013) ‘Strategies for improving patient safety culture in hospitals: A systematic review’, BMJ Quality &amp; Safety, 22(1), pp. 11–18.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23">
        <w:r w:rsidRPr="000A3C6D">
          <w:rPr>
            <w:rFonts w:ascii="Arial" w:hAnsi="Arial" w:cs="Arial"/>
            <w:bCs/>
            <w:color w:val="0563C1"/>
            <w:u w:val="single"/>
          </w:rPr>
          <w:t>https://doi.org/10.1136/bmjqs-2011-000582</w:t>
        </w:r>
      </w:hyperlink>
    </w:p>
    <w:p w14:paraId="716F2A74"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National Institute for Health and Care Excellence (2022) Fetal monitoring in </w:t>
      </w:r>
      <w:proofErr w:type="spellStart"/>
      <w:r w:rsidRPr="000A3C6D">
        <w:rPr>
          <w:rFonts w:ascii="Arial" w:hAnsi="Arial" w:cs="Arial"/>
          <w:bCs/>
          <w:sz w:val="21"/>
        </w:rPr>
        <w:t>labour</w:t>
      </w:r>
      <w:proofErr w:type="spellEnd"/>
      <w:r w:rsidRPr="000A3C6D">
        <w:rPr>
          <w:rFonts w:ascii="Arial" w:hAnsi="Arial" w:cs="Arial"/>
          <w:bCs/>
          <w:sz w:val="21"/>
        </w:rPr>
        <w:t xml:space="preserve"> (NG229). London: NICE. Available at: </w:t>
      </w:r>
      <w:hyperlink r:id="rId24">
        <w:r w:rsidRPr="000A3C6D">
          <w:rPr>
            <w:rFonts w:ascii="Arial" w:hAnsi="Arial" w:cs="Arial"/>
            <w:bCs/>
            <w:color w:val="0563C1"/>
            <w:u w:val="single"/>
          </w:rPr>
          <w:t>https://www.nice.org.uk/guidance/ng229</w:t>
        </w:r>
      </w:hyperlink>
      <w:r w:rsidRPr="000A3C6D">
        <w:rPr>
          <w:rFonts w:ascii="Arial" w:hAnsi="Arial" w:cs="Arial"/>
          <w:bCs/>
          <w:sz w:val="21"/>
        </w:rPr>
        <w:t xml:space="preserve"> (Accessed: 12 August 2026).</w:t>
      </w:r>
    </w:p>
    <w:p w14:paraId="50BC986E"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NHS England (2026a) Patient safety incident response standards, version 1.3. London: NHS England. Available at: </w:t>
      </w:r>
      <w:hyperlink r:id="rId25">
        <w:r w:rsidRPr="000A3C6D">
          <w:rPr>
            <w:rFonts w:ascii="Arial" w:hAnsi="Arial" w:cs="Arial"/>
            <w:bCs/>
            <w:color w:val="0563C1"/>
            <w:u w:val="single"/>
          </w:rPr>
          <w:t>https://www.england.nhs.uk/long-read/patient-safety-incident-response-standards/</w:t>
        </w:r>
      </w:hyperlink>
      <w:r w:rsidRPr="000A3C6D">
        <w:rPr>
          <w:rFonts w:ascii="Arial" w:hAnsi="Arial" w:cs="Arial"/>
          <w:bCs/>
          <w:sz w:val="21"/>
        </w:rPr>
        <w:t xml:space="preserve"> (Accessed: 12 August 2026).</w:t>
      </w:r>
    </w:p>
    <w:p w14:paraId="6E308A33"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NHS Resolution (2025) Annual report and accounts 2024/25. London: NHS Resolution. Available at: </w:t>
      </w:r>
      <w:hyperlink r:id="rId26">
        <w:r w:rsidRPr="000A3C6D">
          <w:rPr>
            <w:rFonts w:ascii="Arial" w:hAnsi="Arial" w:cs="Arial"/>
            <w:bCs/>
            <w:color w:val="0563C1"/>
            <w:u w:val="single"/>
          </w:rPr>
          <w:t>https://resolution.nhs.uk/annual-report-and-accounts/</w:t>
        </w:r>
      </w:hyperlink>
      <w:r w:rsidRPr="000A3C6D">
        <w:rPr>
          <w:rFonts w:ascii="Arial" w:hAnsi="Arial" w:cs="Arial"/>
          <w:bCs/>
          <w:sz w:val="21"/>
        </w:rPr>
        <w:t xml:space="preserve"> (Accessed: 12 August 2026).</w:t>
      </w:r>
    </w:p>
    <w:p w14:paraId="5732C95A" w14:textId="77777777" w:rsidR="007E7650" w:rsidRPr="000A3C6D" w:rsidRDefault="00900582" w:rsidP="00670B41">
      <w:pPr>
        <w:pStyle w:val="ListParagraph"/>
        <w:numPr>
          <w:ilvl w:val="0"/>
          <w:numId w:val="12"/>
        </w:numPr>
        <w:spacing w:after="80" w:line="240" w:lineRule="auto"/>
        <w:jc w:val="left"/>
        <w:rPr>
          <w:rFonts w:ascii="Arial" w:hAnsi="Arial" w:cs="Arial"/>
          <w:bCs/>
        </w:rPr>
      </w:pPr>
      <w:r w:rsidRPr="000A3C6D">
        <w:rPr>
          <w:rFonts w:ascii="Arial" w:hAnsi="Arial" w:cs="Arial"/>
          <w:bCs/>
          <w:sz w:val="21"/>
        </w:rPr>
        <w:t xml:space="preserve">Ockenden, D. (2022) Final report of the </w:t>
      </w:r>
      <w:proofErr w:type="spellStart"/>
      <w:r w:rsidRPr="000A3C6D">
        <w:rPr>
          <w:rFonts w:ascii="Arial" w:hAnsi="Arial" w:cs="Arial"/>
          <w:bCs/>
          <w:sz w:val="21"/>
        </w:rPr>
        <w:t>Ockenden</w:t>
      </w:r>
      <w:proofErr w:type="spellEnd"/>
      <w:r w:rsidRPr="000A3C6D">
        <w:rPr>
          <w:rFonts w:ascii="Arial" w:hAnsi="Arial" w:cs="Arial"/>
          <w:bCs/>
          <w:sz w:val="21"/>
        </w:rPr>
        <w:t xml:space="preserve"> review: Findings, conclusions and essential actions from the independent review of maternity services at the Shrewsbury and Telford Hospital NHS Trust. London: Department of Health and Social Care.</w:t>
      </w:r>
    </w:p>
    <w:p w14:paraId="5263613A"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O’Donovan, R. and McAuliffe, E. (2020) ‘A systematic review of factors that enable psychological safety in healthcare teams’, International Journal for Quality in Health Care, 32(4), pp. 240–250.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27">
        <w:r w:rsidRPr="000A3C6D">
          <w:rPr>
            <w:rFonts w:ascii="Arial" w:hAnsi="Arial" w:cs="Arial"/>
            <w:bCs/>
            <w:color w:val="0563C1"/>
            <w:u w:val="single"/>
          </w:rPr>
          <w:t>https://doi.org/10.1093/intqhc/mzaa025</w:t>
        </w:r>
      </w:hyperlink>
    </w:p>
    <w:p w14:paraId="4995DE9D" w14:textId="77777777" w:rsidR="007E7650" w:rsidRPr="000A3C6D" w:rsidRDefault="00900582" w:rsidP="00670B41">
      <w:pPr>
        <w:pStyle w:val="ListParagraph"/>
        <w:numPr>
          <w:ilvl w:val="0"/>
          <w:numId w:val="12"/>
        </w:numPr>
        <w:jc w:val="left"/>
        <w:rPr>
          <w:rFonts w:ascii="Arial" w:hAnsi="Arial" w:cs="Arial"/>
          <w:bCs/>
        </w:rPr>
      </w:pPr>
      <w:proofErr w:type="spellStart"/>
      <w:r w:rsidRPr="000A3C6D">
        <w:rPr>
          <w:rFonts w:ascii="Arial" w:hAnsi="Arial" w:cs="Arial"/>
          <w:bCs/>
          <w:sz w:val="21"/>
        </w:rPr>
        <w:t>Perneger</w:t>
      </w:r>
      <w:proofErr w:type="spellEnd"/>
      <w:r w:rsidRPr="000A3C6D">
        <w:rPr>
          <w:rFonts w:ascii="Arial" w:hAnsi="Arial" w:cs="Arial"/>
          <w:bCs/>
          <w:sz w:val="21"/>
        </w:rPr>
        <w:t xml:space="preserve">, T.V. (2005) ‘The Swiss cheese model of safety incidents: Are there holes in the metaphor?’, BMC Health Services Research, 5, 71.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28">
        <w:r w:rsidRPr="000A3C6D">
          <w:rPr>
            <w:rFonts w:ascii="Arial" w:hAnsi="Arial" w:cs="Arial"/>
            <w:bCs/>
            <w:color w:val="0563C1"/>
            <w:u w:val="single"/>
          </w:rPr>
          <w:t>https://doi.org/10.1186/1472-6963-5-71</w:t>
        </w:r>
      </w:hyperlink>
    </w:p>
    <w:p w14:paraId="158A0022"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Reason, J. (2000) ‘Human error: Models and management’, BMJ, 320(7237), pp. 768–770.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29">
        <w:r w:rsidRPr="000A3C6D">
          <w:rPr>
            <w:rFonts w:ascii="Arial" w:hAnsi="Arial" w:cs="Arial"/>
            <w:bCs/>
            <w:color w:val="0563C1"/>
            <w:u w:val="single"/>
          </w:rPr>
          <w:t>https://doi.org/10.1136/bmj.320.7237.768</w:t>
        </w:r>
      </w:hyperlink>
    </w:p>
    <w:p w14:paraId="6A33DCAF"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Reis, C.T., Paiva, S.G. and Sousa, P. (2018) ‘The patient safety culture: A systematic review by characteristics of Hospital Survey on Patient Safety Culture dimensions’, International Journal for Quality in Health Care, 30(9), pp. 660–677.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30">
        <w:r w:rsidRPr="000A3C6D">
          <w:rPr>
            <w:rFonts w:ascii="Arial" w:hAnsi="Arial" w:cs="Arial"/>
            <w:bCs/>
            <w:color w:val="0563C1"/>
            <w:u w:val="single"/>
          </w:rPr>
          <w:t>https://doi.org/10.1093/intqhc/mzy080</w:t>
        </w:r>
      </w:hyperlink>
    </w:p>
    <w:p w14:paraId="62A61896"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lastRenderedPageBreak/>
        <w:t xml:space="preserve">Taylor, M.J. et al. (2014) ‘Systematic review of the application of the plan-do-study-act method to improve quality in healthcare’, BMJ Quality &amp; Safety, 23(4), pp. 290–298.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31">
        <w:r w:rsidRPr="000A3C6D">
          <w:rPr>
            <w:rFonts w:ascii="Arial" w:hAnsi="Arial" w:cs="Arial"/>
            <w:bCs/>
            <w:color w:val="0563C1"/>
            <w:u w:val="single"/>
          </w:rPr>
          <w:t>https://doi.org/10.1136/bmjqs-2013-001862</w:t>
        </w:r>
      </w:hyperlink>
    </w:p>
    <w:p w14:paraId="190A2BBB"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van Dongen, D., </w:t>
      </w:r>
      <w:proofErr w:type="spellStart"/>
      <w:r w:rsidRPr="000A3C6D">
        <w:rPr>
          <w:rFonts w:ascii="Arial" w:hAnsi="Arial" w:cs="Arial"/>
          <w:bCs/>
          <w:sz w:val="21"/>
        </w:rPr>
        <w:t>Guldenmund</w:t>
      </w:r>
      <w:proofErr w:type="spellEnd"/>
      <w:r w:rsidRPr="000A3C6D">
        <w:rPr>
          <w:rFonts w:ascii="Arial" w:hAnsi="Arial" w:cs="Arial"/>
          <w:bCs/>
          <w:sz w:val="21"/>
        </w:rPr>
        <w:t xml:space="preserve">, F., Grossmann, I. and Groeneweg, J. (2024) ‘Classification of influencing factors of speaking-up </w:t>
      </w:r>
      <w:proofErr w:type="spellStart"/>
      <w:r w:rsidRPr="000A3C6D">
        <w:rPr>
          <w:rFonts w:ascii="Arial" w:hAnsi="Arial" w:cs="Arial"/>
          <w:bCs/>
          <w:sz w:val="21"/>
        </w:rPr>
        <w:t>behaviour</w:t>
      </w:r>
      <w:proofErr w:type="spellEnd"/>
      <w:r w:rsidRPr="000A3C6D">
        <w:rPr>
          <w:rFonts w:ascii="Arial" w:hAnsi="Arial" w:cs="Arial"/>
          <w:bCs/>
          <w:sz w:val="21"/>
        </w:rPr>
        <w:t xml:space="preserve"> in hospitals: a systematic review’, BMC Health Services Research, 24(1), 1657.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32">
        <w:r w:rsidRPr="000A3C6D">
          <w:rPr>
            <w:rFonts w:ascii="Arial" w:hAnsi="Arial" w:cs="Arial"/>
            <w:bCs/>
            <w:color w:val="0563C1"/>
            <w:u w:val="single"/>
          </w:rPr>
          <w:t>https://doi.org/10.1186/s12913-024-12138-x</w:t>
        </w:r>
      </w:hyperlink>
    </w:p>
    <w:p w14:paraId="363C545D"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van Marum, S., Verhoeven, D. and de Rooy, D. (2022) ‘The barriers and enhancers to trust in a just culture in hospital settings: a systematic review’, Journal of Patient Safety, 18(7), e1067–e1075.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33">
        <w:r w:rsidRPr="000A3C6D">
          <w:rPr>
            <w:rFonts w:ascii="Arial" w:hAnsi="Arial" w:cs="Arial"/>
            <w:bCs/>
            <w:color w:val="0563C1"/>
            <w:u w:val="single"/>
          </w:rPr>
          <w:t>https://doi.org/10.1097/PTS.0000000000001012</w:t>
        </w:r>
      </w:hyperlink>
    </w:p>
    <w:p w14:paraId="437D4CCD"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Vibe, A., Rasmussen, S.H., Rasmussen, N.O.P., Østergaard, D. and Dieckmann, P. (2024) ‘The predictors of patient safety culture in hospital setting: a systematic review’, Journal of Patient Safety, 20(8), pp. 576–592.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34">
        <w:r w:rsidRPr="000A3C6D">
          <w:rPr>
            <w:rFonts w:ascii="Arial" w:hAnsi="Arial" w:cs="Arial"/>
            <w:bCs/>
            <w:color w:val="0563C1"/>
            <w:u w:val="single"/>
          </w:rPr>
          <w:t>https://doi.org/10.1097/PTS.0000000000001285</w:t>
        </w:r>
      </w:hyperlink>
    </w:p>
    <w:p w14:paraId="38F82638" w14:textId="77777777" w:rsidR="007E7650" w:rsidRPr="000A3C6D" w:rsidRDefault="00900582" w:rsidP="00670B41">
      <w:pPr>
        <w:pStyle w:val="ListParagraph"/>
        <w:numPr>
          <w:ilvl w:val="0"/>
          <w:numId w:val="12"/>
        </w:numPr>
        <w:jc w:val="left"/>
        <w:rPr>
          <w:rFonts w:ascii="Arial" w:hAnsi="Arial" w:cs="Arial"/>
          <w:bCs/>
        </w:rPr>
      </w:pPr>
      <w:r w:rsidRPr="000A3C6D">
        <w:rPr>
          <w:rFonts w:ascii="Arial" w:hAnsi="Arial" w:cs="Arial"/>
          <w:bCs/>
          <w:sz w:val="21"/>
        </w:rPr>
        <w:t xml:space="preserve">Vincent, C. and Amalberti, R. (2016) Safer Healthcare: Strategies for the Real World. Cham: Springer. </w:t>
      </w:r>
      <w:proofErr w:type="spellStart"/>
      <w:r w:rsidRPr="000A3C6D">
        <w:rPr>
          <w:rFonts w:ascii="Arial" w:hAnsi="Arial" w:cs="Arial"/>
          <w:bCs/>
          <w:sz w:val="21"/>
        </w:rPr>
        <w:t>doi</w:t>
      </w:r>
      <w:proofErr w:type="spellEnd"/>
      <w:r w:rsidRPr="000A3C6D">
        <w:rPr>
          <w:rFonts w:ascii="Arial" w:hAnsi="Arial" w:cs="Arial"/>
          <w:bCs/>
          <w:sz w:val="21"/>
        </w:rPr>
        <w:t xml:space="preserve">: </w:t>
      </w:r>
      <w:hyperlink r:id="rId35">
        <w:r w:rsidRPr="000A3C6D">
          <w:rPr>
            <w:rFonts w:ascii="Arial" w:hAnsi="Arial" w:cs="Arial"/>
            <w:bCs/>
            <w:color w:val="0563C1"/>
            <w:u w:val="single"/>
          </w:rPr>
          <w:t>https://doi.org/10.1007/978-3-319-25559-0</w:t>
        </w:r>
      </w:hyperlink>
    </w:p>
    <w:sectPr w:rsidR="007E7650" w:rsidRPr="000A3C6D" w:rsidSect="00034616">
      <w:footerReference w:type="default" r:id="rId36"/>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47EE90" w14:textId="77777777" w:rsidR="00977061" w:rsidRDefault="00977061">
      <w:pPr>
        <w:spacing w:after="0" w:line="240" w:lineRule="auto"/>
      </w:pPr>
      <w:r>
        <w:separator/>
      </w:r>
    </w:p>
  </w:endnote>
  <w:endnote w:type="continuationSeparator" w:id="0">
    <w:p w14:paraId="0DC1EAC7" w14:textId="77777777" w:rsidR="00977061" w:rsidRDefault="009770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96866D" w14:textId="77777777" w:rsidR="007E7650" w:rsidRDefault="00900582">
    <w:pPr>
      <w:pStyle w:val="Footer"/>
      <w:jc w:val="center"/>
    </w:pPr>
    <w:r>
      <w:rPr>
        <w:sz w:val="20"/>
      </w:rPr>
      <w:t xml:space="preserve">Page </w:t>
    </w:r>
    <w:r>
      <w:rPr>
        <w:sz w:val="20"/>
      </w:rPr>
      <w:fldChar w:fldCharType="begin"/>
    </w:r>
    <w:r>
      <w:rPr>
        <w:sz w:val="20"/>
      </w:rPr>
      <w:instrText>PAGE</w:instrText>
    </w:r>
    <w:r>
      <w:rPr>
        <w:sz w:val="20"/>
      </w:rPr>
      <w:fldChar w:fldCharType="separate"/>
    </w:r>
    <w:r w:rsidR="008B3185">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F62E9C" w14:textId="77777777" w:rsidR="00977061" w:rsidRDefault="00977061">
      <w:pPr>
        <w:spacing w:after="0" w:line="240" w:lineRule="auto"/>
      </w:pPr>
      <w:r>
        <w:separator/>
      </w:r>
    </w:p>
  </w:footnote>
  <w:footnote w:type="continuationSeparator" w:id="0">
    <w:p w14:paraId="5C4BDB21" w14:textId="77777777" w:rsidR="00977061" w:rsidRDefault="009770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9DF7DCB"/>
    <w:multiLevelType w:val="hybridMultilevel"/>
    <w:tmpl w:val="2C5E8A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6401B6A"/>
    <w:multiLevelType w:val="hybridMultilevel"/>
    <w:tmpl w:val="F154E5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2B86CF3"/>
    <w:multiLevelType w:val="hybridMultilevel"/>
    <w:tmpl w:val="94D0909A"/>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337121118">
    <w:abstractNumId w:val="8"/>
  </w:num>
  <w:num w:numId="2" w16cid:durableId="465783385">
    <w:abstractNumId w:val="6"/>
  </w:num>
  <w:num w:numId="3" w16cid:durableId="1267807235">
    <w:abstractNumId w:val="5"/>
  </w:num>
  <w:num w:numId="4" w16cid:durableId="369233248">
    <w:abstractNumId w:val="4"/>
  </w:num>
  <w:num w:numId="5" w16cid:durableId="838928715">
    <w:abstractNumId w:val="7"/>
  </w:num>
  <w:num w:numId="6" w16cid:durableId="2139757571">
    <w:abstractNumId w:val="3"/>
  </w:num>
  <w:num w:numId="7" w16cid:durableId="271329114">
    <w:abstractNumId w:val="2"/>
  </w:num>
  <w:num w:numId="8" w16cid:durableId="1843425478">
    <w:abstractNumId w:val="1"/>
  </w:num>
  <w:num w:numId="9" w16cid:durableId="569538215">
    <w:abstractNumId w:val="0"/>
  </w:num>
  <w:num w:numId="10" w16cid:durableId="404450596">
    <w:abstractNumId w:val="10"/>
  </w:num>
  <w:num w:numId="11" w16cid:durableId="348146773">
    <w:abstractNumId w:val="9"/>
  </w:num>
  <w:num w:numId="12" w16cid:durableId="1296356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7FE6"/>
    <w:rsid w:val="00034616"/>
    <w:rsid w:val="0003791D"/>
    <w:rsid w:val="000572AC"/>
    <w:rsid w:val="0006063C"/>
    <w:rsid w:val="00071659"/>
    <w:rsid w:val="000A3C6D"/>
    <w:rsid w:val="000F0980"/>
    <w:rsid w:val="00111013"/>
    <w:rsid w:val="00126AED"/>
    <w:rsid w:val="00136444"/>
    <w:rsid w:val="00137C61"/>
    <w:rsid w:val="0015074B"/>
    <w:rsid w:val="00190912"/>
    <w:rsid w:val="00206666"/>
    <w:rsid w:val="00206B73"/>
    <w:rsid w:val="00206B90"/>
    <w:rsid w:val="00215640"/>
    <w:rsid w:val="0029639D"/>
    <w:rsid w:val="002C77F1"/>
    <w:rsid w:val="00311DF8"/>
    <w:rsid w:val="00326F90"/>
    <w:rsid w:val="00363A90"/>
    <w:rsid w:val="003644C1"/>
    <w:rsid w:val="003A3598"/>
    <w:rsid w:val="003D3D4F"/>
    <w:rsid w:val="003E74EC"/>
    <w:rsid w:val="004059D1"/>
    <w:rsid w:val="005B186D"/>
    <w:rsid w:val="005C2004"/>
    <w:rsid w:val="005C30CC"/>
    <w:rsid w:val="005E6A0C"/>
    <w:rsid w:val="00645197"/>
    <w:rsid w:val="00670B41"/>
    <w:rsid w:val="006809AE"/>
    <w:rsid w:val="007247C3"/>
    <w:rsid w:val="007A0979"/>
    <w:rsid w:val="007A1062"/>
    <w:rsid w:val="007E24A9"/>
    <w:rsid w:val="007E7650"/>
    <w:rsid w:val="00811563"/>
    <w:rsid w:val="00812C47"/>
    <w:rsid w:val="00821C89"/>
    <w:rsid w:val="00830A1E"/>
    <w:rsid w:val="008A36EE"/>
    <w:rsid w:val="008A37FC"/>
    <w:rsid w:val="008A52F2"/>
    <w:rsid w:val="008B2873"/>
    <w:rsid w:val="008B2F67"/>
    <w:rsid w:val="008B3185"/>
    <w:rsid w:val="008C05ED"/>
    <w:rsid w:val="008D3908"/>
    <w:rsid w:val="00900582"/>
    <w:rsid w:val="00926C3A"/>
    <w:rsid w:val="00937FFB"/>
    <w:rsid w:val="00977061"/>
    <w:rsid w:val="009F7A39"/>
    <w:rsid w:val="00A16077"/>
    <w:rsid w:val="00A23C03"/>
    <w:rsid w:val="00AA1D8D"/>
    <w:rsid w:val="00AA768C"/>
    <w:rsid w:val="00AD3C05"/>
    <w:rsid w:val="00AD4010"/>
    <w:rsid w:val="00AE64DB"/>
    <w:rsid w:val="00B31284"/>
    <w:rsid w:val="00B36A63"/>
    <w:rsid w:val="00B461EC"/>
    <w:rsid w:val="00B47730"/>
    <w:rsid w:val="00B55E71"/>
    <w:rsid w:val="00B63E5F"/>
    <w:rsid w:val="00BD6032"/>
    <w:rsid w:val="00BE0740"/>
    <w:rsid w:val="00BE5ACE"/>
    <w:rsid w:val="00CB0664"/>
    <w:rsid w:val="00CC0D30"/>
    <w:rsid w:val="00CF4D25"/>
    <w:rsid w:val="00D207A2"/>
    <w:rsid w:val="00D757D3"/>
    <w:rsid w:val="00D76C6B"/>
    <w:rsid w:val="00D7765D"/>
    <w:rsid w:val="00E00616"/>
    <w:rsid w:val="00E100D3"/>
    <w:rsid w:val="00E35364"/>
    <w:rsid w:val="00EE3667"/>
    <w:rsid w:val="00F11C3E"/>
    <w:rsid w:val="00F121C0"/>
    <w:rsid w:val="00F1250F"/>
    <w:rsid w:val="00FA4D24"/>
    <w:rsid w:val="00FB00C1"/>
    <w:rsid w:val="00FC693F"/>
    <w:rsid w:val="00FD134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C055EEB"/>
  <w14:defaultImageDpi w14:val="300"/>
  <w15:docId w15:val="{800712FE-842A-4452-9A42-30F9CCA0E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20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926C3A"/>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qc.org.uk/publications/maternity-services-2022-2024" TargetMode="External"/><Relationship Id="rId18" Type="http://schemas.openxmlformats.org/officeDocument/2006/relationships/hyperlink" Target="https://doi.org/10.1108/17554251011064837" TargetMode="External"/><Relationship Id="rId26" Type="http://schemas.openxmlformats.org/officeDocument/2006/relationships/hyperlink" Target="https://resolution.nhs.uk/annual-report-and-accounts/" TargetMode="External"/><Relationship Id="rId21" Type="http://schemas.openxmlformats.org/officeDocument/2006/relationships/hyperlink" Target="https://doi.org/10.1159/000508677" TargetMode="External"/><Relationship Id="rId34" Type="http://schemas.openxmlformats.org/officeDocument/2006/relationships/hyperlink" Target="https://doi.org/10.1097/PTS.0000000000001285" TargetMode="External"/><Relationship Id="rId7" Type="http://schemas.openxmlformats.org/officeDocument/2006/relationships/endnotes" Target="endnotes.xml"/><Relationship Id="rId12" Type="http://schemas.openxmlformats.org/officeDocument/2006/relationships/hyperlink" Target="https://doi.org/10.1136/bmjqs-2016-005849" TargetMode="External"/><Relationship Id="rId17" Type="http://schemas.openxmlformats.org/officeDocument/2006/relationships/hyperlink" Target="https://doi.org/10.1136/bmjoq-2023-002506" TargetMode="External"/><Relationship Id="rId25" Type="http://schemas.openxmlformats.org/officeDocument/2006/relationships/hyperlink" Target="https://www.england.nhs.uk/long-read/patient-safety-incident-response-standards/" TargetMode="External"/><Relationship Id="rId33" Type="http://schemas.openxmlformats.org/officeDocument/2006/relationships/hyperlink" Target="https://doi.org/10.1097/PTS.0000000000001012"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97/PTS.0000000000000925" TargetMode="External"/><Relationship Id="rId20" Type="http://schemas.openxmlformats.org/officeDocument/2006/relationships/hyperlink" Target="https://doi.org/10.1186/s12913-019-4482-6" TargetMode="External"/><Relationship Id="rId29" Type="http://schemas.openxmlformats.org/officeDocument/2006/relationships/hyperlink" Target="https://doi.org/10.1136/bmj.320.7237.76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ice.org.uk/guidance/ng229" TargetMode="External"/><Relationship Id="rId32" Type="http://schemas.openxmlformats.org/officeDocument/2006/relationships/hyperlink" Target="https://doi.org/10.1186/s12913-024-12138-x"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1/jama.260.12.1743" TargetMode="External"/><Relationship Id="rId23" Type="http://schemas.openxmlformats.org/officeDocument/2006/relationships/hyperlink" Target="https://doi.org/10.1136/bmjqs-2011-000582" TargetMode="External"/><Relationship Id="rId28" Type="http://schemas.openxmlformats.org/officeDocument/2006/relationships/hyperlink" Target="https://doi.org/10.1186/1472-6963-5-71"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1007/s11606-023-08322-0" TargetMode="External"/><Relationship Id="rId31" Type="http://schemas.openxmlformats.org/officeDocument/2006/relationships/hyperlink" Target="https://doi.org/10.1136/bmjqs-2013-00186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36/bmjopen-2020-043982" TargetMode="External"/><Relationship Id="rId22" Type="http://schemas.openxmlformats.org/officeDocument/2006/relationships/hyperlink" Target="https://doi.org/10.1371/journal.pone.0322215" TargetMode="External"/><Relationship Id="rId27" Type="http://schemas.openxmlformats.org/officeDocument/2006/relationships/hyperlink" Target="https://doi.org/10.1093/intqhc/mzaa025" TargetMode="External"/><Relationship Id="rId30" Type="http://schemas.openxmlformats.org/officeDocument/2006/relationships/hyperlink" Target="https://doi.org/10.1093/intqhc/mzy080" TargetMode="External"/><Relationship Id="rId35" Type="http://schemas.openxmlformats.org/officeDocument/2006/relationships/hyperlink" Target="https://doi.org/10.1007/978-3-319-25559-0"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18</Pages>
  <Words>4770</Words>
  <Characters>27193</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31900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Norin Qureshi</cp:lastModifiedBy>
  <cp:revision>66</cp:revision>
  <dcterms:created xsi:type="dcterms:W3CDTF">2026-08-13T10:45:00Z</dcterms:created>
  <dcterms:modified xsi:type="dcterms:W3CDTF">2026-08-13T19:06:00Z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2e44da6a-ae7a-4503-9028-50a0670ec131</vt:lpwstr>
  </property>
</Properties>
</file>