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1AAE7B" w14:textId="3761A80E"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7441CC4F" w14:textId="3878E7F8" w:rsidR="00D604A0" w:rsidRDefault="003B7D53" w:rsidP="00160F0A">
      <w:pPr>
        <w:pStyle w:val="paragraph"/>
        <w:spacing w:before="0" w:beforeAutospacing="0" w:after="0" w:afterAutospacing="0"/>
        <w:textAlignment w:val="baseline"/>
        <w:rPr>
          <w:rStyle w:val="normaltextrun"/>
          <w:rFonts w:ascii="Arial" w:eastAsiaTheme="majorEastAsia" w:hAnsi="Arial" w:cs="Arial"/>
          <w:b/>
          <w:bCs/>
          <w:sz w:val="32"/>
          <w:szCs w:val="32"/>
        </w:rPr>
      </w:pPr>
      <w:r>
        <w:rPr>
          <w:noProof/>
        </w:rPr>
        <w:drawing>
          <wp:anchor distT="0" distB="0" distL="114300" distR="114300" simplePos="0" relativeHeight="251659264" behindDoc="1" locked="0" layoutInCell="1" allowOverlap="1" wp14:anchorId="4BB6620E" wp14:editId="1C760390">
            <wp:simplePos x="0" y="0"/>
            <wp:positionH relativeFrom="margin">
              <wp:posOffset>256540</wp:posOffset>
            </wp:positionH>
            <wp:positionV relativeFrom="paragraph">
              <wp:posOffset>82550</wp:posOffset>
            </wp:positionV>
            <wp:extent cx="5264150" cy="1683385"/>
            <wp:effectExtent l="0" t="0" r="0" b="0"/>
            <wp:wrapTight wrapText="bothSides">
              <wp:wrapPolygon edited="0">
                <wp:start x="1042" y="3911"/>
                <wp:lineTo x="1042" y="9452"/>
                <wp:lineTo x="1146" y="12059"/>
                <wp:lineTo x="1615" y="14666"/>
                <wp:lineTo x="2553" y="17273"/>
                <wp:lineTo x="2606" y="17599"/>
                <wp:lineTo x="7243" y="17599"/>
                <wp:lineTo x="12715" y="17273"/>
                <wp:lineTo x="13080" y="17111"/>
                <wp:lineTo x="12976" y="14666"/>
                <wp:lineTo x="14487" y="14666"/>
                <wp:lineTo x="17197" y="13037"/>
                <wp:lineTo x="17249" y="10103"/>
                <wp:lineTo x="16832" y="9940"/>
                <wp:lineTo x="18447" y="9289"/>
                <wp:lineTo x="21418" y="8474"/>
                <wp:lineTo x="21366" y="5866"/>
                <wp:lineTo x="20949" y="5215"/>
                <wp:lineTo x="19281" y="3911"/>
                <wp:lineTo x="1042" y="3911"/>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5264150" cy="1683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3899ED"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046C3B9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2B2FCA6B"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2241C9A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75EA786D"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04E87CD4"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18B36A5A" w14:textId="77777777" w:rsidR="00D604A0" w:rsidRDefault="00D604A0" w:rsidP="00160F0A">
      <w:pPr>
        <w:pStyle w:val="paragraph"/>
        <w:spacing w:before="0" w:beforeAutospacing="0" w:after="0" w:afterAutospacing="0"/>
        <w:textAlignment w:val="baseline"/>
        <w:rPr>
          <w:rStyle w:val="normaltextrun"/>
          <w:rFonts w:ascii="Arial" w:eastAsiaTheme="majorEastAsia" w:hAnsi="Arial" w:cs="Arial"/>
          <w:b/>
          <w:bCs/>
          <w:sz w:val="32"/>
          <w:szCs w:val="32"/>
        </w:rPr>
      </w:pPr>
    </w:p>
    <w:p w14:paraId="560BD71D" w14:textId="77777777" w:rsidR="00520A1D" w:rsidRDefault="00520A1D" w:rsidP="00520A1D">
      <w:pPr>
        <w:ind w:right="1229"/>
        <w:jc w:val="center"/>
        <w:rPr>
          <w:rFonts w:cs="Arial"/>
          <w:sz w:val="60"/>
          <w:szCs w:val="60"/>
        </w:rPr>
      </w:pPr>
    </w:p>
    <w:p w14:paraId="577D2D5F" w14:textId="76D149DF" w:rsidR="00536A32" w:rsidRPr="00063B4C" w:rsidRDefault="00536A32" w:rsidP="00520A1D">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8427D82" w14:textId="77777777" w:rsidR="00536A32" w:rsidRPr="00063B4C" w:rsidRDefault="00536A32" w:rsidP="00520A1D">
      <w:pPr>
        <w:pStyle w:val="BodyText"/>
        <w:jc w:val="center"/>
        <w:rPr>
          <w:rFonts w:ascii="Aptos" w:hAnsi="Aptos" w:cs="Arial"/>
          <w:sz w:val="20"/>
        </w:rPr>
      </w:pPr>
    </w:p>
    <w:p w14:paraId="06B96903" w14:textId="77777777" w:rsidR="005B03F7" w:rsidRDefault="00536A32" w:rsidP="00520A1D">
      <w:pPr>
        <w:spacing w:line="813" w:lineRule="exact"/>
        <w:jc w:val="center"/>
        <w:rPr>
          <w:rFonts w:cs="Arial"/>
          <w:sz w:val="60"/>
          <w:szCs w:val="60"/>
        </w:rPr>
      </w:pPr>
      <w:r w:rsidRPr="00063B4C">
        <w:rPr>
          <w:rFonts w:cs="Arial"/>
          <w:sz w:val="60"/>
          <w:szCs w:val="60"/>
        </w:rPr>
        <w:t>BSc (Hons) Health and Social Care</w:t>
      </w:r>
    </w:p>
    <w:p w14:paraId="11FE56BC" w14:textId="77777777" w:rsidR="005B03F7" w:rsidRPr="00DB60C9" w:rsidRDefault="005B03F7" w:rsidP="00197143">
      <w:pPr>
        <w:pStyle w:val="Heading1"/>
        <w:jc w:val="center"/>
        <w:rPr>
          <w:rFonts w:ascii="Arial" w:hAnsi="Arial" w:cs="Arial"/>
          <w:b/>
          <w:bCs/>
          <w:color w:val="000000" w:themeColor="text1"/>
          <w:sz w:val="32"/>
          <w:szCs w:val="32"/>
        </w:rPr>
      </w:pPr>
      <w:r w:rsidRPr="00DB60C9">
        <w:rPr>
          <w:rFonts w:ascii="Arial" w:hAnsi="Arial" w:cs="Arial"/>
          <w:b/>
          <w:bCs/>
          <w:color w:val="000000" w:themeColor="text1"/>
          <w:sz w:val="32"/>
          <w:szCs w:val="32"/>
        </w:rPr>
        <w:t>Disclaimer</w:t>
      </w:r>
    </w:p>
    <w:p w14:paraId="65521813" w14:textId="77777777" w:rsidR="005B03F7" w:rsidRPr="00DB60C9" w:rsidRDefault="005B03F7" w:rsidP="005B03F7">
      <w:pPr>
        <w:spacing w:before="62"/>
        <w:ind w:right="96"/>
        <w:rPr>
          <w:rFonts w:ascii="Arial" w:hAnsi="Arial" w:cs="Arial"/>
        </w:rPr>
      </w:pPr>
      <w:r w:rsidRPr="00DB60C9">
        <w:rPr>
          <w:rFonts w:ascii="Arial" w:hAnsi="Arial" w:cs="Arial"/>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9D5E8ED" w14:textId="39CCF400" w:rsidR="00536A32" w:rsidRPr="00063B4C" w:rsidRDefault="00536A32" w:rsidP="00520A1D">
      <w:pPr>
        <w:spacing w:line="813" w:lineRule="exact"/>
        <w:jc w:val="center"/>
        <w:rPr>
          <w:rFonts w:cs="Arial"/>
          <w:sz w:val="60"/>
          <w:szCs w:val="60"/>
        </w:rPr>
      </w:pPr>
      <w:r w:rsidRPr="00063B4C">
        <w:rPr>
          <w:rFonts w:cs="Arial"/>
          <w:sz w:val="60"/>
          <w:szCs w:val="60"/>
        </w:rPr>
        <w:br/>
      </w:r>
    </w:p>
    <w:p w14:paraId="45CBBFAF" w14:textId="77777777" w:rsidR="00D604A0" w:rsidRDefault="00D604A0" w:rsidP="00520A1D">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48C3F634" w14:textId="77777777" w:rsidR="00D63232" w:rsidRPr="0073280B" w:rsidRDefault="00D63232" w:rsidP="00D63232">
      <w:pPr>
        <w:rPr>
          <w:rFonts w:eastAsia="Times New Roman" w:cs="Arial"/>
          <w:b/>
          <w:sz w:val="28"/>
          <w:szCs w:val="28"/>
        </w:rPr>
      </w:pPr>
      <w:r w:rsidRPr="0073280B">
        <w:rPr>
          <w:rFonts w:eastAsia="Times New Roman" w:cs="Arial"/>
          <w:b/>
          <w:sz w:val="28"/>
          <w:szCs w:val="28"/>
        </w:rPr>
        <w:lastRenderedPageBreak/>
        <w:t>DECLARATION</w:t>
      </w:r>
    </w:p>
    <w:p w14:paraId="20C8F7B8"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work has not previously been accepted in substance for any degree and is not being concurrently submitted in candidature for any degree</w:t>
      </w:r>
    </w:p>
    <w:p w14:paraId="58D4049D" w14:textId="7BA835E4"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C05379">
        <w:rPr>
          <w:rFonts w:ascii="Arial" w:eastAsia="Times New Roman" w:hAnsi="Arial" w:cs="Arial"/>
        </w:rPr>
        <w:t>-Safina Bibi</w:t>
      </w:r>
      <w:r w:rsidR="00C05379" w:rsidRPr="00D63232">
        <w:rPr>
          <w:rFonts w:ascii="Arial" w:eastAsia="Times New Roman" w:hAnsi="Arial" w:cs="Arial"/>
        </w:rPr>
        <w:t xml:space="preserve"> </w:t>
      </w:r>
      <w:r w:rsidRPr="00D63232">
        <w:rPr>
          <w:rFonts w:ascii="Arial" w:eastAsia="Times New Roman" w:hAnsi="Arial" w:cs="Arial"/>
        </w:rPr>
        <w:t>……………………………………………</w:t>
      </w:r>
    </w:p>
    <w:p w14:paraId="58C1F2C5" w14:textId="26439DA8"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C05379">
        <w:rPr>
          <w:rFonts w:ascii="Arial" w:eastAsia="Times New Roman" w:hAnsi="Arial" w:cs="Arial"/>
        </w:rPr>
        <w:t xml:space="preserve"> </w:t>
      </w:r>
      <w:r w:rsidR="00C05379">
        <w:rPr>
          <w:rFonts w:ascii="Arial" w:eastAsia="Times New Roman" w:hAnsi="Arial" w:cs="Arial"/>
        </w:rPr>
        <w:t>25/07/26</w:t>
      </w:r>
      <w:r w:rsidRPr="00D63232">
        <w:rPr>
          <w:rFonts w:ascii="Arial" w:eastAsia="Times New Roman" w:hAnsi="Arial" w:cs="Arial"/>
        </w:rPr>
        <w:t>………………………………………………</w:t>
      </w:r>
    </w:p>
    <w:p w14:paraId="238B5373" w14:textId="77777777" w:rsidR="00D63232" w:rsidRPr="00D63232" w:rsidRDefault="00D63232" w:rsidP="00D63232">
      <w:pPr>
        <w:jc w:val="left"/>
        <w:rPr>
          <w:rFonts w:ascii="Arial" w:eastAsia="Times New Roman" w:hAnsi="Arial" w:cs="Arial"/>
          <w:bCs/>
          <w:kern w:val="32"/>
        </w:rPr>
      </w:pPr>
      <w:r w:rsidRPr="00D63232">
        <w:rPr>
          <w:rFonts w:ascii="Arial" w:eastAsia="Times New Roman" w:hAnsi="Arial" w:cs="Arial"/>
          <w:b/>
        </w:rPr>
        <w:t xml:space="preserve">STATEMENT 1 </w:t>
      </w:r>
    </w:p>
    <w:p w14:paraId="330D1B20"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dissertation is being submitted in partial fulfilment of the requirements for the degree of BSc.</w:t>
      </w:r>
    </w:p>
    <w:p w14:paraId="18D664E2" w14:textId="6B416724"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18111B">
        <w:rPr>
          <w:rFonts w:ascii="Arial" w:eastAsia="Times New Roman" w:hAnsi="Arial" w:cs="Arial"/>
        </w:rPr>
        <w:t>-</w:t>
      </w:r>
      <w:r>
        <w:rPr>
          <w:rFonts w:ascii="Arial" w:eastAsia="Times New Roman" w:hAnsi="Arial" w:cs="Arial"/>
        </w:rPr>
        <w:t>S</w:t>
      </w:r>
      <w:r w:rsidR="002A35C9">
        <w:rPr>
          <w:rFonts w:ascii="Arial" w:eastAsia="Times New Roman" w:hAnsi="Arial" w:cs="Arial"/>
        </w:rPr>
        <w:t>afina Bibi</w:t>
      </w:r>
      <w:r w:rsidRPr="00D63232">
        <w:rPr>
          <w:rFonts w:ascii="Arial" w:eastAsia="Times New Roman" w:hAnsi="Arial" w:cs="Arial"/>
        </w:rPr>
        <w:t xml:space="preserve">…………………………………………. </w:t>
      </w:r>
    </w:p>
    <w:p w14:paraId="73E8E5CD" w14:textId="7D12D1FF"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18111B">
        <w:rPr>
          <w:rFonts w:ascii="Arial" w:eastAsia="Times New Roman" w:hAnsi="Arial" w:cs="Arial"/>
        </w:rPr>
        <w:t xml:space="preserve"> 25/</w:t>
      </w:r>
      <w:r w:rsidR="00C05EA7">
        <w:rPr>
          <w:rFonts w:ascii="Arial" w:eastAsia="Times New Roman" w:hAnsi="Arial" w:cs="Arial"/>
        </w:rPr>
        <w:t>07/26</w:t>
      </w:r>
      <w:r w:rsidRPr="00D63232">
        <w:rPr>
          <w:rFonts w:ascii="Arial" w:eastAsia="Times New Roman" w:hAnsi="Arial" w:cs="Arial"/>
        </w:rPr>
        <w:t>………………………………………………</w:t>
      </w:r>
    </w:p>
    <w:p w14:paraId="48C4D00D" w14:textId="77777777" w:rsidR="00D63232" w:rsidRPr="00D63232" w:rsidRDefault="00D63232" w:rsidP="00D63232">
      <w:pPr>
        <w:jc w:val="left"/>
        <w:rPr>
          <w:rFonts w:ascii="Arial" w:eastAsia="Times New Roman" w:hAnsi="Arial" w:cs="Arial"/>
        </w:rPr>
      </w:pPr>
      <w:r w:rsidRPr="00D63232">
        <w:rPr>
          <w:rFonts w:ascii="Arial" w:eastAsia="Times New Roman" w:hAnsi="Arial" w:cs="Arial"/>
          <w:b/>
        </w:rPr>
        <w:t>STATEMENT 2</w:t>
      </w:r>
    </w:p>
    <w:p w14:paraId="416E4FD3"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3FF927F8" w14:textId="24699A21" w:rsidR="00D63232" w:rsidRPr="00C05EA7" w:rsidRDefault="00D63232" w:rsidP="00C05EA7">
      <w:pPr>
        <w:jc w:val="left"/>
        <w:rPr>
          <w:rFonts w:ascii="Arial" w:eastAsia="Times New Roman" w:hAnsi="Arial" w:cs="Arial"/>
        </w:rPr>
      </w:pPr>
      <w:r w:rsidRPr="00C05EA7">
        <w:rPr>
          <w:rFonts w:ascii="Arial" w:eastAsia="Times New Roman" w:hAnsi="Arial" w:cs="Arial"/>
        </w:rPr>
        <w:t>Signed</w:t>
      </w:r>
      <w:r w:rsidR="00C05EA7" w:rsidRPr="00C05EA7">
        <w:rPr>
          <w:rFonts w:ascii="Arial" w:eastAsia="Times New Roman" w:hAnsi="Arial" w:cs="Arial"/>
        </w:rPr>
        <w:t>-</w:t>
      </w:r>
      <w:r w:rsidR="000257C6">
        <w:rPr>
          <w:rFonts w:ascii="Arial" w:eastAsia="Times New Roman" w:hAnsi="Arial" w:cs="Arial"/>
        </w:rPr>
        <w:t xml:space="preserve"> </w:t>
      </w:r>
      <w:r w:rsidR="00C05EA7" w:rsidRPr="00C05EA7">
        <w:rPr>
          <w:rFonts w:ascii="Arial" w:eastAsia="Times New Roman" w:hAnsi="Arial" w:cs="Arial"/>
        </w:rPr>
        <w:t xml:space="preserve">Safina Bibi </w:t>
      </w:r>
      <w:r w:rsidRPr="00C05EA7">
        <w:rPr>
          <w:rFonts w:ascii="Arial" w:eastAsia="Times New Roman" w:hAnsi="Arial" w:cs="Arial"/>
        </w:rPr>
        <w:t>……………………………………………</w:t>
      </w:r>
    </w:p>
    <w:p w14:paraId="547F3886" w14:textId="4FB6B57D" w:rsidR="00D63232" w:rsidRPr="00D63232" w:rsidRDefault="00D63232" w:rsidP="00D63232">
      <w:pPr>
        <w:jc w:val="left"/>
        <w:rPr>
          <w:rFonts w:ascii="Arial" w:eastAsia="Times New Roman" w:hAnsi="Arial" w:cs="Arial"/>
        </w:rPr>
      </w:pPr>
      <w:r w:rsidRPr="00D63232">
        <w:rPr>
          <w:rFonts w:ascii="Arial" w:eastAsia="Times New Roman" w:hAnsi="Arial" w:cs="Arial"/>
        </w:rPr>
        <w:t>Date</w:t>
      </w:r>
      <w:r w:rsidR="00C05EA7">
        <w:rPr>
          <w:rFonts w:ascii="Arial" w:eastAsia="Times New Roman" w:hAnsi="Arial" w:cs="Arial"/>
        </w:rPr>
        <w:t xml:space="preserve"> 25/07/26</w:t>
      </w:r>
      <w:r w:rsidRPr="00D63232">
        <w:rPr>
          <w:rFonts w:ascii="Arial" w:eastAsia="Times New Roman" w:hAnsi="Arial" w:cs="Arial"/>
        </w:rPr>
        <w:t xml:space="preserve">……………………………………………… </w:t>
      </w:r>
    </w:p>
    <w:p w14:paraId="2FA847F2" w14:textId="77777777" w:rsidR="00D63232" w:rsidRPr="00D63232" w:rsidRDefault="00D63232" w:rsidP="00D63232">
      <w:pPr>
        <w:jc w:val="left"/>
        <w:rPr>
          <w:rFonts w:ascii="Arial" w:eastAsia="Times New Roman" w:hAnsi="Arial" w:cs="Arial"/>
        </w:rPr>
      </w:pPr>
      <w:r w:rsidRPr="00D63232">
        <w:rPr>
          <w:rFonts w:ascii="Arial" w:eastAsia="Times New Roman" w:hAnsi="Arial" w:cs="Arial"/>
          <w:b/>
        </w:rPr>
        <w:t>STATEMENT 3</w:t>
      </w:r>
    </w:p>
    <w:p w14:paraId="65DCCB87"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I hereby give consent for my dissertation, if accepted, to be available for photocopying and for interlibrary loan, and for the title and summary to be made available to outside organisations.</w:t>
      </w:r>
    </w:p>
    <w:p w14:paraId="6278F838" w14:textId="289CDA26"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0257C6">
        <w:rPr>
          <w:rFonts w:ascii="Arial" w:eastAsia="Times New Roman" w:hAnsi="Arial" w:cs="Arial"/>
        </w:rPr>
        <w:t xml:space="preserve">- </w:t>
      </w:r>
      <w:r w:rsidR="000257C6" w:rsidRPr="00C05EA7">
        <w:rPr>
          <w:rFonts w:ascii="Arial" w:eastAsia="Times New Roman" w:hAnsi="Arial" w:cs="Arial"/>
        </w:rPr>
        <w:t xml:space="preserve">Safina Bibi </w:t>
      </w:r>
      <w:r w:rsidRPr="00D63232">
        <w:rPr>
          <w:rFonts w:ascii="Arial" w:eastAsia="Times New Roman" w:hAnsi="Arial" w:cs="Arial"/>
        </w:rPr>
        <w:t>………………………………………………</w:t>
      </w:r>
    </w:p>
    <w:p w14:paraId="55D7780D" w14:textId="71C50F62" w:rsidR="00D63232" w:rsidRPr="00D63232" w:rsidRDefault="00D63232" w:rsidP="00D6323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D63232">
        <w:rPr>
          <w:rFonts w:ascii="Arial" w:eastAsia="Times New Roman" w:hAnsi="Arial" w:cs="Arial"/>
        </w:rPr>
        <w:t>Date</w:t>
      </w:r>
      <w:r w:rsidR="00492CD4">
        <w:rPr>
          <w:rFonts w:ascii="Arial" w:eastAsia="Times New Roman" w:hAnsi="Arial" w:cs="Arial"/>
        </w:rPr>
        <w:t xml:space="preserve"> 25/07/26</w:t>
      </w:r>
      <w:r w:rsidRPr="00D63232">
        <w:rPr>
          <w:rFonts w:ascii="Arial" w:eastAsia="Times New Roman" w:hAnsi="Arial" w:cs="Arial"/>
        </w:rPr>
        <w:t>…………………………………………………</w:t>
      </w:r>
    </w:p>
    <w:p w14:paraId="4625604A" w14:textId="77777777" w:rsidR="00D63232" w:rsidRPr="00D63232" w:rsidRDefault="00D63232" w:rsidP="00D63232">
      <w:pPr>
        <w:jc w:val="left"/>
        <w:rPr>
          <w:rFonts w:ascii="Arial" w:eastAsia="Times New Roman" w:hAnsi="Arial" w:cs="Arial"/>
          <w:b/>
        </w:rPr>
      </w:pPr>
      <w:r w:rsidRPr="00D63232">
        <w:rPr>
          <w:rFonts w:ascii="Arial" w:eastAsia="Times New Roman" w:hAnsi="Arial" w:cs="Arial"/>
          <w:b/>
        </w:rPr>
        <w:t>STATEMENT 4</w:t>
      </w:r>
    </w:p>
    <w:p w14:paraId="22EBE15C" w14:textId="77777777" w:rsidR="00D63232" w:rsidRPr="00D63232" w:rsidRDefault="00D63232" w:rsidP="00D63232">
      <w:pPr>
        <w:jc w:val="left"/>
        <w:rPr>
          <w:rFonts w:ascii="Arial" w:eastAsia="Times New Roman" w:hAnsi="Arial" w:cs="Arial"/>
        </w:rPr>
      </w:pPr>
      <w:r w:rsidRPr="00D63232">
        <w:rPr>
          <w:rFonts w:ascii="Arial" w:eastAsia="Times New Roman" w:hAnsi="Arial" w:cs="Arial"/>
        </w:rPr>
        <w:t>I hereby give consent for my dissertation, if accepted, to be available on the university’s IT system to those who have consent to use the system.</w:t>
      </w:r>
    </w:p>
    <w:p w14:paraId="4E313E2B" w14:textId="5CCE00DF" w:rsidR="00D63232" w:rsidRPr="00D63232" w:rsidRDefault="00D63232" w:rsidP="00D63232">
      <w:pPr>
        <w:jc w:val="left"/>
        <w:rPr>
          <w:rFonts w:ascii="Arial" w:eastAsia="Times New Roman" w:hAnsi="Arial" w:cs="Arial"/>
        </w:rPr>
      </w:pPr>
      <w:r w:rsidRPr="00D63232">
        <w:rPr>
          <w:rFonts w:ascii="Arial" w:eastAsia="Times New Roman" w:hAnsi="Arial" w:cs="Arial"/>
        </w:rPr>
        <w:t>Signed</w:t>
      </w:r>
      <w:r w:rsidR="005D77FF">
        <w:rPr>
          <w:rFonts w:ascii="Arial" w:eastAsia="Times New Roman" w:hAnsi="Arial" w:cs="Arial"/>
        </w:rPr>
        <w:t xml:space="preserve">- </w:t>
      </w:r>
      <w:r w:rsidR="005D77FF" w:rsidRPr="00C05EA7">
        <w:rPr>
          <w:rFonts w:ascii="Arial" w:eastAsia="Times New Roman" w:hAnsi="Arial" w:cs="Arial"/>
        </w:rPr>
        <w:t xml:space="preserve">Safina Bibi </w:t>
      </w:r>
      <w:r w:rsidRPr="00D63232">
        <w:rPr>
          <w:rFonts w:ascii="Arial" w:eastAsia="Times New Roman" w:hAnsi="Arial" w:cs="Arial"/>
        </w:rPr>
        <w:t>………………………………………………</w:t>
      </w:r>
    </w:p>
    <w:p w14:paraId="522AD6DB" w14:textId="316D044D" w:rsidR="00D63232" w:rsidRPr="00D63232" w:rsidRDefault="00D63232" w:rsidP="00D6323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D63232">
        <w:rPr>
          <w:rFonts w:ascii="Arial" w:eastAsia="Times New Roman" w:hAnsi="Arial" w:cs="Arial"/>
        </w:rPr>
        <w:t>Date</w:t>
      </w:r>
      <w:r w:rsidR="005D77FF">
        <w:rPr>
          <w:rFonts w:ascii="Arial" w:eastAsia="Times New Roman" w:hAnsi="Arial" w:cs="Arial"/>
        </w:rPr>
        <w:t xml:space="preserve"> 25/07/26</w:t>
      </w:r>
      <w:r w:rsidRPr="00D63232">
        <w:rPr>
          <w:rFonts w:ascii="Arial" w:eastAsia="Times New Roman" w:hAnsi="Arial" w:cs="Arial"/>
        </w:rPr>
        <w:t>…………………………………………………</w:t>
      </w:r>
    </w:p>
    <w:p w14:paraId="5081643A" w14:textId="77777777" w:rsidR="00D63232" w:rsidRPr="00D63232" w:rsidRDefault="00D63232" w:rsidP="00D63232">
      <w:pPr>
        <w:jc w:val="left"/>
        <w:rPr>
          <w:rFonts w:ascii="Arial" w:hAnsi="Arial" w:cs="Arial"/>
        </w:rPr>
      </w:pPr>
    </w:p>
    <w:p w14:paraId="7EFCF399" w14:textId="77777777" w:rsidR="00D604A0" w:rsidRDefault="00D604A0" w:rsidP="00520A1D">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0E61E972" w14:textId="77777777" w:rsidR="00D604A0" w:rsidRDefault="00D604A0" w:rsidP="00520A1D">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2E20FDBD" w14:textId="3ACE6E4D" w:rsidR="00034D73" w:rsidRPr="00AF52EC" w:rsidRDefault="00034D73" w:rsidP="00AF52EC">
      <w:pPr>
        <w:pStyle w:val="paragraph"/>
        <w:spacing w:before="0" w:beforeAutospacing="0" w:after="0" w:afterAutospacing="0" w:line="360" w:lineRule="auto"/>
        <w:jc w:val="center"/>
        <w:textAlignment w:val="baseline"/>
        <w:rPr>
          <w:rFonts w:ascii="Segoe UI" w:hAnsi="Segoe UI" w:cs="Segoe UI"/>
          <w:sz w:val="32"/>
          <w:szCs w:val="32"/>
        </w:rPr>
      </w:pPr>
      <w:r w:rsidRPr="00AF52EC">
        <w:rPr>
          <w:rStyle w:val="normaltextrun"/>
          <w:rFonts w:ascii="Arial" w:eastAsiaTheme="majorEastAsia" w:hAnsi="Arial" w:cs="Arial"/>
          <w:sz w:val="32"/>
          <w:szCs w:val="32"/>
        </w:rPr>
        <w:t>My project title:</w:t>
      </w:r>
      <w:r w:rsidRPr="00AF52EC">
        <w:rPr>
          <w:rStyle w:val="apple-converted-space"/>
          <w:rFonts w:eastAsiaTheme="majorEastAsia"/>
          <w:sz w:val="32"/>
          <w:szCs w:val="32"/>
        </w:rPr>
        <w:t> </w:t>
      </w:r>
      <w:r w:rsidRPr="00AF52EC">
        <w:rPr>
          <w:rStyle w:val="normaltextrun"/>
          <w:rFonts w:ascii="Arial" w:eastAsiaTheme="majorEastAsia" w:hAnsi="Arial" w:cs="Arial"/>
          <w:sz w:val="32"/>
          <w:szCs w:val="32"/>
        </w:rPr>
        <w:t>Exploring</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impact</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migrant workers play in</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adult social care workforce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in the</w:t>
      </w:r>
      <w:r w:rsidRPr="00AF52EC">
        <w:rPr>
          <w:rStyle w:val="apple-converted-space"/>
          <w:rFonts w:ascii="Arial" w:eastAsiaTheme="majorEastAsia" w:hAnsi="Arial" w:cs="Arial"/>
          <w:sz w:val="32"/>
          <w:szCs w:val="32"/>
        </w:rPr>
        <w:t> </w:t>
      </w:r>
      <w:r w:rsidRPr="00AF52EC">
        <w:rPr>
          <w:rStyle w:val="normaltextrun"/>
          <w:rFonts w:ascii="Arial" w:eastAsiaTheme="majorEastAsia" w:hAnsi="Arial" w:cs="Arial"/>
          <w:sz w:val="32"/>
          <w:szCs w:val="32"/>
        </w:rPr>
        <w:t>United Kingdom (UK)</w:t>
      </w:r>
    </w:p>
    <w:p w14:paraId="49878D2B"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4DC12BF2"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7AD854FB" w14:textId="2214AB73" w:rsidR="00AF52EC" w:rsidRPr="00AF52EC" w:rsidRDefault="00AF52EC" w:rsidP="00AF52EC">
      <w:pPr>
        <w:pStyle w:val="paragraph"/>
        <w:spacing w:before="0" w:beforeAutospacing="0" w:after="0" w:afterAutospacing="0"/>
        <w:jc w:val="center"/>
        <w:textAlignment w:val="baseline"/>
        <w:rPr>
          <w:rStyle w:val="eop"/>
          <w:rFonts w:ascii="Arial" w:eastAsiaTheme="majorEastAsia" w:hAnsi="Arial" w:cs="Arial"/>
          <w:sz w:val="32"/>
          <w:szCs w:val="32"/>
        </w:rPr>
      </w:pPr>
      <w:r w:rsidRPr="00AF52EC">
        <w:rPr>
          <w:rStyle w:val="normaltextrun"/>
          <w:rFonts w:ascii="Arial" w:eastAsiaTheme="majorEastAsia" w:hAnsi="Arial" w:cs="Arial"/>
          <w:b/>
          <w:bCs/>
          <w:sz w:val="32"/>
          <w:szCs w:val="32"/>
        </w:rPr>
        <w:t>Student Name</w:t>
      </w:r>
      <w:r w:rsidRPr="00AF52EC">
        <w:rPr>
          <w:rStyle w:val="normaltextrun"/>
          <w:rFonts w:ascii="Arial" w:eastAsiaTheme="majorEastAsia" w:hAnsi="Arial" w:cs="Arial"/>
          <w:sz w:val="32"/>
          <w:szCs w:val="32"/>
        </w:rPr>
        <w:t>: Safina Bibi</w:t>
      </w:r>
    </w:p>
    <w:p w14:paraId="07372D14" w14:textId="77777777" w:rsidR="00D604A0" w:rsidRPr="00AF52EC" w:rsidRDefault="00D604A0" w:rsidP="00AF52EC">
      <w:pPr>
        <w:pStyle w:val="paragraph"/>
        <w:spacing w:before="0" w:beforeAutospacing="0" w:after="0" w:afterAutospacing="0"/>
        <w:jc w:val="center"/>
        <w:textAlignment w:val="baseline"/>
        <w:rPr>
          <w:rStyle w:val="normaltextrun"/>
          <w:rFonts w:ascii="Arial" w:eastAsiaTheme="majorEastAsia" w:hAnsi="Arial" w:cs="Arial"/>
          <w:b/>
          <w:bCs/>
          <w:sz w:val="32"/>
          <w:szCs w:val="32"/>
        </w:rPr>
      </w:pPr>
    </w:p>
    <w:p w14:paraId="2D031484" w14:textId="0E021E24" w:rsidR="00160F0A" w:rsidRDefault="00160F0A" w:rsidP="00AF52EC">
      <w:pPr>
        <w:pStyle w:val="paragraph"/>
        <w:spacing w:before="0" w:beforeAutospacing="0" w:after="0" w:afterAutospacing="0"/>
        <w:jc w:val="center"/>
        <w:textAlignment w:val="baseline"/>
        <w:rPr>
          <w:rStyle w:val="normaltextrun"/>
          <w:rFonts w:ascii="Arial" w:eastAsiaTheme="majorEastAsia" w:hAnsi="Arial" w:cs="Arial"/>
          <w:sz w:val="32"/>
          <w:szCs w:val="32"/>
        </w:rPr>
      </w:pPr>
      <w:r w:rsidRPr="00AF52EC">
        <w:rPr>
          <w:rStyle w:val="normaltextrun"/>
          <w:rFonts w:ascii="Arial" w:eastAsiaTheme="majorEastAsia" w:hAnsi="Arial" w:cs="Arial"/>
          <w:b/>
          <w:bCs/>
          <w:sz w:val="32"/>
          <w:szCs w:val="32"/>
        </w:rPr>
        <w:t>Student ID</w:t>
      </w:r>
      <w:r w:rsidRPr="00AF52EC">
        <w:rPr>
          <w:rStyle w:val="normaltextrun"/>
          <w:rFonts w:ascii="Arial" w:eastAsiaTheme="majorEastAsia" w:hAnsi="Arial" w:cs="Arial"/>
          <w:sz w:val="32"/>
          <w:szCs w:val="32"/>
        </w:rPr>
        <w:t>: 2243482</w:t>
      </w:r>
    </w:p>
    <w:p w14:paraId="5D09CE3F" w14:textId="77777777" w:rsidR="007D4B5E" w:rsidRDefault="007D4B5E" w:rsidP="00AF52EC">
      <w:pPr>
        <w:pStyle w:val="paragraph"/>
        <w:spacing w:before="0" w:beforeAutospacing="0" w:after="0" w:afterAutospacing="0"/>
        <w:jc w:val="center"/>
        <w:textAlignment w:val="baseline"/>
        <w:rPr>
          <w:rStyle w:val="normaltextrun"/>
          <w:rFonts w:ascii="Arial" w:eastAsiaTheme="majorEastAsia" w:hAnsi="Arial" w:cs="Arial"/>
          <w:sz w:val="32"/>
          <w:szCs w:val="32"/>
        </w:rPr>
      </w:pPr>
    </w:p>
    <w:p w14:paraId="36D7F84A" w14:textId="77777777" w:rsidR="007D4B5E" w:rsidRPr="00995444"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65D085A" w14:textId="77777777" w:rsidR="007D4B5E" w:rsidRPr="00995444"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0A161387" w14:textId="77777777" w:rsidR="007D4B5E" w:rsidRPr="007D4B5E" w:rsidRDefault="007D4B5E" w:rsidP="007D4B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32"/>
          <w:szCs w:val="32"/>
        </w:rPr>
      </w:pPr>
      <w:r w:rsidRPr="007D4B5E">
        <w:rPr>
          <w:rFonts w:eastAsia="Arial Unicode MS" w:cs="Arial"/>
          <w:sz w:val="32"/>
          <w:szCs w:val="32"/>
        </w:rPr>
        <w:t>Dissertation submitted as part of the requirements for the award BSc (Hons) Health and Social Care</w:t>
      </w:r>
    </w:p>
    <w:p w14:paraId="56D24B71" w14:textId="77777777" w:rsidR="007D4B5E" w:rsidRPr="00AF52EC" w:rsidRDefault="007D4B5E" w:rsidP="00AF52EC">
      <w:pPr>
        <w:pStyle w:val="paragraph"/>
        <w:spacing w:before="0" w:beforeAutospacing="0" w:after="0" w:afterAutospacing="0"/>
        <w:jc w:val="center"/>
        <w:textAlignment w:val="baseline"/>
        <w:rPr>
          <w:rFonts w:ascii="Segoe UI" w:hAnsi="Segoe UI" w:cs="Segoe UI"/>
          <w:sz w:val="32"/>
          <w:szCs w:val="32"/>
          <w:lang w:eastAsia="en-GB"/>
        </w:rPr>
      </w:pPr>
    </w:p>
    <w:p w14:paraId="6A36E8A3" w14:textId="6C925AEB" w:rsidR="00160F0A" w:rsidRDefault="00160F0A" w:rsidP="00160F0A">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sz w:val="32"/>
          <w:szCs w:val="32"/>
        </w:rPr>
        <w:t> </w:t>
      </w:r>
    </w:p>
    <w:p w14:paraId="7F3BE984" w14:textId="77777777" w:rsidR="00160F0A" w:rsidRDefault="00160F0A" w:rsidP="00160F0A">
      <w:pPr>
        <w:pStyle w:val="paragraph"/>
        <w:spacing w:before="0" w:beforeAutospacing="0" w:after="0" w:afterAutospacing="0"/>
        <w:textAlignment w:val="baseline"/>
        <w:rPr>
          <w:rStyle w:val="eop"/>
          <w:rFonts w:ascii="Arial" w:eastAsiaTheme="majorEastAsia" w:hAnsi="Arial" w:cs="Arial"/>
          <w:sz w:val="32"/>
          <w:szCs w:val="32"/>
        </w:rPr>
      </w:pPr>
    </w:p>
    <w:p w14:paraId="42D15116"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4C49A82"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A02C54D"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229FA53"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9C2BC54"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973A5B7"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ED26776"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011D3E7" w14:textId="77777777" w:rsidR="006F7A5E" w:rsidRDefault="006F7A5E"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57D7EA43" w14:textId="78D7F653" w:rsidR="005B710C" w:rsidRPr="0025020C" w:rsidRDefault="005B710C" w:rsidP="005B710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Pr="0025020C">
        <w:rPr>
          <w:rFonts w:eastAsia="Arial Unicode MS" w:cs="Arial"/>
          <w:bCs/>
        </w:rPr>
        <w:t>(optional)</w:t>
      </w:r>
    </w:p>
    <w:p w14:paraId="1142FC70" w14:textId="77777777" w:rsidR="005B710C" w:rsidRPr="006F7A5E" w:rsidRDefault="005B710C"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r w:rsidRPr="006F7A5E">
        <w:rPr>
          <w:rFonts w:ascii="Aptos" w:hAnsi="Aptos" w:cs="Arial"/>
          <w:color w:val="EE0000"/>
          <w:sz w:val="22"/>
          <w:szCs w:val="22"/>
        </w:rPr>
        <w:t xml:space="preserve">The acknowledgements section  is a thank you paragraph which to everyone who has helped you whilst you have been researching and writing your dissertation. </w:t>
      </w:r>
    </w:p>
    <w:p w14:paraId="51DAFDF9" w14:textId="77777777" w:rsidR="005B710C" w:rsidRDefault="005B710C"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r w:rsidRPr="006F7A5E">
        <w:rPr>
          <w:rFonts w:ascii="Aptos" w:hAnsi="Aptos" w:cs="Arial"/>
          <w:color w:val="EE0000"/>
          <w:sz w:val="22"/>
          <w:szCs w:val="22"/>
        </w:rPr>
        <w:t>This may be your supervisor or any other academic staff who have provided guidance and support; other students or colleagues that you have collaborated with; for example librarians; external bodies who have given you assistance.</w:t>
      </w:r>
    </w:p>
    <w:p w14:paraId="0770E449"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18A9C74"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22A26654"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697509FD"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74E6D373"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0EDEEC5E"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67154D6"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A27A661"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5EEDEC38"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5E9C1CA4" w14:textId="77777777" w:rsidR="00D93E86"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72D6B2E7" w14:textId="77777777" w:rsidR="00D93E86" w:rsidRPr="006F7A5E" w:rsidRDefault="00D93E86" w:rsidP="005B710C">
      <w:pPr>
        <w:pStyle w:val="NormalWeb"/>
        <w:shd w:val="clear" w:color="auto" w:fill="FFFFFF"/>
        <w:spacing w:before="0" w:beforeAutospacing="0" w:after="150" w:afterAutospacing="0" w:line="360" w:lineRule="auto"/>
        <w:jc w:val="both"/>
        <w:rPr>
          <w:rFonts w:ascii="Aptos" w:hAnsi="Aptos" w:cs="Arial"/>
          <w:color w:val="EE0000"/>
          <w:sz w:val="22"/>
          <w:szCs w:val="22"/>
        </w:rPr>
      </w:pPr>
    </w:p>
    <w:p w14:paraId="4D449418"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8EA6036"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16EC057"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2BDE4144"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5FEB45AC"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400E6FE"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233F08AD"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0C817A4D" w14:textId="21AA745E" w:rsidR="00121DEF" w:rsidRPr="0025020C"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5E3D9E22" w14:textId="77777777" w:rsidR="00121DEF" w:rsidRPr="0025020C" w:rsidRDefault="00121DEF" w:rsidP="00121DEF">
      <w:pPr>
        <w:ind w:right="194"/>
        <w:rPr>
          <w:rFonts w:eastAsia="Arial Unicode MS" w:cs="Arial"/>
        </w:rPr>
      </w:pPr>
    </w:p>
    <w:p w14:paraId="7CE86719" w14:textId="77777777" w:rsidR="00121DEF" w:rsidRPr="0025020C" w:rsidRDefault="00121DEF" w:rsidP="00121DEF">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 yet is one of the first parts of your dissertation a reader will see, therefore, be specific and explicit in your approach.  An abstract should include:</w:t>
      </w:r>
    </w:p>
    <w:p w14:paraId="7AC827BC" w14:textId="77777777" w:rsidR="00121DEF" w:rsidRPr="0025020C" w:rsidRDefault="00121DEF" w:rsidP="00121DEF">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6BA948A9" w14:textId="77777777" w:rsidR="00121DEF" w:rsidRPr="0025020C"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 xml:space="preserve">The overall purpose, aim and objectives. An explanation as to why this research is important in the context of health and social care. </w:t>
      </w:r>
    </w:p>
    <w:p w14:paraId="585574DA" w14:textId="77777777" w:rsidR="00121DEF" w:rsidRPr="0025020C"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A summary of the methods used to complete your dissertation. Outline the research approach (</w:t>
      </w:r>
      <w:r>
        <w:rPr>
          <w:rFonts w:eastAsia="Arial Unicode MS" w:cs="Arial"/>
        </w:rPr>
        <w:t>thematic</w:t>
      </w:r>
      <w:r w:rsidRPr="0025020C">
        <w:rPr>
          <w:rFonts w:eastAsia="Arial Unicode MS" w:cs="Arial"/>
        </w:rPr>
        <w:t xml:space="preserve"> </w:t>
      </w:r>
      <w:r>
        <w:rPr>
          <w:rFonts w:eastAsia="Arial Unicode MS" w:cs="Arial"/>
        </w:rPr>
        <w:t>analysis</w:t>
      </w:r>
      <w:r w:rsidRPr="0025020C">
        <w:rPr>
          <w:rFonts w:eastAsia="Arial Unicode MS" w:cs="Arial"/>
        </w:rPr>
        <w:t>) and indicate the focus on reviewing currently published literature.</w:t>
      </w:r>
    </w:p>
    <w:p w14:paraId="6170B9F7" w14:textId="77777777" w:rsidR="00121DEF" w:rsidRPr="0025020C" w:rsidRDefault="00121DEF" w:rsidP="00121DEF">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Pr="0025020C">
        <w:rPr>
          <w:rFonts w:eastAsia="Arial Unicode MS" w:cs="Times New Roman"/>
          <w:bCs/>
        </w:rPr>
        <w:t>. Highlight the most significant insights, themes and patterns and the conclusions drawn.</w:t>
      </w:r>
      <w:r>
        <w:rPr>
          <w:rFonts w:eastAsia="Arial Unicode MS" w:cs="Arial"/>
        </w:rPr>
        <w:tab/>
      </w:r>
    </w:p>
    <w:p w14:paraId="3C9B32B7" w14:textId="77777777" w:rsidR="00121DEF" w:rsidRPr="0025020C"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Pr>
          <w:rFonts w:eastAsia="Arial Unicode MS" w:cs="Arial"/>
        </w:rPr>
        <w:t xml:space="preserve">limitations and barriers which you identified within your research and how this can be impactful in practice. </w:t>
      </w:r>
    </w:p>
    <w:p w14:paraId="28F5653B" w14:textId="77777777" w:rsidR="00121DEF" w:rsidRDefault="00121DEF" w:rsidP="00121DE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Pr="0025020C">
        <w:rPr>
          <w:rFonts w:eastAsia="Arial Unicode MS" w:cs="Times New Roman"/>
          <w:bCs/>
        </w:rPr>
        <w:t>Summarise the recommendations that you have drawn from your findings.  These should relate to future health and social care practice, policy, education and research.</w:t>
      </w:r>
      <w:r>
        <w:rPr>
          <w:rFonts w:ascii="Times New Roman" w:eastAsia="Arial Unicode MS" w:hAnsi="Times New Roman" w:cs="Times New Roman"/>
          <w:b/>
          <w:sz w:val="24"/>
          <w:szCs w:val="24"/>
        </w:rPr>
        <w:t xml:space="preserve">   </w:t>
      </w:r>
      <w:r w:rsidRPr="006340BA">
        <w:rPr>
          <w:rFonts w:ascii="Times New Roman" w:eastAsia="Arial Unicode MS" w:hAnsi="Times New Roman" w:cs="Times New Roman"/>
          <w:b/>
          <w:sz w:val="24"/>
          <w:szCs w:val="24"/>
        </w:rPr>
        <w:t xml:space="preserve"> </w:t>
      </w:r>
    </w:p>
    <w:p w14:paraId="48CA02F7" w14:textId="77777777" w:rsidR="0019348D" w:rsidRPr="0019348D" w:rsidRDefault="0019348D" w:rsidP="0019348D">
      <w:pPr>
        <w:pStyle w:val="Heading1"/>
        <w:jc w:val="center"/>
        <w:rPr>
          <w:rFonts w:ascii="Arial" w:hAnsi="Arial" w:cs="Arial"/>
          <w:b/>
          <w:bCs/>
          <w:sz w:val="32"/>
          <w:szCs w:val="32"/>
        </w:rPr>
      </w:pPr>
      <w:r w:rsidRPr="0019348D">
        <w:rPr>
          <w:rFonts w:ascii="Arial" w:hAnsi="Arial" w:cs="Arial"/>
          <w:b/>
          <w:bCs/>
          <w:sz w:val="32"/>
          <w:szCs w:val="32"/>
        </w:rPr>
        <w:lastRenderedPageBreak/>
        <w:t>Table of Contents</w:t>
      </w:r>
    </w:p>
    <w:p w14:paraId="5295081B" w14:textId="77777777" w:rsidR="009239BB" w:rsidRDefault="009239BB" w:rsidP="00052B11">
      <w:pPr>
        <w:pStyle w:val="Heading1"/>
        <w:rPr>
          <w:rFonts w:ascii="Arial" w:hAnsi="Arial" w:cs="Arial"/>
          <w:b/>
          <w:bCs/>
          <w:color w:val="000000" w:themeColor="text1"/>
          <w:sz w:val="32"/>
          <w:szCs w:val="32"/>
        </w:rPr>
      </w:pPr>
    </w:p>
    <w:p w14:paraId="49ECD70F" w14:textId="77777777" w:rsidR="009239BB" w:rsidRDefault="009239BB" w:rsidP="00052B11">
      <w:pPr>
        <w:pStyle w:val="Heading1"/>
        <w:rPr>
          <w:rFonts w:ascii="Arial" w:hAnsi="Arial" w:cs="Arial"/>
          <w:b/>
          <w:bCs/>
          <w:color w:val="000000" w:themeColor="text1"/>
          <w:sz w:val="32"/>
          <w:szCs w:val="32"/>
        </w:rPr>
      </w:pPr>
    </w:p>
    <w:p w14:paraId="7E892F11" w14:textId="77777777" w:rsidR="009239BB" w:rsidRDefault="009239BB" w:rsidP="00052B11">
      <w:pPr>
        <w:pStyle w:val="Heading1"/>
        <w:rPr>
          <w:rFonts w:ascii="Arial" w:hAnsi="Arial" w:cs="Arial"/>
          <w:b/>
          <w:bCs/>
          <w:color w:val="000000" w:themeColor="text1"/>
          <w:sz w:val="32"/>
          <w:szCs w:val="32"/>
        </w:rPr>
      </w:pPr>
    </w:p>
    <w:p w14:paraId="6E0C7F59" w14:textId="77777777" w:rsidR="009239BB" w:rsidRDefault="009239BB" w:rsidP="00052B11">
      <w:pPr>
        <w:pStyle w:val="Heading1"/>
        <w:rPr>
          <w:rFonts w:ascii="Arial" w:hAnsi="Arial" w:cs="Arial"/>
          <w:b/>
          <w:bCs/>
          <w:color w:val="000000" w:themeColor="text1"/>
          <w:sz w:val="32"/>
          <w:szCs w:val="32"/>
        </w:rPr>
      </w:pPr>
    </w:p>
    <w:p w14:paraId="3E629605" w14:textId="77777777" w:rsidR="009239BB" w:rsidRDefault="009239BB" w:rsidP="00052B11">
      <w:pPr>
        <w:pStyle w:val="Heading1"/>
        <w:rPr>
          <w:rFonts w:ascii="Arial" w:hAnsi="Arial" w:cs="Arial"/>
          <w:b/>
          <w:bCs/>
          <w:color w:val="000000" w:themeColor="text1"/>
          <w:sz w:val="32"/>
          <w:szCs w:val="32"/>
        </w:rPr>
      </w:pPr>
    </w:p>
    <w:p w14:paraId="1E82C147" w14:textId="77777777" w:rsidR="009239BB" w:rsidRDefault="009239BB" w:rsidP="00052B11">
      <w:pPr>
        <w:pStyle w:val="Heading1"/>
        <w:rPr>
          <w:rFonts w:ascii="Arial" w:hAnsi="Arial" w:cs="Arial"/>
          <w:b/>
          <w:bCs/>
          <w:color w:val="000000" w:themeColor="text1"/>
          <w:sz w:val="32"/>
          <w:szCs w:val="32"/>
        </w:rPr>
      </w:pPr>
    </w:p>
    <w:p w14:paraId="6A9313D5" w14:textId="77777777" w:rsidR="009239BB" w:rsidRDefault="009239BB" w:rsidP="00052B11">
      <w:pPr>
        <w:pStyle w:val="Heading1"/>
        <w:rPr>
          <w:rFonts w:ascii="Arial" w:hAnsi="Arial" w:cs="Arial"/>
          <w:b/>
          <w:bCs/>
          <w:color w:val="000000" w:themeColor="text1"/>
          <w:sz w:val="32"/>
          <w:szCs w:val="32"/>
        </w:rPr>
      </w:pPr>
    </w:p>
    <w:p w14:paraId="133F422B" w14:textId="77777777" w:rsidR="009239BB" w:rsidRDefault="009239BB" w:rsidP="00052B11">
      <w:pPr>
        <w:pStyle w:val="Heading1"/>
        <w:rPr>
          <w:rFonts w:ascii="Arial" w:hAnsi="Arial" w:cs="Arial"/>
          <w:b/>
          <w:bCs/>
          <w:color w:val="000000" w:themeColor="text1"/>
          <w:sz w:val="32"/>
          <w:szCs w:val="32"/>
        </w:rPr>
      </w:pPr>
    </w:p>
    <w:p w14:paraId="584C43B7" w14:textId="77777777" w:rsidR="009239BB" w:rsidRDefault="009239BB" w:rsidP="00052B11">
      <w:pPr>
        <w:pStyle w:val="Heading1"/>
        <w:rPr>
          <w:rFonts w:ascii="Arial" w:hAnsi="Arial" w:cs="Arial"/>
          <w:b/>
          <w:bCs/>
          <w:color w:val="000000" w:themeColor="text1"/>
          <w:sz w:val="32"/>
          <w:szCs w:val="32"/>
        </w:rPr>
      </w:pPr>
    </w:p>
    <w:p w14:paraId="154D383C" w14:textId="77777777" w:rsidR="009239BB" w:rsidRDefault="009239BB" w:rsidP="00052B11">
      <w:pPr>
        <w:pStyle w:val="Heading1"/>
        <w:rPr>
          <w:rFonts w:ascii="Arial" w:hAnsi="Arial" w:cs="Arial"/>
          <w:b/>
          <w:bCs/>
          <w:color w:val="000000" w:themeColor="text1"/>
          <w:sz w:val="32"/>
          <w:szCs w:val="32"/>
        </w:rPr>
      </w:pPr>
    </w:p>
    <w:p w14:paraId="2FA78F0D" w14:textId="77777777" w:rsidR="009239BB" w:rsidRDefault="009239BB" w:rsidP="00052B11">
      <w:pPr>
        <w:pStyle w:val="Heading1"/>
        <w:rPr>
          <w:rFonts w:ascii="Arial" w:hAnsi="Arial" w:cs="Arial"/>
          <w:b/>
          <w:bCs/>
          <w:color w:val="000000" w:themeColor="text1"/>
          <w:sz w:val="32"/>
          <w:szCs w:val="32"/>
        </w:rPr>
      </w:pPr>
    </w:p>
    <w:p w14:paraId="6FBF2212" w14:textId="77777777" w:rsidR="009239BB" w:rsidRDefault="009239BB" w:rsidP="00052B11">
      <w:pPr>
        <w:pStyle w:val="Heading1"/>
        <w:rPr>
          <w:rFonts w:ascii="Arial" w:hAnsi="Arial" w:cs="Arial"/>
          <w:b/>
          <w:bCs/>
          <w:color w:val="000000" w:themeColor="text1"/>
          <w:sz w:val="32"/>
          <w:szCs w:val="32"/>
        </w:rPr>
      </w:pPr>
    </w:p>
    <w:p w14:paraId="7A77B226" w14:textId="77777777" w:rsidR="009239BB" w:rsidRDefault="009239BB" w:rsidP="00052B11">
      <w:pPr>
        <w:pStyle w:val="Heading1"/>
        <w:rPr>
          <w:rFonts w:ascii="Arial" w:hAnsi="Arial" w:cs="Arial"/>
          <w:b/>
          <w:bCs/>
          <w:color w:val="000000" w:themeColor="text1"/>
          <w:sz w:val="32"/>
          <w:szCs w:val="32"/>
        </w:rPr>
      </w:pPr>
    </w:p>
    <w:p w14:paraId="42F829EA" w14:textId="77777777" w:rsidR="009239BB" w:rsidRDefault="009239BB" w:rsidP="00052B11">
      <w:pPr>
        <w:pStyle w:val="Heading1"/>
        <w:rPr>
          <w:rFonts w:ascii="Arial" w:hAnsi="Arial" w:cs="Arial"/>
          <w:b/>
          <w:bCs/>
          <w:color w:val="000000" w:themeColor="text1"/>
          <w:sz w:val="32"/>
          <w:szCs w:val="32"/>
        </w:rPr>
      </w:pPr>
    </w:p>
    <w:p w14:paraId="7E6B0E80" w14:textId="75BBDC1D" w:rsidR="00052B11" w:rsidRPr="00205539" w:rsidRDefault="00052B11" w:rsidP="00AC2357">
      <w:pPr>
        <w:pStyle w:val="Heading1"/>
        <w:jc w:val="left"/>
        <w:rPr>
          <w:rFonts w:ascii="Arial" w:hAnsi="Arial" w:cs="Arial"/>
          <w:color w:val="000000" w:themeColor="text1"/>
          <w:sz w:val="32"/>
          <w:szCs w:val="32"/>
        </w:rPr>
      </w:pPr>
      <w:r w:rsidRPr="00205539">
        <w:rPr>
          <w:rFonts w:ascii="Arial" w:hAnsi="Arial" w:cs="Arial"/>
          <w:b/>
          <w:bCs/>
          <w:color w:val="000000" w:themeColor="text1"/>
          <w:sz w:val="32"/>
          <w:szCs w:val="32"/>
        </w:rPr>
        <w:lastRenderedPageBreak/>
        <w:t>CHAPTER 1: Introduction</w:t>
      </w:r>
      <w:r w:rsidRPr="00205539">
        <w:rPr>
          <w:rFonts w:ascii="Arial" w:hAnsi="Arial" w:cs="Arial"/>
          <w:color w:val="000000" w:themeColor="text1"/>
          <w:sz w:val="32"/>
          <w:szCs w:val="32"/>
        </w:rPr>
        <w:t xml:space="preserve"> </w:t>
      </w:r>
    </w:p>
    <w:p w14:paraId="06E59A79" w14:textId="77777777" w:rsidR="00280C12" w:rsidRPr="00E92BD9" w:rsidRDefault="008E6609" w:rsidP="00280C12">
      <w:pPr>
        <w:pStyle w:val="Heading2"/>
        <w:rPr>
          <w:rFonts w:ascii="Arial" w:hAnsi="Arial" w:cs="Arial"/>
          <w:color w:val="000000" w:themeColor="text1"/>
          <w:sz w:val="28"/>
          <w:szCs w:val="28"/>
        </w:rPr>
      </w:pPr>
      <w:r w:rsidRPr="00E92BD9">
        <w:rPr>
          <w:rFonts w:ascii="Arial" w:hAnsi="Arial" w:cs="Arial"/>
          <w:color w:val="000000" w:themeColor="text1"/>
          <w:sz w:val="28"/>
          <w:szCs w:val="28"/>
        </w:rPr>
        <w:t>1.1 Introduction</w:t>
      </w:r>
    </w:p>
    <w:p w14:paraId="26AD5DF0" w14:textId="139AE31A" w:rsidR="00122138" w:rsidRPr="00280C12" w:rsidRDefault="00122138" w:rsidP="00280C12">
      <w:pPr>
        <w:pStyle w:val="Heading2"/>
      </w:pPr>
      <w:r w:rsidRPr="00422E29">
        <w:rPr>
          <w:rFonts w:ascii="Arial" w:hAnsi="Arial" w:cs="Arial"/>
          <w:color w:val="000000" w:themeColor="text1"/>
          <w:sz w:val="22"/>
          <w:szCs w:val="22"/>
        </w:rPr>
        <w:t>The Adult Social Care sector (ASC) in the United Kingdom (UK) is experiencing persistent workforce shortages, characterised by high vacancy rates, staff turnover, and rising demand for services</w:t>
      </w:r>
      <w:r w:rsidRPr="00280C12">
        <w:rPr>
          <w:rFonts w:ascii="Arial" w:hAnsi="Arial" w:cs="Arial"/>
          <w:sz w:val="22"/>
          <w:szCs w:val="22"/>
        </w:rPr>
        <w:t xml:space="preserve"> (</w:t>
      </w:r>
      <w:r w:rsidRPr="00E54634">
        <w:rPr>
          <w:rFonts w:ascii="Arial" w:hAnsi="Arial" w:cs="Arial"/>
          <w:color w:val="EE0000"/>
          <w:sz w:val="22"/>
          <w:szCs w:val="22"/>
        </w:rPr>
        <w:t xml:space="preserve">Moriarty </w:t>
      </w:r>
      <w:r w:rsidRPr="007B69D9">
        <w:rPr>
          <w:rFonts w:ascii="Arial" w:hAnsi="Arial" w:cs="Arial"/>
          <w:i/>
          <w:iCs/>
          <w:color w:val="EE0000"/>
          <w:sz w:val="22"/>
          <w:szCs w:val="22"/>
        </w:rPr>
        <w:t>et al.,</w:t>
      </w:r>
      <w:r w:rsidRPr="00E54634">
        <w:rPr>
          <w:rFonts w:ascii="Arial" w:hAnsi="Arial" w:cs="Arial"/>
          <w:color w:val="EE0000"/>
          <w:sz w:val="22"/>
          <w:szCs w:val="22"/>
        </w:rPr>
        <w:t xml:space="preserve"> 2018). </w:t>
      </w:r>
      <w:r w:rsidRPr="00422E29">
        <w:rPr>
          <w:rFonts w:ascii="Arial" w:hAnsi="Arial" w:cs="Arial"/>
          <w:color w:val="000000" w:themeColor="text1"/>
          <w:sz w:val="22"/>
          <w:szCs w:val="22"/>
        </w:rPr>
        <w:t>With approximately 1.59 million people employed in</w:t>
      </w:r>
      <w:r w:rsidR="00B3200F" w:rsidRPr="00422E29">
        <w:rPr>
          <w:rFonts w:ascii="Arial" w:hAnsi="Arial" w:cs="Arial"/>
          <w:color w:val="000000" w:themeColor="text1"/>
          <w:sz w:val="22"/>
          <w:szCs w:val="22"/>
        </w:rPr>
        <w:t xml:space="preserve"> ASC </w:t>
      </w:r>
      <w:r w:rsidRPr="00422E29">
        <w:rPr>
          <w:rFonts w:ascii="Arial" w:hAnsi="Arial" w:cs="Arial"/>
          <w:color w:val="000000" w:themeColor="text1"/>
          <w:sz w:val="22"/>
          <w:szCs w:val="22"/>
        </w:rPr>
        <w:t xml:space="preserve">in 2023/24 and around 131,000 vacant positions, workforce sustainability has become a major policy and operational concern </w:t>
      </w:r>
      <w:r w:rsidRPr="00B830B6">
        <w:rPr>
          <w:rFonts w:ascii="Arial" w:hAnsi="Arial" w:cs="Arial"/>
          <w:color w:val="EE0000"/>
          <w:sz w:val="22"/>
          <w:szCs w:val="22"/>
        </w:rPr>
        <w:t>(Skills for Care, 202</w:t>
      </w:r>
      <w:r w:rsidR="002B1F02">
        <w:rPr>
          <w:rFonts w:ascii="Arial" w:hAnsi="Arial" w:cs="Arial"/>
          <w:color w:val="EE0000"/>
          <w:sz w:val="22"/>
          <w:szCs w:val="22"/>
        </w:rPr>
        <w:t>5</w:t>
      </w:r>
      <w:r w:rsidRPr="00B830B6">
        <w:rPr>
          <w:rFonts w:ascii="Arial" w:hAnsi="Arial" w:cs="Arial"/>
          <w:color w:val="EE0000"/>
          <w:sz w:val="22"/>
          <w:szCs w:val="22"/>
        </w:rPr>
        <w:t xml:space="preserve">). </w:t>
      </w:r>
      <w:r w:rsidRPr="00422E29">
        <w:rPr>
          <w:rFonts w:ascii="Arial" w:hAnsi="Arial" w:cs="Arial"/>
          <w:color w:val="000000" w:themeColor="text1"/>
          <w:sz w:val="22"/>
          <w:szCs w:val="22"/>
        </w:rPr>
        <w:t xml:space="preserve">These shortages have intensified in the context of an ageing population and increasingly complex care needs </w:t>
      </w:r>
      <w:r w:rsidRPr="002635A8">
        <w:rPr>
          <w:rFonts w:ascii="Arial" w:hAnsi="Arial" w:cs="Arial"/>
          <w:sz w:val="22"/>
          <w:szCs w:val="22"/>
        </w:rPr>
        <w:t>(</w:t>
      </w:r>
      <w:r w:rsidR="002635A8" w:rsidRPr="002635A8">
        <w:rPr>
          <w:rFonts w:ascii="Arial" w:hAnsi="Arial" w:cs="Arial"/>
          <w:color w:val="EE0000"/>
          <w:sz w:val="22"/>
          <w:szCs w:val="22"/>
        </w:rPr>
        <w:t>Office for National Statistics (ONS)</w:t>
      </w:r>
      <w:r w:rsidRPr="002635A8">
        <w:rPr>
          <w:rFonts w:ascii="Arial" w:hAnsi="Arial" w:cs="Arial"/>
          <w:color w:val="EE0000"/>
          <w:sz w:val="22"/>
          <w:szCs w:val="22"/>
        </w:rPr>
        <w:t>, 2023).</w:t>
      </w:r>
      <w:r w:rsidRPr="007B69D9">
        <w:rPr>
          <w:rFonts w:ascii="Arial" w:hAnsi="Arial" w:cs="Arial"/>
          <w:color w:val="EE0000"/>
          <w:sz w:val="22"/>
          <w:szCs w:val="22"/>
        </w:rPr>
        <w:t xml:space="preserve"> </w:t>
      </w:r>
      <w:r w:rsidRPr="00422E29">
        <w:rPr>
          <w:rFonts w:ascii="Arial" w:hAnsi="Arial" w:cs="Arial"/>
          <w:color w:val="000000" w:themeColor="text1"/>
          <w:sz w:val="22"/>
          <w:szCs w:val="22"/>
        </w:rPr>
        <w:t xml:space="preserve">In response to domestic recruitment difficulties, the UK has increasingly relied on a migrant workforce to maintain services and ensure continuity of care </w:t>
      </w:r>
      <w:r w:rsidRPr="00B830B6">
        <w:rPr>
          <w:rFonts w:ascii="Arial" w:hAnsi="Arial" w:cs="Arial"/>
          <w:color w:val="EE0000"/>
          <w:sz w:val="22"/>
          <w:szCs w:val="22"/>
        </w:rPr>
        <w:t>(Turnpenny &amp; Hussein, 2022).</w:t>
      </w:r>
    </w:p>
    <w:p w14:paraId="7463EC17" w14:textId="5BEED8E7" w:rsidR="00122138" w:rsidRPr="00B830B6" w:rsidRDefault="00122138" w:rsidP="00280C12">
      <w:pPr>
        <w:pStyle w:val="p2"/>
        <w:spacing w:line="360" w:lineRule="auto"/>
        <w:rPr>
          <w:rFonts w:ascii="Arial" w:hAnsi="Arial" w:cs="Arial"/>
          <w:color w:val="EE0000"/>
          <w:sz w:val="22"/>
          <w:szCs w:val="22"/>
        </w:rPr>
      </w:pPr>
      <w:r w:rsidRPr="00280C12">
        <w:rPr>
          <w:rFonts w:ascii="Arial" w:hAnsi="Arial" w:cs="Arial"/>
          <w:sz w:val="22"/>
          <w:szCs w:val="22"/>
        </w:rPr>
        <w:t>Migrant workers now constitute approximately one-quarter of the adult social care workforce, occupying many frontline direct care roles (</w:t>
      </w:r>
      <w:r w:rsidRPr="00E54634">
        <w:rPr>
          <w:rFonts w:ascii="Arial" w:hAnsi="Arial" w:cs="Arial"/>
          <w:color w:val="EE0000"/>
          <w:sz w:val="22"/>
          <w:szCs w:val="22"/>
        </w:rPr>
        <w:t>Skills for Care, 202</w:t>
      </w:r>
      <w:r w:rsidR="002B1F02">
        <w:rPr>
          <w:rFonts w:ascii="Arial" w:hAnsi="Arial" w:cs="Arial"/>
          <w:color w:val="EE0000"/>
          <w:sz w:val="22"/>
          <w:szCs w:val="22"/>
        </w:rPr>
        <w:t>5</w:t>
      </w:r>
      <w:r w:rsidRPr="00E54634">
        <w:rPr>
          <w:rFonts w:ascii="Arial" w:hAnsi="Arial" w:cs="Arial"/>
          <w:color w:val="EE0000"/>
          <w:sz w:val="22"/>
          <w:szCs w:val="22"/>
        </w:rPr>
        <w:t xml:space="preserve">). </w:t>
      </w:r>
      <w:r w:rsidRPr="00280C12">
        <w:rPr>
          <w:rFonts w:ascii="Arial" w:hAnsi="Arial" w:cs="Arial"/>
          <w:sz w:val="22"/>
          <w:szCs w:val="22"/>
        </w:rPr>
        <w:t>Policy reforms, including the placement of care roles on the Shortage Occupation List</w:t>
      </w:r>
      <w:r w:rsidR="00046DE5">
        <w:rPr>
          <w:rFonts w:ascii="Arial" w:hAnsi="Arial" w:cs="Arial"/>
          <w:sz w:val="22"/>
          <w:szCs w:val="22"/>
        </w:rPr>
        <w:t xml:space="preserve"> (SOL) </w:t>
      </w:r>
      <w:r w:rsidRPr="00280C12">
        <w:rPr>
          <w:rFonts w:ascii="Arial" w:hAnsi="Arial" w:cs="Arial"/>
          <w:sz w:val="22"/>
          <w:szCs w:val="22"/>
        </w:rPr>
        <w:t xml:space="preserve">and the introduction of the Health and Care Worker visa, have shaped international recruitment patterns </w:t>
      </w:r>
      <w:r w:rsidRPr="00B830B6">
        <w:rPr>
          <w:rFonts w:ascii="Arial" w:hAnsi="Arial" w:cs="Arial"/>
          <w:color w:val="EE0000"/>
          <w:sz w:val="22"/>
          <w:szCs w:val="22"/>
        </w:rPr>
        <w:t>(</w:t>
      </w:r>
      <w:r w:rsidR="00364FF1">
        <w:rPr>
          <w:rFonts w:ascii="Arial" w:hAnsi="Arial" w:cs="Arial"/>
          <w:color w:val="EE0000"/>
          <w:sz w:val="22"/>
          <w:szCs w:val="22"/>
        </w:rPr>
        <w:t>GOV.UK</w:t>
      </w:r>
      <w:r w:rsidRPr="00B830B6">
        <w:rPr>
          <w:rFonts w:ascii="Arial" w:hAnsi="Arial" w:cs="Arial"/>
          <w:color w:val="EE0000"/>
          <w:sz w:val="22"/>
          <w:szCs w:val="22"/>
        </w:rPr>
        <w:t>, 2021)</w:t>
      </w:r>
      <w:r w:rsidRPr="00280C12">
        <w:rPr>
          <w:rFonts w:ascii="Arial" w:hAnsi="Arial" w:cs="Arial"/>
          <w:sz w:val="22"/>
          <w:szCs w:val="22"/>
        </w:rPr>
        <w:t>. However, recent tightening of immigration rules and visa restrictions has raised concerns regarding the long-term sustainability of this reliance and exposed structural vulnerabilities in workforce planning (</w:t>
      </w:r>
      <w:r w:rsidRPr="00B830B6">
        <w:rPr>
          <w:rFonts w:ascii="Arial" w:hAnsi="Arial" w:cs="Arial"/>
          <w:color w:val="EE0000"/>
          <w:sz w:val="22"/>
          <w:szCs w:val="22"/>
        </w:rPr>
        <w:t>Migration Observatory,</w:t>
      </w:r>
      <w:r w:rsidR="006D4D35">
        <w:rPr>
          <w:rFonts w:ascii="Arial" w:hAnsi="Arial" w:cs="Arial"/>
          <w:color w:val="EE0000"/>
          <w:sz w:val="22"/>
          <w:szCs w:val="22"/>
        </w:rPr>
        <w:t xml:space="preserve"> 2023</w:t>
      </w:r>
      <w:r w:rsidRPr="00B830B6">
        <w:rPr>
          <w:rFonts w:ascii="Arial" w:hAnsi="Arial" w:cs="Arial"/>
          <w:color w:val="EE0000"/>
          <w:sz w:val="22"/>
          <w:szCs w:val="22"/>
        </w:rPr>
        <w:t>).</w:t>
      </w:r>
    </w:p>
    <w:p w14:paraId="55A0A4C7" w14:textId="77777777" w:rsidR="00562856" w:rsidRDefault="00122138" w:rsidP="00562856">
      <w:pPr>
        <w:pStyle w:val="p2"/>
        <w:spacing w:line="360" w:lineRule="auto"/>
        <w:rPr>
          <w:rFonts w:ascii="Arial" w:hAnsi="Arial" w:cs="Arial"/>
          <w:color w:val="EE0000"/>
          <w:sz w:val="22"/>
          <w:szCs w:val="22"/>
        </w:rPr>
      </w:pPr>
      <w:r w:rsidRPr="00280C12">
        <w:rPr>
          <w:rFonts w:ascii="Arial" w:hAnsi="Arial" w:cs="Arial"/>
          <w:sz w:val="22"/>
          <w:szCs w:val="22"/>
        </w:rPr>
        <w:t xml:space="preserve">The primary aim of this dissertation is to examine how migrant workers support the </w:t>
      </w:r>
      <w:r w:rsidR="00046DE5">
        <w:rPr>
          <w:rFonts w:ascii="Arial" w:hAnsi="Arial" w:cs="Arial"/>
          <w:sz w:val="22"/>
          <w:szCs w:val="22"/>
        </w:rPr>
        <w:t>A</w:t>
      </w:r>
      <w:r w:rsidR="0058204B">
        <w:rPr>
          <w:rFonts w:ascii="Arial" w:hAnsi="Arial" w:cs="Arial"/>
          <w:sz w:val="22"/>
          <w:szCs w:val="22"/>
        </w:rPr>
        <w:t xml:space="preserve">SC </w:t>
      </w:r>
      <w:r w:rsidRPr="00280C12">
        <w:rPr>
          <w:rFonts w:ascii="Arial" w:hAnsi="Arial" w:cs="Arial"/>
          <w:sz w:val="22"/>
          <w:szCs w:val="22"/>
        </w:rPr>
        <w:t xml:space="preserve">workforce in the UK. It will explore their contribution to care delivery and workforce stability, alongside the policy factors affecting their recruitment and experiences. By critically analysing policy, workforce data, and academic literature, this research contributes to ongoing UK debates surrounding migration, labour sustainability, and social care reform </w:t>
      </w:r>
      <w:r w:rsidRPr="00B830B6">
        <w:rPr>
          <w:rFonts w:ascii="Arial" w:hAnsi="Arial" w:cs="Arial"/>
          <w:color w:val="EE0000"/>
          <w:sz w:val="22"/>
          <w:szCs w:val="22"/>
        </w:rPr>
        <w:t>(Glasby, 2021).</w:t>
      </w:r>
    </w:p>
    <w:p w14:paraId="3B06FFEF" w14:textId="0EDE509F" w:rsidR="008E6609" w:rsidRPr="00E92BD9" w:rsidRDefault="008E6609" w:rsidP="00562856">
      <w:pPr>
        <w:pStyle w:val="p2"/>
        <w:spacing w:line="360" w:lineRule="auto"/>
        <w:rPr>
          <w:rFonts w:ascii="Arial" w:hAnsi="Arial" w:cs="Arial"/>
          <w:color w:val="EE0000"/>
          <w:sz w:val="22"/>
          <w:szCs w:val="22"/>
        </w:rPr>
      </w:pPr>
      <w:r w:rsidRPr="00E92BD9">
        <w:rPr>
          <w:rFonts w:ascii="Arial" w:hAnsi="Arial" w:cs="Arial"/>
          <w:color w:val="000000" w:themeColor="text1"/>
          <w:sz w:val="28"/>
          <w:szCs w:val="28"/>
        </w:rPr>
        <w:t>1.2 Definitions and Terminology</w:t>
      </w:r>
    </w:p>
    <w:p w14:paraId="57856CFA" w14:textId="6B1CE1AE" w:rsidR="00E71013" w:rsidRPr="00415D39" w:rsidRDefault="0058204B" w:rsidP="00EF0CEA">
      <w:pPr>
        <w:pStyle w:val="p1"/>
        <w:spacing w:line="360" w:lineRule="auto"/>
        <w:rPr>
          <w:rFonts w:ascii="Arial" w:hAnsi="Arial" w:cs="Arial"/>
          <w:sz w:val="22"/>
          <w:szCs w:val="22"/>
        </w:rPr>
      </w:pPr>
      <w:r w:rsidRPr="005C1755">
        <w:rPr>
          <w:rFonts w:ascii="Arial" w:hAnsi="Arial" w:cs="Arial"/>
          <w:color w:val="000000" w:themeColor="text1"/>
          <w:sz w:val="22"/>
          <w:szCs w:val="22"/>
        </w:rPr>
        <w:t>A</w:t>
      </w:r>
      <w:r w:rsidR="00A861E1" w:rsidRPr="005C1755">
        <w:rPr>
          <w:rFonts w:ascii="Arial" w:hAnsi="Arial" w:cs="Arial"/>
          <w:color w:val="000000" w:themeColor="text1"/>
          <w:sz w:val="22"/>
          <w:szCs w:val="22"/>
        </w:rPr>
        <w:t>SC</w:t>
      </w:r>
      <w:r w:rsidR="00E71013" w:rsidRPr="005C1755">
        <w:rPr>
          <w:rFonts w:ascii="Arial" w:hAnsi="Arial" w:cs="Arial"/>
          <w:color w:val="000000" w:themeColor="text1"/>
          <w:sz w:val="22"/>
          <w:szCs w:val="22"/>
        </w:rPr>
        <w:t xml:space="preserve"> is defined as services that provide personal care and practical support to adults with physical disabilities, learning disabilities, mental health conditions, or age-related needs, including residential care, domiciliary care, supported living and community-based services, delivered across public, private and voluntary sectors, as outlined by the Care Quality Commission </w:t>
      </w:r>
      <w:r w:rsidR="00E71013" w:rsidRPr="000C7F3D">
        <w:rPr>
          <w:rFonts w:ascii="Arial" w:hAnsi="Arial" w:cs="Arial"/>
          <w:color w:val="EE0000"/>
          <w:sz w:val="22"/>
          <w:szCs w:val="22"/>
        </w:rPr>
        <w:t>(CQC, 202</w:t>
      </w:r>
      <w:r w:rsidR="00DC6CF2">
        <w:rPr>
          <w:rFonts w:ascii="Arial" w:hAnsi="Arial" w:cs="Arial"/>
          <w:color w:val="EE0000"/>
          <w:sz w:val="22"/>
          <w:szCs w:val="22"/>
        </w:rPr>
        <w:t>6</w:t>
      </w:r>
      <w:r w:rsidR="00E71013" w:rsidRPr="000C7F3D">
        <w:rPr>
          <w:rFonts w:ascii="Arial" w:hAnsi="Arial" w:cs="Arial"/>
          <w:color w:val="EE0000"/>
          <w:sz w:val="22"/>
          <w:szCs w:val="22"/>
        </w:rPr>
        <w:t>).</w:t>
      </w:r>
    </w:p>
    <w:p w14:paraId="406D954F" w14:textId="51A9846A" w:rsidR="00E71013" w:rsidRPr="00F92372" w:rsidRDefault="00E71013" w:rsidP="00EF0CEA">
      <w:pPr>
        <w:pStyle w:val="p1"/>
        <w:spacing w:line="360" w:lineRule="auto"/>
        <w:rPr>
          <w:rFonts w:ascii="Arial" w:hAnsi="Arial" w:cs="Arial"/>
          <w:color w:val="EE0000"/>
          <w:sz w:val="22"/>
          <w:szCs w:val="22"/>
        </w:rPr>
      </w:pPr>
      <w:r w:rsidRPr="00415D39">
        <w:rPr>
          <w:rFonts w:ascii="Arial" w:hAnsi="Arial" w:cs="Arial"/>
          <w:sz w:val="22"/>
          <w:szCs w:val="22"/>
        </w:rPr>
        <w:lastRenderedPageBreak/>
        <w:t xml:space="preserve">In this research, the term </w:t>
      </w:r>
      <w:r w:rsidRPr="003930B5">
        <w:rPr>
          <w:rFonts w:ascii="Arial" w:hAnsi="Arial" w:cs="Arial"/>
          <w:sz w:val="22"/>
          <w:szCs w:val="22"/>
        </w:rPr>
        <w:t>migrant workers</w:t>
      </w:r>
      <w:r w:rsidRPr="00415D39">
        <w:rPr>
          <w:rFonts w:ascii="Arial" w:hAnsi="Arial" w:cs="Arial"/>
          <w:sz w:val="22"/>
          <w:szCs w:val="22"/>
        </w:rPr>
        <w:t xml:space="preserve"> refers to individuals employed in</w:t>
      </w:r>
      <w:r w:rsidR="0034070A">
        <w:rPr>
          <w:rFonts w:ascii="Arial" w:hAnsi="Arial" w:cs="Arial"/>
          <w:sz w:val="22"/>
          <w:szCs w:val="22"/>
        </w:rPr>
        <w:t xml:space="preserve"> the </w:t>
      </w:r>
      <w:r w:rsidRPr="00415D39">
        <w:rPr>
          <w:rFonts w:ascii="Arial" w:hAnsi="Arial" w:cs="Arial"/>
          <w:sz w:val="22"/>
          <w:szCs w:val="22"/>
        </w:rPr>
        <w:t xml:space="preserve">UK </w:t>
      </w:r>
      <w:r w:rsidR="008E6498">
        <w:rPr>
          <w:rFonts w:ascii="Arial" w:hAnsi="Arial" w:cs="Arial"/>
          <w:sz w:val="22"/>
          <w:szCs w:val="22"/>
        </w:rPr>
        <w:t>i</w:t>
      </w:r>
      <w:r w:rsidR="00200C4F">
        <w:rPr>
          <w:rFonts w:ascii="Arial" w:hAnsi="Arial" w:cs="Arial"/>
          <w:sz w:val="22"/>
          <w:szCs w:val="22"/>
        </w:rPr>
        <w:t xml:space="preserve">n </w:t>
      </w:r>
      <w:r w:rsidR="0034070A">
        <w:rPr>
          <w:rFonts w:ascii="Arial" w:hAnsi="Arial" w:cs="Arial"/>
          <w:sz w:val="22"/>
          <w:szCs w:val="22"/>
        </w:rPr>
        <w:t xml:space="preserve">ASC </w:t>
      </w:r>
      <w:r w:rsidRPr="00415D39">
        <w:rPr>
          <w:rFonts w:ascii="Arial" w:hAnsi="Arial" w:cs="Arial"/>
          <w:sz w:val="22"/>
          <w:szCs w:val="22"/>
        </w:rPr>
        <w:t xml:space="preserve">who were born outside the United Kingdom. This includes workers holding settled or pre-settled status and those entering through official migration routes such as the Health and Care Worker visa, as described by the </w:t>
      </w:r>
      <w:r w:rsidRPr="00F92372">
        <w:rPr>
          <w:rFonts w:ascii="Arial" w:hAnsi="Arial" w:cs="Arial"/>
          <w:color w:val="EE0000"/>
          <w:sz w:val="22"/>
          <w:szCs w:val="22"/>
        </w:rPr>
        <w:t xml:space="preserve">Migration Observatory </w:t>
      </w:r>
      <w:r w:rsidR="00BE25B1">
        <w:rPr>
          <w:rFonts w:ascii="Arial" w:hAnsi="Arial" w:cs="Arial"/>
          <w:color w:val="EE0000"/>
          <w:sz w:val="22"/>
          <w:szCs w:val="22"/>
        </w:rPr>
        <w:t>(</w:t>
      </w:r>
      <w:r w:rsidRPr="00F92372">
        <w:rPr>
          <w:rFonts w:ascii="Arial" w:hAnsi="Arial" w:cs="Arial"/>
          <w:color w:val="EE0000"/>
          <w:sz w:val="22"/>
          <w:szCs w:val="22"/>
        </w:rPr>
        <w:t>202</w:t>
      </w:r>
      <w:r w:rsidR="006D4D35">
        <w:rPr>
          <w:rFonts w:ascii="Arial" w:hAnsi="Arial" w:cs="Arial"/>
          <w:color w:val="EE0000"/>
          <w:sz w:val="22"/>
          <w:szCs w:val="22"/>
        </w:rPr>
        <w:t>3</w:t>
      </w:r>
      <w:r w:rsidRPr="00F92372">
        <w:rPr>
          <w:rFonts w:ascii="Arial" w:hAnsi="Arial" w:cs="Arial"/>
          <w:color w:val="EE0000"/>
          <w:sz w:val="22"/>
          <w:szCs w:val="22"/>
        </w:rPr>
        <w:t xml:space="preserve">). </w:t>
      </w:r>
      <w:r w:rsidRPr="00415D39">
        <w:rPr>
          <w:rFonts w:ascii="Arial" w:hAnsi="Arial" w:cs="Arial"/>
          <w:sz w:val="22"/>
          <w:szCs w:val="22"/>
        </w:rPr>
        <w:t>Particular attention is given to migrant workers employed in direct care and support roles, where international recruitment has become a significant component of workforce supply (</w:t>
      </w:r>
      <w:r w:rsidRPr="00F92372">
        <w:rPr>
          <w:rFonts w:ascii="Arial" w:hAnsi="Arial" w:cs="Arial"/>
          <w:color w:val="EE0000"/>
          <w:sz w:val="22"/>
          <w:szCs w:val="22"/>
        </w:rPr>
        <w:t>Skills for Care, 202</w:t>
      </w:r>
      <w:r w:rsidR="00B01593">
        <w:rPr>
          <w:rFonts w:ascii="Arial" w:hAnsi="Arial" w:cs="Arial"/>
          <w:color w:val="EE0000"/>
          <w:sz w:val="22"/>
          <w:szCs w:val="22"/>
        </w:rPr>
        <w:t>5</w:t>
      </w:r>
      <w:r w:rsidRPr="00F92372">
        <w:rPr>
          <w:rFonts w:ascii="Arial" w:hAnsi="Arial" w:cs="Arial"/>
          <w:color w:val="EE0000"/>
          <w:sz w:val="22"/>
          <w:szCs w:val="22"/>
        </w:rPr>
        <w:t>).</w:t>
      </w:r>
    </w:p>
    <w:p w14:paraId="42CC0942" w14:textId="77777777" w:rsidR="00E71013" w:rsidRPr="00BB24F1" w:rsidRDefault="00E71013" w:rsidP="00EF0CEA">
      <w:pPr>
        <w:pStyle w:val="p1"/>
        <w:spacing w:line="360" w:lineRule="auto"/>
        <w:rPr>
          <w:rFonts w:ascii="Arial" w:hAnsi="Arial" w:cs="Arial"/>
          <w:color w:val="EE0000"/>
          <w:sz w:val="22"/>
          <w:szCs w:val="22"/>
        </w:rPr>
      </w:pPr>
      <w:r w:rsidRPr="00EF0CEA">
        <w:rPr>
          <w:rFonts w:ascii="Arial" w:hAnsi="Arial" w:cs="Arial"/>
          <w:sz w:val="22"/>
          <w:szCs w:val="22"/>
        </w:rPr>
        <w:t>Workforce sustainability</w:t>
      </w:r>
      <w:r w:rsidRPr="00415D39">
        <w:rPr>
          <w:rFonts w:ascii="Arial" w:hAnsi="Arial" w:cs="Arial"/>
          <w:sz w:val="22"/>
          <w:szCs w:val="22"/>
        </w:rPr>
        <w:t xml:space="preserve"> refers to the sector’s capacity to recruit, retain and maintain a stable workforce able to meet present and future demand. This incorporates vacancy rates, staff turnover, workforce planning and continuity of care, highlighted within national workforce planning frameworks </w:t>
      </w:r>
      <w:r w:rsidRPr="00BB24F1">
        <w:rPr>
          <w:rFonts w:ascii="Arial" w:hAnsi="Arial" w:cs="Arial"/>
          <w:color w:val="EE0000"/>
          <w:sz w:val="22"/>
          <w:szCs w:val="22"/>
        </w:rPr>
        <w:t>(Department of Health and Social Care, 2022).</w:t>
      </w:r>
    </w:p>
    <w:p w14:paraId="0C9B8CD9" w14:textId="03D40696" w:rsidR="008E6609" w:rsidRPr="00E92BD9" w:rsidRDefault="008E6609" w:rsidP="008E6609">
      <w:pPr>
        <w:pStyle w:val="Heading2"/>
        <w:rPr>
          <w:rFonts w:ascii="Arial" w:hAnsi="Arial" w:cs="Arial"/>
          <w:color w:val="000000" w:themeColor="text1"/>
          <w:sz w:val="28"/>
          <w:szCs w:val="28"/>
        </w:rPr>
      </w:pPr>
      <w:r w:rsidRPr="00E92BD9">
        <w:rPr>
          <w:rFonts w:ascii="Arial" w:hAnsi="Arial" w:cs="Arial"/>
          <w:color w:val="000000" w:themeColor="text1"/>
          <w:sz w:val="28"/>
          <w:szCs w:val="28"/>
        </w:rPr>
        <w:t>1.3 Rationale for Research</w:t>
      </w:r>
    </w:p>
    <w:p w14:paraId="0FA8F300" w14:textId="6C873FB8" w:rsidR="00CA5008" w:rsidRPr="002E4FE2" w:rsidRDefault="00CA5008" w:rsidP="00CA5008">
      <w:pPr>
        <w:pStyle w:val="p1"/>
        <w:spacing w:line="360" w:lineRule="auto"/>
        <w:rPr>
          <w:rFonts w:ascii="Arial" w:hAnsi="Arial" w:cs="Arial"/>
          <w:color w:val="EE0000"/>
          <w:sz w:val="22"/>
          <w:szCs w:val="22"/>
        </w:rPr>
      </w:pPr>
      <w:r w:rsidRPr="00CA5008">
        <w:rPr>
          <w:rFonts w:ascii="Arial" w:hAnsi="Arial" w:cs="Arial"/>
          <w:sz w:val="22"/>
          <w:szCs w:val="22"/>
        </w:rPr>
        <w:t xml:space="preserve">The growing relationship between migration policy and the sustainability of the </w:t>
      </w:r>
      <w:r w:rsidR="004D4C9A">
        <w:rPr>
          <w:rFonts w:ascii="Arial" w:hAnsi="Arial" w:cs="Arial"/>
          <w:sz w:val="22"/>
          <w:szCs w:val="22"/>
        </w:rPr>
        <w:t xml:space="preserve">ASC </w:t>
      </w:r>
      <w:r w:rsidRPr="00CA5008">
        <w:rPr>
          <w:rFonts w:ascii="Arial" w:hAnsi="Arial" w:cs="Arial"/>
          <w:sz w:val="22"/>
          <w:szCs w:val="22"/>
        </w:rPr>
        <w:t xml:space="preserve">workforce in the UK is the reason this research topic was selected, as highlighted in national workforce reform discussions </w:t>
      </w:r>
      <w:r w:rsidRPr="002D43BE">
        <w:rPr>
          <w:rFonts w:ascii="Arial" w:hAnsi="Arial" w:cs="Arial"/>
          <w:color w:val="EE0000"/>
          <w:sz w:val="22"/>
          <w:szCs w:val="22"/>
        </w:rPr>
        <w:t xml:space="preserve">(Department of Health and Social Care, 2022). </w:t>
      </w:r>
      <w:r w:rsidRPr="00CA5008">
        <w:rPr>
          <w:rFonts w:ascii="Arial" w:hAnsi="Arial" w:cs="Arial"/>
          <w:sz w:val="22"/>
          <w:szCs w:val="22"/>
        </w:rPr>
        <w:t xml:space="preserve">Social care workforce shortages are not new, but they have intensified following Brexit, the COVID-19 pandemic, and ongoing shortages in the domestic labour supply </w:t>
      </w:r>
      <w:r w:rsidRPr="002D43BE">
        <w:rPr>
          <w:rFonts w:ascii="Arial" w:hAnsi="Arial" w:cs="Arial"/>
          <w:color w:val="EE0000"/>
          <w:sz w:val="22"/>
          <w:szCs w:val="22"/>
        </w:rPr>
        <w:t xml:space="preserve">(Health Foundation, 2023). </w:t>
      </w:r>
      <w:r w:rsidRPr="00CA5008">
        <w:rPr>
          <w:rFonts w:ascii="Arial" w:hAnsi="Arial" w:cs="Arial"/>
          <w:sz w:val="22"/>
          <w:szCs w:val="22"/>
        </w:rPr>
        <w:t>The use of international recruitment as a response to persistent staffing gaps has increased, with overseas workers increasingly filling care roles, raising concerns about structural dependency and long-term workforce planning (</w:t>
      </w:r>
      <w:r w:rsidRPr="002E4FE2">
        <w:rPr>
          <w:rFonts w:ascii="Arial" w:hAnsi="Arial" w:cs="Arial"/>
          <w:color w:val="EE0000"/>
          <w:sz w:val="22"/>
          <w:szCs w:val="22"/>
        </w:rPr>
        <w:t>Migration Observatory, 202</w:t>
      </w:r>
      <w:r w:rsidR="00A716D3">
        <w:rPr>
          <w:rFonts w:ascii="Arial" w:hAnsi="Arial" w:cs="Arial"/>
          <w:color w:val="EE0000"/>
          <w:sz w:val="22"/>
          <w:szCs w:val="22"/>
        </w:rPr>
        <w:t>3</w:t>
      </w:r>
      <w:r w:rsidRPr="002E4FE2">
        <w:rPr>
          <w:rFonts w:ascii="Arial" w:hAnsi="Arial" w:cs="Arial"/>
          <w:color w:val="EE0000"/>
          <w:sz w:val="22"/>
          <w:szCs w:val="22"/>
        </w:rPr>
        <w:t>).</w:t>
      </w:r>
    </w:p>
    <w:p w14:paraId="53552BAC" w14:textId="77777777" w:rsidR="007C3001" w:rsidRPr="008A15C1" w:rsidRDefault="00834EC9" w:rsidP="00E64B66">
      <w:pPr>
        <w:jc w:val="left"/>
        <w:rPr>
          <w:rFonts w:ascii="Arial" w:eastAsia="Times New Roman" w:hAnsi="Arial" w:cs="Arial"/>
          <w:color w:val="EE0000"/>
          <w:kern w:val="0"/>
          <w:lang w:eastAsia="en-GB"/>
          <w14:ligatures w14:val="none"/>
        </w:rPr>
      </w:pPr>
      <w:r w:rsidRPr="00E64B66">
        <w:rPr>
          <w:rFonts w:ascii="Arial" w:hAnsi="Arial" w:cs="Arial"/>
        </w:rPr>
        <w:t xml:space="preserve">Current research highlights the significant contribution of migrant workers to the </w:t>
      </w:r>
      <w:r w:rsidR="00E36660" w:rsidRPr="00E64B66">
        <w:rPr>
          <w:rFonts w:ascii="Arial" w:hAnsi="Arial" w:cs="Arial"/>
        </w:rPr>
        <w:t>ASC</w:t>
      </w:r>
      <w:r w:rsidRPr="00E64B66">
        <w:rPr>
          <w:rFonts w:ascii="Arial" w:hAnsi="Arial" w:cs="Arial"/>
        </w:rPr>
        <w:t xml:space="preserve"> sector, particularly within direct care roles (</w:t>
      </w:r>
      <w:r w:rsidRPr="00E64B66">
        <w:rPr>
          <w:rFonts w:ascii="Arial" w:hAnsi="Arial" w:cs="Arial"/>
          <w:color w:val="EE0000"/>
        </w:rPr>
        <w:t xml:space="preserve">Turnpenny &amp; Hussein, 2022). </w:t>
      </w:r>
      <w:r w:rsidRPr="00E64B66">
        <w:rPr>
          <w:rFonts w:ascii="Arial" w:hAnsi="Arial" w:cs="Arial"/>
        </w:rPr>
        <w:t>Studies also examine issues such as labour market segmentation, discrimination, and the risk of exploitation in low-</w:t>
      </w:r>
      <w:r w:rsidR="000E7BCA" w:rsidRPr="00E64B66">
        <w:rPr>
          <w:rFonts w:ascii="Arial" w:hAnsi="Arial" w:cs="Arial"/>
        </w:rPr>
        <w:t xml:space="preserve">income </w:t>
      </w:r>
      <w:r w:rsidRPr="00E64B66">
        <w:rPr>
          <w:rFonts w:ascii="Arial" w:hAnsi="Arial" w:cs="Arial"/>
        </w:rPr>
        <w:t xml:space="preserve">care employment, where migrant workers are often concentrated </w:t>
      </w:r>
      <w:r w:rsidR="007C3001" w:rsidRPr="008A15C1">
        <w:rPr>
          <w:rFonts w:ascii="Arial" w:eastAsia="Times New Roman" w:hAnsi="Arial" w:cs="Arial"/>
          <w:color w:val="EE0000"/>
          <w:kern w:val="0"/>
          <w:lang w:eastAsia="en-GB"/>
          <w14:ligatures w14:val="none"/>
        </w:rPr>
        <w:t>(International Labour Organization, 2024).</w:t>
      </w:r>
    </w:p>
    <w:p w14:paraId="5C47E8A5" w14:textId="00C97207" w:rsidR="00834EC9" w:rsidRPr="0094594E" w:rsidRDefault="00834EC9" w:rsidP="00B9243C">
      <w:pPr>
        <w:pStyle w:val="p1"/>
        <w:spacing w:line="360" w:lineRule="auto"/>
        <w:rPr>
          <w:rFonts w:ascii="Arial" w:hAnsi="Arial" w:cs="Arial"/>
          <w:color w:val="EE0000"/>
          <w:sz w:val="22"/>
          <w:szCs w:val="22"/>
        </w:rPr>
      </w:pPr>
      <w:r w:rsidRPr="00B9243C">
        <w:rPr>
          <w:rFonts w:ascii="Arial" w:hAnsi="Arial" w:cs="Arial"/>
          <w:sz w:val="22"/>
          <w:szCs w:val="22"/>
        </w:rPr>
        <w:t xml:space="preserve">However, fewer studies incorporate workforce planning, working conditions, and immigration policy within a single analytical framework. Instead, much of the literature focuses either on care workforce challenges or migration systems separately rather than examining how these systems interact to influence sustainability </w:t>
      </w:r>
      <w:r w:rsidRPr="0094594E">
        <w:rPr>
          <w:rFonts w:ascii="Arial" w:hAnsi="Arial" w:cs="Arial"/>
          <w:color w:val="EE0000"/>
          <w:sz w:val="22"/>
          <w:szCs w:val="22"/>
        </w:rPr>
        <w:t>(Migration Observatory, 202</w:t>
      </w:r>
      <w:r w:rsidR="00AC7994">
        <w:rPr>
          <w:rFonts w:ascii="Arial" w:hAnsi="Arial" w:cs="Arial"/>
          <w:color w:val="EE0000"/>
          <w:sz w:val="22"/>
          <w:szCs w:val="22"/>
        </w:rPr>
        <w:t>3</w:t>
      </w:r>
      <w:r w:rsidRPr="0094594E">
        <w:rPr>
          <w:rFonts w:ascii="Arial" w:hAnsi="Arial" w:cs="Arial"/>
          <w:color w:val="EE0000"/>
          <w:sz w:val="22"/>
          <w:szCs w:val="22"/>
        </w:rPr>
        <w:t>).</w:t>
      </w:r>
    </w:p>
    <w:p w14:paraId="0EBF4CD3" w14:textId="77777777" w:rsidR="00E92BD9" w:rsidRDefault="00C320E6" w:rsidP="00043BB6">
      <w:pPr>
        <w:pStyle w:val="p1"/>
        <w:spacing w:line="360" w:lineRule="auto"/>
        <w:rPr>
          <w:rFonts w:ascii="Arial" w:hAnsi="Arial" w:cs="Arial"/>
          <w:sz w:val="22"/>
          <w:szCs w:val="22"/>
        </w:rPr>
      </w:pPr>
      <w:r w:rsidRPr="00043BB6">
        <w:rPr>
          <w:rFonts w:ascii="Arial" w:hAnsi="Arial" w:cs="Arial"/>
          <w:sz w:val="22"/>
          <w:szCs w:val="22"/>
        </w:rPr>
        <w:t xml:space="preserve">The wider significance of this research stems from its relevance to ongoing national discussions surrounding adult social care funding, ethical recruitment practices, and immigration reform, as highlighted in national reform policy </w:t>
      </w:r>
      <w:r w:rsidRPr="00043BB6">
        <w:rPr>
          <w:rFonts w:ascii="Arial" w:hAnsi="Arial" w:cs="Arial"/>
          <w:color w:val="EE0000"/>
          <w:sz w:val="22"/>
          <w:szCs w:val="22"/>
        </w:rPr>
        <w:t>(Department of Health and Social Care, 2022).</w:t>
      </w:r>
      <w:r w:rsidRPr="00043BB6">
        <w:rPr>
          <w:rFonts w:ascii="Arial" w:hAnsi="Arial" w:cs="Arial"/>
          <w:sz w:val="22"/>
          <w:szCs w:val="22"/>
        </w:rPr>
        <w:t xml:space="preserve"> Changes in policies governing sponsorship criteria, family dependents, and</w:t>
      </w:r>
    </w:p>
    <w:p w14:paraId="27A9EE57" w14:textId="33924DCC" w:rsidR="00C320E6" w:rsidRPr="00043BB6" w:rsidRDefault="00C320E6" w:rsidP="00043BB6">
      <w:pPr>
        <w:pStyle w:val="p1"/>
        <w:spacing w:line="360" w:lineRule="auto"/>
        <w:rPr>
          <w:rFonts w:ascii="Arial" w:hAnsi="Arial" w:cs="Arial"/>
          <w:sz w:val="22"/>
          <w:szCs w:val="22"/>
        </w:rPr>
      </w:pPr>
      <w:r w:rsidRPr="00043BB6">
        <w:rPr>
          <w:rFonts w:ascii="Arial" w:hAnsi="Arial" w:cs="Arial"/>
          <w:sz w:val="22"/>
          <w:szCs w:val="22"/>
        </w:rPr>
        <w:lastRenderedPageBreak/>
        <w:t xml:space="preserve">visa eligibility may directly affect workforce availability, as suggested by recent migration policy analysis </w:t>
      </w:r>
      <w:r w:rsidRPr="00043BB6">
        <w:rPr>
          <w:rFonts w:ascii="Arial" w:hAnsi="Arial" w:cs="Arial"/>
          <w:color w:val="EE0000"/>
          <w:sz w:val="22"/>
          <w:szCs w:val="22"/>
        </w:rPr>
        <w:t>(Migration Observatory, 202</w:t>
      </w:r>
      <w:r w:rsidR="00AC7994">
        <w:rPr>
          <w:rFonts w:ascii="Arial" w:hAnsi="Arial" w:cs="Arial"/>
          <w:color w:val="EE0000"/>
          <w:sz w:val="22"/>
          <w:szCs w:val="22"/>
        </w:rPr>
        <w:t>3</w:t>
      </w:r>
      <w:r w:rsidRPr="00043BB6">
        <w:rPr>
          <w:rFonts w:ascii="Arial" w:hAnsi="Arial" w:cs="Arial"/>
          <w:color w:val="EE0000"/>
          <w:sz w:val="22"/>
          <w:szCs w:val="22"/>
        </w:rPr>
        <w:t xml:space="preserve">). </w:t>
      </w:r>
      <w:r w:rsidRPr="00043BB6">
        <w:rPr>
          <w:rFonts w:ascii="Arial" w:hAnsi="Arial" w:cs="Arial"/>
          <w:sz w:val="22"/>
          <w:szCs w:val="22"/>
        </w:rPr>
        <w:t>As a result, effective workforce planning requires a clear understanding of how migrant workers support service stability and how policy structures influence their participation in the sector.</w:t>
      </w:r>
    </w:p>
    <w:p w14:paraId="53DD4814" w14:textId="6B94670E" w:rsidR="008E6609" w:rsidRDefault="00C7391A" w:rsidP="008E6609">
      <w:pPr>
        <w:rPr>
          <w:noProof/>
        </w:rPr>
      </w:pPr>
      <w:r w:rsidRPr="0055240C">
        <w:rPr>
          <w:rFonts w:ascii="Arial" w:hAnsi="Arial" w:cs="Arial"/>
          <w:color w:val="000000"/>
        </w:rPr>
        <w:t>In order to contribute to academic discussions and provide guidance for policy and practice suggestions in the field of health and social care, this research will critically examine the relationship between migration policy and social care sustainability</w:t>
      </w:r>
      <w:r w:rsidRPr="002622CC">
        <w:rPr>
          <w:rFonts w:ascii="Arial" w:hAnsi="Arial" w:cs="Arial"/>
          <w:color w:val="000000" w:themeColor="text1"/>
        </w:rPr>
        <w:t>.</w:t>
      </w:r>
    </w:p>
    <w:p w14:paraId="6B230DB1" w14:textId="77777777" w:rsidR="008E6609" w:rsidRPr="008A0735" w:rsidRDefault="008E6609" w:rsidP="008E6609">
      <w:pPr>
        <w:pStyle w:val="Heading2"/>
        <w:rPr>
          <w:rFonts w:ascii="Arial" w:hAnsi="Arial" w:cs="Arial"/>
          <w:color w:val="000000" w:themeColor="text1"/>
          <w:sz w:val="28"/>
          <w:szCs w:val="28"/>
        </w:rPr>
      </w:pPr>
      <w:r w:rsidRPr="008A0735">
        <w:rPr>
          <w:rFonts w:ascii="Arial" w:hAnsi="Arial" w:cs="Arial"/>
          <w:color w:val="000000" w:themeColor="text1"/>
          <w:sz w:val="28"/>
          <w:szCs w:val="28"/>
        </w:rPr>
        <w:t>1.4 Aim and Objectives</w:t>
      </w:r>
    </w:p>
    <w:p w14:paraId="047BD7B5" w14:textId="77777777" w:rsidR="008E6609" w:rsidRPr="008A0735" w:rsidRDefault="008E6609" w:rsidP="008E6609">
      <w:pPr>
        <w:pStyle w:val="Heading3"/>
        <w:rPr>
          <w:rFonts w:ascii="Arial" w:hAnsi="Arial" w:cs="Arial"/>
          <w:color w:val="000000" w:themeColor="text1"/>
        </w:rPr>
      </w:pPr>
      <w:r w:rsidRPr="008A0735">
        <w:rPr>
          <w:rFonts w:ascii="Arial" w:hAnsi="Arial" w:cs="Arial"/>
          <w:color w:val="000000" w:themeColor="text1"/>
        </w:rPr>
        <w:t>Research Aim</w:t>
      </w:r>
    </w:p>
    <w:p w14:paraId="6009B748" w14:textId="59242150" w:rsidR="008E6609" w:rsidRPr="00F84702" w:rsidRDefault="00F84702" w:rsidP="00F84702">
      <w:pPr>
        <w:pStyle w:val="p2"/>
        <w:spacing w:line="360" w:lineRule="auto"/>
        <w:rPr>
          <w:rFonts w:ascii="Arial" w:hAnsi="Arial" w:cs="Arial"/>
          <w:sz w:val="22"/>
          <w:szCs w:val="22"/>
        </w:rPr>
      </w:pPr>
      <w:r w:rsidRPr="00F84702">
        <w:rPr>
          <w:rFonts w:ascii="Arial" w:hAnsi="Arial" w:cs="Arial"/>
          <w:color w:val="000000"/>
          <w:sz w:val="22"/>
          <w:szCs w:val="22"/>
        </w:rPr>
        <w:t>The primary purpose of this research is to examine the role of migrant workers in supporting the UK ASC workforce, with a focus on their contribution to care delivery and workforce stability, as well as the policy factors that influence their recruitment and experiences.</w:t>
      </w:r>
    </w:p>
    <w:p w14:paraId="7DC1565F" w14:textId="77777777" w:rsidR="002622CC" w:rsidRDefault="00561938" w:rsidP="002622CC">
      <w:pPr>
        <w:pStyle w:val="p2"/>
        <w:spacing w:line="360" w:lineRule="auto"/>
        <w:rPr>
          <w:rFonts w:ascii="Arial" w:hAnsi="Arial" w:cs="Arial"/>
          <w:color w:val="000000"/>
          <w:sz w:val="22"/>
          <w:szCs w:val="22"/>
        </w:rPr>
      </w:pPr>
      <w:r w:rsidRPr="00E93E01">
        <w:rPr>
          <w:rFonts w:ascii="Arial" w:hAnsi="Arial" w:cs="Arial"/>
          <w:color w:val="000000"/>
          <w:sz w:val="22"/>
          <w:szCs w:val="22"/>
        </w:rPr>
        <w:t>This aim highlights the need to understand both the practical contribution of migrant workers and the broader structural background that influences their employment. The research adopts a policy-informed approach, acknowledging that workforce sustainability is influenced not only by recruitment rates, but also by immigration regulations, job conditions, and long-term planning initiatives.</w:t>
      </w:r>
    </w:p>
    <w:p w14:paraId="7C570C70" w14:textId="013AF51D" w:rsidR="008E6609" w:rsidRPr="008A0735" w:rsidRDefault="008E6609" w:rsidP="002622CC">
      <w:pPr>
        <w:pStyle w:val="p2"/>
        <w:spacing w:line="360" w:lineRule="auto"/>
        <w:rPr>
          <w:rFonts w:ascii="Arial" w:hAnsi="Arial" w:cs="Arial"/>
          <w:sz w:val="28"/>
          <w:szCs w:val="28"/>
        </w:rPr>
      </w:pPr>
      <w:r w:rsidRPr="008A0735">
        <w:rPr>
          <w:rFonts w:ascii="Arial" w:hAnsi="Arial" w:cs="Arial"/>
          <w:color w:val="000000" w:themeColor="text1"/>
          <w:sz w:val="28"/>
          <w:szCs w:val="28"/>
        </w:rPr>
        <w:t>Research Objectives</w:t>
      </w:r>
    </w:p>
    <w:p w14:paraId="03598F9E" w14:textId="77777777" w:rsidR="004A1B13" w:rsidRPr="008A0735" w:rsidRDefault="008E6609" w:rsidP="004A1B13">
      <w:pPr>
        <w:pStyle w:val="p4"/>
        <w:spacing w:line="360" w:lineRule="auto"/>
        <w:rPr>
          <w:rFonts w:ascii="Arial" w:hAnsi="Arial" w:cs="Arial"/>
          <w:sz w:val="22"/>
          <w:szCs w:val="22"/>
        </w:rPr>
      </w:pPr>
      <w:r w:rsidRPr="008A0735">
        <w:rPr>
          <w:rFonts w:ascii="Arial" w:hAnsi="Arial" w:cs="Arial"/>
          <w:sz w:val="22"/>
          <w:szCs w:val="22"/>
        </w:rPr>
        <w:t>Objective 1:</w:t>
      </w:r>
    </w:p>
    <w:p w14:paraId="5CBAAA8D" w14:textId="0FFD4C02" w:rsidR="008E6609" w:rsidRPr="004A1B13" w:rsidRDefault="008E6609" w:rsidP="004A1B13">
      <w:pPr>
        <w:pStyle w:val="p4"/>
        <w:spacing w:line="360" w:lineRule="auto"/>
        <w:rPr>
          <w:rFonts w:ascii="Arial" w:hAnsi="Arial" w:cs="Arial"/>
          <w:sz w:val="22"/>
          <w:szCs w:val="22"/>
        </w:rPr>
      </w:pPr>
      <w:r w:rsidRPr="004A1B13">
        <w:rPr>
          <w:rFonts w:ascii="Arial" w:hAnsi="Arial" w:cs="Arial"/>
          <w:sz w:val="22"/>
          <w:szCs w:val="22"/>
        </w:rPr>
        <w:t>To describe and critically examine the role of migrant workers in sustaining the UK adult social care workforce, with particular emphasis on service continuity and workforce shortages.</w:t>
      </w:r>
    </w:p>
    <w:p w14:paraId="7AA02818" w14:textId="77777777" w:rsidR="008E6609" w:rsidRPr="008A0735" w:rsidRDefault="008E6609" w:rsidP="004A1B13">
      <w:pPr>
        <w:pStyle w:val="p4"/>
        <w:spacing w:line="360" w:lineRule="auto"/>
        <w:rPr>
          <w:rFonts w:ascii="Arial" w:hAnsi="Arial" w:cs="Arial"/>
          <w:sz w:val="22"/>
          <w:szCs w:val="22"/>
        </w:rPr>
      </w:pPr>
      <w:r w:rsidRPr="008A0735">
        <w:rPr>
          <w:rFonts w:ascii="Arial" w:hAnsi="Arial" w:cs="Arial"/>
          <w:sz w:val="22"/>
          <w:szCs w:val="22"/>
        </w:rPr>
        <w:t>Objective 2:</w:t>
      </w:r>
    </w:p>
    <w:p w14:paraId="65D92CDE" w14:textId="77777777" w:rsidR="00DE5806" w:rsidRDefault="008E6609" w:rsidP="004224DC">
      <w:pPr>
        <w:pStyle w:val="p3"/>
        <w:spacing w:line="360" w:lineRule="auto"/>
        <w:rPr>
          <w:rFonts w:ascii="Arial" w:hAnsi="Arial" w:cs="Arial"/>
          <w:sz w:val="22"/>
          <w:szCs w:val="22"/>
        </w:rPr>
      </w:pPr>
      <w:r w:rsidRPr="004A1B13">
        <w:rPr>
          <w:rFonts w:ascii="Arial" w:hAnsi="Arial" w:cs="Arial"/>
          <w:sz w:val="22"/>
          <w:szCs w:val="22"/>
        </w:rPr>
        <w:t>To analyse UK immigration, employment, and social care policies to assess how they shape the recruitment, deployment, and reliance on migrant workers within the sector.</w:t>
      </w:r>
    </w:p>
    <w:p w14:paraId="765C47AC" w14:textId="77777777" w:rsidR="00DE5806" w:rsidRDefault="00DE5806" w:rsidP="004224DC">
      <w:pPr>
        <w:pStyle w:val="p3"/>
        <w:spacing w:line="360" w:lineRule="auto"/>
        <w:rPr>
          <w:rFonts w:ascii="Arial" w:hAnsi="Arial" w:cs="Arial"/>
          <w:sz w:val="22"/>
          <w:szCs w:val="22"/>
        </w:rPr>
      </w:pPr>
    </w:p>
    <w:p w14:paraId="3EE21CBE" w14:textId="77777777" w:rsidR="00DE5806" w:rsidRDefault="00DE5806" w:rsidP="004224DC">
      <w:pPr>
        <w:pStyle w:val="p3"/>
        <w:spacing w:line="360" w:lineRule="auto"/>
        <w:rPr>
          <w:rFonts w:ascii="Arial" w:hAnsi="Arial" w:cs="Arial"/>
          <w:sz w:val="22"/>
          <w:szCs w:val="22"/>
        </w:rPr>
      </w:pPr>
    </w:p>
    <w:p w14:paraId="22D0ED05" w14:textId="4D36803A" w:rsidR="008E6609" w:rsidRPr="008A0735" w:rsidRDefault="008E6609" w:rsidP="004224DC">
      <w:pPr>
        <w:pStyle w:val="p3"/>
        <w:spacing w:line="360" w:lineRule="auto"/>
        <w:rPr>
          <w:rFonts w:ascii="Arial" w:hAnsi="Arial" w:cs="Arial"/>
          <w:sz w:val="22"/>
          <w:szCs w:val="22"/>
        </w:rPr>
      </w:pPr>
      <w:r w:rsidRPr="008A0735">
        <w:rPr>
          <w:rFonts w:ascii="Arial" w:hAnsi="Arial" w:cs="Arial"/>
          <w:sz w:val="22"/>
          <w:szCs w:val="22"/>
        </w:rPr>
        <w:lastRenderedPageBreak/>
        <w:t>Objective 3:</w:t>
      </w:r>
    </w:p>
    <w:p w14:paraId="44219103" w14:textId="5FB78E04" w:rsidR="008E6609" w:rsidRPr="004533E0" w:rsidRDefault="008E6609" w:rsidP="004A1B13">
      <w:pPr>
        <w:pStyle w:val="p3"/>
        <w:spacing w:line="360" w:lineRule="auto"/>
        <w:rPr>
          <w:rFonts w:ascii="Arial" w:hAnsi="Arial" w:cs="Arial"/>
          <w:color w:val="EE0000"/>
          <w:sz w:val="22"/>
          <w:szCs w:val="22"/>
        </w:rPr>
      </w:pPr>
      <w:r w:rsidRPr="004A1B13">
        <w:rPr>
          <w:rFonts w:ascii="Arial" w:hAnsi="Arial" w:cs="Arial"/>
          <w:sz w:val="22"/>
          <w:szCs w:val="22"/>
        </w:rPr>
        <w:t>To evaluate the structural challenges experienced by migrant workers, including job security, working conditions, and opportunities for career progression, and assess their impact on workforce stability and care quality</w:t>
      </w:r>
      <w:r w:rsidR="00361610">
        <w:rPr>
          <w:rFonts w:ascii="Arial" w:hAnsi="Arial" w:cs="Arial"/>
          <w:sz w:val="22"/>
          <w:szCs w:val="22"/>
        </w:rPr>
        <w:t xml:space="preserve"> </w:t>
      </w:r>
      <w:r w:rsidR="00361610" w:rsidRPr="004533E0">
        <w:rPr>
          <w:rFonts w:ascii="Arial" w:hAnsi="Arial" w:cs="Arial"/>
          <w:color w:val="EE0000"/>
          <w:sz w:val="22"/>
          <w:szCs w:val="22"/>
        </w:rPr>
        <w:t>(</w:t>
      </w:r>
      <w:r w:rsidR="00CE2548" w:rsidRPr="004533E0">
        <w:rPr>
          <w:rFonts w:ascii="Arial" w:hAnsi="Arial" w:cs="Arial"/>
          <w:color w:val="EE0000"/>
          <w:sz w:val="22"/>
          <w:szCs w:val="22"/>
        </w:rPr>
        <w:t>Al-Btoush and El- Bch</w:t>
      </w:r>
      <w:r w:rsidR="00EC6174" w:rsidRPr="004533E0">
        <w:rPr>
          <w:rFonts w:ascii="Arial" w:hAnsi="Arial" w:cs="Arial"/>
          <w:color w:val="EE0000"/>
          <w:sz w:val="22"/>
          <w:szCs w:val="22"/>
        </w:rPr>
        <w:t>eraoui, 2024).</w:t>
      </w:r>
    </w:p>
    <w:p w14:paraId="5F0821DF" w14:textId="77777777" w:rsidR="008E6609" w:rsidRPr="008A0735" w:rsidRDefault="008E6609" w:rsidP="004A1B13">
      <w:pPr>
        <w:pStyle w:val="p4"/>
        <w:spacing w:line="360" w:lineRule="auto"/>
        <w:rPr>
          <w:rFonts w:ascii="Arial" w:hAnsi="Arial" w:cs="Arial"/>
          <w:sz w:val="22"/>
          <w:szCs w:val="22"/>
        </w:rPr>
      </w:pPr>
      <w:r w:rsidRPr="008A0735">
        <w:rPr>
          <w:rFonts w:ascii="Arial" w:hAnsi="Arial" w:cs="Arial"/>
          <w:sz w:val="22"/>
          <w:szCs w:val="22"/>
        </w:rPr>
        <w:t>Objective 4:</w:t>
      </w:r>
    </w:p>
    <w:p w14:paraId="56084DD7" w14:textId="77777777" w:rsidR="008E6609" w:rsidRPr="004A1B13" w:rsidRDefault="008E6609" w:rsidP="004A1B13">
      <w:pPr>
        <w:pStyle w:val="p3"/>
        <w:spacing w:line="360" w:lineRule="auto"/>
        <w:rPr>
          <w:rFonts w:ascii="Arial" w:hAnsi="Arial" w:cs="Arial"/>
          <w:sz w:val="22"/>
          <w:szCs w:val="22"/>
        </w:rPr>
      </w:pPr>
      <w:r w:rsidRPr="004A1B13">
        <w:rPr>
          <w:rFonts w:ascii="Arial" w:hAnsi="Arial" w:cs="Arial"/>
          <w:sz w:val="22"/>
          <w:szCs w:val="22"/>
        </w:rPr>
        <w:t>To provide recommendations for policy and practice that strengthen support for migrant workers, improve workforce planning in adult social care, and address ongoing staffing shortages.</w:t>
      </w:r>
    </w:p>
    <w:p w14:paraId="4A96618B" w14:textId="77777777" w:rsidR="008E6609" w:rsidRPr="004A1B13" w:rsidRDefault="008E6609" w:rsidP="004A1B13">
      <w:pPr>
        <w:pStyle w:val="p3"/>
        <w:spacing w:line="360" w:lineRule="auto"/>
        <w:rPr>
          <w:rFonts w:ascii="Arial" w:hAnsi="Arial" w:cs="Arial"/>
          <w:sz w:val="22"/>
          <w:szCs w:val="22"/>
        </w:rPr>
      </w:pPr>
      <w:r w:rsidRPr="004A1B13">
        <w:rPr>
          <w:rFonts w:ascii="Arial" w:hAnsi="Arial" w:cs="Arial"/>
          <w:sz w:val="22"/>
          <w:szCs w:val="22"/>
        </w:rPr>
        <w:t>Together, these objectives guide the structure of the dissertation and inform the thematic analysis undertaken in subsequent chapters.</w:t>
      </w:r>
    </w:p>
    <w:p w14:paraId="6C5762B6" w14:textId="77777777" w:rsidR="008E6609" w:rsidRPr="008A0735" w:rsidRDefault="008E6609" w:rsidP="008E6609">
      <w:pPr>
        <w:pStyle w:val="Heading2"/>
        <w:rPr>
          <w:rFonts w:ascii="Arial" w:hAnsi="Arial" w:cs="Arial"/>
          <w:color w:val="000000" w:themeColor="text1"/>
          <w:sz w:val="28"/>
          <w:szCs w:val="28"/>
        </w:rPr>
      </w:pPr>
      <w:r w:rsidRPr="008A0735">
        <w:rPr>
          <w:rFonts w:ascii="Arial" w:hAnsi="Arial" w:cs="Arial"/>
          <w:color w:val="000000" w:themeColor="text1"/>
          <w:sz w:val="28"/>
          <w:szCs w:val="28"/>
        </w:rPr>
        <w:t>1.5 Conclusion</w:t>
      </w:r>
    </w:p>
    <w:p w14:paraId="35BBEE10" w14:textId="55F8D564" w:rsidR="008E6609" w:rsidRPr="00934B34" w:rsidRDefault="00934B34" w:rsidP="00934B34">
      <w:pPr>
        <w:pStyle w:val="p2"/>
        <w:spacing w:line="360" w:lineRule="auto"/>
        <w:rPr>
          <w:rFonts w:ascii="Arial" w:hAnsi="Arial" w:cs="Arial"/>
          <w:sz w:val="22"/>
          <w:szCs w:val="22"/>
        </w:rPr>
      </w:pPr>
      <w:r w:rsidRPr="00934B34">
        <w:rPr>
          <w:rFonts w:ascii="Arial" w:hAnsi="Arial" w:cs="Arial"/>
          <w:color w:val="000000"/>
          <w:sz w:val="22"/>
          <w:szCs w:val="22"/>
        </w:rPr>
        <w:t>This chapter has highlighted the dissertation's main focus: the role of migrant workers in sustaining the UK adult social care workforce. It has presented the current workforce situation, clarified essential terminology, and provided a justification based on policy relevance and research gaps. The goal and objectives have been explicitly defined to guide the goal of the research and analytical methodology.</w:t>
      </w:r>
    </w:p>
    <w:p w14:paraId="30C42214" w14:textId="714EB2E3" w:rsidR="008E6609" w:rsidRPr="001436D2" w:rsidRDefault="001436D2" w:rsidP="001436D2">
      <w:pPr>
        <w:pStyle w:val="p2"/>
        <w:spacing w:line="360" w:lineRule="auto"/>
        <w:rPr>
          <w:rFonts w:ascii="Arial" w:hAnsi="Arial" w:cs="Arial"/>
          <w:sz w:val="22"/>
          <w:szCs w:val="22"/>
        </w:rPr>
      </w:pPr>
      <w:r w:rsidRPr="001436D2">
        <w:rPr>
          <w:rFonts w:ascii="Arial" w:hAnsi="Arial" w:cs="Arial"/>
          <w:color w:val="000000"/>
          <w:sz w:val="22"/>
          <w:szCs w:val="22"/>
        </w:rPr>
        <w:t>The concerns raised in this chapter highlight the importance of considering migration and workforce sustainability together. Understanding migrant workers' contributions and experiences is both important and crucial as the sector faces workforce challenges and regulatory reform.</w:t>
      </w:r>
    </w:p>
    <w:p w14:paraId="537B73A3" w14:textId="77777777" w:rsidR="00D96C4C" w:rsidRDefault="00D96C4C" w:rsidP="004C577D">
      <w:pPr>
        <w:pStyle w:val="p3"/>
        <w:spacing w:line="360" w:lineRule="auto"/>
        <w:rPr>
          <w:rFonts w:ascii="Arial" w:hAnsi="Arial" w:cs="Arial"/>
          <w:color w:val="000000"/>
          <w:sz w:val="22"/>
          <w:szCs w:val="22"/>
        </w:rPr>
      </w:pPr>
      <w:r w:rsidRPr="004C577D">
        <w:rPr>
          <w:rFonts w:ascii="Arial" w:hAnsi="Arial" w:cs="Arial"/>
          <w:color w:val="000000"/>
          <w:sz w:val="22"/>
          <w:szCs w:val="22"/>
        </w:rPr>
        <w:t>Chapter 2 will build on this foundation by critically analysing existing literature on migrant workers, workforce sustainability, and UK immigration policy. It will look at theoretical perspectives, research findings, and present debates to develop the conceptual foundation for this dissertation.</w:t>
      </w:r>
    </w:p>
    <w:p w14:paraId="44A8220D" w14:textId="77777777" w:rsidR="00D96A6F" w:rsidRDefault="00D96A6F" w:rsidP="004C2DEC">
      <w:pPr>
        <w:spacing w:before="100" w:beforeAutospacing="1" w:after="100" w:afterAutospacing="1" w:line="240" w:lineRule="auto"/>
        <w:jc w:val="left"/>
        <w:outlineLvl w:val="1"/>
        <w:rPr>
          <w:rFonts w:ascii="Arial" w:eastAsia="Times New Roman" w:hAnsi="Arial" w:cs="Arial"/>
          <w:b/>
          <w:bCs/>
          <w:kern w:val="0"/>
          <w:sz w:val="28"/>
          <w:szCs w:val="28"/>
          <w:lang w:eastAsia="en-GB"/>
          <w14:ligatures w14:val="none"/>
        </w:rPr>
      </w:pPr>
    </w:p>
    <w:p w14:paraId="2E189DA4" w14:textId="77777777" w:rsidR="004224DC" w:rsidRDefault="004224DC" w:rsidP="004C2DEC">
      <w:pPr>
        <w:spacing w:before="100" w:beforeAutospacing="1" w:after="100" w:afterAutospacing="1" w:line="240" w:lineRule="auto"/>
        <w:jc w:val="left"/>
        <w:outlineLvl w:val="1"/>
        <w:rPr>
          <w:rFonts w:ascii="Arial" w:eastAsia="Times New Roman" w:hAnsi="Arial" w:cs="Arial"/>
          <w:b/>
          <w:bCs/>
          <w:kern w:val="0"/>
          <w:sz w:val="28"/>
          <w:szCs w:val="28"/>
          <w:lang w:eastAsia="en-GB"/>
          <w14:ligatures w14:val="none"/>
        </w:rPr>
      </w:pPr>
    </w:p>
    <w:p w14:paraId="04622C98" w14:textId="77777777" w:rsidR="004224DC" w:rsidRDefault="004224DC" w:rsidP="004C2DEC">
      <w:pPr>
        <w:spacing w:before="100" w:beforeAutospacing="1" w:after="100" w:afterAutospacing="1" w:line="240" w:lineRule="auto"/>
        <w:jc w:val="left"/>
        <w:outlineLvl w:val="1"/>
        <w:rPr>
          <w:rFonts w:ascii="Arial" w:eastAsia="Times New Roman" w:hAnsi="Arial" w:cs="Arial"/>
          <w:b/>
          <w:bCs/>
          <w:kern w:val="0"/>
          <w:sz w:val="28"/>
          <w:szCs w:val="28"/>
          <w:lang w:eastAsia="en-GB"/>
          <w14:ligatures w14:val="none"/>
        </w:rPr>
      </w:pPr>
    </w:p>
    <w:p w14:paraId="78A39FC2" w14:textId="77777777" w:rsidR="004224DC" w:rsidRDefault="004224DC" w:rsidP="004C2DEC">
      <w:pPr>
        <w:spacing w:before="100" w:beforeAutospacing="1" w:after="100" w:afterAutospacing="1" w:line="240" w:lineRule="auto"/>
        <w:jc w:val="left"/>
        <w:outlineLvl w:val="1"/>
        <w:rPr>
          <w:rFonts w:ascii="Arial" w:eastAsia="Times New Roman" w:hAnsi="Arial" w:cs="Arial"/>
          <w:b/>
          <w:bCs/>
          <w:kern w:val="0"/>
          <w:sz w:val="28"/>
          <w:szCs w:val="28"/>
          <w:lang w:eastAsia="en-GB"/>
          <w14:ligatures w14:val="none"/>
        </w:rPr>
      </w:pPr>
    </w:p>
    <w:p w14:paraId="520058A1" w14:textId="48CCF78D" w:rsidR="004C2DEC" w:rsidRPr="00C82BB7" w:rsidRDefault="00FC6AAB" w:rsidP="004C2DEC">
      <w:pPr>
        <w:spacing w:before="100" w:beforeAutospacing="1" w:after="100" w:afterAutospacing="1" w:line="240" w:lineRule="auto"/>
        <w:jc w:val="left"/>
        <w:outlineLvl w:val="1"/>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lastRenderedPageBreak/>
        <w:t xml:space="preserve">Chapter </w:t>
      </w:r>
      <w:r w:rsidR="004C2DEC" w:rsidRPr="004C2DEC">
        <w:rPr>
          <w:rFonts w:ascii="Arial" w:eastAsia="Times New Roman" w:hAnsi="Arial" w:cs="Arial"/>
          <w:b/>
          <w:bCs/>
          <w:kern w:val="0"/>
          <w:sz w:val="28"/>
          <w:szCs w:val="28"/>
          <w:lang w:eastAsia="en-GB"/>
          <w14:ligatures w14:val="none"/>
        </w:rPr>
        <w:t>2.1 Introduction</w:t>
      </w:r>
    </w:p>
    <w:p w14:paraId="04B6F0B7" w14:textId="689BC547" w:rsidR="004C2DEC" w:rsidRPr="004C2DEC" w:rsidRDefault="00100B89" w:rsidP="001C0B4D">
      <w:pPr>
        <w:pStyle w:val="p1"/>
        <w:spacing w:line="360" w:lineRule="auto"/>
        <w:rPr>
          <w:rFonts w:ascii="Arial" w:hAnsi="Arial" w:cs="Arial"/>
          <w:sz w:val="22"/>
          <w:szCs w:val="22"/>
        </w:rPr>
      </w:pPr>
      <w:r w:rsidRPr="001C0B4D">
        <w:rPr>
          <w:rFonts w:ascii="Arial" w:hAnsi="Arial" w:cs="Arial"/>
          <w:color w:val="000000"/>
          <w:sz w:val="22"/>
          <w:szCs w:val="22"/>
        </w:rPr>
        <w:t>This chapter provides a foundation for the dissertation by examining broader issues involving migrant workers and the sustainability of the ASC workforce in the UK.  It investigates the historical, theoretical, international, and national influences that have influenced present workforce challenges across the sector</w:t>
      </w:r>
      <w:r w:rsidR="00440A39" w:rsidRPr="001C0B4D">
        <w:rPr>
          <w:rFonts w:ascii="Arial" w:hAnsi="Arial" w:cs="Arial"/>
          <w:color w:val="000000"/>
          <w:sz w:val="22"/>
          <w:szCs w:val="22"/>
        </w:rPr>
        <w:t xml:space="preserve"> </w:t>
      </w:r>
      <w:r w:rsidR="00440A39" w:rsidRPr="001C0B4D">
        <w:rPr>
          <w:rStyle w:val="apple-converted-space"/>
          <w:rFonts w:ascii="Arial" w:eastAsiaTheme="majorEastAsia" w:hAnsi="Arial" w:cs="Arial"/>
          <w:sz w:val="22"/>
          <w:szCs w:val="22"/>
        </w:rPr>
        <w:t> </w:t>
      </w:r>
      <w:r w:rsidR="00440A39" w:rsidRPr="001C0B4D">
        <w:rPr>
          <w:rFonts w:ascii="Arial" w:hAnsi="Arial" w:cs="Arial"/>
          <w:color w:val="EE0000"/>
          <w:sz w:val="22"/>
          <w:szCs w:val="22"/>
        </w:rPr>
        <w:t>(Skills for Care, 202</w:t>
      </w:r>
      <w:r w:rsidR="00B01593">
        <w:rPr>
          <w:rFonts w:ascii="Arial" w:hAnsi="Arial" w:cs="Arial"/>
          <w:color w:val="EE0000"/>
          <w:sz w:val="22"/>
          <w:szCs w:val="22"/>
        </w:rPr>
        <w:t>5</w:t>
      </w:r>
      <w:r w:rsidR="00440A39" w:rsidRPr="001C0B4D">
        <w:rPr>
          <w:rFonts w:ascii="Arial" w:hAnsi="Arial" w:cs="Arial"/>
          <w:color w:val="EE0000"/>
          <w:sz w:val="22"/>
          <w:szCs w:val="22"/>
        </w:rPr>
        <w:t>)</w:t>
      </w:r>
      <w:r w:rsidRPr="001C0B4D">
        <w:rPr>
          <w:rFonts w:ascii="Arial" w:hAnsi="Arial" w:cs="Arial"/>
          <w:color w:val="EE0000"/>
          <w:sz w:val="22"/>
          <w:szCs w:val="22"/>
        </w:rPr>
        <w:t xml:space="preserve">. </w:t>
      </w:r>
      <w:r w:rsidRPr="001C0B4D">
        <w:rPr>
          <w:rFonts w:ascii="Arial" w:hAnsi="Arial" w:cs="Arial"/>
          <w:color w:val="000000"/>
          <w:sz w:val="22"/>
          <w:szCs w:val="22"/>
        </w:rPr>
        <w:t>Understanding these aspects is critical for examining migrant workers' contributions to workforce stability and service delivery.</w:t>
      </w:r>
    </w:p>
    <w:p w14:paraId="33C98C5E" w14:textId="58C68783" w:rsidR="00F32DEC" w:rsidRDefault="00724B90" w:rsidP="001C0B4D">
      <w:pPr>
        <w:pStyle w:val="p1"/>
        <w:spacing w:line="360" w:lineRule="auto"/>
        <w:rPr>
          <w:rFonts w:ascii="Arial" w:hAnsi="Arial" w:cs="Arial"/>
          <w:color w:val="EE0000"/>
          <w:sz w:val="22"/>
          <w:szCs w:val="22"/>
        </w:rPr>
      </w:pPr>
      <w:r w:rsidRPr="001C0B4D">
        <w:rPr>
          <w:rFonts w:ascii="Arial" w:hAnsi="Arial" w:cs="Arial"/>
          <w:color w:val="000000"/>
          <w:sz w:val="22"/>
          <w:szCs w:val="22"/>
        </w:rPr>
        <w:t>The chapter begins by outlining the development of migrant labour in the ASC sector over time and highlighting significant policy changes that have affected the availability of labour. It will then introduce theoretical perspectives that explain how labour markets, migration, and workforce sustainability are related. By analysing at how various nations handle comparable labour issues, the chapter also investigates the global viewpoint. Finally, it examines the national context of the UK, concentrating on workforce trends, policies, and regulatory frameworks that influence the recruitment and employment of migrant workers in ASC</w:t>
      </w:r>
      <w:r w:rsidR="00F32DEC" w:rsidRPr="001C0B4D">
        <w:rPr>
          <w:rFonts w:ascii="Arial" w:hAnsi="Arial" w:cs="Arial"/>
          <w:color w:val="000000"/>
          <w:sz w:val="22"/>
          <w:szCs w:val="22"/>
        </w:rPr>
        <w:t xml:space="preserve"> </w:t>
      </w:r>
      <w:r w:rsidR="00F32DEC" w:rsidRPr="001C0B4D">
        <w:rPr>
          <w:rFonts w:ascii="Arial" w:hAnsi="Arial" w:cs="Arial"/>
          <w:color w:val="EE0000"/>
          <w:sz w:val="22"/>
          <w:szCs w:val="22"/>
        </w:rPr>
        <w:t>(Migration Observatory, 202</w:t>
      </w:r>
      <w:r w:rsidR="00AC7994">
        <w:rPr>
          <w:rFonts w:ascii="Arial" w:hAnsi="Arial" w:cs="Arial"/>
          <w:color w:val="EE0000"/>
          <w:sz w:val="22"/>
          <w:szCs w:val="22"/>
        </w:rPr>
        <w:t>3</w:t>
      </w:r>
      <w:r w:rsidR="00F32DEC" w:rsidRPr="001C0B4D">
        <w:rPr>
          <w:rFonts w:ascii="Arial" w:hAnsi="Arial" w:cs="Arial"/>
          <w:color w:val="EE0000"/>
          <w:sz w:val="22"/>
          <w:szCs w:val="22"/>
        </w:rPr>
        <w:t>).</w:t>
      </w:r>
    </w:p>
    <w:p w14:paraId="4DC22894" w14:textId="4CA6D65A" w:rsidR="00F67DDB" w:rsidRPr="00FC6AAB" w:rsidRDefault="00F67DDB" w:rsidP="00F67DDB">
      <w:pPr>
        <w:spacing w:before="100" w:beforeAutospacing="1" w:after="100" w:afterAutospacing="1" w:line="240" w:lineRule="auto"/>
        <w:jc w:val="left"/>
        <w:outlineLvl w:val="1"/>
        <w:rPr>
          <w:rFonts w:ascii="Arial" w:eastAsia="Times New Roman" w:hAnsi="Arial" w:cs="Arial"/>
          <w:kern w:val="0"/>
          <w:sz w:val="28"/>
          <w:szCs w:val="28"/>
          <w:lang w:eastAsia="en-GB"/>
          <w14:ligatures w14:val="none"/>
        </w:rPr>
      </w:pPr>
      <w:r w:rsidRPr="00FC6AAB">
        <w:rPr>
          <w:rFonts w:ascii="Arial" w:eastAsia="Times New Roman" w:hAnsi="Arial" w:cs="Arial"/>
          <w:kern w:val="0"/>
          <w:sz w:val="28"/>
          <w:szCs w:val="28"/>
          <w:lang w:eastAsia="en-GB"/>
          <w14:ligatures w14:val="none"/>
        </w:rPr>
        <w:t>2.2 Historical Background</w:t>
      </w:r>
      <w:r w:rsidR="00245E46" w:rsidRPr="00FC6AAB">
        <w:rPr>
          <w:rFonts w:ascii="Arial" w:eastAsia="Times New Roman" w:hAnsi="Arial" w:cs="Arial"/>
          <w:kern w:val="0"/>
          <w:sz w:val="28"/>
          <w:szCs w:val="28"/>
          <w:lang w:eastAsia="en-GB"/>
          <w14:ligatures w14:val="none"/>
        </w:rPr>
        <w:t xml:space="preserve"> </w:t>
      </w:r>
    </w:p>
    <w:p w14:paraId="3B8F7C39" w14:textId="76003796" w:rsidR="007053E6" w:rsidRPr="00054D96" w:rsidRDefault="00A575B6" w:rsidP="00054D96">
      <w:pPr>
        <w:pStyle w:val="p1"/>
        <w:spacing w:line="360" w:lineRule="auto"/>
        <w:rPr>
          <w:rFonts w:ascii="Arial" w:hAnsi="Arial" w:cs="Arial"/>
          <w:color w:val="EE0000"/>
          <w:sz w:val="22"/>
          <w:szCs w:val="22"/>
        </w:rPr>
      </w:pPr>
      <w:r w:rsidRPr="00054D96">
        <w:rPr>
          <w:rFonts w:ascii="Arial" w:hAnsi="Arial" w:cs="Arial"/>
          <w:color w:val="000000"/>
          <w:sz w:val="22"/>
          <w:szCs w:val="22"/>
        </w:rPr>
        <w:t>The present reliance on migrant workers in the UK's ASC workforce has evolved over several decades and reflects broader social, economic, and regulatory changes. Previously, family members or local authority organisations provided the majority of informal care for older adults and people with disabilities</w:t>
      </w:r>
      <w:r w:rsidR="00C322B0" w:rsidRPr="00054D96">
        <w:rPr>
          <w:rFonts w:ascii="Arial" w:hAnsi="Arial" w:cs="Arial"/>
          <w:color w:val="000000"/>
          <w:sz w:val="22"/>
          <w:szCs w:val="22"/>
        </w:rPr>
        <w:t xml:space="preserve"> as highlighted by </w:t>
      </w:r>
      <w:r w:rsidR="00C322B0" w:rsidRPr="00054D96">
        <w:rPr>
          <w:rStyle w:val="apple-converted-space"/>
          <w:rFonts w:ascii="Arial" w:eastAsiaTheme="majorEastAsia" w:hAnsi="Arial" w:cs="Arial"/>
          <w:sz w:val="22"/>
          <w:szCs w:val="22"/>
        </w:rPr>
        <w:t> </w:t>
      </w:r>
      <w:r w:rsidR="00C322B0" w:rsidRPr="00054D96">
        <w:rPr>
          <w:rFonts w:ascii="Arial" w:hAnsi="Arial" w:cs="Arial"/>
          <w:color w:val="EE0000"/>
          <w:sz w:val="22"/>
          <w:szCs w:val="22"/>
        </w:rPr>
        <w:t xml:space="preserve">(Harker </w:t>
      </w:r>
      <w:r w:rsidR="00C322B0" w:rsidRPr="00054D96">
        <w:rPr>
          <w:rFonts w:ascii="Arial" w:hAnsi="Arial" w:cs="Arial"/>
          <w:i/>
          <w:iCs/>
          <w:color w:val="EE0000"/>
          <w:sz w:val="22"/>
          <w:szCs w:val="22"/>
        </w:rPr>
        <w:t>et al</w:t>
      </w:r>
      <w:r w:rsidR="00C322B0" w:rsidRPr="00054D96">
        <w:rPr>
          <w:rFonts w:ascii="Arial" w:hAnsi="Arial" w:cs="Arial"/>
          <w:color w:val="EE0000"/>
          <w:sz w:val="22"/>
          <w:szCs w:val="22"/>
        </w:rPr>
        <w:t>., 2025)</w:t>
      </w:r>
      <w:r w:rsidRPr="00054D96">
        <w:rPr>
          <w:rFonts w:ascii="Arial" w:hAnsi="Arial" w:cs="Arial"/>
          <w:color w:val="EE0000"/>
          <w:sz w:val="22"/>
          <w:szCs w:val="22"/>
        </w:rPr>
        <w:t xml:space="preserve">. </w:t>
      </w:r>
      <w:r w:rsidRPr="00054D96">
        <w:rPr>
          <w:rFonts w:ascii="Arial" w:hAnsi="Arial" w:cs="Arial"/>
          <w:color w:val="000000"/>
          <w:sz w:val="22"/>
          <w:szCs w:val="22"/>
        </w:rPr>
        <w:t>However, demographic changes, such as an ageing population and rising life expectancy, have resulted in a major increase in demand for formal care services</w:t>
      </w:r>
      <w:r w:rsidR="002D0696" w:rsidRPr="00054D96">
        <w:rPr>
          <w:rFonts w:ascii="Arial" w:hAnsi="Arial" w:cs="Arial"/>
          <w:color w:val="000000"/>
          <w:sz w:val="22"/>
          <w:szCs w:val="22"/>
        </w:rPr>
        <w:t xml:space="preserve"> </w:t>
      </w:r>
      <w:r w:rsidR="002D0696" w:rsidRPr="00054D96">
        <w:rPr>
          <w:rFonts w:ascii="Arial" w:hAnsi="Arial" w:cs="Arial"/>
          <w:color w:val="EE0000"/>
          <w:sz w:val="22"/>
          <w:szCs w:val="22"/>
        </w:rPr>
        <w:t xml:space="preserve">(McKee </w:t>
      </w:r>
      <w:r w:rsidR="002D0696" w:rsidRPr="00054D96">
        <w:rPr>
          <w:rFonts w:ascii="Arial" w:hAnsi="Arial" w:cs="Arial"/>
          <w:i/>
          <w:iCs/>
          <w:color w:val="EE0000"/>
          <w:sz w:val="22"/>
          <w:szCs w:val="22"/>
        </w:rPr>
        <w:t>et al.,</w:t>
      </w:r>
      <w:r w:rsidR="002D0696" w:rsidRPr="00054D96">
        <w:rPr>
          <w:rFonts w:ascii="Arial" w:hAnsi="Arial" w:cs="Arial"/>
          <w:color w:val="EE0000"/>
          <w:sz w:val="22"/>
          <w:szCs w:val="22"/>
        </w:rPr>
        <w:t xml:space="preserve"> 2021)</w:t>
      </w:r>
      <w:r w:rsidRPr="00054D96">
        <w:rPr>
          <w:rFonts w:ascii="Arial" w:hAnsi="Arial" w:cs="Arial"/>
          <w:color w:val="EE0000"/>
          <w:sz w:val="22"/>
          <w:szCs w:val="22"/>
        </w:rPr>
        <w:t xml:space="preserve">. </w:t>
      </w:r>
      <w:r w:rsidRPr="00054D96">
        <w:rPr>
          <w:rFonts w:ascii="Arial" w:hAnsi="Arial" w:cs="Arial"/>
          <w:color w:val="000000"/>
          <w:sz w:val="22"/>
          <w:szCs w:val="22"/>
        </w:rPr>
        <w:t>As demand has risen, the sector has faced continuous recruitment and retention challenges, adding to long-term personnel shortages.</w:t>
      </w:r>
      <w:r w:rsidR="007645A3" w:rsidRPr="00054D96">
        <w:rPr>
          <w:rFonts w:ascii="Arial" w:hAnsi="Arial" w:cs="Arial"/>
          <w:color w:val="000000"/>
          <w:sz w:val="22"/>
          <w:szCs w:val="22"/>
        </w:rPr>
        <w:t xml:space="preserve"> For example, there were approximately 131,000 vacant positions in adult social care in England in 2023–2024, indicating ongoing shortages of employees in this sector </w:t>
      </w:r>
      <w:r w:rsidR="00295ED3" w:rsidRPr="00054D96">
        <w:rPr>
          <w:rFonts w:ascii="Arial" w:hAnsi="Arial" w:cs="Arial"/>
          <w:color w:val="EE0000"/>
          <w:sz w:val="22"/>
          <w:szCs w:val="22"/>
        </w:rPr>
        <w:t>(</w:t>
      </w:r>
      <w:r w:rsidR="007645A3" w:rsidRPr="00054D96">
        <w:rPr>
          <w:rFonts w:ascii="Arial" w:hAnsi="Arial" w:cs="Arial"/>
          <w:color w:val="EE0000"/>
          <w:sz w:val="22"/>
          <w:szCs w:val="22"/>
        </w:rPr>
        <w:t>UK Parliament POST, 2025).</w:t>
      </w:r>
      <w:r w:rsidR="007645A3" w:rsidRPr="00054D96">
        <w:rPr>
          <w:rFonts w:ascii="Arial" w:hAnsi="Arial" w:cs="Arial"/>
          <w:color w:val="000000"/>
          <w:sz w:val="22"/>
          <w:szCs w:val="22"/>
        </w:rPr>
        <w:t xml:space="preserve"> With 19% of the UK population 65 or older in 2022 and projected to rise to 27% by 2072, demographic shifts are further driving up the demand for care </w:t>
      </w:r>
      <w:r w:rsidR="007053E6" w:rsidRPr="00054D96">
        <w:rPr>
          <w:rFonts w:ascii="Arial" w:hAnsi="Arial" w:cs="Arial"/>
          <w:sz w:val="22"/>
          <w:szCs w:val="22"/>
        </w:rPr>
        <w:t>(</w:t>
      </w:r>
      <w:r w:rsidR="007053E6" w:rsidRPr="00054D96">
        <w:rPr>
          <w:rFonts w:ascii="Arial" w:hAnsi="Arial" w:cs="Arial"/>
          <w:color w:val="EE0000"/>
          <w:sz w:val="22"/>
          <w:szCs w:val="22"/>
        </w:rPr>
        <w:t xml:space="preserve">Barton </w:t>
      </w:r>
      <w:r w:rsidR="007053E6" w:rsidRPr="00054D96">
        <w:rPr>
          <w:rFonts w:ascii="Arial" w:hAnsi="Arial" w:cs="Arial"/>
          <w:i/>
          <w:iCs/>
          <w:color w:val="EE0000"/>
          <w:sz w:val="22"/>
          <w:szCs w:val="22"/>
        </w:rPr>
        <w:t>et al</w:t>
      </w:r>
      <w:r w:rsidR="007053E6" w:rsidRPr="00054D96">
        <w:rPr>
          <w:rFonts w:ascii="Arial" w:hAnsi="Arial" w:cs="Arial"/>
          <w:color w:val="EE0000"/>
          <w:sz w:val="22"/>
          <w:szCs w:val="22"/>
        </w:rPr>
        <w:t>., 2024)</w:t>
      </w:r>
      <w:r w:rsidR="000B23E3">
        <w:rPr>
          <w:rFonts w:ascii="Arial" w:hAnsi="Arial" w:cs="Arial"/>
          <w:color w:val="EE0000"/>
          <w:sz w:val="22"/>
          <w:szCs w:val="22"/>
        </w:rPr>
        <w:t>.</w:t>
      </w:r>
    </w:p>
    <w:p w14:paraId="25746C86" w14:textId="7DB4E306" w:rsidR="00BF2741" w:rsidRDefault="00ED728D" w:rsidP="00BF2741">
      <w:pPr>
        <w:pStyle w:val="p1"/>
        <w:spacing w:line="360" w:lineRule="auto"/>
        <w:rPr>
          <w:rFonts w:ascii="Arial" w:hAnsi="Arial" w:cs="Arial"/>
          <w:color w:val="EE0000"/>
          <w:sz w:val="22"/>
          <w:szCs w:val="22"/>
        </w:rPr>
      </w:pPr>
      <w:r w:rsidRPr="00FC305C">
        <w:rPr>
          <w:rFonts w:ascii="Arial" w:hAnsi="Arial" w:cs="Arial"/>
          <w:color w:val="000000" w:themeColor="text1"/>
          <w:sz w:val="22"/>
          <w:szCs w:val="22"/>
        </w:rPr>
        <w:t xml:space="preserve">According </w:t>
      </w:r>
      <w:r w:rsidR="00416A00">
        <w:rPr>
          <w:rFonts w:ascii="Arial" w:hAnsi="Arial" w:cs="Arial"/>
          <w:color w:val="000000" w:themeColor="text1"/>
          <w:sz w:val="22"/>
          <w:szCs w:val="22"/>
        </w:rPr>
        <w:t>to</w:t>
      </w:r>
      <w:r w:rsidRPr="00FC305C">
        <w:rPr>
          <w:rFonts w:ascii="Arial" w:hAnsi="Arial" w:cs="Arial"/>
          <w:color w:val="000000" w:themeColor="text1"/>
          <w:sz w:val="22"/>
          <w:szCs w:val="22"/>
        </w:rPr>
        <w:t xml:space="preserve"> </w:t>
      </w:r>
      <w:r w:rsidRPr="00FC305C">
        <w:rPr>
          <w:rFonts w:ascii="Arial" w:hAnsi="Arial" w:cs="Arial"/>
          <w:color w:val="EE0000"/>
          <w:sz w:val="22"/>
          <w:szCs w:val="22"/>
        </w:rPr>
        <w:t xml:space="preserve">Marino and Keizer, (2023) </w:t>
      </w:r>
      <w:r w:rsidRPr="00FC305C">
        <w:rPr>
          <w:rFonts w:ascii="Arial" w:hAnsi="Arial" w:cs="Arial"/>
          <w:color w:val="000000" w:themeColor="text1"/>
          <w:sz w:val="22"/>
          <w:szCs w:val="22"/>
        </w:rPr>
        <w:t>m</w:t>
      </w:r>
      <w:r w:rsidR="008F620D" w:rsidRPr="00FC305C">
        <w:rPr>
          <w:rFonts w:ascii="Arial" w:hAnsi="Arial" w:cs="Arial"/>
          <w:color w:val="000000" w:themeColor="text1"/>
          <w:sz w:val="22"/>
          <w:szCs w:val="22"/>
        </w:rPr>
        <w:t>igrant workers became</w:t>
      </w:r>
      <w:r w:rsidR="00D53B3B">
        <w:rPr>
          <w:rFonts w:ascii="Arial" w:hAnsi="Arial" w:cs="Arial"/>
          <w:color w:val="000000" w:themeColor="text1"/>
          <w:sz w:val="22"/>
          <w:szCs w:val="22"/>
        </w:rPr>
        <w:t xml:space="preserve"> </w:t>
      </w:r>
      <w:r w:rsidR="00FA5B8E">
        <w:rPr>
          <w:rFonts w:ascii="Arial" w:hAnsi="Arial" w:cs="Arial"/>
          <w:color w:val="000000" w:themeColor="text1"/>
          <w:sz w:val="22"/>
          <w:szCs w:val="22"/>
        </w:rPr>
        <w:t xml:space="preserve">increasingly </w:t>
      </w:r>
      <w:r w:rsidR="008F620D" w:rsidRPr="00FC305C">
        <w:rPr>
          <w:rFonts w:ascii="Arial" w:hAnsi="Arial" w:cs="Arial"/>
          <w:color w:val="000000" w:themeColor="text1"/>
          <w:sz w:val="22"/>
          <w:szCs w:val="22"/>
        </w:rPr>
        <w:t>prevalent in ASC workforce beginning in the early 2000s. Migrant workers have frequently filled occupations that have been difficult to fill domestically, particularly minimum-wage direct care roles</w:t>
      </w:r>
      <w:r w:rsidR="00171DCD" w:rsidRPr="00FC305C">
        <w:rPr>
          <w:rFonts w:ascii="Arial" w:hAnsi="Arial" w:cs="Arial"/>
          <w:color w:val="000000" w:themeColor="text1"/>
          <w:sz w:val="22"/>
          <w:szCs w:val="22"/>
        </w:rPr>
        <w:t xml:space="preserve"> </w:t>
      </w:r>
      <w:r w:rsidR="00171DCD" w:rsidRPr="00FC305C">
        <w:rPr>
          <w:rFonts w:ascii="Arial" w:hAnsi="Arial" w:cs="Arial"/>
          <w:color w:val="EE0000"/>
          <w:sz w:val="22"/>
          <w:szCs w:val="22"/>
        </w:rPr>
        <w:t>(Marino and Keizer, 2023)</w:t>
      </w:r>
      <w:r w:rsidR="008F620D" w:rsidRPr="00FC305C">
        <w:rPr>
          <w:rFonts w:ascii="Arial" w:hAnsi="Arial" w:cs="Arial"/>
          <w:color w:val="EE0000"/>
          <w:sz w:val="22"/>
          <w:szCs w:val="22"/>
        </w:rPr>
        <w:t>.</w:t>
      </w:r>
      <w:r w:rsidR="008F620D" w:rsidRPr="00FC305C">
        <w:rPr>
          <w:rFonts w:ascii="Arial" w:hAnsi="Arial" w:cs="Arial"/>
          <w:color w:val="000000" w:themeColor="text1"/>
          <w:sz w:val="22"/>
          <w:szCs w:val="22"/>
        </w:rPr>
        <w:t xml:space="preserve"> This trend became more obvious once the European Union expanded, when workers from Eastern European nations entered the UK employment </w:t>
      </w:r>
      <w:r w:rsidR="008F620D" w:rsidRPr="00FC305C">
        <w:rPr>
          <w:rFonts w:ascii="Arial" w:hAnsi="Arial" w:cs="Arial"/>
          <w:color w:val="000000" w:themeColor="text1"/>
          <w:sz w:val="22"/>
          <w:szCs w:val="22"/>
        </w:rPr>
        <w:lastRenderedPageBreak/>
        <w:t>market, contributing to manpower shortages in sectors including the health and social care</w:t>
      </w:r>
      <w:r w:rsidR="0073620E" w:rsidRPr="00FC305C">
        <w:rPr>
          <w:rFonts w:ascii="Arial" w:hAnsi="Arial" w:cs="Arial"/>
          <w:color w:val="000000" w:themeColor="text1"/>
          <w:sz w:val="22"/>
          <w:szCs w:val="22"/>
        </w:rPr>
        <w:t xml:space="preserve"> </w:t>
      </w:r>
      <w:r w:rsidR="0073620E" w:rsidRPr="00FC305C">
        <w:rPr>
          <w:rFonts w:ascii="Arial" w:hAnsi="Arial" w:cs="Arial"/>
          <w:color w:val="EE0000"/>
          <w:sz w:val="22"/>
          <w:szCs w:val="22"/>
        </w:rPr>
        <w:t>(Migration Observatory, 2023).</w:t>
      </w:r>
      <w:r w:rsidR="00554243" w:rsidRPr="00FC305C">
        <w:rPr>
          <w:rFonts w:ascii="Arial" w:hAnsi="Arial" w:cs="Arial"/>
          <w:color w:val="EE0000"/>
          <w:sz w:val="22"/>
          <w:szCs w:val="22"/>
        </w:rPr>
        <w:t xml:space="preserve"> </w:t>
      </w:r>
      <w:r w:rsidR="00554243" w:rsidRPr="00FC305C">
        <w:rPr>
          <w:rFonts w:ascii="Arial" w:hAnsi="Arial" w:cs="Arial"/>
          <w:color w:val="000000"/>
          <w:sz w:val="22"/>
          <w:szCs w:val="22"/>
        </w:rPr>
        <w:t xml:space="preserve">Research suggests migrant workers have therefore been crucial in maintaining staffing levels in the social care sector, where domestic labour supply has found it difficult to </w:t>
      </w:r>
      <w:r w:rsidR="009C64E9">
        <w:rPr>
          <w:rFonts w:ascii="Arial" w:hAnsi="Arial" w:cs="Arial"/>
          <w:color w:val="000000"/>
          <w:sz w:val="22"/>
          <w:szCs w:val="22"/>
        </w:rPr>
        <w:t>keep</w:t>
      </w:r>
      <w:r w:rsidR="00554243" w:rsidRPr="00FC305C">
        <w:rPr>
          <w:rFonts w:ascii="Arial" w:hAnsi="Arial" w:cs="Arial"/>
          <w:color w:val="000000"/>
          <w:sz w:val="22"/>
          <w:szCs w:val="22"/>
        </w:rPr>
        <w:t xml:space="preserve"> up with demand</w:t>
      </w:r>
      <w:r w:rsidR="009C64E9">
        <w:rPr>
          <w:rFonts w:ascii="Arial" w:hAnsi="Arial" w:cs="Arial"/>
          <w:color w:val="000000"/>
          <w:sz w:val="22"/>
          <w:szCs w:val="22"/>
        </w:rPr>
        <w:t xml:space="preserve"> </w:t>
      </w:r>
      <w:r w:rsidR="00503A35" w:rsidRPr="00FC305C">
        <w:rPr>
          <w:rFonts w:ascii="Arial" w:hAnsi="Arial" w:cs="Arial"/>
          <w:color w:val="EE0000"/>
          <w:sz w:val="22"/>
          <w:szCs w:val="22"/>
        </w:rPr>
        <w:t>(Turnpenny and Hussein, 2022)</w:t>
      </w:r>
    </w:p>
    <w:p w14:paraId="235DD098" w14:textId="6FDFCFFB" w:rsidR="00F67DDB" w:rsidRPr="00FF32C1" w:rsidRDefault="003D4774" w:rsidP="00FF32C1">
      <w:pPr>
        <w:pStyle w:val="p1"/>
        <w:spacing w:line="360" w:lineRule="auto"/>
        <w:rPr>
          <w:rFonts w:ascii="Arial" w:hAnsi="Arial" w:cs="Arial"/>
          <w:sz w:val="22"/>
          <w:szCs w:val="22"/>
        </w:rPr>
      </w:pPr>
      <w:r w:rsidRPr="00FF32C1">
        <w:rPr>
          <w:rFonts w:ascii="Arial" w:hAnsi="Arial" w:cs="Arial"/>
          <w:color w:val="000000"/>
          <w:sz w:val="22"/>
          <w:szCs w:val="22"/>
        </w:rPr>
        <w:t>When the UK decided to leave the European Union in 2016, the workforce's composition underwent a major shift. The termination of free movement between the UK and EU member states as a result of Brexit decreased the number of European workers available in a number of industries, including adult social care</w:t>
      </w:r>
      <w:r w:rsidR="00355A6E" w:rsidRPr="00FF32C1">
        <w:rPr>
          <w:rFonts w:ascii="Arial" w:hAnsi="Arial" w:cs="Arial"/>
          <w:color w:val="000000"/>
          <w:sz w:val="22"/>
          <w:szCs w:val="22"/>
        </w:rPr>
        <w:t xml:space="preserve"> </w:t>
      </w:r>
      <w:r w:rsidR="00355A6E" w:rsidRPr="00FF32C1">
        <w:rPr>
          <w:rFonts w:ascii="Arial" w:hAnsi="Arial" w:cs="Arial"/>
          <w:sz w:val="22"/>
          <w:szCs w:val="22"/>
        </w:rPr>
        <w:t>(</w:t>
      </w:r>
      <w:r w:rsidR="00355A6E" w:rsidRPr="00FF32C1">
        <w:rPr>
          <w:rFonts w:ascii="Arial" w:hAnsi="Arial" w:cs="Arial"/>
          <w:color w:val="EE0000"/>
          <w:sz w:val="22"/>
          <w:szCs w:val="22"/>
        </w:rPr>
        <w:t xml:space="preserve">Dayan </w:t>
      </w:r>
      <w:r w:rsidR="00355A6E" w:rsidRPr="00FF32C1">
        <w:rPr>
          <w:rFonts w:ascii="Arial" w:hAnsi="Arial" w:cs="Arial"/>
          <w:i/>
          <w:iCs/>
          <w:color w:val="EE0000"/>
          <w:sz w:val="22"/>
          <w:szCs w:val="22"/>
        </w:rPr>
        <w:t>et al.,</w:t>
      </w:r>
      <w:r w:rsidR="00355A6E" w:rsidRPr="00FF32C1">
        <w:rPr>
          <w:rFonts w:ascii="Arial" w:hAnsi="Arial" w:cs="Arial"/>
          <w:color w:val="EE0000"/>
          <w:sz w:val="22"/>
          <w:szCs w:val="22"/>
        </w:rPr>
        <w:t xml:space="preserve"> 2024)</w:t>
      </w:r>
      <w:r w:rsidRPr="00FF32C1">
        <w:rPr>
          <w:rFonts w:ascii="Arial" w:hAnsi="Arial" w:cs="Arial"/>
          <w:color w:val="000000"/>
          <w:sz w:val="22"/>
          <w:szCs w:val="22"/>
        </w:rPr>
        <w:t>. In order to reduce the labour shortage, more focus was placed on alternative overseas recruitment schemes</w:t>
      </w:r>
      <w:r w:rsidR="00774DC0" w:rsidRPr="00FF32C1">
        <w:rPr>
          <w:rFonts w:ascii="Arial" w:hAnsi="Arial" w:cs="Arial"/>
          <w:color w:val="000000"/>
          <w:sz w:val="22"/>
          <w:szCs w:val="22"/>
        </w:rPr>
        <w:t xml:space="preserve"> </w:t>
      </w:r>
      <w:r w:rsidR="00774DC0" w:rsidRPr="00261718">
        <w:rPr>
          <w:rFonts w:ascii="Arial" w:hAnsi="Arial" w:cs="Arial"/>
          <w:color w:val="EE0000"/>
          <w:sz w:val="22"/>
          <w:szCs w:val="22"/>
        </w:rPr>
        <w:t>(Migration Observatory, 2023).</w:t>
      </w:r>
      <w:r w:rsidR="008321B5" w:rsidRPr="00261718">
        <w:rPr>
          <w:rStyle w:val="apple-converted-space"/>
          <w:rFonts w:ascii="Arial" w:eastAsiaTheme="majorEastAsia" w:hAnsi="Arial" w:cs="Arial"/>
          <w:color w:val="EE0000"/>
          <w:sz w:val="22"/>
          <w:szCs w:val="22"/>
        </w:rPr>
        <w:t xml:space="preserve"> </w:t>
      </w:r>
      <w:r w:rsidR="008321B5" w:rsidRPr="00FF32C1">
        <w:rPr>
          <w:rStyle w:val="apple-converted-space"/>
          <w:rFonts w:ascii="Arial" w:eastAsiaTheme="majorEastAsia" w:hAnsi="Arial" w:cs="Arial"/>
          <w:sz w:val="22"/>
          <w:szCs w:val="22"/>
        </w:rPr>
        <w:t>A</w:t>
      </w:r>
      <w:r w:rsidR="009A1206" w:rsidRPr="00FF32C1">
        <w:rPr>
          <w:rStyle w:val="apple-converted-space"/>
          <w:rFonts w:ascii="Arial" w:eastAsiaTheme="majorEastAsia" w:hAnsi="Arial" w:cs="Arial"/>
          <w:sz w:val="22"/>
          <w:szCs w:val="22"/>
        </w:rPr>
        <w:t xml:space="preserve">ccording </w:t>
      </w:r>
      <w:r w:rsidR="00BF1DBF">
        <w:rPr>
          <w:rStyle w:val="apple-converted-space"/>
          <w:rFonts w:ascii="Arial" w:eastAsiaTheme="majorEastAsia" w:hAnsi="Arial" w:cs="Arial"/>
          <w:sz w:val="22"/>
          <w:szCs w:val="22"/>
        </w:rPr>
        <w:t>to</w:t>
      </w:r>
      <w:r w:rsidR="009A1206" w:rsidRPr="00FF32C1">
        <w:rPr>
          <w:rStyle w:val="apple-converted-space"/>
          <w:rFonts w:ascii="Arial" w:eastAsiaTheme="majorEastAsia" w:hAnsi="Arial" w:cs="Arial"/>
          <w:sz w:val="22"/>
          <w:szCs w:val="22"/>
        </w:rPr>
        <w:t xml:space="preserve"> </w:t>
      </w:r>
      <w:r w:rsidR="009A1206" w:rsidRPr="00FF32C1">
        <w:rPr>
          <w:rFonts w:ascii="Arial" w:hAnsi="Arial" w:cs="Arial"/>
          <w:color w:val="EE0000"/>
          <w:sz w:val="22"/>
          <w:szCs w:val="22"/>
        </w:rPr>
        <w:t>Portes and Springford</w:t>
      </w:r>
      <w:r w:rsidR="00F35D9B">
        <w:rPr>
          <w:rFonts w:ascii="Arial" w:hAnsi="Arial" w:cs="Arial"/>
          <w:color w:val="EE0000"/>
          <w:sz w:val="22"/>
          <w:szCs w:val="22"/>
        </w:rPr>
        <w:t xml:space="preserve"> </w:t>
      </w:r>
      <w:r w:rsidR="009A1206" w:rsidRPr="00FF32C1">
        <w:rPr>
          <w:rFonts w:ascii="Arial" w:hAnsi="Arial" w:cs="Arial"/>
          <w:color w:val="EE0000"/>
          <w:sz w:val="22"/>
          <w:szCs w:val="22"/>
        </w:rPr>
        <w:t xml:space="preserve">(2023) </w:t>
      </w:r>
      <w:r w:rsidR="009A1206" w:rsidRPr="00FF32C1">
        <w:rPr>
          <w:rFonts w:ascii="Arial" w:hAnsi="Arial" w:cs="Arial"/>
          <w:color w:val="000000"/>
          <w:sz w:val="22"/>
          <w:szCs w:val="22"/>
        </w:rPr>
        <w:t>t</w:t>
      </w:r>
      <w:r w:rsidRPr="00FF32C1">
        <w:rPr>
          <w:rFonts w:ascii="Arial" w:hAnsi="Arial" w:cs="Arial"/>
          <w:color w:val="000000"/>
          <w:sz w:val="22"/>
          <w:szCs w:val="22"/>
        </w:rPr>
        <w:t>hese challenges  increased by the COVID-19 pandemic, which increased demand for care services while also putting more strain on the current workforce.</w:t>
      </w:r>
    </w:p>
    <w:p w14:paraId="6198FE77" w14:textId="77777777" w:rsidR="00161B1E" w:rsidRDefault="001B6B2D" w:rsidP="00F51A43">
      <w:pPr>
        <w:pStyle w:val="p1"/>
        <w:spacing w:line="360" w:lineRule="auto"/>
        <w:rPr>
          <w:rFonts w:ascii="Arial" w:hAnsi="Arial" w:cs="Arial"/>
          <w:sz w:val="22"/>
          <w:szCs w:val="22"/>
        </w:rPr>
      </w:pPr>
      <w:r w:rsidRPr="003F5BC5">
        <w:rPr>
          <w:rFonts w:ascii="Arial" w:hAnsi="Arial" w:cs="Arial"/>
          <w:color w:val="000000"/>
          <w:sz w:val="22"/>
          <w:szCs w:val="22"/>
        </w:rPr>
        <w:t>In response to these challenges, the UK government implemented a number of legislative measures aimed at improving workforce recruiting in the care sector</w:t>
      </w:r>
      <w:r w:rsidR="0072333D" w:rsidRPr="003F5BC5">
        <w:rPr>
          <w:rFonts w:ascii="Arial" w:hAnsi="Arial" w:cs="Arial"/>
          <w:color w:val="EE0000"/>
          <w:sz w:val="22"/>
          <w:szCs w:val="22"/>
        </w:rPr>
        <w:t xml:space="preserve"> Foster, (2024)</w:t>
      </w:r>
      <w:r w:rsidRPr="003F5BC5">
        <w:rPr>
          <w:rFonts w:ascii="Arial" w:hAnsi="Arial" w:cs="Arial"/>
          <w:color w:val="EE0000"/>
          <w:sz w:val="22"/>
          <w:szCs w:val="22"/>
        </w:rPr>
        <w:t xml:space="preserve">. </w:t>
      </w:r>
      <w:r w:rsidRPr="003F5BC5">
        <w:rPr>
          <w:rFonts w:ascii="Arial" w:hAnsi="Arial" w:cs="Arial"/>
          <w:color w:val="000000"/>
          <w:sz w:val="22"/>
          <w:szCs w:val="22"/>
        </w:rPr>
        <w:t>One of the most significant developments was the establishment of the Health and Care Worker visa, which enabled care providers to recruit overseas workers under a separate immigration strategy</w:t>
      </w:r>
      <w:r w:rsidR="0065452D" w:rsidRPr="003F5BC5">
        <w:rPr>
          <w:rFonts w:ascii="Arial" w:hAnsi="Arial" w:cs="Arial"/>
          <w:color w:val="000000"/>
          <w:sz w:val="22"/>
          <w:szCs w:val="22"/>
        </w:rPr>
        <w:t xml:space="preserve"> </w:t>
      </w:r>
      <w:r w:rsidR="0065452D" w:rsidRPr="003F5BC5">
        <w:rPr>
          <w:rStyle w:val="apple-converted-space"/>
          <w:rFonts w:ascii="Arial" w:eastAsiaTheme="majorEastAsia" w:hAnsi="Arial" w:cs="Arial"/>
          <w:sz w:val="22"/>
          <w:szCs w:val="22"/>
        </w:rPr>
        <w:t> </w:t>
      </w:r>
      <w:r w:rsidR="0065452D" w:rsidRPr="003F5BC5">
        <w:rPr>
          <w:rFonts w:ascii="Arial" w:hAnsi="Arial" w:cs="Arial"/>
          <w:color w:val="EE0000"/>
          <w:sz w:val="22"/>
          <w:szCs w:val="22"/>
        </w:rPr>
        <w:t>(Migration Observatory, 2023)</w:t>
      </w:r>
      <w:r w:rsidR="005C2306" w:rsidRPr="003F5BC5">
        <w:rPr>
          <w:rFonts w:ascii="Arial" w:hAnsi="Arial" w:cs="Arial"/>
          <w:color w:val="EE0000"/>
          <w:sz w:val="22"/>
          <w:szCs w:val="22"/>
        </w:rPr>
        <w:t>.</w:t>
      </w:r>
      <w:r w:rsidR="00F860F0" w:rsidRPr="003F5BC5">
        <w:rPr>
          <w:rFonts w:ascii="Arial" w:hAnsi="Arial" w:cs="Arial"/>
          <w:color w:val="EE0000"/>
          <w:sz w:val="22"/>
          <w:szCs w:val="22"/>
        </w:rPr>
        <w:t xml:space="preserve"> </w:t>
      </w:r>
      <w:r w:rsidRPr="003F5BC5">
        <w:rPr>
          <w:rFonts w:ascii="Arial" w:hAnsi="Arial" w:cs="Arial"/>
          <w:color w:val="000000"/>
          <w:sz w:val="22"/>
          <w:szCs w:val="22"/>
        </w:rPr>
        <w:t>The inclusion of care roles on the S</w:t>
      </w:r>
      <w:r w:rsidR="003E1E9F" w:rsidRPr="003F5BC5">
        <w:rPr>
          <w:rFonts w:ascii="Arial" w:hAnsi="Arial" w:cs="Arial"/>
          <w:color w:val="000000"/>
          <w:sz w:val="22"/>
          <w:szCs w:val="22"/>
        </w:rPr>
        <w:t xml:space="preserve">OL </w:t>
      </w:r>
      <w:r w:rsidRPr="003F5BC5">
        <w:rPr>
          <w:rFonts w:ascii="Arial" w:hAnsi="Arial" w:cs="Arial"/>
          <w:color w:val="000000"/>
          <w:sz w:val="22"/>
          <w:szCs w:val="22"/>
        </w:rPr>
        <w:t>acknowledged the sector's persistent workforce issues and gave employers more flexibility in recruiting migrant workers</w:t>
      </w:r>
      <w:r w:rsidR="00C2128F" w:rsidRPr="003F5BC5">
        <w:rPr>
          <w:rFonts w:ascii="Arial" w:hAnsi="Arial" w:cs="Arial"/>
          <w:color w:val="000000"/>
          <w:sz w:val="22"/>
          <w:szCs w:val="22"/>
        </w:rPr>
        <w:t xml:space="preserve"> </w:t>
      </w:r>
      <w:r w:rsidR="00C2128F" w:rsidRPr="003F5BC5">
        <w:rPr>
          <w:rFonts w:ascii="Arial" w:hAnsi="Arial" w:cs="Arial"/>
          <w:color w:val="EE0000"/>
          <w:sz w:val="22"/>
          <w:szCs w:val="22"/>
        </w:rPr>
        <w:t>(Migration Advisory Committee, 2023</w:t>
      </w:r>
      <w:r w:rsidR="00C2128F" w:rsidRPr="003F5BC5">
        <w:rPr>
          <w:rFonts w:ascii="Arial" w:hAnsi="Arial" w:cs="Arial"/>
          <w:sz w:val="22"/>
          <w:szCs w:val="22"/>
        </w:rPr>
        <w:t>)</w:t>
      </w:r>
      <w:r w:rsidR="0078325A" w:rsidRPr="003F5BC5">
        <w:rPr>
          <w:rFonts w:ascii="Arial" w:hAnsi="Arial" w:cs="Arial"/>
          <w:sz w:val="22"/>
          <w:szCs w:val="22"/>
        </w:rPr>
        <w:t>.</w:t>
      </w:r>
    </w:p>
    <w:p w14:paraId="24667263" w14:textId="77777777" w:rsidR="00161B1E" w:rsidRDefault="004A6C1B" w:rsidP="00161B1E">
      <w:pPr>
        <w:pStyle w:val="p1"/>
        <w:spacing w:line="360" w:lineRule="auto"/>
        <w:rPr>
          <w:rFonts w:ascii="Arial" w:hAnsi="Arial" w:cs="Arial"/>
          <w:sz w:val="22"/>
          <w:szCs w:val="22"/>
        </w:rPr>
      </w:pPr>
      <w:r w:rsidRPr="00F51A43">
        <w:rPr>
          <w:rFonts w:ascii="Arial" w:hAnsi="Arial" w:cs="Arial"/>
          <w:color w:val="000000"/>
          <w:sz w:val="22"/>
          <w:szCs w:val="22"/>
        </w:rPr>
        <w:t>In ASC, workforce sustainability remains a significant issue despite these legislative interventions. Migrant workers currently make up a significant proportion of the workforce, and international recruitment has emerged as an important strategy for sustaining employment levels</w:t>
      </w:r>
      <w:r w:rsidR="00ED2B4A" w:rsidRPr="00F51A43">
        <w:rPr>
          <w:rFonts w:ascii="Arial" w:hAnsi="Arial" w:cs="Arial"/>
          <w:color w:val="000000"/>
          <w:sz w:val="22"/>
          <w:szCs w:val="22"/>
        </w:rPr>
        <w:t xml:space="preserve"> </w:t>
      </w:r>
      <w:r w:rsidR="00ED2B4A" w:rsidRPr="00F51A43">
        <w:rPr>
          <w:rFonts w:ascii="Arial" w:hAnsi="Arial" w:cs="Arial"/>
          <w:color w:val="EE0000"/>
          <w:sz w:val="22"/>
          <w:szCs w:val="22"/>
        </w:rPr>
        <w:t>(Skills for Care, 202</w:t>
      </w:r>
      <w:r w:rsidR="00F51A43" w:rsidRPr="00F51A43">
        <w:rPr>
          <w:rFonts w:ascii="Arial" w:hAnsi="Arial" w:cs="Arial"/>
          <w:color w:val="EE0000"/>
          <w:sz w:val="22"/>
          <w:szCs w:val="22"/>
        </w:rPr>
        <w:t>5</w:t>
      </w:r>
      <w:r w:rsidR="00ED2B4A" w:rsidRPr="00F51A43">
        <w:rPr>
          <w:rFonts w:ascii="Arial" w:hAnsi="Arial" w:cs="Arial"/>
          <w:color w:val="EE0000"/>
          <w:sz w:val="22"/>
          <w:szCs w:val="22"/>
        </w:rPr>
        <w:t>)</w:t>
      </w:r>
      <w:r w:rsidR="00ED2B4A" w:rsidRPr="00F51A43">
        <w:rPr>
          <w:rStyle w:val="s1"/>
          <w:rFonts w:ascii="Arial" w:eastAsiaTheme="majorEastAsia" w:hAnsi="Arial" w:cs="Arial"/>
          <w:color w:val="EE0000"/>
          <w:sz w:val="22"/>
          <w:szCs w:val="22"/>
        </w:rPr>
        <w:t>.</w:t>
      </w:r>
      <w:r w:rsidR="00ED2B4A" w:rsidRPr="00F51A43">
        <w:rPr>
          <w:rFonts w:ascii="Arial" w:hAnsi="Arial" w:cs="Arial"/>
          <w:color w:val="EE0000"/>
          <w:sz w:val="22"/>
          <w:szCs w:val="22"/>
        </w:rPr>
        <w:t xml:space="preserve"> </w:t>
      </w:r>
      <w:r w:rsidRPr="00F51A43">
        <w:rPr>
          <w:rFonts w:ascii="Arial" w:hAnsi="Arial" w:cs="Arial"/>
          <w:color w:val="000000"/>
          <w:sz w:val="22"/>
          <w:szCs w:val="22"/>
        </w:rPr>
        <w:t>This strategy has reduced short-term workforce concerns, but it has additionally ignited discussion about long-term labour planning and the degree to which the industry has grown structurally dependent on migrant labour</w:t>
      </w:r>
      <w:r w:rsidR="004E3340" w:rsidRPr="00F51A43">
        <w:rPr>
          <w:rFonts w:ascii="Arial" w:hAnsi="Arial" w:cs="Arial"/>
          <w:color w:val="000000"/>
          <w:sz w:val="22"/>
          <w:szCs w:val="22"/>
        </w:rPr>
        <w:t xml:space="preserve"> </w:t>
      </w:r>
      <w:r w:rsidR="004E3340" w:rsidRPr="00F51A43">
        <w:rPr>
          <w:rFonts w:ascii="Arial" w:hAnsi="Arial" w:cs="Arial"/>
          <w:sz w:val="22"/>
          <w:szCs w:val="22"/>
        </w:rPr>
        <w:t>(</w:t>
      </w:r>
      <w:r w:rsidR="004E3340" w:rsidRPr="00F51A43">
        <w:rPr>
          <w:rFonts w:ascii="Arial" w:hAnsi="Arial" w:cs="Arial"/>
          <w:color w:val="EE0000"/>
          <w:sz w:val="22"/>
          <w:szCs w:val="22"/>
        </w:rPr>
        <w:t>Migration Advisory Committee, 2023)</w:t>
      </w:r>
      <w:r w:rsidR="004E3340" w:rsidRPr="00F51A43">
        <w:rPr>
          <w:rStyle w:val="s1"/>
          <w:rFonts w:ascii="Arial" w:eastAsiaTheme="majorEastAsia" w:hAnsi="Arial" w:cs="Arial"/>
          <w:color w:val="EE0000"/>
          <w:sz w:val="22"/>
          <w:szCs w:val="22"/>
        </w:rPr>
        <w:t>.</w:t>
      </w:r>
      <w:r w:rsidR="004E3340" w:rsidRPr="00F51A43">
        <w:rPr>
          <w:rStyle w:val="apple-converted-space"/>
          <w:rFonts w:ascii="Arial" w:eastAsiaTheme="majorEastAsia" w:hAnsi="Arial" w:cs="Arial"/>
          <w:color w:val="EE0000"/>
          <w:sz w:val="22"/>
          <w:szCs w:val="22"/>
        </w:rPr>
        <w:t> </w:t>
      </w:r>
    </w:p>
    <w:p w14:paraId="3F1ECB8B" w14:textId="66B8F77A" w:rsidR="006666AB" w:rsidRPr="007172CD" w:rsidRDefault="006666AB" w:rsidP="00161B1E">
      <w:pPr>
        <w:pStyle w:val="p1"/>
        <w:spacing w:line="360" w:lineRule="auto"/>
        <w:rPr>
          <w:rStyle w:val="eop"/>
          <w:rFonts w:ascii="Arial" w:hAnsi="Arial" w:cs="Arial"/>
          <w:color w:val="000000" w:themeColor="text1"/>
          <w:sz w:val="22"/>
          <w:szCs w:val="22"/>
        </w:rPr>
      </w:pPr>
      <w:r w:rsidRPr="007172CD">
        <w:rPr>
          <w:rStyle w:val="normaltextrun"/>
          <w:rFonts w:ascii="Arial" w:hAnsi="Arial" w:cs="Arial"/>
          <w:color w:val="000000" w:themeColor="text1"/>
          <w:sz w:val="28"/>
          <w:szCs w:val="28"/>
        </w:rPr>
        <w:t xml:space="preserve">2.3 Theoretical Background </w:t>
      </w:r>
    </w:p>
    <w:p w14:paraId="3972D1A5" w14:textId="77777777" w:rsidR="00997816" w:rsidRPr="005D6054" w:rsidRDefault="00997816" w:rsidP="0076492C">
      <w:pPr>
        <w:pStyle w:val="isselectedend"/>
        <w:spacing w:line="360" w:lineRule="auto"/>
        <w:rPr>
          <w:rFonts w:ascii="Arial" w:hAnsi="Arial" w:cs="Arial"/>
          <w:color w:val="EE0000"/>
          <w:sz w:val="22"/>
          <w:szCs w:val="22"/>
        </w:rPr>
      </w:pPr>
      <w:r w:rsidRPr="0076492C">
        <w:rPr>
          <w:rFonts w:ascii="Arial" w:hAnsi="Arial" w:cs="Arial"/>
          <w:color w:val="000000"/>
          <w:sz w:val="22"/>
          <w:szCs w:val="22"/>
        </w:rPr>
        <w:t xml:space="preserve">Several theoretical views contribute to an understanding of migrant workers' roles in the ASC workforce, as well as the broader relationship between migration, labour markets, and workforce sustainability. These theories provide a framework for understanding why migrant labour has grown in importance within industries experiencing persistent workforce shortages </w:t>
      </w:r>
      <w:r w:rsidRPr="005D6054">
        <w:rPr>
          <w:rFonts w:ascii="Arial" w:hAnsi="Arial" w:cs="Arial"/>
          <w:color w:val="EE0000"/>
          <w:sz w:val="22"/>
          <w:szCs w:val="22"/>
        </w:rPr>
        <w:t>(Turnpenny and Hussein, 2022).</w:t>
      </w:r>
    </w:p>
    <w:p w14:paraId="04E177F1" w14:textId="109727FB" w:rsidR="00997816" w:rsidRPr="0076492C" w:rsidRDefault="00997816" w:rsidP="0076492C">
      <w:pPr>
        <w:pStyle w:val="isselectedend"/>
        <w:spacing w:line="360" w:lineRule="auto"/>
        <w:rPr>
          <w:rFonts w:ascii="Arial" w:hAnsi="Arial" w:cs="Arial"/>
          <w:color w:val="000000"/>
          <w:sz w:val="22"/>
          <w:szCs w:val="22"/>
        </w:rPr>
      </w:pPr>
      <w:r w:rsidRPr="0076492C">
        <w:rPr>
          <w:rFonts w:ascii="Arial" w:hAnsi="Arial" w:cs="Arial"/>
          <w:color w:val="000000"/>
          <w:sz w:val="22"/>
          <w:szCs w:val="22"/>
        </w:rPr>
        <w:lastRenderedPageBreak/>
        <w:t xml:space="preserve">One influential framework is Labour Market Segmentation Theory, which suggests that labour </w:t>
      </w:r>
      <w:r w:rsidRPr="002C107A">
        <w:rPr>
          <w:rFonts w:ascii="Arial" w:hAnsi="Arial" w:cs="Arial"/>
          <w:color w:val="EE0000"/>
          <w:sz w:val="22"/>
          <w:szCs w:val="22"/>
        </w:rPr>
        <w:t>markets are divided into primary and secondary sectors (International Labour Organization, 2023). The primary labour market is characterised by stable employment, higher wages, and opportunities for career progression, whereas the secondary labour market frequently involves low-paid work with limited job security and fewer opportunities for advancement (CORE Econ, 2023). Many frontline care positions in ASC are associated with low wages and demanding working conditions (Hussein, 2017). Consequently, these roles may be less attractive to domestic workers, contributing to recruitment difficulties within the sector (The King’s Fund, 2024). According to this theory, migrant workers often occupy positions within the secondary labour market where labour shortages are most visible (International Labour Organization, 2023).</w:t>
      </w:r>
      <w:r w:rsidR="00B47749" w:rsidRPr="002C107A">
        <w:rPr>
          <w:rFonts w:ascii="Arial" w:hAnsi="Arial" w:cs="Arial"/>
          <w:color w:val="EE0000"/>
          <w:sz w:val="22"/>
          <w:szCs w:val="22"/>
        </w:rPr>
        <w:t xml:space="preserve"> </w:t>
      </w:r>
      <w:r w:rsidR="00B47749">
        <w:rPr>
          <w:rFonts w:ascii="Arial" w:hAnsi="Arial" w:cs="Arial"/>
          <w:color w:val="EE0000"/>
          <w:sz w:val="22"/>
          <w:szCs w:val="22"/>
        </w:rPr>
        <w:t>ADD PIC OF THEOERY</w:t>
      </w:r>
    </w:p>
    <w:p w14:paraId="58C31996" w14:textId="50DF6852" w:rsidR="00997816" w:rsidRDefault="00997816" w:rsidP="0076492C">
      <w:pPr>
        <w:pStyle w:val="isselectedend"/>
        <w:spacing w:line="360" w:lineRule="auto"/>
        <w:rPr>
          <w:rFonts w:ascii="Arial" w:hAnsi="Arial" w:cs="Arial"/>
          <w:color w:val="EE0000"/>
          <w:sz w:val="22"/>
          <w:szCs w:val="22"/>
        </w:rPr>
      </w:pPr>
      <w:r w:rsidRPr="0076492C">
        <w:rPr>
          <w:rFonts w:ascii="Arial" w:hAnsi="Arial" w:cs="Arial"/>
          <w:color w:val="000000"/>
          <w:sz w:val="22"/>
          <w:szCs w:val="22"/>
        </w:rPr>
        <w:t>Another relevant perspective is Maslow’s Hierarchy of Needs</w:t>
      </w:r>
      <w:r w:rsidR="00C5722B">
        <w:rPr>
          <w:rFonts w:ascii="Arial" w:hAnsi="Arial" w:cs="Arial"/>
          <w:color w:val="000000"/>
          <w:sz w:val="22"/>
          <w:szCs w:val="22"/>
        </w:rPr>
        <w:t xml:space="preserve"> </w:t>
      </w:r>
      <w:r w:rsidR="00315179">
        <w:rPr>
          <w:rFonts w:ascii="Arial" w:hAnsi="Arial" w:cs="Arial"/>
          <w:color w:val="000000"/>
          <w:sz w:val="22"/>
          <w:szCs w:val="22"/>
        </w:rPr>
        <w:t>(</w:t>
      </w:r>
      <w:r w:rsidR="00C5722B">
        <w:rPr>
          <w:rFonts w:ascii="Arial" w:hAnsi="Arial" w:cs="Arial"/>
          <w:color w:val="000000"/>
          <w:sz w:val="22"/>
          <w:szCs w:val="22"/>
        </w:rPr>
        <w:t>F</w:t>
      </w:r>
      <w:r w:rsidR="00315179">
        <w:rPr>
          <w:rFonts w:ascii="Arial" w:hAnsi="Arial" w:cs="Arial"/>
          <w:color w:val="000000"/>
          <w:sz w:val="22"/>
          <w:szCs w:val="22"/>
        </w:rPr>
        <w:t>ig 2)</w:t>
      </w:r>
      <w:r w:rsidRPr="0076492C">
        <w:rPr>
          <w:rFonts w:ascii="Arial" w:hAnsi="Arial" w:cs="Arial"/>
          <w:color w:val="000000"/>
          <w:sz w:val="22"/>
          <w:szCs w:val="22"/>
        </w:rPr>
        <w:t>, which explains human motivation through a hierarchy progressing from physiological and safety needs to belonging, esteem, and self-actuali</w:t>
      </w:r>
      <w:r w:rsidR="006052E8">
        <w:rPr>
          <w:rFonts w:ascii="Arial" w:hAnsi="Arial" w:cs="Arial"/>
          <w:color w:val="000000"/>
          <w:sz w:val="22"/>
          <w:szCs w:val="22"/>
        </w:rPr>
        <w:t>z</w:t>
      </w:r>
      <w:r w:rsidRPr="0076492C">
        <w:rPr>
          <w:rFonts w:ascii="Arial" w:hAnsi="Arial" w:cs="Arial"/>
          <w:color w:val="000000"/>
          <w:sz w:val="22"/>
          <w:szCs w:val="22"/>
        </w:rPr>
        <w:t>ation</w:t>
      </w:r>
      <w:r w:rsidR="000C36F7">
        <w:rPr>
          <w:rFonts w:ascii="Arial" w:hAnsi="Arial" w:cs="Arial"/>
          <w:color w:val="000000"/>
          <w:sz w:val="22"/>
          <w:szCs w:val="22"/>
        </w:rPr>
        <w:t xml:space="preserve"> </w:t>
      </w:r>
      <w:r w:rsidR="000C36F7" w:rsidRPr="000C36F7">
        <w:rPr>
          <w:rFonts w:ascii="Arial" w:hAnsi="Arial" w:cs="Arial"/>
          <w:color w:val="EE0000"/>
          <w:sz w:val="22"/>
          <w:szCs w:val="22"/>
        </w:rPr>
        <w:t>(Kenrick</w:t>
      </w:r>
      <w:r w:rsidR="000C36F7" w:rsidRPr="000C36F7">
        <w:rPr>
          <w:rStyle w:val="apple-converted-space"/>
          <w:rFonts w:ascii="Arial" w:hAnsi="Arial" w:cs="Arial"/>
          <w:color w:val="EE0000"/>
          <w:sz w:val="22"/>
          <w:szCs w:val="22"/>
        </w:rPr>
        <w:t> </w:t>
      </w:r>
      <w:r w:rsidR="000C36F7" w:rsidRPr="000C36F7">
        <w:rPr>
          <w:rStyle w:val="Emphasis"/>
          <w:rFonts w:ascii="Arial" w:hAnsi="Arial" w:cs="Arial"/>
          <w:color w:val="EE0000"/>
          <w:sz w:val="22"/>
          <w:szCs w:val="22"/>
        </w:rPr>
        <w:t>et al</w:t>
      </w:r>
      <w:r w:rsidR="000C36F7" w:rsidRPr="000C36F7">
        <w:rPr>
          <w:rFonts w:ascii="Arial" w:hAnsi="Arial" w:cs="Arial"/>
          <w:color w:val="EE0000"/>
          <w:sz w:val="22"/>
          <w:szCs w:val="22"/>
        </w:rPr>
        <w:t>., 2010)</w:t>
      </w:r>
      <w:r w:rsidRPr="000C36F7">
        <w:rPr>
          <w:rFonts w:ascii="Arial" w:hAnsi="Arial" w:cs="Arial"/>
          <w:color w:val="EE0000"/>
          <w:sz w:val="22"/>
          <w:szCs w:val="22"/>
        </w:rPr>
        <w:t xml:space="preserve">. </w:t>
      </w:r>
      <w:r w:rsidRPr="0076492C">
        <w:rPr>
          <w:rFonts w:ascii="Arial" w:hAnsi="Arial" w:cs="Arial"/>
          <w:color w:val="000000"/>
          <w:sz w:val="22"/>
          <w:szCs w:val="22"/>
        </w:rPr>
        <w:t>According to this theory, individuals prioritise meeting basic needs before progressing towards higher-level aspirations</w:t>
      </w:r>
      <w:r w:rsidR="00071662">
        <w:rPr>
          <w:rFonts w:ascii="Arial" w:hAnsi="Arial" w:cs="Arial"/>
          <w:color w:val="000000"/>
          <w:sz w:val="22"/>
          <w:szCs w:val="22"/>
        </w:rPr>
        <w:t xml:space="preserve"> </w:t>
      </w:r>
      <w:r w:rsidR="00071662" w:rsidRPr="000C36F7">
        <w:rPr>
          <w:rFonts w:ascii="Arial" w:hAnsi="Arial" w:cs="Arial"/>
          <w:color w:val="EE0000"/>
          <w:sz w:val="22"/>
          <w:szCs w:val="22"/>
        </w:rPr>
        <w:t>(Kenrick</w:t>
      </w:r>
      <w:r w:rsidR="00071662" w:rsidRPr="000C36F7">
        <w:rPr>
          <w:rStyle w:val="apple-converted-space"/>
          <w:rFonts w:ascii="Arial" w:hAnsi="Arial" w:cs="Arial"/>
          <w:color w:val="EE0000"/>
          <w:sz w:val="22"/>
          <w:szCs w:val="22"/>
        </w:rPr>
        <w:t> </w:t>
      </w:r>
      <w:r w:rsidR="00071662" w:rsidRPr="000C36F7">
        <w:rPr>
          <w:rStyle w:val="Emphasis"/>
          <w:rFonts w:ascii="Arial" w:hAnsi="Arial" w:cs="Arial"/>
          <w:color w:val="EE0000"/>
          <w:sz w:val="22"/>
          <w:szCs w:val="22"/>
        </w:rPr>
        <w:t>et al</w:t>
      </w:r>
      <w:r w:rsidR="00071662" w:rsidRPr="000C36F7">
        <w:rPr>
          <w:rFonts w:ascii="Arial" w:hAnsi="Arial" w:cs="Arial"/>
          <w:color w:val="EE0000"/>
          <w:sz w:val="22"/>
          <w:szCs w:val="22"/>
        </w:rPr>
        <w:t>., 2010).</w:t>
      </w:r>
      <w:r w:rsidRPr="0076492C">
        <w:rPr>
          <w:rFonts w:ascii="Arial" w:hAnsi="Arial" w:cs="Arial"/>
          <w:color w:val="000000"/>
          <w:sz w:val="22"/>
          <w:szCs w:val="22"/>
        </w:rPr>
        <w:t xml:space="preserve"> Therefore, secure income, safe working conditions, and opportunities for recognition may influence motivation and job satisfaction.</w:t>
      </w:r>
      <w:r w:rsidR="009A00A9">
        <w:rPr>
          <w:rFonts w:ascii="Arial" w:hAnsi="Arial" w:cs="Arial"/>
          <w:color w:val="000000"/>
          <w:sz w:val="22"/>
          <w:szCs w:val="22"/>
        </w:rPr>
        <w:t xml:space="preserve"> </w:t>
      </w:r>
    </w:p>
    <w:p w14:paraId="2DB12992" w14:textId="296FB9EA" w:rsidR="009F4A67" w:rsidRDefault="00C5722B" w:rsidP="00315179">
      <w:pPr>
        <w:pStyle w:val="isselectedend"/>
        <w:spacing w:line="360" w:lineRule="auto"/>
        <w:jc w:val="center"/>
        <w:rPr>
          <w:rFonts w:ascii="Arial" w:hAnsi="Arial" w:cs="Arial"/>
          <w:color w:val="000000"/>
          <w:sz w:val="22"/>
          <w:szCs w:val="22"/>
        </w:rPr>
      </w:pPr>
      <w:r w:rsidRPr="00C5722B">
        <w:rPr>
          <w:rFonts w:ascii="Arial" w:hAnsi="Arial" w:cs="Arial"/>
          <w:noProof/>
          <w:color w:val="000000"/>
          <w:sz w:val="22"/>
          <w:szCs w:val="22"/>
        </w:rPr>
        <w:drawing>
          <wp:inline distT="0" distB="0" distL="0" distR="0" wp14:anchorId="3E3C0CF7" wp14:editId="5E5DAF77">
            <wp:extent cx="3373395" cy="2013527"/>
            <wp:effectExtent l="0" t="0" r="5080" b="6350"/>
            <wp:docPr id="201242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420853" name=""/>
                    <pic:cNvPicPr/>
                  </pic:nvPicPr>
                  <pic:blipFill>
                    <a:blip r:embed="rId8"/>
                    <a:stretch>
                      <a:fillRect/>
                    </a:stretch>
                  </pic:blipFill>
                  <pic:spPr>
                    <a:xfrm>
                      <a:off x="0" y="0"/>
                      <a:ext cx="3521841" cy="2102132"/>
                    </a:xfrm>
                    <a:prstGeom prst="rect">
                      <a:avLst/>
                    </a:prstGeom>
                  </pic:spPr>
                </pic:pic>
              </a:graphicData>
            </a:graphic>
          </wp:inline>
        </w:drawing>
      </w:r>
    </w:p>
    <w:p w14:paraId="6C12D69C" w14:textId="17E51556" w:rsidR="00934A76" w:rsidRPr="0076492C" w:rsidRDefault="008A5745" w:rsidP="006452D9">
      <w:pPr>
        <w:pStyle w:val="isselectedend"/>
        <w:spacing w:line="360" w:lineRule="auto"/>
        <w:rPr>
          <w:rFonts w:ascii="Arial" w:hAnsi="Arial" w:cs="Arial"/>
          <w:color w:val="000000"/>
          <w:sz w:val="22"/>
          <w:szCs w:val="22"/>
        </w:rPr>
      </w:pPr>
      <w:r>
        <w:rPr>
          <w:rFonts w:ascii="Arial" w:hAnsi="Arial" w:cs="Arial"/>
          <w:color w:val="000000"/>
          <w:sz w:val="22"/>
          <w:szCs w:val="22"/>
        </w:rPr>
        <w:t xml:space="preserve">                                                                                   </w:t>
      </w:r>
      <w:r w:rsidR="00CB3659">
        <w:rPr>
          <w:rFonts w:ascii="Arial" w:hAnsi="Arial" w:cs="Arial"/>
          <w:color w:val="000000"/>
          <w:sz w:val="22"/>
          <w:szCs w:val="22"/>
        </w:rPr>
        <w:t>Figure 2</w:t>
      </w:r>
      <w:r w:rsidR="006452D9">
        <w:rPr>
          <w:rFonts w:ascii="Arial" w:hAnsi="Arial" w:cs="Arial"/>
          <w:color w:val="000000"/>
          <w:sz w:val="22"/>
          <w:szCs w:val="22"/>
        </w:rPr>
        <w:t xml:space="preserve"> </w:t>
      </w:r>
      <w:r w:rsidR="006452D9" w:rsidRPr="006452D9">
        <w:rPr>
          <w:rStyle w:val="Strong"/>
          <w:rFonts w:ascii="Arial" w:hAnsi="Arial" w:cs="Arial"/>
          <w:b w:val="0"/>
          <w:bCs w:val="0"/>
          <w:color w:val="000000"/>
          <w:sz w:val="22"/>
          <w:szCs w:val="22"/>
        </w:rPr>
        <w:t>(McLeod, 2026)</w:t>
      </w:r>
    </w:p>
    <w:p w14:paraId="4FB982CE" w14:textId="363F3BDC" w:rsidR="00997816" w:rsidRPr="0076492C" w:rsidRDefault="00997816" w:rsidP="0076492C">
      <w:pPr>
        <w:pStyle w:val="isselectedend"/>
        <w:spacing w:line="360" w:lineRule="auto"/>
        <w:rPr>
          <w:rFonts w:ascii="Arial" w:hAnsi="Arial" w:cs="Arial"/>
          <w:color w:val="000000"/>
          <w:sz w:val="22"/>
          <w:szCs w:val="22"/>
        </w:rPr>
      </w:pPr>
      <w:r w:rsidRPr="0076492C">
        <w:rPr>
          <w:rFonts w:ascii="Arial" w:hAnsi="Arial" w:cs="Arial"/>
          <w:color w:val="000000"/>
          <w:sz w:val="22"/>
          <w:szCs w:val="22"/>
        </w:rPr>
        <w:t>Maslow’s theory is relevant to the ASC workforce because employment conditions may influence recruitment and retention. Many frontline care roles involve demanding workloads and comparatively low wages, which may affect workers’ sense of security and professional fulfilment</w:t>
      </w:r>
      <w:r w:rsidR="005379EA" w:rsidRPr="005379EA">
        <w:rPr>
          <w:rFonts w:ascii="Arial" w:hAnsi="Arial" w:cs="Arial"/>
          <w:color w:val="000000"/>
          <w:sz w:val="22"/>
          <w:szCs w:val="22"/>
        </w:rPr>
        <w:t xml:space="preserve"> </w:t>
      </w:r>
      <w:r w:rsidR="005379EA" w:rsidRPr="00E15F0B">
        <w:rPr>
          <w:rFonts w:ascii="Arial" w:hAnsi="Arial" w:cs="Arial"/>
          <w:color w:val="EE0000"/>
          <w:sz w:val="22"/>
          <w:szCs w:val="22"/>
        </w:rPr>
        <w:t>(Hussein, 2017)</w:t>
      </w:r>
      <w:r w:rsidRPr="00E15F0B">
        <w:rPr>
          <w:rFonts w:ascii="Arial" w:hAnsi="Arial" w:cs="Arial"/>
          <w:color w:val="EE0000"/>
          <w:sz w:val="22"/>
          <w:szCs w:val="22"/>
        </w:rPr>
        <w:t xml:space="preserve">. </w:t>
      </w:r>
      <w:r w:rsidRPr="0076492C">
        <w:rPr>
          <w:rFonts w:ascii="Arial" w:hAnsi="Arial" w:cs="Arial"/>
          <w:color w:val="000000"/>
          <w:sz w:val="22"/>
          <w:szCs w:val="22"/>
        </w:rPr>
        <w:t>For migrant workers, employment within ASC may initially satisfy physiological and safety needs through income and employment opportunities, while recognition and career progression may shape longer-term commitment to the sector.</w:t>
      </w:r>
    </w:p>
    <w:p w14:paraId="06AD51B7" w14:textId="0E06869B" w:rsidR="0087015E" w:rsidRPr="0087015E" w:rsidRDefault="001E354D" w:rsidP="0076492C">
      <w:pPr>
        <w:pStyle w:val="NormalWeb"/>
        <w:spacing w:line="360" w:lineRule="auto"/>
        <w:rPr>
          <w:rFonts w:ascii="Arial" w:hAnsi="Arial" w:cs="Arial"/>
          <w:color w:val="000000"/>
          <w:sz w:val="22"/>
          <w:szCs w:val="22"/>
        </w:rPr>
      </w:pPr>
      <w:r w:rsidRPr="0087015E">
        <w:rPr>
          <w:rFonts w:ascii="Arial" w:hAnsi="Arial" w:cs="Arial"/>
          <w:color w:val="000000"/>
          <w:sz w:val="22"/>
          <w:szCs w:val="22"/>
        </w:rPr>
        <w:lastRenderedPageBreak/>
        <w:t>Maslow's theory has also been applied in research on employee motivation and job satisfaction. According</w:t>
      </w:r>
      <w:r w:rsidRPr="001E42F4">
        <w:rPr>
          <w:rFonts w:ascii="Arial" w:hAnsi="Arial" w:cs="Arial"/>
          <w:color w:val="3A7C22" w:themeColor="accent6" w:themeShade="BF"/>
          <w:sz w:val="22"/>
          <w:szCs w:val="22"/>
        </w:rPr>
        <w:t xml:space="preserve"> to</w:t>
      </w:r>
      <w:r w:rsidRPr="001E42F4">
        <w:rPr>
          <w:rFonts w:ascii="Arial" w:hAnsi="Arial" w:cs="Arial"/>
          <w:color w:val="E97132" w:themeColor="accent2"/>
          <w:sz w:val="22"/>
          <w:szCs w:val="22"/>
        </w:rPr>
        <w:t xml:space="preserve"> </w:t>
      </w:r>
      <w:r w:rsidR="002B3E3B">
        <w:rPr>
          <w:rFonts w:ascii="Arial" w:hAnsi="Arial" w:cs="Arial"/>
          <w:color w:val="E97132" w:themeColor="accent2"/>
          <w:sz w:val="22"/>
          <w:szCs w:val="22"/>
        </w:rPr>
        <w:t>D</w:t>
      </w:r>
      <w:r w:rsidR="001E42F4" w:rsidRPr="001E42F4">
        <w:rPr>
          <w:rFonts w:ascii="Arial" w:hAnsi="Arial" w:cs="Arial"/>
          <w:color w:val="E97132" w:themeColor="accent2"/>
          <w:sz w:val="22"/>
          <w:szCs w:val="22"/>
        </w:rPr>
        <w:t xml:space="preserve">e Vries </w:t>
      </w:r>
      <w:r w:rsidR="001E42F4" w:rsidRPr="00DB75F3">
        <w:rPr>
          <w:rFonts w:ascii="Arial" w:hAnsi="Arial" w:cs="Arial"/>
          <w:i/>
          <w:iCs/>
          <w:color w:val="E97132" w:themeColor="accent2"/>
          <w:sz w:val="22"/>
          <w:szCs w:val="22"/>
        </w:rPr>
        <w:t>et al.</w:t>
      </w:r>
      <w:r w:rsidR="00DB75F3">
        <w:rPr>
          <w:rFonts w:ascii="Arial" w:hAnsi="Arial" w:cs="Arial"/>
          <w:i/>
          <w:iCs/>
          <w:color w:val="E97132" w:themeColor="accent2"/>
          <w:sz w:val="22"/>
          <w:szCs w:val="22"/>
        </w:rPr>
        <w:t>,</w:t>
      </w:r>
      <w:r w:rsidR="001E42F4" w:rsidRPr="001E42F4">
        <w:rPr>
          <w:rFonts w:ascii="Arial" w:hAnsi="Arial" w:cs="Arial"/>
          <w:color w:val="E97132" w:themeColor="accent2"/>
          <w:sz w:val="22"/>
          <w:szCs w:val="22"/>
        </w:rPr>
        <w:t xml:space="preserve"> (2023)</w:t>
      </w:r>
      <w:r w:rsidRPr="001E42F4">
        <w:rPr>
          <w:rFonts w:ascii="Arial" w:hAnsi="Arial" w:cs="Arial"/>
          <w:color w:val="E97132" w:themeColor="accent2"/>
          <w:sz w:val="22"/>
          <w:szCs w:val="22"/>
        </w:rPr>
        <w:t xml:space="preserve">, </w:t>
      </w:r>
      <w:r w:rsidRPr="0087015E">
        <w:rPr>
          <w:rFonts w:ascii="Arial" w:hAnsi="Arial" w:cs="Arial"/>
          <w:color w:val="000000"/>
          <w:sz w:val="22"/>
          <w:szCs w:val="22"/>
        </w:rPr>
        <w:t>organisational support, working conditions, and chances for professional growth can all have an impact on job satisfaction and workforce stability in health and social care. This perspective is important for migrant workers in ASC because working experiences and possibilities for advancement may impact retention and long-term commitment to this sector</w:t>
      </w:r>
      <w:r w:rsidR="00C40091">
        <w:rPr>
          <w:rFonts w:ascii="Arial" w:hAnsi="Arial" w:cs="Arial"/>
          <w:color w:val="EE0000"/>
          <w:sz w:val="22"/>
          <w:szCs w:val="22"/>
        </w:rPr>
        <w:t xml:space="preserve"> </w:t>
      </w:r>
      <w:r w:rsidR="00C40091" w:rsidRPr="00C40091">
        <w:rPr>
          <w:rFonts w:ascii="Arial" w:hAnsi="Arial" w:cs="Arial"/>
          <w:color w:val="EE0000"/>
          <w:sz w:val="22"/>
          <w:szCs w:val="22"/>
        </w:rPr>
        <w:t>(Eriksson</w:t>
      </w:r>
      <w:r w:rsidR="00C40091" w:rsidRPr="00C40091">
        <w:rPr>
          <w:rStyle w:val="apple-converted-space"/>
          <w:rFonts w:ascii="Arial" w:hAnsi="Arial" w:cs="Arial"/>
          <w:color w:val="EE0000"/>
          <w:sz w:val="22"/>
          <w:szCs w:val="22"/>
        </w:rPr>
        <w:t> </w:t>
      </w:r>
      <w:r w:rsidR="00C40091" w:rsidRPr="00C40091">
        <w:rPr>
          <w:rStyle w:val="Emphasis"/>
          <w:rFonts w:ascii="Arial" w:hAnsi="Arial" w:cs="Arial"/>
          <w:color w:val="EE0000"/>
          <w:sz w:val="22"/>
          <w:szCs w:val="22"/>
        </w:rPr>
        <w:t>et al</w:t>
      </w:r>
      <w:r w:rsidR="00C40091" w:rsidRPr="00C40091">
        <w:rPr>
          <w:rFonts w:ascii="Arial" w:hAnsi="Arial" w:cs="Arial"/>
          <w:color w:val="EE0000"/>
          <w:sz w:val="22"/>
          <w:szCs w:val="22"/>
        </w:rPr>
        <w:t>., 2023).</w:t>
      </w:r>
    </w:p>
    <w:p w14:paraId="061BA471" w14:textId="7CDC9D1C" w:rsidR="00997816" w:rsidRPr="0076492C" w:rsidRDefault="00997816" w:rsidP="0076492C">
      <w:pPr>
        <w:pStyle w:val="NormalWeb"/>
        <w:spacing w:line="360" w:lineRule="auto"/>
        <w:rPr>
          <w:rFonts w:ascii="Arial" w:hAnsi="Arial" w:cs="Arial"/>
          <w:color w:val="000000"/>
          <w:sz w:val="22"/>
          <w:szCs w:val="22"/>
        </w:rPr>
      </w:pPr>
      <w:r w:rsidRPr="0076492C">
        <w:rPr>
          <w:rFonts w:ascii="Arial" w:hAnsi="Arial" w:cs="Arial"/>
          <w:color w:val="000000"/>
          <w:sz w:val="22"/>
          <w:szCs w:val="22"/>
        </w:rPr>
        <w:t xml:space="preserve">Although both theories provide useful insight, they also have limitations. Labour Market Segmentation Theory has been criticised for focusing primarily on economic structures while giving limited attention to migrant workers’ motivations and experiences, as highlighted by </w:t>
      </w:r>
      <w:r w:rsidRPr="00167C97">
        <w:rPr>
          <w:rFonts w:ascii="Arial" w:hAnsi="Arial" w:cs="Arial"/>
          <w:color w:val="EE0000"/>
          <w:sz w:val="22"/>
          <w:szCs w:val="22"/>
        </w:rPr>
        <w:t xml:space="preserve">Dias-Abey </w:t>
      </w:r>
      <w:r w:rsidR="00167C97" w:rsidRPr="00167C97">
        <w:rPr>
          <w:rFonts w:ascii="Arial" w:hAnsi="Arial" w:cs="Arial"/>
          <w:color w:val="EE0000"/>
          <w:sz w:val="22"/>
          <w:szCs w:val="22"/>
        </w:rPr>
        <w:t>(</w:t>
      </w:r>
      <w:r w:rsidRPr="00167C97">
        <w:rPr>
          <w:rFonts w:ascii="Arial" w:hAnsi="Arial" w:cs="Arial"/>
          <w:color w:val="EE0000"/>
          <w:sz w:val="22"/>
          <w:szCs w:val="22"/>
        </w:rPr>
        <w:t xml:space="preserve">2021). </w:t>
      </w:r>
      <w:r w:rsidRPr="0076492C">
        <w:rPr>
          <w:rFonts w:ascii="Arial" w:hAnsi="Arial" w:cs="Arial"/>
          <w:color w:val="000000"/>
          <w:sz w:val="22"/>
          <w:szCs w:val="22"/>
        </w:rPr>
        <w:t xml:space="preserve">In contrast, Maslow’s theory has been challenged for assuming that needs progress through a fixed hierarchy and for overlooking cultural differences in motivation, as suggested </w:t>
      </w:r>
      <w:r w:rsidRPr="00226AF6">
        <w:rPr>
          <w:rFonts w:ascii="Arial" w:hAnsi="Arial" w:cs="Arial"/>
          <w:color w:val="000000"/>
          <w:sz w:val="22"/>
          <w:szCs w:val="22"/>
        </w:rPr>
        <w:t xml:space="preserve">by </w:t>
      </w:r>
      <w:r w:rsidR="002C61DC" w:rsidRPr="00226AF6">
        <w:rPr>
          <w:rFonts w:ascii="Arial" w:hAnsi="Arial" w:cs="Arial"/>
          <w:color w:val="EE0000"/>
          <w:sz w:val="22"/>
          <w:szCs w:val="22"/>
        </w:rPr>
        <w:t>King-Hill, (2015)</w:t>
      </w:r>
      <w:r w:rsidRPr="00226AF6">
        <w:rPr>
          <w:rFonts w:ascii="Arial" w:hAnsi="Arial" w:cs="Arial"/>
          <w:color w:val="EE0000"/>
          <w:sz w:val="22"/>
          <w:szCs w:val="22"/>
        </w:rPr>
        <w:t xml:space="preserve">. </w:t>
      </w:r>
      <w:r w:rsidRPr="0076492C">
        <w:rPr>
          <w:rFonts w:ascii="Arial" w:hAnsi="Arial" w:cs="Arial"/>
          <w:color w:val="000000"/>
          <w:sz w:val="22"/>
          <w:szCs w:val="22"/>
        </w:rPr>
        <w:t>Nevertheless, when considered together, these theories provide a broader understanding of migrant workers’ roles in ASC. Labour Market Segmentation Theory explains the structural positioning of migrant workers within lower-paid care employment, whereas Maslow’s Hierarchy of Needs highlights how motivation and employment conditions may influence retention and workforce sustainability.</w:t>
      </w:r>
    </w:p>
    <w:p w14:paraId="22130F06" w14:textId="60FAE10E" w:rsidR="00FD5E5F" w:rsidRPr="007172CD" w:rsidRDefault="00FD5E5F" w:rsidP="00FD5E5F">
      <w:pPr>
        <w:pStyle w:val="paragraph"/>
        <w:spacing w:before="0" w:beforeAutospacing="0" w:after="0" w:afterAutospacing="0" w:line="360" w:lineRule="auto"/>
        <w:textAlignment w:val="baseline"/>
        <w:rPr>
          <w:rStyle w:val="eop"/>
          <w:rFonts w:ascii="Arial" w:eastAsia="Calibri Light" w:hAnsi="Arial" w:cs="Arial"/>
          <w:color w:val="000000" w:themeColor="text1"/>
          <w:sz w:val="28"/>
          <w:szCs w:val="28"/>
        </w:rPr>
      </w:pPr>
      <w:r w:rsidRPr="007172CD">
        <w:rPr>
          <w:rStyle w:val="normaltextrun"/>
          <w:rFonts w:ascii="Arial" w:hAnsi="Arial" w:cs="Arial"/>
          <w:color w:val="000000" w:themeColor="text1"/>
          <w:sz w:val="28"/>
          <w:szCs w:val="28"/>
        </w:rPr>
        <w:t xml:space="preserve">2.4 International Context </w:t>
      </w:r>
    </w:p>
    <w:p w14:paraId="7BB78CDD" w14:textId="0CEA0E16" w:rsidR="00F83D86" w:rsidRPr="000122CF" w:rsidRDefault="00F83D86" w:rsidP="00F83D86">
      <w:pPr>
        <w:pStyle w:val="p1"/>
        <w:spacing w:line="360" w:lineRule="auto"/>
        <w:rPr>
          <w:rFonts w:ascii="Arial" w:hAnsi="Arial" w:cs="Arial"/>
          <w:color w:val="EE0000"/>
          <w:sz w:val="22"/>
          <w:szCs w:val="22"/>
        </w:rPr>
      </w:pPr>
      <w:r w:rsidRPr="00F83D86">
        <w:rPr>
          <w:rFonts w:ascii="Arial" w:hAnsi="Arial" w:cs="Arial"/>
          <w:sz w:val="22"/>
          <w:szCs w:val="22"/>
        </w:rPr>
        <w:t xml:space="preserve">The role of migrant workers in ASC systems reflects a broader global trend driven by ageing populations and workforce shortages. In many high-income nations, rising life expectancy and declining birth rates have increased demand for long-term care, placing pressure on domestic labour supply, </w:t>
      </w:r>
      <w:r w:rsidRPr="00F83D86">
        <w:rPr>
          <w:rStyle w:val="s1"/>
          <w:rFonts w:ascii="Arial" w:hAnsi="Arial" w:cs="Arial"/>
          <w:sz w:val="22"/>
          <w:szCs w:val="22"/>
        </w:rPr>
        <w:t>as highlighted by</w:t>
      </w:r>
      <w:r w:rsidR="001D3B6F">
        <w:rPr>
          <w:rStyle w:val="s1"/>
          <w:rFonts w:ascii="Arial" w:hAnsi="Arial" w:cs="Arial"/>
          <w:sz w:val="22"/>
          <w:szCs w:val="22"/>
        </w:rPr>
        <w:t xml:space="preserve"> </w:t>
      </w:r>
      <w:r w:rsidRPr="00331A6B">
        <w:rPr>
          <w:rStyle w:val="s1"/>
          <w:rFonts w:ascii="Arial" w:hAnsi="Arial" w:cs="Arial"/>
          <w:color w:val="EE0000"/>
          <w:sz w:val="22"/>
          <w:szCs w:val="22"/>
        </w:rPr>
        <w:t>International Labour Organization</w:t>
      </w:r>
      <w:r w:rsidR="003D2474">
        <w:rPr>
          <w:rStyle w:val="s1"/>
          <w:rFonts w:ascii="Arial" w:hAnsi="Arial" w:cs="Arial"/>
          <w:color w:val="EE0000"/>
          <w:sz w:val="22"/>
          <w:szCs w:val="22"/>
        </w:rPr>
        <w:t>,</w:t>
      </w:r>
      <w:r w:rsidRPr="00331A6B">
        <w:rPr>
          <w:rStyle w:val="s1"/>
          <w:rFonts w:ascii="Arial" w:hAnsi="Arial" w:cs="Arial"/>
          <w:color w:val="EE0000"/>
          <w:sz w:val="22"/>
          <w:szCs w:val="22"/>
        </w:rPr>
        <w:t xml:space="preserve"> (2024)</w:t>
      </w:r>
      <w:r w:rsidRPr="00331A6B">
        <w:rPr>
          <w:rFonts w:ascii="Arial" w:hAnsi="Arial" w:cs="Arial"/>
          <w:color w:val="EE0000"/>
          <w:sz w:val="22"/>
          <w:szCs w:val="22"/>
        </w:rPr>
        <w:t xml:space="preserve">. </w:t>
      </w:r>
      <w:r w:rsidRPr="00F83D86">
        <w:rPr>
          <w:rFonts w:ascii="Arial" w:hAnsi="Arial" w:cs="Arial"/>
          <w:sz w:val="22"/>
          <w:szCs w:val="22"/>
        </w:rPr>
        <w:t>As a result, migrant workers have become an essential component of care systems in countries such as Canada, Germany, and Australia, where international recruitment is used to address labour shortages and maintain service provision</w:t>
      </w:r>
      <w:r w:rsidR="00B17C0B">
        <w:rPr>
          <w:rFonts w:ascii="Arial" w:hAnsi="Arial" w:cs="Arial"/>
          <w:sz w:val="22"/>
          <w:szCs w:val="22"/>
        </w:rPr>
        <w:t xml:space="preserve"> </w:t>
      </w:r>
      <w:r w:rsidR="00EC21D0">
        <w:rPr>
          <w:rFonts w:ascii="Arial" w:hAnsi="Arial" w:cs="Arial"/>
          <w:sz w:val="22"/>
          <w:szCs w:val="22"/>
        </w:rPr>
        <w:t>(</w:t>
      </w:r>
      <w:r w:rsidRPr="000122CF">
        <w:rPr>
          <w:rStyle w:val="s1"/>
          <w:rFonts w:ascii="Arial" w:hAnsi="Arial" w:cs="Arial"/>
          <w:color w:val="EE0000"/>
          <w:sz w:val="22"/>
          <w:szCs w:val="22"/>
        </w:rPr>
        <w:t>International Labour Organization 2024)</w:t>
      </w:r>
      <w:r w:rsidRPr="000122CF">
        <w:rPr>
          <w:rFonts w:ascii="Arial" w:hAnsi="Arial" w:cs="Arial"/>
          <w:color w:val="EE0000"/>
          <w:sz w:val="22"/>
          <w:szCs w:val="22"/>
        </w:rPr>
        <w:t>.</w:t>
      </w:r>
    </w:p>
    <w:p w14:paraId="69C26221" w14:textId="4DA0A038" w:rsidR="00F83D86" w:rsidRPr="00F83D86" w:rsidRDefault="00F83D86" w:rsidP="00F83D86">
      <w:pPr>
        <w:pStyle w:val="p1"/>
        <w:spacing w:line="360" w:lineRule="auto"/>
        <w:rPr>
          <w:rFonts w:ascii="Arial" w:hAnsi="Arial" w:cs="Arial"/>
          <w:sz w:val="22"/>
          <w:szCs w:val="22"/>
        </w:rPr>
      </w:pPr>
      <w:r w:rsidRPr="00F83D86">
        <w:rPr>
          <w:rFonts w:ascii="Arial" w:hAnsi="Arial" w:cs="Arial"/>
          <w:sz w:val="22"/>
          <w:szCs w:val="22"/>
        </w:rPr>
        <w:t xml:space="preserve">Migrant workers in Canada make important contributions to long-term care provision, particularly through programmes such as the Temporary Foreign Worker Program, which supports recruitment into home and residential care services, </w:t>
      </w:r>
      <w:r w:rsidRPr="00F83D86">
        <w:rPr>
          <w:rStyle w:val="s1"/>
          <w:rFonts w:ascii="Arial" w:hAnsi="Arial" w:cs="Arial"/>
          <w:sz w:val="22"/>
          <w:szCs w:val="22"/>
        </w:rPr>
        <w:t xml:space="preserve">as suggested by </w:t>
      </w:r>
      <w:r w:rsidRPr="0053383C">
        <w:rPr>
          <w:rStyle w:val="s1"/>
          <w:rFonts w:ascii="Arial" w:hAnsi="Arial" w:cs="Arial"/>
          <w:color w:val="EE0000"/>
          <w:sz w:val="22"/>
          <w:szCs w:val="22"/>
        </w:rPr>
        <w:t>International Labour Organization (2024)</w:t>
      </w:r>
      <w:r w:rsidRPr="0053383C">
        <w:rPr>
          <w:rFonts w:ascii="Arial" w:hAnsi="Arial" w:cs="Arial"/>
          <w:color w:val="EE0000"/>
          <w:sz w:val="22"/>
          <w:szCs w:val="22"/>
        </w:rPr>
        <w:t xml:space="preserve">. </w:t>
      </w:r>
      <w:r w:rsidRPr="00F83D86">
        <w:rPr>
          <w:rFonts w:ascii="Arial" w:hAnsi="Arial" w:cs="Arial"/>
          <w:sz w:val="22"/>
          <w:szCs w:val="22"/>
        </w:rPr>
        <w:t>However, concerns remain regarding job security, working conditions, and limited opportunities for permanent settlement. Similarly, Germany has become increasingly reliant on migrant labour, particularly from Eastern European countries, supported by bilateral agreements aimed at addressing workforce shortages in elderly care</w:t>
      </w:r>
      <w:r w:rsidR="00AC3E26">
        <w:rPr>
          <w:rFonts w:ascii="Arial" w:hAnsi="Arial" w:cs="Arial"/>
          <w:sz w:val="22"/>
          <w:szCs w:val="22"/>
        </w:rPr>
        <w:t xml:space="preserve"> </w:t>
      </w:r>
      <w:r w:rsidR="0053383C" w:rsidRPr="00AC3E26">
        <w:rPr>
          <w:rStyle w:val="s1"/>
          <w:rFonts w:ascii="Arial" w:hAnsi="Arial" w:cs="Arial"/>
          <w:color w:val="EE0000"/>
          <w:sz w:val="22"/>
          <w:szCs w:val="22"/>
        </w:rPr>
        <w:t>(</w:t>
      </w:r>
      <w:r w:rsidRPr="00AC3E26">
        <w:rPr>
          <w:rStyle w:val="s1"/>
          <w:rFonts w:ascii="Arial" w:hAnsi="Arial" w:cs="Arial"/>
          <w:color w:val="EE0000"/>
          <w:sz w:val="22"/>
          <w:szCs w:val="22"/>
        </w:rPr>
        <w:t>International Labour Organization 2024)</w:t>
      </w:r>
      <w:r w:rsidRPr="00AC3E26">
        <w:rPr>
          <w:rFonts w:ascii="Arial" w:hAnsi="Arial" w:cs="Arial"/>
          <w:color w:val="EE0000"/>
          <w:sz w:val="22"/>
          <w:szCs w:val="22"/>
        </w:rPr>
        <w:t xml:space="preserve">. </w:t>
      </w:r>
      <w:r w:rsidRPr="00F83D86">
        <w:rPr>
          <w:rFonts w:ascii="Arial" w:hAnsi="Arial" w:cs="Arial"/>
          <w:sz w:val="22"/>
          <w:szCs w:val="22"/>
        </w:rPr>
        <w:t>Despite these initiatives, concerns have been raised regarding labour rights and the long-term sustainability of such recruitment strategies.</w:t>
      </w:r>
    </w:p>
    <w:p w14:paraId="3F50E118" w14:textId="65F80C78" w:rsidR="00F83D86" w:rsidRPr="00F83D86" w:rsidRDefault="00F83D86" w:rsidP="00F83D86">
      <w:pPr>
        <w:pStyle w:val="p1"/>
        <w:spacing w:line="360" w:lineRule="auto"/>
        <w:rPr>
          <w:rFonts w:ascii="Arial" w:hAnsi="Arial" w:cs="Arial"/>
          <w:sz w:val="22"/>
          <w:szCs w:val="22"/>
        </w:rPr>
      </w:pPr>
      <w:r w:rsidRPr="00F83D86">
        <w:rPr>
          <w:rFonts w:ascii="Arial" w:hAnsi="Arial" w:cs="Arial"/>
          <w:sz w:val="22"/>
          <w:szCs w:val="22"/>
        </w:rPr>
        <w:lastRenderedPageBreak/>
        <w:t xml:space="preserve">Australia is another example of international recruitment being used to strengthen the care workforce. Skilled migration programmes and sector-specific visas have created opportunities for the recruitment of overseas care workers to meet rising demand, </w:t>
      </w:r>
      <w:r w:rsidRPr="00F83D86">
        <w:rPr>
          <w:rStyle w:val="s1"/>
          <w:rFonts w:ascii="Arial" w:hAnsi="Arial" w:cs="Arial"/>
          <w:sz w:val="22"/>
          <w:szCs w:val="22"/>
        </w:rPr>
        <w:t xml:space="preserve">as outlined by </w:t>
      </w:r>
      <w:r w:rsidRPr="00AC3E26">
        <w:rPr>
          <w:rStyle w:val="s1"/>
          <w:rFonts w:ascii="Arial" w:hAnsi="Arial" w:cs="Arial"/>
          <w:color w:val="EE0000"/>
          <w:sz w:val="22"/>
          <w:szCs w:val="22"/>
        </w:rPr>
        <w:t>World Health Organization (2023)</w:t>
      </w:r>
      <w:r w:rsidRPr="00AC3E26">
        <w:rPr>
          <w:rFonts w:ascii="Arial" w:hAnsi="Arial" w:cs="Arial"/>
          <w:color w:val="EE0000"/>
          <w:sz w:val="22"/>
          <w:szCs w:val="22"/>
        </w:rPr>
        <w:t xml:space="preserve">. </w:t>
      </w:r>
      <w:r w:rsidRPr="00F83D86">
        <w:rPr>
          <w:rFonts w:ascii="Arial" w:hAnsi="Arial" w:cs="Arial"/>
          <w:sz w:val="22"/>
          <w:szCs w:val="22"/>
        </w:rPr>
        <w:t>While this has increased workforce capacity, challenges remain, including staff retention, training, and the integration of migrant workers into health and social care systems.</w:t>
      </w:r>
    </w:p>
    <w:p w14:paraId="29D3D315" w14:textId="754F4952" w:rsidR="00F83D86" w:rsidRPr="00F83D86" w:rsidRDefault="00F83D86" w:rsidP="00F83D86">
      <w:pPr>
        <w:pStyle w:val="p1"/>
        <w:spacing w:line="360" w:lineRule="auto"/>
        <w:rPr>
          <w:rFonts w:ascii="Arial" w:hAnsi="Arial" w:cs="Arial"/>
          <w:sz w:val="22"/>
          <w:szCs w:val="22"/>
        </w:rPr>
      </w:pPr>
      <w:r w:rsidRPr="00F83D86">
        <w:rPr>
          <w:rFonts w:ascii="Arial" w:hAnsi="Arial" w:cs="Arial"/>
          <w:sz w:val="22"/>
          <w:szCs w:val="22"/>
        </w:rPr>
        <w:t>Comparatively, the UK’s reliance on migrant labour is similar to that of these nations, but its policy approach differs. In direct response to workforce shortages, the Health and Care Worker visa was introduced, creating a more targeted pathway for international recruitment</w:t>
      </w:r>
      <w:r w:rsidR="001459BB">
        <w:rPr>
          <w:rFonts w:ascii="Arial" w:hAnsi="Arial" w:cs="Arial"/>
          <w:sz w:val="22"/>
          <w:szCs w:val="22"/>
        </w:rPr>
        <w:t xml:space="preserve"> </w:t>
      </w:r>
      <w:r w:rsidR="00E73DFB">
        <w:rPr>
          <w:rStyle w:val="s1"/>
          <w:rFonts w:ascii="Arial" w:hAnsi="Arial" w:cs="Arial"/>
          <w:sz w:val="22"/>
          <w:szCs w:val="22"/>
        </w:rPr>
        <w:t>(</w:t>
      </w:r>
      <w:r w:rsidRPr="008E60B6">
        <w:rPr>
          <w:rStyle w:val="s1"/>
          <w:rFonts w:ascii="Arial" w:hAnsi="Arial" w:cs="Arial"/>
          <w:color w:val="EE0000"/>
          <w:sz w:val="22"/>
          <w:szCs w:val="22"/>
        </w:rPr>
        <w:t>Migration Observatory</w:t>
      </w:r>
      <w:r w:rsidR="00406222">
        <w:rPr>
          <w:rStyle w:val="s1"/>
          <w:rFonts w:ascii="Arial" w:hAnsi="Arial" w:cs="Arial"/>
          <w:color w:val="EE0000"/>
          <w:sz w:val="22"/>
          <w:szCs w:val="22"/>
        </w:rPr>
        <w:t>,</w:t>
      </w:r>
      <w:r w:rsidRPr="008E60B6">
        <w:rPr>
          <w:rStyle w:val="s1"/>
          <w:rFonts w:ascii="Arial" w:hAnsi="Arial" w:cs="Arial"/>
          <w:color w:val="EE0000"/>
          <w:sz w:val="22"/>
          <w:szCs w:val="22"/>
        </w:rPr>
        <w:t xml:space="preserve"> 2023)</w:t>
      </w:r>
      <w:r w:rsidRPr="008E60B6">
        <w:rPr>
          <w:rFonts w:ascii="Arial" w:hAnsi="Arial" w:cs="Arial"/>
          <w:color w:val="EE0000"/>
          <w:sz w:val="22"/>
          <w:szCs w:val="22"/>
        </w:rPr>
        <w:t xml:space="preserve">. </w:t>
      </w:r>
      <w:r w:rsidRPr="00F83D86">
        <w:rPr>
          <w:rFonts w:ascii="Arial" w:hAnsi="Arial" w:cs="Arial"/>
          <w:sz w:val="22"/>
          <w:szCs w:val="22"/>
        </w:rPr>
        <w:t xml:space="preserve">In contrast, countries such as Australia and Canada depend on broader or short-term migration programmes. Despite these differences, countries face a common challenge of balancing short-term workforce pressures with the need for long-term sustainability and ethical recruitment practices, </w:t>
      </w:r>
      <w:r w:rsidRPr="00F83D86">
        <w:rPr>
          <w:rStyle w:val="s1"/>
          <w:rFonts w:ascii="Arial" w:hAnsi="Arial" w:cs="Arial"/>
          <w:sz w:val="22"/>
          <w:szCs w:val="22"/>
        </w:rPr>
        <w:t xml:space="preserve">as emphasised by the </w:t>
      </w:r>
      <w:r w:rsidRPr="008E60B6">
        <w:rPr>
          <w:rStyle w:val="s1"/>
          <w:rFonts w:ascii="Arial" w:hAnsi="Arial" w:cs="Arial"/>
          <w:color w:val="EE0000"/>
          <w:sz w:val="22"/>
          <w:szCs w:val="22"/>
        </w:rPr>
        <w:t>International Labour Organization (2024)</w:t>
      </w:r>
      <w:r w:rsidRPr="008E60B6">
        <w:rPr>
          <w:rFonts w:ascii="Arial" w:hAnsi="Arial" w:cs="Arial"/>
          <w:color w:val="EE0000"/>
          <w:sz w:val="22"/>
          <w:szCs w:val="22"/>
        </w:rPr>
        <w:t>.</w:t>
      </w:r>
    </w:p>
    <w:p w14:paraId="76983E7F" w14:textId="77777777" w:rsidR="00F83D86" w:rsidRPr="00F83D86" w:rsidRDefault="00F83D86" w:rsidP="00F83D86">
      <w:pPr>
        <w:pStyle w:val="p1"/>
        <w:spacing w:line="360" w:lineRule="auto"/>
        <w:rPr>
          <w:rFonts w:ascii="Arial" w:hAnsi="Arial" w:cs="Arial"/>
          <w:sz w:val="22"/>
          <w:szCs w:val="22"/>
        </w:rPr>
      </w:pPr>
      <w:r w:rsidRPr="00F83D86">
        <w:rPr>
          <w:rFonts w:ascii="Arial" w:hAnsi="Arial" w:cs="Arial"/>
          <w:sz w:val="22"/>
          <w:szCs w:val="22"/>
        </w:rPr>
        <w:t>Overall, the international context highlights the central role of migrant workers in sustaining ASC systems globally. While international recruitment can alleviate short-term labour shortages, it also raises ongoing concerns regarding workforce planning, policy effectiveness, and the ethical implications of continued reliance on migrant labour.</w:t>
      </w:r>
    </w:p>
    <w:p w14:paraId="2456DDF0" w14:textId="0A8A9BCD" w:rsidR="007172CD" w:rsidRPr="007172CD" w:rsidRDefault="00B532EF" w:rsidP="00B532EF">
      <w:pPr>
        <w:pStyle w:val="paragraph"/>
        <w:spacing w:before="0" w:beforeAutospacing="0" w:after="0" w:afterAutospacing="0" w:line="360" w:lineRule="auto"/>
        <w:textAlignment w:val="baseline"/>
        <w:rPr>
          <w:rStyle w:val="eop"/>
          <w:rFonts w:ascii="Arial" w:hAnsi="Arial" w:cs="Arial"/>
          <w:color w:val="000000" w:themeColor="text1"/>
          <w:sz w:val="28"/>
          <w:szCs w:val="28"/>
        </w:rPr>
      </w:pPr>
      <w:r w:rsidRPr="007172CD">
        <w:rPr>
          <w:rStyle w:val="normaltextrun"/>
          <w:rFonts w:ascii="Arial" w:hAnsi="Arial" w:cs="Arial"/>
          <w:color w:val="000000" w:themeColor="text1"/>
          <w:sz w:val="28"/>
          <w:szCs w:val="28"/>
        </w:rPr>
        <w:t xml:space="preserve">2.5 National/Local UK Context </w:t>
      </w:r>
    </w:p>
    <w:p w14:paraId="1649F346" w14:textId="268E222D" w:rsidR="009D29A1" w:rsidRPr="008E71D5" w:rsidRDefault="000141C3" w:rsidP="008E71D5">
      <w:pPr>
        <w:jc w:val="left"/>
        <w:rPr>
          <w:rFonts w:ascii="Arial" w:eastAsia="Times New Roman" w:hAnsi="Arial" w:cs="Arial"/>
          <w:color w:val="0E0E0E"/>
          <w:kern w:val="0"/>
          <w:lang w:eastAsia="en-GB"/>
          <w14:ligatures w14:val="none"/>
        </w:rPr>
      </w:pPr>
      <w:r w:rsidRPr="008E71D5">
        <w:rPr>
          <w:rFonts w:ascii="Arial" w:hAnsi="Arial" w:cs="Arial"/>
        </w:rPr>
        <w:t>The role of migrant workers in the</w:t>
      </w:r>
      <w:r w:rsidR="00F64E72" w:rsidRPr="008E71D5">
        <w:rPr>
          <w:rFonts w:ascii="Arial" w:hAnsi="Arial" w:cs="Arial"/>
        </w:rPr>
        <w:t xml:space="preserve"> </w:t>
      </w:r>
      <w:r w:rsidRPr="008E71D5">
        <w:rPr>
          <w:rFonts w:ascii="Arial" w:hAnsi="Arial" w:cs="Arial"/>
        </w:rPr>
        <w:t xml:space="preserve">ASC sector is a major concern in the UK, especially in light of continuous labour shortages and rising demand for services. According to </w:t>
      </w:r>
      <w:r w:rsidRPr="008E71D5">
        <w:rPr>
          <w:rFonts w:ascii="Arial" w:hAnsi="Arial" w:cs="Arial"/>
          <w:color w:val="EE0000"/>
        </w:rPr>
        <w:t xml:space="preserve">Skills for Care (2025), </w:t>
      </w:r>
      <w:r w:rsidRPr="008E71D5">
        <w:rPr>
          <w:rFonts w:ascii="Arial" w:hAnsi="Arial" w:cs="Arial"/>
        </w:rPr>
        <w:t xml:space="preserve">the sector employs about 1.59 million people but continues to have significant vacancy rates, reflecting ongoing recruitment issues. As a result, migrant workers have become </w:t>
      </w:r>
      <w:r w:rsidR="003D71C9" w:rsidRPr="008E71D5">
        <w:rPr>
          <w:rFonts w:ascii="Arial" w:hAnsi="Arial" w:cs="Arial"/>
        </w:rPr>
        <w:t>a</w:t>
      </w:r>
      <w:r w:rsidR="00CD2868" w:rsidRPr="008E71D5">
        <w:rPr>
          <w:rFonts w:ascii="Arial" w:hAnsi="Arial" w:cs="Arial"/>
        </w:rPr>
        <w:t xml:space="preserve"> </w:t>
      </w:r>
      <w:r w:rsidR="00CD2868" w:rsidRPr="008E71D5">
        <w:rPr>
          <w:rFonts w:ascii="Arial" w:eastAsia="Times New Roman" w:hAnsi="Arial" w:cs="Arial"/>
          <w:color w:val="0E0E0E"/>
          <w:kern w:val="0"/>
          <w:lang w:eastAsia="en-GB"/>
          <w14:ligatures w14:val="none"/>
        </w:rPr>
        <w:t>significant component of the workforce</w:t>
      </w:r>
      <w:r w:rsidRPr="008E71D5">
        <w:rPr>
          <w:rFonts w:ascii="Arial" w:hAnsi="Arial" w:cs="Arial"/>
        </w:rPr>
        <w:t xml:space="preserve">, particularly in frontline care roles, contributing to service delivery and continuity of care, as emphasised by the </w:t>
      </w:r>
      <w:r w:rsidRPr="008E71D5">
        <w:rPr>
          <w:rFonts w:ascii="Arial" w:hAnsi="Arial" w:cs="Arial"/>
          <w:color w:val="EE0000"/>
        </w:rPr>
        <w:t>Migration Observatory (2023).</w:t>
      </w:r>
    </w:p>
    <w:p w14:paraId="4AF61CA6" w14:textId="05499432" w:rsidR="009D29A1" w:rsidRPr="007738D4" w:rsidRDefault="00C00866" w:rsidP="007738D4">
      <w:pPr>
        <w:pStyle w:val="p2"/>
        <w:spacing w:line="360" w:lineRule="auto"/>
        <w:rPr>
          <w:rFonts w:ascii="Arial" w:hAnsi="Arial" w:cs="Arial"/>
          <w:sz w:val="22"/>
          <w:szCs w:val="22"/>
        </w:rPr>
      </w:pPr>
      <w:r w:rsidRPr="007738D4">
        <w:rPr>
          <w:rFonts w:ascii="Arial" w:hAnsi="Arial" w:cs="Arial"/>
          <w:sz w:val="22"/>
          <w:szCs w:val="22"/>
        </w:rPr>
        <w:t xml:space="preserve">At national level, the UK government has implemented a number of legislative initiatives to address workforce shortages and promote international recruiting. One of the most significant developments is the establishment of the Health and Care Worker visa, which provides a specific migration pathway for overseas care professionals, as </w:t>
      </w:r>
      <w:r w:rsidR="00353EB7" w:rsidRPr="007738D4">
        <w:rPr>
          <w:rFonts w:ascii="Arial" w:hAnsi="Arial" w:cs="Arial"/>
          <w:sz w:val="22"/>
          <w:szCs w:val="22"/>
        </w:rPr>
        <w:t>suggested</w:t>
      </w:r>
      <w:r w:rsidRPr="007738D4">
        <w:rPr>
          <w:rFonts w:ascii="Arial" w:hAnsi="Arial" w:cs="Arial"/>
          <w:sz w:val="22"/>
          <w:szCs w:val="22"/>
        </w:rPr>
        <w:t xml:space="preserve"> by</w:t>
      </w:r>
      <w:r w:rsidR="00747F5A">
        <w:rPr>
          <w:rFonts w:ascii="Arial" w:hAnsi="Arial" w:cs="Arial"/>
          <w:sz w:val="22"/>
          <w:szCs w:val="22"/>
        </w:rPr>
        <w:t xml:space="preserve"> </w:t>
      </w:r>
      <w:r w:rsidR="00221B33">
        <w:rPr>
          <w:rFonts w:ascii="Arial" w:hAnsi="Arial" w:cs="Arial"/>
          <w:color w:val="EE0000"/>
          <w:sz w:val="22"/>
          <w:szCs w:val="22"/>
        </w:rPr>
        <w:t>GO</w:t>
      </w:r>
      <w:r w:rsidR="00567957">
        <w:rPr>
          <w:rFonts w:ascii="Arial" w:hAnsi="Arial" w:cs="Arial"/>
          <w:color w:val="EE0000"/>
          <w:sz w:val="22"/>
          <w:szCs w:val="22"/>
        </w:rPr>
        <w:t xml:space="preserve">V.UK </w:t>
      </w:r>
      <w:r w:rsidRPr="007738D4">
        <w:rPr>
          <w:rFonts w:ascii="Arial" w:hAnsi="Arial" w:cs="Arial"/>
          <w:color w:val="EE0000"/>
          <w:sz w:val="22"/>
          <w:szCs w:val="22"/>
        </w:rPr>
        <w:t>(2021)</w:t>
      </w:r>
      <w:r w:rsidRPr="007738D4">
        <w:rPr>
          <w:rFonts w:ascii="Arial" w:hAnsi="Arial" w:cs="Arial"/>
          <w:sz w:val="22"/>
          <w:szCs w:val="22"/>
        </w:rPr>
        <w:t xml:space="preserve">. Furthermore, the placement of care roles on the </w:t>
      </w:r>
      <w:r w:rsidR="006F5D97">
        <w:rPr>
          <w:rFonts w:ascii="Arial" w:hAnsi="Arial" w:cs="Arial"/>
          <w:sz w:val="22"/>
          <w:szCs w:val="22"/>
        </w:rPr>
        <w:t>SOL</w:t>
      </w:r>
      <w:r w:rsidR="00722ED3">
        <w:rPr>
          <w:rFonts w:ascii="Arial" w:hAnsi="Arial" w:cs="Arial"/>
          <w:sz w:val="22"/>
          <w:szCs w:val="22"/>
        </w:rPr>
        <w:t xml:space="preserve"> </w:t>
      </w:r>
      <w:r w:rsidRPr="007738D4">
        <w:rPr>
          <w:rFonts w:ascii="Arial" w:hAnsi="Arial" w:cs="Arial"/>
          <w:sz w:val="22"/>
          <w:szCs w:val="22"/>
        </w:rPr>
        <w:t>acknowledges the sector's continued personnel concerns (</w:t>
      </w:r>
      <w:r w:rsidRPr="007738D4">
        <w:rPr>
          <w:rFonts w:ascii="Arial" w:hAnsi="Arial" w:cs="Arial"/>
          <w:color w:val="EE0000"/>
          <w:sz w:val="22"/>
          <w:szCs w:val="22"/>
        </w:rPr>
        <w:t xml:space="preserve">Migration Advisory Committee, 2023). </w:t>
      </w:r>
      <w:r w:rsidRPr="007738D4">
        <w:rPr>
          <w:rFonts w:ascii="Arial" w:hAnsi="Arial" w:cs="Arial"/>
          <w:sz w:val="22"/>
          <w:szCs w:val="22"/>
        </w:rPr>
        <w:t xml:space="preserve">However, recent changes to immigration policies, such as restrictions on dependents and salary </w:t>
      </w:r>
      <w:r w:rsidRPr="007738D4">
        <w:rPr>
          <w:rFonts w:ascii="Arial" w:hAnsi="Arial" w:cs="Arial"/>
          <w:sz w:val="22"/>
          <w:szCs w:val="22"/>
        </w:rPr>
        <w:lastRenderedPageBreak/>
        <w:t xml:space="preserve">thresholds, have raised concerns about the sustainable future of relying on foreign employment </w:t>
      </w:r>
      <w:r w:rsidRPr="007738D4">
        <w:rPr>
          <w:rFonts w:ascii="Arial" w:hAnsi="Arial" w:cs="Arial"/>
          <w:color w:val="EE0000"/>
          <w:sz w:val="22"/>
          <w:szCs w:val="22"/>
        </w:rPr>
        <w:t>(Migration Observatory</w:t>
      </w:r>
      <w:r w:rsidR="00BD1B0B">
        <w:rPr>
          <w:rFonts w:ascii="Arial" w:hAnsi="Arial" w:cs="Arial"/>
          <w:color w:val="EE0000"/>
          <w:sz w:val="22"/>
          <w:szCs w:val="22"/>
        </w:rPr>
        <w:t>,</w:t>
      </w:r>
      <w:r w:rsidRPr="007738D4">
        <w:rPr>
          <w:rFonts w:ascii="Arial" w:hAnsi="Arial" w:cs="Arial"/>
          <w:color w:val="EE0000"/>
          <w:sz w:val="22"/>
          <w:szCs w:val="22"/>
        </w:rPr>
        <w:t xml:space="preserve"> 2023).</w:t>
      </w:r>
    </w:p>
    <w:p w14:paraId="42BFE87B" w14:textId="77777777" w:rsidR="002F3CFC" w:rsidRPr="002F3CFC" w:rsidRDefault="00B312F8" w:rsidP="002F3CFC">
      <w:pPr>
        <w:pStyle w:val="p1"/>
        <w:spacing w:line="360" w:lineRule="auto"/>
        <w:rPr>
          <w:rFonts w:ascii="Arial" w:hAnsi="Arial" w:cs="Arial"/>
          <w:sz w:val="22"/>
          <w:szCs w:val="22"/>
        </w:rPr>
      </w:pPr>
      <w:r w:rsidRPr="002F3CFC">
        <w:rPr>
          <w:rFonts w:ascii="Arial" w:hAnsi="Arial" w:cs="Arial"/>
          <w:color w:val="000000"/>
          <w:sz w:val="22"/>
          <w:szCs w:val="22"/>
        </w:rPr>
        <w:t xml:space="preserve">ASC's recruitment processes and personnel composition have been directly impacted by these policy frameworks. The </w:t>
      </w:r>
      <w:r w:rsidRPr="002F3CFC">
        <w:rPr>
          <w:rFonts w:ascii="Arial" w:hAnsi="Arial" w:cs="Arial"/>
          <w:color w:val="EE0000"/>
          <w:sz w:val="22"/>
          <w:szCs w:val="22"/>
        </w:rPr>
        <w:t>International Labour Organization (2024)</w:t>
      </w:r>
      <w:r w:rsidRPr="002F3CFC">
        <w:rPr>
          <w:rFonts w:ascii="Arial" w:hAnsi="Arial" w:cs="Arial"/>
          <w:color w:val="000000"/>
          <w:sz w:val="22"/>
          <w:szCs w:val="22"/>
        </w:rPr>
        <w:t xml:space="preserve"> acknowledged that while international recruitment has assisted in reducing temporary staffing shortages, it has also contributed to increased concerns about workforce stability, ethical recruitment, and the treatment of migrant workers. Furthermore, the sector's fundamental structural issues such as low pay, limited opportunities for career advancement, and difficult working conditions</w:t>
      </w:r>
      <w:r w:rsidR="00212C36" w:rsidRPr="002F3CFC">
        <w:rPr>
          <w:rFonts w:ascii="Arial" w:hAnsi="Arial" w:cs="Arial"/>
          <w:color w:val="000000"/>
          <w:sz w:val="22"/>
          <w:szCs w:val="22"/>
        </w:rPr>
        <w:t xml:space="preserve"> </w:t>
      </w:r>
      <w:r w:rsidRPr="002F3CFC">
        <w:rPr>
          <w:rFonts w:ascii="Arial" w:hAnsi="Arial" w:cs="Arial"/>
          <w:color w:val="000000"/>
          <w:sz w:val="22"/>
          <w:szCs w:val="22"/>
        </w:rPr>
        <w:t>may be reflected in the sector's reliance on migrant labour, which continues to impact both local and international workers</w:t>
      </w:r>
      <w:r w:rsidR="002F3CFC" w:rsidRPr="002F3CFC">
        <w:rPr>
          <w:rFonts w:ascii="Arial" w:hAnsi="Arial" w:cs="Arial"/>
          <w:color w:val="000000"/>
          <w:sz w:val="22"/>
          <w:szCs w:val="22"/>
        </w:rPr>
        <w:t xml:space="preserve"> </w:t>
      </w:r>
      <w:r w:rsidR="002F3CFC" w:rsidRPr="009B641A">
        <w:rPr>
          <w:rFonts w:ascii="Arial" w:hAnsi="Arial" w:cs="Arial"/>
          <w:color w:val="EE0000"/>
          <w:sz w:val="22"/>
          <w:szCs w:val="22"/>
        </w:rPr>
        <w:t>(The King’s Fund, 2024)</w:t>
      </w:r>
      <w:r w:rsidR="002F3CFC" w:rsidRPr="009B641A">
        <w:rPr>
          <w:rStyle w:val="s1"/>
          <w:rFonts w:ascii="Arial" w:eastAsiaTheme="majorEastAsia" w:hAnsi="Arial" w:cs="Arial"/>
          <w:color w:val="EE0000"/>
          <w:sz w:val="22"/>
          <w:szCs w:val="22"/>
        </w:rPr>
        <w:t>.</w:t>
      </w:r>
    </w:p>
    <w:p w14:paraId="07CE5F1A" w14:textId="05132FBA" w:rsidR="009D29A1" w:rsidRPr="00BD0FE2" w:rsidRDefault="00453DF9" w:rsidP="00BD0FE2">
      <w:pPr>
        <w:pStyle w:val="p1"/>
        <w:spacing w:line="360" w:lineRule="auto"/>
        <w:rPr>
          <w:rFonts w:ascii="Arial" w:hAnsi="Arial" w:cs="Arial"/>
          <w:color w:val="EE0000"/>
          <w:sz w:val="22"/>
          <w:szCs w:val="22"/>
        </w:rPr>
      </w:pPr>
      <w:r w:rsidRPr="00BD0FE2">
        <w:rPr>
          <w:rFonts w:ascii="Arial" w:hAnsi="Arial" w:cs="Arial"/>
          <w:color w:val="000000"/>
          <w:sz w:val="22"/>
          <w:szCs w:val="22"/>
        </w:rPr>
        <w:t>At the local level, the impact of workforce shortages and reliance on migrant workers varies by region in the UK. For example, urban locations like London and the South East have a higher share of migrant workers in the care sector, indicating more demographic variety and access to international labour markets</w:t>
      </w:r>
      <w:r w:rsidRPr="00BD0FE2">
        <w:rPr>
          <w:rFonts w:ascii="Arial" w:hAnsi="Arial" w:cs="Arial"/>
          <w:color w:val="EE0000"/>
          <w:sz w:val="22"/>
          <w:szCs w:val="22"/>
        </w:rPr>
        <w:t xml:space="preserve"> (Skills for Care, 2025). </w:t>
      </w:r>
      <w:r w:rsidRPr="00BD0FE2">
        <w:rPr>
          <w:rFonts w:ascii="Arial" w:hAnsi="Arial" w:cs="Arial"/>
          <w:color w:val="000000"/>
          <w:sz w:val="22"/>
          <w:szCs w:val="22"/>
        </w:rPr>
        <w:t xml:space="preserve">Rural districts and regions, such as the North East and South West, face significant recruitment challenges due to geographic isolation, lower wages, and limited access to migrant </w:t>
      </w:r>
      <w:r w:rsidRPr="00BD0FE2">
        <w:rPr>
          <w:rFonts w:ascii="Arial" w:hAnsi="Arial" w:cs="Arial"/>
          <w:color w:val="EE0000"/>
          <w:sz w:val="22"/>
          <w:szCs w:val="22"/>
        </w:rPr>
        <w:t>workforce</w:t>
      </w:r>
      <w:r w:rsidR="00084767" w:rsidRPr="00BD0FE2">
        <w:rPr>
          <w:rFonts w:ascii="Arial" w:hAnsi="Arial" w:cs="Arial"/>
          <w:color w:val="EE0000"/>
          <w:sz w:val="22"/>
          <w:szCs w:val="22"/>
        </w:rPr>
        <w:t xml:space="preserve"> (House of Commons, 2022)</w:t>
      </w:r>
      <w:r w:rsidRPr="00BD0FE2">
        <w:rPr>
          <w:rFonts w:ascii="Arial" w:hAnsi="Arial" w:cs="Arial"/>
          <w:color w:val="000000"/>
          <w:sz w:val="22"/>
          <w:szCs w:val="22"/>
        </w:rPr>
        <w:t>. To address workforce gaps, local authorities and care providers have used targeted recruitment programs, collaborations with training providers, and worldwide recruitment campaigns</w:t>
      </w:r>
      <w:r w:rsidR="003C5DF9" w:rsidRPr="00BD0FE2">
        <w:rPr>
          <w:rFonts w:ascii="Arial" w:hAnsi="Arial" w:cs="Arial"/>
          <w:color w:val="000000"/>
          <w:sz w:val="22"/>
          <w:szCs w:val="22"/>
        </w:rPr>
        <w:t xml:space="preserve"> </w:t>
      </w:r>
      <w:r w:rsidR="003C5DF9" w:rsidRPr="00BD0FE2">
        <w:rPr>
          <w:rFonts w:ascii="Arial" w:hAnsi="Arial" w:cs="Arial"/>
          <w:sz w:val="22"/>
          <w:szCs w:val="22"/>
        </w:rPr>
        <w:t xml:space="preserve">as suggested by the </w:t>
      </w:r>
      <w:r w:rsidR="003C5DF9" w:rsidRPr="00BD0FE2">
        <w:rPr>
          <w:rFonts w:ascii="Arial" w:hAnsi="Arial" w:cs="Arial"/>
          <w:color w:val="EE0000"/>
          <w:sz w:val="22"/>
          <w:szCs w:val="22"/>
        </w:rPr>
        <w:t>Migration Observatory (2023)</w:t>
      </w:r>
      <w:r w:rsidR="003C5DF9" w:rsidRPr="00BD0FE2">
        <w:rPr>
          <w:rStyle w:val="s1"/>
          <w:rFonts w:ascii="Arial" w:eastAsiaTheme="majorEastAsia" w:hAnsi="Arial" w:cs="Arial"/>
          <w:color w:val="EE0000"/>
          <w:sz w:val="22"/>
          <w:szCs w:val="22"/>
        </w:rPr>
        <w:t>.</w:t>
      </w:r>
    </w:p>
    <w:p w14:paraId="6DBF1049" w14:textId="77777777" w:rsidR="005258FB" w:rsidRPr="003C5119" w:rsidRDefault="007B0C7F" w:rsidP="003C5119">
      <w:pPr>
        <w:jc w:val="left"/>
        <w:rPr>
          <w:rFonts w:ascii="Arial" w:eastAsia="Times New Roman" w:hAnsi="Arial" w:cs="Arial"/>
          <w:color w:val="0E0E0E"/>
          <w:kern w:val="0"/>
          <w:lang w:eastAsia="en-GB"/>
          <w14:ligatures w14:val="none"/>
        </w:rPr>
      </w:pPr>
      <w:r w:rsidRPr="003C5119">
        <w:rPr>
          <w:rStyle w:val="eop"/>
          <w:rFonts w:ascii="Arial" w:eastAsia="Calibri Light" w:hAnsi="Arial" w:cs="Arial"/>
          <w:color w:val="000000" w:themeColor="text1"/>
        </w:rPr>
        <w:t>Overall, the UK environment demonstrates the increased reliance on foreign labour to support the ASC workforce. While national regulations have aided foreign recruiting, significant issues remain in workforce planning, regional inequities, and the sector's long-term viability. Addressing these difficulties demands a balanced approach that takes into account both current labour needs and broader structural adjustments in adult social care</w:t>
      </w:r>
      <w:r w:rsidR="005258FB" w:rsidRPr="003C5119">
        <w:rPr>
          <w:rStyle w:val="eop"/>
          <w:rFonts w:ascii="Arial" w:eastAsia="Calibri Light" w:hAnsi="Arial" w:cs="Arial"/>
          <w:color w:val="000000" w:themeColor="text1"/>
        </w:rPr>
        <w:t xml:space="preserve"> </w:t>
      </w:r>
      <w:r w:rsidR="005258FB" w:rsidRPr="00853469">
        <w:rPr>
          <w:rFonts w:ascii="Arial" w:eastAsia="Times New Roman" w:hAnsi="Arial" w:cs="Arial"/>
          <w:color w:val="EE0000"/>
          <w:kern w:val="0"/>
          <w:lang w:eastAsia="en-GB"/>
          <w14:ligatures w14:val="none"/>
        </w:rPr>
        <w:t>(Skills for Care, 2025).</w:t>
      </w:r>
    </w:p>
    <w:p w14:paraId="562F3942" w14:textId="64F7F961" w:rsidR="007611F1" w:rsidRPr="007172CD" w:rsidRDefault="00D63F3B" w:rsidP="00A84846">
      <w:pPr>
        <w:pStyle w:val="paragraph"/>
        <w:spacing w:before="0" w:beforeAutospacing="0" w:after="0" w:afterAutospacing="0" w:line="360" w:lineRule="auto"/>
        <w:textAlignment w:val="baseline"/>
        <w:rPr>
          <w:rStyle w:val="eop"/>
          <w:rFonts w:ascii="Aptos" w:hAnsi="Aptos" w:cs="Segoe UI"/>
          <w:color w:val="000000" w:themeColor="text1"/>
          <w:sz w:val="16"/>
          <w:szCs w:val="16"/>
        </w:rPr>
      </w:pPr>
      <w:r w:rsidRPr="007172CD">
        <w:rPr>
          <w:rStyle w:val="normaltextrun"/>
          <w:rFonts w:ascii="Arial" w:hAnsi="Arial" w:cs="Arial"/>
          <w:color w:val="000000" w:themeColor="text1"/>
          <w:sz w:val="28"/>
          <w:szCs w:val="28"/>
        </w:rPr>
        <w:t>2.6 Conclusion</w:t>
      </w:r>
    </w:p>
    <w:p w14:paraId="0B96B431" w14:textId="7280D276" w:rsidR="0078393D" w:rsidRPr="00353C5B" w:rsidRDefault="00432926" w:rsidP="00353C5B">
      <w:pPr>
        <w:pStyle w:val="p2"/>
        <w:spacing w:line="360" w:lineRule="auto"/>
        <w:rPr>
          <w:rFonts w:ascii="Arial" w:hAnsi="Arial" w:cs="Arial"/>
          <w:sz w:val="22"/>
          <w:szCs w:val="22"/>
        </w:rPr>
      </w:pPr>
      <w:r w:rsidRPr="00353C5B">
        <w:rPr>
          <w:rFonts w:ascii="Arial" w:hAnsi="Arial" w:cs="Arial"/>
          <w:color w:val="000000"/>
          <w:sz w:val="22"/>
          <w:szCs w:val="22"/>
        </w:rPr>
        <w:t>This chapter examined the broader context of migrant workers in the</w:t>
      </w:r>
      <w:r w:rsidR="00570304" w:rsidRPr="00353C5B">
        <w:rPr>
          <w:rFonts w:ascii="Arial" w:hAnsi="Arial" w:cs="Arial"/>
          <w:color w:val="000000"/>
          <w:sz w:val="22"/>
          <w:szCs w:val="22"/>
        </w:rPr>
        <w:t xml:space="preserve"> </w:t>
      </w:r>
      <w:r w:rsidRPr="00353C5B">
        <w:rPr>
          <w:rFonts w:ascii="Arial" w:hAnsi="Arial" w:cs="Arial"/>
          <w:color w:val="000000"/>
          <w:sz w:val="22"/>
          <w:szCs w:val="22"/>
        </w:rPr>
        <w:t xml:space="preserve">ASC workforce, using historical, theoretical, international, and national perspectives. It has demonstrated how long-term workforce shortages, demographic changes, and policy developments have all contributed to the UK's growing reliance on migrant workers. The historical overview emphasised significant changes such as Brexit and the COVID-19 pandemic, while theoretical frameworks such as labour market segmentation and </w:t>
      </w:r>
      <w:r w:rsidR="00EB2773" w:rsidRPr="00CD250F">
        <w:rPr>
          <w:rFonts w:ascii="Arial" w:hAnsi="Arial" w:cs="Arial"/>
          <w:color w:val="000000"/>
          <w:sz w:val="22"/>
          <w:szCs w:val="22"/>
        </w:rPr>
        <w:t>Maslow’s Hierarchy of Needs</w:t>
      </w:r>
      <w:r w:rsidR="00CD250F" w:rsidRPr="00CD250F">
        <w:rPr>
          <w:rFonts w:ascii="Arial" w:hAnsi="Arial" w:cs="Arial"/>
          <w:color w:val="000000"/>
          <w:sz w:val="22"/>
          <w:szCs w:val="22"/>
        </w:rPr>
        <w:t xml:space="preserve"> </w:t>
      </w:r>
      <w:r w:rsidRPr="00CD250F">
        <w:rPr>
          <w:rFonts w:ascii="Arial" w:hAnsi="Arial" w:cs="Arial"/>
          <w:color w:val="000000"/>
          <w:sz w:val="22"/>
          <w:szCs w:val="22"/>
        </w:rPr>
        <w:t>provided insight into workforce patterns and migration trends. The international</w:t>
      </w:r>
      <w:r w:rsidRPr="00353C5B">
        <w:rPr>
          <w:rFonts w:ascii="Arial" w:hAnsi="Arial" w:cs="Arial"/>
          <w:color w:val="000000"/>
          <w:sz w:val="22"/>
          <w:szCs w:val="22"/>
        </w:rPr>
        <w:t xml:space="preserve"> </w:t>
      </w:r>
      <w:r w:rsidRPr="00353C5B">
        <w:rPr>
          <w:rFonts w:ascii="Arial" w:hAnsi="Arial" w:cs="Arial"/>
          <w:color w:val="000000"/>
          <w:sz w:val="22"/>
          <w:szCs w:val="22"/>
        </w:rPr>
        <w:lastRenderedPageBreak/>
        <w:t>research showed that reliance on migrant workers is a global phenomenon, while the UK context focused on specific governmental responses, workforce challenges, and regional inequalities.</w:t>
      </w:r>
    </w:p>
    <w:p w14:paraId="29167388" w14:textId="5E5B811B" w:rsidR="0078393D" w:rsidRPr="00353C5B" w:rsidRDefault="0081262C" w:rsidP="00353C5B">
      <w:pPr>
        <w:pStyle w:val="paragraph"/>
        <w:spacing w:before="0" w:beforeAutospacing="0" w:after="0" w:afterAutospacing="0" w:line="360" w:lineRule="auto"/>
        <w:textAlignment w:val="baseline"/>
        <w:rPr>
          <w:rStyle w:val="eop"/>
          <w:rFonts w:ascii="Arial" w:eastAsia="Calibri Light" w:hAnsi="Arial" w:cs="Arial"/>
          <w:b/>
          <w:bCs/>
          <w:color w:val="000000" w:themeColor="text1"/>
          <w:sz w:val="22"/>
          <w:szCs w:val="22"/>
        </w:rPr>
      </w:pPr>
      <w:r w:rsidRPr="00353C5B">
        <w:rPr>
          <w:rFonts w:ascii="Arial" w:hAnsi="Arial" w:cs="Arial"/>
          <w:color w:val="000000"/>
          <w:sz w:val="22"/>
          <w:szCs w:val="22"/>
        </w:rPr>
        <w:t>Overall, this chapter provides a foundation for understanding workforce sustainability in ASC. The following chapter will outline the research methodology, including how data will be collected and processed to better understand the role of migrant workers in the UK</w:t>
      </w:r>
      <w:r w:rsidR="00463323" w:rsidRPr="00353C5B">
        <w:rPr>
          <w:rFonts w:ascii="Arial" w:hAnsi="Arial" w:cs="Arial"/>
          <w:color w:val="000000"/>
          <w:sz w:val="22"/>
          <w:szCs w:val="22"/>
        </w:rPr>
        <w:t xml:space="preserve"> ASC</w:t>
      </w:r>
      <w:r w:rsidRPr="00353C5B">
        <w:rPr>
          <w:rFonts w:ascii="Arial" w:hAnsi="Arial" w:cs="Arial"/>
          <w:color w:val="000000"/>
          <w:sz w:val="22"/>
          <w:szCs w:val="22"/>
        </w:rPr>
        <w:t xml:space="preserve"> workforce.</w:t>
      </w:r>
    </w:p>
    <w:p w14:paraId="2B9A85ED" w14:textId="77777777" w:rsidR="00E1617B" w:rsidRDefault="00E1617B" w:rsidP="006B5511">
      <w:pPr>
        <w:pStyle w:val="Heading1"/>
        <w:rPr>
          <w:rFonts w:ascii="Arial" w:hAnsi="Arial" w:cs="Arial"/>
          <w:b/>
          <w:bCs/>
          <w:color w:val="000000" w:themeColor="text1"/>
          <w:sz w:val="32"/>
          <w:szCs w:val="32"/>
        </w:rPr>
      </w:pPr>
    </w:p>
    <w:p w14:paraId="352AFDD3" w14:textId="77777777" w:rsidR="00E1617B" w:rsidRDefault="00E1617B" w:rsidP="006B5511">
      <w:pPr>
        <w:pStyle w:val="Heading1"/>
        <w:rPr>
          <w:rFonts w:ascii="Arial" w:hAnsi="Arial" w:cs="Arial"/>
          <w:b/>
          <w:bCs/>
          <w:color w:val="000000" w:themeColor="text1"/>
          <w:sz w:val="32"/>
          <w:szCs w:val="32"/>
        </w:rPr>
      </w:pPr>
    </w:p>
    <w:p w14:paraId="535EA7E9" w14:textId="77777777" w:rsidR="00E1617B" w:rsidRDefault="00E1617B" w:rsidP="006B5511">
      <w:pPr>
        <w:pStyle w:val="Heading1"/>
        <w:rPr>
          <w:rFonts w:ascii="Arial" w:hAnsi="Arial" w:cs="Arial"/>
          <w:b/>
          <w:bCs/>
          <w:color w:val="000000" w:themeColor="text1"/>
          <w:sz w:val="32"/>
          <w:szCs w:val="32"/>
        </w:rPr>
      </w:pPr>
    </w:p>
    <w:p w14:paraId="01984073" w14:textId="77777777" w:rsidR="00E1617B" w:rsidRDefault="00E1617B" w:rsidP="006B5511">
      <w:pPr>
        <w:pStyle w:val="Heading1"/>
        <w:rPr>
          <w:rFonts w:ascii="Arial" w:hAnsi="Arial" w:cs="Arial"/>
          <w:b/>
          <w:bCs/>
          <w:color w:val="000000" w:themeColor="text1"/>
          <w:sz w:val="32"/>
          <w:szCs w:val="32"/>
        </w:rPr>
      </w:pPr>
    </w:p>
    <w:p w14:paraId="4BC7FE7B" w14:textId="77777777" w:rsidR="00E1617B" w:rsidRDefault="00E1617B" w:rsidP="006B5511">
      <w:pPr>
        <w:pStyle w:val="Heading1"/>
        <w:rPr>
          <w:rFonts w:ascii="Arial" w:hAnsi="Arial" w:cs="Arial"/>
          <w:b/>
          <w:bCs/>
          <w:color w:val="000000" w:themeColor="text1"/>
          <w:sz w:val="32"/>
          <w:szCs w:val="32"/>
        </w:rPr>
      </w:pPr>
    </w:p>
    <w:p w14:paraId="41086FE1" w14:textId="77777777" w:rsidR="00E1617B" w:rsidRDefault="00E1617B" w:rsidP="006B5511">
      <w:pPr>
        <w:pStyle w:val="Heading1"/>
        <w:rPr>
          <w:rFonts w:ascii="Arial" w:hAnsi="Arial" w:cs="Arial"/>
          <w:b/>
          <w:bCs/>
          <w:color w:val="000000" w:themeColor="text1"/>
          <w:sz w:val="32"/>
          <w:szCs w:val="32"/>
        </w:rPr>
      </w:pPr>
    </w:p>
    <w:p w14:paraId="0059659B" w14:textId="77777777" w:rsidR="00E1617B" w:rsidRDefault="00E1617B" w:rsidP="006B5511">
      <w:pPr>
        <w:pStyle w:val="Heading1"/>
        <w:rPr>
          <w:rFonts w:ascii="Arial" w:hAnsi="Arial" w:cs="Arial"/>
          <w:b/>
          <w:bCs/>
          <w:color w:val="000000" w:themeColor="text1"/>
          <w:sz w:val="32"/>
          <w:szCs w:val="32"/>
        </w:rPr>
      </w:pPr>
    </w:p>
    <w:p w14:paraId="6A41B80F" w14:textId="77777777" w:rsidR="00E1617B" w:rsidRDefault="00E1617B" w:rsidP="006B5511">
      <w:pPr>
        <w:pStyle w:val="Heading1"/>
        <w:rPr>
          <w:rFonts w:ascii="Arial" w:hAnsi="Arial" w:cs="Arial"/>
          <w:b/>
          <w:bCs/>
          <w:color w:val="000000" w:themeColor="text1"/>
          <w:sz w:val="32"/>
          <w:szCs w:val="32"/>
        </w:rPr>
      </w:pPr>
    </w:p>
    <w:p w14:paraId="682DF7AC" w14:textId="77777777" w:rsidR="00E1617B" w:rsidRDefault="00E1617B" w:rsidP="006B5511">
      <w:pPr>
        <w:pStyle w:val="Heading1"/>
        <w:rPr>
          <w:rFonts w:ascii="Arial" w:hAnsi="Arial" w:cs="Arial"/>
          <w:b/>
          <w:bCs/>
          <w:color w:val="000000" w:themeColor="text1"/>
          <w:sz w:val="32"/>
          <w:szCs w:val="32"/>
        </w:rPr>
      </w:pPr>
    </w:p>
    <w:p w14:paraId="58F0780D" w14:textId="77777777" w:rsidR="00B805D5" w:rsidRDefault="00B805D5" w:rsidP="00B805D5"/>
    <w:p w14:paraId="067022A7" w14:textId="77777777" w:rsidR="00B805D5" w:rsidRDefault="00B805D5" w:rsidP="00B805D5"/>
    <w:p w14:paraId="4798B4D4" w14:textId="77777777" w:rsidR="00B805D5" w:rsidRDefault="00B805D5" w:rsidP="00B805D5"/>
    <w:p w14:paraId="58614B96" w14:textId="77777777" w:rsidR="00B805D5" w:rsidRDefault="00B805D5" w:rsidP="00B805D5"/>
    <w:p w14:paraId="62A89B5E" w14:textId="77777777" w:rsidR="00B805D5" w:rsidRDefault="00B805D5" w:rsidP="00B805D5"/>
    <w:p w14:paraId="55C87DC9" w14:textId="279D8FF6" w:rsidR="006B5511" w:rsidRPr="00B805D5" w:rsidRDefault="006B5511" w:rsidP="00B805D5">
      <w:pPr>
        <w:rPr>
          <w:rFonts w:ascii="Arial" w:hAnsi="Arial" w:cs="Arial"/>
          <w:b/>
          <w:bCs/>
          <w:sz w:val="32"/>
          <w:szCs w:val="32"/>
        </w:rPr>
      </w:pPr>
      <w:r w:rsidRPr="00B805D5">
        <w:rPr>
          <w:rFonts w:ascii="Arial" w:hAnsi="Arial" w:cs="Arial"/>
          <w:b/>
          <w:bCs/>
          <w:sz w:val="32"/>
          <w:szCs w:val="32"/>
        </w:rPr>
        <w:lastRenderedPageBreak/>
        <w:t xml:space="preserve">CHAPTER 3 – Methods and Search Strategy </w:t>
      </w:r>
    </w:p>
    <w:p w14:paraId="26EA2D0B" w14:textId="5AECC3FA" w:rsidR="006B5511" w:rsidRPr="007172CD" w:rsidRDefault="006B5511" w:rsidP="00042DED">
      <w:pPr>
        <w:pStyle w:val="Heading2"/>
        <w:rPr>
          <w:rFonts w:ascii="Arial" w:hAnsi="Arial" w:cs="Arial"/>
          <w:color w:val="EE0000"/>
          <w:sz w:val="28"/>
          <w:szCs w:val="28"/>
        </w:rPr>
      </w:pPr>
      <w:r w:rsidRPr="007172CD">
        <w:rPr>
          <w:rFonts w:ascii="Arial" w:hAnsi="Arial" w:cs="Arial"/>
          <w:color w:val="000000" w:themeColor="text1"/>
          <w:sz w:val="28"/>
          <w:szCs w:val="28"/>
        </w:rPr>
        <w:t xml:space="preserve">3.1 – Introduction </w:t>
      </w:r>
    </w:p>
    <w:p w14:paraId="7DF1E8A7" w14:textId="17F93B49" w:rsidR="00887F03" w:rsidRPr="00280ECC" w:rsidRDefault="00887F03" w:rsidP="00C34CA8">
      <w:pPr>
        <w:jc w:val="left"/>
        <w:rPr>
          <w:rFonts w:ascii="Arial" w:hAnsi="Arial" w:cs="Arial"/>
          <w:color w:val="EE0000"/>
        </w:rPr>
      </w:pPr>
      <w:r w:rsidRPr="00C34CA8">
        <w:rPr>
          <w:rFonts w:ascii="Arial" w:hAnsi="Arial" w:cs="Arial"/>
          <w:color w:val="000000"/>
        </w:rPr>
        <w:t xml:space="preserve">This chapter outlines the methodology used to analyse migrant workers' roles in the ASC workforce in the UK. A desk-based, secondary research design was applied to investigate significant issues regarding workforce sustainability and migration, drawing on existing academic literature, policy documents, and workforce reports. The academic methodology poster provides a visual description of this strategy, while this chapter delves deeper into each stage of the research process. The methods outlined in this chapter are critical for locating, choosing, and assessing appropriate sources, which serve as the foundation for the thematic findings discussed in </w:t>
      </w:r>
      <w:r w:rsidRPr="00280ECC">
        <w:rPr>
          <w:rFonts w:ascii="Arial" w:hAnsi="Arial" w:cs="Arial"/>
          <w:color w:val="000000"/>
        </w:rPr>
        <w:t>Chapter 4</w:t>
      </w:r>
      <w:r w:rsidR="002565AA" w:rsidRPr="00280ECC">
        <w:rPr>
          <w:rFonts w:ascii="Arial" w:hAnsi="Arial" w:cs="Arial"/>
          <w:color w:val="000000"/>
        </w:rPr>
        <w:t xml:space="preserve"> (</w:t>
      </w:r>
      <w:r w:rsidR="002565AA" w:rsidRPr="00280ECC">
        <w:rPr>
          <w:rFonts w:ascii="Arial" w:hAnsi="Arial" w:cs="Arial"/>
          <w:color w:val="EE0000"/>
        </w:rPr>
        <w:t>Garg, 2016).</w:t>
      </w:r>
    </w:p>
    <w:p w14:paraId="636E9916" w14:textId="48272A5B" w:rsidR="006B5511" w:rsidRPr="006B12D2" w:rsidRDefault="006B5511" w:rsidP="006B5511">
      <w:pPr>
        <w:pStyle w:val="Heading2"/>
        <w:rPr>
          <w:rFonts w:ascii="Arial" w:hAnsi="Arial" w:cs="Arial"/>
          <w:color w:val="000000" w:themeColor="text1"/>
          <w:sz w:val="28"/>
          <w:szCs w:val="28"/>
        </w:rPr>
      </w:pPr>
      <w:r w:rsidRPr="006B12D2">
        <w:rPr>
          <w:rFonts w:ascii="Arial" w:hAnsi="Arial" w:cs="Arial"/>
          <w:color w:val="000000" w:themeColor="text1"/>
          <w:sz w:val="28"/>
          <w:szCs w:val="28"/>
        </w:rPr>
        <w:t xml:space="preserve">3.2 – Search Strategy </w:t>
      </w:r>
    </w:p>
    <w:p w14:paraId="218C31C3" w14:textId="20AB5BED" w:rsidR="006B5511" w:rsidRPr="00FF6AC8" w:rsidRDefault="00DD6DAD" w:rsidP="006B5511">
      <w:pPr>
        <w:rPr>
          <w:rFonts w:ascii="Arial" w:hAnsi="Arial" w:cs="Arial"/>
        </w:rPr>
      </w:pPr>
      <w:r w:rsidRPr="00FF6AC8">
        <w:rPr>
          <w:rFonts w:ascii="Arial" w:hAnsi="Arial" w:cs="Arial"/>
          <w:color w:val="000000"/>
        </w:rPr>
        <w:t xml:space="preserve">A structured search method was </w:t>
      </w:r>
      <w:r w:rsidR="000F3B09" w:rsidRPr="00FF6AC8">
        <w:rPr>
          <w:rFonts w:ascii="Arial" w:hAnsi="Arial" w:cs="Arial"/>
          <w:color w:val="000000"/>
        </w:rPr>
        <w:t xml:space="preserve">developed </w:t>
      </w:r>
      <w:r w:rsidRPr="00FF6AC8">
        <w:rPr>
          <w:rFonts w:ascii="Arial" w:hAnsi="Arial" w:cs="Arial"/>
          <w:color w:val="000000"/>
        </w:rPr>
        <w:t xml:space="preserve">to find </w:t>
      </w:r>
      <w:r w:rsidR="000F3B09" w:rsidRPr="00FF6AC8">
        <w:rPr>
          <w:rFonts w:ascii="Arial" w:hAnsi="Arial" w:cs="Arial"/>
          <w:color w:val="000000"/>
        </w:rPr>
        <w:t xml:space="preserve">reliable </w:t>
      </w:r>
      <w:r w:rsidR="00C84B42" w:rsidRPr="00FF6AC8">
        <w:rPr>
          <w:rFonts w:ascii="Arial" w:hAnsi="Arial" w:cs="Arial"/>
          <w:color w:val="000000"/>
        </w:rPr>
        <w:t xml:space="preserve">literature </w:t>
      </w:r>
      <w:r w:rsidRPr="00FF6AC8">
        <w:rPr>
          <w:rFonts w:ascii="Arial" w:hAnsi="Arial" w:cs="Arial"/>
          <w:color w:val="000000"/>
        </w:rPr>
        <w:t>that was related to the research aim. Keywords from the dissertation title were "migrant workers", "adult social care", "workforce sustainability", and "UK". Synonyms such as "international recruitment", "care workforce", and "health and care staff" were also used to extend the search. Boolean operators were employed to improve the search process, with "AND" combining essential elements (for example, "migrant workers AND social care UK") and "OR" including alternative phrases</w:t>
      </w:r>
      <w:r w:rsidR="006E2A5B">
        <w:rPr>
          <w:rFonts w:ascii="Arial" w:hAnsi="Arial" w:cs="Arial"/>
          <w:color w:val="000000"/>
        </w:rPr>
        <w:t xml:space="preserve"> </w:t>
      </w:r>
      <w:r w:rsidR="00817101" w:rsidRPr="00817101">
        <w:rPr>
          <w:rStyle w:val="Strong"/>
          <w:rFonts w:ascii="Arial" w:hAnsi="Arial" w:cs="Arial"/>
          <w:b w:val="0"/>
          <w:bCs w:val="0"/>
          <w:color w:val="EE0000"/>
        </w:rPr>
        <w:t>(Birmingham City University, 202</w:t>
      </w:r>
      <w:r w:rsidR="00786315">
        <w:rPr>
          <w:rStyle w:val="Strong"/>
          <w:rFonts w:ascii="Arial" w:hAnsi="Arial" w:cs="Arial"/>
          <w:b w:val="0"/>
          <w:bCs w:val="0"/>
          <w:color w:val="EE0000"/>
        </w:rPr>
        <w:t>5</w:t>
      </w:r>
      <w:r w:rsidR="00817101" w:rsidRPr="00817101">
        <w:rPr>
          <w:rStyle w:val="Strong"/>
          <w:rFonts w:ascii="Arial" w:hAnsi="Arial" w:cs="Arial"/>
          <w:b w:val="0"/>
          <w:bCs w:val="0"/>
          <w:color w:val="EE0000"/>
        </w:rPr>
        <w:t>)</w:t>
      </w:r>
      <w:r w:rsidRPr="00817101">
        <w:rPr>
          <w:rFonts w:ascii="Arial" w:hAnsi="Arial" w:cs="Arial"/>
          <w:b/>
          <w:bCs/>
          <w:color w:val="EE0000"/>
        </w:rPr>
        <w:t>.</w:t>
      </w:r>
      <w:r w:rsidRPr="00817101">
        <w:rPr>
          <w:rFonts w:ascii="Arial" w:hAnsi="Arial" w:cs="Arial"/>
          <w:color w:val="EE0000"/>
        </w:rPr>
        <w:t xml:space="preserve"> </w:t>
      </w:r>
      <w:r w:rsidR="008E54D4" w:rsidRPr="008E54D4">
        <w:rPr>
          <w:rFonts w:ascii="Arial" w:hAnsi="Arial" w:cs="Arial"/>
          <w:color w:val="000000"/>
        </w:rPr>
        <w:t>A systematic approach was applied to analyse, refine, and record effective keyword combinations, ensuring consistency and relevance throughout the literature search process. This method is consistent with</w:t>
      </w:r>
      <w:r w:rsidR="008E54D4" w:rsidRPr="00F40136">
        <w:rPr>
          <w:rFonts w:ascii="Arial" w:hAnsi="Arial" w:cs="Arial"/>
          <w:color w:val="EE0000"/>
        </w:rPr>
        <w:t xml:space="preserve"> Bramer </w:t>
      </w:r>
      <w:r w:rsidR="008E54D4" w:rsidRPr="00F40136">
        <w:rPr>
          <w:rFonts w:ascii="Arial" w:hAnsi="Arial" w:cs="Arial"/>
          <w:i/>
          <w:iCs/>
          <w:color w:val="EE0000"/>
        </w:rPr>
        <w:t>et al.</w:t>
      </w:r>
      <w:r w:rsidR="00F40136" w:rsidRPr="00F40136">
        <w:rPr>
          <w:rFonts w:ascii="Arial" w:hAnsi="Arial" w:cs="Arial"/>
          <w:i/>
          <w:iCs/>
          <w:color w:val="EE0000"/>
        </w:rPr>
        <w:t>,</w:t>
      </w:r>
      <w:r w:rsidR="00F40136" w:rsidRPr="00F40136">
        <w:rPr>
          <w:rFonts w:ascii="Arial" w:hAnsi="Arial" w:cs="Arial"/>
          <w:color w:val="EE0000"/>
        </w:rPr>
        <w:t xml:space="preserve"> </w:t>
      </w:r>
      <w:r w:rsidR="008E54D4" w:rsidRPr="00F40136">
        <w:rPr>
          <w:rFonts w:ascii="Arial" w:hAnsi="Arial" w:cs="Arial"/>
          <w:color w:val="EE0000"/>
        </w:rPr>
        <w:t xml:space="preserve">(2018), </w:t>
      </w:r>
      <w:r w:rsidR="008E54D4" w:rsidRPr="008E54D4">
        <w:rPr>
          <w:rFonts w:ascii="Arial" w:hAnsi="Arial" w:cs="Arial"/>
          <w:color w:val="000000"/>
        </w:rPr>
        <w:t>who highlight the relevance of structured search techniques when conducting literature reviews</w:t>
      </w:r>
      <w:r w:rsidR="008E54D4">
        <w:rPr>
          <w:rFonts w:ascii="-webkit-standard" w:hAnsi="-webkit-standard"/>
          <w:color w:val="000000"/>
          <w:sz w:val="27"/>
          <w:szCs w:val="27"/>
        </w:rPr>
        <w:t>.</w:t>
      </w:r>
    </w:p>
    <w:p w14:paraId="1A5DBEDD" w14:textId="2190CB6A" w:rsidR="006B5511" w:rsidRPr="006B12D2" w:rsidRDefault="00A9182F" w:rsidP="00BD0F94">
      <w:pPr>
        <w:pStyle w:val="Heading2"/>
        <w:tabs>
          <w:tab w:val="num" w:pos="1440"/>
        </w:tabs>
        <w:jc w:val="left"/>
        <w:rPr>
          <w:rFonts w:ascii="Arial" w:hAnsi="Arial" w:cs="Arial"/>
          <w:sz w:val="28"/>
          <w:szCs w:val="28"/>
        </w:rPr>
      </w:pPr>
      <w:r w:rsidRPr="006B12D2">
        <w:rPr>
          <w:rFonts w:ascii="Arial" w:hAnsi="Arial" w:cs="Arial"/>
          <w:color w:val="000000" w:themeColor="text1"/>
          <w:sz w:val="28"/>
          <w:szCs w:val="28"/>
        </w:rPr>
        <w:t>3.3</w:t>
      </w:r>
      <w:r w:rsidR="006B5511" w:rsidRPr="006B12D2">
        <w:rPr>
          <w:rFonts w:ascii="Arial" w:hAnsi="Arial" w:cs="Arial"/>
          <w:color w:val="000000" w:themeColor="text1"/>
          <w:sz w:val="28"/>
          <w:szCs w:val="28"/>
        </w:rPr>
        <w:t>– Searching for Information</w:t>
      </w:r>
    </w:p>
    <w:p w14:paraId="0C35F8F4" w14:textId="0B03C4AC" w:rsidR="008F70E2" w:rsidRPr="00BD0F94" w:rsidRDefault="008F70E2" w:rsidP="008F70E2">
      <w:pPr>
        <w:rPr>
          <w:rFonts w:ascii="Arial" w:hAnsi="Arial" w:cs="Arial"/>
          <w:color w:val="000000"/>
        </w:rPr>
      </w:pPr>
      <w:r w:rsidRPr="00BD0F94">
        <w:rPr>
          <w:rFonts w:ascii="Arial" w:hAnsi="Arial" w:cs="Arial"/>
          <w:color w:val="000000"/>
        </w:rPr>
        <w:t>To identify relevant literature for this research, a variety of scholarly databases and internet resources were reviewed. Google Scholar, PubMed, and the UWTSD online library databases which provide access to academic publications, policy reports, and peer-reviewed journal articles were important sources. These databases were chosen because they are reliable, easily accessible, and are relevant to research on health and social care</w:t>
      </w:r>
      <w:r w:rsidR="002A3114">
        <w:rPr>
          <w:rFonts w:ascii="Arial" w:hAnsi="Arial" w:cs="Arial"/>
          <w:color w:val="000000"/>
        </w:rPr>
        <w:t xml:space="preserve"> </w:t>
      </w:r>
      <w:r w:rsidR="002A3114" w:rsidRPr="002A3114">
        <w:rPr>
          <w:rStyle w:val="Strong"/>
          <w:b w:val="0"/>
          <w:bCs w:val="0"/>
          <w:color w:val="EE0000"/>
        </w:rPr>
        <w:t>(</w:t>
      </w:r>
      <w:r w:rsidR="002A3114" w:rsidRPr="002A3114">
        <w:rPr>
          <w:rStyle w:val="Strong"/>
          <w:rFonts w:ascii="Arial" w:hAnsi="Arial" w:cs="Arial"/>
          <w:b w:val="0"/>
          <w:bCs w:val="0"/>
          <w:color w:val="EE0000"/>
        </w:rPr>
        <w:t xml:space="preserve">Aveyard </w:t>
      </w:r>
      <w:r w:rsidR="002A3114" w:rsidRPr="002A3114">
        <w:rPr>
          <w:rStyle w:val="Strong"/>
          <w:rFonts w:ascii="Arial" w:hAnsi="Arial" w:cs="Arial"/>
          <w:b w:val="0"/>
          <w:bCs w:val="0"/>
          <w:i/>
          <w:iCs/>
          <w:color w:val="EE0000"/>
        </w:rPr>
        <w:t>et al.,</w:t>
      </w:r>
      <w:r w:rsidR="002A3114" w:rsidRPr="002A3114">
        <w:rPr>
          <w:rStyle w:val="Strong"/>
          <w:rFonts w:ascii="Arial" w:hAnsi="Arial" w:cs="Arial"/>
          <w:b w:val="0"/>
          <w:bCs w:val="0"/>
          <w:color w:val="EE0000"/>
        </w:rPr>
        <w:t xml:space="preserve"> 2023</w:t>
      </w:r>
      <w:r w:rsidR="002A3114" w:rsidRPr="002A3114">
        <w:rPr>
          <w:rStyle w:val="Strong"/>
          <w:rFonts w:ascii="Arial" w:hAnsi="Arial" w:cs="Arial"/>
          <w:b w:val="0"/>
          <w:bCs w:val="0"/>
          <w:color w:val="000000"/>
        </w:rPr>
        <w:t>)</w:t>
      </w:r>
      <w:r w:rsidRPr="002A3114">
        <w:rPr>
          <w:rFonts w:ascii="Arial" w:hAnsi="Arial" w:cs="Arial"/>
          <w:b/>
          <w:bCs/>
          <w:color w:val="000000"/>
        </w:rPr>
        <w:t>.</w:t>
      </w:r>
      <w:r w:rsidRPr="00BD0F94">
        <w:rPr>
          <w:rFonts w:ascii="Arial" w:hAnsi="Arial" w:cs="Arial"/>
          <w:color w:val="000000"/>
        </w:rPr>
        <w:t xml:space="preserve"> Additionally, current workforce data and policy-related information were accessed through reliable organisations' websites, including the World Health Organization, Skills for Care, and the Migration Observatory.</w:t>
      </w:r>
    </w:p>
    <w:p w14:paraId="62F26555" w14:textId="6F96EECE" w:rsidR="0034096B" w:rsidRPr="006E1825" w:rsidRDefault="0034096B" w:rsidP="00781FDE">
      <w:pPr>
        <w:jc w:val="left"/>
        <w:rPr>
          <w:rFonts w:ascii="Arial" w:hAnsi="Arial" w:cs="Arial"/>
          <w:color w:val="EE0000"/>
        </w:rPr>
      </w:pPr>
      <w:r w:rsidRPr="00BD0F94">
        <w:rPr>
          <w:rFonts w:ascii="Arial" w:hAnsi="Arial" w:cs="Arial"/>
          <w:color w:val="000000"/>
        </w:rPr>
        <w:t xml:space="preserve">Several filters were used to increase the relevance of search results. These required giving priority to peer-reviewed sources, concentrating on UK-based studies when applicable, and </w:t>
      </w:r>
      <w:r w:rsidRPr="00BD0F94">
        <w:rPr>
          <w:rFonts w:ascii="Arial" w:hAnsi="Arial" w:cs="Arial"/>
          <w:color w:val="000000"/>
        </w:rPr>
        <w:lastRenderedPageBreak/>
        <w:t>restricting results to publications from the last 10</w:t>
      </w:r>
      <w:r w:rsidR="00FE1947">
        <w:rPr>
          <w:rFonts w:ascii="Arial" w:hAnsi="Arial" w:cs="Arial"/>
          <w:color w:val="000000"/>
        </w:rPr>
        <w:t xml:space="preserve"> years</w:t>
      </w:r>
      <w:r w:rsidRPr="00BD0F94">
        <w:rPr>
          <w:rFonts w:ascii="Arial" w:hAnsi="Arial" w:cs="Arial"/>
          <w:color w:val="000000"/>
        </w:rPr>
        <w:t>. This guaranteed that the information utilised was up-to-date, trustworthy, and relevant to the subject of the research being conducted</w:t>
      </w:r>
      <w:r w:rsidR="00183D7B">
        <w:rPr>
          <w:rFonts w:ascii="Arial" w:hAnsi="Arial" w:cs="Arial"/>
          <w:color w:val="000000"/>
        </w:rPr>
        <w:t xml:space="preserve">, </w:t>
      </w:r>
      <w:r w:rsidR="00781FDE" w:rsidRPr="00781FDE">
        <w:rPr>
          <w:rFonts w:ascii="Arial" w:hAnsi="Arial" w:cs="Arial"/>
          <w:color w:val="000000"/>
        </w:rPr>
        <w:t>consistent with the use of a structured and systematic search process</w:t>
      </w:r>
      <w:r w:rsidR="00C84787">
        <w:rPr>
          <w:rFonts w:ascii="Arial" w:hAnsi="Arial" w:cs="Arial"/>
          <w:color w:val="000000"/>
        </w:rPr>
        <w:t>.</w:t>
      </w:r>
      <w:r w:rsidRPr="00781FDE">
        <w:rPr>
          <w:rFonts w:ascii="Arial" w:hAnsi="Arial" w:cs="Arial"/>
          <w:color w:val="000000"/>
        </w:rPr>
        <w:br/>
      </w:r>
      <w:r w:rsidRPr="00BD0F94">
        <w:rPr>
          <w:rFonts w:ascii="Arial" w:hAnsi="Arial" w:cs="Arial"/>
          <w:color w:val="000000"/>
        </w:rPr>
        <w:br/>
      </w:r>
      <w:r w:rsidR="00345B26" w:rsidRPr="00E7423F">
        <w:rPr>
          <w:rFonts w:ascii="Arial" w:hAnsi="Arial" w:cs="Arial"/>
          <w:color w:val="000000"/>
        </w:rPr>
        <w:t xml:space="preserve">In order to enhance the quality of the results, keywords and search combinations were adjusted throughout the search process. Boolean operators were used to add or change additional terms when initial searches generated too many or irrelevant results. This continuous approach improved the relevance and quality of the literature obtained, ensuring that only the most appropriate and reliable sources were included in the review </w:t>
      </w:r>
      <w:r w:rsidR="00345B26" w:rsidRPr="006E1825">
        <w:rPr>
          <w:rFonts w:ascii="Arial" w:hAnsi="Arial" w:cs="Arial"/>
          <w:color w:val="EE0000"/>
        </w:rPr>
        <w:t xml:space="preserve">(Aveyard </w:t>
      </w:r>
      <w:r w:rsidR="00345B26" w:rsidRPr="006E1825">
        <w:rPr>
          <w:rFonts w:ascii="Arial" w:hAnsi="Arial" w:cs="Arial"/>
          <w:i/>
          <w:iCs/>
          <w:color w:val="EE0000"/>
        </w:rPr>
        <w:t>et al.,</w:t>
      </w:r>
      <w:r w:rsidR="00345B26" w:rsidRPr="006E1825">
        <w:rPr>
          <w:rFonts w:ascii="Arial" w:hAnsi="Arial" w:cs="Arial"/>
          <w:color w:val="EE0000"/>
        </w:rPr>
        <w:t xml:space="preserve"> 2023).</w:t>
      </w:r>
    </w:p>
    <w:p w14:paraId="37C188C4" w14:textId="1B163E7A" w:rsidR="0039665A" w:rsidRPr="006B12D2" w:rsidRDefault="0067590A" w:rsidP="0039665A">
      <w:pPr>
        <w:pStyle w:val="Heading2"/>
        <w:tabs>
          <w:tab w:val="num" w:pos="1440"/>
        </w:tabs>
        <w:jc w:val="left"/>
        <w:rPr>
          <w:rFonts w:ascii="Arial" w:hAnsi="Arial" w:cs="Arial"/>
          <w:color w:val="000000" w:themeColor="text1"/>
          <w:sz w:val="28"/>
          <w:szCs w:val="28"/>
        </w:rPr>
      </w:pPr>
      <w:r w:rsidRPr="006B12D2">
        <w:rPr>
          <w:rFonts w:ascii="Arial" w:hAnsi="Arial" w:cs="Arial"/>
          <w:color w:val="000000" w:themeColor="text1"/>
          <w:sz w:val="28"/>
          <w:szCs w:val="28"/>
        </w:rPr>
        <w:t>3.4</w:t>
      </w:r>
      <w:r w:rsidR="00BF5CD4">
        <w:rPr>
          <w:rFonts w:ascii="Arial" w:hAnsi="Arial" w:cs="Arial"/>
          <w:color w:val="000000" w:themeColor="text1"/>
          <w:sz w:val="28"/>
          <w:szCs w:val="28"/>
        </w:rPr>
        <w:t xml:space="preserve"> -</w:t>
      </w:r>
      <w:r w:rsidR="006B5511" w:rsidRPr="006B12D2">
        <w:rPr>
          <w:rFonts w:ascii="Arial" w:hAnsi="Arial" w:cs="Arial"/>
          <w:color w:val="000000" w:themeColor="text1"/>
          <w:sz w:val="28"/>
          <w:szCs w:val="28"/>
        </w:rPr>
        <w:t xml:space="preserve">Research Validation </w:t>
      </w:r>
    </w:p>
    <w:p w14:paraId="125D4BCF" w14:textId="6A50C5CF" w:rsidR="00D000FC" w:rsidRPr="0039665A" w:rsidRDefault="00DA5EF5" w:rsidP="0039665A">
      <w:pPr>
        <w:pStyle w:val="Heading2"/>
        <w:tabs>
          <w:tab w:val="num" w:pos="1440"/>
        </w:tabs>
        <w:jc w:val="left"/>
        <w:rPr>
          <w:rFonts w:ascii="Arial" w:hAnsi="Arial" w:cs="Arial"/>
          <w:b/>
          <w:bCs/>
          <w:color w:val="000000" w:themeColor="text1"/>
          <w:sz w:val="28"/>
          <w:szCs w:val="28"/>
        </w:rPr>
      </w:pPr>
      <w:r w:rsidRPr="00AB50A1">
        <w:rPr>
          <w:rFonts w:ascii="Arial" w:hAnsi="Arial" w:cs="Arial"/>
          <w:color w:val="000000"/>
          <w:sz w:val="22"/>
          <w:szCs w:val="22"/>
        </w:rPr>
        <w:t xml:space="preserve">A comprehensive validation method was implemented to ensure that the sources included in the research were relevant, </w:t>
      </w:r>
      <w:r w:rsidR="00470314">
        <w:rPr>
          <w:rFonts w:ascii="Arial" w:hAnsi="Arial" w:cs="Arial"/>
          <w:color w:val="000000"/>
          <w:sz w:val="22"/>
          <w:szCs w:val="22"/>
        </w:rPr>
        <w:t>credible</w:t>
      </w:r>
      <w:r w:rsidRPr="00AB50A1">
        <w:rPr>
          <w:rFonts w:ascii="Arial" w:hAnsi="Arial" w:cs="Arial"/>
          <w:color w:val="000000"/>
          <w:sz w:val="22"/>
          <w:szCs w:val="22"/>
        </w:rPr>
        <w:t xml:space="preserve"> and suitable for addressing the research question. Initially, articles were scanned by reading the title, abstract, introduction, and conclusion to see if they were on migrant workers, adult social care, workforce sustainability, or UK migration policy. This enabled a number of potentially relevant sources to be </w:t>
      </w:r>
      <w:r w:rsidR="00E35CC8" w:rsidRPr="0022785D">
        <w:rPr>
          <w:rFonts w:ascii="Arial" w:hAnsi="Arial" w:cs="Arial"/>
          <w:color w:val="000000"/>
          <w:sz w:val="22"/>
          <w:szCs w:val="22"/>
        </w:rPr>
        <w:t>identified efficiently before a more detailed evaluation was undertaken.</w:t>
      </w:r>
    </w:p>
    <w:p w14:paraId="02582DB4" w14:textId="326C428A" w:rsidR="00100CCA" w:rsidRDefault="00F40611" w:rsidP="003C658F">
      <w:pPr>
        <w:pStyle w:val="NormalWeb"/>
        <w:spacing w:line="360" w:lineRule="auto"/>
        <w:rPr>
          <w:rFonts w:ascii="Arial" w:hAnsi="Arial" w:cs="Arial"/>
          <w:color w:val="EE0000"/>
          <w:sz w:val="22"/>
          <w:szCs w:val="22"/>
        </w:rPr>
      </w:pPr>
      <w:r w:rsidRPr="00AB50A1">
        <w:rPr>
          <w:rFonts w:ascii="Arial" w:hAnsi="Arial" w:cs="Arial"/>
          <w:color w:val="000000"/>
          <w:sz w:val="22"/>
          <w:szCs w:val="22"/>
        </w:rPr>
        <w:t>To evaluate the quality of selected literature, the CRAAP test</w:t>
      </w:r>
      <w:r w:rsidR="00C928FD">
        <w:rPr>
          <w:rFonts w:ascii="Arial" w:hAnsi="Arial" w:cs="Arial"/>
          <w:color w:val="000000"/>
          <w:sz w:val="22"/>
          <w:szCs w:val="22"/>
        </w:rPr>
        <w:t xml:space="preserve"> (Fig 3)</w:t>
      </w:r>
      <w:r w:rsidRPr="00AB50A1">
        <w:rPr>
          <w:rFonts w:ascii="Arial" w:hAnsi="Arial" w:cs="Arial"/>
          <w:color w:val="000000"/>
          <w:sz w:val="22"/>
          <w:szCs w:val="22"/>
        </w:rPr>
        <w:t xml:space="preserve"> (Currency, Relevance, Authority, Accuracy, and Purpose) was used as a checklist for critical evaluation</w:t>
      </w:r>
      <w:r w:rsidR="0091651F">
        <w:rPr>
          <w:rFonts w:ascii="Arial" w:hAnsi="Arial" w:cs="Arial"/>
          <w:color w:val="000000"/>
          <w:sz w:val="22"/>
          <w:szCs w:val="22"/>
        </w:rPr>
        <w:t xml:space="preserve"> </w:t>
      </w:r>
      <w:r w:rsidR="0091651F" w:rsidRPr="003C658F">
        <w:rPr>
          <w:rFonts w:ascii="Arial" w:hAnsi="Arial" w:cs="Arial"/>
          <w:color w:val="EE0000"/>
          <w:sz w:val="22"/>
          <w:szCs w:val="22"/>
        </w:rPr>
        <w:t>(Birmingham City University, 2025)</w:t>
      </w:r>
      <w:r w:rsidRPr="003C658F">
        <w:rPr>
          <w:rFonts w:ascii="Arial" w:hAnsi="Arial" w:cs="Arial"/>
          <w:color w:val="EE0000"/>
          <w:sz w:val="22"/>
          <w:szCs w:val="22"/>
        </w:rPr>
        <w:t xml:space="preserve">. </w:t>
      </w:r>
      <w:r w:rsidRPr="00AB50A1">
        <w:rPr>
          <w:rFonts w:ascii="Arial" w:hAnsi="Arial" w:cs="Arial"/>
          <w:color w:val="000000"/>
          <w:sz w:val="22"/>
          <w:szCs w:val="22"/>
        </w:rPr>
        <w:t>While not all the sources met all five criteria equally, sources with great currency, relevance, and authority received preference. Peer-reviewed journal articles, government publications, and reports published by reputable institutions received high priority.</w:t>
      </w:r>
      <w:r w:rsidR="00012166">
        <w:rPr>
          <w:rFonts w:ascii="Arial" w:hAnsi="Arial" w:cs="Arial"/>
          <w:color w:val="000000"/>
          <w:sz w:val="22"/>
          <w:szCs w:val="22"/>
        </w:rPr>
        <w:t xml:space="preserve"> </w:t>
      </w:r>
    </w:p>
    <w:p w14:paraId="7B2CF099" w14:textId="77777777" w:rsidR="00601F59" w:rsidRDefault="006E5F40" w:rsidP="00601F59">
      <w:pPr>
        <w:pStyle w:val="NormalWeb"/>
        <w:spacing w:line="360" w:lineRule="auto"/>
        <w:jc w:val="center"/>
        <w:rPr>
          <w:rFonts w:ascii="Arial" w:hAnsi="Arial" w:cs="Arial"/>
          <w:color w:val="000000" w:themeColor="text1"/>
          <w:sz w:val="22"/>
          <w:szCs w:val="22"/>
        </w:rPr>
      </w:pPr>
      <w:r w:rsidRPr="006E5F40">
        <w:rPr>
          <w:rFonts w:ascii="Arial" w:hAnsi="Arial" w:cs="Arial"/>
          <w:noProof/>
          <w:color w:val="EE0000"/>
          <w:sz w:val="22"/>
          <w:szCs w:val="22"/>
        </w:rPr>
        <w:drawing>
          <wp:inline distT="0" distB="0" distL="0" distR="0" wp14:anchorId="373F8FE9" wp14:editId="5FD7C1B1">
            <wp:extent cx="4399915" cy="1266092"/>
            <wp:effectExtent l="0" t="0" r="0" b="4445"/>
            <wp:docPr id="123783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38496" name=""/>
                    <pic:cNvPicPr/>
                  </pic:nvPicPr>
                  <pic:blipFill>
                    <a:blip r:embed="rId9"/>
                    <a:stretch>
                      <a:fillRect/>
                    </a:stretch>
                  </pic:blipFill>
                  <pic:spPr>
                    <a:xfrm>
                      <a:off x="0" y="0"/>
                      <a:ext cx="4518150" cy="1300114"/>
                    </a:xfrm>
                    <a:prstGeom prst="rect">
                      <a:avLst/>
                    </a:prstGeom>
                  </pic:spPr>
                </pic:pic>
              </a:graphicData>
            </a:graphic>
          </wp:inline>
        </w:drawing>
      </w:r>
    </w:p>
    <w:p w14:paraId="3FEF1821" w14:textId="3E19B476" w:rsidR="00C928FD" w:rsidRPr="00601F59" w:rsidRDefault="00E323C9" w:rsidP="006508D5">
      <w:pPr>
        <w:pStyle w:val="NormalWeb"/>
        <w:spacing w:line="360" w:lineRule="auto"/>
        <w:jc w:val="right"/>
        <w:rPr>
          <w:rFonts w:ascii="Arial" w:hAnsi="Arial" w:cs="Arial"/>
          <w:color w:val="000000" w:themeColor="text1"/>
          <w:sz w:val="22"/>
          <w:szCs w:val="22"/>
        </w:rPr>
      </w:pPr>
      <w:r w:rsidRPr="001E62ED">
        <w:rPr>
          <w:rFonts w:ascii="Arial" w:hAnsi="Arial" w:cs="Arial"/>
          <w:color w:val="000000" w:themeColor="text1"/>
          <w:sz w:val="22"/>
          <w:szCs w:val="22"/>
        </w:rPr>
        <w:t xml:space="preserve">Figure 3 </w:t>
      </w:r>
      <w:r w:rsidR="001E62ED" w:rsidRPr="001E62ED">
        <w:rPr>
          <w:rStyle w:val="Strong"/>
          <w:rFonts w:ascii="Arial" w:hAnsi="Arial" w:cs="Arial"/>
          <w:b w:val="0"/>
          <w:bCs w:val="0"/>
          <w:color w:val="000000"/>
          <w:sz w:val="22"/>
          <w:szCs w:val="22"/>
        </w:rPr>
        <w:t xml:space="preserve">(Birmingham City University Library, </w:t>
      </w:r>
      <w:r w:rsidR="00931EF8">
        <w:rPr>
          <w:rStyle w:val="Strong"/>
          <w:rFonts w:ascii="Arial" w:hAnsi="Arial" w:cs="Arial"/>
          <w:b w:val="0"/>
          <w:bCs w:val="0"/>
          <w:color w:val="000000"/>
          <w:sz w:val="22"/>
          <w:szCs w:val="22"/>
        </w:rPr>
        <w:t>2025</w:t>
      </w:r>
      <w:r w:rsidR="001E62ED" w:rsidRPr="001E62ED">
        <w:rPr>
          <w:rStyle w:val="Strong"/>
          <w:rFonts w:ascii="Arial" w:hAnsi="Arial" w:cs="Arial"/>
          <w:b w:val="0"/>
          <w:bCs w:val="0"/>
          <w:color w:val="000000"/>
          <w:sz w:val="22"/>
          <w:szCs w:val="22"/>
        </w:rPr>
        <w:t>)</w:t>
      </w:r>
    </w:p>
    <w:p w14:paraId="2ABC3449" w14:textId="46DEAF30" w:rsidR="007C10DA" w:rsidRPr="00AB50A1" w:rsidRDefault="00AB50A1" w:rsidP="00AB50A1">
      <w:pPr>
        <w:rPr>
          <w:rFonts w:ascii="Arial" w:hAnsi="Arial" w:cs="Arial"/>
        </w:rPr>
      </w:pPr>
      <w:r w:rsidRPr="00AB50A1">
        <w:rPr>
          <w:rFonts w:ascii="Arial" w:hAnsi="Arial" w:cs="Arial"/>
          <w:color w:val="000000"/>
        </w:rPr>
        <w:t xml:space="preserve">For example, Skills for Care reports were included because they give up-to-date workforce data and are widely recognised in the ASC industry. Materials with unidentified authors, </w:t>
      </w:r>
      <w:r w:rsidRPr="00AB50A1">
        <w:rPr>
          <w:rFonts w:ascii="Arial" w:hAnsi="Arial" w:cs="Arial"/>
          <w:color w:val="000000"/>
        </w:rPr>
        <w:lastRenderedPageBreak/>
        <w:t>insufficient evidence, or little relevance to the research issue were eliminated from the final review.</w:t>
      </w:r>
    </w:p>
    <w:p w14:paraId="60B1F4CC" w14:textId="698DE6A8" w:rsidR="0022701B" w:rsidRPr="006B12D2" w:rsidRDefault="00C21661" w:rsidP="0022701B">
      <w:pPr>
        <w:pStyle w:val="isselectedend"/>
        <w:rPr>
          <w:rFonts w:ascii="Arial" w:hAnsi="Arial" w:cs="Arial"/>
          <w:color w:val="000000" w:themeColor="text1"/>
          <w:sz w:val="28"/>
          <w:szCs w:val="28"/>
        </w:rPr>
      </w:pPr>
      <w:r w:rsidRPr="006B12D2">
        <w:rPr>
          <w:rStyle w:val="Heading2Char"/>
          <w:rFonts w:ascii="Arial" w:hAnsi="Arial" w:cs="Arial"/>
          <w:color w:val="000000" w:themeColor="text1"/>
          <w:sz w:val="28"/>
          <w:szCs w:val="28"/>
        </w:rPr>
        <w:t>3.5</w:t>
      </w:r>
      <w:r w:rsidR="006B5511" w:rsidRPr="006B12D2">
        <w:rPr>
          <w:rStyle w:val="Heading2Char"/>
          <w:rFonts w:ascii="Arial" w:hAnsi="Arial" w:cs="Arial"/>
          <w:color w:val="000000" w:themeColor="text1"/>
          <w:sz w:val="28"/>
          <w:szCs w:val="28"/>
        </w:rPr>
        <w:t xml:space="preserve">- Inclusion and Exclusion Criteria </w:t>
      </w:r>
    </w:p>
    <w:p w14:paraId="483A2075" w14:textId="2677AE16" w:rsidR="00AD5568" w:rsidRPr="007619C7" w:rsidRDefault="00AD5568" w:rsidP="007619C7">
      <w:pPr>
        <w:pStyle w:val="isselectedend"/>
        <w:spacing w:line="360" w:lineRule="auto"/>
        <w:rPr>
          <w:rFonts w:ascii="Arial" w:hAnsi="Arial" w:cs="Arial"/>
          <w:color w:val="000000"/>
          <w:sz w:val="22"/>
          <w:szCs w:val="22"/>
        </w:rPr>
      </w:pPr>
      <w:r w:rsidRPr="007619C7">
        <w:rPr>
          <w:rFonts w:ascii="Arial" w:hAnsi="Arial" w:cs="Arial"/>
          <w:color w:val="000000"/>
          <w:sz w:val="22"/>
          <w:szCs w:val="22"/>
        </w:rPr>
        <w:t>Clear inclusion and exclusion criteria were established to ensure that the literature reviewed remained relevant and of high quality. Peer-reviewed journal articles, government publications, policy documents, and workforce reports published within the last 10 years were included. Priority was given to UK-based research and literature focusing on migrant workers, adult social care, workforce sustainability, and migration policy. However, older sources were retained where they provided important theoretical foundations relevant to the research question.</w:t>
      </w:r>
    </w:p>
    <w:p w14:paraId="78FC11B3" w14:textId="77777777" w:rsidR="00AD5568" w:rsidRPr="007619C7" w:rsidRDefault="00AD5568" w:rsidP="007619C7">
      <w:pPr>
        <w:pStyle w:val="NormalWeb"/>
        <w:spacing w:line="360" w:lineRule="auto"/>
        <w:rPr>
          <w:rFonts w:ascii="Arial" w:hAnsi="Arial" w:cs="Arial"/>
          <w:color w:val="000000"/>
          <w:sz w:val="22"/>
          <w:szCs w:val="22"/>
        </w:rPr>
      </w:pPr>
      <w:r w:rsidRPr="007619C7">
        <w:rPr>
          <w:rFonts w:ascii="Arial" w:hAnsi="Arial" w:cs="Arial"/>
          <w:color w:val="000000"/>
          <w:sz w:val="22"/>
          <w:szCs w:val="22"/>
        </w:rPr>
        <w:t>Sources were excluded if they lacked academic credibility, provided insufficient supporting evidence, or were not directly relevant to the research topic. Opinion blogs, non-academic websites, duplicate publications, and non-English sources were also excluded. Applying these criteria strengthened the credibility, relevance, and overall focus of the literature reviewed.</w:t>
      </w:r>
    </w:p>
    <w:p w14:paraId="7800E003" w14:textId="57B4E908" w:rsidR="006B5511" w:rsidRPr="006B12D2" w:rsidRDefault="00C21661" w:rsidP="00997DA3">
      <w:pPr>
        <w:pStyle w:val="Heading2"/>
        <w:tabs>
          <w:tab w:val="num" w:pos="1440"/>
        </w:tabs>
        <w:jc w:val="left"/>
        <w:rPr>
          <w:rFonts w:ascii="Arial" w:hAnsi="Arial" w:cs="Arial"/>
          <w:color w:val="000000" w:themeColor="text1"/>
          <w:sz w:val="28"/>
          <w:szCs w:val="28"/>
        </w:rPr>
      </w:pPr>
      <w:r w:rsidRPr="006B12D2">
        <w:rPr>
          <w:rFonts w:ascii="Arial" w:hAnsi="Arial" w:cs="Arial"/>
          <w:color w:val="000000" w:themeColor="text1"/>
          <w:sz w:val="28"/>
          <w:szCs w:val="28"/>
        </w:rPr>
        <w:t>3.6</w:t>
      </w:r>
      <w:r w:rsidR="006B5511" w:rsidRPr="006B12D2">
        <w:rPr>
          <w:rFonts w:ascii="Arial" w:hAnsi="Arial" w:cs="Arial"/>
          <w:color w:val="000000" w:themeColor="text1"/>
          <w:sz w:val="28"/>
          <w:szCs w:val="28"/>
        </w:rPr>
        <w:t xml:space="preserve">– Analysing Research </w:t>
      </w:r>
    </w:p>
    <w:p w14:paraId="177A75D4" w14:textId="4BF57357" w:rsidR="008C4FCE" w:rsidRPr="009B356E" w:rsidRDefault="008C4FCE" w:rsidP="009B356E">
      <w:pPr>
        <w:pStyle w:val="isselectedend"/>
        <w:spacing w:line="360" w:lineRule="auto"/>
        <w:rPr>
          <w:rFonts w:ascii="Arial" w:hAnsi="Arial" w:cs="Arial"/>
          <w:color w:val="000000"/>
          <w:sz w:val="22"/>
          <w:szCs w:val="22"/>
        </w:rPr>
      </w:pPr>
      <w:r w:rsidRPr="009B356E">
        <w:rPr>
          <w:rFonts w:ascii="Arial" w:hAnsi="Arial" w:cs="Arial"/>
          <w:color w:val="000000"/>
          <w:sz w:val="22"/>
          <w:szCs w:val="22"/>
        </w:rPr>
        <w:t xml:space="preserve">The selected literature was analysed using a thematic coding approach to identify patterns and recurring ideas relevant to the research question. </w:t>
      </w:r>
      <w:r w:rsidRPr="009B356E">
        <w:rPr>
          <w:rFonts w:ascii="Arial" w:hAnsi="Arial" w:cs="Arial"/>
          <w:color w:val="EE0000"/>
          <w:sz w:val="22"/>
          <w:szCs w:val="22"/>
        </w:rPr>
        <w:t>Braun and Clarke</w:t>
      </w:r>
      <w:r w:rsidR="00B56B2D">
        <w:rPr>
          <w:rFonts w:ascii="Arial" w:hAnsi="Arial" w:cs="Arial"/>
          <w:color w:val="EE0000"/>
          <w:sz w:val="22"/>
          <w:szCs w:val="22"/>
        </w:rPr>
        <w:t>’s</w:t>
      </w:r>
      <w:r w:rsidR="00FD356D">
        <w:rPr>
          <w:rFonts w:ascii="Arial" w:hAnsi="Arial" w:cs="Arial"/>
          <w:color w:val="EE0000"/>
          <w:sz w:val="22"/>
          <w:szCs w:val="22"/>
        </w:rPr>
        <w:t>,</w:t>
      </w:r>
      <w:r w:rsidRPr="009B356E">
        <w:rPr>
          <w:rFonts w:ascii="Arial" w:hAnsi="Arial" w:cs="Arial"/>
          <w:color w:val="EE0000"/>
          <w:sz w:val="22"/>
          <w:szCs w:val="22"/>
        </w:rPr>
        <w:t xml:space="preserve"> (2006) </w:t>
      </w:r>
      <w:r w:rsidRPr="009B356E">
        <w:rPr>
          <w:rFonts w:ascii="Arial" w:hAnsi="Arial" w:cs="Arial"/>
          <w:color w:val="000000"/>
          <w:sz w:val="22"/>
          <w:szCs w:val="22"/>
        </w:rPr>
        <w:t>thematic analysis framework guided this process, allowing data to be organised and examined systematically. Initially, articles were reviewed carefully to identify repeated themes, issues, and keywords relating to migrant workers, adult social care, workforce sustainability, and migration policy. These recurring ideas were recorded as initial codes.</w:t>
      </w:r>
    </w:p>
    <w:p w14:paraId="50070EEC" w14:textId="77777777" w:rsidR="008C4FCE" w:rsidRPr="009B356E" w:rsidRDefault="008C4FCE" w:rsidP="009B356E">
      <w:pPr>
        <w:pStyle w:val="isselectedend"/>
        <w:spacing w:line="360" w:lineRule="auto"/>
        <w:rPr>
          <w:rFonts w:ascii="Arial" w:hAnsi="Arial" w:cs="Arial"/>
          <w:color w:val="000000"/>
          <w:sz w:val="22"/>
          <w:szCs w:val="22"/>
        </w:rPr>
      </w:pPr>
      <w:r w:rsidRPr="009B356E">
        <w:rPr>
          <w:rFonts w:ascii="Arial" w:hAnsi="Arial" w:cs="Arial"/>
          <w:color w:val="000000"/>
          <w:sz w:val="22"/>
          <w:szCs w:val="22"/>
        </w:rPr>
        <w:t>Following initial coding, related codes were grouped together to form broader themes aligned with the research aim and objectives. Throughout the process, themes such as workforce shortages, migration policy, employment conditions, and workforce sustainability emerged.</w:t>
      </w:r>
    </w:p>
    <w:p w14:paraId="39D44375" w14:textId="77777777" w:rsidR="008C4FCE" w:rsidRPr="009B356E" w:rsidRDefault="008C4FCE" w:rsidP="009B356E">
      <w:pPr>
        <w:pStyle w:val="NormalWeb"/>
        <w:spacing w:line="360" w:lineRule="auto"/>
        <w:rPr>
          <w:rFonts w:ascii="Arial" w:hAnsi="Arial" w:cs="Arial"/>
          <w:color w:val="000000"/>
          <w:sz w:val="22"/>
          <w:szCs w:val="22"/>
        </w:rPr>
      </w:pPr>
      <w:r w:rsidRPr="009B356E">
        <w:rPr>
          <w:rFonts w:ascii="Arial" w:hAnsi="Arial" w:cs="Arial"/>
          <w:color w:val="000000"/>
          <w:sz w:val="22"/>
          <w:szCs w:val="22"/>
        </w:rPr>
        <w:t>A source tracking table and coding spreadsheet were used to document authors, key findings, and developing themes to support organisation and transparency. Additionally, colour coding was applied to group related concepts and monitor theme development, providing a structured foundation for the findings presented in Chapter 4.</w:t>
      </w:r>
    </w:p>
    <w:p w14:paraId="2B5C6A6D" w14:textId="525CBD35" w:rsidR="006B5511" w:rsidRPr="006B12D2" w:rsidRDefault="00C21661" w:rsidP="00997DA3">
      <w:pPr>
        <w:pStyle w:val="Heading2"/>
        <w:tabs>
          <w:tab w:val="num" w:pos="1440"/>
        </w:tabs>
        <w:rPr>
          <w:rFonts w:ascii="Arial" w:hAnsi="Arial" w:cs="Arial"/>
          <w:color w:val="000000" w:themeColor="text1"/>
          <w:sz w:val="28"/>
          <w:szCs w:val="28"/>
        </w:rPr>
      </w:pPr>
      <w:r w:rsidRPr="006B12D2">
        <w:rPr>
          <w:rFonts w:ascii="Arial" w:hAnsi="Arial" w:cs="Arial"/>
          <w:color w:val="000000" w:themeColor="text1"/>
          <w:sz w:val="28"/>
          <w:szCs w:val="28"/>
        </w:rPr>
        <w:lastRenderedPageBreak/>
        <w:t>3.7</w:t>
      </w:r>
      <w:r w:rsidR="006B5511" w:rsidRPr="006B12D2">
        <w:rPr>
          <w:rFonts w:ascii="Arial" w:hAnsi="Arial" w:cs="Arial"/>
          <w:color w:val="000000" w:themeColor="text1"/>
          <w:sz w:val="28"/>
          <w:szCs w:val="28"/>
        </w:rPr>
        <w:t xml:space="preserve">– Ethical Considerations </w:t>
      </w:r>
    </w:p>
    <w:p w14:paraId="7B42C69C" w14:textId="3D8D5819" w:rsidR="003934F6" w:rsidRPr="00BB4A34" w:rsidRDefault="003934F6" w:rsidP="00850024">
      <w:pPr>
        <w:pStyle w:val="isselectedend"/>
        <w:spacing w:line="360" w:lineRule="auto"/>
        <w:rPr>
          <w:rFonts w:ascii="Arial" w:hAnsi="Arial" w:cs="Arial"/>
          <w:color w:val="EE0000"/>
          <w:sz w:val="22"/>
          <w:szCs w:val="22"/>
        </w:rPr>
      </w:pPr>
      <w:r w:rsidRPr="00850024">
        <w:rPr>
          <w:rFonts w:ascii="Arial" w:hAnsi="Arial" w:cs="Arial"/>
          <w:color w:val="000000"/>
          <w:sz w:val="22"/>
          <w:szCs w:val="22"/>
        </w:rPr>
        <w:t>This research was entirely based on secondary sources, meaning that no primary data gathering involving human participants was conducted. As a result, ethical considerations relating to informed consent, confidentiality, and participant protection were not applicable. However, ethical responsibility remained important throughout the research process</w:t>
      </w:r>
      <w:r w:rsidR="00BB4A34">
        <w:rPr>
          <w:rFonts w:ascii="Arial" w:hAnsi="Arial" w:cs="Arial"/>
          <w:color w:val="000000"/>
          <w:sz w:val="22"/>
          <w:szCs w:val="22"/>
        </w:rPr>
        <w:t xml:space="preserve"> </w:t>
      </w:r>
      <w:r w:rsidR="00BB4A34" w:rsidRPr="00BB4A34">
        <w:rPr>
          <w:rFonts w:ascii="Arial" w:hAnsi="Arial" w:cs="Arial"/>
          <w:color w:val="EE0000"/>
          <w:sz w:val="22"/>
          <w:szCs w:val="22"/>
        </w:rPr>
        <w:t>(UK Data Service, 2026)</w:t>
      </w:r>
      <w:r w:rsidRPr="00BB4A34">
        <w:rPr>
          <w:rFonts w:ascii="Arial" w:hAnsi="Arial" w:cs="Arial"/>
          <w:color w:val="EE0000"/>
          <w:sz w:val="22"/>
          <w:szCs w:val="22"/>
        </w:rPr>
        <w:t>.</w:t>
      </w:r>
    </w:p>
    <w:p w14:paraId="4BCA4C67" w14:textId="77777777" w:rsidR="003934F6" w:rsidRPr="00850024" w:rsidRDefault="003934F6" w:rsidP="00850024">
      <w:pPr>
        <w:pStyle w:val="NormalWeb"/>
        <w:spacing w:line="360" w:lineRule="auto"/>
        <w:rPr>
          <w:rFonts w:ascii="Arial" w:hAnsi="Arial" w:cs="Arial"/>
          <w:color w:val="000000"/>
          <w:sz w:val="22"/>
          <w:szCs w:val="22"/>
        </w:rPr>
      </w:pPr>
      <w:r w:rsidRPr="00850024">
        <w:rPr>
          <w:rFonts w:ascii="Arial" w:hAnsi="Arial" w:cs="Arial"/>
          <w:color w:val="000000"/>
          <w:sz w:val="22"/>
          <w:szCs w:val="22"/>
        </w:rPr>
        <w:t>Academic integrity was maintained by accurately citing all sources, consistently applying Harvard referencing, and avoiding plagiarism or misrepresentation of evidence. Care was taken to ensure that the literature was interpreted and presented fairly, particularly when discussing migration and workforce policy, where differing viewpoints exist. Furthermore, sources were selected based on relevance and credibility rather than personal preferences, contributing to greater transparency, reduced bias, and supporting the overall reliability of the research findings.</w:t>
      </w:r>
    </w:p>
    <w:p w14:paraId="799931A1" w14:textId="4AD38A45" w:rsidR="006B5511" w:rsidRPr="006B12D2" w:rsidRDefault="006B5511" w:rsidP="006B5511">
      <w:pPr>
        <w:pStyle w:val="Heading2"/>
        <w:rPr>
          <w:rFonts w:ascii="Arial" w:hAnsi="Arial" w:cs="Arial"/>
          <w:color w:val="000000" w:themeColor="text1"/>
          <w:sz w:val="28"/>
          <w:szCs w:val="28"/>
        </w:rPr>
      </w:pPr>
      <w:r w:rsidRPr="006B12D2">
        <w:rPr>
          <w:rFonts w:ascii="Arial" w:hAnsi="Arial" w:cs="Arial"/>
          <w:color w:val="000000" w:themeColor="text1"/>
          <w:sz w:val="28"/>
          <w:szCs w:val="28"/>
        </w:rPr>
        <w:t xml:space="preserve">3.8 – Chapter Conclusion </w:t>
      </w:r>
    </w:p>
    <w:p w14:paraId="7AD3A421" w14:textId="77777777" w:rsidR="00A51DEF" w:rsidRPr="00C544C0" w:rsidRDefault="00A51DEF" w:rsidP="00C544C0">
      <w:pPr>
        <w:pStyle w:val="isselectedend"/>
        <w:spacing w:line="360" w:lineRule="auto"/>
        <w:rPr>
          <w:rFonts w:ascii="Arial" w:hAnsi="Arial" w:cs="Arial"/>
          <w:color w:val="000000"/>
          <w:sz w:val="22"/>
          <w:szCs w:val="22"/>
        </w:rPr>
      </w:pPr>
      <w:r w:rsidRPr="00C544C0">
        <w:rPr>
          <w:rFonts w:ascii="Arial" w:hAnsi="Arial" w:cs="Arial"/>
          <w:color w:val="000000"/>
          <w:sz w:val="22"/>
          <w:szCs w:val="22"/>
        </w:rPr>
        <w:t xml:space="preserve">This chapter explained the methodology used to identify, evaluate, and analyse literature on migrant workers and workforce sustainability in the UK ASC sector. A structured search approach, together with inclusion and exclusion criteria, enabled the systematic selection of relevant and credible sources. Research validation tools, such as the CRAAP test, improved the quality of the literature reviewed, while </w:t>
      </w:r>
      <w:r w:rsidRPr="00DE226A">
        <w:rPr>
          <w:rFonts w:ascii="Arial" w:hAnsi="Arial" w:cs="Arial"/>
          <w:color w:val="EE0000"/>
          <w:sz w:val="22"/>
          <w:szCs w:val="22"/>
        </w:rPr>
        <w:t xml:space="preserve">Braun and Clarke’s (2006) </w:t>
      </w:r>
      <w:r w:rsidRPr="00C544C0">
        <w:rPr>
          <w:rFonts w:ascii="Arial" w:hAnsi="Arial" w:cs="Arial"/>
          <w:color w:val="000000"/>
          <w:sz w:val="22"/>
          <w:szCs w:val="22"/>
        </w:rPr>
        <w:t>thematic analysis framework provided an organised approach to arranging findings. These strategies worked together to ensure transparency and consistency throughout the research process.</w:t>
      </w:r>
    </w:p>
    <w:p w14:paraId="244C7A94" w14:textId="2506A5EE" w:rsidR="00A51DEF" w:rsidRDefault="00A51DEF" w:rsidP="00C544C0">
      <w:pPr>
        <w:pStyle w:val="NormalWeb"/>
        <w:spacing w:line="360" w:lineRule="auto"/>
        <w:rPr>
          <w:rFonts w:ascii="Arial" w:hAnsi="Arial" w:cs="Arial"/>
          <w:color w:val="000000"/>
          <w:sz w:val="22"/>
          <w:szCs w:val="22"/>
        </w:rPr>
      </w:pPr>
      <w:r w:rsidRPr="00C544C0">
        <w:rPr>
          <w:rFonts w:ascii="Arial" w:hAnsi="Arial" w:cs="Arial"/>
          <w:color w:val="000000"/>
          <w:sz w:val="22"/>
          <w:szCs w:val="22"/>
        </w:rPr>
        <w:t>Chapter 4 will present the results of this analysis, organised into key themes and explored in relation to the research question and research objectives.</w:t>
      </w:r>
      <w:r w:rsidR="00727CC9">
        <w:rPr>
          <w:rFonts w:ascii="Arial" w:hAnsi="Arial" w:cs="Arial"/>
          <w:color w:val="000000"/>
          <w:sz w:val="22"/>
          <w:szCs w:val="22"/>
        </w:rPr>
        <w:t xml:space="preserve"> </w:t>
      </w:r>
    </w:p>
    <w:p w14:paraId="1BCAF500" w14:textId="77777777" w:rsidR="00C267E2" w:rsidRDefault="00C267E2" w:rsidP="00C544C0">
      <w:pPr>
        <w:pStyle w:val="NormalWeb"/>
        <w:spacing w:line="360" w:lineRule="auto"/>
        <w:rPr>
          <w:rFonts w:ascii="Arial" w:hAnsi="Arial" w:cs="Arial"/>
          <w:color w:val="000000"/>
          <w:sz w:val="22"/>
          <w:szCs w:val="22"/>
        </w:rPr>
      </w:pPr>
    </w:p>
    <w:p w14:paraId="3CB469EB" w14:textId="306C681D" w:rsidR="00C267E2" w:rsidRPr="005A2BBC" w:rsidRDefault="00C267E2" w:rsidP="00C267E2">
      <w:pPr>
        <w:pStyle w:val="Heading1"/>
        <w:rPr>
          <w:rFonts w:ascii="Arial" w:hAnsi="Arial" w:cs="Arial"/>
          <w:b/>
          <w:bCs/>
          <w:color w:val="000000" w:themeColor="text1"/>
          <w:sz w:val="32"/>
          <w:szCs w:val="32"/>
        </w:rPr>
      </w:pPr>
      <w:r w:rsidRPr="005A2BBC">
        <w:rPr>
          <w:rFonts w:ascii="Arial" w:hAnsi="Arial" w:cs="Arial"/>
          <w:b/>
          <w:bCs/>
          <w:color w:val="000000" w:themeColor="text1"/>
          <w:sz w:val="32"/>
          <w:szCs w:val="32"/>
        </w:rPr>
        <w:lastRenderedPageBreak/>
        <w:t xml:space="preserve">CHAPTER 4 – Findings and Discussion </w:t>
      </w:r>
    </w:p>
    <w:p w14:paraId="7805B462" w14:textId="26EEDFBF" w:rsidR="00C267E2" w:rsidRPr="006B12D2" w:rsidRDefault="00C267E2" w:rsidP="005E7D57">
      <w:pPr>
        <w:pStyle w:val="Heading2"/>
        <w:jc w:val="left"/>
        <w:rPr>
          <w:rFonts w:ascii="Arial" w:hAnsi="Arial" w:cs="Arial"/>
          <w:color w:val="000000" w:themeColor="text1"/>
          <w:sz w:val="28"/>
          <w:szCs w:val="28"/>
        </w:rPr>
      </w:pPr>
      <w:r w:rsidRPr="006B12D2">
        <w:rPr>
          <w:rFonts w:ascii="Arial" w:hAnsi="Arial" w:cs="Arial"/>
          <w:color w:val="000000" w:themeColor="text1"/>
          <w:sz w:val="28"/>
          <w:szCs w:val="28"/>
        </w:rPr>
        <w:t xml:space="preserve">4.1 – Introduction </w:t>
      </w:r>
    </w:p>
    <w:p w14:paraId="64A877DE" w14:textId="54EB3CA1" w:rsidR="00A450CD" w:rsidRPr="00EE4003" w:rsidRDefault="00B065CA" w:rsidP="00EE4003">
      <w:pPr>
        <w:pStyle w:val="Heading2"/>
        <w:jc w:val="left"/>
        <w:rPr>
          <w:rFonts w:ascii="Arial" w:hAnsi="Arial" w:cs="Arial"/>
          <w:color w:val="000000"/>
          <w:sz w:val="22"/>
          <w:szCs w:val="22"/>
        </w:rPr>
      </w:pPr>
      <w:r w:rsidRPr="00EE4003">
        <w:rPr>
          <w:rFonts w:ascii="Arial" w:hAnsi="Arial" w:cs="Arial"/>
          <w:color w:val="000000"/>
          <w:sz w:val="22"/>
          <w:szCs w:val="22"/>
        </w:rPr>
        <w:t xml:space="preserve">This chapter presents and examines the findings of a thematic analysis of literature on the role of migrant workers in sustaining the UK ASC workforce. Applying the methodology described in Chapter 3, key patterns and recurring ideas were identified and organised into three main categories, workforce shortages and reliance on migrant workers, migration policy and international recruitment, and migrant worker experiences, wellbeing, and workforce sustainability. </w:t>
      </w:r>
      <w:r w:rsidR="00E9042F" w:rsidRPr="00EE4003">
        <w:rPr>
          <w:rFonts w:ascii="Arial" w:hAnsi="Arial" w:cs="Arial"/>
          <w:color w:val="000000"/>
          <w:sz w:val="22"/>
          <w:szCs w:val="22"/>
        </w:rPr>
        <w:t>T</w:t>
      </w:r>
      <w:r w:rsidR="00C63D39" w:rsidRPr="00EE4003">
        <w:rPr>
          <w:rFonts w:ascii="Arial" w:hAnsi="Arial" w:cs="Arial"/>
          <w:color w:val="000000"/>
          <w:sz w:val="22"/>
          <w:szCs w:val="22"/>
        </w:rPr>
        <w:t xml:space="preserve">his </w:t>
      </w:r>
      <w:r w:rsidR="00E9042F" w:rsidRPr="00EE4003">
        <w:rPr>
          <w:rFonts w:ascii="Arial" w:hAnsi="Arial" w:cs="Arial"/>
          <w:color w:val="000000"/>
          <w:sz w:val="22"/>
          <w:szCs w:val="22"/>
        </w:rPr>
        <w:t>chapter critically analyses these themes and compares findings with wider literature, policy documents, and workforce reports to evaluate the contribution of migrant workers to the UK ASC sector.</w:t>
      </w:r>
    </w:p>
    <w:p w14:paraId="76CC989F" w14:textId="77777777" w:rsidR="00060108" w:rsidRPr="006B12D2" w:rsidRDefault="00C267E2" w:rsidP="00060108">
      <w:pPr>
        <w:pStyle w:val="Heading2"/>
        <w:jc w:val="left"/>
        <w:rPr>
          <w:rFonts w:ascii="Arial" w:hAnsi="Arial" w:cs="Arial"/>
          <w:sz w:val="28"/>
          <w:szCs w:val="28"/>
        </w:rPr>
      </w:pPr>
      <w:r w:rsidRPr="006B12D2">
        <w:rPr>
          <w:rFonts w:ascii="Arial" w:hAnsi="Arial" w:cs="Arial"/>
          <w:sz w:val="28"/>
          <w:szCs w:val="28"/>
        </w:rPr>
        <w:t xml:space="preserve">4.2 – Thematic Analysis </w:t>
      </w:r>
    </w:p>
    <w:p w14:paraId="057EE284" w14:textId="0B592AD3" w:rsidR="0091360F" w:rsidRPr="00060108" w:rsidRDefault="00AE4584" w:rsidP="00060108">
      <w:pPr>
        <w:pStyle w:val="Heading2"/>
        <w:jc w:val="left"/>
        <w:rPr>
          <w:rFonts w:ascii="Arial" w:hAnsi="Arial" w:cs="Arial"/>
          <w:b/>
          <w:bCs/>
          <w:sz w:val="28"/>
          <w:szCs w:val="28"/>
        </w:rPr>
      </w:pPr>
      <w:r w:rsidRPr="00D36BA0">
        <w:rPr>
          <w:rFonts w:ascii="Arial" w:hAnsi="Arial" w:cs="Arial"/>
          <w:color w:val="000000"/>
          <w:sz w:val="22"/>
          <w:szCs w:val="22"/>
        </w:rPr>
        <w:t xml:space="preserve">Thematic analysis is a qualitative method for identifying, analysing, and interpreting patterns or themes in a dataset </w:t>
      </w:r>
      <w:r w:rsidRPr="00D36BA0">
        <w:rPr>
          <w:rFonts w:ascii="Arial" w:hAnsi="Arial" w:cs="Arial"/>
          <w:color w:val="EE0000"/>
          <w:sz w:val="22"/>
          <w:szCs w:val="22"/>
        </w:rPr>
        <w:t xml:space="preserve">(Braun and Clarke, 2006). </w:t>
      </w:r>
      <w:r w:rsidRPr="00D36BA0">
        <w:rPr>
          <w:rFonts w:ascii="Arial" w:hAnsi="Arial" w:cs="Arial"/>
          <w:color w:val="000000"/>
          <w:sz w:val="22"/>
          <w:szCs w:val="22"/>
        </w:rPr>
        <w:t>In secondary research, thematic analysis enables researchers to organise data from existing literature into relevant themes that meet the research question. This method was chosen because it provides a structured and adjustable approach to examining recurring ideas across multiple sources</w:t>
      </w:r>
      <w:r w:rsidR="00FA3C0E" w:rsidRPr="00D36BA0">
        <w:rPr>
          <w:rFonts w:ascii="Arial" w:hAnsi="Arial" w:cs="Arial"/>
          <w:color w:val="000000"/>
          <w:sz w:val="22"/>
          <w:szCs w:val="22"/>
        </w:rPr>
        <w:t xml:space="preserve"> </w:t>
      </w:r>
      <w:r w:rsidR="00FA3C0E" w:rsidRPr="00D36BA0">
        <w:rPr>
          <w:rFonts w:ascii="Arial" w:hAnsi="Arial" w:cs="Arial"/>
          <w:color w:val="EE0000"/>
          <w:sz w:val="22"/>
          <w:szCs w:val="22"/>
        </w:rPr>
        <w:t>(Braun and Clarke, 2006).</w:t>
      </w:r>
    </w:p>
    <w:p w14:paraId="41BA9D06" w14:textId="512E8976" w:rsidR="000F5F69" w:rsidRPr="00D36BA0" w:rsidRDefault="000F5F69" w:rsidP="00EE4003">
      <w:pPr>
        <w:jc w:val="left"/>
        <w:rPr>
          <w:rFonts w:ascii="Arial" w:hAnsi="Arial" w:cs="Arial"/>
          <w:color w:val="000000"/>
        </w:rPr>
      </w:pPr>
      <w:r w:rsidRPr="00D36BA0">
        <w:rPr>
          <w:rFonts w:ascii="Arial" w:hAnsi="Arial" w:cs="Arial"/>
          <w:color w:val="000000"/>
        </w:rPr>
        <w:t xml:space="preserve">In order to find common themes about migrant workers and workforce sustainability in the UK ASC sector, selected journal articles were analysed and coded applying the methodology described in Chapter 3. The seven selected papers were </w:t>
      </w:r>
      <w:r w:rsidR="0079783C" w:rsidRPr="00627AD0">
        <w:rPr>
          <w:rStyle w:val="Strong"/>
          <w:rFonts w:ascii="Arial" w:hAnsi="Arial" w:cs="Arial"/>
          <w:b w:val="0"/>
          <w:bCs w:val="0"/>
          <w:color w:val="000000"/>
        </w:rPr>
        <w:t>assigned numerical identifiers</w:t>
      </w:r>
      <w:r w:rsidR="0079783C" w:rsidRPr="00D36BA0">
        <w:rPr>
          <w:rFonts w:ascii="Arial" w:hAnsi="Arial" w:cs="Arial"/>
          <w:color w:val="000000"/>
        </w:rPr>
        <w:t xml:space="preserve"> </w:t>
      </w:r>
      <w:r w:rsidRPr="00D36BA0">
        <w:rPr>
          <w:rFonts w:ascii="Arial" w:hAnsi="Arial" w:cs="Arial"/>
          <w:color w:val="000000"/>
        </w:rPr>
        <w:t>(Papers 1–7) for clarity throughout the</w:t>
      </w:r>
      <w:r w:rsidR="0089127B">
        <w:rPr>
          <w:rFonts w:ascii="Arial" w:hAnsi="Arial" w:cs="Arial"/>
          <w:color w:val="000000"/>
        </w:rPr>
        <w:t xml:space="preserve"> </w:t>
      </w:r>
      <w:r w:rsidR="0089127B" w:rsidRPr="00066398">
        <w:rPr>
          <w:rStyle w:val="Strong"/>
          <w:rFonts w:ascii="Arial" w:hAnsi="Arial" w:cs="Arial"/>
          <w:b w:val="0"/>
          <w:bCs w:val="0"/>
          <w:color w:val="000000"/>
        </w:rPr>
        <w:t>thematic analysis</w:t>
      </w:r>
      <w:r w:rsidRPr="00D36BA0">
        <w:rPr>
          <w:rFonts w:ascii="Arial" w:hAnsi="Arial" w:cs="Arial"/>
          <w:color w:val="000000"/>
        </w:rPr>
        <w:t>. These identification numbers are u</w:t>
      </w:r>
      <w:r w:rsidR="00C41CBF">
        <w:rPr>
          <w:rFonts w:ascii="Arial" w:hAnsi="Arial" w:cs="Arial"/>
          <w:color w:val="000000"/>
        </w:rPr>
        <w:t>sed</w:t>
      </w:r>
      <w:r w:rsidRPr="00D36BA0">
        <w:rPr>
          <w:rFonts w:ascii="Arial" w:hAnsi="Arial" w:cs="Arial"/>
          <w:color w:val="000000"/>
        </w:rPr>
        <w:t xml:space="preserve"> throughout this chapter to analyse and compare findings from the literature. Key findings, concepts, and recurring issues were documented in the coding and results summary tables (see Appendix X). Similar codes were then combined to establish broader themes, allowing relationships between articles to be identified and analysed</w:t>
      </w:r>
      <w:r w:rsidR="005935E7">
        <w:rPr>
          <w:rFonts w:ascii="Arial" w:hAnsi="Arial" w:cs="Arial"/>
          <w:color w:val="000000"/>
        </w:rPr>
        <w:t>, consistent with</w:t>
      </w:r>
      <w:r w:rsidR="009F4261">
        <w:rPr>
          <w:rFonts w:ascii="Arial" w:hAnsi="Arial" w:cs="Arial"/>
          <w:color w:val="000000"/>
        </w:rPr>
        <w:t xml:space="preserve"> </w:t>
      </w:r>
      <w:r w:rsidR="009F4261" w:rsidRPr="00F12F12">
        <w:rPr>
          <w:rFonts w:ascii="Arial" w:hAnsi="Arial" w:cs="Arial"/>
          <w:color w:val="EE0000"/>
        </w:rPr>
        <w:t>Braun and Clarke’s (2006</w:t>
      </w:r>
      <w:r w:rsidR="00F12F12" w:rsidRPr="00F12F12">
        <w:rPr>
          <w:rFonts w:ascii="Arial" w:hAnsi="Arial" w:cs="Arial"/>
          <w:color w:val="EE0000"/>
        </w:rPr>
        <w:t xml:space="preserve">) </w:t>
      </w:r>
      <w:r w:rsidR="00F12F12">
        <w:rPr>
          <w:rFonts w:ascii="Arial" w:hAnsi="Arial" w:cs="Arial"/>
          <w:color w:val="000000"/>
        </w:rPr>
        <w:t>thematic analysis framework.</w:t>
      </w:r>
    </w:p>
    <w:p w14:paraId="1A78E029" w14:textId="3B4E3100" w:rsidR="00C267E2" w:rsidRPr="00D36BA0" w:rsidRDefault="00EE4003" w:rsidP="00EE4003">
      <w:pPr>
        <w:jc w:val="left"/>
        <w:rPr>
          <w:rFonts w:ascii="Arial" w:hAnsi="Arial" w:cs="Arial"/>
        </w:rPr>
      </w:pPr>
      <w:r w:rsidRPr="00D36BA0">
        <w:rPr>
          <w:rFonts w:ascii="Arial" w:hAnsi="Arial" w:cs="Arial"/>
          <w:color w:val="000000"/>
        </w:rPr>
        <w:t>Three themes emerged from the analysis: workforce shortages and reliance on migrant workers, migration policy and international recruitment, and migrant worker experiences, wellbeing, and workforce sustainability. These themes reflect the key issues identified across the literature and provide the framework for the findings and discussion presented in the following sections of this chapter.</w:t>
      </w:r>
    </w:p>
    <w:p w14:paraId="6EDCCE33" w14:textId="77777777" w:rsidR="00A607AB" w:rsidRDefault="00A607AB" w:rsidP="007E62C9">
      <w:pPr>
        <w:pStyle w:val="Heading2"/>
        <w:rPr>
          <w:b/>
          <w:bCs/>
          <w:color w:val="000000" w:themeColor="text1"/>
        </w:rPr>
      </w:pPr>
    </w:p>
    <w:p w14:paraId="553C58B9" w14:textId="3345E260" w:rsidR="00C267E2" w:rsidRPr="009E4202" w:rsidRDefault="00C267E2" w:rsidP="00486426">
      <w:pPr>
        <w:pStyle w:val="Heading2"/>
        <w:jc w:val="left"/>
        <w:rPr>
          <w:rFonts w:ascii="Arial" w:hAnsi="Arial" w:cs="Arial"/>
          <w:b/>
          <w:bCs/>
          <w:color w:val="000000" w:themeColor="text1"/>
        </w:rPr>
      </w:pPr>
      <w:r w:rsidRPr="009E4202">
        <w:rPr>
          <w:rFonts w:ascii="Arial" w:hAnsi="Arial" w:cs="Arial"/>
          <w:b/>
          <w:bCs/>
          <w:color w:val="000000" w:themeColor="text1"/>
        </w:rPr>
        <w:t xml:space="preserve">4.3 – Theme 1 </w:t>
      </w:r>
      <w:r w:rsidR="00636903" w:rsidRPr="009E4202">
        <w:rPr>
          <w:rFonts w:ascii="Arial" w:hAnsi="Arial" w:cs="Arial"/>
          <w:b/>
          <w:bCs/>
          <w:color w:val="000000" w:themeColor="text1"/>
        </w:rPr>
        <w:t>Workforce Shortages and Reliance on Migrant Workers</w:t>
      </w:r>
    </w:p>
    <w:p w14:paraId="187EF36E" w14:textId="77777777" w:rsidR="009E4202" w:rsidRDefault="009E4202" w:rsidP="008C3B12"/>
    <w:p w14:paraId="445BC794" w14:textId="6DFD8FF0" w:rsidR="007E62C9" w:rsidRPr="003A2F08" w:rsidRDefault="00F83D91" w:rsidP="008C3B12">
      <w:pPr>
        <w:rPr>
          <w:rFonts w:ascii="Arial" w:hAnsi="Arial" w:cs="Arial"/>
          <w:sz w:val="28"/>
          <w:szCs w:val="28"/>
        </w:rPr>
      </w:pPr>
      <w:r w:rsidRPr="003A2F08">
        <w:rPr>
          <w:rFonts w:ascii="Arial" w:hAnsi="Arial" w:cs="Arial"/>
          <w:sz w:val="28"/>
          <w:szCs w:val="28"/>
        </w:rPr>
        <w:t>4.</w:t>
      </w:r>
      <w:r w:rsidR="003A2F08" w:rsidRPr="003A2F08">
        <w:rPr>
          <w:rFonts w:ascii="Arial" w:hAnsi="Arial" w:cs="Arial"/>
          <w:sz w:val="28"/>
          <w:szCs w:val="28"/>
        </w:rPr>
        <w:t xml:space="preserve">3.1 </w:t>
      </w:r>
      <w:r w:rsidR="005C4DAD" w:rsidRPr="003A2F08">
        <w:rPr>
          <w:rFonts w:ascii="Arial" w:hAnsi="Arial" w:cs="Arial"/>
          <w:sz w:val="28"/>
          <w:szCs w:val="28"/>
        </w:rPr>
        <w:t>Definition</w:t>
      </w:r>
    </w:p>
    <w:p w14:paraId="27B3A091" w14:textId="580E123C" w:rsidR="007E62C9" w:rsidRDefault="00025CEA" w:rsidP="008C3B12">
      <w:pPr>
        <w:pStyle w:val="Heading4"/>
        <w:jc w:val="left"/>
        <w:rPr>
          <w:rFonts w:ascii="Arial" w:hAnsi="Arial" w:cs="Arial"/>
          <w:i w:val="0"/>
          <w:iCs w:val="0"/>
          <w:color w:val="EE0000"/>
        </w:rPr>
      </w:pPr>
      <w:r w:rsidRPr="008C3B12">
        <w:rPr>
          <w:rFonts w:ascii="Arial" w:hAnsi="Arial" w:cs="Arial"/>
          <w:i w:val="0"/>
          <w:iCs w:val="0"/>
          <w:color w:val="000000"/>
        </w:rPr>
        <w:t xml:space="preserve">Workforce shortages refer to persistent difficulties in recruiting and retaining adequate staff to meet the growing demand for care services in the ASC </w:t>
      </w:r>
      <w:r w:rsidRPr="00276792">
        <w:rPr>
          <w:rFonts w:ascii="Arial" w:hAnsi="Arial" w:cs="Arial"/>
          <w:i w:val="0"/>
          <w:iCs w:val="0"/>
          <w:color w:val="EE0000"/>
        </w:rPr>
        <w:t>sector</w:t>
      </w:r>
      <w:r w:rsidR="0082408F" w:rsidRPr="00276792">
        <w:rPr>
          <w:rFonts w:ascii="Arial" w:hAnsi="Arial" w:cs="Arial"/>
          <w:i w:val="0"/>
          <w:iCs w:val="0"/>
          <w:color w:val="EE0000"/>
        </w:rPr>
        <w:t xml:space="preserve"> (Skills for Care, 2024).</w:t>
      </w:r>
      <w:r w:rsidR="0082408F" w:rsidRPr="00276792">
        <w:rPr>
          <w:rStyle w:val="apple-converted-space"/>
          <w:rFonts w:ascii="-webkit-standard" w:hAnsi="-webkit-standard"/>
          <w:color w:val="EE0000"/>
          <w:sz w:val="27"/>
          <w:szCs w:val="27"/>
        </w:rPr>
        <w:t> </w:t>
      </w:r>
      <w:r w:rsidRPr="008C3B12">
        <w:rPr>
          <w:rFonts w:ascii="Arial" w:hAnsi="Arial" w:cs="Arial"/>
          <w:i w:val="0"/>
          <w:iCs w:val="0"/>
          <w:color w:val="000000"/>
        </w:rPr>
        <w:t>Reliance on migrant workers refers to the growing reliance on individuals born outside the UK to cover workforce gaps and maintain service delivery. Migrant workers have emerged as an important source of employment in the ASC sector, particularly in frontline care professions where recruiting and retention issues are most evident</w:t>
      </w:r>
      <w:r w:rsidR="0082408F">
        <w:rPr>
          <w:rFonts w:ascii="Arial" w:hAnsi="Arial" w:cs="Arial"/>
          <w:i w:val="0"/>
          <w:iCs w:val="0"/>
          <w:color w:val="000000"/>
        </w:rPr>
        <w:t xml:space="preserve"> </w:t>
      </w:r>
      <w:r w:rsidR="0082408F" w:rsidRPr="003E6BEF">
        <w:rPr>
          <w:rFonts w:ascii="Arial" w:hAnsi="Arial" w:cs="Arial"/>
          <w:i w:val="0"/>
          <w:iCs w:val="0"/>
          <w:color w:val="EE0000"/>
        </w:rPr>
        <w:t>(Turnpenny and Hussein, 2022).</w:t>
      </w:r>
    </w:p>
    <w:p w14:paraId="253A718B" w14:textId="77777777" w:rsidR="003E6BEF" w:rsidRPr="003E6BEF" w:rsidRDefault="003E6BEF" w:rsidP="003E6BEF"/>
    <w:p w14:paraId="1A22E8EB" w14:textId="396BC7FE" w:rsidR="00F321E4" w:rsidRPr="005B1D78" w:rsidRDefault="005B1D78" w:rsidP="008C3B12">
      <w:pPr>
        <w:pStyle w:val="Heading4"/>
        <w:rPr>
          <w:rFonts w:ascii="Arial" w:hAnsi="Arial" w:cs="Arial"/>
          <w:i w:val="0"/>
          <w:iCs w:val="0"/>
        </w:rPr>
      </w:pPr>
      <w:r w:rsidRPr="005B1D78">
        <w:rPr>
          <w:rFonts w:ascii="Arial" w:hAnsi="Arial" w:cs="Arial"/>
          <w:i w:val="0"/>
          <w:iCs w:val="0"/>
          <w:color w:val="000000"/>
        </w:rPr>
        <w:t>The relationship between workforce shortages and the increasing reliance on migrant workers is examined in this theme, in addition to how their participation promotes workforce sustainability and continuity of care throughout the sector (</w:t>
      </w:r>
      <w:r w:rsidRPr="00365C99">
        <w:rPr>
          <w:rFonts w:ascii="Arial" w:hAnsi="Arial" w:cs="Arial"/>
          <w:i w:val="0"/>
          <w:iCs w:val="0"/>
          <w:color w:val="EE0000"/>
        </w:rPr>
        <w:t xml:space="preserve">UK Parliament POST, 2025). </w:t>
      </w:r>
      <w:r w:rsidRPr="005B1D78">
        <w:rPr>
          <w:rFonts w:ascii="Arial" w:hAnsi="Arial" w:cs="Arial"/>
          <w:i w:val="0"/>
          <w:iCs w:val="0"/>
          <w:color w:val="000000"/>
        </w:rPr>
        <w:t xml:space="preserve">It also takes into account whether the ASC workforce's growing reliance on foreign recruitment is a long-term, sustainable workforce plan or a reflection of larger structural challenges </w:t>
      </w:r>
      <w:r w:rsidRPr="00365C99">
        <w:rPr>
          <w:rFonts w:ascii="Arial" w:hAnsi="Arial" w:cs="Arial"/>
          <w:i w:val="0"/>
          <w:iCs w:val="0"/>
          <w:color w:val="EE0000"/>
        </w:rPr>
        <w:t>(International Labour Organization, 2024).</w:t>
      </w:r>
    </w:p>
    <w:p w14:paraId="474CD6DA" w14:textId="77777777" w:rsidR="00060108" w:rsidRDefault="00060108" w:rsidP="009E4202">
      <w:pPr>
        <w:pStyle w:val="Heading4"/>
        <w:rPr>
          <w:rFonts w:ascii="Arial" w:hAnsi="Arial" w:cs="Arial"/>
          <w:b/>
          <w:bCs/>
          <w:i w:val="0"/>
          <w:iCs w:val="0"/>
          <w:color w:val="000000" w:themeColor="text1"/>
          <w:sz w:val="28"/>
          <w:szCs w:val="28"/>
        </w:rPr>
      </w:pPr>
    </w:p>
    <w:p w14:paraId="711548C9" w14:textId="62C77866" w:rsidR="009E4202" w:rsidRPr="003A2F08" w:rsidRDefault="003A2F08" w:rsidP="009E4202">
      <w:pPr>
        <w:pStyle w:val="Heading4"/>
        <w:rPr>
          <w:rFonts w:ascii="Arial" w:hAnsi="Arial" w:cs="Arial"/>
          <w:i w:val="0"/>
          <w:iCs w:val="0"/>
          <w:color w:val="000000" w:themeColor="text1"/>
          <w:sz w:val="28"/>
          <w:szCs w:val="28"/>
        </w:rPr>
      </w:pPr>
      <w:r w:rsidRPr="003A2F08">
        <w:rPr>
          <w:rFonts w:ascii="Arial" w:hAnsi="Arial" w:cs="Arial"/>
          <w:i w:val="0"/>
          <w:iCs w:val="0"/>
          <w:color w:val="000000" w:themeColor="text1"/>
          <w:sz w:val="28"/>
          <w:szCs w:val="28"/>
        </w:rPr>
        <w:t xml:space="preserve">4.3.2 </w:t>
      </w:r>
      <w:r w:rsidR="00C267E2" w:rsidRPr="003A2F08">
        <w:rPr>
          <w:rFonts w:ascii="Arial" w:hAnsi="Arial" w:cs="Arial"/>
          <w:i w:val="0"/>
          <w:iCs w:val="0"/>
          <w:color w:val="000000" w:themeColor="text1"/>
          <w:sz w:val="28"/>
          <w:szCs w:val="28"/>
        </w:rPr>
        <w:t>Background Information</w:t>
      </w:r>
    </w:p>
    <w:p w14:paraId="77D3C545" w14:textId="5EAC4796" w:rsidR="006D0AC7" w:rsidRPr="004D62C5" w:rsidRDefault="006D0AC7" w:rsidP="00323806">
      <w:pPr>
        <w:jc w:val="left"/>
        <w:rPr>
          <w:rFonts w:ascii="Arial" w:hAnsi="Arial" w:cs="Arial"/>
          <w:color w:val="EE0000"/>
        </w:rPr>
      </w:pPr>
      <w:r w:rsidRPr="006D0AC7">
        <w:rPr>
          <w:rFonts w:ascii="Arial" w:hAnsi="Arial" w:cs="Arial"/>
          <w:color w:val="000000"/>
        </w:rPr>
        <w:t xml:space="preserve">Workforce shortages in the UK ASC industry are not a new phenomenon; they have developed over several decades as demand for care services has grown. Factors such as an ageing population, rising life expectancy, and increasingly complex care needs have put major strain on the sector's ability to recruit and retain sufficient staff </w:t>
      </w:r>
      <w:r w:rsidRPr="006D0AC7">
        <w:rPr>
          <w:rFonts w:ascii="Arial" w:hAnsi="Arial" w:cs="Arial"/>
          <w:color w:val="EE0000"/>
        </w:rPr>
        <w:t xml:space="preserve">(Care Quality Commission, 2025). </w:t>
      </w:r>
      <w:r w:rsidRPr="006D0AC7">
        <w:rPr>
          <w:rFonts w:ascii="Arial" w:hAnsi="Arial" w:cs="Arial"/>
          <w:color w:val="000000"/>
        </w:rPr>
        <w:t xml:space="preserve">Although ASC is still one of the largest employment sectors in the UK, labour shortages persist despite different recruitment initiatives and policy interventions </w:t>
      </w:r>
      <w:r w:rsidR="004D62C5" w:rsidRPr="004D62C5">
        <w:rPr>
          <w:rFonts w:ascii="Arial" w:hAnsi="Arial" w:cs="Arial"/>
          <w:color w:val="EE0000"/>
        </w:rPr>
        <w:t>(Institute for Government, 2025).</w:t>
      </w:r>
    </w:p>
    <w:p w14:paraId="1BE22B23" w14:textId="77777777" w:rsidR="000B7094" w:rsidRPr="000B7094" w:rsidRDefault="00DB1374" w:rsidP="008C3B12">
      <w:pPr>
        <w:rPr>
          <w:rFonts w:ascii="Arial" w:hAnsi="Arial" w:cs="Arial"/>
          <w:color w:val="000000"/>
        </w:rPr>
      </w:pPr>
      <w:r w:rsidRPr="00E008E0">
        <w:rPr>
          <w:rFonts w:ascii="Arial" w:hAnsi="Arial" w:cs="Arial"/>
          <w:color w:val="000000"/>
        </w:rPr>
        <w:t>Historically</w:t>
      </w:r>
      <w:r w:rsidRPr="000B7094">
        <w:rPr>
          <w:rFonts w:ascii="Arial" w:hAnsi="Arial" w:cs="Arial"/>
          <w:color w:val="000000"/>
        </w:rPr>
        <w:t>, migrant workers have played a crucial role in addressing workforce shortages within health and social care (</w:t>
      </w:r>
      <w:r w:rsidRPr="000B7094">
        <w:rPr>
          <w:rFonts w:ascii="Arial" w:hAnsi="Arial" w:cs="Arial"/>
          <w:color w:val="EE0000"/>
        </w:rPr>
        <w:t xml:space="preserve">Gershlick and Charlesworth, 2019). </w:t>
      </w:r>
      <w:r w:rsidRPr="000B7094">
        <w:rPr>
          <w:rFonts w:ascii="Arial" w:hAnsi="Arial" w:cs="Arial"/>
          <w:color w:val="000000"/>
        </w:rPr>
        <w:t xml:space="preserve">Their contribution increased in importance during the early 2000s, particularly following the expansion of the European </w:t>
      </w:r>
      <w:r w:rsidRPr="000B7094">
        <w:rPr>
          <w:rFonts w:ascii="Arial" w:hAnsi="Arial" w:cs="Arial"/>
          <w:color w:val="000000"/>
        </w:rPr>
        <w:lastRenderedPageBreak/>
        <w:t xml:space="preserve">Union, which enhanced labour mobility across member states </w:t>
      </w:r>
      <w:r w:rsidRPr="000B7094">
        <w:rPr>
          <w:rFonts w:ascii="Arial" w:hAnsi="Arial" w:cs="Arial"/>
          <w:color w:val="EE0000"/>
        </w:rPr>
        <w:t xml:space="preserve">(Dias-Abey, 2021). </w:t>
      </w:r>
      <w:r w:rsidRPr="000B7094">
        <w:rPr>
          <w:rFonts w:ascii="Arial" w:hAnsi="Arial" w:cs="Arial"/>
          <w:color w:val="000000"/>
        </w:rPr>
        <w:t xml:space="preserve">More recently, Brexit and the COVID-19 pandemic have intensified workforce pressures, resulting in employers relying more heavily on international recruitment to maintain staffing levels </w:t>
      </w:r>
      <w:r w:rsidRPr="00E008E0">
        <w:rPr>
          <w:rFonts w:ascii="Arial" w:hAnsi="Arial" w:cs="Arial"/>
          <w:color w:val="EE0000"/>
        </w:rPr>
        <w:t xml:space="preserve">(Dayan </w:t>
      </w:r>
      <w:r w:rsidRPr="00E008E0">
        <w:rPr>
          <w:rFonts w:ascii="Arial" w:hAnsi="Arial" w:cs="Arial"/>
          <w:i/>
          <w:iCs/>
          <w:color w:val="EE0000"/>
        </w:rPr>
        <w:t>et al.,</w:t>
      </w:r>
      <w:r w:rsidRPr="00E008E0">
        <w:rPr>
          <w:rFonts w:ascii="Arial" w:hAnsi="Arial" w:cs="Arial"/>
          <w:color w:val="EE0000"/>
        </w:rPr>
        <w:t xml:space="preserve"> 2024). </w:t>
      </w:r>
      <w:r w:rsidRPr="000B7094">
        <w:rPr>
          <w:rFonts w:ascii="Arial" w:hAnsi="Arial" w:cs="Arial"/>
          <w:color w:val="000000"/>
        </w:rPr>
        <w:t>These developments have contributed to ongoing debates regarding whether migrant workers provide a sustainable solution to workforce shortages or whether increasing reliance on overseas recruitment reflects wider structural challenges within the ASC sector.</w:t>
      </w:r>
    </w:p>
    <w:p w14:paraId="387C78E4" w14:textId="77777777" w:rsidR="00323AF7" w:rsidRDefault="00593A7D" w:rsidP="00323AF7">
      <w:pPr>
        <w:rPr>
          <w:rFonts w:ascii="Arial" w:hAnsi="Arial" w:cs="Arial"/>
          <w:color w:val="EE0000"/>
        </w:rPr>
      </w:pPr>
      <w:r w:rsidRPr="008C3B12">
        <w:rPr>
          <w:rFonts w:ascii="Arial" w:hAnsi="Arial" w:cs="Arial"/>
        </w:rPr>
        <w:t>These developments have made it more crucial to understand how significantly migrant workers contribute to workforce stability and whether the ASC sector's existing recruitment methods offer a long-term, viable solution to staffing shortages</w:t>
      </w:r>
      <w:r w:rsidR="00584470">
        <w:rPr>
          <w:rFonts w:ascii="Arial" w:hAnsi="Arial" w:cs="Arial"/>
        </w:rPr>
        <w:t xml:space="preserve"> </w:t>
      </w:r>
      <w:r w:rsidR="00584470" w:rsidRPr="00036BC3">
        <w:rPr>
          <w:rFonts w:ascii="Arial" w:hAnsi="Arial" w:cs="Arial"/>
          <w:color w:val="EE0000"/>
        </w:rPr>
        <w:t>(UK Parliament POST, 2025).</w:t>
      </w:r>
    </w:p>
    <w:p w14:paraId="3D0273D6" w14:textId="77777777" w:rsidR="00323AF7" w:rsidRDefault="00323AF7" w:rsidP="00323AF7">
      <w:pPr>
        <w:rPr>
          <w:rFonts w:ascii="Arial" w:hAnsi="Arial" w:cs="Arial"/>
          <w:color w:val="EE0000"/>
        </w:rPr>
      </w:pPr>
    </w:p>
    <w:p w14:paraId="5B39A867" w14:textId="41AE3BBC" w:rsidR="00323AF7" w:rsidRPr="0028080A" w:rsidRDefault="0028080A" w:rsidP="00323AF7">
      <w:pPr>
        <w:rPr>
          <w:rFonts w:ascii="Arial" w:hAnsi="Arial" w:cs="Arial"/>
          <w:color w:val="000000" w:themeColor="text1"/>
          <w:sz w:val="28"/>
          <w:szCs w:val="28"/>
        </w:rPr>
      </w:pPr>
      <w:r w:rsidRPr="0028080A">
        <w:rPr>
          <w:rFonts w:ascii="Arial" w:hAnsi="Arial" w:cs="Arial"/>
          <w:color w:val="000000" w:themeColor="text1"/>
          <w:sz w:val="28"/>
          <w:szCs w:val="28"/>
        </w:rPr>
        <w:t xml:space="preserve">4.3.3 </w:t>
      </w:r>
      <w:r w:rsidR="00C267E2" w:rsidRPr="0028080A">
        <w:rPr>
          <w:rFonts w:ascii="Arial" w:hAnsi="Arial" w:cs="Arial"/>
          <w:color w:val="000000" w:themeColor="text1"/>
          <w:sz w:val="28"/>
          <w:szCs w:val="28"/>
        </w:rPr>
        <w:t>Impact on Research Question</w:t>
      </w:r>
    </w:p>
    <w:p w14:paraId="3D62AE4B" w14:textId="77777777" w:rsidR="00323AF7" w:rsidRDefault="00933B29" w:rsidP="00323AF7">
      <w:pPr>
        <w:rPr>
          <w:rFonts w:ascii="Arial" w:hAnsi="Arial" w:cs="Arial"/>
          <w:color w:val="000000"/>
        </w:rPr>
      </w:pPr>
      <w:r w:rsidRPr="000A31A6">
        <w:rPr>
          <w:rFonts w:ascii="Arial" w:hAnsi="Arial" w:cs="Arial"/>
          <w:color w:val="000000"/>
        </w:rPr>
        <w:t xml:space="preserve">This theme is central to the research question because it examines the extent to which migrant workers contribute to sustaining the UK ASC workforce. </w:t>
      </w:r>
      <w:r w:rsidRPr="000A31A6">
        <w:rPr>
          <w:rFonts w:ascii="Arial" w:hAnsi="Arial" w:cs="Arial"/>
          <w:color w:val="EE0000"/>
        </w:rPr>
        <w:t xml:space="preserve">Edwards </w:t>
      </w:r>
      <w:r w:rsidRPr="00156427">
        <w:rPr>
          <w:rFonts w:ascii="Arial" w:hAnsi="Arial" w:cs="Arial"/>
          <w:i/>
          <w:iCs/>
          <w:color w:val="EE0000"/>
        </w:rPr>
        <w:t xml:space="preserve">et al. </w:t>
      </w:r>
      <w:r w:rsidRPr="000A31A6">
        <w:rPr>
          <w:rFonts w:ascii="Arial" w:hAnsi="Arial" w:cs="Arial"/>
          <w:color w:val="EE0000"/>
        </w:rPr>
        <w:t xml:space="preserve">(2022) </w:t>
      </w:r>
      <w:r w:rsidRPr="000A31A6">
        <w:rPr>
          <w:rFonts w:ascii="Arial" w:hAnsi="Arial" w:cs="Arial"/>
          <w:color w:val="000000"/>
        </w:rPr>
        <w:t>highlight that ongoing labour shortages continue to create significant challenges for service delivery, continuity of care, and workforce stability within the sector. As a result, the industry's reliance on foreign labour has increased to help address staffing gaps.</w:t>
      </w:r>
      <w:r w:rsidR="00FE0A02" w:rsidRPr="000A31A6">
        <w:rPr>
          <w:rFonts w:ascii="Arial" w:hAnsi="Arial" w:cs="Arial"/>
          <w:color w:val="000000"/>
        </w:rPr>
        <w:t xml:space="preserve"> </w:t>
      </w:r>
      <w:r w:rsidR="00F6529F" w:rsidRPr="000A31A6">
        <w:rPr>
          <w:rFonts w:ascii="Arial" w:hAnsi="Arial" w:cs="Arial"/>
          <w:color w:val="000000"/>
        </w:rPr>
        <w:t xml:space="preserve">According to </w:t>
      </w:r>
      <w:r w:rsidR="00F6529F" w:rsidRPr="000A31A6">
        <w:rPr>
          <w:rFonts w:ascii="Arial" w:hAnsi="Arial" w:cs="Arial"/>
          <w:color w:val="EE0000"/>
        </w:rPr>
        <w:t xml:space="preserve">Arfeen </w:t>
      </w:r>
      <w:r w:rsidR="00F6529F" w:rsidRPr="00156427">
        <w:rPr>
          <w:rFonts w:ascii="Arial" w:hAnsi="Arial" w:cs="Arial"/>
          <w:i/>
          <w:iCs/>
          <w:color w:val="EE0000"/>
        </w:rPr>
        <w:t>et al.</w:t>
      </w:r>
      <w:r w:rsidR="00F6529F" w:rsidRPr="000A31A6">
        <w:rPr>
          <w:rFonts w:ascii="Arial" w:hAnsi="Arial" w:cs="Arial"/>
          <w:color w:val="EE0000"/>
        </w:rPr>
        <w:t xml:space="preserve"> (2025),</w:t>
      </w:r>
      <w:r w:rsidR="00F6529F" w:rsidRPr="000A31A6">
        <w:rPr>
          <w:rFonts w:ascii="Arial" w:hAnsi="Arial" w:cs="Arial"/>
          <w:color w:val="000000"/>
        </w:rPr>
        <w:t xml:space="preserve"> migrant workers have become an increasingly essential component of the UK health and care workforce, contributing to service provision in the face of ongoing recruitment challenges. </w:t>
      </w:r>
      <w:r w:rsidRPr="000A31A6">
        <w:rPr>
          <w:rFonts w:ascii="Arial" w:hAnsi="Arial" w:cs="Arial"/>
          <w:color w:val="000000"/>
        </w:rPr>
        <w:t>Evaluating the role migrant workers play in replacing staffing gaps and assisting with care delivery requires an understanding of this connection.</w:t>
      </w:r>
    </w:p>
    <w:p w14:paraId="608CDB9B" w14:textId="46001057" w:rsidR="00D77F02" w:rsidRPr="00323AF7" w:rsidRDefault="0013665B" w:rsidP="00323AF7">
      <w:pPr>
        <w:rPr>
          <w:rFonts w:ascii="Arial" w:hAnsi="Arial" w:cs="Arial"/>
          <w:color w:val="EE0000"/>
        </w:rPr>
      </w:pPr>
      <w:r w:rsidRPr="007A5325">
        <w:rPr>
          <w:rFonts w:ascii="Arial" w:hAnsi="Arial" w:cs="Arial"/>
          <w:color w:val="000000" w:themeColor="text1"/>
        </w:rPr>
        <w:t>Furthermore, this theme is strongly related to Objective 1, which seeks to critically evaluate the role of migrant workers in workforce sustainability and service continuity.</w:t>
      </w:r>
      <w:r w:rsidR="002A3DB9">
        <w:rPr>
          <w:rFonts w:ascii="Arial" w:hAnsi="Arial" w:cs="Arial"/>
          <w:color w:val="000000" w:themeColor="text1"/>
        </w:rPr>
        <w:t xml:space="preserve"> </w:t>
      </w:r>
      <w:r w:rsidR="002A3DB9" w:rsidRPr="002A3DB9">
        <w:rPr>
          <w:rFonts w:ascii="Arial" w:hAnsi="Arial" w:cs="Arial"/>
          <w:color w:val="000000" w:themeColor="text1"/>
        </w:rPr>
        <w:t xml:space="preserve">According to </w:t>
      </w:r>
      <w:r w:rsidR="002A3DB9" w:rsidRPr="00DA7FA1">
        <w:rPr>
          <w:rFonts w:ascii="Arial" w:hAnsi="Arial" w:cs="Arial"/>
          <w:color w:val="EE0000"/>
        </w:rPr>
        <w:t xml:space="preserve">Arfeen </w:t>
      </w:r>
      <w:r w:rsidR="002A3DB9" w:rsidRPr="00DA7FA1">
        <w:rPr>
          <w:rFonts w:ascii="Arial" w:hAnsi="Arial" w:cs="Arial"/>
          <w:i/>
          <w:iCs/>
          <w:color w:val="EE0000"/>
        </w:rPr>
        <w:t>et al.</w:t>
      </w:r>
      <w:r w:rsidR="002A3DB9" w:rsidRPr="00DA7FA1">
        <w:rPr>
          <w:rFonts w:ascii="Arial" w:hAnsi="Arial" w:cs="Arial"/>
          <w:color w:val="EE0000"/>
        </w:rPr>
        <w:t xml:space="preserve"> (2025), </w:t>
      </w:r>
      <w:r w:rsidR="002A3DB9" w:rsidRPr="002A3DB9">
        <w:rPr>
          <w:rFonts w:ascii="Arial" w:hAnsi="Arial" w:cs="Arial"/>
          <w:color w:val="000000" w:themeColor="text1"/>
        </w:rPr>
        <w:t>the UK's growing reliance on migrant workers highlights a significant contribution to the sustainability of health and social care services.</w:t>
      </w:r>
      <w:r w:rsidR="002A3DB9">
        <w:rPr>
          <w:rFonts w:ascii="Arial" w:hAnsi="Arial" w:cs="Arial"/>
          <w:color w:val="000000" w:themeColor="text1"/>
        </w:rPr>
        <w:t xml:space="preserve"> </w:t>
      </w:r>
      <w:r w:rsidRPr="007A5325">
        <w:rPr>
          <w:rFonts w:ascii="Arial" w:hAnsi="Arial" w:cs="Arial"/>
          <w:color w:val="000000" w:themeColor="text1"/>
        </w:rPr>
        <w:t>This theme explores the relationship between labour shortages and reliance on migrant workers, providing insight into whether foreign recruitment is a long-term solution or a temporary response to persistent workforce challenges in the ASC sector.</w:t>
      </w:r>
    </w:p>
    <w:p w14:paraId="2E96EE3D" w14:textId="77777777" w:rsidR="00060108" w:rsidRDefault="00060108" w:rsidP="00AA0254">
      <w:pPr>
        <w:pStyle w:val="Heading4"/>
        <w:jc w:val="left"/>
        <w:rPr>
          <w:rFonts w:ascii="Arial" w:hAnsi="Arial" w:cs="Arial"/>
          <w:b/>
          <w:bCs/>
          <w:i w:val="0"/>
          <w:iCs w:val="0"/>
          <w:color w:val="000000" w:themeColor="text1"/>
        </w:rPr>
      </w:pPr>
    </w:p>
    <w:p w14:paraId="2FBBA9E2" w14:textId="5B26E213" w:rsidR="00C267E2" w:rsidRPr="0028080A" w:rsidRDefault="0028080A" w:rsidP="00AA0254">
      <w:pPr>
        <w:pStyle w:val="Heading4"/>
        <w:jc w:val="left"/>
        <w:rPr>
          <w:rFonts w:ascii="Arial" w:hAnsi="Arial" w:cs="Arial"/>
          <w:i w:val="0"/>
          <w:iCs w:val="0"/>
          <w:color w:val="000000" w:themeColor="text1"/>
          <w:sz w:val="28"/>
          <w:szCs w:val="28"/>
        </w:rPr>
      </w:pPr>
      <w:r w:rsidRPr="0028080A">
        <w:rPr>
          <w:rFonts w:ascii="Arial" w:hAnsi="Arial" w:cs="Arial"/>
          <w:i w:val="0"/>
          <w:iCs w:val="0"/>
          <w:color w:val="000000" w:themeColor="text1"/>
          <w:sz w:val="28"/>
          <w:szCs w:val="28"/>
        </w:rPr>
        <w:t xml:space="preserve">4.3.4 </w:t>
      </w:r>
      <w:r w:rsidR="00C267E2" w:rsidRPr="0028080A">
        <w:rPr>
          <w:rFonts w:ascii="Arial" w:hAnsi="Arial" w:cs="Arial"/>
          <w:i w:val="0"/>
          <w:iCs w:val="0"/>
          <w:color w:val="000000" w:themeColor="text1"/>
          <w:sz w:val="28"/>
          <w:szCs w:val="28"/>
        </w:rPr>
        <w:t>Statistical Information</w:t>
      </w:r>
    </w:p>
    <w:p w14:paraId="7C89B4A2" w14:textId="77777777" w:rsidR="00C50887" w:rsidRPr="00AA0254" w:rsidRDefault="0091092A" w:rsidP="00AA0254">
      <w:pPr>
        <w:pStyle w:val="isselectedend"/>
        <w:spacing w:line="360" w:lineRule="auto"/>
        <w:rPr>
          <w:rFonts w:ascii="Arial" w:hAnsi="Arial" w:cs="Arial"/>
          <w:color w:val="000000"/>
          <w:sz w:val="22"/>
          <w:szCs w:val="22"/>
        </w:rPr>
      </w:pPr>
      <w:r w:rsidRPr="00AA0254">
        <w:rPr>
          <w:rFonts w:ascii="Arial" w:hAnsi="Arial" w:cs="Arial"/>
          <w:color w:val="000000"/>
          <w:sz w:val="22"/>
          <w:szCs w:val="22"/>
        </w:rPr>
        <w:t xml:space="preserve">Workforce data indicates the extent of staffing challenges in the UK  ASC sector, which can help to explain the increased reliance on migrant workers. According to </w:t>
      </w:r>
      <w:r w:rsidRPr="00AA0254">
        <w:rPr>
          <w:rFonts w:ascii="Arial" w:hAnsi="Arial" w:cs="Arial"/>
          <w:color w:val="EE0000"/>
          <w:sz w:val="22"/>
          <w:szCs w:val="22"/>
        </w:rPr>
        <w:t xml:space="preserve">Skills for Care (2025), </w:t>
      </w:r>
      <w:r w:rsidRPr="00AA0254">
        <w:rPr>
          <w:rFonts w:ascii="Arial" w:hAnsi="Arial" w:cs="Arial"/>
          <w:color w:val="000000"/>
          <w:sz w:val="22"/>
          <w:szCs w:val="22"/>
        </w:rPr>
        <w:t xml:space="preserve">the ASC workforce in England was over 1.59 million individuals in 2023/24, with approximately 131,000 vacancies vacant. Despite recent reductions in vacancy rates, these numbers indicate that workforce shortages remain a serious concern for the sector. Furthermore, </w:t>
      </w:r>
      <w:r w:rsidRPr="00AA0254">
        <w:rPr>
          <w:rFonts w:ascii="Arial" w:hAnsi="Arial" w:cs="Arial"/>
          <w:color w:val="EE0000"/>
          <w:sz w:val="22"/>
          <w:szCs w:val="22"/>
        </w:rPr>
        <w:t xml:space="preserve">Skills for Care (2025) </w:t>
      </w:r>
      <w:r w:rsidRPr="00AA0254">
        <w:rPr>
          <w:rFonts w:ascii="Arial" w:hAnsi="Arial" w:cs="Arial"/>
          <w:color w:val="000000"/>
          <w:sz w:val="22"/>
          <w:szCs w:val="22"/>
        </w:rPr>
        <w:t>stated that foreign recruitment has made a significant contribution to workforce growth in recent years, with migrant workers increasingly filling direct care roles that have proven challenging to accommodate domestically.</w:t>
      </w:r>
    </w:p>
    <w:p w14:paraId="53A11400" w14:textId="77777777" w:rsidR="00A90448" w:rsidRPr="00C400D4" w:rsidRDefault="00A90448" w:rsidP="000858F3">
      <w:pPr>
        <w:pStyle w:val="NormalWeb"/>
        <w:spacing w:line="360" w:lineRule="auto"/>
        <w:rPr>
          <w:rFonts w:ascii="Arial" w:hAnsi="Arial" w:cs="Arial"/>
          <w:color w:val="000000"/>
          <w:sz w:val="22"/>
          <w:szCs w:val="22"/>
        </w:rPr>
      </w:pPr>
      <w:r w:rsidRPr="00C400D4">
        <w:rPr>
          <w:rFonts w:ascii="Arial" w:hAnsi="Arial" w:cs="Arial"/>
          <w:color w:val="000000"/>
          <w:sz w:val="22"/>
          <w:szCs w:val="22"/>
        </w:rPr>
        <w:t xml:space="preserve">These statistics are especially important as they reveal a potential contradiction within the sector. Although the workforce has grown, recruitment and retention challenges persist, implying that workforce shortages are caused by more than simply a lack of available workers. According to </w:t>
      </w:r>
      <w:r w:rsidRPr="00C400D4">
        <w:rPr>
          <w:rFonts w:ascii="Arial" w:hAnsi="Arial" w:cs="Arial"/>
          <w:color w:val="EE0000"/>
          <w:sz w:val="22"/>
          <w:szCs w:val="22"/>
        </w:rPr>
        <w:t>The King's Fund (2024</w:t>
      </w:r>
      <w:r w:rsidRPr="00C400D4">
        <w:rPr>
          <w:rFonts w:ascii="Arial" w:hAnsi="Arial" w:cs="Arial"/>
          <w:color w:val="000000"/>
          <w:sz w:val="22"/>
          <w:szCs w:val="22"/>
        </w:rPr>
        <w:t>), structural challenges such as low pay, demanding working conditions, and limited opportunities for career advancement continue to reduce the attractiveness of care work, contributing to ongoing recruitment difficulties. This suggests that workforce shortages are influenced by wider systemic issues rather than workforce supply alone.</w:t>
      </w:r>
    </w:p>
    <w:p w14:paraId="74111868" w14:textId="77777777" w:rsidR="00567654" w:rsidRPr="00403835" w:rsidRDefault="00567654" w:rsidP="000858F3">
      <w:pPr>
        <w:pStyle w:val="NormalWeb"/>
        <w:spacing w:line="360" w:lineRule="auto"/>
        <w:rPr>
          <w:rFonts w:ascii="Arial" w:hAnsi="Arial" w:cs="Arial"/>
          <w:color w:val="000000"/>
          <w:sz w:val="22"/>
          <w:szCs w:val="22"/>
        </w:rPr>
      </w:pPr>
      <w:r w:rsidRPr="00403835">
        <w:rPr>
          <w:rFonts w:ascii="Arial" w:hAnsi="Arial" w:cs="Arial"/>
          <w:color w:val="000000"/>
          <w:sz w:val="22"/>
          <w:szCs w:val="22"/>
        </w:rPr>
        <w:t xml:space="preserve">Additionally, the </w:t>
      </w:r>
      <w:r w:rsidRPr="00403835">
        <w:rPr>
          <w:rFonts w:ascii="Arial" w:hAnsi="Arial" w:cs="Arial"/>
          <w:color w:val="EE0000"/>
          <w:sz w:val="22"/>
          <w:szCs w:val="22"/>
        </w:rPr>
        <w:t xml:space="preserve">Migration Observatory (2023) reports </w:t>
      </w:r>
      <w:r w:rsidRPr="00403835">
        <w:rPr>
          <w:rFonts w:ascii="Arial" w:hAnsi="Arial" w:cs="Arial"/>
          <w:color w:val="000000"/>
          <w:sz w:val="22"/>
          <w:szCs w:val="22"/>
        </w:rPr>
        <w:t xml:space="preserve">that changes to immigration policy have directly affected workforce supply, particularly following Brexit and the introduction of the Health and Care Worker visa. While international recruitment has helped address immediate staffing shortages, the increasing proportion of migrant workers raises concerns about long-term workforce sustainability. This reliance may leave the ASC sector vulnerable to future policy changes, highlighting the need for workforce strategies that focus on both recruitment and retention </w:t>
      </w:r>
      <w:r w:rsidRPr="00403835">
        <w:rPr>
          <w:rFonts w:ascii="Arial" w:hAnsi="Arial" w:cs="Arial"/>
          <w:color w:val="EE0000"/>
          <w:sz w:val="22"/>
          <w:szCs w:val="22"/>
        </w:rPr>
        <w:t>(UK Parliament POST, 2025).</w:t>
      </w:r>
    </w:p>
    <w:p w14:paraId="247B455C" w14:textId="336C88E4" w:rsidR="000858F3" w:rsidRPr="00BB73D0" w:rsidRDefault="0028080A" w:rsidP="000858F3">
      <w:pPr>
        <w:pStyle w:val="NormalWeb"/>
        <w:spacing w:line="360" w:lineRule="auto"/>
        <w:rPr>
          <w:rFonts w:ascii="Arial" w:hAnsi="Arial" w:cs="Arial"/>
          <w:sz w:val="28"/>
          <w:szCs w:val="28"/>
        </w:rPr>
      </w:pPr>
      <w:r w:rsidRPr="00BB73D0">
        <w:rPr>
          <w:rFonts w:ascii="Arial" w:hAnsi="Arial" w:cs="Arial"/>
          <w:sz w:val="28"/>
          <w:szCs w:val="28"/>
        </w:rPr>
        <w:t>4.3.5</w:t>
      </w:r>
      <w:r w:rsidR="00BB73D0" w:rsidRPr="00BB73D0">
        <w:rPr>
          <w:rFonts w:ascii="Arial" w:hAnsi="Arial" w:cs="Arial"/>
          <w:sz w:val="28"/>
          <w:szCs w:val="28"/>
        </w:rPr>
        <w:t xml:space="preserve"> </w:t>
      </w:r>
      <w:r w:rsidR="00C267E2" w:rsidRPr="00BB73D0">
        <w:rPr>
          <w:rFonts w:ascii="Arial" w:hAnsi="Arial" w:cs="Arial"/>
          <w:sz w:val="28"/>
          <w:szCs w:val="28"/>
        </w:rPr>
        <w:t>Theories, Policies, and Legislation</w:t>
      </w:r>
    </w:p>
    <w:p w14:paraId="3018FC86" w14:textId="77777777" w:rsidR="00A550DC" w:rsidRPr="00A550DC" w:rsidRDefault="008F6561" w:rsidP="00A550DC">
      <w:pPr>
        <w:rPr>
          <w:rFonts w:ascii="Arial" w:hAnsi="Arial" w:cs="Arial"/>
        </w:rPr>
      </w:pPr>
      <w:r w:rsidRPr="00A550DC">
        <w:rPr>
          <w:rFonts w:ascii="Arial" w:hAnsi="Arial" w:cs="Arial"/>
        </w:rPr>
        <w:t xml:space="preserve">The findings in this theme align closely with Labour Market Segmentation Theory, which states that sectors with low pay and difficult working conditions often encounter recruiting challenges </w:t>
      </w:r>
      <w:r w:rsidRPr="00A550DC">
        <w:rPr>
          <w:rFonts w:ascii="Arial" w:hAnsi="Arial" w:cs="Arial"/>
          <w:color w:val="EE0000"/>
        </w:rPr>
        <w:t xml:space="preserve">(International Labour Organization, 2023). </w:t>
      </w:r>
      <w:r w:rsidRPr="00A550DC">
        <w:rPr>
          <w:rFonts w:ascii="Arial" w:hAnsi="Arial" w:cs="Arial"/>
        </w:rPr>
        <w:t>The reliance on foreign workers identified in Papers 1, 2, and 3 provides support to this perspective, as migrant labour is increasingly used to fill vacancies that have proven difficult to recruit domestically.</w:t>
      </w:r>
    </w:p>
    <w:p w14:paraId="342851A7" w14:textId="01F3AB39" w:rsidR="003B62A1" w:rsidRDefault="008B284C" w:rsidP="003B62A1">
      <w:pPr>
        <w:pStyle w:val="NormalWeb"/>
        <w:spacing w:line="360" w:lineRule="auto"/>
        <w:rPr>
          <w:rFonts w:ascii="Arial" w:hAnsi="Arial" w:cs="Arial"/>
          <w:sz w:val="22"/>
          <w:szCs w:val="22"/>
        </w:rPr>
      </w:pPr>
      <w:r w:rsidRPr="00A550DC">
        <w:rPr>
          <w:rFonts w:ascii="Arial" w:hAnsi="Arial" w:cs="Arial"/>
          <w:sz w:val="22"/>
          <w:szCs w:val="22"/>
        </w:rPr>
        <w:lastRenderedPageBreak/>
        <w:t xml:space="preserve">Policy developments have also had an impact on workforce supply in ASC. The Health and Care Worker visa established a specialised immigration channel, allowing care providers to employ overseas workers to address staffing gaps </w:t>
      </w:r>
      <w:r w:rsidRPr="00A550DC">
        <w:rPr>
          <w:rFonts w:ascii="Arial" w:hAnsi="Arial" w:cs="Arial"/>
          <w:color w:val="EE0000"/>
          <w:sz w:val="22"/>
          <w:szCs w:val="22"/>
        </w:rPr>
        <w:t xml:space="preserve">(GOV.UK, 2021). </w:t>
      </w:r>
      <w:r w:rsidRPr="00A550DC">
        <w:rPr>
          <w:rFonts w:ascii="Arial" w:hAnsi="Arial" w:cs="Arial"/>
          <w:sz w:val="22"/>
          <w:szCs w:val="22"/>
        </w:rPr>
        <w:t>Furthermore, the inclusion of care roles on the S</w:t>
      </w:r>
      <w:r w:rsidR="00722ED3">
        <w:rPr>
          <w:rFonts w:ascii="Arial" w:hAnsi="Arial" w:cs="Arial"/>
          <w:sz w:val="22"/>
          <w:szCs w:val="22"/>
        </w:rPr>
        <w:t>OL</w:t>
      </w:r>
      <w:r w:rsidRPr="00A550DC">
        <w:rPr>
          <w:rFonts w:ascii="Arial" w:hAnsi="Arial" w:cs="Arial"/>
          <w:sz w:val="22"/>
          <w:szCs w:val="22"/>
        </w:rPr>
        <w:t xml:space="preserve"> specifically acknowledged the sector's long-standing recruiting challenges and gave companies more flexibility to recruit overseas </w:t>
      </w:r>
      <w:r w:rsidRPr="00A550DC">
        <w:rPr>
          <w:rFonts w:ascii="Arial" w:hAnsi="Arial" w:cs="Arial"/>
          <w:color w:val="EE0000"/>
          <w:sz w:val="22"/>
          <w:szCs w:val="22"/>
        </w:rPr>
        <w:t xml:space="preserve">(Migration Advisory Committee, 2023). </w:t>
      </w:r>
      <w:r w:rsidRPr="00A550DC">
        <w:rPr>
          <w:rFonts w:ascii="Arial" w:hAnsi="Arial" w:cs="Arial"/>
          <w:sz w:val="22"/>
          <w:szCs w:val="22"/>
        </w:rPr>
        <w:t>While these approaches have proven to  reduce urgent staffing needs, they have also increased reliance on foreign labour, raising concerns about the workforce's sustainability.</w:t>
      </w:r>
    </w:p>
    <w:p w14:paraId="583024EE" w14:textId="5D2FDD4C" w:rsidR="006E5E68" w:rsidRPr="00BB73D0" w:rsidRDefault="00BB73D0" w:rsidP="006E5E68">
      <w:pPr>
        <w:pStyle w:val="NormalWeb"/>
        <w:spacing w:line="360" w:lineRule="auto"/>
        <w:rPr>
          <w:rFonts w:ascii="Arial" w:hAnsi="Arial" w:cs="Arial"/>
          <w:sz w:val="28"/>
          <w:szCs w:val="28"/>
        </w:rPr>
      </w:pPr>
      <w:r w:rsidRPr="00BB73D0">
        <w:rPr>
          <w:rFonts w:ascii="Arial" w:hAnsi="Arial" w:cs="Arial"/>
          <w:sz w:val="28"/>
          <w:szCs w:val="28"/>
        </w:rPr>
        <w:t xml:space="preserve">4.3.6 </w:t>
      </w:r>
      <w:r w:rsidR="00C267E2" w:rsidRPr="00BB73D0">
        <w:rPr>
          <w:rFonts w:ascii="Arial" w:hAnsi="Arial" w:cs="Arial"/>
          <w:sz w:val="28"/>
          <w:szCs w:val="28"/>
        </w:rPr>
        <w:t>Implications</w:t>
      </w:r>
    </w:p>
    <w:p w14:paraId="3F99095F" w14:textId="55CF8A5E" w:rsidR="006E5E68" w:rsidRPr="006E5E68" w:rsidRDefault="006E5E68" w:rsidP="006E5E68">
      <w:pPr>
        <w:pStyle w:val="NormalWeb"/>
        <w:spacing w:line="360" w:lineRule="auto"/>
        <w:rPr>
          <w:rFonts w:ascii="Arial" w:hAnsi="Arial" w:cs="Arial"/>
          <w:b/>
          <w:bCs/>
          <w:sz w:val="22"/>
          <w:szCs w:val="22"/>
        </w:rPr>
      </w:pPr>
      <w:r w:rsidRPr="006E5E68">
        <w:rPr>
          <w:rFonts w:ascii="Arial" w:hAnsi="Arial" w:cs="Arial"/>
          <w:color w:val="000000"/>
          <w:sz w:val="22"/>
          <w:szCs w:val="22"/>
        </w:rPr>
        <w:t xml:space="preserve">The findings indicate that migrant workers contribute significantly to the sustainability of the workforce by filling staffing gaps and ensuring continuity of care. For example, Turnpenny and Hussein (2022) highlight the significance of migrant workers in maintaining care services, while Arfeen </w:t>
      </w:r>
      <w:r w:rsidRPr="00797A5B">
        <w:rPr>
          <w:rFonts w:ascii="Arial" w:hAnsi="Arial" w:cs="Arial"/>
          <w:i/>
          <w:iCs/>
          <w:color w:val="000000"/>
          <w:sz w:val="22"/>
          <w:szCs w:val="22"/>
        </w:rPr>
        <w:t>et al.</w:t>
      </w:r>
      <w:r w:rsidR="00797A5B">
        <w:rPr>
          <w:rFonts w:ascii="Arial" w:hAnsi="Arial" w:cs="Arial"/>
          <w:color w:val="000000"/>
          <w:sz w:val="22"/>
          <w:szCs w:val="22"/>
        </w:rPr>
        <w:t>,</w:t>
      </w:r>
      <w:r w:rsidRPr="006E5E68">
        <w:rPr>
          <w:rFonts w:ascii="Arial" w:hAnsi="Arial" w:cs="Arial"/>
          <w:color w:val="000000"/>
          <w:sz w:val="22"/>
          <w:szCs w:val="22"/>
        </w:rPr>
        <w:t xml:space="preserve"> (2025) highlight the increasing reliance on migrant workers to address staffing shortages. However, as the impact of Brexit on recruitment patterns shows, a greater reliance on migrant labour may make the sector more vulnerable to changes in policy. Furthermore, Marino and Keizer (2023) and Edwards </w:t>
      </w:r>
      <w:r w:rsidRPr="00392372">
        <w:rPr>
          <w:rFonts w:ascii="Arial" w:hAnsi="Arial" w:cs="Arial"/>
          <w:i/>
          <w:iCs/>
          <w:color w:val="000000"/>
          <w:sz w:val="22"/>
          <w:szCs w:val="22"/>
        </w:rPr>
        <w:t>et al.</w:t>
      </w:r>
      <w:r w:rsidR="00392372">
        <w:rPr>
          <w:rFonts w:ascii="Arial" w:hAnsi="Arial" w:cs="Arial"/>
          <w:i/>
          <w:iCs/>
          <w:color w:val="000000"/>
          <w:sz w:val="22"/>
          <w:szCs w:val="22"/>
        </w:rPr>
        <w:t>,</w:t>
      </w:r>
      <w:r w:rsidRPr="006E5E68">
        <w:rPr>
          <w:rFonts w:ascii="Arial" w:hAnsi="Arial" w:cs="Arial"/>
          <w:color w:val="000000"/>
          <w:sz w:val="22"/>
          <w:szCs w:val="22"/>
        </w:rPr>
        <w:t xml:space="preserve"> (2022) suggest that if issues such as low wages, limited career progression, and retention challenges persist, international recruitment may not be sufficient to address labour shortages. As a result, migrant workers contribute significantly to the ASC workforce, although long-term workforce planning remains crucial.</w:t>
      </w:r>
      <w:r w:rsidR="00392372">
        <w:rPr>
          <w:rFonts w:ascii="Arial" w:hAnsi="Arial" w:cs="Arial"/>
          <w:color w:val="000000"/>
          <w:sz w:val="22"/>
          <w:szCs w:val="22"/>
        </w:rPr>
        <w:t xml:space="preserve"> </w:t>
      </w:r>
    </w:p>
    <w:p w14:paraId="6D50BEC4" w14:textId="1F72303B" w:rsidR="00C267E2" w:rsidRPr="00BB73D0" w:rsidRDefault="00BB73D0" w:rsidP="00842F37">
      <w:pPr>
        <w:pStyle w:val="Heading4"/>
        <w:jc w:val="left"/>
        <w:rPr>
          <w:rFonts w:ascii="Arial" w:hAnsi="Arial" w:cs="Arial"/>
          <w:i w:val="0"/>
          <w:iCs w:val="0"/>
          <w:color w:val="000000" w:themeColor="text1"/>
          <w:sz w:val="28"/>
          <w:szCs w:val="28"/>
        </w:rPr>
      </w:pPr>
      <w:r w:rsidRPr="00BB73D0">
        <w:rPr>
          <w:rFonts w:ascii="Arial" w:hAnsi="Arial" w:cs="Arial"/>
          <w:i w:val="0"/>
          <w:iCs w:val="0"/>
          <w:color w:val="000000" w:themeColor="text1"/>
          <w:sz w:val="28"/>
          <w:szCs w:val="28"/>
        </w:rPr>
        <w:t xml:space="preserve">4.3.7 </w:t>
      </w:r>
      <w:r w:rsidR="00C267E2" w:rsidRPr="00BB73D0">
        <w:rPr>
          <w:rFonts w:ascii="Arial" w:hAnsi="Arial" w:cs="Arial"/>
          <w:i w:val="0"/>
          <w:iCs w:val="0"/>
          <w:color w:val="000000" w:themeColor="text1"/>
          <w:sz w:val="28"/>
          <w:szCs w:val="28"/>
        </w:rPr>
        <w:t>Examples from Your Articles</w:t>
      </w:r>
    </w:p>
    <w:p w14:paraId="693DFF28" w14:textId="399604AD" w:rsidR="00112B55" w:rsidRPr="00905763" w:rsidRDefault="005821CE" w:rsidP="00842F37">
      <w:pPr>
        <w:pStyle w:val="NormalWeb"/>
        <w:spacing w:line="360" w:lineRule="auto"/>
        <w:rPr>
          <w:rFonts w:ascii="Arial" w:hAnsi="Arial" w:cs="Arial"/>
          <w:color w:val="000000"/>
          <w:sz w:val="22"/>
          <w:szCs w:val="22"/>
        </w:rPr>
      </w:pPr>
      <w:r w:rsidRPr="004111D8">
        <w:rPr>
          <w:rFonts w:ascii="Arial" w:hAnsi="Arial" w:cs="Arial"/>
          <w:color w:val="000000"/>
          <w:sz w:val="22"/>
          <w:szCs w:val="22"/>
        </w:rPr>
        <w:t xml:space="preserve">Papers 1 (Arfeen </w:t>
      </w:r>
      <w:r w:rsidRPr="004111D8">
        <w:rPr>
          <w:rFonts w:ascii="Arial" w:hAnsi="Arial" w:cs="Arial"/>
          <w:i/>
          <w:iCs/>
          <w:color w:val="000000"/>
          <w:sz w:val="22"/>
          <w:szCs w:val="22"/>
        </w:rPr>
        <w:t>et al.,</w:t>
      </w:r>
      <w:r w:rsidRPr="004111D8">
        <w:rPr>
          <w:rFonts w:ascii="Arial" w:hAnsi="Arial" w:cs="Arial"/>
          <w:color w:val="000000"/>
          <w:sz w:val="22"/>
          <w:szCs w:val="22"/>
        </w:rPr>
        <w:t xml:space="preserve"> 2025), 2 (Turnpenny and Hussein, 2022), and 3 (Marino and Keizer, 2023) highlight the important role migrant workers play in addressing workforce shortages within the UK ASC sector.</w:t>
      </w:r>
      <w:r w:rsidR="004111D8">
        <w:rPr>
          <w:rFonts w:ascii="-webkit-standard" w:hAnsi="-webkit-standard"/>
          <w:color w:val="000000"/>
          <w:sz w:val="27"/>
          <w:szCs w:val="27"/>
        </w:rPr>
        <w:t xml:space="preserve"> </w:t>
      </w:r>
      <w:r w:rsidR="00112B55" w:rsidRPr="00905763">
        <w:rPr>
          <w:rFonts w:ascii="Arial" w:hAnsi="Arial" w:cs="Arial"/>
          <w:color w:val="000000"/>
          <w:sz w:val="22"/>
          <w:szCs w:val="22"/>
        </w:rPr>
        <w:t>Paper 1 argues that migrant workers have become increasingly important in maintaining health and care services as recruitment challenges continue. Similarly, Paper 2 found that migrant home care workers contribute significantly to service sustainability by filling staffing gaps and ensuring continuity of care. These studies agree that migrant workers play a crucial role in helping the sector respond to ongoing workforce shortages.</w:t>
      </w:r>
    </w:p>
    <w:p w14:paraId="42B779C4" w14:textId="77777777" w:rsidR="00C914EA" w:rsidRPr="00033E34" w:rsidRDefault="00C914EA" w:rsidP="00033E34">
      <w:pPr>
        <w:pStyle w:val="isselectedend"/>
        <w:spacing w:line="360" w:lineRule="auto"/>
        <w:rPr>
          <w:rFonts w:ascii="Arial" w:hAnsi="Arial" w:cs="Arial"/>
          <w:color w:val="000000"/>
          <w:sz w:val="22"/>
          <w:szCs w:val="22"/>
        </w:rPr>
      </w:pPr>
      <w:r w:rsidRPr="00033E34">
        <w:rPr>
          <w:rFonts w:ascii="Arial" w:hAnsi="Arial" w:cs="Arial"/>
          <w:color w:val="000000"/>
          <w:sz w:val="22"/>
          <w:szCs w:val="22"/>
        </w:rPr>
        <w:t xml:space="preserve">However, Paper 3 presents a slightly different perspective, arguing that reliance on migrant labour is driven not only by workforce shortages but also by labour market regulation and employment structures within the care sector. This suggests that demand for migrant </w:t>
      </w:r>
      <w:r w:rsidRPr="00033E34">
        <w:rPr>
          <w:rFonts w:ascii="Arial" w:hAnsi="Arial" w:cs="Arial"/>
          <w:color w:val="000000"/>
          <w:sz w:val="22"/>
          <w:szCs w:val="22"/>
        </w:rPr>
        <w:lastRenderedPageBreak/>
        <w:t>workers may reflect wider structural challenges, including low pay and recruitment difficulties, rather than simply a shortage of available workers.</w:t>
      </w:r>
    </w:p>
    <w:p w14:paraId="13C71DC9" w14:textId="77777777" w:rsidR="00C914EA" w:rsidRPr="00033E34" w:rsidRDefault="00C914EA" w:rsidP="00033E34">
      <w:pPr>
        <w:pStyle w:val="NormalWeb"/>
        <w:spacing w:line="360" w:lineRule="auto"/>
        <w:rPr>
          <w:rFonts w:ascii="Arial" w:hAnsi="Arial" w:cs="Arial"/>
          <w:color w:val="000000"/>
          <w:sz w:val="22"/>
          <w:szCs w:val="22"/>
        </w:rPr>
      </w:pPr>
      <w:r w:rsidRPr="00033E34">
        <w:rPr>
          <w:rFonts w:ascii="Arial" w:hAnsi="Arial" w:cs="Arial"/>
          <w:color w:val="000000"/>
          <w:sz w:val="22"/>
          <w:szCs w:val="22"/>
        </w:rPr>
        <w:t>Collectively, these findings support the research question by demonstrating that migrant workers make a significant contribution to workforce sustainability. However, the evidence also suggests that international recruitment alone is unlikely to resolve workforce shortages unless underlying workforce challenges are addressed.</w:t>
      </w:r>
    </w:p>
    <w:p w14:paraId="00C1CFCB" w14:textId="763BFECB" w:rsidR="00B70F08" w:rsidRPr="00BB73D0" w:rsidRDefault="00BB73D0" w:rsidP="00B70F08">
      <w:pPr>
        <w:pStyle w:val="NormalWeb"/>
        <w:spacing w:line="360" w:lineRule="auto"/>
        <w:rPr>
          <w:rFonts w:ascii="Arial" w:hAnsi="Arial" w:cs="Arial"/>
          <w:sz w:val="28"/>
          <w:szCs w:val="28"/>
        </w:rPr>
      </w:pPr>
      <w:r w:rsidRPr="00BB73D0">
        <w:rPr>
          <w:rFonts w:ascii="Arial" w:hAnsi="Arial" w:cs="Arial"/>
          <w:sz w:val="28"/>
          <w:szCs w:val="28"/>
        </w:rPr>
        <w:t xml:space="preserve">4.3.8 </w:t>
      </w:r>
      <w:r w:rsidR="00C267E2" w:rsidRPr="00BB73D0">
        <w:rPr>
          <w:rFonts w:ascii="Arial" w:hAnsi="Arial" w:cs="Arial"/>
          <w:sz w:val="28"/>
          <w:szCs w:val="28"/>
        </w:rPr>
        <w:t>Connections to Other Themes</w:t>
      </w:r>
    </w:p>
    <w:p w14:paraId="32B28E81" w14:textId="4991A6AB" w:rsidR="00574F1D" w:rsidRPr="001C43ED" w:rsidRDefault="008A53E9" w:rsidP="00DE1278">
      <w:pPr>
        <w:pStyle w:val="NormalWeb"/>
        <w:spacing w:line="360" w:lineRule="auto"/>
        <w:rPr>
          <w:rFonts w:ascii="Arial" w:hAnsi="Arial" w:cs="Arial"/>
          <w:color w:val="EE0000"/>
          <w:sz w:val="22"/>
          <w:szCs w:val="22"/>
        </w:rPr>
      </w:pPr>
      <w:r w:rsidRPr="001C43ED">
        <w:rPr>
          <w:rFonts w:ascii="Arial" w:hAnsi="Arial" w:cs="Arial"/>
          <w:color w:val="000000"/>
          <w:sz w:val="22"/>
          <w:szCs w:val="22"/>
        </w:rPr>
        <w:t>This theme is closely connected to Theme 2, Migration Policy and International Recruitment, and Theme 3, Migrant Worker Experiences, Wellbeing and Workforce Sustainability. Workforce shortages have increased the sector's reliance on international recruitment, making migration policy an important factor influencing workforce supply. At the same time, long-term workforce sustainability depends not only on attracting migrant workers but also on supporting their wellbeing, job satisfaction, and retention. Consequently, these themes are interconnected and collectively influence the sustainability of the UK ASC workforce.</w:t>
      </w:r>
    </w:p>
    <w:p w14:paraId="74B18A6F" w14:textId="77777777" w:rsidR="006E73B2" w:rsidRPr="002C7971" w:rsidRDefault="00C267E2" w:rsidP="000E42ED">
      <w:pPr>
        <w:pStyle w:val="Heading2"/>
        <w:jc w:val="left"/>
        <w:rPr>
          <w:rFonts w:ascii="Arial" w:eastAsia="Times New Roman" w:hAnsi="Arial" w:cs="Arial"/>
          <w:b/>
          <w:bCs/>
          <w:color w:val="000000" w:themeColor="text1"/>
          <w:lang w:eastAsia="en-GB"/>
        </w:rPr>
      </w:pPr>
      <w:r w:rsidRPr="002C7971">
        <w:rPr>
          <w:rFonts w:ascii="Arial" w:hAnsi="Arial" w:cs="Arial"/>
          <w:b/>
          <w:bCs/>
          <w:color w:val="000000" w:themeColor="text1"/>
        </w:rPr>
        <w:t xml:space="preserve">4.4 – Theme 2 </w:t>
      </w:r>
      <w:r w:rsidR="006E73B2" w:rsidRPr="002C7971">
        <w:rPr>
          <w:rFonts w:ascii="Arial" w:hAnsi="Arial" w:cs="Arial"/>
          <w:b/>
          <w:bCs/>
          <w:color w:val="000000" w:themeColor="text1"/>
        </w:rPr>
        <w:t>Migration Policy and International Recruitment</w:t>
      </w:r>
    </w:p>
    <w:p w14:paraId="5A18C2D7" w14:textId="24A39B3D" w:rsidR="006E73B2" w:rsidRPr="00135687" w:rsidRDefault="00135687" w:rsidP="000E42ED">
      <w:pPr>
        <w:pStyle w:val="Heading3"/>
        <w:jc w:val="left"/>
        <w:rPr>
          <w:rFonts w:ascii="Arial" w:hAnsi="Arial" w:cs="Arial"/>
          <w:color w:val="000000"/>
        </w:rPr>
      </w:pPr>
      <w:r w:rsidRPr="00135687">
        <w:rPr>
          <w:rFonts w:ascii="Arial" w:hAnsi="Arial" w:cs="Arial"/>
          <w:color w:val="000000"/>
        </w:rPr>
        <w:t xml:space="preserve">4.4.1 </w:t>
      </w:r>
      <w:r w:rsidR="006E73B2" w:rsidRPr="00135687">
        <w:rPr>
          <w:rFonts w:ascii="Arial" w:hAnsi="Arial" w:cs="Arial"/>
          <w:color w:val="000000"/>
        </w:rPr>
        <w:t>Definition</w:t>
      </w:r>
    </w:p>
    <w:p w14:paraId="19CB0C32" w14:textId="49911CB3" w:rsidR="002F4EE0" w:rsidRPr="00F92D3C" w:rsidRDefault="003B6797" w:rsidP="00C267E2">
      <w:pPr>
        <w:pStyle w:val="Heading4"/>
        <w:rPr>
          <w:rFonts w:ascii="Arial" w:hAnsi="Arial" w:cs="Arial"/>
          <w:b/>
          <w:bCs/>
          <w:i w:val="0"/>
          <w:iCs w:val="0"/>
          <w:color w:val="000000"/>
        </w:rPr>
      </w:pPr>
      <w:r w:rsidRPr="00F92D3C">
        <w:rPr>
          <w:rFonts w:ascii="Arial" w:hAnsi="Arial" w:cs="Arial"/>
          <w:i w:val="0"/>
          <w:iCs w:val="0"/>
          <w:color w:val="000000"/>
        </w:rPr>
        <w:t xml:space="preserve">Migration policy refers to laws, regulations, and government strategies that govern the movement, entry, and employment of individuals across national borders </w:t>
      </w:r>
      <w:r w:rsidRPr="00F92D3C">
        <w:rPr>
          <w:rFonts w:ascii="Arial" w:hAnsi="Arial" w:cs="Arial"/>
          <w:i w:val="0"/>
          <w:iCs w:val="0"/>
          <w:color w:val="EE0000"/>
        </w:rPr>
        <w:t xml:space="preserve">(Dias-Abey, 2021). </w:t>
      </w:r>
      <w:r w:rsidRPr="00F92D3C">
        <w:rPr>
          <w:rFonts w:ascii="Arial" w:hAnsi="Arial" w:cs="Arial"/>
          <w:i w:val="0"/>
          <w:iCs w:val="0"/>
          <w:color w:val="000000"/>
        </w:rPr>
        <w:t xml:space="preserve">Within the UK ASC industry, migration policy influences the labour supply by establishing who is eligible to work in the country through visa channels and immigration restrictions </w:t>
      </w:r>
      <w:r w:rsidRPr="000803A8">
        <w:rPr>
          <w:rFonts w:ascii="Arial" w:hAnsi="Arial" w:cs="Arial"/>
          <w:i w:val="0"/>
          <w:iCs w:val="0"/>
          <w:color w:val="EE0000"/>
        </w:rPr>
        <w:t xml:space="preserve">(Migration Advisory Committee, 2023). </w:t>
      </w:r>
      <w:r w:rsidRPr="00F92D3C">
        <w:rPr>
          <w:rFonts w:ascii="Arial" w:hAnsi="Arial" w:cs="Arial"/>
          <w:i w:val="0"/>
          <w:iCs w:val="0"/>
          <w:color w:val="000000"/>
        </w:rPr>
        <w:t xml:space="preserve">International recruiting is the process of recruiting workers from other countries to tackle labour shortages and improve service delivery </w:t>
      </w:r>
      <w:r w:rsidRPr="000803A8">
        <w:rPr>
          <w:rFonts w:ascii="Arial" w:hAnsi="Arial" w:cs="Arial"/>
          <w:i w:val="0"/>
          <w:iCs w:val="0"/>
          <w:color w:val="EE0000"/>
        </w:rPr>
        <w:t>(International Labour Organization, 2024).</w:t>
      </w:r>
      <w:r w:rsidRPr="00F92D3C">
        <w:rPr>
          <w:rFonts w:ascii="Arial" w:hAnsi="Arial" w:cs="Arial"/>
          <w:i w:val="0"/>
          <w:iCs w:val="0"/>
          <w:color w:val="000000"/>
        </w:rPr>
        <w:t xml:space="preserve"> This theme focuses on how migration rules and foreign recruitment techniques have influenced workforce sustainability and the industry's reliance on migrant workers </w:t>
      </w:r>
      <w:r w:rsidR="00F43485" w:rsidRPr="00ED2575">
        <w:rPr>
          <w:rFonts w:ascii="Arial" w:hAnsi="Arial" w:cs="Arial"/>
          <w:i w:val="0"/>
          <w:iCs w:val="0"/>
          <w:color w:val="EE0000"/>
        </w:rPr>
        <w:t>(Turnpenny and Hussein, 2022).</w:t>
      </w:r>
    </w:p>
    <w:p w14:paraId="75194354" w14:textId="77777777" w:rsidR="00990B72" w:rsidRPr="00441CE1" w:rsidRDefault="00990B72" w:rsidP="00C267E2">
      <w:pPr>
        <w:pStyle w:val="Heading4"/>
        <w:rPr>
          <w:rFonts w:ascii="Arial" w:hAnsi="Arial" w:cs="Arial"/>
          <w:i w:val="0"/>
          <w:iCs w:val="0"/>
          <w:color w:val="000000" w:themeColor="text1"/>
          <w:sz w:val="28"/>
          <w:szCs w:val="28"/>
        </w:rPr>
      </w:pPr>
    </w:p>
    <w:p w14:paraId="370044A0" w14:textId="67D5B4D8" w:rsidR="00C267E2" w:rsidRPr="00441CE1" w:rsidRDefault="00135687" w:rsidP="00C267E2">
      <w:pPr>
        <w:pStyle w:val="Heading4"/>
        <w:rPr>
          <w:rFonts w:ascii="Arial" w:hAnsi="Arial" w:cs="Arial"/>
          <w:i w:val="0"/>
          <w:iCs w:val="0"/>
          <w:color w:val="000000" w:themeColor="text1"/>
          <w:sz w:val="28"/>
          <w:szCs w:val="28"/>
        </w:rPr>
      </w:pPr>
      <w:r w:rsidRPr="00441CE1">
        <w:rPr>
          <w:rFonts w:ascii="Arial" w:hAnsi="Arial" w:cs="Arial"/>
          <w:i w:val="0"/>
          <w:iCs w:val="0"/>
          <w:color w:val="000000" w:themeColor="text1"/>
          <w:sz w:val="28"/>
          <w:szCs w:val="28"/>
        </w:rPr>
        <w:t>4.4</w:t>
      </w:r>
      <w:r w:rsidR="00441CE1" w:rsidRPr="00441CE1">
        <w:rPr>
          <w:rFonts w:ascii="Arial" w:hAnsi="Arial" w:cs="Arial"/>
          <w:i w:val="0"/>
          <w:iCs w:val="0"/>
          <w:color w:val="000000" w:themeColor="text1"/>
          <w:sz w:val="28"/>
          <w:szCs w:val="28"/>
        </w:rPr>
        <w:t xml:space="preserve">.2 </w:t>
      </w:r>
      <w:r w:rsidR="00C267E2" w:rsidRPr="00441CE1">
        <w:rPr>
          <w:rFonts w:ascii="Arial" w:hAnsi="Arial" w:cs="Arial"/>
          <w:i w:val="0"/>
          <w:iCs w:val="0"/>
          <w:color w:val="000000" w:themeColor="text1"/>
          <w:sz w:val="28"/>
          <w:szCs w:val="28"/>
        </w:rPr>
        <w:t>Background Information</w:t>
      </w:r>
    </w:p>
    <w:p w14:paraId="2ADA4618" w14:textId="3E814841" w:rsidR="005567DE" w:rsidRPr="00BD678D" w:rsidRDefault="00D7037F" w:rsidP="005567DE">
      <w:pPr>
        <w:rPr>
          <w:rFonts w:ascii="Arial" w:hAnsi="Arial" w:cs="Arial"/>
          <w:b/>
          <w:bCs/>
          <w:color w:val="EE0000"/>
        </w:rPr>
      </w:pPr>
      <w:r w:rsidRPr="00D7037F">
        <w:rPr>
          <w:rFonts w:ascii="Arial" w:hAnsi="Arial" w:cs="Arial"/>
          <w:color w:val="000000"/>
        </w:rPr>
        <w:t xml:space="preserve">Migration policy has become increasingly crucial in shaping the workforce supply in the UK ASC sector. Historically, migrant workers have contributed to addressing labour shortages, </w:t>
      </w:r>
      <w:r w:rsidRPr="00D7037F">
        <w:rPr>
          <w:rFonts w:ascii="Arial" w:hAnsi="Arial" w:cs="Arial"/>
          <w:color w:val="000000"/>
        </w:rPr>
        <w:lastRenderedPageBreak/>
        <w:t xml:space="preserve">particularly as the European Union expanded in the early 2000s, increasing labour mobility across member states </w:t>
      </w:r>
      <w:r w:rsidRPr="00BD678D">
        <w:rPr>
          <w:rFonts w:ascii="Arial" w:hAnsi="Arial" w:cs="Arial"/>
          <w:color w:val="EE0000"/>
        </w:rPr>
        <w:t>(</w:t>
      </w:r>
      <w:r w:rsidRPr="00BD678D">
        <w:rPr>
          <w:rStyle w:val="Strong"/>
          <w:rFonts w:ascii="Arial" w:hAnsi="Arial" w:cs="Arial"/>
          <w:b w:val="0"/>
          <w:bCs w:val="0"/>
          <w:color w:val="EE0000"/>
        </w:rPr>
        <w:t>Turnpenny and Hussein, 2022</w:t>
      </w:r>
      <w:r w:rsidRPr="00BD678D">
        <w:rPr>
          <w:rFonts w:ascii="Arial" w:hAnsi="Arial" w:cs="Arial"/>
          <w:color w:val="EE0000"/>
        </w:rPr>
        <w:t xml:space="preserve">). </w:t>
      </w:r>
      <w:r w:rsidRPr="00D7037F">
        <w:rPr>
          <w:rFonts w:ascii="Arial" w:hAnsi="Arial" w:cs="Arial"/>
          <w:color w:val="000000"/>
        </w:rPr>
        <w:t xml:space="preserve">However, the UK's exit from the European Union resulted in a substantial shift in migration policy, with the termination of free movement and the introduction of new immigration restrictions for foreign workers </w:t>
      </w:r>
      <w:r w:rsidRPr="00BD678D">
        <w:rPr>
          <w:rFonts w:ascii="Arial" w:hAnsi="Arial" w:cs="Arial"/>
          <w:color w:val="EE0000"/>
        </w:rPr>
        <w:t>(</w:t>
      </w:r>
      <w:r w:rsidRPr="00BD678D">
        <w:rPr>
          <w:rStyle w:val="Strong"/>
          <w:rFonts w:ascii="Arial" w:hAnsi="Arial" w:cs="Arial"/>
          <w:b w:val="0"/>
          <w:bCs w:val="0"/>
          <w:color w:val="EE0000"/>
        </w:rPr>
        <w:t>Portes and Springford, 2023</w:t>
      </w:r>
      <w:r w:rsidRPr="00BD678D">
        <w:rPr>
          <w:rFonts w:ascii="Arial" w:hAnsi="Arial" w:cs="Arial"/>
          <w:color w:val="EE0000"/>
        </w:rPr>
        <w:t>).</w:t>
      </w:r>
    </w:p>
    <w:p w14:paraId="3AAED9F7" w14:textId="77777777" w:rsidR="00853963" w:rsidRPr="00CB7C92" w:rsidRDefault="00853963" w:rsidP="00CB7C92">
      <w:pPr>
        <w:pStyle w:val="pdq2pgselectionanchorcontainer"/>
        <w:spacing w:line="360" w:lineRule="auto"/>
        <w:rPr>
          <w:rFonts w:ascii="Arial" w:hAnsi="Arial" w:cs="Arial"/>
          <w:color w:val="EE0000"/>
          <w:sz w:val="22"/>
          <w:szCs w:val="22"/>
        </w:rPr>
      </w:pPr>
      <w:r w:rsidRPr="003369D1">
        <w:rPr>
          <w:rFonts w:ascii="Arial" w:hAnsi="Arial" w:cs="Arial"/>
          <w:color w:val="000000"/>
          <w:sz w:val="22"/>
          <w:szCs w:val="22"/>
        </w:rPr>
        <w:t>In response to growing workforce shortages, new visa pathways were established to facilitate the recruitment of international health and care professionals (</w:t>
      </w:r>
      <w:r w:rsidRPr="00CB7C92">
        <w:rPr>
          <w:rStyle w:val="Strong"/>
          <w:rFonts w:ascii="Arial" w:hAnsi="Arial" w:cs="Arial"/>
          <w:b w:val="0"/>
          <w:bCs w:val="0"/>
          <w:color w:val="EE0000"/>
          <w:sz w:val="22"/>
          <w:szCs w:val="22"/>
        </w:rPr>
        <w:t>Department of Health and Social Care, 2024</w:t>
      </w:r>
      <w:r w:rsidRPr="00CB7C92">
        <w:rPr>
          <w:rFonts w:ascii="Arial" w:hAnsi="Arial" w:cs="Arial"/>
          <w:color w:val="EE0000"/>
          <w:sz w:val="22"/>
          <w:szCs w:val="22"/>
        </w:rPr>
        <w:t xml:space="preserve">). </w:t>
      </w:r>
      <w:r w:rsidRPr="003369D1">
        <w:rPr>
          <w:rFonts w:ascii="Arial" w:hAnsi="Arial" w:cs="Arial"/>
          <w:color w:val="000000"/>
          <w:sz w:val="22"/>
          <w:szCs w:val="22"/>
        </w:rPr>
        <w:t xml:space="preserve">As a result, international recruitment has become an increasingly essential workforce strategy within ASC, supporting providers in meeting staffing requirements while raising concerns about long-term workforce sustainability and dependency on migrant employment </w:t>
      </w:r>
      <w:r w:rsidRPr="00CB7C92">
        <w:rPr>
          <w:rFonts w:ascii="Arial" w:hAnsi="Arial" w:cs="Arial"/>
          <w:color w:val="EE0000"/>
          <w:sz w:val="22"/>
          <w:szCs w:val="22"/>
        </w:rPr>
        <w:t>(</w:t>
      </w:r>
      <w:r w:rsidRPr="00CB7C92">
        <w:rPr>
          <w:rStyle w:val="Strong"/>
          <w:rFonts w:ascii="Arial" w:hAnsi="Arial" w:cs="Arial"/>
          <w:b w:val="0"/>
          <w:bCs w:val="0"/>
          <w:color w:val="EE0000"/>
          <w:sz w:val="22"/>
          <w:szCs w:val="22"/>
        </w:rPr>
        <w:t>Local Government Association, 2024</w:t>
      </w:r>
      <w:r w:rsidRPr="00CB7C92">
        <w:rPr>
          <w:rFonts w:ascii="Arial" w:hAnsi="Arial" w:cs="Arial"/>
          <w:color w:val="EE0000"/>
          <w:sz w:val="22"/>
          <w:szCs w:val="22"/>
        </w:rPr>
        <w:t xml:space="preserve">). </w:t>
      </w:r>
      <w:r w:rsidRPr="003369D1">
        <w:rPr>
          <w:rFonts w:ascii="Arial" w:hAnsi="Arial" w:cs="Arial"/>
          <w:color w:val="000000"/>
          <w:sz w:val="22"/>
          <w:szCs w:val="22"/>
        </w:rPr>
        <w:t xml:space="preserve">These developments have made migration policy a key factor influencing both workforce supply and the future stability of the sector </w:t>
      </w:r>
      <w:r w:rsidRPr="00CB7C92">
        <w:rPr>
          <w:rFonts w:ascii="Arial" w:hAnsi="Arial" w:cs="Arial"/>
          <w:color w:val="EE0000"/>
          <w:sz w:val="22"/>
          <w:szCs w:val="22"/>
        </w:rPr>
        <w:t>(</w:t>
      </w:r>
      <w:r w:rsidRPr="00CB7C92">
        <w:rPr>
          <w:rStyle w:val="Strong"/>
          <w:rFonts w:ascii="Arial" w:hAnsi="Arial" w:cs="Arial"/>
          <w:b w:val="0"/>
          <w:bCs w:val="0"/>
          <w:color w:val="EE0000"/>
          <w:sz w:val="22"/>
          <w:szCs w:val="22"/>
        </w:rPr>
        <w:t>Care Quality Commission, 2024</w:t>
      </w:r>
      <w:r w:rsidRPr="00CB7C92">
        <w:rPr>
          <w:rFonts w:ascii="Arial" w:hAnsi="Arial" w:cs="Arial"/>
          <w:color w:val="EE0000"/>
          <w:sz w:val="22"/>
          <w:szCs w:val="22"/>
        </w:rPr>
        <w:t>).</w:t>
      </w:r>
      <w:r w:rsidRPr="00CB7C92">
        <w:rPr>
          <w:rStyle w:val="apple-converted-space"/>
          <w:rFonts w:ascii="Arial" w:hAnsi="Arial" w:cs="Arial"/>
          <w:color w:val="EE0000"/>
          <w:sz w:val="22"/>
          <w:szCs w:val="22"/>
        </w:rPr>
        <w:t> </w:t>
      </w:r>
    </w:p>
    <w:p w14:paraId="2E913F18" w14:textId="3A40F088" w:rsidR="00C267E2" w:rsidRPr="00141B16" w:rsidRDefault="00141B16" w:rsidP="00C267E2">
      <w:pPr>
        <w:pStyle w:val="Heading4"/>
        <w:rPr>
          <w:rFonts w:ascii="Arial" w:hAnsi="Arial" w:cs="Arial"/>
          <w:i w:val="0"/>
          <w:iCs w:val="0"/>
          <w:color w:val="000000" w:themeColor="text1"/>
          <w:sz w:val="28"/>
          <w:szCs w:val="28"/>
        </w:rPr>
      </w:pPr>
      <w:r w:rsidRPr="00141B16">
        <w:rPr>
          <w:rFonts w:ascii="Arial" w:hAnsi="Arial" w:cs="Arial"/>
          <w:i w:val="0"/>
          <w:iCs w:val="0"/>
          <w:color w:val="000000" w:themeColor="text1"/>
          <w:sz w:val="28"/>
          <w:szCs w:val="28"/>
        </w:rPr>
        <w:t xml:space="preserve">4.4.3 </w:t>
      </w:r>
      <w:r w:rsidR="00C267E2" w:rsidRPr="00141B16">
        <w:rPr>
          <w:rFonts w:ascii="Arial" w:hAnsi="Arial" w:cs="Arial"/>
          <w:i w:val="0"/>
          <w:iCs w:val="0"/>
          <w:color w:val="000000" w:themeColor="text1"/>
          <w:sz w:val="28"/>
          <w:szCs w:val="28"/>
        </w:rPr>
        <w:t>Impact on Research Question</w:t>
      </w:r>
    </w:p>
    <w:p w14:paraId="627CC685" w14:textId="737F1326" w:rsidR="002C4852" w:rsidRPr="0045219D" w:rsidRDefault="002C4852" w:rsidP="00C267E2">
      <w:pPr>
        <w:pStyle w:val="Heading4"/>
        <w:rPr>
          <w:rFonts w:ascii="Arial" w:hAnsi="Arial" w:cs="Arial"/>
          <w:i w:val="0"/>
          <w:iCs w:val="0"/>
          <w:color w:val="EE0000"/>
        </w:rPr>
      </w:pPr>
      <w:r w:rsidRPr="00217C0B">
        <w:rPr>
          <w:rFonts w:ascii="Arial" w:hAnsi="Arial" w:cs="Arial"/>
          <w:i w:val="0"/>
          <w:iCs w:val="0"/>
          <w:color w:val="000000"/>
        </w:rPr>
        <w:t xml:space="preserve">This theme is highly relevant to the research question because both migration policy and international recruitment have a direct impact on the availability of migrant workers in the UK ASC workforce. </w:t>
      </w:r>
      <w:r w:rsidRPr="00D52A7F">
        <w:rPr>
          <w:rFonts w:ascii="Arial" w:hAnsi="Arial" w:cs="Arial"/>
          <w:i w:val="0"/>
          <w:iCs w:val="0"/>
          <w:color w:val="EE0000"/>
        </w:rPr>
        <w:t xml:space="preserve">The World Health Organization (2023) </w:t>
      </w:r>
      <w:r w:rsidRPr="00217C0B">
        <w:rPr>
          <w:rFonts w:ascii="Arial" w:hAnsi="Arial" w:cs="Arial"/>
          <w:i w:val="0"/>
          <w:iCs w:val="0"/>
          <w:color w:val="000000"/>
        </w:rPr>
        <w:t>highlights that immigration regulations, visa requirements, and government recruitment strategies can significantly influence care providers' capacity to recruit international employees. According to</w:t>
      </w:r>
      <w:r w:rsidR="004C5E52">
        <w:rPr>
          <w:rFonts w:ascii="Arial" w:hAnsi="Arial" w:cs="Arial"/>
          <w:i w:val="0"/>
          <w:iCs w:val="0"/>
          <w:color w:val="000000"/>
        </w:rPr>
        <w:t xml:space="preserve"> </w:t>
      </w:r>
      <w:r w:rsidR="007B50A4" w:rsidRPr="007B50A4">
        <w:rPr>
          <w:rFonts w:ascii="Arial" w:hAnsi="Arial" w:cs="Arial"/>
          <w:i w:val="0"/>
          <w:iCs w:val="0"/>
          <w:color w:val="EE0000"/>
        </w:rPr>
        <w:t>Gershlick and Charlesworth (2019)</w:t>
      </w:r>
      <w:r w:rsidRPr="007B50A4">
        <w:rPr>
          <w:rFonts w:ascii="Arial" w:hAnsi="Arial" w:cs="Arial"/>
          <w:i w:val="0"/>
          <w:iCs w:val="0"/>
          <w:color w:val="EE0000"/>
        </w:rPr>
        <w:t>,</w:t>
      </w:r>
      <w:r w:rsidRPr="00217C0B">
        <w:rPr>
          <w:rFonts w:ascii="Arial" w:hAnsi="Arial" w:cs="Arial"/>
          <w:i w:val="0"/>
          <w:iCs w:val="0"/>
          <w:color w:val="000000"/>
        </w:rPr>
        <w:t xml:space="preserve"> migrant workers have become increasingly important in addressing workforce shortages, with migration policy becoming a significant factor influencing workforce sustainability. Examining this connection provides insight into whether international recruitment provides a long-term solution to staffing challenges or simply addresses current workforce shortages. As a result, understanding the impact of migration policy is critical for assessing the role migrant workers play in supporting the UK ASC sector </w:t>
      </w:r>
      <w:r w:rsidRPr="0045219D">
        <w:rPr>
          <w:rFonts w:ascii="Arial" w:hAnsi="Arial" w:cs="Arial"/>
          <w:i w:val="0"/>
          <w:iCs w:val="0"/>
          <w:color w:val="EE0000"/>
        </w:rPr>
        <w:t>(Institute for Government, 2025).</w:t>
      </w:r>
    </w:p>
    <w:p w14:paraId="7FA19570" w14:textId="77777777" w:rsidR="00990B72" w:rsidRDefault="00990B72" w:rsidP="00C267E2">
      <w:pPr>
        <w:pStyle w:val="Heading4"/>
        <w:rPr>
          <w:rFonts w:ascii="Arial" w:hAnsi="Arial" w:cs="Arial"/>
          <w:b/>
          <w:bCs/>
          <w:i w:val="0"/>
          <w:iCs w:val="0"/>
          <w:color w:val="000000" w:themeColor="text1"/>
          <w:sz w:val="28"/>
          <w:szCs w:val="28"/>
        </w:rPr>
      </w:pPr>
    </w:p>
    <w:p w14:paraId="07C03B27" w14:textId="606C4357" w:rsidR="00C73471" w:rsidRPr="00D824E3" w:rsidRDefault="00141B16" w:rsidP="00C267E2">
      <w:pPr>
        <w:pStyle w:val="Heading4"/>
        <w:rPr>
          <w:rFonts w:ascii="Arial" w:hAnsi="Arial" w:cs="Arial"/>
          <w:i w:val="0"/>
          <w:iCs w:val="0"/>
          <w:color w:val="000000" w:themeColor="text1"/>
          <w:sz w:val="28"/>
          <w:szCs w:val="28"/>
        </w:rPr>
      </w:pPr>
      <w:r w:rsidRPr="00D824E3">
        <w:rPr>
          <w:rFonts w:ascii="Arial" w:hAnsi="Arial" w:cs="Arial"/>
          <w:i w:val="0"/>
          <w:iCs w:val="0"/>
          <w:color w:val="000000" w:themeColor="text1"/>
          <w:sz w:val="28"/>
          <w:szCs w:val="28"/>
        </w:rPr>
        <w:t>4.4.</w:t>
      </w:r>
      <w:r w:rsidR="00D824E3" w:rsidRPr="00D824E3">
        <w:rPr>
          <w:rFonts w:ascii="Arial" w:hAnsi="Arial" w:cs="Arial"/>
          <w:i w:val="0"/>
          <w:iCs w:val="0"/>
          <w:color w:val="000000" w:themeColor="text1"/>
          <w:sz w:val="28"/>
          <w:szCs w:val="28"/>
        </w:rPr>
        <w:t xml:space="preserve">4 </w:t>
      </w:r>
      <w:r w:rsidR="00C267E2" w:rsidRPr="00D824E3">
        <w:rPr>
          <w:rFonts w:ascii="Arial" w:hAnsi="Arial" w:cs="Arial"/>
          <w:i w:val="0"/>
          <w:iCs w:val="0"/>
          <w:color w:val="000000" w:themeColor="text1"/>
          <w:sz w:val="28"/>
          <w:szCs w:val="28"/>
        </w:rPr>
        <w:t>Statistical Information</w:t>
      </w:r>
    </w:p>
    <w:p w14:paraId="144FA887" w14:textId="77777777" w:rsidR="007A38B6" w:rsidRPr="00D9653D" w:rsidRDefault="007A38B6" w:rsidP="00D9653D">
      <w:pPr>
        <w:pStyle w:val="isselectedend"/>
        <w:spacing w:line="360" w:lineRule="auto"/>
        <w:rPr>
          <w:rFonts w:ascii="Arial" w:hAnsi="Arial" w:cs="Arial"/>
          <w:color w:val="000000"/>
          <w:sz w:val="22"/>
          <w:szCs w:val="22"/>
        </w:rPr>
      </w:pPr>
      <w:r w:rsidRPr="00D9653D">
        <w:rPr>
          <w:rFonts w:ascii="Arial" w:hAnsi="Arial" w:cs="Arial"/>
          <w:color w:val="000000"/>
          <w:sz w:val="22"/>
          <w:szCs w:val="22"/>
        </w:rPr>
        <w:t xml:space="preserve">Migration policy has had a significant impact on labour supply in the UK ASC sector. According to </w:t>
      </w:r>
      <w:r w:rsidRPr="00D9653D">
        <w:rPr>
          <w:rFonts w:ascii="Arial" w:hAnsi="Arial" w:cs="Arial"/>
          <w:color w:val="EE0000"/>
          <w:sz w:val="22"/>
          <w:szCs w:val="22"/>
        </w:rPr>
        <w:t xml:space="preserve">Skills for Care (2025), </w:t>
      </w:r>
      <w:r w:rsidRPr="00D9653D">
        <w:rPr>
          <w:rFonts w:ascii="Arial" w:hAnsi="Arial" w:cs="Arial"/>
          <w:color w:val="000000"/>
          <w:sz w:val="22"/>
          <w:szCs w:val="22"/>
        </w:rPr>
        <w:t>approximately 32% of ASC workers in England were born outside the UK, highlighting the significant contribution of migrant workers to the sector. Furthermore, international recruitment increased substantially following the introduction of the Health and Care Worker visa (</w:t>
      </w:r>
      <w:r w:rsidRPr="00876E29">
        <w:rPr>
          <w:rFonts w:ascii="Arial" w:hAnsi="Arial" w:cs="Arial"/>
          <w:color w:val="EE0000"/>
          <w:sz w:val="22"/>
          <w:szCs w:val="22"/>
        </w:rPr>
        <w:t xml:space="preserve">GOV.UK, 2021), </w:t>
      </w:r>
      <w:r w:rsidRPr="00D9653D">
        <w:rPr>
          <w:rFonts w:ascii="Arial" w:hAnsi="Arial" w:cs="Arial"/>
          <w:color w:val="000000"/>
          <w:sz w:val="22"/>
          <w:szCs w:val="22"/>
        </w:rPr>
        <w:t xml:space="preserve">establishing overseas recruitment as a </w:t>
      </w:r>
      <w:r w:rsidRPr="00D9653D">
        <w:rPr>
          <w:rFonts w:ascii="Arial" w:hAnsi="Arial" w:cs="Arial"/>
          <w:color w:val="000000"/>
          <w:sz w:val="22"/>
          <w:szCs w:val="22"/>
        </w:rPr>
        <w:lastRenderedPageBreak/>
        <w:t>major source of workforce growth. Despite this, vacancy rates remained above 8%, with over 130,000 vacant posts across the sector (</w:t>
      </w:r>
      <w:r w:rsidRPr="00876E29">
        <w:rPr>
          <w:rFonts w:ascii="Arial" w:hAnsi="Arial" w:cs="Arial"/>
          <w:color w:val="EE0000"/>
          <w:sz w:val="22"/>
          <w:szCs w:val="22"/>
        </w:rPr>
        <w:t>Skills for Care, 2025).</w:t>
      </w:r>
    </w:p>
    <w:p w14:paraId="433D2805" w14:textId="77777777" w:rsidR="00182678" w:rsidRDefault="007A38B6" w:rsidP="00182678">
      <w:pPr>
        <w:pStyle w:val="NormalWeb"/>
        <w:spacing w:line="360" w:lineRule="auto"/>
        <w:rPr>
          <w:rFonts w:ascii="Arial" w:hAnsi="Arial" w:cs="Arial"/>
          <w:color w:val="EE0000"/>
          <w:sz w:val="22"/>
          <w:szCs w:val="22"/>
        </w:rPr>
      </w:pPr>
      <w:r w:rsidRPr="00D9653D">
        <w:rPr>
          <w:rFonts w:ascii="Arial" w:hAnsi="Arial" w:cs="Arial"/>
          <w:color w:val="000000"/>
          <w:sz w:val="22"/>
          <w:szCs w:val="22"/>
        </w:rPr>
        <w:t>These statistics are particularly important because they reveal a potential contradiction. While international recruitment has increased labour supply and helped address staffing shortages, there are still a considerable number of vacancies. This suggests that migration policies and international recruitment can contribute to maintaining the workforce, but they may not fully address underlying issues such as recruitment, retention, and working conditions</w:t>
      </w:r>
      <w:r w:rsidR="00363F6C">
        <w:rPr>
          <w:rFonts w:ascii="Arial" w:hAnsi="Arial" w:cs="Arial"/>
          <w:color w:val="000000"/>
          <w:sz w:val="22"/>
          <w:szCs w:val="22"/>
        </w:rPr>
        <w:t xml:space="preserve"> </w:t>
      </w:r>
      <w:r w:rsidR="00363F6C" w:rsidRPr="00514E1C">
        <w:rPr>
          <w:rFonts w:ascii="Arial" w:hAnsi="Arial" w:cs="Arial"/>
          <w:color w:val="EE0000"/>
          <w:sz w:val="22"/>
          <w:szCs w:val="22"/>
        </w:rPr>
        <w:t xml:space="preserve">(House </w:t>
      </w:r>
      <w:r w:rsidR="00514E1C" w:rsidRPr="00514E1C">
        <w:rPr>
          <w:rFonts w:ascii="Arial" w:hAnsi="Arial" w:cs="Arial"/>
          <w:color w:val="EE0000"/>
          <w:sz w:val="22"/>
          <w:szCs w:val="22"/>
        </w:rPr>
        <w:t>of Commons, 2022)</w:t>
      </w:r>
      <w:r w:rsidRPr="00514E1C">
        <w:rPr>
          <w:rFonts w:ascii="Arial" w:hAnsi="Arial" w:cs="Arial"/>
          <w:color w:val="EE0000"/>
          <w:sz w:val="22"/>
          <w:szCs w:val="22"/>
        </w:rPr>
        <w:t xml:space="preserve">. </w:t>
      </w:r>
      <w:r w:rsidRPr="00D9653D">
        <w:rPr>
          <w:rFonts w:ascii="Arial" w:hAnsi="Arial" w:cs="Arial"/>
          <w:color w:val="000000"/>
          <w:sz w:val="22"/>
          <w:szCs w:val="22"/>
        </w:rPr>
        <w:t xml:space="preserve">Consequently, the sector's long-term sustainability depends on a combination of international recruitment and domestic workforce development </w:t>
      </w:r>
      <w:r w:rsidRPr="003A6AD1">
        <w:rPr>
          <w:rFonts w:ascii="Arial" w:hAnsi="Arial" w:cs="Arial"/>
          <w:color w:val="EE0000"/>
          <w:sz w:val="22"/>
          <w:szCs w:val="22"/>
        </w:rPr>
        <w:t>(Institute for Government, 2025).</w:t>
      </w:r>
    </w:p>
    <w:p w14:paraId="3D367D41" w14:textId="77777777" w:rsidR="00182678" w:rsidRDefault="00182678" w:rsidP="00182678">
      <w:pPr>
        <w:pStyle w:val="NormalWeb"/>
        <w:spacing w:line="360" w:lineRule="auto"/>
        <w:rPr>
          <w:rFonts w:ascii="Arial" w:hAnsi="Arial" w:cs="Arial"/>
          <w:color w:val="EE0000"/>
          <w:sz w:val="22"/>
          <w:szCs w:val="22"/>
        </w:rPr>
      </w:pPr>
    </w:p>
    <w:p w14:paraId="1B311BD3" w14:textId="3A121D02" w:rsidR="00C267E2" w:rsidRPr="00D824E3" w:rsidRDefault="00D824E3" w:rsidP="00182678">
      <w:pPr>
        <w:pStyle w:val="NormalWeb"/>
        <w:spacing w:line="360" w:lineRule="auto"/>
        <w:rPr>
          <w:rFonts w:ascii="Arial" w:hAnsi="Arial" w:cs="Arial"/>
          <w:color w:val="000000" w:themeColor="text1"/>
          <w:sz w:val="22"/>
          <w:szCs w:val="22"/>
        </w:rPr>
      </w:pPr>
      <w:r w:rsidRPr="00D824E3">
        <w:rPr>
          <w:rFonts w:ascii="Arial" w:hAnsi="Arial" w:cs="Arial"/>
          <w:color w:val="000000" w:themeColor="text1"/>
          <w:sz w:val="28"/>
          <w:szCs w:val="28"/>
        </w:rPr>
        <w:t xml:space="preserve">4.4.5 </w:t>
      </w:r>
      <w:r w:rsidR="00C267E2" w:rsidRPr="00D824E3">
        <w:rPr>
          <w:rFonts w:ascii="Arial" w:hAnsi="Arial" w:cs="Arial"/>
          <w:color w:val="000000" w:themeColor="text1"/>
          <w:sz w:val="28"/>
          <w:szCs w:val="28"/>
        </w:rPr>
        <w:t>Theories, Policies, and Legislation</w:t>
      </w:r>
    </w:p>
    <w:p w14:paraId="3291E3D7" w14:textId="77777777" w:rsidR="00990B72" w:rsidRDefault="00E30DAA" w:rsidP="00990B72">
      <w:pPr>
        <w:pStyle w:val="isselectedend"/>
        <w:spacing w:line="360" w:lineRule="auto"/>
        <w:rPr>
          <w:rFonts w:ascii="Arial" w:hAnsi="Arial" w:cs="Arial"/>
          <w:color w:val="000000"/>
          <w:sz w:val="22"/>
          <w:szCs w:val="22"/>
        </w:rPr>
      </w:pPr>
      <w:r w:rsidRPr="00687304">
        <w:rPr>
          <w:rFonts w:ascii="Arial" w:hAnsi="Arial" w:cs="Arial"/>
          <w:color w:val="000000"/>
          <w:sz w:val="22"/>
          <w:szCs w:val="22"/>
        </w:rPr>
        <w:t xml:space="preserve">The Labour Market Segmentation Theory provides a valuable framework for understanding migration policies and international recruitment in the UK ASC sector. According to </w:t>
      </w:r>
      <w:r w:rsidRPr="00687304">
        <w:rPr>
          <w:rFonts w:ascii="Arial" w:hAnsi="Arial" w:cs="Arial"/>
          <w:color w:val="EE0000"/>
          <w:sz w:val="22"/>
          <w:szCs w:val="22"/>
        </w:rPr>
        <w:t>CORE Econ (2023),</w:t>
      </w:r>
      <w:r w:rsidRPr="00687304">
        <w:rPr>
          <w:rFonts w:ascii="Arial" w:hAnsi="Arial" w:cs="Arial"/>
          <w:color w:val="000000"/>
          <w:sz w:val="22"/>
          <w:szCs w:val="22"/>
        </w:rPr>
        <w:t xml:space="preserve"> labour markets are divided into segments, with some sectors facing continuous recruitment challenges due to factors such as low pay, limited professional development, and difficult working conditions. As a result, employers may increasingly rely on migrant workers to fill vacancies in sectors where domestic recruitment remains challenging, suggesting that international recruitment may reflect wider structural weaknesses within the labour market rather than simply a shortage of available workers </w:t>
      </w:r>
      <w:r w:rsidRPr="00614357">
        <w:rPr>
          <w:rFonts w:ascii="Arial" w:hAnsi="Arial" w:cs="Arial"/>
          <w:color w:val="EE0000"/>
          <w:sz w:val="22"/>
          <w:szCs w:val="22"/>
        </w:rPr>
        <w:t xml:space="preserve">(Marino and Keizer, 2023). </w:t>
      </w:r>
      <w:r w:rsidRPr="00687304">
        <w:rPr>
          <w:rFonts w:ascii="Arial" w:hAnsi="Arial" w:cs="Arial"/>
          <w:color w:val="000000"/>
          <w:sz w:val="22"/>
          <w:szCs w:val="22"/>
        </w:rPr>
        <w:t>This is directly relevant to the research question because it explains why foreign recruitment has become such a significant approach for addressing labour shortages and ensuring workforce sustainability in ASC.</w:t>
      </w:r>
    </w:p>
    <w:p w14:paraId="486AFE20" w14:textId="5B60FB34" w:rsidR="00FA6E0D" w:rsidRPr="00990B72" w:rsidRDefault="00CC1BE3" w:rsidP="00990B72">
      <w:pPr>
        <w:pStyle w:val="isselectedend"/>
        <w:spacing w:line="360" w:lineRule="auto"/>
        <w:rPr>
          <w:rFonts w:ascii="Arial" w:hAnsi="Arial" w:cs="Arial"/>
          <w:color w:val="000000"/>
          <w:sz w:val="22"/>
          <w:szCs w:val="22"/>
        </w:rPr>
      </w:pPr>
      <w:r w:rsidRPr="005014CC">
        <w:rPr>
          <w:rFonts w:ascii="Arial" w:hAnsi="Arial" w:cs="Arial"/>
          <w:color w:val="000000"/>
        </w:rPr>
        <w:t>Several policies and legislative developments have impacted international recruitment in the sector. The introduction of the Health and Care Worker visa established a dedicated pathway for overseas care workers, while post-Brexit immigration reforms changed the recruitment landscape by ending free movement between the UK and European Union member states (</w:t>
      </w:r>
      <w:r w:rsidRPr="005014CC">
        <w:rPr>
          <w:rFonts w:ascii="Arial" w:hAnsi="Arial" w:cs="Arial"/>
          <w:color w:val="EE0000"/>
        </w:rPr>
        <w:t xml:space="preserve">GOV.UK, 2021). </w:t>
      </w:r>
      <w:r w:rsidRPr="005014CC">
        <w:rPr>
          <w:rFonts w:ascii="Arial" w:hAnsi="Arial" w:cs="Arial"/>
          <w:color w:val="000000"/>
        </w:rPr>
        <w:t>These policy changes have influenced workforce supply and continue to shape the industry's reliance on migrant labour (</w:t>
      </w:r>
      <w:r w:rsidRPr="005014CC">
        <w:rPr>
          <w:rFonts w:ascii="Arial" w:hAnsi="Arial" w:cs="Arial"/>
          <w:color w:val="EE0000"/>
        </w:rPr>
        <w:t>Care Quality Commission, 2024).</w:t>
      </w:r>
      <w:r w:rsidR="00ED7655" w:rsidRPr="005014CC">
        <w:rPr>
          <w:rFonts w:ascii="Arial" w:hAnsi="Arial" w:cs="Arial"/>
          <w:color w:val="EE0000"/>
        </w:rPr>
        <w:br/>
      </w:r>
    </w:p>
    <w:p w14:paraId="7F984A37" w14:textId="6A33593D" w:rsidR="00C267E2" w:rsidRPr="008B747E" w:rsidRDefault="00D824E3" w:rsidP="00182678">
      <w:pPr>
        <w:pStyle w:val="Heading4"/>
        <w:jc w:val="left"/>
        <w:rPr>
          <w:rFonts w:ascii="Arial" w:hAnsi="Arial" w:cs="Arial"/>
          <w:i w:val="0"/>
          <w:iCs w:val="0"/>
          <w:color w:val="000000" w:themeColor="text1"/>
          <w:sz w:val="28"/>
          <w:szCs w:val="28"/>
        </w:rPr>
      </w:pPr>
      <w:r w:rsidRPr="008B747E">
        <w:rPr>
          <w:rFonts w:ascii="Arial" w:hAnsi="Arial" w:cs="Arial"/>
          <w:i w:val="0"/>
          <w:iCs w:val="0"/>
          <w:color w:val="000000" w:themeColor="text1"/>
          <w:sz w:val="28"/>
          <w:szCs w:val="28"/>
        </w:rPr>
        <w:lastRenderedPageBreak/>
        <w:t xml:space="preserve">4.4.6 </w:t>
      </w:r>
      <w:r w:rsidR="00C267E2" w:rsidRPr="008B747E">
        <w:rPr>
          <w:rFonts w:ascii="Arial" w:hAnsi="Arial" w:cs="Arial"/>
          <w:i w:val="0"/>
          <w:iCs w:val="0"/>
          <w:color w:val="000000" w:themeColor="text1"/>
          <w:sz w:val="28"/>
          <w:szCs w:val="28"/>
        </w:rPr>
        <w:t>Implications</w:t>
      </w:r>
    </w:p>
    <w:p w14:paraId="1B4AB997" w14:textId="77777777" w:rsidR="0047168E" w:rsidRPr="00A8070A" w:rsidRDefault="0047168E" w:rsidP="00A8070A">
      <w:pPr>
        <w:pStyle w:val="isselectedend"/>
        <w:spacing w:line="360" w:lineRule="auto"/>
        <w:rPr>
          <w:rFonts w:ascii="Arial" w:hAnsi="Arial" w:cs="Arial"/>
          <w:color w:val="000000"/>
          <w:sz w:val="22"/>
          <w:szCs w:val="22"/>
        </w:rPr>
      </w:pPr>
      <w:r w:rsidRPr="00A8070A">
        <w:rPr>
          <w:rFonts w:ascii="Arial" w:hAnsi="Arial" w:cs="Arial"/>
          <w:color w:val="000000"/>
          <w:sz w:val="22"/>
          <w:szCs w:val="22"/>
        </w:rPr>
        <w:t xml:space="preserve">Migration policies and international recruitment have positive as well as negative impacts on the UK ASC workforce. International recruitment has had a beneficial effect on staffing shortages by increasing staff supply and ensuring continuity of care. This has allowed numerous providers to fill vacancies that would otherwise remain unfilled, ensuring service delivery and reducing workforce pressures </w:t>
      </w:r>
      <w:r w:rsidRPr="00A8070A">
        <w:rPr>
          <w:rFonts w:ascii="Arial" w:hAnsi="Arial" w:cs="Arial"/>
          <w:color w:val="EE0000"/>
          <w:sz w:val="22"/>
          <w:szCs w:val="22"/>
        </w:rPr>
        <w:t>(Skills for Care, 2025)</w:t>
      </w:r>
      <w:r w:rsidRPr="00A8070A">
        <w:rPr>
          <w:rFonts w:ascii="Arial" w:hAnsi="Arial" w:cs="Arial"/>
          <w:color w:val="000000"/>
          <w:sz w:val="22"/>
          <w:szCs w:val="22"/>
        </w:rPr>
        <w:t>.</w:t>
      </w:r>
    </w:p>
    <w:p w14:paraId="1CBEA5A8" w14:textId="3972CAA4" w:rsidR="0047168E" w:rsidRPr="00F02167" w:rsidRDefault="0047168E" w:rsidP="00A8070A">
      <w:pPr>
        <w:pStyle w:val="NormalWeb"/>
        <w:spacing w:line="360" w:lineRule="auto"/>
        <w:rPr>
          <w:rFonts w:ascii="Arial" w:hAnsi="Arial" w:cs="Arial"/>
          <w:color w:val="EE0000"/>
          <w:sz w:val="22"/>
          <w:szCs w:val="22"/>
        </w:rPr>
      </w:pPr>
      <w:r w:rsidRPr="00CA1B8D">
        <w:rPr>
          <w:rFonts w:ascii="Arial" w:hAnsi="Arial" w:cs="Arial"/>
          <w:color w:val="000000"/>
          <w:sz w:val="22"/>
          <w:szCs w:val="22"/>
        </w:rPr>
        <w:t xml:space="preserve">However, there are some potential challenges connected with increased reliance on migrant labour. </w:t>
      </w:r>
      <w:r w:rsidR="007113F8" w:rsidRPr="00CD689A">
        <w:rPr>
          <w:rStyle w:val="Strong"/>
          <w:rFonts w:ascii="Arial" w:hAnsi="Arial" w:cs="Arial"/>
          <w:b w:val="0"/>
          <w:bCs w:val="0"/>
          <w:color w:val="EE0000"/>
          <w:sz w:val="22"/>
          <w:szCs w:val="22"/>
        </w:rPr>
        <w:t xml:space="preserve">Turnpenny and Hussein, </w:t>
      </w:r>
      <w:r w:rsidR="00CA1B8D" w:rsidRPr="00CD689A">
        <w:rPr>
          <w:rStyle w:val="Strong"/>
          <w:rFonts w:ascii="Arial" w:hAnsi="Arial" w:cs="Arial"/>
          <w:b w:val="0"/>
          <w:bCs w:val="0"/>
          <w:color w:val="EE0000"/>
          <w:sz w:val="22"/>
          <w:szCs w:val="22"/>
        </w:rPr>
        <w:t>(</w:t>
      </w:r>
      <w:r w:rsidR="007113F8" w:rsidRPr="00CD689A">
        <w:rPr>
          <w:rStyle w:val="Strong"/>
          <w:rFonts w:ascii="Arial" w:hAnsi="Arial" w:cs="Arial"/>
          <w:b w:val="0"/>
          <w:bCs w:val="0"/>
          <w:color w:val="EE0000"/>
          <w:sz w:val="22"/>
          <w:szCs w:val="22"/>
        </w:rPr>
        <w:t>2022</w:t>
      </w:r>
      <w:r w:rsidR="00CA1B8D" w:rsidRPr="00CD689A">
        <w:rPr>
          <w:rStyle w:val="Strong"/>
          <w:rFonts w:ascii="Arial" w:hAnsi="Arial" w:cs="Arial"/>
          <w:b w:val="0"/>
          <w:bCs w:val="0"/>
          <w:color w:val="EE0000"/>
          <w:sz w:val="22"/>
          <w:szCs w:val="22"/>
        </w:rPr>
        <w:t xml:space="preserve">) </w:t>
      </w:r>
      <w:r w:rsidR="00CA1B8D" w:rsidRPr="00CA1B8D">
        <w:rPr>
          <w:rStyle w:val="Strong"/>
          <w:rFonts w:ascii="Arial" w:hAnsi="Arial" w:cs="Arial"/>
          <w:b w:val="0"/>
          <w:bCs w:val="0"/>
          <w:color w:val="000000"/>
          <w:sz w:val="22"/>
          <w:szCs w:val="22"/>
        </w:rPr>
        <w:t xml:space="preserve">highlight </w:t>
      </w:r>
      <w:r w:rsidR="00A85687">
        <w:rPr>
          <w:rStyle w:val="Strong"/>
          <w:rFonts w:ascii="Arial" w:hAnsi="Arial" w:cs="Arial"/>
          <w:b w:val="0"/>
          <w:bCs w:val="0"/>
          <w:color w:val="000000"/>
          <w:sz w:val="22"/>
          <w:szCs w:val="22"/>
        </w:rPr>
        <w:t xml:space="preserve">that </w:t>
      </w:r>
      <w:r w:rsidR="00CA1B8D" w:rsidRPr="00CA1B8D">
        <w:rPr>
          <w:rFonts w:ascii="Arial" w:hAnsi="Arial" w:cs="Arial"/>
          <w:color w:val="000000"/>
          <w:sz w:val="22"/>
          <w:szCs w:val="22"/>
        </w:rPr>
        <w:t>w</w:t>
      </w:r>
      <w:r w:rsidRPr="00CA1B8D">
        <w:rPr>
          <w:rFonts w:ascii="Arial" w:hAnsi="Arial" w:cs="Arial"/>
          <w:color w:val="000000"/>
          <w:sz w:val="22"/>
          <w:szCs w:val="22"/>
        </w:rPr>
        <w:t>hile international recruitment can provide a short-term solution to labour shortages, it may increase the sector's reliance on migration policy and foreign labour markets</w:t>
      </w:r>
      <w:r w:rsidR="007113F8" w:rsidRPr="00CA1B8D">
        <w:rPr>
          <w:rFonts w:ascii="Arial" w:hAnsi="Arial" w:cs="Arial"/>
          <w:color w:val="000000"/>
          <w:sz w:val="22"/>
          <w:szCs w:val="22"/>
        </w:rPr>
        <w:t>.</w:t>
      </w:r>
      <w:r w:rsidR="00343480">
        <w:rPr>
          <w:rFonts w:ascii="Arial" w:hAnsi="Arial" w:cs="Arial"/>
          <w:color w:val="000000"/>
          <w:sz w:val="22"/>
          <w:szCs w:val="22"/>
        </w:rPr>
        <w:t xml:space="preserve"> </w:t>
      </w:r>
      <w:r w:rsidRPr="00CA1B8D">
        <w:rPr>
          <w:rFonts w:ascii="Arial" w:hAnsi="Arial" w:cs="Arial"/>
          <w:color w:val="000000"/>
          <w:sz w:val="22"/>
          <w:szCs w:val="22"/>
        </w:rPr>
        <w:t>Changes in immigration regulations or recruitment limits may therefore have an impact on workforce supply and cause additional staffing challenges</w:t>
      </w:r>
      <w:r w:rsidR="00343480">
        <w:rPr>
          <w:rFonts w:ascii="Arial" w:hAnsi="Arial" w:cs="Arial"/>
          <w:color w:val="000000"/>
          <w:sz w:val="22"/>
          <w:szCs w:val="22"/>
        </w:rPr>
        <w:t xml:space="preserve"> </w:t>
      </w:r>
      <w:r w:rsidR="00343480" w:rsidRPr="00CD689A">
        <w:rPr>
          <w:rFonts w:ascii="Arial" w:hAnsi="Arial" w:cs="Arial"/>
          <w:color w:val="EE0000"/>
          <w:sz w:val="22"/>
          <w:szCs w:val="22"/>
        </w:rPr>
        <w:t>(</w:t>
      </w:r>
      <w:r w:rsidR="00343480" w:rsidRPr="00CD689A">
        <w:rPr>
          <w:rStyle w:val="Strong"/>
          <w:rFonts w:ascii="Arial" w:hAnsi="Arial" w:cs="Arial"/>
          <w:b w:val="0"/>
          <w:bCs w:val="0"/>
          <w:color w:val="EE0000"/>
          <w:sz w:val="22"/>
          <w:szCs w:val="22"/>
        </w:rPr>
        <w:t>Portes and Springford, 2023</w:t>
      </w:r>
      <w:r w:rsidR="00343480" w:rsidRPr="00CD689A">
        <w:rPr>
          <w:rFonts w:ascii="Arial" w:hAnsi="Arial" w:cs="Arial"/>
          <w:color w:val="EE0000"/>
          <w:sz w:val="22"/>
          <w:szCs w:val="22"/>
        </w:rPr>
        <w:t>)</w:t>
      </w:r>
      <w:r w:rsidRPr="00CD689A">
        <w:rPr>
          <w:rFonts w:ascii="Arial" w:hAnsi="Arial" w:cs="Arial"/>
          <w:b/>
          <w:bCs/>
          <w:color w:val="EE0000"/>
          <w:sz w:val="22"/>
          <w:szCs w:val="22"/>
        </w:rPr>
        <w:t>.</w:t>
      </w:r>
      <w:r w:rsidRPr="00CD689A">
        <w:rPr>
          <w:rFonts w:ascii="Arial" w:hAnsi="Arial" w:cs="Arial"/>
          <w:color w:val="EE0000"/>
          <w:sz w:val="22"/>
          <w:szCs w:val="22"/>
        </w:rPr>
        <w:t xml:space="preserve"> </w:t>
      </w:r>
      <w:r w:rsidRPr="00A8070A">
        <w:rPr>
          <w:rFonts w:ascii="Arial" w:hAnsi="Arial" w:cs="Arial"/>
          <w:color w:val="000000"/>
          <w:sz w:val="22"/>
          <w:szCs w:val="22"/>
        </w:rPr>
        <w:t xml:space="preserve">Furthermore, prolonged dependence on international recruitment could shift focus away from underlying workforce issues such as retention difficulties, limited career prospects, and working conditions </w:t>
      </w:r>
      <w:r w:rsidRPr="00F02167">
        <w:rPr>
          <w:rFonts w:ascii="Arial" w:hAnsi="Arial" w:cs="Arial"/>
          <w:color w:val="EE0000"/>
          <w:sz w:val="22"/>
          <w:szCs w:val="22"/>
        </w:rPr>
        <w:t>(Migration Advisory Committee, 2022</w:t>
      </w:r>
      <w:r w:rsidRPr="00A8070A">
        <w:rPr>
          <w:rFonts w:ascii="Arial" w:hAnsi="Arial" w:cs="Arial"/>
          <w:color w:val="000000"/>
          <w:sz w:val="22"/>
          <w:szCs w:val="22"/>
        </w:rPr>
        <w:t xml:space="preserve">). As a result, while migration policy and international recruitment help to ensure workforce sustainability, long-term workforce stability will most likely require both overseas recruitment and domestic workforce improvements </w:t>
      </w:r>
      <w:r w:rsidRPr="00F02167">
        <w:rPr>
          <w:rFonts w:ascii="Arial" w:hAnsi="Arial" w:cs="Arial"/>
          <w:color w:val="EE0000"/>
          <w:sz w:val="22"/>
          <w:szCs w:val="22"/>
        </w:rPr>
        <w:t>(The King's Fund, 2024).</w:t>
      </w:r>
    </w:p>
    <w:p w14:paraId="7F953281" w14:textId="58EA73E2" w:rsidR="00C267E2" w:rsidRPr="008B747E" w:rsidRDefault="008B747E" w:rsidP="00182678">
      <w:pPr>
        <w:pStyle w:val="Heading4"/>
        <w:jc w:val="left"/>
        <w:rPr>
          <w:rFonts w:ascii="Arial" w:hAnsi="Arial" w:cs="Arial"/>
          <w:i w:val="0"/>
          <w:iCs w:val="0"/>
          <w:color w:val="000000" w:themeColor="text1"/>
          <w:sz w:val="28"/>
          <w:szCs w:val="28"/>
        </w:rPr>
      </w:pPr>
      <w:r w:rsidRPr="008B747E">
        <w:rPr>
          <w:rFonts w:ascii="Arial" w:hAnsi="Arial" w:cs="Arial"/>
          <w:i w:val="0"/>
          <w:iCs w:val="0"/>
          <w:color w:val="000000" w:themeColor="text1"/>
          <w:sz w:val="28"/>
          <w:szCs w:val="28"/>
        </w:rPr>
        <w:t xml:space="preserve">4.4.7 </w:t>
      </w:r>
      <w:r w:rsidR="00C267E2" w:rsidRPr="008B747E">
        <w:rPr>
          <w:rFonts w:ascii="Arial" w:hAnsi="Arial" w:cs="Arial"/>
          <w:i w:val="0"/>
          <w:iCs w:val="0"/>
          <w:color w:val="000000" w:themeColor="text1"/>
          <w:sz w:val="28"/>
          <w:szCs w:val="28"/>
        </w:rPr>
        <w:t>Examples from Your Articles</w:t>
      </w:r>
    </w:p>
    <w:p w14:paraId="0977FFD5" w14:textId="77777777" w:rsidR="00A8449D" w:rsidRPr="00A8449D" w:rsidRDefault="00A8449D" w:rsidP="00A8449D">
      <w:pPr>
        <w:pStyle w:val="NormalWeb"/>
        <w:spacing w:line="360" w:lineRule="auto"/>
        <w:rPr>
          <w:rFonts w:ascii="Arial" w:hAnsi="Arial" w:cs="Arial"/>
          <w:color w:val="000000"/>
          <w:sz w:val="22"/>
          <w:szCs w:val="22"/>
        </w:rPr>
      </w:pPr>
      <w:r w:rsidRPr="00A8449D">
        <w:rPr>
          <w:rFonts w:ascii="Arial" w:hAnsi="Arial" w:cs="Arial"/>
          <w:color w:val="000000"/>
          <w:sz w:val="22"/>
          <w:szCs w:val="22"/>
        </w:rPr>
        <w:t xml:space="preserve">The findings from Papers 1 </w:t>
      </w:r>
      <w:r w:rsidRPr="00A8449D">
        <w:rPr>
          <w:rFonts w:ascii="Arial" w:hAnsi="Arial" w:cs="Arial"/>
          <w:color w:val="EE0000"/>
          <w:sz w:val="22"/>
          <w:szCs w:val="22"/>
        </w:rPr>
        <w:t xml:space="preserve">(Arfeen </w:t>
      </w:r>
      <w:r w:rsidRPr="00A8449D">
        <w:rPr>
          <w:rFonts w:ascii="Arial" w:hAnsi="Arial" w:cs="Arial"/>
          <w:i/>
          <w:iCs/>
          <w:color w:val="EE0000"/>
          <w:sz w:val="22"/>
          <w:szCs w:val="22"/>
        </w:rPr>
        <w:t>et al.,</w:t>
      </w:r>
      <w:r w:rsidRPr="00A8449D">
        <w:rPr>
          <w:rFonts w:ascii="Arial" w:hAnsi="Arial" w:cs="Arial"/>
          <w:color w:val="EE0000"/>
          <w:sz w:val="22"/>
          <w:szCs w:val="22"/>
        </w:rPr>
        <w:t xml:space="preserve"> 2025), </w:t>
      </w:r>
      <w:r w:rsidRPr="00A8449D">
        <w:rPr>
          <w:rFonts w:ascii="Arial" w:hAnsi="Arial" w:cs="Arial"/>
          <w:color w:val="000000"/>
          <w:sz w:val="22"/>
          <w:szCs w:val="22"/>
        </w:rPr>
        <w:t>2 (</w:t>
      </w:r>
      <w:r w:rsidRPr="00A8449D">
        <w:rPr>
          <w:rFonts w:ascii="Arial" w:hAnsi="Arial" w:cs="Arial"/>
          <w:color w:val="EE0000"/>
          <w:sz w:val="22"/>
          <w:szCs w:val="22"/>
        </w:rPr>
        <w:t xml:space="preserve">Turnpenny and Hussein, 2022), </w:t>
      </w:r>
      <w:r w:rsidRPr="00A8449D">
        <w:rPr>
          <w:rFonts w:ascii="Arial" w:hAnsi="Arial" w:cs="Arial"/>
          <w:color w:val="000000"/>
          <w:sz w:val="22"/>
          <w:szCs w:val="22"/>
        </w:rPr>
        <w:t xml:space="preserve">and 3 </w:t>
      </w:r>
      <w:r w:rsidRPr="00A8449D">
        <w:rPr>
          <w:rFonts w:ascii="Arial" w:hAnsi="Arial" w:cs="Arial"/>
          <w:color w:val="EE0000"/>
          <w:sz w:val="22"/>
          <w:szCs w:val="22"/>
        </w:rPr>
        <w:t xml:space="preserve">(Marino and Keizer, 2023) </w:t>
      </w:r>
      <w:r w:rsidRPr="00A8449D">
        <w:rPr>
          <w:rFonts w:ascii="Arial" w:hAnsi="Arial" w:cs="Arial"/>
          <w:color w:val="000000"/>
          <w:sz w:val="22"/>
          <w:szCs w:val="22"/>
        </w:rPr>
        <w:t>suggest that migration policies and international recruitment have a major impact on staffing supply in the UK ASC sector. Paper 2 discusses how migrant workers have become increasingly important in providing care services, especially in response to ongoing workforce shortages. According to the study, overseas recruitment has helped to maintain service delivery by providing an alternative source of labour when domestic recruitment is insufficient.</w:t>
      </w:r>
    </w:p>
    <w:p w14:paraId="4B301DF7" w14:textId="64A6182A" w:rsidR="0010674F" w:rsidRPr="009219E5" w:rsidRDefault="006069F5" w:rsidP="009219E5">
      <w:pPr>
        <w:pStyle w:val="isselectedend"/>
        <w:spacing w:line="360" w:lineRule="auto"/>
        <w:rPr>
          <w:rFonts w:ascii="Arial" w:hAnsi="Arial" w:cs="Arial"/>
          <w:color w:val="000000"/>
          <w:sz w:val="22"/>
          <w:szCs w:val="22"/>
        </w:rPr>
      </w:pPr>
      <w:r w:rsidRPr="006069F5">
        <w:rPr>
          <w:rFonts w:ascii="Arial" w:hAnsi="Arial" w:cs="Arial"/>
          <w:color w:val="000000"/>
          <w:sz w:val="22"/>
          <w:szCs w:val="22"/>
        </w:rPr>
        <w:t>Similarly, Paper 1 argues that migrant workers have become critical to the delivery of health and care services in the UK. The study suggests that migration policies directly influence workforce availability by affecting the recruitment and retention of migrant workers.</w:t>
      </w:r>
      <w:r>
        <w:rPr>
          <w:rFonts w:ascii="-webkit-standard" w:hAnsi="-webkit-standard"/>
          <w:color w:val="000000"/>
          <w:sz w:val="27"/>
          <w:szCs w:val="27"/>
        </w:rPr>
        <w:t xml:space="preserve"> </w:t>
      </w:r>
      <w:r w:rsidR="003A0663" w:rsidRPr="009219E5">
        <w:rPr>
          <w:rFonts w:ascii="Arial" w:hAnsi="Arial" w:cs="Arial"/>
          <w:color w:val="000000"/>
          <w:sz w:val="22"/>
          <w:szCs w:val="22"/>
        </w:rPr>
        <w:t>This supports the view that international recruitment has become an important workforce strategy for addressing staffing shortages.</w:t>
      </w:r>
    </w:p>
    <w:p w14:paraId="43044EAC" w14:textId="0B7138AA" w:rsidR="00913643" w:rsidRPr="009219E5" w:rsidRDefault="00913643" w:rsidP="009219E5">
      <w:pPr>
        <w:pStyle w:val="NormalWeb"/>
        <w:spacing w:line="360" w:lineRule="auto"/>
        <w:rPr>
          <w:rFonts w:ascii="Arial" w:hAnsi="Arial" w:cs="Arial"/>
          <w:color w:val="000000"/>
          <w:sz w:val="22"/>
          <w:szCs w:val="22"/>
        </w:rPr>
      </w:pPr>
      <w:r w:rsidRPr="009219E5">
        <w:rPr>
          <w:rFonts w:ascii="Arial" w:hAnsi="Arial" w:cs="Arial"/>
          <w:color w:val="000000"/>
          <w:sz w:val="22"/>
          <w:szCs w:val="22"/>
        </w:rPr>
        <w:lastRenderedPageBreak/>
        <w:t>Paper 3 suggests a more critical perspective. While acknowledging the importance of migrant  workers, the study argues that demand for migrant labour is impacted not only by workforce shortages, but also by labour market structures and working conditions in the care sector. This implies that while overseas recruitment may help fill staffing </w:t>
      </w:r>
      <w:r w:rsidR="002C70EC" w:rsidRPr="009219E5">
        <w:rPr>
          <w:rFonts w:ascii="Arial" w:hAnsi="Arial" w:cs="Arial"/>
          <w:color w:val="000000"/>
          <w:sz w:val="22"/>
          <w:szCs w:val="22"/>
        </w:rPr>
        <w:t>gaps</w:t>
      </w:r>
      <w:r w:rsidRPr="009219E5">
        <w:rPr>
          <w:rFonts w:ascii="Arial" w:hAnsi="Arial" w:cs="Arial"/>
          <w:color w:val="000000"/>
          <w:sz w:val="22"/>
          <w:szCs w:val="22"/>
        </w:rPr>
        <w:t>, it does not always address the underlying reasons of recruitment challenges.</w:t>
      </w:r>
    </w:p>
    <w:p w14:paraId="13C4E023" w14:textId="2A55CC09" w:rsidR="00CD7F09" w:rsidRPr="009219E5" w:rsidRDefault="009A1515" w:rsidP="009219E5">
      <w:pPr>
        <w:pStyle w:val="NormalWeb"/>
        <w:spacing w:line="360" w:lineRule="auto"/>
        <w:rPr>
          <w:rFonts w:ascii="Arial" w:hAnsi="Arial" w:cs="Arial"/>
          <w:color w:val="000000"/>
          <w:sz w:val="22"/>
          <w:szCs w:val="22"/>
        </w:rPr>
      </w:pPr>
      <w:r w:rsidRPr="009219E5">
        <w:rPr>
          <w:rFonts w:ascii="Arial" w:hAnsi="Arial" w:cs="Arial"/>
          <w:color w:val="000000"/>
          <w:sz w:val="22"/>
          <w:szCs w:val="22"/>
        </w:rPr>
        <w:t>Overall, these findings demonstrate that migration policy and foreign recruitment have a significant impact on workforce sustainability. Papers 1 and 2 commonly agree that migrant workers contribute to workforce capacity and continuity of care, however Paper 3 emphasises the risk that reliance on foreign recruiting may mask structural challenges. These findings contribute to the study question by demonstrating that migrant</w:t>
      </w:r>
      <w:r w:rsidR="00547727">
        <w:rPr>
          <w:rFonts w:ascii="Arial" w:hAnsi="Arial" w:cs="Arial"/>
          <w:color w:val="000000"/>
          <w:sz w:val="22"/>
          <w:szCs w:val="22"/>
        </w:rPr>
        <w:t xml:space="preserve"> </w:t>
      </w:r>
      <w:r w:rsidR="009219E5" w:rsidRPr="009219E5">
        <w:rPr>
          <w:rFonts w:ascii="Arial" w:hAnsi="Arial" w:cs="Arial"/>
          <w:color w:val="000000"/>
          <w:sz w:val="22"/>
          <w:szCs w:val="22"/>
        </w:rPr>
        <w:t>Workers play an important role in supporting the UK ASC workforce, but long-term viability is likely to be dependent on both international recruiting and improvements in domestic workforce conditions.</w:t>
      </w:r>
    </w:p>
    <w:p w14:paraId="1E4CEC22" w14:textId="6ED9E97E" w:rsidR="00C267E2" w:rsidRPr="00D52290" w:rsidRDefault="008B747E" w:rsidP="00C267E2">
      <w:pPr>
        <w:pStyle w:val="Heading4"/>
        <w:rPr>
          <w:rFonts w:ascii="Arial" w:hAnsi="Arial" w:cs="Arial"/>
          <w:i w:val="0"/>
          <w:iCs w:val="0"/>
          <w:color w:val="000000" w:themeColor="text1"/>
          <w:sz w:val="28"/>
          <w:szCs w:val="28"/>
        </w:rPr>
      </w:pPr>
      <w:r w:rsidRPr="00D52290">
        <w:rPr>
          <w:rFonts w:ascii="Arial" w:hAnsi="Arial" w:cs="Arial"/>
          <w:i w:val="0"/>
          <w:iCs w:val="0"/>
          <w:color w:val="000000" w:themeColor="text1"/>
          <w:sz w:val="28"/>
          <w:szCs w:val="28"/>
        </w:rPr>
        <w:t>4.4.</w:t>
      </w:r>
      <w:r w:rsidR="00D52290" w:rsidRPr="00D52290">
        <w:rPr>
          <w:rFonts w:ascii="Arial" w:hAnsi="Arial" w:cs="Arial"/>
          <w:i w:val="0"/>
          <w:iCs w:val="0"/>
          <w:color w:val="000000" w:themeColor="text1"/>
          <w:sz w:val="28"/>
          <w:szCs w:val="28"/>
        </w:rPr>
        <w:t xml:space="preserve">8 </w:t>
      </w:r>
      <w:r w:rsidR="00C267E2" w:rsidRPr="00D52290">
        <w:rPr>
          <w:rFonts w:ascii="Arial" w:hAnsi="Arial" w:cs="Arial"/>
          <w:i w:val="0"/>
          <w:iCs w:val="0"/>
          <w:color w:val="000000" w:themeColor="text1"/>
          <w:sz w:val="28"/>
          <w:szCs w:val="28"/>
        </w:rPr>
        <w:t>Connections to Other Themes</w:t>
      </w:r>
    </w:p>
    <w:p w14:paraId="7FA4F98E" w14:textId="7550EB5C" w:rsidR="00BB4FF9" w:rsidRPr="00027374" w:rsidRDefault="00BB4FF9" w:rsidP="00422B16">
      <w:pPr>
        <w:pStyle w:val="Heading2"/>
        <w:jc w:val="left"/>
        <w:rPr>
          <w:rFonts w:ascii="Arial" w:hAnsi="Arial" w:cs="Arial"/>
          <w:color w:val="EE0000"/>
          <w:sz w:val="22"/>
          <w:szCs w:val="22"/>
        </w:rPr>
      </w:pPr>
      <w:r w:rsidRPr="00334CC6">
        <w:rPr>
          <w:rFonts w:ascii="Arial" w:hAnsi="Arial" w:cs="Arial"/>
          <w:color w:val="000000"/>
          <w:sz w:val="22"/>
          <w:szCs w:val="22"/>
        </w:rPr>
        <w:t>This theme is closely connected to the other themes identified in the research. Workforce shortages have raised the demand for international recruiting, making migration policy a crucial element in determining the availability of migrant workers in the ASC sector. At the same time, the success of international recruitment is determined not only by attracting international workers, but also by ensuring their well-being, job satisfaction, and retention. As a result, migration policy, workforce shortages, and migrant worker experiences are closely interconnected and determine the long-term viability of the UK ASC workforce</w:t>
      </w:r>
      <w:r w:rsidR="00334CC6" w:rsidRPr="00334CC6">
        <w:rPr>
          <w:rFonts w:ascii="Arial" w:hAnsi="Arial" w:cs="Arial"/>
          <w:color w:val="000000"/>
          <w:sz w:val="22"/>
          <w:szCs w:val="22"/>
        </w:rPr>
        <w:t xml:space="preserve"> </w:t>
      </w:r>
      <w:r w:rsidR="00334CC6" w:rsidRPr="00027374">
        <w:rPr>
          <w:rFonts w:ascii="Arial" w:hAnsi="Arial" w:cs="Arial"/>
          <w:color w:val="EE0000"/>
          <w:sz w:val="22"/>
          <w:szCs w:val="22"/>
        </w:rPr>
        <w:t>(UK Parliament POST, 2025).</w:t>
      </w:r>
    </w:p>
    <w:p w14:paraId="22A89200" w14:textId="77777777" w:rsidR="002B563F" w:rsidRPr="00B91F4C" w:rsidRDefault="00C267E2" w:rsidP="002B563F">
      <w:pPr>
        <w:pStyle w:val="pdq2pgselectionanchorcontainer"/>
        <w:spacing w:line="360" w:lineRule="auto"/>
        <w:rPr>
          <w:rFonts w:ascii="Arial" w:hAnsi="Arial" w:cs="Arial"/>
          <w:b/>
          <w:bCs/>
          <w:color w:val="000000"/>
          <w:sz w:val="32"/>
          <w:szCs w:val="32"/>
        </w:rPr>
      </w:pPr>
      <w:r w:rsidRPr="00B91F4C">
        <w:rPr>
          <w:rFonts w:ascii="Arial" w:hAnsi="Arial" w:cs="Arial"/>
          <w:b/>
          <w:bCs/>
          <w:sz w:val="32"/>
          <w:szCs w:val="32"/>
        </w:rPr>
        <w:t xml:space="preserve">4.5 – Theme 3 </w:t>
      </w:r>
      <w:r w:rsidR="002B563F" w:rsidRPr="00182678">
        <w:rPr>
          <w:rStyle w:val="Strong"/>
          <w:rFonts w:ascii="Arial" w:hAnsi="Arial" w:cs="Arial"/>
          <w:color w:val="000000"/>
          <w:sz w:val="32"/>
          <w:szCs w:val="32"/>
        </w:rPr>
        <w:t>Migrant Worker Experiences, Wellbeing, and Workforce Sustainability</w:t>
      </w:r>
    </w:p>
    <w:p w14:paraId="0A5638EF" w14:textId="41FDFF90" w:rsidR="00A23B6F" w:rsidRPr="00D52290" w:rsidRDefault="00D52290" w:rsidP="00A23B6F">
      <w:pPr>
        <w:spacing w:before="100" w:beforeAutospacing="1" w:after="100" w:afterAutospacing="1"/>
        <w:jc w:val="left"/>
        <w:rPr>
          <w:rStyle w:val="Strong"/>
          <w:rFonts w:ascii="Arial" w:hAnsi="Arial" w:cs="Arial"/>
          <w:b w:val="0"/>
          <w:bCs w:val="0"/>
          <w:sz w:val="28"/>
          <w:szCs w:val="28"/>
        </w:rPr>
      </w:pPr>
      <w:r w:rsidRPr="00D52290">
        <w:rPr>
          <w:rStyle w:val="Strong"/>
          <w:rFonts w:ascii="Arial" w:hAnsi="Arial" w:cs="Arial"/>
          <w:b w:val="0"/>
          <w:bCs w:val="0"/>
          <w:sz w:val="28"/>
          <w:szCs w:val="28"/>
        </w:rPr>
        <w:t xml:space="preserve">4.5.1 </w:t>
      </w:r>
      <w:r w:rsidR="00C267E2" w:rsidRPr="00D52290">
        <w:rPr>
          <w:rStyle w:val="Strong"/>
          <w:rFonts w:ascii="Arial" w:hAnsi="Arial" w:cs="Arial"/>
          <w:b w:val="0"/>
          <w:bCs w:val="0"/>
          <w:sz w:val="28"/>
          <w:szCs w:val="28"/>
        </w:rPr>
        <w:t>Definition</w:t>
      </w:r>
    </w:p>
    <w:p w14:paraId="60FEA3DF" w14:textId="4E4363BD" w:rsidR="00B53DF4" w:rsidRPr="00A23B6F" w:rsidRDefault="00B53DF4" w:rsidP="00A23B6F">
      <w:pPr>
        <w:spacing w:before="100" w:beforeAutospacing="1" w:after="100" w:afterAutospacing="1"/>
        <w:jc w:val="left"/>
        <w:rPr>
          <w:rFonts w:ascii="Arial" w:hAnsi="Arial" w:cs="Arial"/>
          <w:b/>
          <w:bCs/>
          <w:sz w:val="28"/>
          <w:szCs w:val="28"/>
        </w:rPr>
      </w:pPr>
      <w:r w:rsidRPr="00B53DF4">
        <w:rPr>
          <w:rFonts w:ascii="Arial" w:hAnsi="Arial" w:cs="Arial"/>
          <w:color w:val="000000"/>
        </w:rPr>
        <w:t>Migrant worker experiences refer to the personal and professional experiences of individuals who work in the UK adult social care (ASC) sector outside their country of origin</w:t>
      </w:r>
      <w:r w:rsidRPr="00B53DF4">
        <w:rPr>
          <w:rStyle w:val="apple-converted-space"/>
          <w:rFonts w:ascii="Arial" w:hAnsi="Arial" w:cs="Arial"/>
          <w:color w:val="000000"/>
        </w:rPr>
        <w:t> </w:t>
      </w:r>
      <w:r w:rsidRPr="00B53DF4">
        <w:rPr>
          <w:rStyle w:val="Strong"/>
          <w:rFonts w:ascii="Arial" w:hAnsi="Arial" w:cs="Arial"/>
          <w:b w:val="0"/>
          <w:bCs w:val="0"/>
          <w:color w:val="EE0000"/>
        </w:rPr>
        <w:t>(Hussein, 2022).</w:t>
      </w:r>
      <w:r w:rsidRPr="00B53DF4">
        <w:rPr>
          <w:rStyle w:val="apple-converted-space"/>
          <w:rFonts w:ascii="Arial" w:hAnsi="Arial" w:cs="Arial"/>
          <w:b/>
          <w:bCs/>
          <w:color w:val="EE0000"/>
        </w:rPr>
        <w:t> </w:t>
      </w:r>
      <w:r w:rsidRPr="00B53DF4">
        <w:rPr>
          <w:rFonts w:ascii="Arial" w:hAnsi="Arial" w:cs="Arial"/>
          <w:color w:val="000000"/>
        </w:rPr>
        <w:t>These experiences include working conditions, job satisfaction, wellbeing, workplace relationships, and opportunities for career progression. Workforce sustainability refers to the ASC sector's ability to recruit, retain, and support a skilled workforce capable of meeting the growing demand for care services</w:t>
      </w:r>
      <w:r w:rsidRPr="00B53DF4">
        <w:rPr>
          <w:rStyle w:val="apple-converted-space"/>
          <w:rFonts w:ascii="Arial" w:hAnsi="Arial" w:cs="Arial"/>
          <w:color w:val="000000"/>
        </w:rPr>
        <w:t> </w:t>
      </w:r>
      <w:r w:rsidRPr="00B53DF4">
        <w:rPr>
          <w:rStyle w:val="Strong"/>
          <w:rFonts w:ascii="Arial" w:hAnsi="Arial" w:cs="Arial"/>
          <w:b w:val="0"/>
          <w:bCs w:val="0"/>
          <w:color w:val="EE0000"/>
        </w:rPr>
        <w:t>(Eriksson et al., 2023).</w:t>
      </w:r>
      <w:r w:rsidRPr="00B53DF4">
        <w:rPr>
          <w:rStyle w:val="apple-converted-space"/>
          <w:rFonts w:ascii="Arial" w:hAnsi="Arial" w:cs="Arial"/>
          <w:color w:val="EE0000"/>
        </w:rPr>
        <w:t> </w:t>
      </w:r>
      <w:r w:rsidRPr="00B53DF4">
        <w:rPr>
          <w:rFonts w:ascii="Arial" w:hAnsi="Arial" w:cs="Arial"/>
          <w:color w:val="000000"/>
        </w:rPr>
        <w:t xml:space="preserve">This theme explores how migrant </w:t>
      </w:r>
      <w:r w:rsidRPr="00B53DF4">
        <w:rPr>
          <w:rFonts w:ascii="Arial" w:hAnsi="Arial" w:cs="Arial"/>
          <w:color w:val="000000"/>
        </w:rPr>
        <w:lastRenderedPageBreak/>
        <w:t>workers' experiences and wellbeing influence workforce sustainability and the long-term stability of the UK ASC workforce.</w:t>
      </w:r>
    </w:p>
    <w:p w14:paraId="67B40AAE" w14:textId="0CEE87EE" w:rsidR="00C267E2" w:rsidRPr="00D52290" w:rsidRDefault="00D52290" w:rsidP="004E40B9">
      <w:pPr>
        <w:pStyle w:val="Heading4"/>
        <w:jc w:val="left"/>
        <w:rPr>
          <w:rFonts w:ascii="Arial" w:hAnsi="Arial" w:cs="Arial"/>
          <w:i w:val="0"/>
          <w:iCs w:val="0"/>
          <w:color w:val="000000" w:themeColor="text1"/>
          <w:sz w:val="28"/>
          <w:szCs w:val="28"/>
        </w:rPr>
      </w:pPr>
      <w:r w:rsidRPr="00D52290">
        <w:rPr>
          <w:rFonts w:ascii="Arial" w:hAnsi="Arial" w:cs="Arial"/>
          <w:i w:val="0"/>
          <w:iCs w:val="0"/>
          <w:color w:val="000000" w:themeColor="text1"/>
          <w:sz w:val="28"/>
          <w:szCs w:val="28"/>
        </w:rPr>
        <w:t xml:space="preserve">4.5.2 </w:t>
      </w:r>
      <w:r w:rsidR="00C267E2" w:rsidRPr="00D52290">
        <w:rPr>
          <w:rFonts w:ascii="Arial" w:hAnsi="Arial" w:cs="Arial"/>
          <w:i w:val="0"/>
          <w:iCs w:val="0"/>
          <w:color w:val="000000" w:themeColor="text1"/>
          <w:sz w:val="28"/>
          <w:szCs w:val="28"/>
        </w:rPr>
        <w:t>Background Information</w:t>
      </w:r>
    </w:p>
    <w:p w14:paraId="1E09914A" w14:textId="1F92AD35" w:rsidR="00EB2E41" w:rsidRPr="00416AB3" w:rsidRDefault="00EB2E41" w:rsidP="00416AB3">
      <w:pPr>
        <w:pStyle w:val="pdq2pgselectionanchorcontainer"/>
        <w:spacing w:line="360" w:lineRule="auto"/>
        <w:rPr>
          <w:rFonts w:ascii="Arial" w:hAnsi="Arial" w:cs="Arial"/>
          <w:color w:val="000000"/>
          <w:sz w:val="22"/>
          <w:szCs w:val="22"/>
        </w:rPr>
      </w:pPr>
      <w:r w:rsidRPr="00416AB3">
        <w:rPr>
          <w:rFonts w:ascii="Arial" w:hAnsi="Arial" w:cs="Arial"/>
          <w:color w:val="000000"/>
          <w:sz w:val="22"/>
          <w:szCs w:val="22"/>
        </w:rPr>
        <w:t>As the UK</w:t>
      </w:r>
      <w:r w:rsidR="008F1520">
        <w:rPr>
          <w:rFonts w:ascii="Arial" w:hAnsi="Arial" w:cs="Arial"/>
          <w:color w:val="000000"/>
          <w:sz w:val="22"/>
          <w:szCs w:val="22"/>
        </w:rPr>
        <w:t>’s</w:t>
      </w:r>
      <w:r w:rsidRPr="00416AB3">
        <w:rPr>
          <w:rFonts w:ascii="Arial" w:hAnsi="Arial" w:cs="Arial"/>
          <w:color w:val="000000"/>
          <w:sz w:val="22"/>
          <w:szCs w:val="22"/>
        </w:rPr>
        <w:t xml:space="preserve"> ASC</w:t>
      </w:r>
      <w:r w:rsidR="008F1520">
        <w:rPr>
          <w:rFonts w:ascii="Arial" w:hAnsi="Arial" w:cs="Arial"/>
          <w:color w:val="000000"/>
          <w:sz w:val="22"/>
          <w:szCs w:val="22"/>
        </w:rPr>
        <w:t xml:space="preserve"> </w:t>
      </w:r>
      <w:r w:rsidRPr="00416AB3">
        <w:rPr>
          <w:rFonts w:ascii="Arial" w:hAnsi="Arial" w:cs="Arial"/>
          <w:color w:val="000000"/>
          <w:sz w:val="22"/>
          <w:szCs w:val="22"/>
        </w:rPr>
        <w:t>sector has become more reliant on migrant workers to address workforce shortages, there has been an increased emphasis on their work experiences. This is particularly important as the UK's ageing population continues to increase the demand for adult social care services, placing additional pressure on an already stretched workforce.</w:t>
      </w:r>
      <w:r w:rsidRPr="00416AB3">
        <w:rPr>
          <w:rStyle w:val="apple-converted-space"/>
          <w:rFonts w:ascii="Arial" w:hAnsi="Arial" w:cs="Arial"/>
          <w:color w:val="000000"/>
          <w:sz w:val="22"/>
          <w:szCs w:val="22"/>
        </w:rPr>
        <w:t> </w:t>
      </w:r>
      <w:r w:rsidRPr="00416AB3">
        <w:rPr>
          <w:rStyle w:val="Strong"/>
          <w:rFonts w:ascii="Arial" w:hAnsi="Arial" w:cs="Arial"/>
          <w:b w:val="0"/>
          <w:bCs w:val="0"/>
          <w:color w:val="EE0000"/>
          <w:sz w:val="22"/>
          <w:szCs w:val="22"/>
        </w:rPr>
        <w:t xml:space="preserve">According to Buchan </w:t>
      </w:r>
      <w:r w:rsidRPr="000A13D4">
        <w:rPr>
          <w:rStyle w:val="Strong"/>
          <w:rFonts w:ascii="Arial" w:hAnsi="Arial" w:cs="Arial"/>
          <w:b w:val="0"/>
          <w:bCs w:val="0"/>
          <w:i/>
          <w:iCs/>
          <w:color w:val="EE0000"/>
          <w:sz w:val="22"/>
          <w:szCs w:val="22"/>
        </w:rPr>
        <w:t>et al.</w:t>
      </w:r>
      <w:r w:rsidRPr="00416AB3">
        <w:rPr>
          <w:rStyle w:val="Strong"/>
          <w:rFonts w:ascii="Arial" w:hAnsi="Arial" w:cs="Arial"/>
          <w:b w:val="0"/>
          <w:bCs w:val="0"/>
          <w:color w:val="EE0000"/>
          <w:sz w:val="22"/>
          <w:szCs w:val="22"/>
        </w:rPr>
        <w:t xml:space="preserve"> (2019),</w:t>
      </w:r>
      <w:r w:rsidRPr="00416AB3">
        <w:rPr>
          <w:rStyle w:val="apple-converted-space"/>
          <w:rFonts w:ascii="Arial" w:hAnsi="Arial" w:cs="Arial"/>
          <w:b/>
          <w:bCs/>
          <w:color w:val="EE0000"/>
          <w:sz w:val="22"/>
          <w:szCs w:val="22"/>
        </w:rPr>
        <w:t> </w:t>
      </w:r>
      <w:r w:rsidRPr="00416AB3">
        <w:rPr>
          <w:rFonts w:ascii="Arial" w:hAnsi="Arial" w:cs="Arial"/>
          <w:color w:val="000000"/>
          <w:sz w:val="22"/>
          <w:szCs w:val="22"/>
        </w:rPr>
        <w:t>increasing demand for health and social care services has placed growing pressure on workforce capacity across the UK.</w:t>
      </w:r>
    </w:p>
    <w:p w14:paraId="7017824C" w14:textId="77777777" w:rsidR="00EB2E41" w:rsidRPr="00416AB3" w:rsidRDefault="00EB2E41" w:rsidP="00416AB3">
      <w:pPr>
        <w:pStyle w:val="NormalWeb"/>
        <w:spacing w:line="360" w:lineRule="auto"/>
        <w:rPr>
          <w:rFonts w:ascii="Arial" w:hAnsi="Arial" w:cs="Arial"/>
          <w:color w:val="000000"/>
          <w:sz w:val="22"/>
          <w:szCs w:val="22"/>
        </w:rPr>
      </w:pPr>
      <w:r w:rsidRPr="00416AB3">
        <w:rPr>
          <w:rFonts w:ascii="Arial" w:hAnsi="Arial" w:cs="Arial"/>
          <w:color w:val="000000"/>
          <w:sz w:val="22"/>
          <w:szCs w:val="22"/>
        </w:rPr>
        <w:t>While international recruitment has contributed to increasing workforce capacity, concerns have been raised regarding migrant workers' wellbeing, job satisfaction, retention, and career progression.</w:t>
      </w:r>
      <w:r w:rsidRPr="00416AB3">
        <w:rPr>
          <w:rStyle w:val="apple-converted-space"/>
          <w:rFonts w:ascii="Arial" w:hAnsi="Arial" w:cs="Arial"/>
          <w:color w:val="000000"/>
          <w:sz w:val="22"/>
          <w:szCs w:val="22"/>
        </w:rPr>
        <w:t> </w:t>
      </w:r>
      <w:r w:rsidRPr="000A13D4">
        <w:rPr>
          <w:rStyle w:val="Strong"/>
          <w:rFonts w:ascii="Arial" w:hAnsi="Arial" w:cs="Arial"/>
          <w:b w:val="0"/>
          <w:bCs w:val="0"/>
          <w:color w:val="EE0000"/>
          <w:sz w:val="22"/>
          <w:szCs w:val="22"/>
        </w:rPr>
        <w:t>Hussein (2022) highlights</w:t>
      </w:r>
      <w:r w:rsidRPr="000A13D4">
        <w:rPr>
          <w:rStyle w:val="apple-converted-space"/>
          <w:rFonts w:ascii="Arial" w:hAnsi="Arial" w:cs="Arial"/>
          <w:color w:val="EE0000"/>
          <w:sz w:val="22"/>
          <w:szCs w:val="22"/>
        </w:rPr>
        <w:t> </w:t>
      </w:r>
      <w:r w:rsidRPr="00416AB3">
        <w:rPr>
          <w:rFonts w:ascii="Arial" w:hAnsi="Arial" w:cs="Arial"/>
          <w:color w:val="000000"/>
          <w:sz w:val="22"/>
          <w:szCs w:val="22"/>
        </w:rPr>
        <w:t>that these factors have important implications not only for individual migrant workers but also for the long-term sustainability of the care workforce.</w:t>
      </w:r>
    </w:p>
    <w:p w14:paraId="39CD3D50" w14:textId="77777777" w:rsidR="009C6680" w:rsidRDefault="00EB2E41" w:rsidP="009C6680">
      <w:pPr>
        <w:pStyle w:val="NormalWeb"/>
        <w:spacing w:line="360" w:lineRule="auto"/>
        <w:rPr>
          <w:rStyle w:val="Strong"/>
          <w:rFonts w:ascii="Arial" w:hAnsi="Arial" w:cs="Arial"/>
          <w:b w:val="0"/>
          <w:bCs w:val="0"/>
          <w:color w:val="EE0000"/>
          <w:sz w:val="22"/>
          <w:szCs w:val="22"/>
        </w:rPr>
      </w:pPr>
      <w:r w:rsidRPr="00416AB3">
        <w:rPr>
          <w:rFonts w:ascii="Arial" w:hAnsi="Arial" w:cs="Arial"/>
          <w:color w:val="000000"/>
          <w:sz w:val="22"/>
          <w:szCs w:val="22"/>
        </w:rPr>
        <w:t>In recent years, workforce sustainability has extended beyond recruitment to include supporting and retaining experienced employees. Improving working conditions, promoting staff wellbeing, and creating inclusive working environments are widely recognised as essential components of maintaining a stable and resilient ASC workforce. Consequently, understanding migrant workers' experiences has become an important aspect of improving workforce sustainability within the UK ASC sector</w:t>
      </w:r>
      <w:r w:rsidRPr="00416AB3">
        <w:rPr>
          <w:rStyle w:val="apple-converted-space"/>
          <w:rFonts w:ascii="Arial" w:hAnsi="Arial" w:cs="Arial"/>
          <w:color w:val="000000"/>
          <w:sz w:val="22"/>
          <w:szCs w:val="22"/>
        </w:rPr>
        <w:t> </w:t>
      </w:r>
      <w:r w:rsidRPr="000A13D4">
        <w:rPr>
          <w:rStyle w:val="Strong"/>
          <w:rFonts w:ascii="Arial" w:hAnsi="Arial" w:cs="Arial"/>
          <w:b w:val="0"/>
          <w:bCs w:val="0"/>
          <w:color w:val="EE0000"/>
          <w:sz w:val="22"/>
          <w:szCs w:val="22"/>
        </w:rPr>
        <w:t>(Tawodzera, 2024).</w:t>
      </w:r>
    </w:p>
    <w:p w14:paraId="2B9BCC53" w14:textId="308FF461" w:rsidR="00A23B6F" w:rsidRPr="00335706" w:rsidRDefault="00335706" w:rsidP="00A23B6F">
      <w:pPr>
        <w:pStyle w:val="NormalWeb"/>
        <w:spacing w:line="360" w:lineRule="auto"/>
        <w:rPr>
          <w:rFonts w:ascii="Arial" w:hAnsi="Arial" w:cs="Arial"/>
          <w:color w:val="000000" w:themeColor="text1"/>
          <w:sz w:val="28"/>
          <w:szCs w:val="28"/>
        </w:rPr>
      </w:pPr>
      <w:r w:rsidRPr="00335706">
        <w:rPr>
          <w:rFonts w:ascii="Arial" w:hAnsi="Arial" w:cs="Arial"/>
          <w:color w:val="000000" w:themeColor="text1"/>
          <w:sz w:val="28"/>
          <w:szCs w:val="28"/>
        </w:rPr>
        <w:t xml:space="preserve">4.5.3 </w:t>
      </w:r>
      <w:r w:rsidR="00C267E2" w:rsidRPr="00335706">
        <w:rPr>
          <w:rFonts w:ascii="Arial" w:hAnsi="Arial" w:cs="Arial"/>
          <w:color w:val="000000" w:themeColor="text1"/>
          <w:sz w:val="28"/>
          <w:szCs w:val="28"/>
        </w:rPr>
        <w:t>Impact on Research Question</w:t>
      </w:r>
    </w:p>
    <w:p w14:paraId="5BB80F6D" w14:textId="178D87B4" w:rsidR="00D3083B" w:rsidRPr="00A23B6F" w:rsidRDefault="00D3083B" w:rsidP="00A23B6F">
      <w:pPr>
        <w:pStyle w:val="NormalWeb"/>
        <w:spacing w:line="360" w:lineRule="auto"/>
        <w:rPr>
          <w:rStyle w:val="Strong"/>
          <w:rFonts w:ascii="Arial" w:hAnsi="Arial" w:cs="Arial"/>
          <w:b w:val="0"/>
          <w:bCs w:val="0"/>
          <w:color w:val="000000"/>
          <w:sz w:val="22"/>
          <w:szCs w:val="22"/>
        </w:rPr>
      </w:pPr>
      <w:r w:rsidRPr="00D3083B">
        <w:rPr>
          <w:rFonts w:ascii="Arial" w:hAnsi="Arial" w:cs="Arial"/>
          <w:color w:val="000000"/>
        </w:rPr>
        <w:t>This theme is highly relevant to the research question because migrant workers' experiences and wellbeing have a direct impact on workforce sustainability within the UK adult social care (ASC) sector. While migrant workers play an important role in addressing workforce shortages, sustaining a skilled and motivated workforce requires more than recruitment alone.</w:t>
      </w:r>
      <w:r w:rsidRPr="00D3083B">
        <w:rPr>
          <w:rStyle w:val="apple-converted-space"/>
          <w:rFonts w:ascii="Arial" w:hAnsi="Arial" w:cs="Arial"/>
          <w:color w:val="000000"/>
        </w:rPr>
        <w:t> </w:t>
      </w:r>
      <w:r w:rsidRPr="00071EFB">
        <w:rPr>
          <w:rStyle w:val="Strong"/>
          <w:rFonts w:ascii="Arial" w:hAnsi="Arial" w:cs="Arial"/>
          <w:b w:val="0"/>
          <w:bCs w:val="0"/>
          <w:color w:val="EE0000"/>
        </w:rPr>
        <w:t>According to Buchan et al. (2019),</w:t>
      </w:r>
      <w:r w:rsidRPr="00071EFB">
        <w:rPr>
          <w:rStyle w:val="apple-converted-space"/>
          <w:rFonts w:ascii="Arial" w:hAnsi="Arial" w:cs="Arial"/>
          <w:color w:val="EE0000"/>
        </w:rPr>
        <w:t> </w:t>
      </w:r>
      <w:r w:rsidRPr="00D3083B">
        <w:rPr>
          <w:rFonts w:ascii="Arial" w:hAnsi="Arial" w:cs="Arial"/>
          <w:color w:val="000000"/>
        </w:rPr>
        <w:t xml:space="preserve">staff retention, career development, and supportive working environments are essential to maintaining a sustainable health and social care workforce. Examining these experiences provides a deeper understanding of whether migrant workers' contributions can support the long-term sustainability of the ASC workforce. Consequently, understanding migrant workers' experiences is essential to fully </w:t>
      </w:r>
      <w:r w:rsidRPr="00D3083B">
        <w:rPr>
          <w:rFonts w:ascii="Arial" w:hAnsi="Arial" w:cs="Arial"/>
          <w:color w:val="000000"/>
        </w:rPr>
        <w:lastRenderedPageBreak/>
        <w:t>appreciating the role</w:t>
      </w:r>
      <w:r w:rsidR="00373A16">
        <w:rPr>
          <w:rFonts w:ascii="Arial" w:hAnsi="Arial" w:cs="Arial"/>
          <w:color w:val="000000"/>
        </w:rPr>
        <w:t xml:space="preserve"> they play </w:t>
      </w:r>
      <w:r w:rsidRPr="00D3083B">
        <w:rPr>
          <w:rFonts w:ascii="Arial" w:hAnsi="Arial" w:cs="Arial"/>
          <w:color w:val="000000"/>
        </w:rPr>
        <w:t>in supporting the UK's</w:t>
      </w:r>
      <w:r w:rsidR="00CA4E68">
        <w:rPr>
          <w:rFonts w:ascii="Arial" w:hAnsi="Arial" w:cs="Arial"/>
          <w:color w:val="000000"/>
        </w:rPr>
        <w:t xml:space="preserve"> ASC</w:t>
      </w:r>
      <w:r w:rsidRPr="00D3083B">
        <w:rPr>
          <w:rFonts w:ascii="Arial" w:hAnsi="Arial" w:cs="Arial"/>
          <w:color w:val="000000"/>
        </w:rPr>
        <w:t xml:space="preserve"> sector</w:t>
      </w:r>
      <w:r w:rsidRPr="004E20D2">
        <w:rPr>
          <w:rStyle w:val="apple-converted-space"/>
          <w:rFonts w:ascii="Arial" w:hAnsi="Arial" w:cs="Arial"/>
          <w:color w:val="000000"/>
        </w:rPr>
        <w:t> </w:t>
      </w:r>
      <w:r w:rsidR="004E20D2" w:rsidRPr="004E20D2">
        <w:rPr>
          <w:rFonts w:ascii="Arial" w:hAnsi="Arial" w:cs="Arial"/>
          <w:color w:val="EE0000"/>
        </w:rPr>
        <w:t>(Wilkinson et al., 2025).</w:t>
      </w:r>
    </w:p>
    <w:p w14:paraId="7FC405DF" w14:textId="685D6D81" w:rsidR="00C267E2" w:rsidRPr="00335706" w:rsidRDefault="00335706" w:rsidP="009A0C67">
      <w:pPr>
        <w:pStyle w:val="Heading4"/>
        <w:rPr>
          <w:rFonts w:ascii="Arial" w:hAnsi="Arial" w:cs="Arial"/>
          <w:i w:val="0"/>
          <w:iCs w:val="0"/>
          <w:color w:val="000000" w:themeColor="text1"/>
          <w:sz w:val="28"/>
          <w:szCs w:val="28"/>
        </w:rPr>
      </w:pPr>
      <w:r w:rsidRPr="00335706">
        <w:rPr>
          <w:rFonts w:ascii="Arial" w:hAnsi="Arial" w:cs="Arial"/>
          <w:i w:val="0"/>
          <w:iCs w:val="0"/>
          <w:color w:val="000000" w:themeColor="text1"/>
          <w:sz w:val="28"/>
          <w:szCs w:val="28"/>
        </w:rPr>
        <w:t>4.5.</w:t>
      </w:r>
      <w:r w:rsidR="00761558">
        <w:rPr>
          <w:rFonts w:ascii="Arial" w:hAnsi="Arial" w:cs="Arial"/>
          <w:i w:val="0"/>
          <w:iCs w:val="0"/>
          <w:color w:val="000000" w:themeColor="text1"/>
          <w:sz w:val="28"/>
          <w:szCs w:val="28"/>
        </w:rPr>
        <w:t>4</w:t>
      </w:r>
      <w:r w:rsidRPr="00335706">
        <w:rPr>
          <w:rFonts w:ascii="Arial" w:hAnsi="Arial" w:cs="Arial"/>
          <w:i w:val="0"/>
          <w:iCs w:val="0"/>
          <w:color w:val="000000" w:themeColor="text1"/>
          <w:sz w:val="28"/>
          <w:szCs w:val="28"/>
        </w:rPr>
        <w:t xml:space="preserve"> </w:t>
      </w:r>
      <w:r w:rsidR="00C267E2" w:rsidRPr="00335706">
        <w:rPr>
          <w:rFonts w:ascii="Arial" w:hAnsi="Arial" w:cs="Arial"/>
          <w:i w:val="0"/>
          <w:iCs w:val="0"/>
          <w:color w:val="000000" w:themeColor="text1"/>
          <w:sz w:val="28"/>
          <w:szCs w:val="28"/>
        </w:rPr>
        <w:t>Statistical Information</w:t>
      </w:r>
    </w:p>
    <w:p w14:paraId="7F2637F0" w14:textId="77777777" w:rsidR="000C5169" w:rsidRPr="008E4CD3" w:rsidRDefault="000C5169" w:rsidP="008E4CD3">
      <w:pPr>
        <w:pStyle w:val="NormalWeb"/>
        <w:spacing w:line="360" w:lineRule="auto"/>
        <w:rPr>
          <w:rFonts w:ascii="Arial" w:hAnsi="Arial" w:cs="Arial"/>
          <w:b/>
          <w:bCs/>
          <w:color w:val="000000"/>
          <w:sz w:val="22"/>
          <w:szCs w:val="22"/>
        </w:rPr>
      </w:pPr>
      <w:r w:rsidRPr="008E4CD3">
        <w:rPr>
          <w:rFonts w:ascii="Arial" w:hAnsi="Arial" w:cs="Arial"/>
          <w:color w:val="000000"/>
          <w:sz w:val="22"/>
          <w:szCs w:val="22"/>
        </w:rPr>
        <w:t>Recent workforce data emphasise the significance of providing further support to migrant workers beyond recruitment.</w:t>
      </w:r>
      <w:r w:rsidRPr="008E4CD3">
        <w:rPr>
          <w:rStyle w:val="apple-converted-space"/>
          <w:rFonts w:ascii="Arial" w:hAnsi="Arial" w:cs="Arial"/>
          <w:color w:val="000000"/>
          <w:sz w:val="22"/>
          <w:szCs w:val="22"/>
        </w:rPr>
        <w:t> </w:t>
      </w:r>
      <w:r w:rsidRPr="001C4459">
        <w:rPr>
          <w:rStyle w:val="Strong"/>
          <w:rFonts w:ascii="Arial" w:hAnsi="Arial" w:cs="Arial"/>
          <w:b w:val="0"/>
          <w:bCs w:val="0"/>
          <w:color w:val="EE0000"/>
          <w:sz w:val="22"/>
          <w:szCs w:val="22"/>
        </w:rPr>
        <w:t>According to Skills for Care (2025)</w:t>
      </w:r>
      <w:r w:rsidRPr="008E4CD3">
        <w:rPr>
          <w:rStyle w:val="Strong"/>
          <w:rFonts w:ascii="Arial" w:hAnsi="Arial" w:cs="Arial"/>
          <w:b w:val="0"/>
          <w:bCs w:val="0"/>
          <w:color w:val="000000"/>
          <w:sz w:val="22"/>
          <w:szCs w:val="22"/>
        </w:rPr>
        <w:t>, approximately 335,000 people leave the UK adult social care (ASC) workforce each year, highlighting the persistent challenge of retaining experienced staff.</w:t>
      </w:r>
      <w:r w:rsidRPr="008E4CD3">
        <w:rPr>
          <w:rStyle w:val="apple-converted-space"/>
          <w:rFonts w:ascii="Arial" w:hAnsi="Arial" w:cs="Arial"/>
          <w:b/>
          <w:bCs/>
          <w:color w:val="000000"/>
          <w:sz w:val="22"/>
          <w:szCs w:val="22"/>
        </w:rPr>
        <w:t> </w:t>
      </w:r>
      <w:r w:rsidRPr="008E4CD3">
        <w:rPr>
          <w:rFonts w:ascii="Arial" w:hAnsi="Arial" w:cs="Arial"/>
          <w:color w:val="000000"/>
          <w:sz w:val="22"/>
          <w:szCs w:val="22"/>
        </w:rPr>
        <w:t>The report also identifies a workforce turnover rate of</w:t>
      </w:r>
      <w:r w:rsidRPr="008E4CD3">
        <w:rPr>
          <w:rStyle w:val="apple-converted-space"/>
          <w:rFonts w:ascii="Arial" w:hAnsi="Arial" w:cs="Arial"/>
          <w:color w:val="000000"/>
          <w:sz w:val="22"/>
          <w:szCs w:val="22"/>
        </w:rPr>
        <w:t> </w:t>
      </w:r>
      <w:r w:rsidRPr="008E4CD3">
        <w:rPr>
          <w:rStyle w:val="Strong"/>
          <w:rFonts w:ascii="Arial" w:hAnsi="Arial" w:cs="Arial"/>
          <w:b w:val="0"/>
          <w:bCs w:val="0"/>
          <w:color w:val="000000"/>
          <w:sz w:val="22"/>
          <w:szCs w:val="22"/>
        </w:rPr>
        <w:t>23.1%</w:t>
      </w:r>
      <w:r w:rsidRPr="008E4CD3">
        <w:rPr>
          <w:rFonts w:ascii="Arial" w:hAnsi="Arial" w:cs="Arial"/>
          <w:b/>
          <w:bCs/>
          <w:color w:val="000000"/>
          <w:sz w:val="22"/>
          <w:szCs w:val="22"/>
        </w:rPr>
        <w:t>,</w:t>
      </w:r>
      <w:r w:rsidRPr="008E4CD3">
        <w:rPr>
          <w:rFonts w:ascii="Arial" w:hAnsi="Arial" w:cs="Arial"/>
          <w:color w:val="000000"/>
          <w:sz w:val="22"/>
          <w:szCs w:val="22"/>
        </w:rPr>
        <w:t xml:space="preserve"> demonstrating the difficulties employers face in maintaining a stable workforce. Furthermore, the UK's population aged 65 years and over is projected to increase significantly over the coming decades, increasing demand for adult social care services and placing additional pressure on workforce capacity</w:t>
      </w:r>
      <w:r w:rsidRPr="008E4CD3">
        <w:rPr>
          <w:rStyle w:val="apple-converted-space"/>
          <w:rFonts w:ascii="Arial" w:hAnsi="Arial" w:cs="Arial"/>
          <w:color w:val="000000"/>
          <w:sz w:val="22"/>
          <w:szCs w:val="22"/>
        </w:rPr>
        <w:t> </w:t>
      </w:r>
      <w:r w:rsidRPr="00922E33">
        <w:rPr>
          <w:rStyle w:val="Strong"/>
          <w:rFonts w:ascii="Arial" w:hAnsi="Arial" w:cs="Arial"/>
          <w:b w:val="0"/>
          <w:bCs w:val="0"/>
          <w:color w:val="EE0000"/>
          <w:sz w:val="22"/>
          <w:szCs w:val="22"/>
        </w:rPr>
        <w:t xml:space="preserve">(Barton </w:t>
      </w:r>
      <w:r w:rsidRPr="00922E33">
        <w:rPr>
          <w:rStyle w:val="Strong"/>
          <w:rFonts w:ascii="Arial" w:hAnsi="Arial" w:cs="Arial"/>
          <w:b w:val="0"/>
          <w:bCs w:val="0"/>
          <w:i/>
          <w:iCs/>
          <w:color w:val="EE0000"/>
          <w:sz w:val="22"/>
          <w:szCs w:val="22"/>
        </w:rPr>
        <w:t>et al.,</w:t>
      </w:r>
      <w:r w:rsidRPr="00922E33">
        <w:rPr>
          <w:rStyle w:val="Strong"/>
          <w:rFonts w:ascii="Arial" w:hAnsi="Arial" w:cs="Arial"/>
          <w:b w:val="0"/>
          <w:bCs w:val="0"/>
          <w:color w:val="EE0000"/>
          <w:sz w:val="22"/>
          <w:szCs w:val="22"/>
        </w:rPr>
        <w:t xml:space="preserve"> 2024).</w:t>
      </w:r>
    </w:p>
    <w:p w14:paraId="470244F4" w14:textId="57A0DC56" w:rsidR="003677F0" w:rsidRDefault="008E4CD3" w:rsidP="008E4CD3">
      <w:pPr>
        <w:pStyle w:val="Heading4"/>
        <w:jc w:val="left"/>
        <w:rPr>
          <w:rStyle w:val="Strong"/>
          <w:rFonts w:ascii="Arial" w:hAnsi="Arial" w:cs="Arial"/>
          <w:b w:val="0"/>
          <w:bCs w:val="0"/>
          <w:i w:val="0"/>
          <w:iCs w:val="0"/>
          <w:color w:val="EE0000"/>
        </w:rPr>
      </w:pPr>
      <w:r w:rsidRPr="00922E33">
        <w:rPr>
          <w:rFonts w:ascii="Arial" w:hAnsi="Arial" w:cs="Arial"/>
          <w:i w:val="0"/>
          <w:iCs w:val="0"/>
          <w:color w:val="000000"/>
        </w:rPr>
        <w:t>These statistics indicate that workforce sustainability depends not only on employing sufficient staff but also on improving staff retention, wellbeing, and job satisfaction. While migrant workers continue to contribute significantly to the UK ASC workforce, addressing high staff turnover and rising demand for care services is essential to ensuring long-term workforce sustainability</w:t>
      </w:r>
      <w:r w:rsidRPr="00922E33">
        <w:rPr>
          <w:rStyle w:val="apple-converted-space"/>
          <w:rFonts w:ascii="Arial" w:hAnsi="Arial" w:cs="Arial"/>
          <w:i w:val="0"/>
          <w:iCs w:val="0"/>
          <w:color w:val="000000"/>
        </w:rPr>
        <w:t> </w:t>
      </w:r>
      <w:r w:rsidRPr="00922E33">
        <w:rPr>
          <w:rStyle w:val="Strong"/>
          <w:rFonts w:ascii="Arial" w:hAnsi="Arial" w:cs="Arial"/>
          <w:b w:val="0"/>
          <w:bCs w:val="0"/>
          <w:i w:val="0"/>
          <w:iCs w:val="0"/>
          <w:color w:val="EE0000"/>
        </w:rPr>
        <w:t xml:space="preserve">(Wilkinson </w:t>
      </w:r>
      <w:r w:rsidRPr="00922E33">
        <w:rPr>
          <w:rStyle w:val="Strong"/>
          <w:rFonts w:ascii="Arial" w:hAnsi="Arial" w:cs="Arial"/>
          <w:b w:val="0"/>
          <w:bCs w:val="0"/>
          <w:color w:val="EE0000"/>
        </w:rPr>
        <w:t>et al.,</w:t>
      </w:r>
      <w:r w:rsidRPr="00922E33">
        <w:rPr>
          <w:rStyle w:val="Strong"/>
          <w:rFonts w:ascii="Arial" w:hAnsi="Arial" w:cs="Arial"/>
          <w:b w:val="0"/>
          <w:bCs w:val="0"/>
          <w:i w:val="0"/>
          <w:iCs w:val="0"/>
          <w:color w:val="EE0000"/>
        </w:rPr>
        <w:t xml:space="preserve"> 2025).</w:t>
      </w:r>
    </w:p>
    <w:p w14:paraId="0B3B6575" w14:textId="77777777" w:rsidR="003741A4" w:rsidRPr="003741A4" w:rsidRDefault="003741A4" w:rsidP="003741A4"/>
    <w:p w14:paraId="007E13A5" w14:textId="746F6161" w:rsidR="00C267E2" w:rsidRPr="003741A4" w:rsidRDefault="003741A4" w:rsidP="00C267E2">
      <w:pPr>
        <w:pStyle w:val="Heading4"/>
        <w:rPr>
          <w:rFonts w:ascii="Arial" w:hAnsi="Arial" w:cs="Arial"/>
          <w:i w:val="0"/>
          <w:iCs w:val="0"/>
          <w:color w:val="000000" w:themeColor="text1"/>
          <w:sz w:val="28"/>
          <w:szCs w:val="28"/>
        </w:rPr>
      </w:pPr>
      <w:r w:rsidRPr="003741A4">
        <w:rPr>
          <w:rFonts w:ascii="Arial" w:hAnsi="Arial" w:cs="Arial"/>
          <w:i w:val="0"/>
          <w:iCs w:val="0"/>
          <w:color w:val="000000" w:themeColor="text1"/>
          <w:sz w:val="28"/>
          <w:szCs w:val="28"/>
        </w:rPr>
        <w:t>4.5.</w:t>
      </w:r>
      <w:r w:rsidR="004923BB">
        <w:rPr>
          <w:rFonts w:ascii="Arial" w:hAnsi="Arial" w:cs="Arial"/>
          <w:i w:val="0"/>
          <w:iCs w:val="0"/>
          <w:color w:val="000000" w:themeColor="text1"/>
          <w:sz w:val="28"/>
          <w:szCs w:val="28"/>
        </w:rPr>
        <w:t xml:space="preserve">5 </w:t>
      </w:r>
      <w:r w:rsidR="00C267E2" w:rsidRPr="003741A4">
        <w:rPr>
          <w:rFonts w:ascii="Arial" w:hAnsi="Arial" w:cs="Arial"/>
          <w:i w:val="0"/>
          <w:iCs w:val="0"/>
          <w:color w:val="000000" w:themeColor="text1"/>
          <w:sz w:val="28"/>
          <w:szCs w:val="28"/>
        </w:rPr>
        <w:t>Theories, Policies, and Legislation</w:t>
      </w:r>
    </w:p>
    <w:p w14:paraId="4581EB1B" w14:textId="77777777" w:rsidR="00A23B6F" w:rsidRDefault="00A815EC" w:rsidP="00A23B6F">
      <w:pPr>
        <w:pStyle w:val="NormalWeb"/>
        <w:spacing w:line="360" w:lineRule="auto"/>
        <w:rPr>
          <w:rStyle w:val="Strong"/>
          <w:rFonts w:ascii="Arial" w:hAnsi="Arial" w:cs="Arial"/>
          <w:b w:val="0"/>
          <w:bCs w:val="0"/>
          <w:color w:val="EE0000"/>
          <w:sz w:val="22"/>
          <w:szCs w:val="22"/>
        </w:rPr>
      </w:pPr>
      <w:r w:rsidRPr="00EF6AC1">
        <w:rPr>
          <w:rStyle w:val="Strong"/>
          <w:rFonts w:ascii="Arial" w:hAnsi="Arial" w:cs="Arial"/>
          <w:b w:val="0"/>
          <w:bCs w:val="0"/>
          <w:color w:val="000000"/>
          <w:sz w:val="22"/>
          <w:szCs w:val="22"/>
        </w:rPr>
        <w:t xml:space="preserve">Maslow's Hierarchy of Needs is a valuable framework for understanding migrant worker experiences and workforce sustainability in the UK adult social care (ASC) sector. According to </w:t>
      </w:r>
      <w:r w:rsidRPr="00EF6AC1">
        <w:rPr>
          <w:rStyle w:val="Strong"/>
          <w:rFonts w:ascii="Arial" w:hAnsi="Arial" w:cs="Arial"/>
          <w:b w:val="0"/>
          <w:bCs w:val="0"/>
          <w:color w:val="EE0000"/>
          <w:sz w:val="22"/>
          <w:szCs w:val="22"/>
        </w:rPr>
        <w:t xml:space="preserve">Carroll </w:t>
      </w:r>
      <w:r w:rsidRPr="00EF6AC1">
        <w:rPr>
          <w:rStyle w:val="Strong"/>
          <w:rFonts w:ascii="Arial" w:hAnsi="Arial" w:cs="Arial"/>
          <w:b w:val="0"/>
          <w:bCs w:val="0"/>
          <w:i/>
          <w:iCs/>
          <w:color w:val="EE0000"/>
          <w:sz w:val="22"/>
          <w:szCs w:val="22"/>
        </w:rPr>
        <w:t>et al.</w:t>
      </w:r>
      <w:r w:rsidRPr="00EF6AC1">
        <w:rPr>
          <w:rStyle w:val="Strong"/>
          <w:rFonts w:ascii="Arial" w:hAnsi="Arial" w:cs="Arial"/>
          <w:b w:val="0"/>
          <w:bCs w:val="0"/>
          <w:color w:val="EE0000"/>
          <w:sz w:val="22"/>
          <w:szCs w:val="22"/>
        </w:rPr>
        <w:t xml:space="preserve"> (2025),</w:t>
      </w:r>
      <w:r w:rsidRPr="00EF6AC1">
        <w:rPr>
          <w:rStyle w:val="apple-converted-space"/>
          <w:rFonts w:ascii="Arial" w:hAnsi="Arial" w:cs="Arial"/>
          <w:color w:val="EE0000"/>
          <w:sz w:val="22"/>
          <w:szCs w:val="22"/>
        </w:rPr>
        <w:t> </w:t>
      </w:r>
      <w:r w:rsidRPr="00EF6AC1">
        <w:rPr>
          <w:rFonts w:ascii="Arial" w:hAnsi="Arial" w:cs="Arial"/>
          <w:color w:val="000000"/>
          <w:sz w:val="22"/>
          <w:szCs w:val="22"/>
        </w:rPr>
        <w:t>the theory provides a useful framework for understanding how factors such as safety, belonging, esteem, and personal development influence staff wellbeing within healthcare settings. These needs can be met within the ASC workforce by providing positive working environments, career development opportunities, and organisational support. When these needs are met, migrant workers are more likely to experience improved wellbeing, job satisfaction, and retention, which helps to ensure long-term workforce sustainability</w:t>
      </w:r>
      <w:r w:rsidRPr="00EF6AC1">
        <w:rPr>
          <w:rStyle w:val="apple-converted-space"/>
          <w:rFonts w:ascii="Arial" w:hAnsi="Arial" w:cs="Arial"/>
          <w:color w:val="000000"/>
          <w:sz w:val="22"/>
          <w:szCs w:val="22"/>
        </w:rPr>
        <w:t> </w:t>
      </w:r>
      <w:r w:rsidRPr="00EF6AC1">
        <w:rPr>
          <w:rStyle w:val="Strong"/>
          <w:rFonts w:ascii="Arial" w:hAnsi="Arial" w:cs="Arial"/>
          <w:b w:val="0"/>
          <w:bCs w:val="0"/>
          <w:color w:val="EE0000"/>
          <w:sz w:val="22"/>
          <w:szCs w:val="22"/>
        </w:rPr>
        <w:t xml:space="preserve">(Wilkinson </w:t>
      </w:r>
      <w:r w:rsidRPr="00EF6AC1">
        <w:rPr>
          <w:rStyle w:val="Strong"/>
          <w:rFonts w:ascii="Arial" w:hAnsi="Arial" w:cs="Arial"/>
          <w:b w:val="0"/>
          <w:bCs w:val="0"/>
          <w:i/>
          <w:iCs/>
          <w:color w:val="EE0000"/>
          <w:sz w:val="22"/>
          <w:szCs w:val="22"/>
        </w:rPr>
        <w:t>et al.,</w:t>
      </w:r>
      <w:r w:rsidRPr="00EF6AC1">
        <w:rPr>
          <w:rStyle w:val="Strong"/>
          <w:rFonts w:ascii="Arial" w:hAnsi="Arial" w:cs="Arial"/>
          <w:b w:val="0"/>
          <w:bCs w:val="0"/>
          <w:color w:val="EE0000"/>
          <w:sz w:val="22"/>
          <w:szCs w:val="22"/>
        </w:rPr>
        <w:t xml:space="preserve"> 2025).</w:t>
      </w:r>
    </w:p>
    <w:p w14:paraId="6C797EB4" w14:textId="54330CE1" w:rsidR="00191E7D" w:rsidRPr="00A23B6F" w:rsidRDefault="00676B9B" w:rsidP="00A23B6F">
      <w:pPr>
        <w:pStyle w:val="NormalWeb"/>
        <w:spacing w:line="360" w:lineRule="auto"/>
        <w:rPr>
          <w:rFonts w:ascii="Arial" w:hAnsi="Arial" w:cs="Arial"/>
          <w:b/>
          <w:bCs/>
          <w:color w:val="000000"/>
          <w:sz w:val="22"/>
          <w:szCs w:val="22"/>
        </w:rPr>
      </w:pPr>
      <w:r w:rsidRPr="00F03119">
        <w:rPr>
          <w:rFonts w:ascii="Arial" w:hAnsi="Arial" w:cs="Arial"/>
          <w:color w:val="000000"/>
        </w:rPr>
        <w:t xml:space="preserve">However, Maslow's theory has limitations. </w:t>
      </w:r>
      <w:r w:rsidRPr="00F03119">
        <w:rPr>
          <w:rFonts w:ascii="Arial" w:hAnsi="Arial" w:cs="Arial"/>
          <w:color w:val="EE0000"/>
        </w:rPr>
        <w:t xml:space="preserve">Rojas et al. (2023) </w:t>
      </w:r>
      <w:r w:rsidRPr="00F03119">
        <w:rPr>
          <w:rFonts w:ascii="Arial" w:hAnsi="Arial" w:cs="Arial"/>
          <w:color w:val="000000"/>
        </w:rPr>
        <w:t xml:space="preserve">argue that individuals do not always progress through their needs in a fixed order, as personal and social circumstances influence which needs are prioritised. Migrant workers may prioritise financial security, stable employment, or family responsibilities over higher-level </w:t>
      </w:r>
      <w:r w:rsidRPr="00F03119">
        <w:rPr>
          <w:rFonts w:ascii="Arial" w:hAnsi="Arial" w:cs="Arial"/>
          <w:color w:val="000000"/>
        </w:rPr>
        <w:lastRenderedPageBreak/>
        <w:t xml:space="preserve">needs. This suggests that workforce retention is influenced not only by individual motivation but also by wider organisational and policy factors </w:t>
      </w:r>
      <w:r w:rsidRPr="001A38B1">
        <w:rPr>
          <w:rFonts w:ascii="Arial" w:hAnsi="Arial" w:cs="Arial"/>
          <w:color w:val="EE0000"/>
        </w:rPr>
        <w:t>(Alkhateeb et al., 2025).</w:t>
      </w:r>
    </w:p>
    <w:p w14:paraId="4FFC6940" w14:textId="427DD650" w:rsidR="00F007F1" w:rsidRPr="00F007F1" w:rsidRDefault="00A16FF2" w:rsidP="000B787B">
      <w:pPr>
        <w:pStyle w:val="Heading4"/>
        <w:jc w:val="left"/>
        <w:rPr>
          <w:rFonts w:ascii="Arial" w:hAnsi="Arial" w:cs="Arial"/>
          <w:i w:val="0"/>
          <w:iCs w:val="0"/>
          <w:color w:val="000000"/>
        </w:rPr>
      </w:pPr>
      <w:r w:rsidRPr="00F007F1">
        <w:rPr>
          <w:rFonts w:ascii="Arial" w:hAnsi="Arial" w:cs="Arial"/>
          <w:i w:val="0"/>
          <w:iCs w:val="0"/>
          <w:color w:val="000000"/>
        </w:rPr>
        <w:t xml:space="preserve">The </w:t>
      </w:r>
      <w:r w:rsidRPr="002C54C7">
        <w:rPr>
          <w:rFonts w:ascii="Arial" w:hAnsi="Arial" w:cs="Arial"/>
          <w:i w:val="0"/>
          <w:iCs w:val="0"/>
          <w:color w:val="EE0000"/>
        </w:rPr>
        <w:t xml:space="preserve">Care Act 2014 </w:t>
      </w:r>
      <w:r w:rsidRPr="00F007F1">
        <w:rPr>
          <w:rFonts w:ascii="Arial" w:hAnsi="Arial" w:cs="Arial"/>
          <w:i w:val="0"/>
          <w:iCs w:val="0"/>
          <w:color w:val="000000"/>
        </w:rPr>
        <w:t xml:space="preserve">and the NHS </w:t>
      </w:r>
      <w:r w:rsidRPr="002C54C7">
        <w:rPr>
          <w:rFonts w:ascii="Arial" w:hAnsi="Arial" w:cs="Arial"/>
          <w:i w:val="0"/>
          <w:iCs w:val="0"/>
          <w:color w:val="EE0000"/>
        </w:rPr>
        <w:t xml:space="preserve">Long Term Workforce Plan (2023) </w:t>
      </w:r>
      <w:r w:rsidRPr="00F007F1">
        <w:rPr>
          <w:rFonts w:ascii="Arial" w:hAnsi="Arial" w:cs="Arial"/>
          <w:i w:val="0"/>
          <w:iCs w:val="0"/>
          <w:color w:val="000000"/>
        </w:rPr>
        <w:t xml:space="preserve">both emphasise the significance of building and retaining a sustainable workforce through staff support, well-being, and career development. Despite these </w:t>
      </w:r>
      <w:r w:rsidR="00EF10AA">
        <w:rPr>
          <w:rFonts w:ascii="Arial" w:hAnsi="Arial" w:cs="Arial"/>
          <w:i w:val="0"/>
          <w:iCs w:val="0"/>
          <w:color w:val="000000"/>
        </w:rPr>
        <w:t>policies</w:t>
      </w:r>
      <w:r w:rsidRPr="00F007F1">
        <w:rPr>
          <w:rFonts w:ascii="Arial" w:hAnsi="Arial" w:cs="Arial"/>
          <w:i w:val="0"/>
          <w:iCs w:val="0"/>
          <w:color w:val="000000"/>
        </w:rPr>
        <w:t xml:space="preserve"> and </w:t>
      </w:r>
      <w:r w:rsidR="00EF10AA">
        <w:rPr>
          <w:rFonts w:ascii="Arial" w:hAnsi="Arial" w:cs="Arial"/>
          <w:i w:val="0"/>
          <w:iCs w:val="0"/>
          <w:color w:val="000000"/>
        </w:rPr>
        <w:t>commitments</w:t>
      </w:r>
      <w:r w:rsidRPr="00F007F1">
        <w:rPr>
          <w:rFonts w:ascii="Arial" w:hAnsi="Arial" w:cs="Arial"/>
          <w:i w:val="0"/>
          <w:iCs w:val="0"/>
          <w:color w:val="000000"/>
        </w:rPr>
        <w:t>, the ASC sector continues to face workforce shortages and high employee turnover.</w:t>
      </w:r>
      <w:r w:rsidR="00B01037" w:rsidRPr="0054485E">
        <w:rPr>
          <w:rFonts w:ascii="Arial" w:hAnsi="Arial" w:cs="Arial"/>
          <w:i w:val="0"/>
          <w:iCs w:val="0"/>
          <w:color w:val="000000"/>
        </w:rPr>
        <w:t xml:space="preserve"> According to </w:t>
      </w:r>
      <w:r w:rsidR="00B01037" w:rsidRPr="006D6790">
        <w:rPr>
          <w:rFonts w:ascii="Arial" w:hAnsi="Arial" w:cs="Arial"/>
          <w:i w:val="0"/>
          <w:iCs w:val="0"/>
          <w:color w:val="EE0000"/>
        </w:rPr>
        <w:t xml:space="preserve">Villamin </w:t>
      </w:r>
      <w:r w:rsidR="00B01037" w:rsidRPr="006D6790">
        <w:rPr>
          <w:rFonts w:ascii="Arial" w:hAnsi="Arial" w:cs="Arial"/>
          <w:color w:val="EE0000"/>
        </w:rPr>
        <w:t>et al.</w:t>
      </w:r>
      <w:r w:rsidR="00B01037" w:rsidRPr="006D6790">
        <w:rPr>
          <w:rFonts w:ascii="Arial" w:hAnsi="Arial" w:cs="Arial"/>
          <w:i w:val="0"/>
          <w:iCs w:val="0"/>
          <w:color w:val="EE0000"/>
        </w:rPr>
        <w:t xml:space="preserve"> (2025)</w:t>
      </w:r>
      <w:r w:rsidR="00B01037" w:rsidRPr="0054485E">
        <w:rPr>
          <w:rFonts w:ascii="Arial" w:hAnsi="Arial" w:cs="Arial"/>
          <w:i w:val="0"/>
          <w:iCs w:val="0"/>
          <w:color w:val="000000"/>
        </w:rPr>
        <w:t>, improving retention requires more than just workforce planning</w:t>
      </w:r>
      <w:r w:rsidR="00C711A8">
        <w:rPr>
          <w:rFonts w:ascii="Arial" w:hAnsi="Arial" w:cs="Arial"/>
          <w:i w:val="0"/>
          <w:iCs w:val="0"/>
          <w:color w:val="000000"/>
        </w:rPr>
        <w:t xml:space="preserve">, </w:t>
      </w:r>
      <w:r w:rsidR="00B01037" w:rsidRPr="0054485E">
        <w:rPr>
          <w:rFonts w:ascii="Arial" w:hAnsi="Arial" w:cs="Arial"/>
          <w:i w:val="0"/>
          <w:iCs w:val="0"/>
          <w:color w:val="000000"/>
        </w:rPr>
        <w:t>organisational support, career advancement, and a sense of belonging are all essential factors in retaining migrant healthcare professionals.</w:t>
      </w:r>
      <w:r w:rsidR="0054485E">
        <w:rPr>
          <w:rFonts w:ascii="-webkit-standard" w:hAnsi="-webkit-standard"/>
          <w:color w:val="000000"/>
          <w:sz w:val="27"/>
          <w:szCs w:val="27"/>
        </w:rPr>
        <w:t xml:space="preserve"> </w:t>
      </w:r>
      <w:r w:rsidRPr="00F007F1">
        <w:rPr>
          <w:rFonts w:ascii="Arial" w:hAnsi="Arial" w:cs="Arial"/>
          <w:i w:val="0"/>
          <w:iCs w:val="0"/>
          <w:color w:val="000000"/>
        </w:rPr>
        <w:t>This suggests that, while policy provides an important framework for workforce sustainability, improving working conditions and supporting migrants are still critical to establishing long-term workforce stability.</w:t>
      </w:r>
    </w:p>
    <w:p w14:paraId="27C20D5A" w14:textId="77777777" w:rsidR="00A23B6F" w:rsidRDefault="00A23B6F" w:rsidP="0070595D">
      <w:pPr>
        <w:pStyle w:val="Heading4"/>
        <w:rPr>
          <w:rFonts w:ascii="Arial" w:hAnsi="Arial" w:cs="Arial"/>
          <w:b/>
          <w:bCs/>
          <w:i w:val="0"/>
          <w:iCs w:val="0"/>
          <w:color w:val="000000" w:themeColor="text1"/>
          <w:sz w:val="28"/>
          <w:szCs w:val="28"/>
        </w:rPr>
      </w:pPr>
    </w:p>
    <w:p w14:paraId="580D1932" w14:textId="7F483849" w:rsidR="0070595D" w:rsidRPr="004923BB" w:rsidRDefault="004923BB" w:rsidP="0070595D">
      <w:pPr>
        <w:pStyle w:val="Heading4"/>
        <w:rPr>
          <w:rFonts w:ascii="Arial" w:hAnsi="Arial" w:cs="Arial"/>
          <w:i w:val="0"/>
          <w:iCs w:val="0"/>
          <w:color w:val="000000" w:themeColor="text1"/>
          <w:sz w:val="28"/>
          <w:szCs w:val="28"/>
        </w:rPr>
      </w:pPr>
      <w:r w:rsidRPr="004923BB">
        <w:rPr>
          <w:rFonts w:ascii="Arial" w:hAnsi="Arial" w:cs="Arial"/>
          <w:i w:val="0"/>
          <w:iCs w:val="0"/>
          <w:color w:val="000000" w:themeColor="text1"/>
          <w:sz w:val="28"/>
          <w:szCs w:val="28"/>
        </w:rPr>
        <w:t xml:space="preserve">4.5.6 </w:t>
      </w:r>
      <w:r w:rsidR="00C267E2" w:rsidRPr="004923BB">
        <w:rPr>
          <w:rFonts w:ascii="Arial" w:hAnsi="Arial" w:cs="Arial"/>
          <w:i w:val="0"/>
          <w:iCs w:val="0"/>
          <w:color w:val="000000" w:themeColor="text1"/>
          <w:sz w:val="28"/>
          <w:szCs w:val="28"/>
        </w:rPr>
        <w:t>Implications</w:t>
      </w:r>
    </w:p>
    <w:p w14:paraId="4CD0C9DE" w14:textId="0B9FEC1F" w:rsidR="002F450A" w:rsidRPr="0070595D" w:rsidRDefault="002F450A" w:rsidP="00AE29BA">
      <w:pPr>
        <w:pStyle w:val="Heading4"/>
        <w:jc w:val="left"/>
        <w:rPr>
          <w:rFonts w:ascii="Arial" w:hAnsi="Arial" w:cs="Arial"/>
          <w:b/>
          <w:bCs/>
          <w:i w:val="0"/>
          <w:iCs w:val="0"/>
          <w:color w:val="000000" w:themeColor="text1"/>
          <w:sz w:val="28"/>
          <w:szCs w:val="28"/>
        </w:rPr>
      </w:pPr>
      <w:r w:rsidRPr="0070595D">
        <w:rPr>
          <w:rFonts w:ascii="Arial" w:hAnsi="Arial" w:cs="Arial"/>
          <w:i w:val="0"/>
          <w:iCs w:val="0"/>
          <w:color w:val="000000"/>
        </w:rPr>
        <w:t>Migrant worker experiences have both positive and negative impacts on workforce sustainability in the UK</w:t>
      </w:r>
      <w:r w:rsidR="00AE29BA">
        <w:rPr>
          <w:rFonts w:ascii="Arial" w:hAnsi="Arial" w:cs="Arial"/>
          <w:i w:val="0"/>
          <w:iCs w:val="0"/>
          <w:color w:val="000000"/>
        </w:rPr>
        <w:t xml:space="preserve"> </w:t>
      </w:r>
      <w:r w:rsidRPr="0070595D">
        <w:rPr>
          <w:rFonts w:ascii="Arial" w:hAnsi="Arial" w:cs="Arial"/>
          <w:i w:val="0"/>
          <w:iCs w:val="0"/>
          <w:color w:val="000000"/>
        </w:rPr>
        <w:t>ASC</w:t>
      </w:r>
      <w:r w:rsidR="00AE29BA">
        <w:rPr>
          <w:rFonts w:ascii="Arial" w:hAnsi="Arial" w:cs="Arial"/>
          <w:i w:val="0"/>
          <w:iCs w:val="0"/>
          <w:color w:val="000000"/>
        </w:rPr>
        <w:t xml:space="preserve"> </w:t>
      </w:r>
      <w:r w:rsidRPr="0070595D">
        <w:rPr>
          <w:rFonts w:ascii="Arial" w:hAnsi="Arial" w:cs="Arial"/>
          <w:i w:val="0"/>
          <w:iCs w:val="0"/>
          <w:color w:val="000000"/>
        </w:rPr>
        <w:t>sector. Positive workplace experiences, including supportive management, opportunities for career advancement, and employee wellbeing, can improve job satisfaction and staff retention.</w:t>
      </w:r>
      <w:r w:rsidRPr="0070595D">
        <w:rPr>
          <w:rStyle w:val="apple-converted-space"/>
          <w:rFonts w:ascii="Arial" w:hAnsi="Arial" w:cs="Arial"/>
          <w:i w:val="0"/>
          <w:iCs w:val="0"/>
          <w:color w:val="000000"/>
        </w:rPr>
        <w:t> </w:t>
      </w:r>
      <w:r w:rsidR="00576BCA" w:rsidRPr="009A067D">
        <w:rPr>
          <w:rFonts w:ascii="Arial" w:hAnsi="Arial" w:cs="Arial"/>
          <w:i w:val="0"/>
          <w:iCs w:val="0"/>
          <w:color w:val="EE0000"/>
        </w:rPr>
        <w:t xml:space="preserve">Averens </w:t>
      </w:r>
      <w:r w:rsidR="00576BCA" w:rsidRPr="009A067D">
        <w:rPr>
          <w:rFonts w:ascii="Arial" w:hAnsi="Arial" w:cs="Arial"/>
          <w:color w:val="EE0000"/>
        </w:rPr>
        <w:t>et al.</w:t>
      </w:r>
      <w:r w:rsidR="009A067D" w:rsidRPr="009A067D">
        <w:rPr>
          <w:rFonts w:ascii="Arial" w:hAnsi="Arial" w:cs="Arial"/>
          <w:color w:val="EE0000"/>
        </w:rPr>
        <w:t>,</w:t>
      </w:r>
      <w:r w:rsidR="00576BCA" w:rsidRPr="009A067D">
        <w:rPr>
          <w:rFonts w:ascii="Arial" w:hAnsi="Arial" w:cs="Arial"/>
          <w:i w:val="0"/>
          <w:iCs w:val="0"/>
          <w:color w:val="EE0000"/>
        </w:rPr>
        <w:t xml:space="preserve"> (2022) </w:t>
      </w:r>
      <w:r w:rsidR="002442D4" w:rsidRPr="0070595D">
        <w:rPr>
          <w:rFonts w:ascii="Arial" w:hAnsi="Arial" w:cs="Arial"/>
          <w:i w:val="0"/>
          <w:iCs w:val="0"/>
          <w:color w:val="000000"/>
        </w:rPr>
        <w:t>highlighted</w:t>
      </w:r>
      <w:r w:rsidR="00576BCA" w:rsidRPr="0070595D">
        <w:rPr>
          <w:rFonts w:ascii="Arial" w:hAnsi="Arial" w:cs="Arial"/>
          <w:i w:val="0"/>
          <w:iCs w:val="0"/>
          <w:color w:val="000000"/>
        </w:rPr>
        <w:t xml:space="preserve"> that interventions concentrating on supportive working environments and staff well-being are among the most successful techniques for increasing job satisfaction and decreasing turnover.</w:t>
      </w:r>
    </w:p>
    <w:p w14:paraId="0851D736" w14:textId="64AF0900" w:rsidR="0003750C" w:rsidRPr="0003750C" w:rsidRDefault="0003750C" w:rsidP="0070595D">
      <w:pPr>
        <w:pStyle w:val="NormalWeb"/>
        <w:spacing w:line="360" w:lineRule="auto"/>
        <w:rPr>
          <w:rFonts w:ascii="Arial" w:hAnsi="Arial" w:cs="Arial"/>
          <w:color w:val="000000"/>
          <w:sz w:val="22"/>
          <w:szCs w:val="22"/>
        </w:rPr>
      </w:pPr>
      <w:r w:rsidRPr="0003750C">
        <w:rPr>
          <w:rFonts w:ascii="Arial" w:hAnsi="Arial" w:cs="Arial"/>
          <w:color w:val="000000"/>
          <w:sz w:val="22"/>
          <w:szCs w:val="22"/>
        </w:rPr>
        <w:t xml:space="preserve">However, negative workplace experiences can have the opposite effect. Poor working conditions, limited career development opportunities, workplace discrimination, and insufficient organisational support can all have a negative impact on job satisfaction and increase employee turnover. According </w:t>
      </w:r>
      <w:r w:rsidRPr="00C8681E">
        <w:rPr>
          <w:rFonts w:ascii="Arial" w:hAnsi="Arial" w:cs="Arial"/>
          <w:color w:val="EE0000"/>
          <w:sz w:val="22"/>
          <w:szCs w:val="22"/>
        </w:rPr>
        <w:t xml:space="preserve">to Omiyi </w:t>
      </w:r>
      <w:r w:rsidRPr="00C8681E">
        <w:rPr>
          <w:rFonts w:ascii="Arial" w:hAnsi="Arial" w:cs="Arial"/>
          <w:i/>
          <w:iCs/>
          <w:color w:val="EE0000"/>
          <w:sz w:val="22"/>
          <w:szCs w:val="22"/>
        </w:rPr>
        <w:t>et al.</w:t>
      </w:r>
      <w:r w:rsidR="00C8681E" w:rsidRPr="00C8681E">
        <w:rPr>
          <w:rFonts w:ascii="Arial" w:hAnsi="Arial" w:cs="Arial"/>
          <w:i/>
          <w:iCs/>
          <w:color w:val="EE0000"/>
          <w:sz w:val="22"/>
          <w:szCs w:val="22"/>
        </w:rPr>
        <w:t>,</w:t>
      </w:r>
      <w:r w:rsidR="00C8681E" w:rsidRPr="00C8681E">
        <w:rPr>
          <w:rFonts w:ascii="Arial" w:hAnsi="Arial" w:cs="Arial"/>
          <w:color w:val="EE0000"/>
          <w:sz w:val="22"/>
          <w:szCs w:val="22"/>
        </w:rPr>
        <w:t xml:space="preserve"> </w:t>
      </w:r>
      <w:r w:rsidRPr="00C8681E">
        <w:rPr>
          <w:rFonts w:ascii="Arial" w:hAnsi="Arial" w:cs="Arial"/>
          <w:color w:val="EE0000"/>
          <w:sz w:val="22"/>
          <w:szCs w:val="22"/>
        </w:rPr>
        <w:t xml:space="preserve">(2024), </w:t>
      </w:r>
      <w:r w:rsidRPr="0003750C">
        <w:rPr>
          <w:rFonts w:ascii="Arial" w:hAnsi="Arial" w:cs="Arial"/>
          <w:color w:val="000000"/>
          <w:sz w:val="22"/>
          <w:szCs w:val="22"/>
        </w:rPr>
        <w:t>internationally qualified healthcare professionals in the UK frequently face issues related to workplace integration, career advancement, and organisational assistance, all of which can have an impact on retention and long-term workforce sustainability.</w:t>
      </w:r>
    </w:p>
    <w:p w14:paraId="1B1245A3" w14:textId="754F8FF0" w:rsidR="008722BA" w:rsidRPr="0070595D" w:rsidRDefault="008722BA" w:rsidP="0070595D">
      <w:pPr>
        <w:pStyle w:val="NormalWeb"/>
        <w:spacing w:line="360" w:lineRule="auto"/>
        <w:rPr>
          <w:rFonts w:ascii="Arial" w:hAnsi="Arial" w:cs="Arial"/>
          <w:color w:val="000000"/>
          <w:sz w:val="22"/>
          <w:szCs w:val="22"/>
        </w:rPr>
      </w:pPr>
      <w:r w:rsidRPr="0070595D">
        <w:rPr>
          <w:rFonts w:ascii="Arial" w:hAnsi="Arial" w:cs="Arial"/>
          <w:color w:val="000000"/>
          <w:sz w:val="22"/>
          <w:szCs w:val="22"/>
        </w:rPr>
        <w:t xml:space="preserve">As a result, migrant workers may be more likely to leave the industry, placing more strain on an already overburdened workforce. As a result, while migrant workers contribute significantly to the ASC sector, enhancing their well-being and working conditions is critical for achieving a stable and sustainable workforce </w:t>
      </w:r>
      <w:r w:rsidRPr="009A067D">
        <w:rPr>
          <w:rFonts w:ascii="Arial" w:hAnsi="Arial" w:cs="Arial"/>
          <w:color w:val="EE0000"/>
          <w:sz w:val="22"/>
          <w:szCs w:val="22"/>
        </w:rPr>
        <w:t>(Work Rights Centre, 2024).</w:t>
      </w:r>
    </w:p>
    <w:p w14:paraId="786CC29E" w14:textId="1EB4591E" w:rsidR="00C267E2" w:rsidRPr="004923BB" w:rsidRDefault="004923BB" w:rsidP="00C267E2">
      <w:pPr>
        <w:pStyle w:val="Heading4"/>
        <w:rPr>
          <w:rFonts w:ascii="Arial" w:hAnsi="Arial" w:cs="Arial"/>
          <w:i w:val="0"/>
          <w:iCs w:val="0"/>
          <w:color w:val="000000" w:themeColor="text1"/>
          <w:sz w:val="28"/>
          <w:szCs w:val="28"/>
        </w:rPr>
      </w:pPr>
      <w:r w:rsidRPr="004923BB">
        <w:rPr>
          <w:rFonts w:ascii="Arial" w:hAnsi="Arial" w:cs="Arial"/>
          <w:i w:val="0"/>
          <w:iCs w:val="0"/>
          <w:color w:val="000000" w:themeColor="text1"/>
          <w:sz w:val="28"/>
          <w:szCs w:val="28"/>
        </w:rPr>
        <w:lastRenderedPageBreak/>
        <w:t xml:space="preserve">4.5.7 </w:t>
      </w:r>
      <w:r w:rsidR="00C267E2" w:rsidRPr="004923BB">
        <w:rPr>
          <w:rFonts w:ascii="Arial" w:hAnsi="Arial" w:cs="Arial"/>
          <w:i w:val="0"/>
          <w:iCs w:val="0"/>
          <w:color w:val="000000" w:themeColor="text1"/>
          <w:sz w:val="28"/>
          <w:szCs w:val="28"/>
        </w:rPr>
        <w:t>Examples from Your Articles</w:t>
      </w:r>
    </w:p>
    <w:p w14:paraId="26CC1C5B" w14:textId="77777777" w:rsidR="00620CAA" w:rsidRPr="0024727A" w:rsidRDefault="00764C59" w:rsidP="0024727A">
      <w:pPr>
        <w:pStyle w:val="isselectedend"/>
        <w:spacing w:line="360" w:lineRule="auto"/>
        <w:rPr>
          <w:rFonts w:ascii="Arial" w:hAnsi="Arial" w:cs="Arial"/>
          <w:color w:val="000000"/>
          <w:sz w:val="22"/>
          <w:szCs w:val="22"/>
        </w:rPr>
      </w:pPr>
      <w:r w:rsidRPr="0024727A">
        <w:rPr>
          <w:rFonts w:ascii="Arial" w:hAnsi="Arial" w:cs="Arial"/>
          <w:color w:val="000000"/>
          <w:sz w:val="22"/>
          <w:szCs w:val="22"/>
        </w:rPr>
        <w:t xml:space="preserve">The findings from Papers 4 (Hussein, 2022), 5 (Tawodzera, 2024), 6 (Agbonmwandolor et al., 2024), and 7 (Edwards </w:t>
      </w:r>
      <w:r w:rsidRPr="004066F4">
        <w:rPr>
          <w:rFonts w:ascii="Arial" w:hAnsi="Arial" w:cs="Arial"/>
          <w:i/>
          <w:iCs/>
          <w:color w:val="000000"/>
          <w:sz w:val="22"/>
          <w:szCs w:val="22"/>
        </w:rPr>
        <w:t>et al.,</w:t>
      </w:r>
      <w:r w:rsidRPr="0024727A">
        <w:rPr>
          <w:rFonts w:ascii="Arial" w:hAnsi="Arial" w:cs="Arial"/>
          <w:color w:val="000000"/>
          <w:sz w:val="22"/>
          <w:szCs w:val="22"/>
        </w:rPr>
        <w:t xml:space="preserve"> 2022) suggest that migrant worker experiences have a significant effect on workforce sustainability in the UK ASC industry. Paper 4 emphasises that the growing global demand for migrant care workers has significant implications for workers' well-being, suggesting that supporting migrant workers is critical for ensuring a sustainable workforce. Similarly, Paper 5 investigates the difficulties that migrant workers face in balancing paid care employment with family responsibilities and international caring, revealing how personal and professional demands can impact wellbeing and job satisfaction.</w:t>
      </w:r>
    </w:p>
    <w:p w14:paraId="188BFAD6" w14:textId="30AC284F" w:rsidR="00E232AA" w:rsidRPr="0024727A" w:rsidRDefault="00E232AA" w:rsidP="0024727A">
      <w:pPr>
        <w:pStyle w:val="NormalWeb"/>
        <w:spacing w:line="360" w:lineRule="auto"/>
        <w:rPr>
          <w:rFonts w:ascii="Arial" w:hAnsi="Arial" w:cs="Arial"/>
          <w:color w:val="000000"/>
          <w:sz w:val="22"/>
          <w:szCs w:val="22"/>
        </w:rPr>
      </w:pPr>
      <w:r w:rsidRPr="0024727A">
        <w:rPr>
          <w:rFonts w:ascii="Arial" w:hAnsi="Arial" w:cs="Arial"/>
          <w:color w:val="000000"/>
          <w:sz w:val="22"/>
          <w:szCs w:val="22"/>
        </w:rPr>
        <w:t xml:space="preserve">Paper 6 highlights the significance of well-being by demonstrating that migrant healthcare workers employed a variety of coping methods to maintain their mental health throughout the COVID-19 pandemic. These findings indicate that organisational support and access to suitable wellbeing resources are critical for maintaining a resilient workforce. </w:t>
      </w:r>
      <w:r w:rsidR="003B727D" w:rsidRPr="0024727A">
        <w:rPr>
          <w:rFonts w:ascii="Arial" w:hAnsi="Arial" w:cs="Arial"/>
          <w:color w:val="000000"/>
          <w:sz w:val="22"/>
          <w:szCs w:val="22"/>
        </w:rPr>
        <w:t>In contrast, Paper 7 places greater emphasis on organisational factors affecting staff attraction and retention, arguing that improving working conditions, career development, and staff support may have a greater impact on workforce sustainability than recruitment initiatives alone.</w:t>
      </w:r>
    </w:p>
    <w:p w14:paraId="7CA5DA40" w14:textId="77777777" w:rsidR="00A23B6F" w:rsidRDefault="00CF5562" w:rsidP="00A23B6F">
      <w:pPr>
        <w:jc w:val="left"/>
        <w:rPr>
          <w:rFonts w:ascii="Arial" w:hAnsi="Arial" w:cs="Arial"/>
          <w:color w:val="000000"/>
        </w:rPr>
      </w:pPr>
      <w:r w:rsidRPr="0024727A">
        <w:rPr>
          <w:rFonts w:ascii="Arial" w:hAnsi="Arial" w:cs="Arial"/>
          <w:color w:val="000000"/>
        </w:rPr>
        <w:t>Overall, the papers agree that employing foreign labour is not the only way to ensure a sustainable workforce. Paper 7 emphasises the need to address broader organisational aspects that impact staff retention, while Papers 4, 5, and 6 stress the significance of well-being and worker experiences. By showing that migrant workers contribute significantly to the UK ASC workforce, these findings collectively help address the research question. However, long-term sustainability also depends on establishing supportive work environments that promote wellbeing, job satisfaction, and workforce retention.</w:t>
      </w:r>
    </w:p>
    <w:p w14:paraId="7FF05B00" w14:textId="05471C6A" w:rsidR="00A23B6F" w:rsidRPr="004923BB" w:rsidRDefault="004923BB" w:rsidP="00A23B6F">
      <w:pPr>
        <w:jc w:val="left"/>
        <w:rPr>
          <w:rFonts w:ascii="Arial" w:hAnsi="Arial" w:cs="Arial"/>
          <w:color w:val="000000" w:themeColor="text1"/>
          <w:sz w:val="28"/>
          <w:szCs w:val="28"/>
        </w:rPr>
      </w:pPr>
      <w:r w:rsidRPr="004923BB">
        <w:rPr>
          <w:rFonts w:ascii="Arial" w:hAnsi="Arial" w:cs="Arial"/>
          <w:color w:val="000000" w:themeColor="text1"/>
          <w:sz w:val="28"/>
          <w:szCs w:val="28"/>
        </w:rPr>
        <w:t xml:space="preserve">4.5.8 </w:t>
      </w:r>
      <w:r w:rsidR="00C267E2" w:rsidRPr="004923BB">
        <w:rPr>
          <w:rFonts w:ascii="Arial" w:hAnsi="Arial" w:cs="Arial"/>
          <w:color w:val="000000" w:themeColor="text1"/>
          <w:sz w:val="28"/>
          <w:szCs w:val="28"/>
        </w:rPr>
        <w:t>Connections to Other Themes</w:t>
      </w:r>
    </w:p>
    <w:p w14:paraId="3971BAAA" w14:textId="5200B36E" w:rsidR="00462F37" w:rsidRPr="00A23B6F" w:rsidRDefault="00462F37" w:rsidP="00A23B6F">
      <w:pPr>
        <w:jc w:val="left"/>
        <w:rPr>
          <w:rStyle w:val="Strong"/>
          <w:rFonts w:ascii="Arial" w:hAnsi="Arial" w:cs="Arial"/>
          <w:b w:val="0"/>
          <w:bCs w:val="0"/>
        </w:rPr>
      </w:pPr>
      <w:r w:rsidRPr="00743559">
        <w:rPr>
          <w:rFonts w:ascii="Arial" w:hAnsi="Arial" w:cs="Arial"/>
          <w:color w:val="000000"/>
        </w:rPr>
        <w:t>This theme is strongly connected to the other themes identified during the research. Workforce shortages have increased reliance on migrant workers, making international recruitment an essential strategy for sustaining the UK</w:t>
      </w:r>
      <w:r w:rsidR="00A7108B">
        <w:rPr>
          <w:rFonts w:ascii="Arial" w:hAnsi="Arial" w:cs="Arial"/>
          <w:color w:val="000000"/>
        </w:rPr>
        <w:t xml:space="preserve"> </w:t>
      </w:r>
      <w:r w:rsidRPr="00743559">
        <w:rPr>
          <w:rFonts w:ascii="Arial" w:hAnsi="Arial" w:cs="Arial"/>
          <w:color w:val="000000"/>
        </w:rPr>
        <w:t>ASC workforce.</w:t>
      </w:r>
      <w:r w:rsidRPr="00743559">
        <w:rPr>
          <w:rStyle w:val="apple-converted-space"/>
          <w:rFonts w:ascii="Arial" w:hAnsi="Arial" w:cs="Arial"/>
          <w:color w:val="000000"/>
        </w:rPr>
        <w:t> </w:t>
      </w:r>
      <w:r w:rsidRPr="00743559">
        <w:rPr>
          <w:rStyle w:val="Strong"/>
          <w:rFonts w:ascii="Arial" w:hAnsi="Arial" w:cs="Arial"/>
          <w:b w:val="0"/>
          <w:bCs w:val="0"/>
          <w:color w:val="000000"/>
        </w:rPr>
        <w:t xml:space="preserve">According </w:t>
      </w:r>
      <w:r w:rsidRPr="00A7108B">
        <w:rPr>
          <w:rStyle w:val="Strong"/>
          <w:rFonts w:ascii="Arial" w:hAnsi="Arial" w:cs="Arial"/>
          <w:b w:val="0"/>
          <w:bCs w:val="0"/>
          <w:color w:val="EE0000"/>
        </w:rPr>
        <w:t xml:space="preserve">to Vadean </w:t>
      </w:r>
      <w:r w:rsidRPr="00A7108B">
        <w:rPr>
          <w:rStyle w:val="Strong"/>
          <w:rFonts w:ascii="Arial" w:hAnsi="Arial" w:cs="Arial"/>
          <w:b w:val="0"/>
          <w:bCs w:val="0"/>
          <w:i/>
          <w:iCs/>
          <w:color w:val="EE0000"/>
        </w:rPr>
        <w:t>et al.</w:t>
      </w:r>
      <w:r w:rsidR="00743559" w:rsidRPr="00A7108B">
        <w:rPr>
          <w:rStyle w:val="Strong"/>
          <w:rFonts w:ascii="Arial" w:hAnsi="Arial" w:cs="Arial"/>
          <w:b w:val="0"/>
          <w:bCs w:val="0"/>
          <w:i/>
          <w:iCs/>
          <w:color w:val="EE0000"/>
        </w:rPr>
        <w:t>,</w:t>
      </w:r>
      <w:r w:rsidRPr="00A7108B">
        <w:rPr>
          <w:rStyle w:val="Strong"/>
          <w:rFonts w:ascii="Arial" w:hAnsi="Arial" w:cs="Arial"/>
          <w:b w:val="0"/>
          <w:bCs w:val="0"/>
          <w:color w:val="EE0000"/>
        </w:rPr>
        <w:t xml:space="preserve"> (2025),</w:t>
      </w:r>
      <w:r w:rsidRPr="00A7108B">
        <w:rPr>
          <w:rStyle w:val="apple-converted-space"/>
          <w:rFonts w:ascii="Arial" w:hAnsi="Arial" w:cs="Arial"/>
          <w:color w:val="EE0000"/>
        </w:rPr>
        <w:t> </w:t>
      </w:r>
      <w:r w:rsidRPr="00743559">
        <w:rPr>
          <w:rFonts w:ascii="Arial" w:hAnsi="Arial" w:cs="Arial"/>
          <w:color w:val="000000"/>
        </w:rPr>
        <w:t xml:space="preserve">migration has become an increasingly important component of meeting workforce demand across the UK health and social care sector. However, effectively recruiting migrant workers is only one part of workforce sustainability. Their experiences, wellbeing, job satisfaction, and retention are all critical factors in ensuring long-term workforce stability. As a result, workforce shortages, migration policy, international </w:t>
      </w:r>
      <w:r w:rsidRPr="00743559">
        <w:rPr>
          <w:rFonts w:ascii="Arial" w:hAnsi="Arial" w:cs="Arial"/>
          <w:color w:val="000000"/>
        </w:rPr>
        <w:lastRenderedPageBreak/>
        <w:t>recruitment, and migrant worker experiences are all interconnected and influence the long-term sustainability of the UK ASC workforce</w:t>
      </w:r>
      <w:r w:rsidRPr="00743559">
        <w:rPr>
          <w:rStyle w:val="apple-converted-space"/>
          <w:rFonts w:ascii="Arial" w:hAnsi="Arial" w:cs="Arial"/>
          <w:color w:val="000000"/>
        </w:rPr>
        <w:t> </w:t>
      </w:r>
      <w:r w:rsidRPr="00743559">
        <w:rPr>
          <w:rStyle w:val="Strong"/>
          <w:rFonts w:ascii="Arial" w:hAnsi="Arial" w:cs="Arial"/>
          <w:b w:val="0"/>
          <w:bCs w:val="0"/>
          <w:color w:val="000000"/>
        </w:rPr>
        <w:t>(</w:t>
      </w:r>
      <w:r w:rsidRPr="00A7108B">
        <w:rPr>
          <w:rStyle w:val="Strong"/>
          <w:rFonts w:ascii="Arial" w:hAnsi="Arial" w:cs="Arial"/>
          <w:b w:val="0"/>
          <w:bCs w:val="0"/>
          <w:color w:val="EE0000"/>
        </w:rPr>
        <w:t>Work Rights Centre, 2024).</w:t>
      </w:r>
    </w:p>
    <w:p w14:paraId="127DE7C9" w14:textId="6A617FD3" w:rsidR="00C267E2" w:rsidRPr="002509FE" w:rsidRDefault="00C267E2" w:rsidP="00C267E2">
      <w:pPr>
        <w:pStyle w:val="Heading2"/>
        <w:rPr>
          <w:rFonts w:ascii="Arial" w:hAnsi="Arial" w:cs="Arial"/>
          <w:b/>
          <w:bCs/>
          <w:color w:val="000000" w:themeColor="text1"/>
          <w:sz w:val="28"/>
          <w:szCs w:val="28"/>
        </w:rPr>
      </w:pPr>
      <w:r w:rsidRPr="002509FE">
        <w:rPr>
          <w:rFonts w:ascii="Arial" w:hAnsi="Arial" w:cs="Arial"/>
          <w:b/>
          <w:bCs/>
          <w:color w:val="000000" w:themeColor="text1"/>
          <w:sz w:val="28"/>
          <w:szCs w:val="28"/>
        </w:rPr>
        <w:t xml:space="preserve">4.6 – Chapter Conclusion </w:t>
      </w:r>
    </w:p>
    <w:p w14:paraId="466F73A5" w14:textId="46544D26" w:rsidR="00C267E2" w:rsidRDefault="00D06BD0" w:rsidP="009A041E">
      <w:pPr>
        <w:pStyle w:val="NormalWeb"/>
        <w:spacing w:line="360" w:lineRule="auto"/>
        <w:rPr>
          <w:rStyle w:val="Strong"/>
          <w:rFonts w:ascii="Arial" w:hAnsi="Arial" w:cs="Arial"/>
          <w:b w:val="0"/>
          <w:bCs w:val="0"/>
          <w:color w:val="000000"/>
          <w:sz w:val="22"/>
          <w:szCs w:val="22"/>
        </w:rPr>
      </w:pPr>
      <w:r w:rsidRPr="002509FE">
        <w:rPr>
          <w:rFonts w:ascii="Arial" w:hAnsi="Arial" w:cs="Arial"/>
          <w:color w:val="000000"/>
          <w:sz w:val="22"/>
          <w:szCs w:val="22"/>
        </w:rPr>
        <w:t>This chapter presented and discussed the key findings from the selected literature, organised into three themes</w:t>
      </w:r>
      <w:r w:rsidR="00491BC8" w:rsidRPr="002509FE">
        <w:rPr>
          <w:rFonts w:ascii="Arial" w:hAnsi="Arial" w:cs="Arial"/>
          <w:color w:val="000000"/>
          <w:sz w:val="22"/>
          <w:szCs w:val="22"/>
        </w:rPr>
        <w:t xml:space="preserve">: </w:t>
      </w:r>
      <w:r w:rsidRPr="002509FE">
        <w:rPr>
          <w:rFonts w:ascii="Arial" w:hAnsi="Arial" w:cs="Arial"/>
          <w:color w:val="000000"/>
          <w:sz w:val="22"/>
          <w:szCs w:val="22"/>
        </w:rPr>
        <w:t>workforce shortages, migration policy and international recruitment, and migrant worker experiences and workforce sustainability.</w:t>
      </w:r>
      <w:r w:rsidR="00AC4F06" w:rsidRPr="002509FE">
        <w:rPr>
          <w:rFonts w:ascii="Arial" w:hAnsi="Arial" w:cs="Arial"/>
          <w:color w:val="000000"/>
          <w:sz w:val="22"/>
          <w:szCs w:val="22"/>
        </w:rPr>
        <w:t xml:space="preserve"> The findings demonstrate that migrant workers play an important role in supporting the UK's ASC workforce by addressing staffing shortages and ensuring service delivery. However, long-term </w:t>
      </w:r>
      <w:r w:rsidR="00FC788E">
        <w:rPr>
          <w:rFonts w:ascii="Arial" w:hAnsi="Arial" w:cs="Arial"/>
          <w:color w:val="000000"/>
          <w:sz w:val="22"/>
          <w:szCs w:val="22"/>
        </w:rPr>
        <w:t>workforce</w:t>
      </w:r>
      <w:r w:rsidR="00AC4F06" w:rsidRPr="002509FE">
        <w:rPr>
          <w:rFonts w:ascii="Arial" w:hAnsi="Arial" w:cs="Arial"/>
          <w:color w:val="000000"/>
          <w:sz w:val="22"/>
          <w:szCs w:val="22"/>
        </w:rPr>
        <w:t xml:space="preserve"> sustainability relies on more than just international recruitment. Staff well-being, job satisfaction, retention, organisational support, and effective workforce policies are essential for establishing a stable and resilient workforce. Overall, this chapter highlights the relationship between migration, workforce sustainability, and the growing need for ASC services.</w:t>
      </w:r>
      <w:r w:rsidRPr="002509FE">
        <w:rPr>
          <w:rStyle w:val="apple-converted-space"/>
          <w:rFonts w:ascii="Arial" w:hAnsi="Arial" w:cs="Arial"/>
          <w:color w:val="000000"/>
          <w:sz w:val="22"/>
          <w:szCs w:val="22"/>
        </w:rPr>
        <w:t> </w:t>
      </w:r>
      <w:r w:rsidRPr="002509FE">
        <w:rPr>
          <w:rStyle w:val="Strong"/>
          <w:rFonts w:ascii="Arial" w:hAnsi="Arial" w:cs="Arial"/>
          <w:b w:val="0"/>
          <w:bCs w:val="0"/>
          <w:color w:val="000000"/>
          <w:sz w:val="22"/>
          <w:szCs w:val="22"/>
        </w:rPr>
        <w:t>Chapter 5 will critically evaluate these findings in relation to the role migrant workers play in supporting workforce sustainability within the UK ASC sector, compare them with the wider literature, and discuss their implications for policy, practice, and future workforce development.</w:t>
      </w:r>
    </w:p>
    <w:p w14:paraId="3E159D61" w14:textId="77777777" w:rsidR="006E548E" w:rsidRDefault="006E548E" w:rsidP="00FB10DC">
      <w:pPr>
        <w:pStyle w:val="Heading2"/>
        <w:rPr>
          <w:rFonts w:ascii="Arial" w:hAnsi="Arial" w:cs="Arial"/>
          <w:b/>
          <w:bCs/>
          <w:color w:val="000000" w:themeColor="text1"/>
          <w:sz w:val="28"/>
          <w:szCs w:val="28"/>
        </w:rPr>
      </w:pPr>
    </w:p>
    <w:p w14:paraId="5D5F2F60" w14:textId="77777777" w:rsidR="006E548E" w:rsidRDefault="006E548E" w:rsidP="00FB10DC">
      <w:pPr>
        <w:pStyle w:val="Heading2"/>
        <w:rPr>
          <w:rFonts w:ascii="Arial" w:hAnsi="Arial" w:cs="Arial"/>
          <w:b/>
          <w:bCs/>
          <w:color w:val="000000" w:themeColor="text1"/>
          <w:sz w:val="28"/>
          <w:szCs w:val="28"/>
        </w:rPr>
      </w:pPr>
    </w:p>
    <w:p w14:paraId="2940C4AA" w14:textId="77777777" w:rsidR="006E548E" w:rsidRDefault="006E548E" w:rsidP="00FB10DC">
      <w:pPr>
        <w:pStyle w:val="Heading2"/>
        <w:rPr>
          <w:rFonts w:ascii="Arial" w:hAnsi="Arial" w:cs="Arial"/>
          <w:b/>
          <w:bCs/>
          <w:color w:val="000000" w:themeColor="text1"/>
          <w:sz w:val="28"/>
          <w:szCs w:val="28"/>
        </w:rPr>
      </w:pPr>
    </w:p>
    <w:p w14:paraId="192387EE" w14:textId="77777777" w:rsidR="006E548E" w:rsidRDefault="006E548E" w:rsidP="00FB10DC">
      <w:pPr>
        <w:pStyle w:val="Heading2"/>
        <w:rPr>
          <w:rFonts w:ascii="Arial" w:hAnsi="Arial" w:cs="Arial"/>
          <w:b/>
          <w:bCs/>
          <w:color w:val="000000" w:themeColor="text1"/>
          <w:sz w:val="28"/>
          <w:szCs w:val="28"/>
        </w:rPr>
      </w:pPr>
    </w:p>
    <w:p w14:paraId="5A710D3D" w14:textId="77777777" w:rsidR="006E548E" w:rsidRDefault="006E548E" w:rsidP="00FB10DC">
      <w:pPr>
        <w:pStyle w:val="Heading2"/>
        <w:rPr>
          <w:rFonts w:ascii="Arial" w:hAnsi="Arial" w:cs="Arial"/>
          <w:b/>
          <w:bCs/>
          <w:color w:val="000000" w:themeColor="text1"/>
          <w:sz w:val="28"/>
          <w:szCs w:val="28"/>
        </w:rPr>
      </w:pPr>
    </w:p>
    <w:p w14:paraId="61FDA4F7" w14:textId="77777777" w:rsidR="006E548E" w:rsidRDefault="006E548E" w:rsidP="00FB10DC">
      <w:pPr>
        <w:pStyle w:val="Heading2"/>
        <w:rPr>
          <w:rFonts w:ascii="Arial" w:hAnsi="Arial" w:cs="Arial"/>
          <w:b/>
          <w:bCs/>
          <w:color w:val="000000" w:themeColor="text1"/>
          <w:sz w:val="28"/>
          <w:szCs w:val="28"/>
        </w:rPr>
      </w:pPr>
    </w:p>
    <w:p w14:paraId="7607A901" w14:textId="77777777" w:rsidR="006E548E" w:rsidRDefault="006E548E" w:rsidP="00FB10DC">
      <w:pPr>
        <w:pStyle w:val="Heading2"/>
        <w:rPr>
          <w:rFonts w:ascii="Arial" w:hAnsi="Arial" w:cs="Arial"/>
          <w:b/>
          <w:bCs/>
          <w:color w:val="000000" w:themeColor="text1"/>
          <w:sz w:val="28"/>
          <w:szCs w:val="28"/>
        </w:rPr>
      </w:pPr>
    </w:p>
    <w:p w14:paraId="4ABE0939" w14:textId="77777777" w:rsidR="006E548E" w:rsidRDefault="006E548E" w:rsidP="00FB10DC">
      <w:pPr>
        <w:pStyle w:val="Heading2"/>
        <w:rPr>
          <w:rFonts w:ascii="Arial" w:hAnsi="Arial" w:cs="Arial"/>
          <w:b/>
          <w:bCs/>
          <w:color w:val="000000" w:themeColor="text1"/>
          <w:sz w:val="28"/>
          <w:szCs w:val="28"/>
        </w:rPr>
      </w:pPr>
    </w:p>
    <w:p w14:paraId="43E33EE2" w14:textId="77777777" w:rsidR="006E548E" w:rsidRDefault="006E548E" w:rsidP="006E548E"/>
    <w:p w14:paraId="3F906C32" w14:textId="77777777" w:rsidR="006E548E" w:rsidRDefault="006E548E" w:rsidP="006E548E"/>
    <w:p w14:paraId="1A5AB5EF" w14:textId="77777777" w:rsidR="006E548E" w:rsidRDefault="006E548E" w:rsidP="006E548E"/>
    <w:p w14:paraId="27999F54" w14:textId="77777777" w:rsidR="008A547E" w:rsidRPr="008A547E" w:rsidRDefault="00AE73E7" w:rsidP="006E548E">
      <w:pPr>
        <w:rPr>
          <w:rFonts w:ascii="Arial" w:hAnsi="Arial" w:cs="Arial"/>
          <w:b/>
          <w:bCs/>
          <w:sz w:val="32"/>
          <w:szCs w:val="32"/>
        </w:rPr>
      </w:pPr>
      <w:r w:rsidRPr="008A547E">
        <w:rPr>
          <w:rFonts w:ascii="Arial" w:hAnsi="Arial" w:cs="Arial"/>
          <w:b/>
          <w:bCs/>
          <w:sz w:val="32"/>
          <w:szCs w:val="32"/>
        </w:rPr>
        <w:lastRenderedPageBreak/>
        <w:t>Chapter</w:t>
      </w:r>
      <w:r w:rsidR="00FB10DC" w:rsidRPr="008A547E">
        <w:rPr>
          <w:rFonts w:ascii="Arial" w:hAnsi="Arial" w:cs="Arial"/>
          <w:b/>
          <w:bCs/>
          <w:sz w:val="32"/>
          <w:szCs w:val="32"/>
        </w:rPr>
        <w:t>5</w:t>
      </w:r>
    </w:p>
    <w:p w14:paraId="28BA9511" w14:textId="2E7708CE" w:rsidR="00FB10DC" w:rsidRPr="008A547E" w:rsidRDefault="008A547E" w:rsidP="006E548E">
      <w:pPr>
        <w:rPr>
          <w:rFonts w:ascii="Arial" w:hAnsi="Arial" w:cs="Arial"/>
          <w:sz w:val="28"/>
          <w:szCs w:val="28"/>
        </w:rPr>
      </w:pPr>
      <w:r w:rsidRPr="008A547E">
        <w:rPr>
          <w:rFonts w:ascii="Arial" w:hAnsi="Arial" w:cs="Arial"/>
          <w:sz w:val="28"/>
          <w:szCs w:val="28"/>
        </w:rPr>
        <w:t>5</w:t>
      </w:r>
      <w:r w:rsidR="00FB10DC" w:rsidRPr="008A547E">
        <w:rPr>
          <w:rFonts w:ascii="Arial" w:hAnsi="Arial" w:cs="Arial"/>
          <w:sz w:val="28"/>
          <w:szCs w:val="28"/>
        </w:rPr>
        <w:t xml:space="preserve">.1 – Overall Conclusion </w:t>
      </w:r>
    </w:p>
    <w:p w14:paraId="1591F15E" w14:textId="7CB65B9D" w:rsidR="0062579B" w:rsidRPr="007B3B6D" w:rsidRDefault="0062579B" w:rsidP="007B3B6D">
      <w:pPr>
        <w:pStyle w:val="pdq2pgselectionanchorcontainer"/>
        <w:spacing w:line="360" w:lineRule="auto"/>
        <w:jc w:val="both"/>
        <w:rPr>
          <w:rFonts w:ascii="Arial" w:hAnsi="Arial" w:cs="Arial"/>
          <w:color w:val="000000"/>
          <w:sz w:val="22"/>
          <w:szCs w:val="22"/>
        </w:rPr>
      </w:pPr>
      <w:r w:rsidRPr="007B3B6D">
        <w:rPr>
          <w:rFonts w:ascii="Arial" w:hAnsi="Arial" w:cs="Arial"/>
          <w:color w:val="000000"/>
          <w:sz w:val="22"/>
          <w:szCs w:val="22"/>
        </w:rPr>
        <w:t>This dissertation e</w:t>
      </w:r>
      <w:r w:rsidR="0000601E" w:rsidRPr="007B3B6D">
        <w:rPr>
          <w:rFonts w:ascii="Arial" w:hAnsi="Arial" w:cs="Arial"/>
          <w:color w:val="000000"/>
          <w:sz w:val="22"/>
          <w:szCs w:val="22"/>
        </w:rPr>
        <w:t>xamined</w:t>
      </w:r>
      <w:r w:rsidRPr="007B3B6D">
        <w:rPr>
          <w:rFonts w:ascii="Arial" w:hAnsi="Arial" w:cs="Arial"/>
          <w:color w:val="000000"/>
          <w:sz w:val="22"/>
          <w:szCs w:val="22"/>
        </w:rPr>
        <w:t xml:space="preserve"> the role migrant workers play in supporting workforce sustainability within the</w:t>
      </w:r>
      <w:r w:rsidR="0000601E" w:rsidRPr="007B3B6D">
        <w:rPr>
          <w:rFonts w:ascii="Arial" w:hAnsi="Arial" w:cs="Arial"/>
          <w:color w:val="000000"/>
          <w:sz w:val="22"/>
          <w:szCs w:val="22"/>
        </w:rPr>
        <w:t xml:space="preserve"> </w:t>
      </w:r>
      <w:r w:rsidRPr="007B3B6D">
        <w:rPr>
          <w:rFonts w:ascii="Arial" w:hAnsi="Arial" w:cs="Arial"/>
          <w:color w:val="000000"/>
          <w:sz w:val="22"/>
          <w:szCs w:val="22"/>
        </w:rPr>
        <w:t xml:space="preserve">UK ASC sector. </w:t>
      </w:r>
      <w:r w:rsidR="007B3B6D" w:rsidRPr="007B3B6D">
        <w:rPr>
          <w:rFonts w:ascii="Arial" w:hAnsi="Arial" w:cs="Arial"/>
          <w:color w:val="000000"/>
          <w:sz w:val="22"/>
          <w:szCs w:val="22"/>
        </w:rPr>
        <w:t>The research examined  how migrant workers contribute to the development of workforce capacity and continuity of care, in addition to how migration policy, international recruitment, and migrant worker experiences affect long-term workforce sustainability.</w:t>
      </w:r>
    </w:p>
    <w:p w14:paraId="0521602E" w14:textId="77777777" w:rsidR="00F76CFC" w:rsidRPr="00B57A44" w:rsidRDefault="00F76CFC" w:rsidP="00B57A44">
      <w:pPr>
        <w:pStyle w:val="NormalWeb"/>
        <w:spacing w:line="360" w:lineRule="auto"/>
        <w:rPr>
          <w:rFonts w:ascii="Arial" w:hAnsi="Arial" w:cs="Arial"/>
          <w:color w:val="000000"/>
          <w:sz w:val="22"/>
          <w:szCs w:val="22"/>
        </w:rPr>
      </w:pPr>
      <w:r w:rsidRPr="00B57A44">
        <w:rPr>
          <w:rFonts w:ascii="Arial" w:hAnsi="Arial" w:cs="Arial"/>
          <w:color w:val="000000"/>
          <w:sz w:val="22"/>
          <w:szCs w:val="22"/>
        </w:rPr>
        <w:t>The literature examined for this dissertation revealed that migrant workers have become a crucial part of the UK ASC workforce, assisting in maintaining service delivery and addressing ongoing workforce shortages. But the results also demonstrated that international recruitment is not the only factor that affects workforce sustainability. Maintaining a stable and resilient workforce was found to be dependent equally on a number of factors, including supportive migration policies, effective workforce planning, employee well-being, job satisfaction, career development, and retention.</w:t>
      </w:r>
    </w:p>
    <w:p w14:paraId="7F3F11F8" w14:textId="3388B2F8" w:rsidR="0062579B" w:rsidRPr="00AF70BD" w:rsidRDefault="00F10E37" w:rsidP="00AF70BD">
      <w:pPr>
        <w:jc w:val="left"/>
        <w:rPr>
          <w:rFonts w:ascii="Arial" w:hAnsi="Arial" w:cs="Arial"/>
        </w:rPr>
      </w:pPr>
      <w:r w:rsidRPr="00AF70BD">
        <w:rPr>
          <w:rFonts w:ascii="Arial" w:hAnsi="Arial" w:cs="Arial"/>
          <w:color w:val="000000"/>
        </w:rPr>
        <w:t>The research aim and objectives were achieved by a comprehensive examination of current literature, workforce reports, and policy documents. The thematic analysis revealed three interconnected themes: workforce shortages and reliance on migrant workers, migration policy and international recruitment, and migrant worker experiences, well-being, and workplace sustainability. These findings suggest that, while migrant workers contribute significantly to the UK ASC sector, achieving long-term workforce sustainability requires a balanced approach that combines international recruitment with improved workforce planning, supportive employment practices, and investment in the current workforce.</w:t>
      </w:r>
    </w:p>
    <w:p w14:paraId="18F56BAB" w14:textId="77777777" w:rsidR="00FB10DC" w:rsidRPr="003158B3" w:rsidRDefault="00FB10DC" w:rsidP="00FB10DC">
      <w:pPr>
        <w:rPr>
          <w:rFonts w:ascii="Arial" w:hAnsi="Arial" w:cs="Arial"/>
        </w:rPr>
      </w:pPr>
    </w:p>
    <w:p w14:paraId="0FB88268" w14:textId="58B224C3" w:rsidR="00FB10DC" w:rsidRPr="00CD6114" w:rsidRDefault="003158B3" w:rsidP="0052701B">
      <w:pPr>
        <w:pStyle w:val="Heading2"/>
        <w:jc w:val="left"/>
        <w:rPr>
          <w:rFonts w:ascii="Arial" w:hAnsi="Arial" w:cs="Arial"/>
          <w:color w:val="000000" w:themeColor="text1"/>
          <w:sz w:val="28"/>
          <w:szCs w:val="28"/>
        </w:rPr>
      </w:pPr>
      <w:r w:rsidRPr="00CD6114">
        <w:rPr>
          <w:rFonts w:ascii="Arial" w:hAnsi="Arial" w:cs="Arial"/>
          <w:color w:val="000000" w:themeColor="text1"/>
          <w:sz w:val="28"/>
          <w:szCs w:val="28"/>
        </w:rPr>
        <w:t xml:space="preserve">Chapter </w:t>
      </w:r>
      <w:r w:rsidR="00FB10DC" w:rsidRPr="00CD6114">
        <w:rPr>
          <w:rFonts w:ascii="Arial" w:hAnsi="Arial" w:cs="Arial"/>
          <w:color w:val="000000" w:themeColor="text1"/>
          <w:sz w:val="28"/>
          <w:szCs w:val="28"/>
        </w:rPr>
        <w:t xml:space="preserve">5.2 – Recommendations </w:t>
      </w:r>
    </w:p>
    <w:p w14:paraId="73B2E430" w14:textId="77777777" w:rsidR="00F80054" w:rsidRPr="00B0586A" w:rsidRDefault="00FB10DC" w:rsidP="0052701B">
      <w:pPr>
        <w:pStyle w:val="Heading3"/>
        <w:jc w:val="left"/>
        <w:rPr>
          <w:rFonts w:ascii="Arial" w:hAnsi="Arial" w:cs="Arial"/>
          <w:color w:val="000000" w:themeColor="text1"/>
        </w:rPr>
      </w:pPr>
      <w:r w:rsidRPr="00B0586A">
        <w:rPr>
          <w:rFonts w:ascii="Arial" w:hAnsi="Arial" w:cs="Arial"/>
          <w:color w:val="000000" w:themeColor="text1"/>
        </w:rPr>
        <w:t xml:space="preserve">5.2.1 – Recommendation 1 </w:t>
      </w:r>
    </w:p>
    <w:p w14:paraId="4503DAD5" w14:textId="316B1289" w:rsidR="009D131E" w:rsidRPr="0052701B" w:rsidRDefault="009D131E" w:rsidP="0052701B">
      <w:pPr>
        <w:pStyle w:val="Heading3"/>
        <w:jc w:val="left"/>
        <w:rPr>
          <w:rFonts w:ascii="Arial" w:eastAsia="Times New Roman" w:hAnsi="Arial" w:cs="Arial"/>
          <w:color w:val="000000"/>
          <w:kern w:val="0"/>
          <w:lang w:eastAsia="en-GB"/>
          <w14:ligatures w14:val="none"/>
        </w:rPr>
      </w:pPr>
      <w:r w:rsidRPr="0052701B">
        <w:rPr>
          <w:rFonts w:ascii="Arial" w:eastAsia="Times New Roman" w:hAnsi="Arial" w:cs="Arial"/>
          <w:color w:val="000000"/>
          <w:kern w:val="0"/>
          <w:lang w:eastAsia="en-GB"/>
          <w14:ligatures w14:val="none"/>
        </w:rPr>
        <w:t>Strengthening workforce retention through career development and staff wellbeing</w:t>
      </w:r>
    </w:p>
    <w:p w14:paraId="4AF020D8" w14:textId="62D0FD85" w:rsidR="00554DCB" w:rsidRPr="00554DCB" w:rsidRDefault="00AC65E6" w:rsidP="00554DCB">
      <w:pPr>
        <w:spacing w:before="100" w:beforeAutospacing="1" w:after="100" w:afterAutospacing="1"/>
        <w:jc w:val="left"/>
        <w:rPr>
          <w:rFonts w:ascii="Arial" w:hAnsi="Arial" w:cs="Arial"/>
          <w:color w:val="000000"/>
        </w:rPr>
      </w:pPr>
      <w:r w:rsidRPr="00241787">
        <w:rPr>
          <w:rFonts w:ascii="Arial" w:hAnsi="Arial" w:cs="Arial"/>
          <w:color w:val="000000"/>
        </w:rPr>
        <w:t xml:space="preserve">The </w:t>
      </w:r>
      <w:r w:rsidR="007A75C1">
        <w:rPr>
          <w:rFonts w:ascii="Arial" w:hAnsi="Arial" w:cs="Arial"/>
          <w:color w:val="000000"/>
        </w:rPr>
        <w:t>findings</w:t>
      </w:r>
      <w:r w:rsidRPr="00241787">
        <w:rPr>
          <w:rFonts w:ascii="Arial" w:hAnsi="Arial" w:cs="Arial"/>
          <w:color w:val="000000"/>
        </w:rPr>
        <w:t xml:space="preserve"> of this dissertation indicate that in order to ensure long-term workforce sustainability, policymakers and ASC providers should prioritise enhancing migrant worker retention. International recruitment has contributed to a reduction in workforce shortages, but </w:t>
      </w:r>
      <w:r w:rsidRPr="00241787">
        <w:rPr>
          <w:rFonts w:ascii="Arial" w:hAnsi="Arial" w:cs="Arial"/>
          <w:color w:val="000000"/>
        </w:rPr>
        <w:lastRenderedPageBreak/>
        <w:t>it is unlikely to</w:t>
      </w:r>
      <w:r w:rsidR="000107A6">
        <w:rPr>
          <w:rFonts w:ascii="Arial" w:hAnsi="Arial" w:cs="Arial"/>
          <w:color w:val="000000"/>
        </w:rPr>
        <w:t xml:space="preserve"> </w:t>
      </w:r>
      <w:r w:rsidRPr="00241787">
        <w:rPr>
          <w:rFonts w:ascii="Arial" w:hAnsi="Arial" w:cs="Arial"/>
          <w:color w:val="000000"/>
        </w:rPr>
        <w:t>provide a sustainable long-term solution. The Organisation for Economic Co-</w:t>
      </w:r>
      <w:r w:rsidRPr="00694B38">
        <w:rPr>
          <w:rFonts w:ascii="Arial" w:hAnsi="Arial" w:cs="Arial"/>
          <w:color w:val="EE0000"/>
        </w:rPr>
        <w:t xml:space="preserve">operation and Development (OECD) (2020) </w:t>
      </w:r>
      <w:r w:rsidRPr="00241787">
        <w:rPr>
          <w:rFonts w:ascii="Arial" w:hAnsi="Arial" w:cs="Arial"/>
          <w:color w:val="000000"/>
        </w:rPr>
        <w:t>suggests that enhancing working conditions, professional recognition, and career development opportunities are critical to increasing employee retention in the long-term care sector.</w:t>
      </w:r>
      <w:r w:rsidR="005F3A50">
        <w:rPr>
          <w:rFonts w:ascii="Arial" w:hAnsi="Arial" w:cs="Arial"/>
          <w:color w:val="000000"/>
        </w:rPr>
        <w:t xml:space="preserve"> </w:t>
      </w:r>
      <w:r w:rsidR="00E8799C" w:rsidRPr="00554DCB">
        <w:rPr>
          <w:rFonts w:ascii="Arial" w:hAnsi="Arial" w:cs="Arial"/>
          <w:color w:val="000000"/>
        </w:rPr>
        <w:t>Therefore, greater emphasis should be placed on retaining experienced migrant workers through structured career progression, continuing professional development (CPD), staff wellbeing initiatives and supportive leadership.</w:t>
      </w:r>
      <w:r w:rsidR="00B56728">
        <w:rPr>
          <w:rFonts w:ascii="Arial" w:hAnsi="Arial" w:cs="Arial"/>
          <w:color w:val="000000"/>
        </w:rPr>
        <w:t xml:space="preserve"> </w:t>
      </w:r>
      <w:r w:rsidR="00E8799C" w:rsidRPr="00554DCB">
        <w:rPr>
          <w:rFonts w:ascii="Arial" w:hAnsi="Arial" w:cs="Arial"/>
          <w:color w:val="000000"/>
        </w:rPr>
        <w:t>These strategies could boost worker satisfaction, increase workforce stability, and reduce staff turnover, all of which would improve the standard and continuity of care provided in the ASC industry.</w:t>
      </w:r>
    </w:p>
    <w:p w14:paraId="3DC87B45" w14:textId="052260B2" w:rsidR="00D02D19" w:rsidRDefault="00034C52" w:rsidP="00D02D19">
      <w:pPr>
        <w:spacing w:before="100" w:beforeAutospacing="1" w:after="100" w:afterAutospacing="1"/>
        <w:jc w:val="left"/>
        <w:rPr>
          <w:rFonts w:ascii="Arial" w:hAnsi="Arial" w:cs="Arial"/>
          <w:color w:val="000000"/>
        </w:rPr>
      </w:pPr>
      <w:r w:rsidRPr="005D62A7">
        <w:rPr>
          <w:rFonts w:ascii="Arial" w:hAnsi="Arial" w:cs="Arial"/>
          <w:color w:val="000000"/>
        </w:rPr>
        <w:t>A major barrier to implementing this advice into practice is the financial strain that many ASC providers are under.</w:t>
      </w:r>
      <w:r w:rsidR="007E7E8B">
        <w:rPr>
          <w:rFonts w:ascii="Arial" w:hAnsi="Arial" w:cs="Arial"/>
          <w:color w:val="000000"/>
        </w:rPr>
        <w:t xml:space="preserve"> </w:t>
      </w:r>
      <w:r w:rsidR="007E7E8B" w:rsidRPr="007E7E8B">
        <w:rPr>
          <w:rFonts w:ascii="Arial" w:hAnsi="Arial" w:cs="Arial"/>
          <w:color w:val="000000"/>
        </w:rPr>
        <w:t xml:space="preserve">Limited budgets, rising demand for care services and ongoing workforce shortages may reduce organisations' ability to invest in employee training, wellbeing programmes and career development </w:t>
      </w:r>
      <w:r w:rsidR="008A50AE" w:rsidRPr="007E7E8B">
        <w:rPr>
          <w:rFonts w:ascii="Arial" w:hAnsi="Arial" w:cs="Arial"/>
          <w:color w:val="000000"/>
        </w:rPr>
        <w:t>opportunities</w:t>
      </w:r>
      <w:r w:rsidR="008A50AE">
        <w:rPr>
          <w:rFonts w:ascii="-webkit-standard" w:hAnsi="-webkit-standard"/>
          <w:color w:val="000000"/>
          <w:sz w:val="27"/>
          <w:szCs w:val="27"/>
        </w:rPr>
        <w:t>.</w:t>
      </w:r>
      <w:r w:rsidR="008A50AE" w:rsidRPr="005D62A7">
        <w:rPr>
          <w:rFonts w:ascii="Arial" w:hAnsi="Arial" w:cs="Arial"/>
          <w:color w:val="000000"/>
        </w:rPr>
        <w:t xml:space="preserve"> Due</w:t>
      </w:r>
      <w:r w:rsidRPr="005D62A7">
        <w:rPr>
          <w:rFonts w:ascii="Arial" w:hAnsi="Arial" w:cs="Arial"/>
          <w:color w:val="000000"/>
        </w:rPr>
        <w:t xml:space="preserve"> to limited resources and workforce capacity, smaller care providers may experience particular challenges in implementing new retention initiatives or releasing staff for professional development. According to </w:t>
      </w:r>
      <w:r w:rsidRPr="00844FD7">
        <w:rPr>
          <w:rFonts w:ascii="Arial" w:hAnsi="Arial" w:cs="Arial"/>
          <w:color w:val="EE0000"/>
        </w:rPr>
        <w:t xml:space="preserve">Alkan </w:t>
      </w:r>
      <w:r w:rsidRPr="00844FD7">
        <w:rPr>
          <w:rFonts w:ascii="Arial" w:hAnsi="Arial" w:cs="Arial"/>
          <w:i/>
          <w:iCs/>
          <w:color w:val="EE0000"/>
        </w:rPr>
        <w:t>et al</w:t>
      </w:r>
      <w:r w:rsidR="00844FD7" w:rsidRPr="00844FD7">
        <w:rPr>
          <w:rFonts w:ascii="Arial" w:hAnsi="Arial" w:cs="Arial"/>
          <w:i/>
          <w:iCs/>
          <w:color w:val="EE0000"/>
        </w:rPr>
        <w:t>.,</w:t>
      </w:r>
      <w:r w:rsidR="00844FD7" w:rsidRPr="00844FD7">
        <w:rPr>
          <w:rFonts w:ascii="Arial" w:hAnsi="Arial" w:cs="Arial"/>
          <w:color w:val="EE0000"/>
        </w:rPr>
        <w:t xml:space="preserve"> </w:t>
      </w:r>
      <w:r w:rsidRPr="00844FD7">
        <w:rPr>
          <w:rFonts w:ascii="Arial" w:hAnsi="Arial" w:cs="Arial"/>
          <w:color w:val="EE0000"/>
        </w:rPr>
        <w:t xml:space="preserve">(2024), </w:t>
      </w:r>
      <w:r w:rsidRPr="005D62A7">
        <w:rPr>
          <w:rFonts w:ascii="Arial" w:hAnsi="Arial" w:cs="Arial"/>
          <w:color w:val="000000"/>
        </w:rPr>
        <w:t>the implementation of successful employee retention initiatives may be h</w:t>
      </w:r>
      <w:r w:rsidR="003720F2">
        <w:rPr>
          <w:rFonts w:ascii="Arial" w:hAnsi="Arial" w:cs="Arial"/>
          <w:color w:val="000000"/>
        </w:rPr>
        <w:t xml:space="preserve">indered </w:t>
      </w:r>
      <w:r w:rsidRPr="005D62A7">
        <w:rPr>
          <w:rFonts w:ascii="Arial" w:hAnsi="Arial" w:cs="Arial"/>
          <w:color w:val="000000"/>
        </w:rPr>
        <w:t>by organisational capacity issues and financial limitations.</w:t>
      </w:r>
    </w:p>
    <w:p w14:paraId="48198BB9" w14:textId="2854257F" w:rsidR="00FB10DC" w:rsidRPr="00D02D19" w:rsidRDefault="00EC7BF9" w:rsidP="00D02D19">
      <w:pPr>
        <w:spacing w:before="100" w:beforeAutospacing="1" w:after="100" w:afterAutospacing="1"/>
        <w:jc w:val="left"/>
        <w:rPr>
          <w:rFonts w:ascii="Arial" w:hAnsi="Arial" w:cs="Arial"/>
          <w:color w:val="000000"/>
        </w:rPr>
      </w:pPr>
      <w:r w:rsidRPr="00EC7BF9">
        <w:rPr>
          <w:rFonts w:ascii="Arial" w:hAnsi="Arial" w:cs="Arial"/>
          <w:color w:val="000000"/>
        </w:rPr>
        <w:t>These barriers could be overcome through a gradual investment in workforce development, aided by targeted government funding and coordinated workforce planning. Care providers should be encouraged to incorporate structured career paths, protected learning opportunities, and staff wellbeing</w:t>
      </w:r>
      <w:r w:rsidR="00862855">
        <w:rPr>
          <w:rFonts w:ascii="Arial" w:hAnsi="Arial" w:cs="Arial"/>
          <w:color w:val="000000"/>
        </w:rPr>
        <w:t xml:space="preserve"> </w:t>
      </w:r>
      <w:r w:rsidR="00862855" w:rsidRPr="00EC7BF9">
        <w:rPr>
          <w:rFonts w:ascii="Arial" w:hAnsi="Arial" w:cs="Arial"/>
          <w:color w:val="000000"/>
        </w:rPr>
        <w:t>programmes</w:t>
      </w:r>
      <w:r w:rsidRPr="00EC7BF9">
        <w:rPr>
          <w:rFonts w:ascii="Arial" w:hAnsi="Arial" w:cs="Arial"/>
          <w:color w:val="000000"/>
        </w:rPr>
        <w:t xml:space="preserve"> within their organisational practices. Strengthening these retention strategies would increase job satisfaction, encourage experienced migrant workers to remain in the industry, and reduce long-term dependence on ongoing international recruitment.</w:t>
      </w:r>
      <w:r w:rsidR="008E5D8B">
        <w:rPr>
          <w:rFonts w:ascii="Arial" w:hAnsi="Arial" w:cs="Arial"/>
          <w:color w:val="000000"/>
        </w:rPr>
        <w:t xml:space="preserve"> </w:t>
      </w:r>
      <w:r w:rsidR="00CD0A0B" w:rsidRPr="008E5D8B">
        <w:rPr>
          <w:rFonts w:ascii="Arial" w:hAnsi="Arial" w:cs="Arial"/>
          <w:color w:val="000000"/>
        </w:rPr>
        <w:t>Ultimately, implementing these measures would contribute to a more resilient and sustainable ASC workforce that is better equipped to meet future demand (</w:t>
      </w:r>
      <w:r w:rsidR="00CD0A0B" w:rsidRPr="00A8500B">
        <w:rPr>
          <w:rFonts w:ascii="Arial" w:hAnsi="Arial" w:cs="Arial"/>
          <w:color w:val="EE0000"/>
        </w:rPr>
        <w:t xml:space="preserve">Endalamaw </w:t>
      </w:r>
      <w:r w:rsidR="00CD0A0B" w:rsidRPr="00A8500B">
        <w:rPr>
          <w:rFonts w:ascii="Arial" w:hAnsi="Arial" w:cs="Arial"/>
          <w:i/>
          <w:iCs/>
          <w:color w:val="EE0000"/>
        </w:rPr>
        <w:t>et al.,</w:t>
      </w:r>
      <w:r w:rsidR="00CD0A0B" w:rsidRPr="00A8500B">
        <w:rPr>
          <w:rFonts w:ascii="Arial" w:hAnsi="Arial" w:cs="Arial"/>
          <w:color w:val="EE0000"/>
        </w:rPr>
        <w:t xml:space="preserve"> 2024).</w:t>
      </w:r>
    </w:p>
    <w:p w14:paraId="2C8FF96B" w14:textId="77777777" w:rsidR="00FB10DC" w:rsidRPr="00563316" w:rsidRDefault="00FB10DC" w:rsidP="0052701B">
      <w:pPr>
        <w:pStyle w:val="Heading1"/>
        <w:jc w:val="left"/>
        <w:rPr>
          <w:rFonts w:ascii="Arial" w:hAnsi="Arial" w:cs="Arial"/>
          <w:color w:val="000000" w:themeColor="text1"/>
          <w:sz w:val="28"/>
          <w:szCs w:val="28"/>
        </w:rPr>
      </w:pPr>
      <w:r w:rsidRPr="00563316">
        <w:rPr>
          <w:rFonts w:ascii="Arial" w:hAnsi="Arial" w:cs="Arial"/>
          <w:color w:val="000000" w:themeColor="text1"/>
          <w:sz w:val="28"/>
          <w:szCs w:val="28"/>
        </w:rPr>
        <w:t xml:space="preserve">5.2.2 – Recommendation 2 </w:t>
      </w:r>
    </w:p>
    <w:p w14:paraId="4D1901BA" w14:textId="77777777" w:rsidR="006E0B79" w:rsidRPr="00BB0E0C" w:rsidRDefault="006E0B79" w:rsidP="0052701B">
      <w:pPr>
        <w:pStyle w:val="Heading3"/>
        <w:jc w:val="left"/>
        <w:rPr>
          <w:rFonts w:ascii="Arial" w:eastAsia="Times New Roman" w:hAnsi="Arial" w:cs="Arial"/>
          <w:b/>
          <w:bCs/>
          <w:color w:val="000000"/>
          <w:lang w:eastAsia="en-GB"/>
        </w:rPr>
      </w:pPr>
      <w:r w:rsidRPr="00BB0E0C">
        <w:rPr>
          <w:rStyle w:val="Strong"/>
          <w:rFonts w:ascii="Arial" w:hAnsi="Arial" w:cs="Arial"/>
          <w:b w:val="0"/>
          <w:bCs w:val="0"/>
          <w:color w:val="000000"/>
        </w:rPr>
        <w:t>Strengthen ethical international recruitment and support for migrant workers</w:t>
      </w:r>
    </w:p>
    <w:p w14:paraId="1D369955" w14:textId="5ABE511D" w:rsidR="005E3EA7" w:rsidRPr="00594962" w:rsidRDefault="00B6753A" w:rsidP="00EA6397">
      <w:pPr>
        <w:pStyle w:val="NormalWeb"/>
        <w:spacing w:line="360" w:lineRule="auto"/>
        <w:rPr>
          <w:rFonts w:ascii="Arial" w:hAnsi="Arial" w:cs="Arial"/>
          <w:color w:val="000000"/>
          <w:sz w:val="22"/>
          <w:szCs w:val="22"/>
        </w:rPr>
      </w:pPr>
      <w:r w:rsidRPr="00594962">
        <w:rPr>
          <w:rFonts w:ascii="Arial" w:hAnsi="Arial" w:cs="Arial"/>
          <w:color w:val="000000"/>
          <w:sz w:val="22"/>
          <w:szCs w:val="22"/>
        </w:rPr>
        <w:t>The findings of this dissertation suggest that policymakers and</w:t>
      </w:r>
      <w:r w:rsidR="00C6237C" w:rsidRPr="00594962">
        <w:rPr>
          <w:rFonts w:ascii="Arial" w:hAnsi="Arial" w:cs="Arial"/>
          <w:color w:val="000000"/>
          <w:sz w:val="22"/>
          <w:szCs w:val="22"/>
        </w:rPr>
        <w:t xml:space="preserve"> </w:t>
      </w:r>
      <w:r w:rsidRPr="00594962">
        <w:rPr>
          <w:rFonts w:ascii="Arial" w:hAnsi="Arial" w:cs="Arial"/>
          <w:color w:val="000000"/>
          <w:sz w:val="22"/>
          <w:szCs w:val="22"/>
        </w:rPr>
        <w:t xml:space="preserve">ASC providers should continue to prioritise establishing ethical international recruitment practices and strengthening support for migrant workers. Although international recruitment has helped </w:t>
      </w:r>
      <w:r w:rsidRPr="00594962">
        <w:rPr>
          <w:rFonts w:ascii="Arial" w:hAnsi="Arial" w:cs="Arial"/>
          <w:color w:val="000000"/>
          <w:sz w:val="22"/>
          <w:szCs w:val="22"/>
        </w:rPr>
        <w:lastRenderedPageBreak/>
        <w:t>address workforce shortages, long-term workforce sustainability requires that migrant workers are recruited fairly and provided with adequate support throughout their employment.</w:t>
      </w:r>
      <w:r w:rsidRPr="00594962">
        <w:rPr>
          <w:rStyle w:val="apple-converted-space"/>
          <w:rFonts w:ascii="Arial" w:hAnsi="Arial" w:cs="Arial"/>
          <w:color w:val="000000"/>
          <w:sz w:val="22"/>
          <w:szCs w:val="22"/>
        </w:rPr>
        <w:t> </w:t>
      </w:r>
      <w:r w:rsidR="002850B1" w:rsidRPr="00B66C54">
        <w:rPr>
          <w:rFonts w:ascii="Arial" w:hAnsi="Arial" w:cs="Arial"/>
          <w:color w:val="EE0000"/>
          <w:sz w:val="22"/>
          <w:szCs w:val="22"/>
        </w:rPr>
        <w:t>Hanrieder</w:t>
      </w:r>
      <w:r w:rsidR="00A97F44" w:rsidRPr="00B66C54">
        <w:rPr>
          <w:rFonts w:ascii="Arial" w:hAnsi="Arial" w:cs="Arial"/>
          <w:color w:val="EE0000"/>
          <w:sz w:val="22"/>
          <w:szCs w:val="22"/>
        </w:rPr>
        <w:t xml:space="preserve"> </w:t>
      </w:r>
      <w:r w:rsidR="00A97F44" w:rsidRPr="00B66C54">
        <w:rPr>
          <w:rFonts w:ascii="Arial" w:hAnsi="Arial" w:cs="Arial"/>
          <w:color w:val="EE0000"/>
          <w:sz w:val="22"/>
          <w:szCs w:val="22"/>
        </w:rPr>
        <w:t>and Janauschek</w:t>
      </w:r>
      <w:r w:rsidR="00F36689" w:rsidRPr="00B66C54">
        <w:rPr>
          <w:rFonts w:ascii="Arial" w:hAnsi="Arial" w:cs="Arial"/>
          <w:color w:val="EE0000"/>
          <w:sz w:val="22"/>
          <w:szCs w:val="22"/>
        </w:rPr>
        <w:t>,</w:t>
      </w:r>
      <w:r w:rsidR="00A97F44" w:rsidRPr="00B66C54">
        <w:rPr>
          <w:rFonts w:ascii="-webkit-standard" w:hAnsi="-webkit-standard"/>
          <w:color w:val="EE0000"/>
          <w:sz w:val="27"/>
          <w:szCs w:val="27"/>
        </w:rPr>
        <w:t xml:space="preserve"> </w:t>
      </w:r>
      <w:r w:rsidR="002850B1" w:rsidRPr="00B66C54">
        <w:rPr>
          <w:rFonts w:ascii="Arial" w:hAnsi="Arial" w:cs="Arial"/>
          <w:color w:val="EE0000"/>
          <w:sz w:val="22"/>
          <w:szCs w:val="22"/>
        </w:rPr>
        <w:t xml:space="preserve">(2025) </w:t>
      </w:r>
      <w:r w:rsidR="002850B1" w:rsidRPr="00594962">
        <w:rPr>
          <w:rFonts w:ascii="Arial" w:hAnsi="Arial" w:cs="Arial"/>
          <w:color w:val="000000"/>
          <w:sz w:val="22"/>
          <w:szCs w:val="22"/>
        </w:rPr>
        <w:t xml:space="preserve">state that ethical international </w:t>
      </w:r>
      <w:r w:rsidR="00C44936" w:rsidRPr="00594962">
        <w:rPr>
          <w:rFonts w:ascii="Arial" w:hAnsi="Arial" w:cs="Arial"/>
          <w:color w:val="000000"/>
          <w:sz w:val="22"/>
          <w:szCs w:val="22"/>
        </w:rPr>
        <w:t>recruitm</w:t>
      </w:r>
      <w:r w:rsidR="00C44936">
        <w:rPr>
          <w:rFonts w:ascii="Arial" w:hAnsi="Arial" w:cs="Arial"/>
          <w:color w:val="000000"/>
          <w:sz w:val="22"/>
          <w:szCs w:val="22"/>
        </w:rPr>
        <w:t xml:space="preserve">ent </w:t>
      </w:r>
      <w:r w:rsidR="002850B1" w:rsidRPr="00594962">
        <w:rPr>
          <w:rFonts w:ascii="Arial" w:hAnsi="Arial" w:cs="Arial"/>
          <w:color w:val="000000"/>
          <w:sz w:val="22"/>
          <w:szCs w:val="22"/>
        </w:rPr>
        <w:t>should go beyond simply addressing workforce gaps to encourage fair working practices, professional support, and the long-term wellbeing of internationally recruited workers.</w:t>
      </w:r>
      <w:r w:rsidRPr="00594962">
        <w:rPr>
          <w:rStyle w:val="apple-converted-space"/>
          <w:rFonts w:ascii="Arial" w:hAnsi="Arial" w:cs="Arial"/>
          <w:color w:val="000000"/>
          <w:sz w:val="22"/>
          <w:szCs w:val="22"/>
        </w:rPr>
        <w:t> </w:t>
      </w:r>
      <w:r w:rsidRPr="00594962">
        <w:rPr>
          <w:rFonts w:ascii="Arial" w:hAnsi="Arial" w:cs="Arial"/>
          <w:color w:val="000000"/>
          <w:sz w:val="22"/>
          <w:szCs w:val="22"/>
        </w:rPr>
        <w:t>Therefore, to help internationally recruited workers effectively integrate into the UK ASC sector, care providers should implement transparent recruitment strategies, provide comprehensive induction programmes and offer continuous pastoral support. In addition, employers should ensure that migrant workers have equal access to training, career progression and organisational support, enabling them to contribute effectively to the workforce. These measures would not only improve migrant workers' experiences but would also help to stabilise the workforce and support the delivery of high-quality, person-centred care.</w:t>
      </w:r>
    </w:p>
    <w:p w14:paraId="7D35F25C" w14:textId="02A3EF5E" w:rsidR="009649E5" w:rsidRPr="00EA6397" w:rsidRDefault="009649E5" w:rsidP="00DF2A66">
      <w:pPr>
        <w:pStyle w:val="NormalWeb"/>
        <w:spacing w:line="360" w:lineRule="auto"/>
        <w:rPr>
          <w:rFonts w:ascii="Arial" w:hAnsi="Arial" w:cs="Arial"/>
          <w:color w:val="000000"/>
          <w:sz w:val="22"/>
          <w:szCs w:val="22"/>
        </w:rPr>
      </w:pPr>
      <w:r w:rsidRPr="00EA6397">
        <w:rPr>
          <w:rFonts w:ascii="Arial" w:hAnsi="Arial" w:cs="Arial"/>
          <w:color w:val="000000"/>
          <w:sz w:val="22"/>
          <w:szCs w:val="22"/>
        </w:rPr>
        <w:t>A major barrier to implementing this recommendation is the complexity of immigration policies, sponsorship requirements and recruitment regulations, which can place additional financial and administrative pressures on ASC providers. Smaller organisations may lack the resources or expertise needed to recruit internationally while ensuring that migrant workers receive adequate support during their transition into employment. Furthermore, frequent changes to immigration policies may create uncertainty for both employers and migrant workers, making long-term workforce planning more challenging.</w:t>
      </w:r>
      <w:r w:rsidR="00EA1882">
        <w:rPr>
          <w:rFonts w:ascii="Arial" w:hAnsi="Arial" w:cs="Arial"/>
          <w:color w:val="000000"/>
          <w:sz w:val="22"/>
          <w:szCs w:val="22"/>
        </w:rPr>
        <w:t xml:space="preserve"> </w:t>
      </w:r>
      <w:r w:rsidR="00EA1882" w:rsidRPr="00D6128E">
        <w:rPr>
          <w:rFonts w:ascii="Arial" w:hAnsi="Arial" w:cs="Arial"/>
          <w:color w:val="000000"/>
          <w:sz w:val="22"/>
          <w:szCs w:val="22"/>
        </w:rPr>
        <w:t xml:space="preserve">According to the </w:t>
      </w:r>
      <w:r w:rsidR="00EA1882" w:rsidRPr="00134960">
        <w:rPr>
          <w:rFonts w:ascii="Arial" w:hAnsi="Arial" w:cs="Arial"/>
          <w:color w:val="EE0000"/>
          <w:sz w:val="22"/>
          <w:szCs w:val="22"/>
        </w:rPr>
        <w:t>Local Government Association (2024</w:t>
      </w:r>
      <w:r w:rsidR="00EA1882" w:rsidRPr="00D6128E">
        <w:rPr>
          <w:rFonts w:ascii="Arial" w:hAnsi="Arial" w:cs="Arial"/>
          <w:color w:val="000000"/>
          <w:sz w:val="22"/>
          <w:szCs w:val="22"/>
        </w:rPr>
        <w:t>), recruiting internationally requires extensive preparation, resources, and continuous organisational support, which might cause particular challenges for smaller care providers.</w:t>
      </w:r>
    </w:p>
    <w:p w14:paraId="426892F8" w14:textId="03F25ED1" w:rsidR="00D818C4" w:rsidRPr="00DF2A66" w:rsidRDefault="006100DA" w:rsidP="00DF2A66">
      <w:pPr>
        <w:pStyle w:val="pdq2pgselectionanchorcontainer"/>
        <w:spacing w:line="360" w:lineRule="auto"/>
        <w:rPr>
          <w:rFonts w:ascii="Arial" w:hAnsi="Arial" w:cs="Arial"/>
          <w:b/>
          <w:bCs/>
          <w:color w:val="000000"/>
          <w:sz w:val="22"/>
          <w:szCs w:val="22"/>
        </w:rPr>
      </w:pPr>
      <w:r w:rsidRPr="00DF2A66">
        <w:rPr>
          <w:rStyle w:val="Strong"/>
          <w:rFonts w:ascii="Arial" w:hAnsi="Arial" w:cs="Arial"/>
          <w:b w:val="0"/>
          <w:bCs w:val="0"/>
          <w:color w:val="000000"/>
          <w:sz w:val="22"/>
          <w:szCs w:val="22"/>
        </w:rPr>
        <w:t xml:space="preserve">These barriers could be overcome through increased collaboration between the government, regulatory </w:t>
      </w:r>
      <w:r w:rsidR="008D4745">
        <w:rPr>
          <w:rStyle w:val="Strong"/>
          <w:rFonts w:ascii="Arial" w:hAnsi="Arial" w:cs="Arial"/>
          <w:b w:val="0"/>
          <w:bCs w:val="0"/>
          <w:color w:val="000000"/>
          <w:sz w:val="22"/>
          <w:szCs w:val="22"/>
        </w:rPr>
        <w:t>organisations</w:t>
      </w:r>
      <w:r w:rsidRPr="00DF2A66">
        <w:rPr>
          <w:rStyle w:val="Strong"/>
          <w:rFonts w:ascii="Arial" w:hAnsi="Arial" w:cs="Arial"/>
          <w:b w:val="0"/>
          <w:bCs w:val="0"/>
          <w:color w:val="000000"/>
          <w:sz w:val="22"/>
          <w:szCs w:val="22"/>
        </w:rPr>
        <w:t xml:space="preserve"> and ASC providers to establish clear and consistent guidance on ethical recruitment and workforce integration. Care providers should also be encouraged to implement mentoring schemes, structured induction programmes and regular wellbeing reviews to support migrant workers throughout their employment. Strengthening these support measures would increase workforce stability, promote positive employment experiences and encourage migrant workers to remain within the sector. </w:t>
      </w:r>
      <w:r w:rsidR="00DF2A66" w:rsidRPr="002A4F12">
        <w:rPr>
          <w:rFonts w:ascii="Arial" w:hAnsi="Arial" w:cs="Arial"/>
          <w:color w:val="000000"/>
          <w:sz w:val="22"/>
          <w:szCs w:val="22"/>
        </w:rPr>
        <w:t xml:space="preserve">Finally, this would promote efficient organisational planning, continuous workforce development, and a more resilient and sustainable ASC </w:t>
      </w:r>
      <w:r w:rsidR="00C426C6">
        <w:rPr>
          <w:rFonts w:ascii="Arial" w:hAnsi="Arial" w:cs="Arial"/>
          <w:color w:val="000000"/>
          <w:sz w:val="22"/>
          <w:szCs w:val="22"/>
        </w:rPr>
        <w:t xml:space="preserve">workforce </w:t>
      </w:r>
      <w:r w:rsidR="00DF2A66" w:rsidRPr="002A4F12">
        <w:rPr>
          <w:rFonts w:ascii="Arial" w:hAnsi="Arial" w:cs="Arial"/>
          <w:color w:val="000000"/>
          <w:sz w:val="22"/>
          <w:szCs w:val="22"/>
        </w:rPr>
        <w:t>while upholding high standards of person-centred care for service users </w:t>
      </w:r>
      <w:r w:rsidR="00DF2A66" w:rsidRPr="00E46CC0">
        <w:rPr>
          <w:rFonts w:ascii="Arial" w:hAnsi="Arial" w:cs="Arial"/>
          <w:color w:val="EE0000"/>
          <w:sz w:val="22"/>
          <w:szCs w:val="22"/>
        </w:rPr>
        <w:t>(Department of Health and Social Care, 2024</w:t>
      </w:r>
      <w:r w:rsidR="00DF2A66" w:rsidRPr="00E46CC0">
        <w:rPr>
          <w:rFonts w:ascii="Arial" w:hAnsi="Arial" w:cs="Arial"/>
          <w:b/>
          <w:bCs/>
          <w:color w:val="EE0000"/>
          <w:sz w:val="22"/>
          <w:szCs w:val="22"/>
        </w:rPr>
        <w:t>).</w:t>
      </w:r>
    </w:p>
    <w:p w14:paraId="41E61251" w14:textId="77777777" w:rsidR="00525AEA" w:rsidRPr="002A7F8D" w:rsidRDefault="00FB10DC" w:rsidP="002A7F8D">
      <w:pPr>
        <w:pStyle w:val="Heading3"/>
        <w:jc w:val="left"/>
        <w:rPr>
          <w:rFonts w:ascii="Arial" w:hAnsi="Arial" w:cs="Arial"/>
          <w:color w:val="000000" w:themeColor="text1"/>
        </w:rPr>
      </w:pPr>
      <w:r w:rsidRPr="002A7F8D">
        <w:rPr>
          <w:rFonts w:ascii="Arial" w:hAnsi="Arial" w:cs="Arial"/>
          <w:color w:val="000000" w:themeColor="text1"/>
        </w:rPr>
        <w:lastRenderedPageBreak/>
        <w:t xml:space="preserve">5.2.3 – Recommendation 3 </w:t>
      </w:r>
    </w:p>
    <w:p w14:paraId="64288262" w14:textId="2DB989BE" w:rsidR="00525AEA" w:rsidRPr="002A7F8D" w:rsidRDefault="00525AEA" w:rsidP="002A7F8D">
      <w:pPr>
        <w:pStyle w:val="Heading3"/>
        <w:jc w:val="left"/>
        <w:rPr>
          <w:rFonts w:ascii="Arial" w:eastAsia="Times New Roman" w:hAnsi="Arial" w:cs="Arial"/>
          <w:color w:val="000000"/>
          <w:sz w:val="27"/>
          <w:szCs w:val="27"/>
          <w:lang w:eastAsia="en-GB"/>
        </w:rPr>
      </w:pPr>
      <w:r w:rsidRPr="002A7F8D">
        <w:rPr>
          <w:rStyle w:val="Strong"/>
          <w:rFonts w:ascii="Arial" w:hAnsi="Arial" w:cs="Arial"/>
          <w:b w:val="0"/>
          <w:bCs w:val="0"/>
          <w:color w:val="000000"/>
        </w:rPr>
        <w:t>Develop a long-term workforce strategy to strengthen domestic recruitment and workforce sustainability</w:t>
      </w:r>
    </w:p>
    <w:p w14:paraId="1B5E724E" w14:textId="34BBDFFF" w:rsidR="00E22FA2" w:rsidRPr="00E22FA2" w:rsidRDefault="00E22FA2" w:rsidP="00E22FA2">
      <w:pPr>
        <w:pStyle w:val="NormalWeb"/>
        <w:spacing w:line="360" w:lineRule="auto"/>
        <w:rPr>
          <w:rFonts w:ascii="Arial" w:hAnsi="Arial" w:cs="Arial"/>
          <w:color w:val="000000"/>
          <w:sz w:val="22"/>
          <w:szCs w:val="22"/>
        </w:rPr>
      </w:pPr>
      <w:r w:rsidRPr="00E22FA2">
        <w:rPr>
          <w:rFonts w:ascii="Arial" w:hAnsi="Arial" w:cs="Arial"/>
          <w:color w:val="000000"/>
          <w:sz w:val="22"/>
          <w:szCs w:val="22"/>
        </w:rPr>
        <w:t>The findings of this dissertation suggest that greater investment in long-term workforce planning is essential to reduce the adult social care (ASC) sector's continued reliance on international recruitment. While migrant workers make an important contribution to addressing workforce shortages, maintaining a sustainable workforce requires greater emphasis on attracting, developing and retaining the domestic workforce. Policymakers should collaborate with education providers, local authorities and ASC organisations to strengthen domestic recruitment pathways, expand training opportunities and promote adult social care as a rewarding and fulfilling long-term career. Investing in the domestic workforce would strengthen workforce resilience while reducing the sector's vulnerability to future changes in immigration policy and international labour market trends.</w:t>
      </w:r>
      <w:r w:rsidR="006A058A">
        <w:rPr>
          <w:rFonts w:ascii="Arial" w:hAnsi="Arial" w:cs="Arial"/>
          <w:color w:val="000000"/>
          <w:sz w:val="22"/>
          <w:szCs w:val="22"/>
        </w:rPr>
        <w:t xml:space="preserve"> </w:t>
      </w:r>
      <w:r w:rsidR="003A3AD3" w:rsidRPr="001B2038">
        <w:rPr>
          <w:rFonts w:ascii="Arial" w:hAnsi="Arial" w:cs="Arial"/>
          <w:color w:val="EE0000"/>
          <w:sz w:val="22"/>
          <w:szCs w:val="22"/>
        </w:rPr>
        <w:t xml:space="preserve">Skills for Care </w:t>
      </w:r>
      <w:r w:rsidR="003A3AD3" w:rsidRPr="001B2038">
        <w:rPr>
          <w:rFonts w:ascii="Arial" w:hAnsi="Arial" w:cs="Arial"/>
          <w:color w:val="EE0000"/>
          <w:sz w:val="22"/>
          <w:szCs w:val="22"/>
        </w:rPr>
        <w:t>(</w:t>
      </w:r>
      <w:r w:rsidR="003A3AD3" w:rsidRPr="001B2038">
        <w:rPr>
          <w:rFonts w:ascii="Arial" w:hAnsi="Arial" w:cs="Arial"/>
          <w:color w:val="EE0000"/>
          <w:sz w:val="22"/>
          <w:szCs w:val="22"/>
        </w:rPr>
        <w:t>2025)</w:t>
      </w:r>
      <w:r w:rsidR="006A058A" w:rsidRPr="001B2038">
        <w:rPr>
          <w:rFonts w:ascii="Arial" w:hAnsi="Arial" w:cs="Arial"/>
          <w:color w:val="EE0000"/>
          <w:sz w:val="22"/>
          <w:szCs w:val="22"/>
        </w:rPr>
        <w:t xml:space="preserve"> </w:t>
      </w:r>
      <w:r w:rsidRPr="00E22FA2">
        <w:rPr>
          <w:rFonts w:ascii="Arial" w:hAnsi="Arial" w:cs="Arial"/>
          <w:color w:val="000000"/>
          <w:sz w:val="22"/>
          <w:szCs w:val="22"/>
        </w:rPr>
        <w:t>highlights the importance of strengthening domestic recruitment and developing a long-term workforce strategy to reduce reliance on international recruitment.</w:t>
      </w:r>
    </w:p>
    <w:p w14:paraId="1847692B" w14:textId="3A4DEDB4" w:rsidR="00525AEA" w:rsidRPr="00E048E0" w:rsidRDefault="00525AEA" w:rsidP="00E048E0">
      <w:pPr>
        <w:pStyle w:val="NormalWeb"/>
        <w:spacing w:line="360" w:lineRule="auto"/>
        <w:rPr>
          <w:rFonts w:ascii="Arial" w:hAnsi="Arial" w:cs="Arial"/>
          <w:color w:val="000000"/>
          <w:sz w:val="22"/>
          <w:szCs w:val="22"/>
        </w:rPr>
      </w:pPr>
      <w:r w:rsidRPr="00E048E0">
        <w:rPr>
          <w:rFonts w:ascii="Arial" w:hAnsi="Arial" w:cs="Arial"/>
          <w:color w:val="000000"/>
          <w:sz w:val="22"/>
          <w:szCs w:val="22"/>
        </w:rPr>
        <w:t>A major barrier to implementing this recommendation is the long-standing underinvestment in the ASC workforce, together with ongoing recruitment difficulties and increasing demand for care services. Negative perceptions of careers in adult social care, limited opportunities for career progression and comparatively low pay continue to reduce the attractiveness of the sector, making it difficult to recruit and retain domestic workers. These challenges may limit the effectiveness of long-term workforce planning if they are not addressed alongside broader workforce reforms.</w:t>
      </w:r>
      <w:r w:rsidR="00E048E0" w:rsidRPr="00E048E0">
        <w:rPr>
          <w:rFonts w:ascii="Arial" w:hAnsi="Arial" w:cs="Arial"/>
          <w:color w:val="000000"/>
          <w:sz w:val="22"/>
          <w:szCs w:val="22"/>
        </w:rPr>
        <w:t xml:space="preserve"> </w:t>
      </w:r>
      <w:r w:rsidR="00E048E0" w:rsidRPr="00E048E0">
        <w:rPr>
          <w:rFonts w:ascii="Arial" w:hAnsi="Arial" w:cs="Arial"/>
          <w:color w:val="000000"/>
          <w:sz w:val="22"/>
          <w:szCs w:val="22"/>
        </w:rPr>
        <w:t xml:space="preserve">According to </w:t>
      </w:r>
      <w:r w:rsidR="00E048E0" w:rsidRPr="00406A83">
        <w:rPr>
          <w:rFonts w:ascii="Arial" w:hAnsi="Arial" w:cs="Arial"/>
          <w:color w:val="EE0000"/>
          <w:sz w:val="22"/>
          <w:szCs w:val="22"/>
        </w:rPr>
        <w:t xml:space="preserve">Fisher and Foster (2025), </w:t>
      </w:r>
      <w:r w:rsidR="00E048E0" w:rsidRPr="00E048E0">
        <w:rPr>
          <w:rFonts w:ascii="Arial" w:hAnsi="Arial" w:cs="Arial"/>
          <w:color w:val="000000"/>
          <w:sz w:val="22"/>
          <w:szCs w:val="22"/>
        </w:rPr>
        <w:t>persistently low pay, insecure working conditions, and workforce fragmentation continue to affect recruitment, retention, and long-term sustainability in the ASC sector.</w:t>
      </w:r>
    </w:p>
    <w:p w14:paraId="52DA0AAD" w14:textId="77777777" w:rsidR="008D171C" w:rsidRDefault="00C173A2" w:rsidP="008D171C">
      <w:pPr>
        <w:jc w:val="left"/>
        <w:rPr>
          <w:rFonts w:ascii="Arial" w:hAnsi="Arial" w:cs="Arial"/>
        </w:rPr>
      </w:pPr>
      <w:r w:rsidRPr="00C756BA">
        <w:rPr>
          <w:rFonts w:ascii="Arial" w:hAnsi="Arial" w:cs="Arial"/>
          <w:color w:val="000000"/>
        </w:rPr>
        <w:t xml:space="preserve">These barriers could be addressed through increased government investment, improved workforce planning and greater collaboration between policymakers, education providers and ASC organisations. Expanding apprenticeships, strengthening partnerships with further and higher education institutions, and improving career progression opportunities may encourage more individuals to enter and remain within the sector. </w:t>
      </w:r>
      <w:r w:rsidR="003A4B0B" w:rsidRPr="002F6459">
        <w:rPr>
          <w:rFonts w:ascii="Arial" w:hAnsi="Arial" w:cs="Arial"/>
          <w:color w:val="EE0000"/>
        </w:rPr>
        <w:t xml:space="preserve">Skills for Care (2025) </w:t>
      </w:r>
      <w:r w:rsidR="003A4B0B" w:rsidRPr="003A4B0B">
        <w:rPr>
          <w:rFonts w:ascii="Arial" w:hAnsi="Arial" w:cs="Arial"/>
          <w:color w:val="000000"/>
        </w:rPr>
        <w:t>highlights the importance of improving education pathways, workforce planning, and career development in order to establish a sustainable ASC workforce.</w:t>
      </w:r>
      <w:r w:rsidR="002A40F8">
        <w:rPr>
          <w:rFonts w:ascii="Arial" w:hAnsi="Arial" w:cs="Arial"/>
          <w:color w:val="000000"/>
        </w:rPr>
        <w:t xml:space="preserve"> </w:t>
      </w:r>
      <w:r w:rsidRPr="003A4B0B">
        <w:rPr>
          <w:rFonts w:ascii="Arial" w:hAnsi="Arial" w:cs="Arial"/>
          <w:color w:val="000000"/>
        </w:rPr>
        <w:t>Collectively, these initiatives would help to build</w:t>
      </w:r>
      <w:r w:rsidRPr="00C756BA">
        <w:rPr>
          <w:rFonts w:ascii="Arial" w:hAnsi="Arial" w:cs="Arial"/>
          <w:color w:val="000000"/>
        </w:rPr>
        <w:t xml:space="preserve"> a more resilient, skilled and sustainable ASC workforce that is better equipped to meet future demand</w:t>
      </w:r>
      <w:r w:rsidR="003702EB">
        <w:rPr>
          <w:rFonts w:ascii="Arial" w:hAnsi="Arial" w:cs="Arial"/>
          <w:color w:val="000000"/>
        </w:rPr>
        <w:t>.</w:t>
      </w:r>
    </w:p>
    <w:p w14:paraId="7FA8FE41" w14:textId="665B2CFE" w:rsidR="00C70E6C" w:rsidRPr="008D171C" w:rsidRDefault="00C70E6C" w:rsidP="008D171C">
      <w:pPr>
        <w:jc w:val="left"/>
        <w:rPr>
          <w:rFonts w:ascii="Arial" w:hAnsi="Arial" w:cs="Arial"/>
        </w:rPr>
      </w:pPr>
      <w:r w:rsidRPr="00CB660B">
        <w:rPr>
          <w:rFonts w:ascii="Arial" w:hAnsi="Arial" w:cs="Arial"/>
          <w:b/>
          <w:bCs/>
          <w:sz w:val="28"/>
          <w:szCs w:val="28"/>
        </w:rPr>
        <w:lastRenderedPageBreak/>
        <w:t>References</w:t>
      </w:r>
    </w:p>
    <w:p w14:paraId="55A1B476" w14:textId="77777777" w:rsidR="009500B9" w:rsidRPr="009500B9" w:rsidRDefault="009500B9" w:rsidP="009500B9">
      <w:pPr>
        <w:spacing w:after="0"/>
        <w:jc w:val="left"/>
        <w:rPr>
          <w:rFonts w:ascii="Arial" w:eastAsia="Times New Roman" w:hAnsi="Arial" w:cs="Arial"/>
          <w:color w:val="141413"/>
          <w:kern w:val="0"/>
          <w:lang w:eastAsia="en-GB"/>
          <w14:ligatures w14:val="none"/>
        </w:rPr>
      </w:pPr>
      <w:r w:rsidRPr="009500B9">
        <w:rPr>
          <w:rFonts w:ascii="Arial" w:eastAsia="Times New Roman" w:hAnsi="Arial" w:cs="Arial"/>
          <w:color w:val="141413"/>
          <w:kern w:val="0"/>
          <w:lang w:eastAsia="en-GB"/>
          <w14:ligatures w14:val="none"/>
        </w:rPr>
        <w:t>Arfeen Z, Nash E, Rashid MA (2025) Reliance on migrant healthcare workers in the</w:t>
      </w:r>
    </w:p>
    <w:p w14:paraId="3794F373" w14:textId="77777777" w:rsidR="009500B9" w:rsidRPr="00A76933" w:rsidRDefault="009500B9" w:rsidP="009500B9">
      <w:pPr>
        <w:spacing w:after="0"/>
        <w:jc w:val="left"/>
        <w:rPr>
          <w:rFonts w:ascii="Arial" w:eastAsia="Times New Roman" w:hAnsi="Arial" w:cs="Arial"/>
          <w:color w:val="141413"/>
          <w:kern w:val="0"/>
          <w:lang w:eastAsia="en-GB"/>
          <w14:ligatures w14:val="none"/>
        </w:rPr>
      </w:pPr>
      <w:r w:rsidRPr="00A76933">
        <w:rPr>
          <w:rFonts w:ascii="Arial" w:eastAsia="Times New Roman" w:hAnsi="Arial" w:cs="Arial"/>
          <w:color w:val="141413"/>
          <w:kern w:val="0"/>
          <w:lang w:eastAsia="en-GB"/>
          <w14:ligatures w14:val="none"/>
        </w:rPr>
        <w:t>United Kingdom: A critical discourse analysis. PLOS Glob Public Health 5(9): e0005141.</w:t>
      </w:r>
    </w:p>
    <w:p w14:paraId="684C61C9" w14:textId="5DF37AFE" w:rsidR="009500B9" w:rsidRPr="006602B4" w:rsidRDefault="009500B9" w:rsidP="009500B9">
      <w:pPr>
        <w:spacing w:after="0"/>
        <w:jc w:val="left"/>
        <w:rPr>
          <w:rFonts w:ascii="Arial" w:eastAsia="Times New Roman" w:hAnsi="Arial" w:cs="Arial"/>
          <w:color w:val="EE0000"/>
          <w:kern w:val="0"/>
          <w:lang w:eastAsia="en-GB"/>
          <w14:ligatures w14:val="none"/>
        </w:rPr>
      </w:pPr>
      <w:hyperlink r:id="rId10" w:history="1">
        <w:r w:rsidRPr="00A76933">
          <w:rPr>
            <w:rStyle w:val="Hyperlink"/>
            <w:rFonts w:ascii="Arial" w:eastAsia="Times New Roman" w:hAnsi="Arial" w:cs="Arial"/>
            <w:kern w:val="0"/>
            <w:lang w:eastAsia="en-GB"/>
            <w14:ligatures w14:val="none"/>
          </w:rPr>
          <w:t>https://doi.org/10.1371/journal.pgph.0005141</w:t>
        </w:r>
      </w:hyperlink>
      <w:r w:rsidRPr="00A76933">
        <w:rPr>
          <w:rFonts w:ascii="Arial" w:eastAsia="Times New Roman" w:hAnsi="Arial" w:cs="Arial"/>
          <w:color w:val="2F4785"/>
          <w:kern w:val="0"/>
          <w:lang w:eastAsia="en-GB"/>
          <w14:ligatures w14:val="none"/>
        </w:rPr>
        <w:t xml:space="preserve"> </w:t>
      </w:r>
      <w:r>
        <w:rPr>
          <w:rFonts w:ascii="Arial" w:eastAsia="Times New Roman" w:hAnsi="Arial" w:cs="Arial"/>
          <w:color w:val="2F4785"/>
          <w:kern w:val="0"/>
          <w:lang w:eastAsia="en-GB"/>
          <w14:ligatures w14:val="none"/>
        </w:rPr>
        <w:t xml:space="preserve">  </w:t>
      </w:r>
      <w:r w:rsidR="006602B4" w:rsidRPr="006602B4">
        <w:rPr>
          <w:rFonts w:ascii="Arial" w:eastAsia="Times New Roman" w:hAnsi="Arial" w:cs="Arial"/>
          <w:color w:val="EE0000"/>
          <w:kern w:val="0"/>
          <w:lang w:eastAsia="en-GB"/>
          <w14:ligatures w14:val="none"/>
        </w:rPr>
        <w:t>Paper 1</w:t>
      </w:r>
    </w:p>
    <w:p w14:paraId="64389406" w14:textId="77777777" w:rsidR="009500B9" w:rsidRPr="00A76933" w:rsidRDefault="009500B9" w:rsidP="009500B9">
      <w:pPr>
        <w:spacing w:after="0"/>
        <w:jc w:val="left"/>
        <w:rPr>
          <w:rFonts w:ascii="Arial" w:eastAsia="Times New Roman" w:hAnsi="Arial" w:cs="Arial"/>
          <w:color w:val="2F4785"/>
          <w:kern w:val="0"/>
          <w:lang w:eastAsia="en-GB"/>
          <w14:ligatures w14:val="none"/>
        </w:rPr>
      </w:pPr>
    </w:p>
    <w:p w14:paraId="112EEE2A" w14:textId="77777777" w:rsidR="00C70E6C" w:rsidRDefault="00C70E6C" w:rsidP="00C70E6C">
      <w:pPr>
        <w:rPr>
          <w:rStyle w:val="eop"/>
          <w:rFonts w:ascii="Arial" w:eastAsiaTheme="majorEastAsia" w:hAnsi="Arial" w:cs="Arial"/>
        </w:rPr>
      </w:pPr>
      <w:r w:rsidRPr="00A86724">
        <w:rPr>
          <w:rStyle w:val="normaltextrun"/>
          <w:rFonts w:ascii="Arial" w:eastAsiaTheme="majorEastAsia" w:hAnsi="Arial" w:cs="Arial"/>
        </w:rPr>
        <w:t>Al-Btoush, A. and El-Bcheraoui, C. (2024) ‘Challenges affecting migrant healthcare workers while adjusting to new healthcare environments: a scoping review’,</w:t>
      </w:r>
      <w:r w:rsidRPr="00A86724">
        <w:rPr>
          <w:rStyle w:val="apple-converted-space"/>
          <w:rFonts w:ascii="Arial" w:eastAsiaTheme="majorEastAsia" w:hAnsi="Arial" w:cs="Arial"/>
        </w:rPr>
        <w:t> </w:t>
      </w:r>
      <w:r w:rsidRPr="00A86724">
        <w:rPr>
          <w:rStyle w:val="normaltextrun"/>
          <w:rFonts w:ascii="Arial" w:eastAsiaTheme="majorEastAsia" w:hAnsi="Arial" w:cs="Arial"/>
          <w:i/>
          <w:iCs/>
        </w:rPr>
        <w:t>Human Resources for Health</w:t>
      </w:r>
      <w:r w:rsidRPr="00A86724">
        <w:rPr>
          <w:rStyle w:val="normaltextrun"/>
          <w:rFonts w:ascii="Arial" w:eastAsiaTheme="majorEastAsia" w:hAnsi="Arial" w:cs="Arial"/>
        </w:rPr>
        <w:t>, 22(1), p. 56.</w:t>
      </w:r>
      <w:r w:rsidRPr="00A86724">
        <w:rPr>
          <w:rStyle w:val="eop"/>
          <w:rFonts w:ascii="Arial" w:eastAsiaTheme="majorEastAsia" w:hAnsi="Arial" w:cs="Arial"/>
        </w:rPr>
        <w:t> </w:t>
      </w:r>
    </w:p>
    <w:p w14:paraId="479A6191" w14:textId="2DBC2B8D" w:rsidR="00AC7F00" w:rsidRPr="008D3A19" w:rsidRDefault="00AC7F00" w:rsidP="00AC7F00">
      <w:pPr>
        <w:jc w:val="left"/>
        <w:rPr>
          <w:rFonts w:ascii="Arial" w:hAnsi="Arial" w:cs="Arial"/>
          <w:b/>
          <w:bCs/>
          <w:color w:val="EE0000"/>
        </w:rPr>
      </w:pPr>
      <w:r w:rsidRPr="00AC7F00">
        <w:rPr>
          <w:rFonts w:ascii="Arial" w:hAnsi="Arial" w:cs="Arial"/>
          <w:color w:val="000000"/>
        </w:rPr>
        <w:t>Agbonmwandolor, J.O., Chaloner, J., Gogoi, M., Qureshi, I., Al-Oraibi, A., Ekezie, W., Reilly, H., Wobi, F., Nellums, L.B. and Pareek, M. (2024) ‘Coping strategies used by migrant healthcare workers to support their mental health during COVID-19 in the United Kingdom: a qualitative analysis’,</w:t>
      </w:r>
      <w:r w:rsidRPr="00AC7F00">
        <w:rPr>
          <w:rStyle w:val="apple-converted-space"/>
          <w:rFonts w:ascii="Arial" w:hAnsi="Arial" w:cs="Arial"/>
          <w:color w:val="000000"/>
        </w:rPr>
        <w:t> </w:t>
      </w:r>
      <w:r w:rsidRPr="00AC7F00">
        <w:rPr>
          <w:rStyle w:val="Emphasis"/>
          <w:rFonts w:ascii="Arial" w:hAnsi="Arial" w:cs="Arial"/>
          <w:color w:val="000000"/>
        </w:rPr>
        <w:t>European Journal of Psychotraumatology</w:t>
      </w:r>
      <w:r w:rsidRPr="00AC7F00">
        <w:rPr>
          <w:rFonts w:ascii="Arial" w:hAnsi="Arial" w:cs="Arial"/>
          <w:color w:val="000000"/>
        </w:rPr>
        <w:t>, 15(1), p. 2415747.</w:t>
      </w:r>
      <w:r w:rsidR="00072933">
        <w:rPr>
          <w:rFonts w:ascii="Arial" w:hAnsi="Arial" w:cs="Arial"/>
          <w:color w:val="000000"/>
        </w:rPr>
        <w:t xml:space="preserve"> </w:t>
      </w:r>
      <w:r w:rsidR="00072933" w:rsidRPr="0026497E">
        <w:rPr>
          <w:rFonts w:ascii="Arial" w:hAnsi="Arial" w:cs="Arial"/>
          <w:color w:val="000000"/>
        </w:rPr>
        <w:t>Available at:</w:t>
      </w:r>
      <w:r w:rsidRPr="00AC7F00">
        <w:rPr>
          <w:rStyle w:val="apple-converted-space"/>
          <w:rFonts w:ascii="Arial" w:hAnsi="Arial" w:cs="Arial"/>
          <w:color w:val="000000"/>
        </w:rPr>
        <w:t> </w:t>
      </w:r>
      <w:hyperlink r:id="rId11" w:tgtFrame="_new" w:history="1">
        <w:r w:rsidRPr="00AC7F00">
          <w:rPr>
            <w:rStyle w:val="Hyperlink"/>
            <w:rFonts w:ascii="Arial" w:hAnsi="Arial" w:cs="Arial"/>
          </w:rPr>
          <w:t>https://doi.org/10.1080/20008066.2024.2415747</w:t>
        </w:r>
      </w:hyperlink>
      <w:r>
        <w:t xml:space="preserve"> </w:t>
      </w:r>
      <w:r w:rsidRPr="008D3A19">
        <w:rPr>
          <w:color w:val="EE0000"/>
        </w:rPr>
        <w:t>Paper 6</w:t>
      </w:r>
    </w:p>
    <w:p w14:paraId="1BCCB3BA" w14:textId="45D7231B" w:rsidR="00E55222" w:rsidRDefault="00E55222" w:rsidP="00977ED6">
      <w:pPr>
        <w:pStyle w:val="NormalWeb"/>
        <w:spacing w:line="360" w:lineRule="auto"/>
        <w:rPr>
          <w:rFonts w:ascii="Arial" w:hAnsi="Arial" w:cs="Arial"/>
          <w:color w:val="000000"/>
          <w:sz w:val="22"/>
          <w:szCs w:val="22"/>
        </w:rPr>
      </w:pPr>
      <w:r w:rsidRPr="00977ED6">
        <w:rPr>
          <w:rFonts w:ascii="Arial" w:hAnsi="Arial" w:cs="Arial"/>
          <w:color w:val="000000"/>
          <w:sz w:val="22"/>
          <w:szCs w:val="22"/>
        </w:rPr>
        <w:t>Aveyard, H., Greenway, K. and Parsons, L. (2023)</w:t>
      </w:r>
      <w:r w:rsidRPr="00977ED6">
        <w:rPr>
          <w:rStyle w:val="apple-converted-space"/>
          <w:rFonts w:ascii="Arial" w:hAnsi="Arial" w:cs="Arial"/>
          <w:color w:val="000000"/>
          <w:sz w:val="22"/>
          <w:szCs w:val="22"/>
        </w:rPr>
        <w:t> </w:t>
      </w:r>
      <w:r w:rsidRPr="00977ED6">
        <w:rPr>
          <w:rStyle w:val="Emphasis"/>
          <w:rFonts w:ascii="Arial" w:hAnsi="Arial" w:cs="Arial"/>
          <w:color w:val="000000"/>
          <w:sz w:val="22"/>
          <w:szCs w:val="22"/>
        </w:rPr>
        <w:t>A beginner's guide to evidence-based practice in health and social care</w:t>
      </w:r>
      <w:r w:rsidRPr="00977ED6">
        <w:rPr>
          <w:rFonts w:ascii="Arial" w:hAnsi="Arial" w:cs="Arial"/>
          <w:color w:val="000000"/>
          <w:sz w:val="22"/>
          <w:szCs w:val="22"/>
        </w:rPr>
        <w:t>. 4th edn. London: Open University Press</w:t>
      </w:r>
      <w:r w:rsidR="00DE48F3">
        <w:rPr>
          <w:rFonts w:ascii="Arial" w:hAnsi="Arial" w:cs="Arial"/>
          <w:color w:val="000000"/>
          <w:sz w:val="22"/>
          <w:szCs w:val="22"/>
        </w:rPr>
        <w:t>.</w:t>
      </w:r>
    </w:p>
    <w:p w14:paraId="42FECF44" w14:textId="77777777" w:rsidR="00921C06" w:rsidRPr="00117F3E" w:rsidRDefault="0026497E" w:rsidP="00921C06">
      <w:pPr>
        <w:jc w:val="left"/>
        <w:rPr>
          <w:rStyle w:val="apple-converted-space"/>
          <w:rFonts w:ascii="Arial" w:hAnsi="Arial" w:cs="Arial"/>
          <w:color w:val="000000"/>
        </w:rPr>
      </w:pPr>
      <w:r w:rsidRPr="0026497E">
        <w:rPr>
          <w:rStyle w:val="Strong"/>
          <w:rFonts w:ascii="Arial" w:hAnsi="Arial" w:cs="Arial"/>
          <w:b w:val="0"/>
          <w:bCs w:val="0"/>
          <w:color w:val="000000"/>
        </w:rPr>
        <w:t>Alkhateeb, M., Althabaiti, K., Ahmed, S., Lövestad, S. and Khan, J. (2025)</w:t>
      </w:r>
      <w:r w:rsidRPr="0026497E">
        <w:rPr>
          <w:rStyle w:val="apple-converted-space"/>
          <w:rFonts w:ascii="Arial" w:hAnsi="Arial" w:cs="Arial"/>
          <w:b/>
          <w:bCs/>
          <w:color w:val="000000"/>
        </w:rPr>
        <w:t> </w:t>
      </w:r>
      <w:r w:rsidRPr="0026497E">
        <w:rPr>
          <w:rFonts w:ascii="Arial" w:hAnsi="Arial" w:cs="Arial"/>
          <w:color w:val="000000"/>
        </w:rPr>
        <w:t>‘A systematic review of the determinants of job satisfaction in healthcare workers in health facilities in Gulf Cooperation Council countries’,</w:t>
      </w:r>
      <w:r w:rsidRPr="0026497E">
        <w:rPr>
          <w:rStyle w:val="apple-converted-space"/>
          <w:rFonts w:ascii="Arial" w:hAnsi="Arial" w:cs="Arial"/>
          <w:color w:val="000000"/>
        </w:rPr>
        <w:t> </w:t>
      </w:r>
      <w:r w:rsidRPr="0026497E">
        <w:rPr>
          <w:rStyle w:val="Emphasis"/>
          <w:rFonts w:ascii="Arial" w:hAnsi="Arial" w:cs="Arial"/>
          <w:color w:val="000000"/>
        </w:rPr>
        <w:t>Global Health Action</w:t>
      </w:r>
      <w:r w:rsidRPr="0026497E">
        <w:rPr>
          <w:rFonts w:ascii="Arial" w:hAnsi="Arial" w:cs="Arial"/>
          <w:color w:val="000000"/>
        </w:rPr>
        <w:t>,</w:t>
      </w:r>
      <w:r w:rsidRPr="0026497E">
        <w:rPr>
          <w:rStyle w:val="apple-converted-space"/>
          <w:rFonts w:ascii="Arial" w:hAnsi="Arial" w:cs="Arial"/>
          <w:color w:val="000000"/>
        </w:rPr>
        <w:t> </w:t>
      </w:r>
      <w:r w:rsidRPr="0026497E">
        <w:rPr>
          <w:rStyle w:val="Strong"/>
          <w:rFonts w:ascii="Arial" w:hAnsi="Arial" w:cs="Arial"/>
          <w:b w:val="0"/>
          <w:bCs w:val="0"/>
          <w:color w:val="000000"/>
        </w:rPr>
        <w:t>18</w:t>
      </w:r>
      <w:r w:rsidRPr="0026497E">
        <w:rPr>
          <w:rFonts w:ascii="Arial" w:hAnsi="Arial" w:cs="Arial"/>
          <w:color w:val="000000"/>
        </w:rPr>
        <w:t>(1), Article 2479910. Available at:</w:t>
      </w:r>
      <w:r w:rsidRPr="0026497E">
        <w:rPr>
          <w:rStyle w:val="apple-converted-space"/>
          <w:rFonts w:ascii="Arial" w:hAnsi="Arial" w:cs="Arial"/>
          <w:color w:val="000000"/>
        </w:rPr>
        <w:t> </w:t>
      </w:r>
      <w:hyperlink r:id="rId12" w:history="1">
        <w:r w:rsidRPr="001254F0">
          <w:rPr>
            <w:rStyle w:val="Hyperlink"/>
            <w:rFonts w:ascii="Arial" w:hAnsi="Arial" w:cs="Arial"/>
          </w:rPr>
          <w:t>https://doi.org/10.1080/16549716.2025.2479910</w:t>
        </w:r>
      </w:hyperlink>
      <w:r w:rsidR="00921C06">
        <w:rPr>
          <w:rFonts w:ascii="Arial" w:hAnsi="Arial" w:cs="Arial"/>
          <w:color w:val="000000"/>
        </w:rPr>
        <w:t xml:space="preserve"> </w:t>
      </w:r>
      <w:r w:rsidR="00921C06" w:rsidRPr="00117F3E">
        <w:rPr>
          <w:rFonts w:ascii="Arial" w:hAnsi="Arial" w:cs="Arial"/>
          <w:color w:val="000000"/>
        </w:rPr>
        <w:t>(Accessed: 18 June 2026).</w:t>
      </w:r>
      <w:r w:rsidR="00921C06" w:rsidRPr="00117F3E">
        <w:rPr>
          <w:rStyle w:val="apple-converted-space"/>
          <w:rFonts w:ascii="Arial" w:hAnsi="Arial" w:cs="Arial"/>
          <w:color w:val="000000"/>
        </w:rPr>
        <w:t> </w:t>
      </w:r>
    </w:p>
    <w:p w14:paraId="3CD43E83" w14:textId="5E54ECF9" w:rsidR="00290F1C" w:rsidRPr="00290F1C" w:rsidRDefault="00290F1C" w:rsidP="00977ED6">
      <w:pPr>
        <w:pStyle w:val="NormalWeb"/>
        <w:spacing w:line="360" w:lineRule="auto"/>
        <w:rPr>
          <w:rFonts w:ascii="Arial" w:hAnsi="Arial" w:cs="Arial"/>
          <w:color w:val="000000"/>
          <w:sz w:val="22"/>
          <w:szCs w:val="22"/>
        </w:rPr>
      </w:pPr>
      <w:r w:rsidRPr="00290F1C">
        <w:rPr>
          <w:rFonts w:ascii="Arial" w:hAnsi="Arial" w:cs="Arial"/>
          <w:color w:val="000000"/>
          <w:sz w:val="22"/>
          <w:szCs w:val="22"/>
        </w:rPr>
        <w:t>Alkan, E., Cushen-Brewster, N. and Anyanwu, P. (2024) ‘Organisational factors associated with healthcare workforce development, recruitment, and retention in the United Kingdom: a systematic review’,</w:t>
      </w:r>
      <w:r w:rsidRPr="00290F1C">
        <w:rPr>
          <w:rStyle w:val="apple-converted-space"/>
          <w:rFonts w:ascii="Arial" w:hAnsi="Arial" w:cs="Arial"/>
          <w:color w:val="000000"/>
          <w:sz w:val="22"/>
          <w:szCs w:val="22"/>
        </w:rPr>
        <w:t> </w:t>
      </w:r>
      <w:r w:rsidRPr="00290F1C">
        <w:rPr>
          <w:rStyle w:val="Emphasis"/>
          <w:rFonts w:ascii="Arial" w:hAnsi="Arial" w:cs="Arial"/>
          <w:color w:val="000000"/>
          <w:sz w:val="22"/>
          <w:szCs w:val="22"/>
        </w:rPr>
        <w:t>BMC Nursing</w:t>
      </w:r>
      <w:r w:rsidRPr="00290F1C">
        <w:rPr>
          <w:rFonts w:ascii="Arial" w:hAnsi="Arial" w:cs="Arial"/>
          <w:color w:val="000000"/>
          <w:sz w:val="22"/>
          <w:szCs w:val="22"/>
        </w:rPr>
        <w:t>,</w:t>
      </w:r>
      <w:r w:rsidRPr="00290F1C">
        <w:rPr>
          <w:rStyle w:val="apple-converted-space"/>
          <w:rFonts w:ascii="Arial" w:hAnsi="Arial" w:cs="Arial"/>
          <w:color w:val="000000"/>
          <w:sz w:val="22"/>
          <w:szCs w:val="22"/>
        </w:rPr>
        <w:t> </w:t>
      </w:r>
      <w:r w:rsidRPr="00290F1C">
        <w:rPr>
          <w:rStyle w:val="Strong"/>
          <w:rFonts w:ascii="Arial" w:hAnsi="Arial" w:cs="Arial"/>
          <w:b w:val="0"/>
          <w:bCs w:val="0"/>
          <w:color w:val="000000"/>
          <w:sz w:val="22"/>
          <w:szCs w:val="22"/>
        </w:rPr>
        <w:t>23</w:t>
      </w:r>
      <w:r w:rsidRPr="00290F1C">
        <w:rPr>
          <w:rFonts w:ascii="Arial" w:hAnsi="Arial" w:cs="Arial"/>
          <w:color w:val="000000"/>
          <w:sz w:val="22"/>
          <w:szCs w:val="22"/>
        </w:rPr>
        <w:t>(1), p. 604.</w:t>
      </w:r>
    </w:p>
    <w:p w14:paraId="5B82694C" w14:textId="75B08EB5" w:rsidR="00A77401" w:rsidRPr="00BC65C2" w:rsidRDefault="00A77401" w:rsidP="00977ED6">
      <w:pPr>
        <w:pStyle w:val="NormalWeb"/>
        <w:spacing w:line="360" w:lineRule="auto"/>
        <w:rPr>
          <w:rFonts w:ascii="Arial" w:hAnsi="Arial" w:cs="Arial"/>
          <w:color w:val="000000"/>
          <w:sz w:val="22"/>
          <w:szCs w:val="22"/>
        </w:rPr>
      </w:pPr>
      <w:r w:rsidRPr="00BC65C2">
        <w:rPr>
          <w:rFonts w:ascii="Arial" w:hAnsi="Arial" w:cs="Arial"/>
          <w:color w:val="000000"/>
          <w:sz w:val="22"/>
          <w:szCs w:val="22"/>
        </w:rPr>
        <w:t>Averens, T., Van den Broeck, K. and Franck, E. (2022)</w:t>
      </w:r>
      <w:r w:rsidRPr="00BC65C2">
        <w:rPr>
          <w:rStyle w:val="apple-converted-space"/>
          <w:rFonts w:ascii="Arial" w:hAnsi="Arial" w:cs="Arial"/>
          <w:color w:val="000000"/>
          <w:sz w:val="22"/>
          <w:szCs w:val="22"/>
        </w:rPr>
        <w:t> </w:t>
      </w:r>
      <w:r w:rsidRPr="00BC65C2">
        <w:rPr>
          <w:rStyle w:val="Emphasis"/>
          <w:rFonts w:ascii="Arial" w:hAnsi="Arial" w:cs="Arial"/>
          <w:color w:val="000000"/>
          <w:sz w:val="22"/>
          <w:szCs w:val="22"/>
        </w:rPr>
        <w:t>Interventions that increase job satisfaction of healthcare workers: A scoping review</w:t>
      </w:r>
      <w:r w:rsidRPr="00BC65C2">
        <w:rPr>
          <w:rFonts w:ascii="Arial" w:hAnsi="Arial" w:cs="Arial"/>
          <w:color w:val="000000"/>
          <w:sz w:val="22"/>
          <w:szCs w:val="22"/>
        </w:rPr>
        <w:t>. University of Antwerp.</w:t>
      </w:r>
    </w:p>
    <w:p w14:paraId="116343C1" w14:textId="70F11C74" w:rsidR="00117F3E" w:rsidRPr="00117F3E" w:rsidRDefault="00117F3E" w:rsidP="00DD090A">
      <w:pPr>
        <w:jc w:val="left"/>
        <w:rPr>
          <w:rStyle w:val="apple-converted-space"/>
          <w:rFonts w:ascii="Arial" w:hAnsi="Arial" w:cs="Arial"/>
          <w:color w:val="000000"/>
        </w:rPr>
      </w:pPr>
      <w:r w:rsidRPr="00117F3E">
        <w:rPr>
          <w:rFonts w:ascii="Arial" w:hAnsi="Arial" w:cs="Arial"/>
          <w:color w:val="000000"/>
        </w:rPr>
        <w:t>Birmingham City University Library (</w:t>
      </w:r>
      <w:r w:rsidR="0026703D">
        <w:rPr>
          <w:rFonts w:ascii="Arial" w:hAnsi="Arial" w:cs="Arial"/>
          <w:color w:val="000000"/>
        </w:rPr>
        <w:t>2025</w:t>
      </w:r>
      <w:r w:rsidRPr="00117F3E">
        <w:rPr>
          <w:rFonts w:ascii="Arial" w:hAnsi="Arial" w:cs="Arial"/>
          <w:color w:val="000000"/>
        </w:rPr>
        <w:t>)</w:t>
      </w:r>
      <w:r w:rsidRPr="00117F3E">
        <w:rPr>
          <w:rStyle w:val="apple-converted-space"/>
          <w:rFonts w:ascii="Arial" w:hAnsi="Arial" w:cs="Arial"/>
          <w:color w:val="000000"/>
        </w:rPr>
        <w:t> </w:t>
      </w:r>
      <w:r w:rsidRPr="00117F3E">
        <w:rPr>
          <w:rStyle w:val="Emphasis"/>
          <w:rFonts w:ascii="Arial" w:hAnsi="Arial" w:cs="Arial"/>
          <w:color w:val="000000"/>
        </w:rPr>
        <w:t>Checklist approach</w:t>
      </w:r>
      <w:r w:rsidRPr="00117F3E">
        <w:rPr>
          <w:rFonts w:ascii="Arial" w:hAnsi="Arial" w:cs="Arial"/>
          <w:color w:val="000000"/>
        </w:rPr>
        <w:t>. Available at:</w:t>
      </w:r>
      <w:r w:rsidRPr="00117F3E">
        <w:rPr>
          <w:rStyle w:val="apple-converted-space"/>
          <w:rFonts w:ascii="Arial" w:hAnsi="Arial" w:cs="Arial"/>
          <w:color w:val="000000"/>
        </w:rPr>
        <w:t> </w:t>
      </w:r>
      <w:hyperlink r:id="rId13" w:tgtFrame="_new" w:history="1">
        <w:r w:rsidRPr="00117F3E">
          <w:rPr>
            <w:rStyle w:val="Hyperlink"/>
            <w:rFonts w:ascii="Arial" w:hAnsi="Arial" w:cs="Arial"/>
          </w:rPr>
          <w:t>https://libguides.bcu.ac.uk/critical-evaluation/checklist-approach</w:t>
        </w:r>
      </w:hyperlink>
      <w:r w:rsidRPr="00117F3E">
        <w:rPr>
          <w:rStyle w:val="apple-converted-space"/>
          <w:rFonts w:ascii="Arial" w:hAnsi="Arial" w:cs="Arial"/>
          <w:color w:val="000000"/>
        </w:rPr>
        <w:t> </w:t>
      </w:r>
      <w:r w:rsidRPr="00117F3E">
        <w:rPr>
          <w:rFonts w:ascii="Arial" w:hAnsi="Arial" w:cs="Arial"/>
          <w:color w:val="000000"/>
        </w:rPr>
        <w:t>(Accessed: 18 June 2026).</w:t>
      </w:r>
      <w:r w:rsidRPr="00117F3E">
        <w:rPr>
          <w:rStyle w:val="apple-converted-space"/>
          <w:rFonts w:ascii="Arial" w:hAnsi="Arial" w:cs="Arial"/>
          <w:color w:val="000000"/>
        </w:rPr>
        <w:t> </w:t>
      </w:r>
    </w:p>
    <w:p w14:paraId="50737FF9" w14:textId="26366F94" w:rsidR="00C70E6C" w:rsidRDefault="00C70E6C" w:rsidP="00DD090A">
      <w:pPr>
        <w:jc w:val="left"/>
        <w:rPr>
          <w:rFonts w:ascii="Arial" w:hAnsi="Arial" w:cs="Arial"/>
        </w:rPr>
      </w:pPr>
      <w:r w:rsidRPr="00D74C6B">
        <w:rPr>
          <w:rFonts w:ascii="Arial" w:hAnsi="Arial" w:cs="Arial"/>
        </w:rPr>
        <w:t xml:space="preserve">Barton, C., Sturge, G. and Harker, R. (2024) </w:t>
      </w:r>
      <w:r w:rsidRPr="00D74C6B">
        <w:rPr>
          <w:rFonts w:ascii="Arial" w:hAnsi="Arial" w:cs="Arial"/>
          <w:i/>
          <w:iCs/>
        </w:rPr>
        <w:t>The UK’s changing population</w:t>
      </w:r>
      <w:r w:rsidRPr="00D74C6B">
        <w:rPr>
          <w:rFonts w:ascii="Arial" w:hAnsi="Arial" w:cs="Arial"/>
        </w:rPr>
        <w:t xml:space="preserve">. House of Commons Library. Available at: </w:t>
      </w:r>
      <w:hyperlink r:id="rId14" w:history="1">
        <w:r w:rsidRPr="00D74C6B">
          <w:rPr>
            <w:rStyle w:val="Hyperlink"/>
            <w:rFonts w:ascii="Arial" w:hAnsi="Arial" w:cs="Arial"/>
          </w:rPr>
          <w:t>https://commonslibrary.parliament.uk/the-uks-changing-population/</w:t>
        </w:r>
      </w:hyperlink>
      <w:r w:rsidRPr="00D74C6B">
        <w:rPr>
          <w:rFonts w:ascii="Arial" w:hAnsi="Arial" w:cs="Arial"/>
        </w:rPr>
        <w:t xml:space="preserve">  (Accessed: 10 March 2026).</w:t>
      </w:r>
    </w:p>
    <w:p w14:paraId="5B4470A5" w14:textId="16906A3C" w:rsidR="00FE5A87" w:rsidRPr="00A12D44" w:rsidRDefault="00FE5A87" w:rsidP="00DD090A">
      <w:pPr>
        <w:jc w:val="left"/>
        <w:rPr>
          <w:rFonts w:ascii="Arial" w:hAnsi="Arial" w:cs="Arial"/>
        </w:rPr>
      </w:pPr>
      <w:r w:rsidRPr="00A12D44">
        <w:rPr>
          <w:rFonts w:ascii="Arial" w:hAnsi="Arial" w:cs="Arial"/>
          <w:color w:val="000000"/>
        </w:rPr>
        <w:lastRenderedPageBreak/>
        <w:t>Bramer, W.M., de Jonge, G.B., Rethlefsen, M.L., Mast, F. and Kleijnen, J. (2018) ‘</w:t>
      </w:r>
      <w:r w:rsidRPr="006906D5">
        <w:rPr>
          <w:rFonts w:ascii="Arial" w:hAnsi="Arial" w:cs="Arial"/>
          <w:i/>
          <w:iCs/>
          <w:color w:val="000000"/>
        </w:rPr>
        <w:t>A systematic approach to searching: an efficient and complete method to develop literature searches’,</w:t>
      </w:r>
      <w:r w:rsidRPr="006906D5">
        <w:rPr>
          <w:rStyle w:val="apple-converted-space"/>
          <w:rFonts w:ascii="Arial" w:hAnsi="Arial" w:cs="Arial"/>
          <w:i/>
          <w:iCs/>
          <w:color w:val="000000"/>
        </w:rPr>
        <w:t> </w:t>
      </w:r>
      <w:r w:rsidRPr="00A12D44">
        <w:rPr>
          <w:rFonts w:ascii="Arial" w:hAnsi="Arial" w:cs="Arial"/>
          <w:color w:val="000000"/>
        </w:rPr>
        <w:t xml:space="preserve">106(4), pp. 531–541. </w:t>
      </w:r>
    </w:p>
    <w:p w14:paraId="549FEB84" w14:textId="0F9D05D3" w:rsidR="00985AB7" w:rsidRPr="00822A5A" w:rsidRDefault="00985AB7" w:rsidP="00822A5A">
      <w:pPr>
        <w:jc w:val="left"/>
        <w:rPr>
          <w:rFonts w:ascii="Arial" w:hAnsi="Arial" w:cs="Arial"/>
        </w:rPr>
      </w:pPr>
      <w:r w:rsidRPr="00822A5A">
        <w:rPr>
          <w:rFonts w:ascii="Arial" w:hAnsi="Arial" w:cs="Arial"/>
          <w:color w:val="000000"/>
        </w:rPr>
        <w:t>Birmingham City University (202</w:t>
      </w:r>
      <w:r w:rsidR="00904660">
        <w:rPr>
          <w:rFonts w:ascii="Arial" w:hAnsi="Arial" w:cs="Arial"/>
          <w:color w:val="000000"/>
        </w:rPr>
        <w:t>5</w:t>
      </w:r>
      <w:r w:rsidRPr="00822A5A">
        <w:rPr>
          <w:rFonts w:ascii="Arial" w:hAnsi="Arial" w:cs="Arial"/>
          <w:color w:val="000000"/>
        </w:rPr>
        <w:t>)</w:t>
      </w:r>
      <w:r w:rsidRPr="00822A5A">
        <w:rPr>
          <w:rStyle w:val="apple-converted-space"/>
          <w:rFonts w:ascii="Arial" w:hAnsi="Arial" w:cs="Arial"/>
          <w:color w:val="000000"/>
        </w:rPr>
        <w:t> </w:t>
      </w:r>
      <w:r w:rsidRPr="00822A5A">
        <w:rPr>
          <w:rStyle w:val="Emphasis"/>
          <w:rFonts w:ascii="Arial" w:hAnsi="Arial" w:cs="Arial"/>
          <w:color w:val="000000"/>
        </w:rPr>
        <w:t>AND, OR and NOT</w:t>
      </w:r>
      <w:r w:rsidRPr="00822A5A">
        <w:rPr>
          <w:rFonts w:ascii="Arial" w:hAnsi="Arial" w:cs="Arial"/>
          <w:color w:val="000000"/>
        </w:rPr>
        <w:t>. Available at:</w:t>
      </w:r>
      <w:r w:rsidRPr="00822A5A">
        <w:rPr>
          <w:rStyle w:val="apple-converted-space"/>
          <w:rFonts w:ascii="Arial" w:hAnsi="Arial" w:cs="Arial"/>
          <w:color w:val="000000"/>
        </w:rPr>
        <w:t> </w:t>
      </w:r>
      <w:hyperlink r:id="rId15" w:tgtFrame="_new" w:history="1">
        <w:r w:rsidRPr="00822A5A">
          <w:rPr>
            <w:rStyle w:val="Hyperlink"/>
            <w:rFonts w:ascii="Arial" w:hAnsi="Arial" w:cs="Arial"/>
          </w:rPr>
          <w:t>https://libguides.bcu.ac.uk/searching/boolean-operators</w:t>
        </w:r>
      </w:hyperlink>
      <w:r w:rsidRPr="00822A5A">
        <w:rPr>
          <w:rStyle w:val="apple-converted-space"/>
          <w:rFonts w:ascii="Arial" w:hAnsi="Arial" w:cs="Arial"/>
          <w:color w:val="000000"/>
        </w:rPr>
        <w:t> </w:t>
      </w:r>
      <w:r w:rsidRPr="00822A5A">
        <w:rPr>
          <w:rFonts w:ascii="Arial" w:hAnsi="Arial" w:cs="Arial"/>
          <w:color w:val="000000"/>
        </w:rPr>
        <w:t>(Accessed: 1 June 2026).</w:t>
      </w:r>
    </w:p>
    <w:p w14:paraId="7A014E91" w14:textId="77777777" w:rsidR="00C70E6C" w:rsidRDefault="00C70E6C" w:rsidP="00C70E6C">
      <w:pPr>
        <w:rPr>
          <w:rStyle w:val="apple-converted-space"/>
          <w:rFonts w:ascii="Arial" w:hAnsi="Arial" w:cs="Arial"/>
          <w:color w:val="000000"/>
        </w:rPr>
      </w:pPr>
      <w:r w:rsidRPr="00E1381B">
        <w:t>Birmingham City University (2025)</w:t>
      </w:r>
      <w:r w:rsidRPr="00E1381B">
        <w:rPr>
          <w:rStyle w:val="apple-converted-space"/>
          <w:rFonts w:ascii="Arial" w:hAnsi="Arial" w:cs="Arial"/>
          <w:color w:val="000000"/>
        </w:rPr>
        <w:t> </w:t>
      </w:r>
      <w:r w:rsidRPr="00E1381B">
        <w:rPr>
          <w:rStyle w:val="Emphasis"/>
          <w:rFonts w:ascii="Arial" w:hAnsi="Arial" w:cs="Arial"/>
          <w:color w:val="000000"/>
        </w:rPr>
        <w:t>Checklist approach to critical evaluation</w:t>
      </w:r>
      <w:r w:rsidRPr="00E1381B">
        <w:t>. Available at:</w:t>
      </w:r>
      <w:r w:rsidRPr="00E1381B">
        <w:rPr>
          <w:rStyle w:val="apple-converted-space"/>
          <w:rFonts w:ascii="Arial" w:hAnsi="Arial" w:cs="Arial"/>
          <w:color w:val="000000"/>
        </w:rPr>
        <w:t> </w:t>
      </w:r>
      <w:hyperlink r:id="rId16" w:tgtFrame="_new" w:history="1">
        <w:r w:rsidRPr="00E1381B">
          <w:rPr>
            <w:rStyle w:val="Hyperlink"/>
            <w:rFonts w:ascii="Arial" w:hAnsi="Arial" w:cs="Arial"/>
          </w:rPr>
          <w:t>https://libguides.bcu.ac.uk/critical-evaluation/checklist-approach</w:t>
        </w:r>
      </w:hyperlink>
      <w:r w:rsidRPr="00E1381B">
        <w:rPr>
          <w:rStyle w:val="apple-converted-space"/>
          <w:rFonts w:ascii="Arial" w:hAnsi="Arial" w:cs="Arial"/>
          <w:color w:val="000000"/>
        </w:rPr>
        <w:t> </w:t>
      </w:r>
      <w:r w:rsidRPr="00E1381B">
        <w:t xml:space="preserve">(Accessed: </w:t>
      </w:r>
      <w:r>
        <w:t xml:space="preserve">30 May </w:t>
      </w:r>
      <w:r w:rsidRPr="00E1381B">
        <w:t>2026).</w:t>
      </w:r>
      <w:r w:rsidRPr="00E1381B">
        <w:rPr>
          <w:rStyle w:val="apple-converted-space"/>
          <w:rFonts w:ascii="Arial" w:hAnsi="Arial" w:cs="Arial"/>
          <w:color w:val="000000"/>
        </w:rPr>
        <w:t> </w:t>
      </w:r>
    </w:p>
    <w:p w14:paraId="71459419" w14:textId="3DAEF87B" w:rsidR="009F0D4F" w:rsidRDefault="009F0D4F" w:rsidP="009F0D4F">
      <w:pPr>
        <w:jc w:val="left"/>
        <w:rPr>
          <w:rFonts w:ascii="Arial" w:hAnsi="Arial" w:cs="Arial"/>
          <w:color w:val="000000"/>
        </w:rPr>
      </w:pPr>
      <w:r w:rsidRPr="009F0D4F">
        <w:rPr>
          <w:rFonts w:ascii="Arial" w:hAnsi="Arial" w:cs="Arial"/>
          <w:color w:val="000000"/>
        </w:rPr>
        <w:t>Braun, V. and Clarke, V. (2006) ‘Using thematic analysis in psychology’,</w:t>
      </w:r>
      <w:r w:rsidRPr="009F0D4F">
        <w:rPr>
          <w:rStyle w:val="apple-converted-space"/>
          <w:rFonts w:ascii="Arial" w:hAnsi="Arial" w:cs="Arial"/>
          <w:color w:val="000000"/>
        </w:rPr>
        <w:t> </w:t>
      </w:r>
      <w:r w:rsidRPr="009F0D4F">
        <w:rPr>
          <w:rStyle w:val="Emphasis"/>
          <w:rFonts w:ascii="Arial" w:hAnsi="Arial" w:cs="Arial"/>
          <w:color w:val="000000"/>
        </w:rPr>
        <w:t>Qualitative Research in Psychology</w:t>
      </w:r>
      <w:r w:rsidRPr="009F0D4F">
        <w:rPr>
          <w:rFonts w:ascii="Arial" w:hAnsi="Arial" w:cs="Arial"/>
          <w:color w:val="000000"/>
        </w:rPr>
        <w:t>, 3(2), pp. 77–101. Available at:</w:t>
      </w:r>
      <w:r w:rsidRPr="009F0D4F">
        <w:rPr>
          <w:rStyle w:val="apple-converted-space"/>
          <w:rFonts w:ascii="Arial" w:hAnsi="Arial" w:cs="Arial"/>
          <w:color w:val="000000"/>
        </w:rPr>
        <w:t> </w:t>
      </w:r>
      <w:hyperlink r:id="rId17" w:tgtFrame="_new" w:history="1">
        <w:r w:rsidRPr="009F0D4F">
          <w:rPr>
            <w:rStyle w:val="Hyperlink"/>
            <w:rFonts w:ascii="Arial" w:hAnsi="Arial" w:cs="Arial"/>
          </w:rPr>
          <w:t>https://doi.org/10.1191/1478088706qp063oa</w:t>
        </w:r>
      </w:hyperlink>
      <w:r w:rsidRPr="009F0D4F">
        <w:rPr>
          <w:rStyle w:val="apple-converted-space"/>
          <w:rFonts w:ascii="Arial" w:hAnsi="Arial" w:cs="Arial"/>
          <w:color w:val="000000"/>
        </w:rPr>
        <w:t> </w:t>
      </w:r>
      <w:r w:rsidRPr="009F0D4F">
        <w:rPr>
          <w:rFonts w:ascii="Arial" w:hAnsi="Arial" w:cs="Arial"/>
          <w:color w:val="000000"/>
        </w:rPr>
        <w:t>(Accessed: 1 June 2026).</w:t>
      </w:r>
    </w:p>
    <w:p w14:paraId="0A802503" w14:textId="5180F8AA" w:rsidR="00344D64" w:rsidRPr="00344D64" w:rsidRDefault="00344D64" w:rsidP="009F0D4F">
      <w:pPr>
        <w:jc w:val="left"/>
        <w:rPr>
          <w:rFonts w:ascii="Arial" w:hAnsi="Arial" w:cs="Arial"/>
          <w:color w:val="000000"/>
        </w:rPr>
      </w:pPr>
      <w:r w:rsidRPr="00344D64">
        <w:rPr>
          <w:rStyle w:val="Strong"/>
          <w:rFonts w:ascii="Arial" w:hAnsi="Arial" w:cs="Arial"/>
          <w:b w:val="0"/>
          <w:bCs w:val="0"/>
          <w:color w:val="000000"/>
        </w:rPr>
        <w:t>Buchan, J., Gershlick, B., Charlesworth, A. and Seccombe, I. (2019)</w:t>
      </w:r>
      <w:r w:rsidRPr="00344D64">
        <w:rPr>
          <w:rStyle w:val="apple-converted-space"/>
          <w:rFonts w:ascii="Arial" w:hAnsi="Arial" w:cs="Arial"/>
          <w:color w:val="000000"/>
        </w:rPr>
        <w:t> </w:t>
      </w:r>
      <w:r w:rsidRPr="00344D64">
        <w:rPr>
          <w:rStyle w:val="Emphasis"/>
          <w:rFonts w:ascii="Arial" w:hAnsi="Arial" w:cs="Arial"/>
          <w:color w:val="000000"/>
        </w:rPr>
        <w:t>Falling short: The NHS workforce challenge</w:t>
      </w:r>
      <w:r w:rsidRPr="00344D64">
        <w:rPr>
          <w:rFonts w:ascii="Arial" w:hAnsi="Arial" w:cs="Arial"/>
          <w:color w:val="000000"/>
        </w:rPr>
        <w:t>. London: The Health Foundation.</w:t>
      </w:r>
    </w:p>
    <w:p w14:paraId="1F300C16" w14:textId="371FF5ED" w:rsidR="00C70E6C" w:rsidRPr="00BD3CD2" w:rsidRDefault="00C70E6C" w:rsidP="00BD3CD2">
      <w:pPr>
        <w:jc w:val="left"/>
        <w:rPr>
          <w:rFonts w:ascii="Arial" w:hAnsi="Arial" w:cs="Arial"/>
        </w:rPr>
      </w:pPr>
      <w:r w:rsidRPr="00BD3CD2">
        <w:rPr>
          <w:rFonts w:ascii="Arial" w:hAnsi="Arial" w:cs="Arial"/>
        </w:rPr>
        <w:t>Care Quality Commission. (202</w:t>
      </w:r>
      <w:r w:rsidR="00162A86" w:rsidRPr="00BD3CD2">
        <w:rPr>
          <w:rFonts w:ascii="Arial" w:hAnsi="Arial" w:cs="Arial"/>
        </w:rPr>
        <w:t>6</w:t>
      </w:r>
      <w:r w:rsidRPr="00BD3CD2">
        <w:rPr>
          <w:rFonts w:ascii="Arial" w:hAnsi="Arial" w:cs="Arial"/>
        </w:rPr>
        <w:t xml:space="preserve">) </w:t>
      </w:r>
      <w:r w:rsidRPr="00BD3CD2">
        <w:rPr>
          <w:rFonts w:ascii="Arial" w:hAnsi="Arial" w:cs="Arial"/>
          <w:i/>
          <w:iCs/>
        </w:rPr>
        <w:t>Adult social care: information for providers</w:t>
      </w:r>
      <w:r w:rsidRPr="00BD3CD2">
        <w:rPr>
          <w:rFonts w:ascii="Arial" w:hAnsi="Arial" w:cs="Arial"/>
        </w:rPr>
        <w:t xml:space="preserve">. Available at: </w:t>
      </w:r>
      <w:hyperlink r:id="rId18" w:history="1">
        <w:r w:rsidRPr="00BD3CD2">
          <w:rPr>
            <w:rStyle w:val="Hyperlink"/>
            <w:rFonts w:ascii="Arial" w:hAnsi="Arial" w:cs="Arial"/>
          </w:rPr>
          <w:t>https://www.cqc.org.uk/guidance-regulation/providers/adult-social-care</w:t>
        </w:r>
      </w:hyperlink>
      <w:r w:rsidRPr="00BD3CD2">
        <w:rPr>
          <w:rFonts w:ascii="Arial" w:hAnsi="Arial" w:cs="Arial"/>
        </w:rPr>
        <w:t xml:space="preserve"> (Accessed: 27 February 2026).</w:t>
      </w:r>
    </w:p>
    <w:p w14:paraId="1E38AE87" w14:textId="269E768B" w:rsidR="00640297" w:rsidRDefault="00640297" w:rsidP="004A2C88">
      <w:pPr>
        <w:jc w:val="left"/>
        <w:rPr>
          <w:rFonts w:ascii="Arial" w:hAnsi="Arial" w:cs="Arial"/>
          <w:color w:val="000000"/>
        </w:rPr>
      </w:pPr>
      <w:r w:rsidRPr="004A2C88">
        <w:rPr>
          <w:rFonts w:ascii="Arial" w:hAnsi="Arial" w:cs="Arial"/>
          <w:color w:val="000000"/>
        </w:rPr>
        <w:t>Care Quality Commission (2025)</w:t>
      </w:r>
      <w:r w:rsidRPr="004A2C88">
        <w:rPr>
          <w:rStyle w:val="apple-converted-space"/>
          <w:rFonts w:ascii="Arial" w:hAnsi="Arial" w:cs="Arial"/>
          <w:color w:val="000000"/>
        </w:rPr>
        <w:t> </w:t>
      </w:r>
      <w:r w:rsidRPr="004A2C88">
        <w:rPr>
          <w:rStyle w:val="Emphasis"/>
          <w:rFonts w:ascii="Arial" w:hAnsi="Arial" w:cs="Arial"/>
          <w:color w:val="000000"/>
        </w:rPr>
        <w:t>The state of health care and adult social care in England 2024/25: Adult social care</w:t>
      </w:r>
      <w:r w:rsidRPr="004A2C88">
        <w:rPr>
          <w:rFonts w:ascii="Arial" w:hAnsi="Arial" w:cs="Arial"/>
          <w:color w:val="000000"/>
        </w:rPr>
        <w:t>. Available at:</w:t>
      </w:r>
      <w:r w:rsidRPr="004A2C88">
        <w:rPr>
          <w:rStyle w:val="apple-converted-space"/>
          <w:rFonts w:ascii="Arial" w:hAnsi="Arial" w:cs="Arial"/>
          <w:color w:val="000000"/>
        </w:rPr>
        <w:t> </w:t>
      </w:r>
      <w:hyperlink r:id="rId19" w:tgtFrame="_new" w:history="1">
        <w:r w:rsidRPr="004A2C88">
          <w:rPr>
            <w:rStyle w:val="Hyperlink"/>
            <w:rFonts w:ascii="Arial" w:hAnsi="Arial" w:cs="Arial"/>
          </w:rPr>
          <w:t>https://www.cqc.org.uk/publications/major-report/state-care/2024-2025/access/asc</w:t>
        </w:r>
      </w:hyperlink>
      <w:r w:rsidRPr="004A2C88">
        <w:rPr>
          <w:rStyle w:val="apple-converted-space"/>
          <w:rFonts w:ascii="Arial" w:hAnsi="Arial" w:cs="Arial"/>
          <w:color w:val="000000"/>
        </w:rPr>
        <w:t> </w:t>
      </w:r>
      <w:r w:rsidRPr="004A2C88">
        <w:rPr>
          <w:rFonts w:ascii="Arial" w:hAnsi="Arial" w:cs="Arial"/>
          <w:color w:val="000000"/>
        </w:rPr>
        <w:t>(Accessed: 18 June 2026).</w:t>
      </w:r>
    </w:p>
    <w:p w14:paraId="461F0F94" w14:textId="2EA431D1" w:rsidR="00996D60" w:rsidRDefault="00996D60" w:rsidP="00996D60">
      <w:pPr>
        <w:jc w:val="left"/>
        <w:rPr>
          <w:rFonts w:ascii="Arial" w:hAnsi="Arial" w:cs="Arial"/>
          <w:color w:val="000000"/>
        </w:rPr>
      </w:pPr>
      <w:r w:rsidRPr="00690112">
        <w:rPr>
          <w:rStyle w:val="Strong"/>
          <w:rFonts w:ascii="Arial" w:hAnsi="Arial" w:cs="Arial"/>
          <w:b w:val="0"/>
          <w:bCs w:val="0"/>
          <w:color w:val="000000"/>
        </w:rPr>
        <w:t>Care Quality Commission</w:t>
      </w:r>
      <w:r w:rsidR="00690112">
        <w:rPr>
          <w:rStyle w:val="Strong"/>
          <w:rFonts w:ascii="Arial" w:hAnsi="Arial" w:cs="Arial"/>
          <w:b w:val="0"/>
          <w:bCs w:val="0"/>
          <w:color w:val="000000"/>
        </w:rPr>
        <w:t>.</w:t>
      </w:r>
      <w:r w:rsidRPr="00690112">
        <w:rPr>
          <w:rStyle w:val="Strong"/>
          <w:rFonts w:ascii="Arial" w:hAnsi="Arial" w:cs="Arial"/>
          <w:b w:val="0"/>
          <w:bCs w:val="0"/>
          <w:color w:val="000000"/>
        </w:rPr>
        <w:t xml:space="preserve"> (2024)</w:t>
      </w:r>
      <w:r w:rsidRPr="00996D60">
        <w:rPr>
          <w:rStyle w:val="apple-converted-space"/>
          <w:rFonts w:ascii="Arial" w:hAnsi="Arial" w:cs="Arial"/>
          <w:color w:val="000000"/>
        </w:rPr>
        <w:t> </w:t>
      </w:r>
      <w:r w:rsidRPr="00996D60">
        <w:rPr>
          <w:rStyle w:val="Emphasis"/>
          <w:rFonts w:ascii="Arial" w:hAnsi="Arial" w:cs="Arial"/>
          <w:color w:val="000000"/>
        </w:rPr>
        <w:t>The state of health care and adult social care in England 2023/24: Adult social care and integrated care</w:t>
      </w:r>
      <w:r w:rsidRPr="00996D60">
        <w:rPr>
          <w:rFonts w:ascii="Arial" w:hAnsi="Arial" w:cs="Arial"/>
          <w:color w:val="000000"/>
        </w:rPr>
        <w:t>. Available at:</w:t>
      </w:r>
      <w:r w:rsidR="007317A4">
        <w:rPr>
          <w:rStyle w:val="apple-converted-space"/>
          <w:rFonts w:ascii="Arial" w:hAnsi="Arial" w:cs="Arial"/>
          <w:color w:val="000000"/>
        </w:rPr>
        <w:t xml:space="preserve"> </w:t>
      </w:r>
      <w:hyperlink r:id="rId20" w:history="1">
        <w:r w:rsidR="007317A4" w:rsidRPr="00F31446">
          <w:rPr>
            <w:rStyle w:val="Hyperlink"/>
            <w:rFonts w:ascii="Arial" w:hAnsi="Arial" w:cs="Arial"/>
          </w:rPr>
          <w:t>https://www.cqc.org.uk/publications/major-report/state-care/2023-2024/access/asc</w:t>
        </w:r>
      </w:hyperlink>
      <w:r w:rsidR="00690112">
        <w:rPr>
          <w:rStyle w:val="apple-converted-space"/>
          <w:rFonts w:ascii="Arial" w:hAnsi="Arial" w:cs="Arial"/>
          <w:color w:val="000000"/>
        </w:rPr>
        <w:t xml:space="preserve"> </w:t>
      </w:r>
      <w:r w:rsidRPr="00996D60">
        <w:rPr>
          <w:rFonts w:ascii="Arial" w:hAnsi="Arial" w:cs="Arial"/>
          <w:color w:val="000000"/>
        </w:rPr>
        <w:t>(Accessed: 24 June 2026).</w:t>
      </w:r>
    </w:p>
    <w:p w14:paraId="09B730E1" w14:textId="10209A71" w:rsidR="00310125" w:rsidRPr="00DD1BFA" w:rsidRDefault="00310125" w:rsidP="00996D60">
      <w:pPr>
        <w:jc w:val="left"/>
        <w:rPr>
          <w:rFonts w:ascii="Arial" w:hAnsi="Arial" w:cs="Arial"/>
        </w:rPr>
      </w:pPr>
      <w:r w:rsidRPr="00DD1BFA">
        <w:rPr>
          <w:rStyle w:val="Strong"/>
          <w:rFonts w:ascii="Arial" w:hAnsi="Arial" w:cs="Arial"/>
          <w:b w:val="0"/>
          <w:bCs w:val="0"/>
          <w:color w:val="000000"/>
        </w:rPr>
        <w:t>Carroll, Á., Collins, C. and McKenzie, J. (2025)</w:t>
      </w:r>
      <w:r w:rsidRPr="00DD1BFA">
        <w:rPr>
          <w:rStyle w:val="apple-converted-space"/>
          <w:rFonts w:ascii="Arial" w:hAnsi="Arial" w:cs="Arial"/>
          <w:color w:val="000000"/>
        </w:rPr>
        <w:t> </w:t>
      </w:r>
      <w:r w:rsidRPr="00DD1BFA">
        <w:rPr>
          <w:rFonts w:ascii="Arial" w:hAnsi="Arial" w:cs="Arial"/>
          <w:color w:val="000000"/>
        </w:rPr>
        <w:t>‘Physician wellbeing in a national rehabilitation hospital: A qualitative study utilising Maslow’s hierarchy of needs as a framework for analysis’,</w:t>
      </w:r>
      <w:r w:rsidRPr="00DD1BFA">
        <w:rPr>
          <w:rStyle w:val="apple-converted-space"/>
          <w:rFonts w:ascii="Arial" w:hAnsi="Arial" w:cs="Arial"/>
          <w:color w:val="000000"/>
        </w:rPr>
        <w:t> </w:t>
      </w:r>
      <w:r w:rsidRPr="00DD1BFA">
        <w:rPr>
          <w:rStyle w:val="Emphasis"/>
          <w:rFonts w:ascii="Arial" w:hAnsi="Arial" w:cs="Arial"/>
          <w:color w:val="000000"/>
        </w:rPr>
        <w:t>BMC Health Services Research</w:t>
      </w:r>
      <w:r w:rsidRPr="00DD1BFA">
        <w:rPr>
          <w:rFonts w:ascii="Arial" w:hAnsi="Arial" w:cs="Arial"/>
          <w:color w:val="000000"/>
        </w:rPr>
        <w:t>,</w:t>
      </w:r>
      <w:r w:rsidRPr="00DD1BFA">
        <w:rPr>
          <w:rStyle w:val="apple-converted-space"/>
          <w:rFonts w:ascii="Arial" w:hAnsi="Arial" w:cs="Arial"/>
          <w:color w:val="000000"/>
        </w:rPr>
        <w:t> </w:t>
      </w:r>
      <w:r w:rsidRPr="00DD1BFA">
        <w:rPr>
          <w:rStyle w:val="Strong"/>
          <w:rFonts w:ascii="Arial" w:hAnsi="Arial" w:cs="Arial"/>
          <w:b w:val="0"/>
          <w:bCs w:val="0"/>
          <w:color w:val="000000"/>
        </w:rPr>
        <w:t>25</w:t>
      </w:r>
      <w:r w:rsidRPr="00DD1BFA">
        <w:rPr>
          <w:rFonts w:ascii="Arial" w:hAnsi="Arial" w:cs="Arial"/>
          <w:b/>
          <w:bCs/>
          <w:color w:val="000000"/>
        </w:rPr>
        <w:t>,</w:t>
      </w:r>
      <w:r w:rsidRPr="00DD1BFA">
        <w:rPr>
          <w:rFonts w:ascii="Arial" w:hAnsi="Arial" w:cs="Arial"/>
          <w:color w:val="000000"/>
        </w:rPr>
        <w:t xml:space="preserve"> Article 175. </w:t>
      </w:r>
    </w:p>
    <w:p w14:paraId="114C61C4" w14:textId="77777777" w:rsidR="00C70E6C" w:rsidRPr="00A86724" w:rsidRDefault="00C70E6C" w:rsidP="00C70E6C">
      <w:pPr>
        <w:rPr>
          <w:rFonts w:ascii="Arial" w:hAnsi="Arial" w:cs="Arial"/>
        </w:rPr>
      </w:pPr>
      <w:r w:rsidRPr="00A86724">
        <w:rPr>
          <w:rFonts w:ascii="Arial" w:hAnsi="Arial" w:cs="Arial"/>
        </w:rPr>
        <w:t xml:space="preserve">CORE Econ (2023) </w:t>
      </w:r>
      <w:r w:rsidRPr="00A86724">
        <w:rPr>
          <w:rFonts w:ascii="Arial" w:hAnsi="Arial" w:cs="Arial"/>
          <w:i/>
          <w:iCs/>
        </w:rPr>
        <w:t>Segmented labour markets</w:t>
      </w:r>
      <w:r w:rsidRPr="00A86724">
        <w:rPr>
          <w:rFonts w:ascii="Arial" w:hAnsi="Arial" w:cs="Arial"/>
        </w:rPr>
        <w:t xml:space="preserve">. Available at: </w:t>
      </w:r>
      <w:hyperlink r:id="rId21" w:history="1">
        <w:r w:rsidRPr="00A86724">
          <w:rPr>
            <w:rStyle w:val="Hyperlink"/>
            <w:rFonts w:ascii="Arial" w:hAnsi="Arial" w:cs="Arial"/>
          </w:rPr>
          <w:t>https://books.core-econ.org/the-economy/macroeconomics/02-unemployment-wages-inequality-06-segmented-labour-markets.html</w:t>
        </w:r>
      </w:hyperlink>
      <w:r w:rsidRPr="00A86724">
        <w:rPr>
          <w:rFonts w:ascii="Arial" w:hAnsi="Arial" w:cs="Arial"/>
        </w:rPr>
        <w:t xml:space="preserve">  (Accessed: 15 March 2026).</w:t>
      </w:r>
    </w:p>
    <w:p w14:paraId="3A4F5167" w14:textId="77777777" w:rsidR="00C70E6C" w:rsidRPr="00A86724" w:rsidRDefault="00C70E6C" w:rsidP="00C70E6C">
      <w:r w:rsidRPr="00A86724">
        <w:t xml:space="preserve">Dayan, M., Hervey, T., McCarey, M., Fahy, N., Flear, M., Greer, S. and Jarman, H. (2024) </w:t>
      </w:r>
      <w:r w:rsidRPr="00A86724">
        <w:rPr>
          <w:i/>
          <w:iCs/>
        </w:rPr>
        <w:t>The future for health after Brexit</w:t>
      </w:r>
      <w:r w:rsidRPr="00A86724">
        <w:t xml:space="preserve">. Available at: </w:t>
      </w:r>
      <w:hyperlink r:id="rId22" w:history="1">
        <w:r w:rsidRPr="00A86724">
          <w:rPr>
            <w:rStyle w:val="Hyperlink"/>
            <w:rFonts w:ascii="Arial" w:hAnsi="Arial" w:cs="Arial"/>
          </w:rPr>
          <w:t>https://www.nuffieldtrust.org.uk/research/the-future-for-health-after-brexit</w:t>
        </w:r>
      </w:hyperlink>
      <w:r w:rsidRPr="00A86724">
        <w:t xml:space="preserve">  (Accessed: 12 March 2026).</w:t>
      </w:r>
    </w:p>
    <w:p w14:paraId="25588DDD" w14:textId="77777777" w:rsidR="00BF0FFD" w:rsidRDefault="00C70E6C" w:rsidP="00C70E6C">
      <w:pPr>
        <w:rPr>
          <w:rFonts w:ascii="Arial" w:hAnsi="Arial" w:cs="Arial"/>
        </w:rPr>
      </w:pPr>
      <w:r w:rsidRPr="00A86724">
        <w:rPr>
          <w:rFonts w:ascii="Arial" w:hAnsi="Arial" w:cs="Arial"/>
        </w:rPr>
        <w:lastRenderedPageBreak/>
        <w:t xml:space="preserve">Department of Health and Social Care (2022) </w:t>
      </w:r>
      <w:r w:rsidRPr="00A86724">
        <w:rPr>
          <w:rFonts w:ascii="Arial" w:hAnsi="Arial" w:cs="Arial"/>
          <w:i/>
          <w:iCs/>
        </w:rPr>
        <w:t>People at the heart of care: adult social care reform</w:t>
      </w:r>
      <w:r w:rsidRPr="00A86724">
        <w:rPr>
          <w:rFonts w:ascii="Arial" w:hAnsi="Arial" w:cs="Arial"/>
        </w:rPr>
        <w:t xml:space="preserve">. Available at: </w:t>
      </w:r>
      <w:hyperlink r:id="rId23" w:history="1">
        <w:r w:rsidRPr="00A86724">
          <w:rPr>
            <w:rStyle w:val="Hyperlink"/>
            <w:rFonts w:ascii="Arial" w:hAnsi="Arial" w:cs="Arial"/>
          </w:rPr>
          <w:t>https://www.gov.uk/government/publications/people-at-the-heart-of-care-adult-social-care-reform-white-paper/people-at-the-heart-of-care-adult-social-care-reform</w:t>
        </w:r>
      </w:hyperlink>
      <w:r w:rsidRPr="00A86724">
        <w:rPr>
          <w:rFonts w:ascii="Arial" w:hAnsi="Arial" w:cs="Arial"/>
        </w:rPr>
        <w:t xml:space="preserve"> (Accessed: 1 March 2026).</w:t>
      </w:r>
    </w:p>
    <w:p w14:paraId="18460D1A" w14:textId="47F3F9F8" w:rsidR="006E6686" w:rsidRPr="00B1432E" w:rsidRDefault="006E6686" w:rsidP="00B1432E">
      <w:pPr>
        <w:jc w:val="left"/>
        <w:rPr>
          <w:rFonts w:ascii="Arial" w:hAnsi="Arial" w:cs="Arial"/>
        </w:rPr>
      </w:pPr>
      <w:r w:rsidRPr="00B1432E">
        <w:rPr>
          <w:rStyle w:val="Strong"/>
          <w:rFonts w:ascii="Arial" w:hAnsi="Arial" w:cs="Arial"/>
          <w:b w:val="0"/>
          <w:bCs w:val="0"/>
          <w:color w:val="000000"/>
        </w:rPr>
        <w:t>Department of Health and Social Care</w:t>
      </w:r>
      <w:r w:rsidR="00B1432E">
        <w:rPr>
          <w:rStyle w:val="Strong"/>
          <w:rFonts w:ascii="Arial" w:hAnsi="Arial" w:cs="Arial"/>
          <w:b w:val="0"/>
          <w:bCs w:val="0"/>
          <w:color w:val="000000"/>
        </w:rPr>
        <w:t xml:space="preserve">. </w:t>
      </w:r>
      <w:r w:rsidRPr="00B1432E">
        <w:rPr>
          <w:rStyle w:val="Strong"/>
          <w:rFonts w:ascii="Arial" w:hAnsi="Arial" w:cs="Arial"/>
          <w:b w:val="0"/>
          <w:bCs w:val="0"/>
          <w:color w:val="000000"/>
        </w:rPr>
        <w:t>(2024)</w:t>
      </w:r>
      <w:r w:rsidRPr="00B1432E">
        <w:rPr>
          <w:rStyle w:val="apple-converted-space"/>
          <w:rFonts w:ascii="Arial" w:hAnsi="Arial" w:cs="Arial"/>
          <w:color w:val="000000"/>
        </w:rPr>
        <w:t> </w:t>
      </w:r>
      <w:r w:rsidRPr="00B1432E">
        <w:rPr>
          <w:rStyle w:val="Emphasis"/>
          <w:rFonts w:ascii="Arial" w:hAnsi="Arial" w:cs="Arial"/>
          <w:color w:val="000000"/>
        </w:rPr>
        <w:t>International recruitment toolkit for adult social care providers</w:t>
      </w:r>
      <w:r w:rsidRPr="00B1432E">
        <w:rPr>
          <w:rFonts w:ascii="Arial" w:hAnsi="Arial" w:cs="Arial"/>
          <w:color w:val="000000"/>
        </w:rPr>
        <w:t>. Available at:</w:t>
      </w:r>
      <w:r w:rsidRPr="00B1432E">
        <w:rPr>
          <w:rStyle w:val="apple-converted-space"/>
          <w:rFonts w:ascii="Arial" w:hAnsi="Arial" w:cs="Arial"/>
          <w:color w:val="000000"/>
        </w:rPr>
        <w:t> </w:t>
      </w:r>
      <w:hyperlink r:id="rId24" w:tgtFrame="_new" w:history="1">
        <w:r w:rsidRPr="00B1432E">
          <w:rPr>
            <w:rStyle w:val="Hyperlink"/>
            <w:rFonts w:ascii="Arial" w:hAnsi="Arial" w:cs="Arial"/>
          </w:rPr>
          <w:t>https://www.gov.uk/government/publications/international-recruitment-toolkit-for-adult-social-care-providers</w:t>
        </w:r>
      </w:hyperlink>
      <w:r w:rsidRPr="00B1432E">
        <w:rPr>
          <w:rStyle w:val="apple-converted-space"/>
          <w:rFonts w:ascii="Arial" w:hAnsi="Arial" w:cs="Arial"/>
          <w:color w:val="000000"/>
        </w:rPr>
        <w:t> </w:t>
      </w:r>
      <w:r w:rsidRPr="00B1432E">
        <w:rPr>
          <w:rFonts w:ascii="Arial" w:hAnsi="Arial" w:cs="Arial"/>
          <w:color w:val="000000"/>
        </w:rPr>
        <w:t>(Accessed: 24 June 2026).</w:t>
      </w:r>
    </w:p>
    <w:p w14:paraId="3C3DCD60" w14:textId="6C93537F" w:rsidR="00BF0FFD" w:rsidRPr="00BF0FFD" w:rsidRDefault="00015C4D" w:rsidP="00BF0FFD">
      <w:pPr>
        <w:rPr>
          <w:rStyle w:val="apple-converted-space"/>
          <w:rFonts w:ascii="Arial" w:hAnsi="Arial" w:cs="Arial"/>
          <w:color w:val="000000"/>
        </w:rPr>
      </w:pPr>
      <w:r>
        <w:rPr>
          <w:rStyle w:val="Strong"/>
          <w:rFonts w:ascii="Arial" w:hAnsi="Arial" w:cs="Arial"/>
          <w:b w:val="0"/>
          <w:bCs w:val="0"/>
          <w:color w:val="EE0000"/>
        </w:rPr>
        <w:t>D</w:t>
      </w:r>
      <w:r w:rsidR="00BF0FFD" w:rsidRPr="00E15F0B">
        <w:rPr>
          <w:rStyle w:val="Strong"/>
          <w:rFonts w:ascii="Arial" w:hAnsi="Arial" w:cs="Arial"/>
          <w:b w:val="0"/>
          <w:bCs w:val="0"/>
          <w:color w:val="EE0000"/>
        </w:rPr>
        <w:t xml:space="preserve">e Vries, N., </w:t>
      </w:r>
      <w:r w:rsidR="00BF0FFD" w:rsidRPr="00BF0FFD">
        <w:rPr>
          <w:rStyle w:val="Strong"/>
          <w:rFonts w:ascii="Arial" w:hAnsi="Arial" w:cs="Arial"/>
          <w:b w:val="0"/>
          <w:bCs w:val="0"/>
          <w:color w:val="000000"/>
        </w:rPr>
        <w:t>Boone, A., Godderis, L., Bouman, J., Szemik, S., Matranga, D. and de Winter, P. (2023)</w:t>
      </w:r>
      <w:r w:rsidR="00BF0FFD" w:rsidRPr="00BF0FFD">
        <w:rPr>
          <w:rStyle w:val="apple-converted-space"/>
          <w:rFonts w:ascii="Arial" w:hAnsi="Arial" w:cs="Arial"/>
          <w:color w:val="000000"/>
        </w:rPr>
        <w:t> </w:t>
      </w:r>
      <w:r w:rsidR="00BF0FFD" w:rsidRPr="00BF0FFD">
        <w:rPr>
          <w:rFonts w:ascii="Arial" w:hAnsi="Arial" w:cs="Arial"/>
          <w:color w:val="000000"/>
        </w:rPr>
        <w:t>‘The race to retain healthcare workers: A systematic review on factors that impact retention of nurses and physicians in hospitals’,</w:t>
      </w:r>
      <w:r w:rsidR="00BF0FFD" w:rsidRPr="00BF0FFD">
        <w:rPr>
          <w:rStyle w:val="apple-converted-space"/>
          <w:rFonts w:ascii="Arial" w:hAnsi="Arial" w:cs="Arial"/>
          <w:color w:val="000000"/>
        </w:rPr>
        <w:t> </w:t>
      </w:r>
      <w:r w:rsidR="00BF0FFD" w:rsidRPr="00BF0FFD">
        <w:rPr>
          <w:rStyle w:val="Emphasis"/>
          <w:rFonts w:ascii="Arial" w:hAnsi="Arial" w:cs="Arial"/>
          <w:color w:val="000000"/>
        </w:rPr>
        <w:t>INQUIRY: The Journal of Health Care Organization, Provision, and Financing</w:t>
      </w:r>
      <w:r w:rsidR="00BF0FFD" w:rsidRPr="00BF0FFD">
        <w:rPr>
          <w:rFonts w:ascii="Arial" w:hAnsi="Arial" w:cs="Arial"/>
          <w:color w:val="000000"/>
        </w:rPr>
        <w:t>, 60, pp. 1–14.</w:t>
      </w:r>
      <w:r w:rsidR="00BF0FFD" w:rsidRPr="00BF0FFD">
        <w:rPr>
          <w:rStyle w:val="apple-converted-space"/>
          <w:rFonts w:ascii="Arial" w:hAnsi="Arial" w:cs="Arial"/>
          <w:color w:val="000000"/>
        </w:rPr>
        <w:t> </w:t>
      </w:r>
    </w:p>
    <w:p w14:paraId="6D1315F9" w14:textId="6729736B" w:rsidR="00C70E6C" w:rsidRDefault="00C70E6C" w:rsidP="00C70E6C">
      <w:pPr>
        <w:rPr>
          <w:rFonts w:ascii="Arial" w:hAnsi="Arial" w:cs="Arial"/>
        </w:rPr>
      </w:pPr>
      <w:r w:rsidRPr="00A86724">
        <w:rPr>
          <w:rFonts w:ascii="Arial" w:hAnsi="Arial" w:cs="Arial"/>
        </w:rPr>
        <w:t xml:space="preserve">Dias-Abey, M. (2021) ‘Determining the impact of migration on labour markets’, </w:t>
      </w:r>
      <w:r w:rsidRPr="00A86724">
        <w:rPr>
          <w:rFonts w:ascii="Arial" w:hAnsi="Arial" w:cs="Arial"/>
          <w:i/>
          <w:iCs/>
        </w:rPr>
        <w:t>Industrial Law Journal</w:t>
      </w:r>
      <w:r w:rsidRPr="00A86724">
        <w:rPr>
          <w:rFonts w:ascii="Arial" w:hAnsi="Arial" w:cs="Arial"/>
        </w:rPr>
        <w:t>, 50(4), pp. 532–566.</w:t>
      </w:r>
    </w:p>
    <w:p w14:paraId="702D83A9" w14:textId="1B00FB14" w:rsidR="008249F6" w:rsidRDefault="008249F6" w:rsidP="00C70E6C">
      <w:pPr>
        <w:rPr>
          <w:rFonts w:ascii="Arial" w:hAnsi="Arial" w:cs="Arial"/>
          <w:color w:val="000000"/>
        </w:rPr>
      </w:pPr>
      <w:r w:rsidRPr="008249F6">
        <w:rPr>
          <w:rFonts w:ascii="Arial" w:hAnsi="Arial" w:cs="Arial"/>
          <w:color w:val="000000"/>
        </w:rPr>
        <w:t>Eriksson, E., Jordal, M., Hjelm, K. and Engström, M. (2023) ‘Job satisfaction and wellbeing among migrant care workers in nursing homes: an integrative review’,</w:t>
      </w:r>
      <w:r w:rsidRPr="008249F6">
        <w:rPr>
          <w:rStyle w:val="apple-converted-space"/>
          <w:rFonts w:ascii="Arial" w:hAnsi="Arial" w:cs="Arial"/>
          <w:color w:val="000000"/>
        </w:rPr>
        <w:t> </w:t>
      </w:r>
      <w:r w:rsidRPr="008249F6">
        <w:rPr>
          <w:rStyle w:val="Emphasis"/>
          <w:rFonts w:ascii="Arial" w:hAnsi="Arial" w:cs="Arial"/>
          <w:color w:val="000000"/>
        </w:rPr>
        <w:t>Nursing Open</w:t>
      </w:r>
      <w:r w:rsidRPr="008249F6">
        <w:rPr>
          <w:rFonts w:ascii="Arial" w:hAnsi="Arial" w:cs="Arial"/>
          <w:color w:val="000000"/>
        </w:rPr>
        <w:t>, 10(6), pp. 3486–3505.</w:t>
      </w:r>
    </w:p>
    <w:p w14:paraId="786AEF61" w14:textId="689DA4D3" w:rsidR="000547A6" w:rsidRPr="000547A6" w:rsidRDefault="000547A6" w:rsidP="00C70E6C">
      <w:pPr>
        <w:rPr>
          <w:rFonts w:ascii="Arial" w:hAnsi="Arial" w:cs="Arial"/>
          <w:color w:val="000000"/>
        </w:rPr>
      </w:pPr>
      <w:r w:rsidRPr="000547A6">
        <w:rPr>
          <w:rFonts w:ascii="Arial" w:hAnsi="Arial" w:cs="Arial"/>
          <w:color w:val="000000"/>
        </w:rPr>
        <w:t>Endalamaw, A., Khatri, R.B., Erku, D., Zewdie, A., Wolka, E., Nigatu, F. and Assefa, Y. (2024) ‘Barriers and strategies for primary health care workforce development: synthesis of evidence’,</w:t>
      </w:r>
      <w:r w:rsidRPr="000547A6">
        <w:rPr>
          <w:rStyle w:val="apple-converted-space"/>
          <w:rFonts w:ascii="Arial" w:hAnsi="Arial" w:cs="Arial"/>
          <w:color w:val="000000"/>
        </w:rPr>
        <w:t> </w:t>
      </w:r>
      <w:r w:rsidRPr="000547A6">
        <w:rPr>
          <w:rStyle w:val="Emphasis"/>
          <w:rFonts w:ascii="Arial" w:hAnsi="Arial" w:cs="Arial"/>
          <w:color w:val="000000"/>
        </w:rPr>
        <w:t>BMC Primary Care</w:t>
      </w:r>
      <w:r w:rsidRPr="000547A6">
        <w:rPr>
          <w:rFonts w:ascii="Arial" w:hAnsi="Arial" w:cs="Arial"/>
          <w:color w:val="000000"/>
        </w:rPr>
        <w:t>,</w:t>
      </w:r>
      <w:r w:rsidRPr="000547A6">
        <w:rPr>
          <w:rStyle w:val="apple-converted-space"/>
          <w:rFonts w:ascii="Arial" w:hAnsi="Arial" w:cs="Arial"/>
          <w:color w:val="000000"/>
        </w:rPr>
        <w:t> </w:t>
      </w:r>
      <w:r w:rsidRPr="000547A6">
        <w:rPr>
          <w:rStyle w:val="Strong"/>
          <w:rFonts w:ascii="Arial" w:hAnsi="Arial" w:cs="Arial"/>
          <w:color w:val="000000"/>
        </w:rPr>
        <w:t>25</w:t>
      </w:r>
      <w:r w:rsidRPr="000547A6">
        <w:rPr>
          <w:rFonts w:ascii="Arial" w:hAnsi="Arial" w:cs="Arial"/>
          <w:color w:val="000000"/>
        </w:rPr>
        <w:t>(1), p. 99.</w:t>
      </w:r>
    </w:p>
    <w:p w14:paraId="08EDB18A" w14:textId="10A746C7" w:rsidR="00463CFF" w:rsidRPr="00463CFF" w:rsidRDefault="00463CFF" w:rsidP="00463CFF">
      <w:pPr>
        <w:jc w:val="left"/>
        <w:rPr>
          <w:rFonts w:ascii="Arial" w:hAnsi="Arial" w:cs="Arial"/>
          <w:color w:val="EE0000"/>
        </w:rPr>
      </w:pPr>
      <w:r w:rsidRPr="00463CFF">
        <w:rPr>
          <w:rFonts w:ascii="Arial" w:hAnsi="Arial" w:cs="Arial"/>
          <w:color w:val="000000"/>
        </w:rPr>
        <w:t>Edwards, D., Trigg, L., Carrier, J., Cooper, A., Snoswell, J., Day, J., Gillan, E., Lewis, R. and Edwards, A. (2022) ‘A rapid review of innovations for attraction, recruitment and retention of social care workers: An exploration of factors influencing turnover within the UK context’,</w:t>
      </w:r>
      <w:r w:rsidRPr="00463CFF">
        <w:rPr>
          <w:rStyle w:val="apple-converted-space"/>
          <w:rFonts w:ascii="Arial" w:hAnsi="Arial" w:cs="Arial"/>
          <w:color w:val="000000"/>
        </w:rPr>
        <w:t> </w:t>
      </w:r>
      <w:r w:rsidRPr="00463CFF">
        <w:rPr>
          <w:rStyle w:val="Emphasis"/>
          <w:rFonts w:ascii="Arial" w:hAnsi="Arial" w:cs="Arial"/>
          <w:color w:val="000000"/>
        </w:rPr>
        <w:t>Journal of Long-Term Care</w:t>
      </w:r>
      <w:r w:rsidRPr="00463CFF">
        <w:rPr>
          <w:rFonts w:ascii="Arial" w:hAnsi="Arial" w:cs="Arial"/>
          <w:color w:val="000000"/>
        </w:rPr>
        <w:t xml:space="preserve">, pp. 116–134.  </w:t>
      </w:r>
      <w:hyperlink r:id="rId25" w:history="1">
        <w:r w:rsidRPr="00463CFF">
          <w:rPr>
            <w:rStyle w:val="Hyperlink"/>
            <w:rFonts w:ascii="Arial" w:hAnsi="Arial" w:cs="Arial"/>
          </w:rPr>
          <w:t>https://journal.ilpnetwork.org/articles/10.31389/jltc.130</w:t>
        </w:r>
      </w:hyperlink>
      <w:r>
        <w:t xml:space="preserve"> </w:t>
      </w:r>
      <w:r w:rsidRPr="00463CFF">
        <w:rPr>
          <w:color w:val="EE0000"/>
        </w:rPr>
        <w:t>Paper 7</w:t>
      </w:r>
    </w:p>
    <w:p w14:paraId="39A60407" w14:textId="77777777" w:rsidR="00495DCC" w:rsidRDefault="00C70E6C" w:rsidP="00C70E6C">
      <w:pPr>
        <w:rPr>
          <w:rFonts w:ascii="Arial" w:hAnsi="Arial" w:cs="Arial"/>
        </w:rPr>
      </w:pPr>
      <w:r w:rsidRPr="00A86724">
        <w:rPr>
          <w:rFonts w:ascii="Arial" w:hAnsi="Arial" w:cs="Arial"/>
        </w:rPr>
        <w:t xml:space="preserve">Foster, D. (2024) </w:t>
      </w:r>
      <w:r w:rsidRPr="00A86724">
        <w:rPr>
          <w:rFonts w:ascii="Arial" w:hAnsi="Arial" w:cs="Arial"/>
          <w:i/>
          <w:iCs/>
        </w:rPr>
        <w:t>Adult social care workforce in England</w:t>
      </w:r>
      <w:r w:rsidRPr="00A86724">
        <w:rPr>
          <w:rFonts w:ascii="Arial" w:hAnsi="Arial" w:cs="Arial"/>
        </w:rPr>
        <w:t xml:space="preserve">. Available at: </w:t>
      </w:r>
      <w:hyperlink r:id="rId26" w:history="1">
        <w:r w:rsidRPr="00A86724">
          <w:rPr>
            <w:rStyle w:val="Hyperlink"/>
            <w:rFonts w:ascii="Arial" w:hAnsi="Arial" w:cs="Arial"/>
          </w:rPr>
          <w:t>https://commonslibrary.parliament.uk/research-briefings/cbp-9615/</w:t>
        </w:r>
      </w:hyperlink>
      <w:r w:rsidRPr="00A86724">
        <w:rPr>
          <w:rFonts w:ascii="Arial" w:hAnsi="Arial" w:cs="Arial"/>
        </w:rPr>
        <w:t xml:space="preserve">  (Accessed: 12 March 2026).</w:t>
      </w:r>
    </w:p>
    <w:p w14:paraId="3746D42A" w14:textId="6063153E" w:rsidR="00C618EA" w:rsidRPr="00C618EA" w:rsidRDefault="00C618EA" w:rsidP="00C618EA">
      <w:pPr>
        <w:jc w:val="left"/>
        <w:rPr>
          <w:rFonts w:ascii="Arial" w:hAnsi="Arial" w:cs="Arial"/>
        </w:rPr>
      </w:pPr>
      <w:r w:rsidRPr="00C618EA">
        <w:rPr>
          <w:rFonts w:ascii="Arial" w:hAnsi="Arial" w:cs="Arial"/>
          <w:color w:val="000000"/>
        </w:rPr>
        <w:t>Fisher, D.U. and Foster, L. (2025) 'Paid care worker organizing in England: priorities and progress?',</w:t>
      </w:r>
      <w:r w:rsidRPr="00C618EA">
        <w:rPr>
          <w:rStyle w:val="apple-converted-space"/>
          <w:rFonts w:ascii="Arial" w:hAnsi="Arial" w:cs="Arial"/>
          <w:color w:val="000000"/>
        </w:rPr>
        <w:t> </w:t>
      </w:r>
      <w:r w:rsidRPr="00C618EA">
        <w:rPr>
          <w:rStyle w:val="Emphasis"/>
          <w:rFonts w:ascii="Arial" w:hAnsi="Arial" w:cs="Arial"/>
          <w:color w:val="000000"/>
        </w:rPr>
        <w:t>Frontiers in Sociology</w:t>
      </w:r>
      <w:r w:rsidRPr="00C618EA">
        <w:rPr>
          <w:rFonts w:ascii="Arial" w:hAnsi="Arial" w:cs="Arial"/>
          <w:color w:val="000000"/>
        </w:rPr>
        <w:t>,</w:t>
      </w:r>
      <w:r w:rsidRPr="00C618EA">
        <w:rPr>
          <w:rStyle w:val="apple-converted-space"/>
          <w:rFonts w:ascii="Arial" w:hAnsi="Arial" w:cs="Arial"/>
          <w:color w:val="000000"/>
        </w:rPr>
        <w:t> </w:t>
      </w:r>
      <w:r w:rsidRPr="00C618EA">
        <w:rPr>
          <w:rStyle w:val="Strong"/>
          <w:rFonts w:ascii="Arial" w:hAnsi="Arial" w:cs="Arial"/>
          <w:b w:val="0"/>
          <w:bCs w:val="0"/>
          <w:color w:val="000000"/>
        </w:rPr>
        <w:t>10</w:t>
      </w:r>
      <w:r w:rsidRPr="00C618EA">
        <w:rPr>
          <w:rFonts w:ascii="Arial" w:hAnsi="Arial" w:cs="Arial"/>
          <w:color w:val="000000"/>
        </w:rPr>
        <w:t>, 1548473. Available at:</w:t>
      </w:r>
      <w:r w:rsidRPr="00C618EA">
        <w:rPr>
          <w:rStyle w:val="apple-converted-space"/>
          <w:rFonts w:ascii="Arial" w:hAnsi="Arial" w:cs="Arial"/>
          <w:color w:val="000000"/>
        </w:rPr>
        <w:t> </w:t>
      </w:r>
      <w:hyperlink r:id="rId27" w:tgtFrame="_new" w:history="1">
        <w:r w:rsidRPr="00C618EA">
          <w:rPr>
            <w:rStyle w:val="Hyperlink"/>
            <w:rFonts w:ascii="Arial" w:hAnsi="Arial" w:cs="Arial"/>
          </w:rPr>
          <w:t>https://doi.org/10.3389/fsoc.2025.1548473</w:t>
        </w:r>
      </w:hyperlink>
      <w:r w:rsidRPr="00C618EA">
        <w:rPr>
          <w:rStyle w:val="apple-converted-space"/>
          <w:rFonts w:ascii="Arial" w:hAnsi="Arial" w:cs="Arial"/>
          <w:color w:val="000000"/>
        </w:rPr>
        <w:t> </w:t>
      </w:r>
      <w:r w:rsidRPr="00C618EA">
        <w:rPr>
          <w:rFonts w:ascii="Arial" w:hAnsi="Arial" w:cs="Arial"/>
          <w:color w:val="000000"/>
        </w:rPr>
        <w:t>(Accessed: 8 July 2026).</w:t>
      </w:r>
    </w:p>
    <w:p w14:paraId="3EA6A8C2" w14:textId="77777777" w:rsidR="00495DCC" w:rsidRPr="00495DCC" w:rsidRDefault="00495DCC" w:rsidP="00495DCC">
      <w:pPr>
        <w:jc w:val="left"/>
        <w:rPr>
          <w:rFonts w:ascii="Arial" w:hAnsi="Arial" w:cs="Arial"/>
          <w:color w:val="000000"/>
        </w:rPr>
      </w:pPr>
      <w:r w:rsidRPr="00495DCC">
        <w:rPr>
          <w:rFonts w:ascii="Arial" w:hAnsi="Arial" w:cs="Arial"/>
          <w:color w:val="000000"/>
        </w:rPr>
        <w:t>Gershlick, B. and Charlesworth, A. (2019)</w:t>
      </w:r>
      <w:r w:rsidRPr="00495DCC">
        <w:rPr>
          <w:rStyle w:val="apple-converted-space"/>
          <w:rFonts w:ascii="Arial" w:hAnsi="Arial" w:cs="Arial"/>
          <w:color w:val="000000"/>
        </w:rPr>
        <w:t> </w:t>
      </w:r>
      <w:r w:rsidRPr="00495DCC">
        <w:rPr>
          <w:rStyle w:val="Emphasis"/>
          <w:rFonts w:ascii="Arial" w:hAnsi="Arial" w:cs="Arial"/>
          <w:color w:val="000000"/>
        </w:rPr>
        <w:t>The health and social care workforce</w:t>
      </w:r>
      <w:r w:rsidRPr="00495DCC">
        <w:rPr>
          <w:rFonts w:ascii="Arial" w:hAnsi="Arial" w:cs="Arial"/>
          <w:color w:val="000000"/>
        </w:rPr>
        <w:t>. London: Health Foundation. Available at:</w:t>
      </w:r>
      <w:r w:rsidRPr="00495DCC">
        <w:rPr>
          <w:rStyle w:val="apple-converted-space"/>
          <w:rFonts w:ascii="Arial" w:hAnsi="Arial" w:cs="Arial"/>
          <w:color w:val="000000"/>
        </w:rPr>
        <w:t> </w:t>
      </w:r>
      <w:hyperlink r:id="rId28" w:history="1">
        <w:r w:rsidRPr="00495DCC">
          <w:rPr>
            <w:rStyle w:val="Hyperlink"/>
            <w:rFonts w:ascii="Arial" w:hAnsi="Arial" w:cs="Arial"/>
          </w:rPr>
          <w:t>https://www.health.org.uk/reports-and-analysis/briefings/health-and-social-care-workforce</w:t>
        </w:r>
      </w:hyperlink>
      <w:r w:rsidRPr="00495DCC">
        <w:rPr>
          <w:rStyle w:val="apple-converted-space"/>
          <w:rFonts w:ascii="Arial" w:hAnsi="Arial" w:cs="Arial"/>
          <w:color w:val="000000"/>
        </w:rPr>
        <w:t> </w:t>
      </w:r>
      <w:r w:rsidRPr="00495DCC">
        <w:rPr>
          <w:rFonts w:ascii="Arial" w:hAnsi="Arial" w:cs="Arial"/>
          <w:color w:val="000000"/>
        </w:rPr>
        <w:t>(Accessed: 18 June 2026).</w:t>
      </w:r>
    </w:p>
    <w:p w14:paraId="0BEA7A7E" w14:textId="5EB0C5F1" w:rsidR="009462B0" w:rsidRPr="009462B0" w:rsidRDefault="009462B0" w:rsidP="00C70E6C">
      <w:pPr>
        <w:rPr>
          <w:rFonts w:ascii="Arial" w:hAnsi="Arial" w:cs="Arial"/>
        </w:rPr>
      </w:pPr>
      <w:r w:rsidRPr="009462B0">
        <w:rPr>
          <w:rFonts w:ascii="Arial" w:hAnsi="Arial" w:cs="Arial"/>
          <w:color w:val="000000"/>
        </w:rPr>
        <w:lastRenderedPageBreak/>
        <w:t>Garg, R. (2016) ‘Methodology for research I’,</w:t>
      </w:r>
      <w:r w:rsidRPr="009462B0">
        <w:rPr>
          <w:rStyle w:val="apple-converted-space"/>
          <w:rFonts w:ascii="Arial" w:hAnsi="Arial" w:cs="Arial"/>
          <w:color w:val="000000"/>
        </w:rPr>
        <w:t> </w:t>
      </w:r>
      <w:r w:rsidRPr="009462B0">
        <w:rPr>
          <w:rStyle w:val="Emphasis"/>
          <w:rFonts w:ascii="Arial" w:hAnsi="Arial" w:cs="Arial"/>
          <w:color w:val="000000"/>
        </w:rPr>
        <w:t>Indian Journal of Anaesthesia</w:t>
      </w:r>
      <w:r w:rsidRPr="009462B0">
        <w:rPr>
          <w:rFonts w:ascii="Arial" w:hAnsi="Arial" w:cs="Arial"/>
          <w:color w:val="000000"/>
        </w:rPr>
        <w:t>, 60(9), pp. 640–645. Available at:</w:t>
      </w:r>
      <w:r w:rsidRPr="009462B0">
        <w:rPr>
          <w:rStyle w:val="apple-converted-space"/>
          <w:rFonts w:ascii="Arial" w:hAnsi="Arial" w:cs="Arial"/>
          <w:color w:val="000000"/>
        </w:rPr>
        <w:t> </w:t>
      </w:r>
      <w:hyperlink r:id="rId29" w:tgtFrame="_new" w:history="1">
        <w:r w:rsidRPr="009462B0">
          <w:rPr>
            <w:rStyle w:val="Hyperlink"/>
            <w:rFonts w:ascii="Arial" w:hAnsi="Arial" w:cs="Arial"/>
          </w:rPr>
          <w:t>https://pmc.ncbi.nlm.nih.gov/articles/PMC5037944/</w:t>
        </w:r>
      </w:hyperlink>
      <w:r w:rsidRPr="009462B0">
        <w:rPr>
          <w:rStyle w:val="apple-converted-space"/>
          <w:rFonts w:ascii="Arial" w:hAnsi="Arial" w:cs="Arial"/>
          <w:color w:val="000000"/>
        </w:rPr>
        <w:t> </w:t>
      </w:r>
      <w:r w:rsidRPr="009462B0">
        <w:rPr>
          <w:rFonts w:ascii="Arial" w:hAnsi="Arial" w:cs="Arial"/>
          <w:color w:val="000000"/>
        </w:rPr>
        <w:t>(Accessed: 1 June 2026).</w:t>
      </w:r>
    </w:p>
    <w:p w14:paraId="5956B750" w14:textId="77777777" w:rsidR="00C70E6C" w:rsidRPr="00A86724" w:rsidRDefault="00C70E6C" w:rsidP="00C70E6C">
      <w:pPr>
        <w:rPr>
          <w:rFonts w:ascii="Arial" w:hAnsi="Arial" w:cs="Arial"/>
          <w:color w:val="EE0000"/>
        </w:rPr>
      </w:pPr>
      <w:r w:rsidRPr="00A86724">
        <w:rPr>
          <w:rFonts w:ascii="Arial" w:hAnsi="Arial" w:cs="Arial"/>
          <w:color w:val="000000" w:themeColor="text1"/>
        </w:rPr>
        <w:t xml:space="preserve">GOV.UK (2021) </w:t>
      </w:r>
      <w:r w:rsidRPr="00A86724">
        <w:rPr>
          <w:rFonts w:ascii="Arial" w:hAnsi="Arial" w:cs="Arial"/>
          <w:i/>
          <w:iCs/>
          <w:color w:val="000000" w:themeColor="text1"/>
        </w:rPr>
        <w:t>Health and Care Worker visa</w:t>
      </w:r>
      <w:r w:rsidRPr="00A86724">
        <w:rPr>
          <w:rFonts w:ascii="Arial" w:hAnsi="Arial" w:cs="Arial"/>
          <w:color w:val="000000" w:themeColor="text1"/>
        </w:rPr>
        <w:t xml:space="preserve">. Available at: </w:t>
      </w:r>
      <w:hyperlink r:id="rId30" w:history="1">
        <w:r w:rsidRPr="00A86724">
          <w:rPr>
            <w:rStyle w:val="Hyperlink"/>
            <w:rFonts w:ascii="Arial" w:hAnsi="Arial" w:cs="Arial"/>
            <w:color w:val="EE0000"/>
          </w:rPr>
          <w:t>https://www.gov.uk/health-care-worker-visa</w:t>
        </w:r>
      </w:hyperlink>
      <w:r w:rsidRPr="00A86724">
        <w:rPr>
          <w:rFonts w:ascii="Arial" w:hAnsi="Arial" w:cs="Arial"/>
          <w:color w:val="EE0000"/>
        </w:rPr>
        <w:t xml:space="preserve">  </w:t>
      </w:r>
      <w:r w:rsidRPr="00A86724">
        <w:rPr>
          <w:rFonts w:ascii="Arial" w:hAnsi="Arial" w:cs="Arial"/>
          <w:color w:val="000000" w:themeColor="text1"/>
        </w:rPr>
        <w:t>(Accessed: 12 March 2026).</w:t>
      </w:r>
    </w:p>
    <w:p w14:paraId="58D8DDAE" w14:textId="77777777" w:rsidR="00C70E6C" w:rsidRPr="00A86724" w:rsidRDefault="00C70E6C" w:rsidP="00C70E6C">
      <w:pPr>
        <w:rPr>
          <w:rFonts w:ascii="Arial" w:hAnsi="Arial" w:cs="Arial"/>
        </w:rPr>
      </w:pPr>
      <w:r w:rsidRPr="00A86724">
        <w:rPr>
          <w:rFonts w:ascii="Arial" w:hAnsi="Arial" w:cs="Arial"/>
        </w:rPr>
        <w:t xml:space="preserve">Glasby, J. (2021) </w:t>
      </w:r>
      <w:r w:rsidRPr="00A86724">
        <w:rPr>
          <w:rFonts w:ascii="Arial" w:hAnsi="Arial" w:cs="Arial"/>
          <w:i/>
          <w:iCs/>
        </w:rPr>
        <w:t>Understanding health and social care</w:t>
      </w:r>
      <w:r w:rsidRPr="00A86724">
        <w:rPr>
          <w:rFonts w:ascii="Arial" w:hAnsi="Arial" w:cs="Arial"/>
        </w:rPr>
        <w:t>. 4th ed. Bristol: Policy Press.</w:t>
      </w:r>
    </w:p>
    <w:p w14:paraId="12BD4231" w14:textId="77777777" w:rsidR="00C70E6C" w:rsidRPr="00A86724" w:rsidRDefault="00C70E6C" w:rsidP="00C70E6C">
      <w:pPr>
        <w:rPr>
          <w:rStyle w:val="apple-converted-space"/>
          <w:rFonts w:ascii="Arial" w:eastAsiaTheme="majorEastAsia" w:hAnsi="Arial" w:cs="Arial"/>
        </w:rPr>
      </w:pPr>
      <w:r w:rsidRPr="00A86724">
        <w:rPr>
          <w:rFonts w:ascii="Arial" w:hAnsi="Arial" w:cs="Arial"/>
        </w:rPr>
        <w:t xml:space="preserve">Harker, R., Francis-Devine, B. and Foley, N. (2025) </w:t>
      </w:r>
      <w:r w:rsidRPr="00A86724">
        <w:rPr>
          <w:rFonts w:ascii="Arial" w:hAnsi="Arial" w:cs="Arial"/>
          <w:i/>
          <w:iCs/>
        </w:rPr>
        <w:t>Who provides informal care?</w:t>
      </w:r>
      <w:r w:rsidRPr="00A86724">
        <w:rPr>
          <w:rFonts w:ascii="Arial" w:hAnsi="Arial" w:cs="Arial"/>
        </w:rPr>
        <w:t xml:space="preserve">. Available at: </w:t>
      </w:r>
      <w:hyperlink r:id="rId31" w:history="1">
        <w:r w:rsidRPr="00A86724">
          <w:rPr>
            <w:rStyle w:val="Hyperlink"/>
            <w:rFonts w:ascii="Arial" w:hAnsi="Arial" w:cs="Arial"/>
          </w:rPr>
          <w:t>https://researchbriefings.files.parliament.uk/documents/CBP-10017/CBP-10017.pdf</w:t>
        </w:r>
      </w:hyperlink>
      <w:r w:rsidRPr="00A86724">
        <w:rPr>
          <w:rFonts w:ascii="Arial" w:hAnsi="Arial" w:cs="Arial"/>
        </w:rPr>
        <w:t xml:space="preserve"> (Accessed: 8 March 2026). </w:t>
      </w:r>
      <w:r w:rsidRPr="00A86724">
        <w:rPr>
          <w:rStyle w:val="apple-converted-space"/>
          <w:rFonts w:ascii="Arial" w:eastAsiaTheme="majorEastAsia" w:hAnsi="Arial" w:cs="Arial"/>
        </w:rPr>
        <w:t> </w:t>
      </w:r>
    </w:p>
    <w:p w14:paraId="01A10D73" w14:textId="77777777" w:rsidR="00C70E6C" w:rsidRDefault="00C70E6C" w:rsidP="000D3D8F">
      <w:pPr>
        <w:jc w:val="left"/>
        <w:rPr>
          <w:rFonts w:ascii="Arial" w:hAnsi="Arial" w:cs="Arial"/>
        </w:rPr>
      </w:pPr>
      <w:r w:rsidRPr="00A86724">
        <w:rPr>
          <w:rFonts w:ascii="Arial" w:hAnsi="Arial" w:cs="Arial"/>
        </w:rPr>
        <w:t xml:space="preserve">Hussein, S. (2017) ‘We don’t do it for the money: The scale and reasons of poverty-pay among frontline long-term care workers in England’, </w:t>
      </w:r>
      <w:r w:rsidRPr="00A86724">
        <w:rPr>
          <w:rFonts w:ascii="Arial" w:hAnsi="Arial" w:cs="Arial"/>
          <w:i/>
          <w:iCs/>
        </w:rPr>
        <w:t>Health &amp; Social Care in the Community</w:t>
      </w:r>
      <w:r w:rsidRPr="00A86724">
        <w:rPr>
          <w:rFonts w:ascii="Arial" w:hAnsi="Arial" w:cs="Arial"/>
        </w:rPr>
        <w:t xml:space="preserve">, 25(6), pp. 1817–1826. Available at: </w:t>
      </w:r>
      <w:hyperlink r:id="rId32" w:history="1">
        <w:r w:rsidRPr="00A86724">
          <w:rPr>
            <w:rStyle w:val="Hyperlink"/>
            <w:rFonts w:ascii="Arial" w:hAnsi="Arial" w:cs="Arial"/>
          </w:rPr>
          <w:t>https://onlinelibrary.wiley.com/doi/10.1111/hsc.12455</w:t>
        </w:r>
      </w:hyperlink>
      <w:r w:rsidRPr="00A86724">
        <w:rPr>
          <w:rFonts w:ascii="Arial" w:hAnsi="Arial" w:cs="Arial"/>
        </w:rPr>
        <w:t xml:space="preserve">  (Accessed: 12 March 2026).</w:t>
      </w:r>
    </w:p>
    <w:p w14:paraId="38BBA6D8" w14:textId="66F66903" w:rsidR="00640993" w:rsidRDefault="00640993" w:rsidP="00304ED7">
      <w:pPr>
        <w:jc w:val="left"/>
        <w:rPr>
          <w:rFonts w:ascii="Arial" w:hAnsi="Arial" w:cs="Arial"/>
          <w:color w:val="EE0000"/>
        </w:rPr>
      </w:pPr>
      <w:r w:rsidRPr="00304ED7">
        <w:rPr>
          <w:rFonts w:ascii="Arial" w:hAnsi="Arial" w:cs="Arial"/>
          <w:color w:val="000000" w:themeColor="text1"/>
        </w:rPr>
        <w:t>Hussein, S. (2022) ‘The Global Demand for Migrant Care Workers: Drivers and Implications on Migrants’ Wellbeing’,</w:t>
      </w:r>
      <w:r w:rsidRPr="00304ED7">
        <w:rPr>
          <w:rStyle w:val="apple-converted-space"/>
          <w:rFonts w:ascii="Arial" w:hAnsi="Arial" w:cs="Arial"/>
          <w:color w:val="000000" w:themeColor="text1"/>
        </w:rPr>
        <w:t> </w:t>
      </w:r>
      <w:r w:rsidRPr="00304ED7">
        <w:rPr>
          <w:rStyle w:val="Emphasis"/>
          <w:rFonts w:ascii="Arial" w:hAnsi="Arial" w:cs="Arial"/>
          <w:color w:val="000000" w:themeColor="text1"/>
        </w:rPr>
        <w:t>Sustainability</w:t>
      </w:r>
      <w:r w:rsidRPr="00304ED7">
        <w:rPr>
          <w:rFonts w:ascii="Arial" w:hAnsi="Arial" w:cs="Arial"/>
          <w:color w:val="000000" w:themeColor="text1"/>
        </w:rPr>
        <w:t>, 14(17), 10612. Available at:</w:t>
      </w:r>
      <w:r w:rsidRPr="00304ED7">
        <w:rPr>
          <w:rStyle w:val="apple-converted-space"/>
          <w:rFonts w:ascii="Arial" w:hAnsi="Arial" w:cs="Arial"/>
          <w:color w:val="000000" w:themeColor="text1"/>
        </w:rPr>
        <w:t> </w:t>
      </w:r>
      <w:hyperlink r:id="rId33" w:history="1">
        <w:r w:rsidR="00183965" w:rsidRPr="00055029">
          <w:rPr>
            <w:rStyle w:val="Hyperlink"/>
            <w:rFonts w:ascii="Arial" w:hAnsi="Arial" w:cs="Arial"/>
          </w:rPr>
          <w:t>https://doi.org/10.3390/su141710612 Paper 4</w:t>
        </w:r>
      </w:hyperlink>
    </w:p>
    <w:p w14:paraId="27BE63DA" w14:textId="77777777" w:rsidR="00183965" w:rsidRDefault="00183965" w:rsidP="00183965">
      <w:pPr>
        <w:spacing w:before="100" w:beforeAutospacing="1" w:after="100" w:afterAutospacing="1"/>
        <w:rPr>
          <w:rFonts w:ascii="Times New Roman" w:eastAsia="Times New Roman" w:hAnsi="Times New Roman"/>
          <w:color w:val="000000"/>
          <w:sz w:val="24"/>
          <w:szCs w:val="24"/>
          <w:lang w:eastAsia="en-GB"/>
        </w:rPr>
      </w:pPr>
      <w:r>
        <w:rPr>
          <w:color w:val="000000"/>
        </w:rPr>
        <w:t>Hanrieder, T. and Janauschek, L. (2025) 'The “ethical recruitment” of international nurses: Germany's liberal health worker extractivism',</w:t>
      </w:r>
      <w:r>
        <w:rPr>
          <w:rStyle w:val="apple-converted-space"/>
          <w:color w:val="000000"/>
        </w:rPr>
        <w:t> </w:t>
      </w:r>
      <w:r>
        <w:rPr>
          <w:rStyle w:val="Emphasis"/>
          <w:color w:val="000000"/>
        </w:rPr>
        <w:t>Review of International Political Economy</w:t>
      </w:r>
      <w:r>
        <w:rPr>
          <w:color w:val="000000"/>
        </w:rPr>
        <w:t>,</w:t>
      </w:r>
      <w:r>
        <w:rPr>
          <w:rStyle w:val="apple-converted-space"/>
          <w:color w:val="000000"/>
        </w:rPr>
        <w:t> </w:t>
      </w:r>
      <w:r>
        <w:rPr>
          <w:rStyle w:val="Strong"/>
          <w:color w:val="000000"/>
        </w:rPr>
        <w:t>32</w:t>
      </w:r>
      <w:r>
        <w:rPr>
          <w:color w:val="000000"/>
        </w:rPr>
        <w:t>(4), pp. 1164–1188. Available at:</w:t>
      </w:r>
      <w:r>
        <w:rPr>
          <w:rStyle w:val="apple-converted-space"/>
          <w:color w:val="000000"/>
        </w:rPr>
        <w:t> </w:t>
      </w:r>
      <w:hyperlink r:id="rId34" w:tgtFrame="_new" w:history="1">
        <w:r>
          <w:rPr>
            <w:rStyle w:val="Hyperlink"/>
          </w:rPr>
          <w:t>https://doi.org/10.1080/09692290.2025.2450399</w:t>
        </w:r>
      </w:hyperlink>
      <w:r>
        <w:rPr>
          <w:rStyle w:val="apple-converted-space"/>
          <w:color w:val="000000"/>
        </w:rPr>
        <w:t> </w:t>
      </w:r>
      <w:r>
        <w:rPr>
          <w:color w:val="000000"/>
        </w:rPr>
        <w:t>(Accessed: 8 July 2026).</w:t>
      </w:r>
    </w:p>
    <w:p w14:paraId="02D1D7C7" w14:textId="77777777" w:rsidR="00183965" w:rsidRPr="000D3D8F" w:rsidRDefault="00183965" w:rsidP="00304ED7">
      <w:pPr>
        <w:jc w:val="left"/>
        <w:rPr>
          <w:rFonts w:ascii="Arial" w:hAnsi="Arial" w:cs="Arial"/>
          <w:color w:val="EE0000"/>
        </w:rPr>
      </w:pPr>
    </w:p>
    <w:p w14:paraId="0DA7BA8E" w14:textId="77777777" w:rsidR="000D3D8F" w:rsidRDefault="000D3D8F" w:rsidP="00C70E6C">
      <w:pPr>
        <w:rPr>
          <w:rFonts w:ascii="Arial" w:hAnsi="Arial" w:cs="Arial"/>
        </w:rPr>
      </w:pPr>
    </w:p>
    <w:p w14:paraId="1A8D985F" w14:textId="562968D6" w:rsidR="00C70E6C" w:rsidRPr="00A86724" w:rsidRDefault="00C70E6C" w:rsidP="00C70E6C">
      <w:pPr>
        <w:rPr>
          <w:rFonts w:ascii="Arial" w:hAnsi="Arial" w:cs="Arial"/>
          <w:color w:val="000000" w:themeColor="text1"/>
        </w:rPr>
      </w:pPr>
      <w:r w:rsidRPr="00A86724">
        <w:rPr>
          <w:rFonts w:ascii="Arial" w:hAnsi="Arial" w:cs="Arial"/>
          <w:color w:val="000000" w:themeColor="text1"/>
        </w:rPr>
        <w:t xml:space="preserve">House of Commons (2022) </w:t>
      </w:r>
      <w:r w:rsidRPr="00A86724">
        <w:rPr>
          <w:rFonts w:ascii="Arial" w:hAnsi="Arial" w:cs="Arial"/>
          <w:i/>
          <w:iCs/>
          <w:color w:val="000000" w:themeColor="text1"/>
        </w:rPr>
        <w:t>Workforce: recruitment, training and retention in health and social care</w:t>
      </w:r>
      <w:r w:rsidRPr="00A86724">
        <w:rPr>
          <w:rFonts w:ascii="Arial" w:hAnsi="Arial" w:cs="Arial"/>
          <w:color w:val="000000" w:themeColor="text1"/>
        </w:rPr>
        <w:t xml:space="preserve">. Available at: </w:t>
      </w:r>
      <w:hyperlink r:id="rId35" w:history="1">
        <w:r w:rsidRPr="00A86724">
          <w:rPr>
            <w:rStyle w:val="Hyperlink"/>
            <w:rFonts w:ascii="Arial" w:hAnsi="Arial" w:cs="Arial"/>
          </w:rPr>
          <w:t>https://committees.parliament.uk/publications/23246/documents/171671/default/</w:t>
        </w:r>
      </w:hyperlink>
      <w:r w:rsidRPr="00A86724">
        <w:rPr>
          <w:rFonts w:ascii="Arial" w:hAnsi="Arial" w:cs="Arial"/>
          <w:color w:val="000000" w:themeColor="text1"/>
        </w:rPr>
        <w:t xml:space="preserve">  (Accessed: 17 March 2026).</w:t>
      </w:r>
    </w:p>
    <w:p w14:paraId="3F74FF97" w14:textId="77777777" w:rsidR="00C70E6C" w:rsidRDefault="00C70E6C" w:rsidP="00C70E6C">
      <w:pPr>
        <w:rPr>
          <w:rFonts w:ascii="Arial" w:hAnsi="Arial" w:cs="Arial"/>
        </w:rPr>
      </w:pPr>
      <w:r w:rsidRPr="00A86724">
        <w:rPr>
          <w:rFonts w:ascii="Arial" w:hAnsi="Arial" w:cs="Arial"/>
        </w:rPr>
        <w:t xml:space="preserve">Health Foundation (2023) </w:t>
      </w:r>
      <w:r w:rsidRPr="00A86724">
        <w:rPr>
          <w:rFonts w:ascii="Arial" w:hAnsi="Arial" w:cs="Arial"/>
          <w:i/>
          <w:iCs/>
        </w:rPr>
        <w:t>Adult social care workforce pressures</w:t>
      </w:r>
      <w:r w:rsidRPr="00A86724">
        <w:rPr>
          <w:rFonts w:ascii="Arial" w:hAnsi="Arial" w:cs="Arial"/>
        </w:rPr>
        <w:t>. London: The Health Foundation.</w:t>
      </w:r>
    </w:p>
    <w:p w14:paraId="282123A4" w14:textId="2CDBD35F" w:rsidR="00FF44D0" w:rsidRPr="00785FD4" w:rsidRDefault="00FF44D0" w:rsidP="00967E0A">
      <w:pPr>
        <w:jc w:val="left"/>
        <w:rPr>
          <w:rFonts w:ascii="Arial" w:hAnsi="Arial" w:cs="Arial"/>
          <w:color w:val="000000"/>
        </w:rPr>
      </w:pPr>
      <w:r w:rsidRPr="00FF44D0">
        <w:rPr>
          <w:rFonts w:ascii="Arial" w:hAnsi="Arial" w:cs="Arial"/>
          <w:color w:val="000000"/>
        </w:rPr>
        <w:t>Institute for Government (2025)</w:t>
      </w:r>
      <w:r w:rsidRPr="00FF44D0">
        <w:rPr>
          <w:rStyle w:val="apple-converted-space"/>
          <w:rFonts w:ascii="Arial" w:hAnsi="Arial" w:cs="Arial"/>
          <w:color w:val="000000"/>
        </w:rPr>
        <w:t> </w:t>
      </w:r>
      <w:r w:rsidRPr="00FF44D0">
        <w:rPr>
          <w:rStyle w:val="Emphasis"/>
          <w:rFonts w:ascii="Arial" w:hAnsi="Arial" w:cs="Arial"/>
          <w:color w:val="000000"/>
        </w:rPr>
        <w:t>Performance Tracker 2025: Adult social care</w:t>
      </w:r>
      <w:r w:rsidRPr="00FF44D0">
        <w:rPr>
          <w:rFonts w:ascii="Arial" w:hAnsi="Arial" w:cs="Arial"/>
          <w:color w:val="000000"/>
        </w:rPr>
        <w:t>. Available at:</w:t>
      </w:r>
      <w:r w:rsidRPr="00FF44D0">
        <w:rPr>
          <w:rStyle w:val="apple-converted-space"/>
          <w:rFonts w:ascii="Arial" w:hAnsi="Arial" w:cs="Arial"/>
          <w:color w:val="000000"/>
        </w:rPr>
        <w:t> </w:t>
      </w:r>
      <w:hyperlink r:id="rId36" w:history="1">
        <w:r w:rsidR="00785FD4" w:rsidRPr="00F31446">
          <w:rPr>
            <w:rStyle w:val="Hyperlink"/>
            <w:rFonts w:ascii="Arial" w:hAnsi="Arial" w:cs="Arial"/>
          </w:rPr>
          <w:t>https://www.instituteforgovernment.org.uk/publication/performance-tracker-2025/local-services/adult-social-care</w:t>
        </w:r>
      </w:hyperlink>
      <w:r w:rsidR="00785FD4">
        <w:rPr>
          <w:rStyle w:val="apple-converted-space"/>
          <w:rFonts w:ascii="Arial" w:hAnsi="Arial" w:cs="Arial"/>
          <w:color w:val="000000"/>
        </w:rPr>
        <w:t xml:space="preserve"> </w:t>
      </w:r>
      <w:r w:rsidRPr="00FF44D0">
        <w:rPr>
          <w:rFonts w:ascii="Arial" w:hAnsi="Arial" w:cs="Arial"/>
          <w:color w:val="000000"/>
        </w:rPr>
        <w:t>(Accessed: 24 June 2026).</w:t>
      </w:r>
    </w:p>
    <w:p w14:paraId="067E1E13" w14:textId="77777777" w:rsidR="00C70E6C" w:rsidRPr="00A86724" w:rsidRDefault="00C70E6C" w:rsidP="00C70E6C">
      <w:pPr>
        <w:rPr>
          <w:rStyle w:val="apple-converted-space"/>
          <w:rFonts w:ascii="Arial" w:hAnsi="Arial" w:cs="Arial"/>
        </w:rPr>
      </w:pPr>
      <w:r w:rsidRPr="00A86724">
        <w:rPr>
          <w:rFonts w:ascii="Arial" w:hAnsi="Arial" w:cs="Arial"/>
        </w:rPr>
        <w:lastRenderedPageBreak/>
        <w:t xml:space="preserve">International Labour Organization (2023) </w:t>
      </w:r>
      <w:r w:rsidRPr="00A86724">
        <w:rPr>
          <w:rFonts w:ascii="Arial" w:hAnsi="Arial" w:cs="Arial"/>
          <w:i/>
          <w:iCs/>
        </w:rPr>
        <w:t>Labour market segmentation</w:t>
      </w:r>
      <w:r w:rsidRPr="00A86724">
        <w:rPr>
          <w:rFonts w:ascii="Arial" w:hAnsi="Arial" w:cs="Arial"/>
        </w:rPr>
        <w:t xml:space="preserve">. Available at: </w:t>
      </w:r>
      <w:hyperlink r:id="rId37" w:history="1">
        <w:r w:rsidRPr="00A86724">
          <w:rPr>
            <w:rStyle w:val="Hyperlink"/>
            <w:rFonts w:ascii="Arial" w:hAnsi="Arial" w:cs="Arial"/>
          </w:rPr>
          <w:t>https://www.ilo.org/topics/employment-security/labour-market-segmentation</w:t>
        </w:r>
      </w:hyperlink>
      <w:r w:rsidRPr="00A86724">
        <w:rPr>
          <w:rFonts w:ascii="Arial" w:hAnsi="Arial" w:cs="Arial"/>
        </w:rPr>
        <w:t xml:space="preserve"> (Accessed: 12 March 2026).</w:t>
      </w:r>
      <w:r w:rsidRPr="00A86724">
        <w:rPr>
          <w:rStyle w:val="Heading2Char"/>
          <w:rFonts w:ascii="Arial" w:hAnsi="Arial" w:cs="Arial"/>
          <w:sz w:val="22"/>
          <w:szCs w:val="22"/>
        </w:rPr>
        <w:t xml:space="preserve"> </w:t>
      </w:r>
      <w:r w:rsidRPr="00A86724">
        <w:rPr>
          <w:rStyle w:val="apple-converted-space"/>
          <w:rFonts w:ascii="Arial" w:hAnsi="Arial" w:cs="Arial"/>
        </w:rPr>
        <w:t> </w:t>
      </w:r>
    </w:p>
    <w:p w14:paraId="2F5466B1" w14:textId="55C837DF" w:rsidR="00C70E6C" w:rsidRDefault="00C70E6C" w:rsidP="00C70E6C">
      <w:pPr>
        <w:rPr>
          <w:rStyle w:val="apple-converted-space"/>
          <w:rFonts w:ascii="Arial" w:hAnsi="Arial" w:cs="Arial"/>
        </w:rPr>
      </w:pPr>
      <w:r w:rsidRPr="00A86724">
        <w:rPr>
          <w:rFonts w:ascii="Arial" w:hAnsi="Arial" w:cs="Arial"/>
        </w:rPr>
        <w:t xml:space="preserve">International Labour Organization (ILO) (2024) </w:t>
      </w:r>
      <w:r w:rsidRPr="00A86724">
        <w:rPr>
          <w:rFonts w:ascii="Arial" w:hAnsi="Arial" w:cs="Arial"/>
          <w:i/>
          <w:iCs/>
        </w:rPr>
        <w:t>Migrant workers in the care economy</w:t>
      </w:r>
      <w:r w:rsidRPr="00A86724">
        <w:rPr>
          <w:rFonts w:ascii="Arial" w:hAnsi="Arial" w:cs="Arial"/>
        </w:rPr>
        <w:t>. Available at:</w:t>
      </w:r>
      <w:r w:rsidRPr="00A86724">
        <w:rPr>
          <w:rStyle w:val="apple-converted-space"/>
          <w:rFonts w:ascii="Arial" w:hAnsi="Arial" w:cs="Arial"/>
        </w:rPr>
        <w:t> </w:t>
      </w:r>
      <w:hyperlink r:id="rId38" w:history="1">
        <w:r w:rsidRPr="00A86724">
          <w:rPr>
            <w:rStyle w:val="Hyperlink"/>
            <w:rFonts w:ascii="Arial" w:hAnsi="Arial" w:cs="Arial"/>
          </w:rPr>
          <w:t>https://www.ilo.org/sites/default/files/2024-10/Migrant%20Workers%20in%20the%20Care%20Economy_Note_2024_Final.pdf</w:t>
        </w:r>
      </w:hyperlink>
      <w:r w:rsidRPr="00A86724">
        <w:rPr>
          <w:rFonts w:ascii="Arial" w:hAnsi="Arial" w:cs="Arial"/>
        </w:rPr>
        <w:t xml:space="preserve"> (Accessed: 16 March 2026).</w:t>
      </w:r>
      <w:r w:rsidRPr="00A86724">
        <w:rPr>
          <w:rStyle w:val="Heading2Char"/>
          <w:rFonts w:ascii="Arial" w:hAnsi="Arial" w:cs="Arial"/>
          <w:sz w:val="22"/>
          <w:szCs w:val="22"/>
        </w:rPr>
        <w:t xml:space="preserve"> </w:t>
      </w:r>
      <w:r w:rsidRPr="00A86724">
        <w:rPr>
          <w:rStyle w:val="apple-converted-space"/>
          <w:rFonts w:ascii="Arial" w:hAnsi="Arial" w:cs="Arial"/>
        </w:rPr>
        <w:t> </w:t>
      </w:r>
    </w:p>
    <w:p w14:paraId="6CAD6652" w14:textId="57F03C69" w:rsidR="00584BEA" w:rsidRPr="00CA5C1F" w:rsidRDefault="00584BEA" w:rsidP="00C70E6C">
      <w:pPr>
        <w:rPr>
          <w:rStyle w:val="apple-converted-space"/>
          <w:rFonts w:ascii="Arial" w:hAnsi="Arial" w:cs="Arial"/>
          <w:color w:val="000000"/>
        </w:rPr>
      </w:pPr>
      <w:r w:rsidRPr="00CA5C1F">
        <w:rPr>
          <w:rFonts w:ascii="Arial" w:hAnsi="Arial" w:cs="Arial"/>
          <w:color w:val="000000"/>
        </w:rPr>
        <w:t>Institute for Government (2025) </w:t>
      </w:r>
      <w:r w:rsidRPr="00CA5C1F">
        <w:rPr>
          <w:rFonts w:ascii="Arial" w:hAnsi="Arial" w:cs="Arial"/>
          <w:i/>
          <w:iCs/>
          <w:color w:val="000000"/>
        </w:rPr>
        <w:t>Performance Tracker 2025: Adult social care</w:t>
      </w:r>
      <w:r w:rsidRPr="00CA5C1F">
        <w:rPr>
          <w:rFonts w:ascii="Arial" w:hAnsi="Arial" w:cs="Arial"/>
          <w:color w:val="000000"/>
        </w:rPr>
        <w:t>. Available at: </w:t>
      </w:r>
      <w:hyperlink r:id="rId39" w:history="1">
        <w:r w:rsidR="002D1B61" w:rsidRPr="00CA5C1F">
          <w:rPr>
            <w:rStyle w:val="Hyperlink"/>
            <w:rFonts w:ascii="Arial" w:hAnsi="Arial" w:cs="Arial"/>
          </w:rPr>
          <w:t>https://www.instituteforgovernment.org.uk/publication/performance-tracker-2025/local-services/adult-social-care</w:t>
        </w:r>
      </w:hyperlink>
      <w:r w:rsidR="00CA5C1F">
        <w:rPr>
          <w:rFonts w:ascii="Arial" w:hAnsi="Arial" w:cs="Arial"/>
          <w:color w:val="000000"/>
        </w:rPr>
        <w:t xml:space="preserve"> </w:t>
      </w:r>
      <w:r w:rsidRPr="00CA5C1F">
        <w:rPr>
          <w:rFonts w:ascii="Arial" w:hAnsi="Arial" w:cs="Arial"/>
          <w:color w:val="000000"/>
        </w:rPr>
        <w:t>(Accessed: 18 June 2026).</w:t>
      </w:r>
    </w:p>
    <w:p w14:paraId="0F322B25" w14:textId="36643CDF" w:rsidR="00185C8C" w:rsidRDefault="00185C8C" w:rsidP="00C70E6C">
      <w:pPr>
        <w:rPr>
          <w:rFonts w:ascii="Arial" w:hAnsi="Arial" w:cs="Arial"/>
          <w:color w:val="000000"/>
        </w:rPr>
      </w:pPr>
      <w:r w:rsidRPr="00185C8C">
        <w:rPr>
          <w:rFonts w:ascii="Arial" w:hAnsi="Arial" w:cs="Arial"/>
          <w:color w:val="000000"/>
        </w:rPr>
        <w:t>Kenrick, D.T., Griskevicius, V., Neuberg, S.L. and Schaller, M. (2010) ‘Renovating the pyramid of needs: contemporary extensions built upon ancient foundations’,</w:t>
      </w:r>
      <w:r w:rsidRPr="00185C8C">
        <w:rPr>
          <w:rStyle w:val="apple-converted-space"/>
          <w:rFonts w:ascii="Arial" w:hAnsi="Arial" w:cs="Arial"/>
          <w:color w:val="000000"/>
        </w:rPr>
        <w:t> </w:t>
      </w:r>
      <w:r w:rsidRPr="00185C8C">
        <w:rPr>
          <w:rStyle w:val="Emphasis"/>
          <w:rFonts w:ascii="Arial" w:hAnsi="Arial" w:cs="Arial"/>
          <w:color w:val="000000"/>
        </w:rPr>
        <w:t>Perspectives on Psychological Science</w:t>
      </w:r>
      <w:r w:rsidRPr="00185C8C">
        <w:rPr>
          <w:rFonts w:ascii="Arial" w:hAnsi="Arial" w:cs="Arial"/>
          <w:color w:val="000000"/>
        </w:rPr>
        <w:t>, 5(3), pp. 292–314.</w:t>
      </w:r>
    </w:p>
    <w:p w14:paraId="65FAAE7A" w14:textId="4EC1FFF4" w:rsidR="00880A94" w:rsidRDefault="00880A94" w:rsidP="00D632EA">
      <w:pPr>
        <w:jc w:val="left"/>
        <w:rPr>
          <w:rFonts w:ascii="Arial" w:hAnsi="Arial" w:cs="Arial"/>
          <w:color w:val="000000"/>
        </w:rPr>
      </w:pPr>
      <w:r w:rsidRPr="00880A94">
        <w:rPr>
          <w:rFonts w:ascii="Arial" w:hAnsi="Arial" w:cs="Arial"/>
          <w:color w:val="000000"/>
        </w:rPr>
        <w:t>King-Hill, S. (2015) ‘Critical analysis of Maslow’s hierarchy of need’,</w:t>
      </w:r>
      <w:r w:rsidRPr="00880A94">
        <w:rPr>
          <w:rStyle w:val="apple-converted-space"/>
          <w:rFonts w:ascii="Arial" w:hAnsi="Arial" w:cs="Arial"/>
          <w:color w:val="000000"/>
        </w:rPr>
        <w:t> </w:t>
      </w:r>
      <w:r w:rsidRPr="00880A94">
        <w:rPr>
          <w:rStyle w:val="Emphasis"/>
          <w:rFonts w:ascii="Arial" w:hAnsi="Arial" w:cs="Arial"/>
          <w:color w:val="000000"/>
        </w:rPr>
        <w:t>The STeP Journal: Student Teacher Perspectives</w:t>
      </w:r>
      <w:r w:rsidRPr="00880A94">
        <w:rPr>
          <w:rFonts w:ascii="Arial" w:hAnsi="Arial" w:cs="Arial"/>
          <w:color w:val="000000"/>
        </w:rPr>
        <w:t xml:space="preserve">, 2(4), pp. 54–57. </w:t>
      </w:r>
    </w:p>
    <w:p w14:paraId="25BADBAF" w14:textId="68518DC7" w:rsidR="00D74053" w:rsidRDefault="00D74053" w:rsidP="00657922">
      <w:pPr>
        <w:spacing w:before="100" w:beforeAutospacing="1" w:after="100" w:afterAutospacing="1"/>
        <w:jc w:val="left"/>
        <w:rPr>
          <w:rFonts w:ascii="Arial" w:hAnsi="Arial" w:cs="Arial"/>
          <w:color w:val="000000"/>
        </w:rPr>
      </w:pPr>
      <w:r w:rsidRPr="00657922">
        <w:rPr>
          <w:rStyle w:val="Strong"/>
          <w:rFonts w:ascii="Arial" w:hAnsi="Arial" w:cs="Arial"/>
          <w:b w:val="0"/>
          <w:bCs w:val="0"/>
          <w:color w:val="000000"/>
        </w:rPr>
        <w:t>Local Government Association</w:t>
      </w:r>
      <w:r w:rsidR="00657922" w:rsidRPr="00657922">
        <w:rPr>
          <w:rStyle w:val="Strong"/>
          <w:rFonts w:ascii="Arial" w:hAnsi="Arial" w:cs="Arial"/>
          <w:b w:val="0"/>
          <w:bCs w:val="0"/>
          <w:color w:val="000000"/>
        </w:rPr>
        <w:t xml:space="preserve">. </w:t>
      </w:r>
      <w:r w:rsidRPr="00657922">
        <w:rPr>
          <w:rStyle w:val="Strong"/>
          <w:rFonts w:ascii="Arial" w:hAnsi="Arial" w:cs="Arial"/>
          <w:b w:val="0"/>
          <w:bCs w:val="0"/>
          <w:color w:val="000000"/>
        </w:rPr>
        <w:t>(2024)</w:t>
      </w:r>
      <w:r w:rsidRPr="00657922">
        <w:rPr>
          <w:rStyle w:val="apple-converted-space"/>
          <w:rFonts w:ascii="Arial" w:hAnsi="Arial" w:cs="Arial"/>
          <w:color w:val="000000"/>
        </w:rPr>
        <w:t> </w:t>
      </w:r>
      <w:r w:rsidRPr="00657922">
        <w:rPr>
          <w:rStyle w:val="Emphasis"/>
          <w:rFonts w:ascii="Arial" w:hAnsi="Arial" w:cs="Arial"/>
          <w:color w:val="000000"/>
        </w:rPr>
        <w:t>International recruitment in adult social care: A guide for councils</w:t>
      </w:r>
      <w:r w:rsidRPr="00657922">
        <w:rPr>
          <w:rFonts w:ascii="Arial" w:hAnsi="Arial" w:cs="Arial"/>
          <w:color w:val="000000"/>
        </w:rPr>
        <w:t>. Available at:</w:t>
      </w:r>
      <w:r w:rsidRPr="00657922">
        <w:rPr>
          <w:rStyle w:val="apple-converted-space"/>
          <w:rFonts w:ascii="Arial" w:hAnsi="Arial" w:cs="Arial"/>
          <w:color w:val="000000"/>
        </w:rPr>
        <w:t> </w:t>
      </w:r>
      <w:hyperlink r:id="rId40" w:tgtFrame="_new" w:history="1">
        <w:r w:rsidRPr="00657922">
          <w:rPr>
            <w:rStyle w:val="Hyperlink"/>
            <w:rFonts w:ascii="Arial" w:hAnsi="Arial" w:cs="Arial"/>
          </w:rPr>
          <w:t>https://www.local.gov.uk/publications/international-recruitment-adult-social-care-guide-councils</w:t>
        </w:r>
      </w:hyperlink>
      <w:r w:rsidRPr="00657922">
        <w:rPr>
          <w:rStyle w:val="apple-converted-space"/>
          <w:rFonts w:ascii="Arial" w:hAnsi="Arial" w:cs="Arial"/>
          <w:color w:val="000000"/>
        </w:rPr>
        <w:t> </w:t>
      </w:r>
      <w:r w:rsidRPr="00657922">
        <w:rPr>
          <w:rFonts w:ascii="Arial" w:hAnsi="Arial" w:cs="Arial"/>
          <w:color w:val="000000"/>
        </w:rPr>
        <w:t>(Accessed: 24 June 2026).</w:t>
      </w:r>
    </w:p>
    <w:p w14:paraId="66790D6C" w14:textId="08C295DB" w:rsidR="00C37B7F" w:rsidRPr="00CF28C4" w:rsidRDefault="00C37B7F" w:rsidP="00657922">
      <w:pPr>
        <w:spacing w:before="100" w:beforeAutospacing="1" w:after="100" w:afterAutospacing="1"/>
        <w:jc w:val="left"/>
        <w:rPr>
          <w:rFonts w:ascii="Arial" w:eastAsia="Times New Roman" w:hAnsi="Arial" w:cs="Arial"/>
          <w:color w:val="000000"/>
          <w:lang w:eastAsia="en-GB"/>
        </w:rPr>
      </w:pPr>
      <w:r w:rsidRPr="00CF28C4">
        <w:rPr>
          <w:rFonts w:ascii="Arial" w:hAnsi="Arial" w:cs="Arial"/>
          <w:color w:val="000000"/>
        </w:rPr>
        <w:t>Legislation.gov.uk (2014) </w:t>
      </w:r>
      <w:r w:rsidRPr="00CF28C4">
        <w:rPr>
          <w:rFonts w:ascii="Arial" w:hAnsi="Arial" w:cs="Arial"/>
          <w:i/>
          <w:iCs/>
          <w:color w:val="000000"/>
        </w:rPr>
        <w:t>Care Act 2014</w:t>
      </w:r>
      <w:r w:rsidRPr="00CF28C4">
        <w:rPr>
          <w:rFonts w:ascii="Arial" w:hAnsi="Arial" w:cs="Arial"/>
          <w:color w:val="000000"/>
        </w:rPr>
        <w:t>. Available at: </w:t>
      </w:r>
      <w:hyperlink r:id="rId41" w:tgtFrame="_new" w:history="1">
        <w:r w:rsidRPr="00CF28C4">
          <w:rPr>
            <w:rFonts w:ascii="Arial" w:hAnsi="Arial" w:cs="Arial"/>
            <w:color w:val="0000FF"/>
            <w:u w:val="single"/>
          </w:rPr>
          <w:t>https://www.legislation.gov.uk/ukpga/2014/23/contents/enacted</w:t>
        </w:r>
      </w:hyperlink>
      <w:r w:rsidRPr="00CF28C4">
        <w:rPr>
          <w:rFonts w:ascii="Arial" w:hAnsi="Arial" w:cs="Arial"/>
          <w:color w:val="000000"/>
        </w:rPr>
        <w:t>(Accessed: 6 July 2026).</w:t>
      </w:r>
    </w:p>
    <w:p w14:paraId="5609AF21" w14:textId="3AA2B61F" w:rsidR="004E11F2" w:rsidRPr="00AC63D7" w:rsidRDefault="004E11F2" w:rsidP="004E11F2">
      <w:pPr>
        <w:jc w:val="left"/>
        <w:rPr>
          <w:rFonts w:ascii="Arial" w:hAnsi="Arial" w:cs="Arial"/>
          <w:color w:val="EE0000"/>
        </w:rPr>
      </w:pPr>
      <w:r w:rsidRPr="004E11F2">
        <w:rPr>
          <w:rFonts w:ascii="Arial" w:hAnsi="Arial" w:cs="Arial"/>
          <w:color w:val="000000"/>
        </w:rPr>
        <w:t>Marino, S. and Keizer, A. (2023) ‘Labour market regulation and the demand for migrant labour: A comparison of the adult social care sector in England and the Netherlands’, </w:t>
      </w:r>
      <w:r w:rsidRPr="004E11F2">
        <w:rPr>
          <w:rFonts w:ascii="Arial" w:hAnsi="Arial" w:cs="Arial"/>
          <w:i/>
          <w:iCs/>
          <w:color w:val="000000"/>
        </w:rPr>
        <w:t>European Journal of Industrial Relations</w:t>
      </w:r>
      <w:r w:rsidRPr="004E11F2">
        <w:rPr>
          <w:rFonts w:ascii="Arial" w:hAnsi="Arial" w:cs="Arial"/>
          <w:color w:val="000000"/>
        </w:rPr>
        <w:t>, 29(2), pp. 159–176. Available at: </w:t>
      </w:r>
      <w:hyperlink r:id="rId42" w:tgtFrame="_new" w:history="1">
        <w:r w:rsidRPr="004E11F2">
          <w:rPr>
            <w:rFonts w:ascii="Arial" w:hAnsi="Arial" w:cs="Arial"/>
            <w:color w:val="0000FF"/>
            <w:u w:val="single"/>
          </w:rPr>
          <w:t>https://doi.org/10.1177/09596801221127810</w:t>
        </w:r>
      </w:hyperlink>
      <w:r w:rsidR="00AC63D7">
        <w:t xml:space="preserve">  </w:t>
      </w:r>
      <w:r w:rsidR="00AC63D7" w:rsidRPr="00AC63D7">
        <w:rPr>
          <w:color w:val="EE0000"/>
        </w:rPr>
        <w:t>Paper 3</w:t>
      </w:r>
    </w:p>
    <w:p w14:paraId="0BA15FDE" w14:textId="77777777" w:rsidR="00C70E6C" w:rsidRDefault="00C70E6C" w:rsidP="00C70E6C">
      <w:pPr>
        <w:rPr>
          <w:rFonts w:ascii="Arial" w:hAnsi="Arial" w:cs="Arial"/>
        </w:rPr>
      </w:pPr>
      <w:r w:rsidRPr="00A86724">
        <w:rPr>
          <w:rFonts w:ascii="Arial" w:hAnsi="Arial" w:cs="Arial"/>
        </w:rPr>
        <w:t xml:space="preserve">Migration Advisory Committee (2023) </w:t>
      </w:r>
      <w:r w:rsidRPr="00A86724">
        <w:rPr>
          <w:rFonts w:ascii="Arial" w:hAnsi="Arial" w:cs="Arial"/>
          <w:i/>
          <w:iCs/>
        </w:rPr>
        <w:t>Review of the Shortage Occupation List</w:t>
      </w:r>
      <w:r w:rsidRPr="00A86724">
        <w:rPr>
          <w:rFonts w:ascii="Arial" w:hAnsi="Arial" w:cs="Arial"/>
        </w:rPr>
        <w:t xml:space="preserve">. Available at: </w:t>
      </w:r>
      <w:hyperlink r:id="rId43" w:history="1">
        <w:r w:rsidRPr="00A86724">
          <w:rPr>
            <w:rStyle w:val="Hyperlink"/>
            <w:rFonts w:ascii="Arial" w:hAnsi="Arial" w:cs="Arial"/>
          </w:rPr>
          <w:t>https://assets.publishing.service.gov.uk/media/651557b86dfda600148e37ba/Review_of_the_Shortage_Occupation_List_2023.pdf</w:t>
        </w:r>
      </w:hyperlink>
      <w:r w:rsidRPr="00A86724">
        <w:rPr>
          <w:rFonts w:ascii="Arial" w:hAnsi="Arial" w:cs="Arial"/>
        </w:rPr>
        <w:t xml:space="preserve">  (Accessed: 12 March 2026).</w:t>
      </w:r>
    </w:p>
    <w:p w14:paraId="1286A7FC" w14:textId="2015E34F" w:rsidR="00680F68" w:rsidRPr="00D03358" w:rsidRDefault="00680F68" w:rsidP="00D03358">
      <w:pPr>
        <w:jc w:val="left"/>
        <w:rPr>
          <w:rFonts w:ascii="Arial" w:hAnsi="Arial" w:cs="Arial"/>
        </w:rPr>
      </w:pPr>
      <w:r w:rsidRPr="00D03358">
        <w:rPr>
          <w:rFonts w:ascii="Arial" w:hAnsi="Arial" w:cs="Arial"/>
          <w:color w:val="000000"/>
        </w:rPr>
        <w:t>Migration Advisory Committee</w:t>
      </w:r>
      <w:r w:rsidR="00B84FDF">
        <w:rPr>
          <w:rFonts w:ascii="Arial" w:hAnsi="Arial" w:cs="Arial"/>
          <w:color w:val="000000"/>
        </w:rPr>
        <w:t xml:space="preserve">. </w:t>
      </w:r>
      <w:r w:rsidRPr="00D03358">
        <w:rPr>
          <w:rFonts w:ascii="Arial" w:hAnsi="Arial" w:cs="Arial"/>
          <w:color w:val="000000"/>
        </w:rPr>
        <w:t>(2022)</w:t>
      </w:r>
      <w:r w:rsidRPr="00D03358">
        <w:rPr>
          <w:rStyle w:val="apple-converted-space"/>
          <w:rFonts w:ascii="Arial" w:hAnsi="Arial" w:cs="Arial"/>
          <w:color w:val="000000"/>
        </w:rPr>
        <w:t> </w:t>
      </w:r>
      <w:r w:rsidRPr="00D03358">
        <w:rPr>
          <w:rStyle w:val="Emphasis"/>
          <w:rFonts w:ascii="Arial" w:hAnsi="Arial" w:cs="Arial"/>
          <w:color w:val="000000"/>
        </w:rPr>
        <w:t>Recruitment and retention in adult social care: A qualitative study</w:t>
      </w:r>
      <w:r w:rsidRPr="00D03358">
        <w:rPr>
          <w:rFonts w:ascii="Arial" w:hAnsi="Arial" w:cs="Arial"/>
          <w:color w:val="000000"/>
        </w:rPr>
        <w:t>. Available at:</w:t>
      </w:r>
      <w:r w:rsidRPr="00D03358">
        <w:rPr>
          <w:rStyle w:val="apple-converted-space"/>
          <w:rFonts w:ascii="Arial" w:hAnsi="Arial" w:cs="Arial"/>
          <w:color w:val="000000"/>
        </w:rPr>
        <w:t> </w:t>
      </w:r>
      <w:hyperlink r:id="rId44" w:history="1">
        <w:r w:rsidR="00D03358" w:rsidRPr="00D03358">
          <w:rPr>
            <w:rStyle w:val="Hyperlink"/>
            <w:rFonts w:ascii="Arial" w:hAnsi="Arial" w:cs="Arial"/>
          </w:rPr>
          <w:t>https://www.gov.uk/government/publications/recruitment-and-retention-in-adult-social-care-a-qualitative-study</w:t>
        </w:r>
      </w:hyperlink>
      <w:r w:rsidR="00D03358" w:rsidRPr="00D03358">
        <w:rPr>
          <w:rStyle w:val="apple-converted-space"/>
          <w:rFonts w:ascii="Arial" w:hAnsi="Arial" w:cs="Arial"/>
          <w:color w:val="000000"/>
        </w:rPr>
        <w:t xml:space="preserve"> </w:t>
      </w:r>
      <w:r w:rsidR="00324218" w:rsidRPr="00D03358">
        <w:rPr>
          <w:rFonts w:ascii="Arial" w:hAnsi="Arial" w:cs="Arial"/>
          <w:color w:val="000000"/>
        </w:rPr>
        <w:t xml:space="preserve"> </w:t>
      </w:r>
      <w:r w:rsidRPr="00D03358">
        <w:rPr>
          <w:rFonts w:ascii="Arial" w:hAnsi="Arial" w:cs="Arial"/>
          <w:color w:val="000000"/>
        </w:rPr>
        <w:t>(Accessed: 24 June 2026).</w:t>
      </w:r>
    </w:p>
    <w:p w14:paraId="48E77953" w14:textId="77777777" w:rsidR="00C70E6C" w:rsidRPr="00A86724" w:rsidRDefault="00C70E6C" w:rsidP="00C70E6C">
      <w:pPr>
        <w:rPr>
          <w:rFonts w:ascii="Arial" w:hAnsi="Arial" w:cs="Arial"/>
        </w:rPr>
      </w:pPr>
      <w:r w:rsidRPr="00A86724">
        <w:rPr>
          <w:rFonts w:ascii="Arial" w:hAnsi="Arial" w:cs="Arial"/>
        </w:rPr>
        <w:lastRenderedPageBreak/>
        <w:t xml:space="preserve">Migration Observatory (2023) </w:t>
      </w:r>
      <w:r w:rsidRPr="00A86724">
        <w:rPr>
          <w:rFonts w:ascii="Arial" w:hAnsi="Arial" w:cs="Arial"/>
          <w:i/>
          <w:iCs/>
        </w:rPr>
        <w:t>Migration and the health and care workforce</w:t>
      </w:r>
      <w:r w:rsidRPr="00A86724">
        <w:rPr>
          <w:rFonts w:ascii="Arial" w:hAnsi="Arial" w:cs="Arial"/>
        </w:rPr>
        <w:t xml:space="preserve">. University of Oxford. Available at: </w:t>
      </w:r>
      <w:hyperlink r:id="rId45" w:history="1">
        <w:r w:rsidRPr="00A86724">
          <w:rPr>
            <w:rStyle w:val="Hyperlink"/>
            <w:rFonts w:ascii="Arial" w:hAnsi="Arial" w:cs="Arial"/>
          </w:rPr>
          <w:t>https://migrationobservatory.ox.ac.uk/resources/briefings/migration-and-the-health-and-care-workforce</w:t>
        </w:r>
      </w:hyperlink>
      <w:r w:rsidRPr="00A86724">
        <w:rPr>
          <w:rFonts w:ascii="Arial" w:hAnsi="Arial" w:cs="Arial"/>
        </w:rPr>
        <w:t xml:space="preserve">  (Accessed: 12 March 2026).</w:t>
      </w:r>
    </w:p>
    <w:p w14:paraId="73264F66" w14:textId="77777777" w:rsidR="00C70E6C" w:rsidRDefault="00C70E6C" w:rsidP="00C70E6C">
      <w:pPr>
        <w:rPr>
          <w:rFonts w:ascii="Arial" w:hAnsi="Arial" w:cs="Arial"/>
        </w:rPr>
      </w:pPr>
      <w:r w:rsidRPr="00A86724">
        <w:rPr>
          <w:rFonts w:ascii="Arial" w:hAnsi="Arial" w:cs="Arial"/>
        </w:rPr>
        <w:t xml:space="preserve">Moriarty, J., Manthorpe, J. &amp; Harris, J. (2018) ‘Recruitment and retention in adult social care services’, </w:t>
      </w:r>
      <w:r w:rsidRPr="00A86724">
        <w:rPr>
          <w:rFonts w:ascii="Arial" w:hAnsi="Arial" w:cs="Arial"/>
          <w:i/>
          <w:iCs/>
        </w:rPr>
        <w:t>International Journal of Care and Caring</w:t>
      </w:r>
      <w:r w:rsidRPr="00A86724">
        <w:rPr>
          <w:rFonts w:ascii="Arial" w:hAnsi="Arial" w:cs="Arial"/>
        </w:rPr>
        <w:t>, 2(2), pp. 181–197.</w:t>
      </w:r>
    </w:p>
    <w:p w14:paraId="53EAA88F" w14:textId="4BCFA23F" w:rsidR="008F7284" w:rsidRDefault="008F7284" w:rsidP="004C5111">
      <w:pPr>
        <w:jc w:val="left"/>
        <w:rPr>
          <w:rFonts w:ascii="Arial" w:hAnsi="Arial" w:cs="Arial"/>
          <w:color w:val="000000"/>
        </w:rPr>
      </w:pPr>
      <w:r w:rsidRPr="004C5111">
        <w:rPr>
          <w:rFonts w:ascii="Arial" w:hAnsi="Arial" w:cs="Arial"/>
          <w:color w:val="000000"/>
        </w:rPr>
        <w:t>McLeod, S. (2026)</w:t>
      </w:r>
      <w:r w:rsidRPr="004C5111">
        <w:rPr>
          <w:rStyle w:val="apple-converted-space"/>
          <w:rFonts w:ascii="Arial" w:hAnsi="Arial" w:cs="Arial"/>
          <w:color w:val="000000"/>
        </w:rPr>
        <w:t> </w:t>
      </w:r>
      <w:r w:rsidRPr="004C5111">
        <w:rPr>
          <w:rStyle w:val="Emphasis"/>
          <w:rFonts w:ascii="Arial" w:hAnsi="Arial" w:cs="Arial"/>
          <w:color w:val="000000"/>
        </w:rPr>
        <w:t>Maslow’s hierarchy of needs</w:t>
      </w:r>
      <w:r w:rsidRPr="004C5111">
        <w:rPr>
          <w:rFonts w:ascii="Arial" w:hAnsi="Arial" w:cs="Arial"/>
          <w:color w:val="000000"/>
        </w:rPr>
        <w:t>. Simply Psychology. Available at:</w:t>
      </w:r>
      <w:r w:rsidRPr="004C5111">
        <w:rPr>
          <w:rStyle w:val="apple-converted-space"/>
          <w:rFonts w:ascii="Arial" w:hAnsi="Arial" w:cs="Arial"/>
          <w:color w:val="000000"/>
        </w:rPr>
        <w:t> </w:t>
      </w:r>
      <w:hyperlink r:id="rId46" w:history="1">
        <w:r w:rsidR="00E425E3" w:rsidRPr="004C5111">
          <w:rPr>
            <w:rStyle w:val="Hyperlink"/>
            <w:rFonts w:ascii="Arial" w:hAnsi="Arial" w:cs="Arial"/>
          </w:rPr>
          <w:t>https://www.simplypsychology.org/maslow.html</w:t>
        </w:r>
      </w:hyperlink>
      <w:r w:rsidR="004C5111" w:rsidRPr="004C5111">
        <w:rPr>
          <w:rStyle w:val="apple-converted-space"/>
          <w:rFonts w:ascii="Arial" w:hAnsi="Arial" w:cs="Arial"/>
          <w:color w:val="000000"/>
        </w:rPr>
        <w:t xml:space="preserve"> </w:t>
      </w:r>
      <w:r w:rsidRPr="004C5111">
        <w:rPr>
          <w:rFonts w:ascii="Arial" w:hAnsi="Arial" w:cs="Arial"/>
          <w:color w:val="000000"/>
        </w:rPr>
        <w:t>(Accessed: 18 June 2026).</w:t>
      </w:r>
    </w:p>
    <w:p w14:paraId="108D0459" w14:textId="3E87B02E" w:rsidR="006F6056" w:rsidRPr="00EA657F" w:rsidRDefault="006F6056" w:rsidP="004C5111">
      <w:pPr>
        <w:jc w:val="left"/>
        <w:rPr>
          <w:rFonts w:ascii="Arial" w:hAnsi="Arial" w:cs="Arial"/>
          <w:color w:val="000000"/>
        </w:rPr>
      </w:pPr>
      <w:r w:rsidRPr="00CE78D3">
        <w:rPr>
          <w:rStyle w:val="Strong"/>
          <w:rFonts w:ascii="Arial" w:hAnsi="Arial" w:cs="Arial"/>
          <w:b w:val="0"/>
          <w:bCs w:val="0"/>
          <w:color w:val="000000"/>
        </w:rPr>
        <w:t>NHS England (2023)</w:t>
      </w:r>
      <w:r w:rsidRPr="00EA657F">
        <w:rPr>
          <w:rStyle w:val="apple-converted-space"/>
          <w:rFonts w:ascii="Arial" w:hAnsi="Arial" w:cs="Arial"/>
          <w:color w:val="000000"/>
        </w:rPr>
        <w:t> </w:t>
      </w:r>
      <w:r w:rsidRPr="00EA657F">
        <w:rPr>
          <w:rStyle w:val="Emphasis"/>
          <w:rFonts w:ascii="Arial" w:hAnsi="Arial" w:cs="Arial"/>
          <w:color w:val="000000"/>
        </w:rPr>
        <w:t>NHS Long Term Workforce Plan</w:t>
      </w:r>
      <w:r w:rsidRPr="00EA657F">
        <w:rPr>
          <w:rFonts w:ascii="Arial" w:hAnsi="Arial" w:cs="Arial"/>
          <w:color w:val="000000"/>
        </w:rPr>
        <w:t>. London: NHS England. Available at:</w:t>
      </w:r>
      <w:r w:rsidR="00052944" w:rsidRPr="00EA657F">
        <w:rPr>
          <w:rFonts w:ascii="Arial" w:hAnsi="Arial" w:cs="Arial"/>
        </w:rPr>
        <w:t xml:space="preserve"> </w:t>
      </w:r>
      <w:hyperlink r:id="rId47" w:history="1">
        <w:r w:rsidR="00EA657F" w:rsidRPr="00EA657F">
          <w:rPr>
            <w:rStyle w:val="Hyperlink"/>
            <w:rFonts w:ascii="Arial" w:hAnsi="Arial" w:cs="Arial"/>
          </w:rPr>
          <w:t>https://www.england.nhs.uk/publication/nhs-long-term-workforce-plan/</w:t>
        </w:r>
      </w:hyperlink>
      <w:r w:rsidR="00EA657F" w:rsidRPr="00EA657F">
        <w:rPr>
          <w:rFonts w:ascii="Arial" w:hAnsi="Arial" w:cs="Arial"/>
          <w:color w:val="000000"/>
        </w:rPr>
        <w:t xml:space="preserve"> </w:t>
      </w:r>
      <w:r w:rsidRPr="00EA657F">
        <w:rPr>
          <w:rFonts w:ascii="Arial" w:hAnsi="Arial" w:cs="Arial"/>
          <w:color w:val="000000"/>
        </w:rPr>
        <w:t>(Accessed: 6 July 2026).</w:t>
      </w:r>
    </w:p>
    <w:p w14:paraId="1FC0EBA0" w14:textId="77777777" w:rsidR="00C70E6C" w:rsidRDefault="00C70E6C" w:rsidP="00C70E6C">
      <w:pPr>
        <w:rPr>
          <w:rFonts w:ascii="Arial" w:hAnsi="Arial" w:cs="Arial"/>
          <w:color w:val="EE0000"/>
        </w:rPr>
      </w:pPr>
      <w:r w:rsidRPr="00CF396D">
        <w:rPr>
          <w:rFonts w:ascii="Arial" w:hAnsi="Arial" w:cs="Arial"/>
          <w:color w:val="EE0000"/>
        </w:rPr>
        <w:t xml:space="preserve">Office for National Statistics (2023) </w:t>
      </w:r>
      <w:r w:rsidRPr="00CF396D">
        <w:rPr>
          <w:rFonts w:ascii="Arial" w:hAnsi="Arial" w:cs="Arial"/>
          <w:i/>
          <w:iCs/>
          <w:color w:val="EE0000"/>
        </w:rPr>
        <w:t>Population ageing and the health and social care workforce</w:t>
      </w:r>
      <w:r w:rsidRPr="00CF396D">
        <w:rPr>
          <w:rFonts w:ascii="Arial" w:hAnsi="Arial" w:cs="Arial"/>
          <w:color w:val="EE0000"/>
        </w:rPr>
        <w:t xml:space="preserve">. Available at: </w:t>
      </w:r>
      <w:hyperlink r:id="rId48" w:history="1">
        <w:r w:rsidRPr="00CF396D">
          <w:rPr>
            <w:rStyle w:val="Hyperlink"/>
            <w:rFonts w:ascii="Arial" w:hAnsi="Arial" w:cs="Arial"/>
            <w:color w:val="EE0000"/>
          </w:rPr>
          <w:t>https://www.ons.gov.uk</w:t>
        </w:r>
      </w:hyperlink>
      <w:r w:rsidRPr="00CF396D">
        <w:rPr>
          <w:rFonts w:ascii="Arial" w:hAnsi="Arial" w:cs="Arial"/>
          <w:color w:val="EE0000"/>
        </w:rPr>
        <w:t xml:space="preserve">  (Accessed: 12 March 2026).</w:t>
      </w:r>
    </w:p>
    <w:p w14:paraId="17651B8E" w14:textId="6B336DBF" w:rsidR="00DF3AC1" w:rsidRDefault="00DF3AC1" w:rsidP="00DF3AC1">
      <w:pPr>
        <w:jc w:val="left"/>
        <w:rPr>
          <w:rFonts w:ascii="Arial" w:hAnsi="Arial" w:cs="Arial"/>
          <w:color w:val="000000"/>
        </w:rPr>
      </w:pPr>
      <w:r w:rsidRPr="00DF3AC1">
        <w:rPr>
          <w:rStyle w:val="Strong"/>
          <w:rFonts w:ascii="Arial" w:hAnsi="Arial" w:cs="Arial"/>
          <w:b w:val="0"/>
          <w:bCs w:val="0"/>
          <w:color w:val="000000"/>
        </w:rPr>
        <w:t>Omiyi, D., Wilkinson, E. and Snaith, B. (2024)</w:t>
      </w:r>
      <w:r w:rsidRPr="00DF3AC1">
        <w:rPr>
          <w:rStyle w:val="apple-converted-space"/>
          <w:rFonts w:ascii="Arial" w:hAnsi="Arial" w:cs="Arial"/>
          <w:color w:val="000000"/>
        </w:rPr>
        <w:t> </w:t>
      </w:r>
      <w:r w:rsidRPr="00DF3AC1">
        <w:rPr>
          <w:rFonts w:ascii="Arial" w:hAnsi="Arial" w:cs="Arial"/>
          <w:color w:val="000000"/>
        </w:rPr>
        <w:t>‘Exploring the motivations, challenges and integration of internationally educated healthcare workers in the UK: A scoping review’,</w:t>
      </w:r>
      <w:r w:rsidRPr="00DF3AC1">
        <w:rPr>
          <w:rStyle w:val="apple-converted-space"/>
          <w:rFonts w:ascii="Arial" w:hAnsi="Arial" w:cs="Arial"/>
          <w:color w:val="000000"/>
        </w:rPr>
        <w:t> </w:t>
      </w:r>
      <w:r w:rsidRPr="00DF3AC1">
        <w:rPr>
          <w:rStyle w:val="Emphasis"/>
          <w:rFonts w:ascii="Arial" w:hAnsi="Arial" w:cs="Arial"/>
          <w:color w:val="000000"/>
        </w:rPr>
        <w:t>Nursing Management</w:t>
      </w:r>
      <w:r w:rsidRPr="00DF3AC1">
        <w:rPr>
          <w:rFonts w:ascii="Arial" w:hAnsi="Arial" w:cs="Arial"/>
          <w:color w:val="000000"/>
        </w:rPr>
        <w:t>. Available at:</w:t>
      </w:r>
      <w:r w:rsidRPr="00DF3AC1">
        <w:rPr>
          <w:rStyle w:val="apple-converted-space"/>
          <w:rFonts w:ascii="Arial" w:hAnsi="Arial" w:cs="Arial"/>
          <w:color w:val="000000"/>
        </w:rPr>
        <w:t> </w:t>
      </w:r>
      <w:hyperlink r:id="rId49" w:tgtFrame="_new" w:history="1">
        <w:r w:rsidRPr="00DF3AC1">
          <w:rPr>
            <w:rStyle w:val="Hyperlink"/>
            <w:rFonts w:ascii="Arial" w:hAnsi="Arial" w:cs="Arial"/>
          </w:rPr>
          <w:t>https://doi.org/10.1177/15271544241289605</w:t>
        </w:r>
      </w:hyperlink>
      <w:r w:rsidRPr="00DF3AC1">
        <w:rPr>
          <w:rFonts w:ascii="Arial" w:hAnsi="Arial" w:cs="Arial"/>
          <w:color w:val="000000"/>
        </w:rPr>
        <w:t>.</w:t>
      </w:r>
    </w:p>
    <w:p w14:paraId="09519562" w14:textId="01CF1BC7" w:rsidR="001E19C8" w:rsidRPr="001E19C8" w:rsidRDefault="001E19C8" w:rsidP="00DF3AC1">
      <w:pPr>
        <w:jc w:val="left"/>
        <w:rPr>
          <w:rFonts w:ascii="Arial" w:hAnsi="Arial" w:cs="Arial"/>
          <w:color w:val="EE0000"/>
        </w:rPr>
      </w:pPr>
      <w:r w:rsidRPr="001E19C8">
        <w:rPr>
          <w:rFonts w:ascii="Arial" w:hAnsi="Arial" w:cs="Arial"/>
          <w:color w:val="000000"/>
        </w:rPr>
        <w:t>Organisation for Economic Co-operation and Development (OECD) (2020) </w:t>
      </w:r>
      <w:r w:rsidRPr="001E19C8">
        <w:rPr>
          <w:rFonts w:ascii="Arial" w:hAnsi="Arial" w:cs="Arial"/>
          <w:i/>
          <w:iCs/>
          <w:color w:val="000000"/>
        </w:rPr>
        <w:t>Who Cares? Attracting and Retaining Care Workers for the Elderly</w:t>
      </w:r>
      <w:r w:rsidRPr="001E19C8">
        <w:rPr>
          <w:rFonts w:ascii="Arial" w:hAnsi="Arial" w:cs="Arial"/>
          <w:color w:val="000000"/>
        </w:rPr>
        <w:t>. Paris: OECD Publishing. Available at: </w:t>
      </w:r>
      <w:hyperlink r:id="rId50" w:tgtFrame="_new" w:history="1">
        <w:r w:rsidRPr="001E19C8">
          <w:rPr>
            <w:rFonts w:ascii="Arial" w:hAnsi="Arial" w:cs="Arial"/>
            <w:color w:val="0000FF"/>
            <w:u w:val="single"/>
          </w:rPr>
          <w:t>https://doi.org/10.1787/92c0ef68-en</w:t>
        </w:r>
      </w:hyperlink>
      <w:r w:rsidRPr="001E19C8">
        <w:rPr>
          <w:rFonts w:ascii="Arial" w:hAnsi="Arial" w:cs="Arial"/>
          <w:color w:val="000000"/>
        </w:rPr>
        <w:t> (Accessed: 7 July 2026).</w:t>
      </w:r>
    </w:p>
    <w:p w14:paraId="471C1E6F" w14:textId="77777777" w:rsidR="00C70E6C" w:rsidRPr="00A86724" w:rsidRDefault="00C70E6C" w:rsidP="00C70E6C">
      <w:pPr>
        <w:rPr>
          <w:rStyle w:val="apple-converted-space"/>
          <w:rFonts w:ascii="Arial" w:eastAsiaTheme="majorEastAsia" w:hAnsi="Arial" w:cs="Arial"/>
        </w:rPr>
      </w:pPr>
      <w:r w:rsidRPr="00A86724">
        <w:rPr>
          <w:rFonts w:ascii="Arial" w:hAnsi="Arial" w:cs="Arial"/>
        </w:rPr>
        <w:t xml:space="preserve">Portes, J. and Springford, J. (2023) ‘The impact of the post-Brexit migration system on the UK labour market’, </w:t>
      </w:r>
      <w:r w:rsidRPr="00A86724">
        <w:rPr>
          <w:rFonts w:ascii="Arial" w:hAnsi="Arial" w:cs="Arial"/>
          <w:i/>
          <w:iCs/>
        </w:rPr>
        <w:t>Contemporary Social Science</w:t>
      </w:r>
      <w:r w:rsidRPr="00A86724">
        <w:rPr>
          <w:rFonts w:ascii="Arial" w:hAnsi="Arial" w:cs="Arial"/>
        </w:rPr>
        <w:t>, 18(2), pp. 132–149.</w:t>
      </w:r>
      <w:r w:rsidRPr="00A86724">
        <w:rPr>
          <w:rStyle w:val="apple-converted-space"/>
          <w:rFonts w:ascii="Arial" w:eastAsiaTheme="majorEastAsia" w:hAnsi="Arial" w:cs="Arial"/>
        </w:rPr>
        <w:t> </w:t>
      </w:r>
    </w:p>
    <w:p w14:paraId="1CC862D7" w14:textId="77777777" w:rsidR="00C70E6C" w:rsidRDefault="00C70E6C" w:rsidP="00C70E6C">
      <w:pPr>
        <w:rPr>
          <w:rFonts w:ascii="Arial" w:hAnsi="Arial" w:cs="Arial"/>
        </w:rPr>
      </w:pPr>
      <w:r w:rsidRPr="00A86724">
        <w:rPr>
          <w:rFonts w:ascii="Arial" w:hAnsi="Arial" w:cs="Arial"/>
        </w:rPr>
        <w:t xml:space="preserve">UK Parliament POST (2025) </w:t>
      </w:r>
      <w:r w:rsidRPr="00A86724">
        <w:rPr>
          <w:rFonts w:ascii="Arial" w:hAnsi="Arial" w:cs="Arial"/>
          <w:i/>
          <w:iCs/>
        </w:rPr>
        <w:t>Sustaining the health and adult social care workforce</w:t>
      </w:r>
      <w:r w:rsidRPr="00A86724">
        <w:rPr>
          <w:rFonts w:ascii="Arial" w:hAnsi="Arial" w:cs="Arial"/>
        </w:rPr>
        <w:t xml:space="preserve">. Available at: </w:t>
      </w:r>
      <w:hyperlink r:id="rId51" w:history="1">
        <w:r w:rsidRPr="00A86724">
          <w:rPr>
            <w:rStyle w:val="Hyperlink"/>
            <w:rFonts w:ascii="Arial" w:hAnsi="Arial" w:cs="Arial"/>
          </w:rPr>
          <w:t>https://post.parliament.uk/sustaining-the-health-and-adult-social-care-workforce/</w:t>
        </w:r>
      </w:hyperlink>
      <w:r w:rsidRPr="00A86724">
        <w:rPr>
          <w:rFonts w:ascii="Arial" w:hAnsi="Arial" w:cs="Arial"/>
        </w:rPr>
        <w:t xml:space="preserve"> (Accessed: 8 March 2026).</w:t>
      </w:r>
    </w:p>
    <w:p w14:paraId="06F6DB19" w14:textId="1FD27BE2" w:rsidR="009B28E0" w:rsidRDefault="009B28E0" w:rsidP="00D334DB">
      <w:pPr>
        <w:jc w:val="left"/>
        <w:rPr>
          <w:rFonts w:ascii="Arial" w:hAnsi="Arial" w:cs="Arial"/>
          <w:color w:val="000000"/>
        </w:rPr>
      </w:pPr>
      <w:r w:rsidRPr="00D334DB">
        <w:rPr>
          <w:rFonts w:ascii="Arial" w:hAnsi="Arial" w:cs="Arial"/>
          <w:color w:val="000000"/>
        </w:rPr>
        <w:t>University of Leeds (2025)</w:t>
      </w:r>
      <w:r w:rsidRPr="00D334DB">
        <w:rPr>
          <w:rStyle w:val="apple-converted-space"/>
          <w:rFonts w:ascii="Arial" w:hAnsi="Arial" w:cs="Arial"/>
          <w:color w:val="000000"/>
        </w:rPr>
        <w:t> </w:t>
      </w:r>
      <w:r w:rsidRPr="00D334DB">
        <w:rPr>
          <w:rStyle w:val="Emphasis"/>
          <w:rFonts w:ascii="Arial" w:hAnsi="Arial" w:cs="Arial"/>
          <w:color w:val="000000"/>
        </w:rPr>
        <w:t>Develop a search strategy</w:t>
      </w:r>
      <w:r w:rsidRPr="00D334DB">
        <w:rPr>
          <w:rFonts w:ascii="Arial" w:hAnsi="Arial" w:cs="Arial"/>
          <w:color w:val="000000"/>
        </w:rPr>
        <w:t>. Available at:</w:t>
      </w:r>
      <w:r w:rsidRPr="00D334DB">
        <w:rPr>
          <w:rStyle w:val="apple-converted-space"/>
          <w:rFonts w:ascii="Arial" w:hAnsi="Arial" w:cs="Arial"/>
          <w:color w:val="000000"/>
        </w:rPr>
        <w:t> </w:t>
      </w:r>
      <w:hyperlink r:id="rId52" w:tgtFrame="_new" w:history="1">
        <w:r w:rsidRPr="00D334DB">
          <w:rPr>
            <w:rStyle w:val="Hyperlink"/>
            <w:rFonts w:ascii="Arial" w:hAnsi="Arial" w:cs="Arial"/>
          </w:rPr>
          <w:t>https://library.leeds.ac.uk/info/1404/literature_searching/14/literature_searching_explained/4</w:t>
        </w:r>
      </w:hyperlink>
      <w:r w:rsidRPr="00D334DB">
        <w:rPr>
          <w:rStyle w:val="apple-converted-space"/>
          <w:rFonts w:ascii="Arial" w:hAnsi="Arial" w:cs="Arial"/>
          <w:color w:val="000000"/>
        </w:rPr>
        <w:t> </w:t>
      </w:r>
      <w:r w:rsidRPr="00D334DB">
        <w:rPr>
          <w:rFonts w:ascii="Arial" w:hAnsi="Arial" w:cs="Arial"/>
          <w:color w:val="000000"/>
        </w:rPr>
        <w:t>(Accessed: 1 June 2026).</w:t>
      </w:r>
    </w:p>
    <w:p w14:paraId="6F9274FF" w14:textId="2E0F62AF" w:rsidR="0026370D" w:rsidRPr="00F02B6D" w:rsidRDefault="00F02B6D" w:rsidP="00D334DB">
      <w:pPr>
        <w:jc w:val="left"/>
        <w:rPr>
          <w:rFonts w:ascii="Arial" w:hAnsi="Arial" w:cs="Arial"/>
        </w:rPr>
      </w:pPr>
      <w:r w:rsidRPr="00F02B6D">
        <w:rPr>
          <w:rStyle w:val="Strong"/>
          <w:rFonts w:ascii="Arial" w:hAnsi="Arial" w:cs="Arial"/>
          <w:b w:val="0"/>
          <w:bCs w:val="0"/>
          <w:color w:val="000000"/>
        </w:rPr>
        <w:t>Rojas, M., Méndez, A. and Watkins-Fassler, K. (2023)</w:t>
      </w:r>
      <w:r w:rsidRPr="00F02B6D">
        <w:rPr>
          <w:rStyle w:val="apple-converted-space"/>
          <w:rFonts w:ascii="Arial" w:hAnsi="Arial" w:cs="Arial"/>
          <w:b/>
          <w:bCs/>
          <w:color w:val="000000"/>
        </w:rPr>
        <w:t> </w:t>
      </w:r>
      <w:r w:rsidRPr="00F02B6D">
        <w:rPr>
          <w:rFonts w:ascii="Arial" w:hAnsi="Arial" w:cs="Arial"/>
          <w:color w:val="000000"/>
        </w:rPr>
        <w:t>‘The hierarchy of needs: Empirical examination of Maslow’s theory and lessons for development’,</w:t>
      </w:r>
      <w:r w:rsidRPr="00F02B6D">
        <w:rPr>
          <w:rStyle w:val="apple-converted-space"/>
          <w:rFonts w:ascii="Arial" w:hAnsi="Arial" w:cs="Arial"/>
          <w:color w:val="000000"/>
        </w:rPr>
        <w:t> </w:t>
      </w:r>
      <w:r w:rsidRPr="00F02B6D">
        <w:rPr>
          <w:rStyle w:val="Emphasis"/>
          <w:rFonts w:ascii="Arial" w:hAnsi="Arial" w:cs="Arial"/>
          <w:color w:val="000000"/>
        </w:rPr>
        <w:t>World Development</w:t>
      </w:r>
      <w:r w:rsidRPr="00F02B6D">
        <w:rPr>
          <w:rFonts w:ascii="Arial" w:hAnsi="Arial" w:cs="Arial"/>
          <w:color w:val="000000"/>
        </w:rPr>
        <w:t>,</w:t>
      </w:r>
      <w:r w:rsidRPr="00F02B6D">
        <w:rPr>
          <w:rStyle w:val="apple-converted-space"/>
          <w:rFonts w:ascii="Arial" w:hAnsi="Arial" w:cs="Arial"/>
          <w:color w:val="000000"/>
        </w:rPr>
        <w:t> </w:t>
      </w:r>
      <w:r w:rsidRPr="00F02B6D">
        <w:rPr>
          <w:rStyle w:val="Strong"/>
          <w:rFonts w:ascii="Arial" w:hAnsi="Arial" w:cs="Arial"/>
          <w:b w:val="0"/>
          <w:bCs w:val="0"/>
          <w:color w:val="000000"/>
        </w:rPr>
        <w:t>165</w:t>
      </w:r>
      <w:r w:rsidRPr="00F02B6D">
        <w:rPr>
          <w:rFonts w:ascii="Arial" w:hAnsi="Arial" w:cs="Arial"/>
          <w:b/>
          <w:bCs/>
          <w:color w:val="000000"/>
        </w:rPr>
        <w:t>,</w:t>
      </w:r>
      <w:r w:rsidRPr="00F02B6D">
        <w:rPr>
          <w:rFonts w:ascii="Arial" w:hAnsi="Arial" w:cs="Arial"/>
          <w:color w:val="000000"/>
        </w:rPr>
        <w:t xml:space="preserve"> Article 106185. Available at:</w:t>
      </w:r>
      <w:r w:rsidRPr="00F02B6D">
        <w:rPr>
          <w:rStyle w:val="apple-converted-space"/>
          <w:rFonts w:ascii="Arial" w:hAnsi="Arial" w:cs="Arial"/>
          <w:color w:val="000000"/>
        </w:rPr>
        <w:t> </w:t>
      </w:r>
      <w:hyperlink r:id="rId53" w:tgtFrame="_new" w:history="1">
        <w:r w:rsidRPr="00F02B6D">
          <w:rPr>
            <w:rStyle w:val="Hyperlink"/>
            <w:rFonts w:ascii="Arial" w:hAnsi="Arial" w:cs="Arial"/>
          </w:rPr>
          <w:t>https://doi.org/10.1016/j.worlddev.2023.106185</w:t>
        </w:r>
      </w:hyperlink>
      <w:r w:rsidRPr="00F02B6D">
        <w:rPr>
          <w:rFonts w:ascii="Arial" w:hAnsi="Arial" w:cs="Arial"/>
          <w:color w:val="000000"/>
        </w:rPr>
        <w:t>.</w:t>
      </w:r>
    </w:p>
    <w:p w14:paraId="4E8495C4" w14:textId="77777777" w:rsidR="00C70E6C" w:rsidRDefault="00C70E6C" w:rsidP="008557BF">
      <w:pPr>
        <w:jc w:val="left"/>
        <w:rPr>
          <w:rStyle w:val="apple-converted-space"/>
          <w:rFonts w:ascii="Arial" w:eastAsiaTheme="majorEastAsia" w:hAnsi="Arial" w:cs="Arial"/>
        </w:rPr>
      </w:pPr>
      <w:r w:rsidRPr="00A86724">
        <w:rPr>
          <w:rFonts w:ascii="Arial" w:hAnsi="Arial" w:cs="Arial"/>
        </w:rPr>
        <w:t xml:space="preserve">Skills for Care. (2025) </w:t>
      </w:r>
      <w:r w:rsidRPr="00A86724">
        <w:rPr>
          <w:rFonts w:ascii="Arial" w:hAnsi="Arial" w:cs="Arial"/>
          <w:i/>
          <w:iCs/>
        </w:rPr>
        <w:t>The state of the adult social care sector and workforce in England</w:t>
      </w:r>
      <w:r w:rsidRPr="00A86724">
        <w:rPr>
          <w:rFonts w:ascii="Arial" w:hAnsi="Arial" w:cs="Arial"/>
        </w:rPr>
        <w:t xml:space="preserve">. Available at: </w:t>
      </w:r>
      <w:hyperlink r:id="rId54" w:history="1">
        <w:r w:rsidRPr="00A86724">
          <w:rPr>
            <w:rStyle w:val="Hyperlink"/>
            <w:rFonts w:ascii="Arial" w:hAnsi="Arial" w:cs="Arial"/>
          </w:rPr>
          <w:t>https://www.skillsforcare.org.uk/Adult-Social-Care-Workforce-</w:t>
        </w:r>
        <w:r w:rsidRPr="00A86724">
          <w:rPr>
            <w:rStyle w:val="Hyperlink"/>
            <w:rFonts w:ascii="Arial" w:hAnsi="Arial" w:cs="Arial"/>
          </w:rPr>
          <w:lastRenderedPageBreak/>
          <w:t>Data/workforceintelligence/resources/Rep</w:t>
        </w:r>
        <w:r w:rsidRPr="00A86724">
          <w:rPr>
            <w:rStyle w:val="Hyperlink"/>
            <w:rFonts w:ascii="Arial" w:hAnsi="Arial" w:cs="Arial"/>
          </w:rPr>
          <w:t>o</w:t>
        </w:r>
        <w:r w:rsidRPr="00A86724">
          <w:rPr>
            <w:rStyle w:val="Hyperlink"/>
            <w:rFonts w:ascii="Arial" w:hAnsi="Arial" w:cs="Arial"/>
          </w:rPr>
          <w:t>rts/National/The-state-of-the-adult-social-care-sector-and-workforce-in-England-2025.pdf</w:t>
        </w:r>
      </w:hyperlink>
      <w:r w:rsidRPr="00A86724">
        <w:rPr>
          <w:rFonts w:ascii="Arial" w:hAnsi="Arial" w:cs="Arial"/>
        </w:rPr>
        <w:t xml:space="preserve"> (Accessed: 8 March 2026). </w:t>
      </w:r>
      <w:r w:rsidRPr="00A86724">
        <w:rPr>
          <w:rStyle w:val="apple-converted-space"/>
          <w:rFonts w:ascii="Arial" w:eastAsiaTheme="majorEastAsia" w:hAnsi="Arial" w:cs="Arial"/>
        </w:rPr>
        <w:t> </w:t>
      </w:r>
    </w:p>
    <w:p w14:paraId="4E24F8AF" w14:textId="59940000" w:rsidR="00654D42" w:rsidRPr="00EB7C61" w:rsidRDefault="00EB7C61" w:rsidP="00EB7C61">
      <w:pPr>
        <w:jc w:val="left"/>
        <w:rPr>
          <w:rFonts w:ascii="Arial" w:hAnsi="Arial" w:cs="Arial"/>
        </w:rPr>
      </w:pPr>
      <w:r w:rsidRPr="00EB7C61">
        <w:rPr>
          <w:rFonts w:ascii="Arial" w:hAnsi="Arial" w:cs="Arial"/>
          <w:color w:val="000000"/>
        </w:rPr>
        <w:t>Skills for Care (2025) </w:t>
      </w:r>
      <w:r w:rsidRPr="00EB7C61">
        <w:rPr>
          <w:rFonts w:ascii="Arial" w:hAnsi="Arial" w:cs="Arial"/>
          <w:i/>
          <w:iCs/>
          <w:color w:val="000000"/>
        </w:rPr>
        <w:t>A Workforce Strategy for Adult Social Care in England</w:t>
      </w:r>
      <w:r w:rsidRPr="00EB7C61">
        <w:rPr>
          <w:rFonts w:ascii="Arial" w:hAnsi="Arial" w:cs="Arial"/>
          <w:color w:val="000000"/>
        </w:rPr>
        <w:t>. Leeds: Skills for Care. Available at: </w:t>
      </w:r>
      <w:hyperlink r:id="rId55" w:tgtFrame="_new" w:history="1">
        <w:r w:rsidRPr="00EB7C61">
          <w:rPr>
            <w:rFonts w:ascii="Arial" w:hAnsi="Arial" w:cs="Arial"/>
            <w:color w:val="0000FF"/>
            <w:u w:val="single"/>
          </w:rPr>
          <w:t>https://www.skillsforcare.org.uk/Workforce-Strategy/resources/Supporting-resources/A-Workforce-Strategy-for-Adult-Social-Care-in-England.pdf</w:t>
        </w:r>
      </w:hyperlink>
      <w:r w:rsidRPr="00EB7C61">
        <w:rPr>
          <w:rFonts w:ascii="Arial" w:hAnsi="Arial" w:cs="Arial"/>
          <w:color w:val="000000"/>
        </w:rPr>
        <w:t> (Accessed: 8 July 2026).</w:t>
      </w:r>
    </w:p>
    <w:p w14:paraId="699C1A76" w14:textId="7456E383" w:rsidR="00C358A1" w:rsidRPr="00C903FC" w:rsidRDefault="00C358A1" w:rsidP="00C70E6C">
      <w:pPr>
        <w:rPr>
          <w:color w:val="EE0000"/>
        </w:rPr>
      </w:pPr>
      <w:r w:rsidRPr="00A76933">
        <w:rPr>
          <w:rFonts w:ascii="Arial" w:hAnsi="Arial" w:cs="Arial"/>
          <w:color w:val="000000"/>
        </w:rPr>
        <w:t>Turnpenny, A. and Hussein, S. (2022) ‘Migrant Home Care Workers in the UK: a Scoping Review of Outcomes and Sustainability and Implications in the Context of Brexit’,</w:t>
      </w:r>
      <w:r w:rsidRPr="00A76933">
        <w:rPr>
          <w:rStyle w:val="apple-converted-space"/>
          <w:rFonts w:ascii="Arial" w:hAnsi="Arial" w:cs="Arial"/>
          <w:color w:val="000000"/>
        </w:rPr>
        <w:t> </w:t>
      </w:r>
      <w:r w:rsidRPr="00A76933">
        <w:rPr>
          <w:rStyle w:val="Emphasis"/>
          <w:rFonts w:ascii="Arial" w:hAnsi="Arial" w:cs="Arial"/>
          <w:color w:val="000000"/>
        </w:rPr>
        <w:t>Journal of International Migration and Integration</w:t>
      </w:r>
      <w:r w:rsidRPr="00A76933">
        <w:rPr>
          <w:rFonts w:ascii="Arial" w:hAnsi="Arial" w:cs="Arial"/>
          <w:color w:val="000000"/>
        </w:rPr>
        <w:t>, 23(1), pp. 23–42. Available at:</w:t>
      </w:r>
      <w:r w:rsidRPr="00A76933">
        <w:rPr>
          <w:rStyle w:val="apple-converted-space"/>
          <w:rFonts w:ascii="Arial" w:hAnsi="Arial" w:cs="Arial"/>
          <w:color w:val="000000"/>
        </w:rPr>
        <w:t> </w:t>
      </w:r>
      <w:hyperlink r:id="rId56" w:history="1">
        <w:r w:rsidR="00C903FC" w:rsidRPr="001254F0">
          <w:rPr>
            <w:rStyle w:val="Hyperlink"/>
            <w:rFonts w:ascii="Arial" w:hAnsi="Arial" w:cs="Arial"/>
          </w:rPr>
          <w:t>https://doi.org/10.1007/s12134-021-00807-3</w:t>
        </w:r>
        <w:r w:rsidR="00C903FC" w:rsidRPr="001254F0">
          <w:rPr>
            <w:rStyle w:val="Hyperlink"/>
          </w:rPr>
          <w:t xml:space="preserve">  </w:t>
        </w:r>
      </w:hyperlink>
      <w:r w:rsidR="00C903FC" w:rsidRPr="00C903FC">
        <w:rPr>
          <w:rFonts w:ascii="Arial" w:hAnsi="Arial" w:cs="Arial"/>
          <w:color w:val="EE0000"/>
        </w:rPr>
        <w:t>paper 2</w:t>
      </w:r>
    </w:p>
    <w:p w14:paraId="576B2C7D" w14:textId="2310A82C" w:rsidR="00BD7EB1" w:rsidRPr="00BD7EB1" w:rsidRDefault="00BD7EB1" w:rsidP="00BD7EB1">
      <w:pPr>
        <w:jc w:val="left"/>
        <w:rPr>
          <w:rFonts w:ascii="Arial" w:hAnsi="Arial" w:cs="Arial"/>
          <w:color w:val="EE0000"/>
        </w:rPr>
      </w:pPr>
      <w:r w:rsidRPr="00BD7EB1">
        <w:rPr>
          <w:rFonts w:ascii="Arial" w:hAnsi="Arial" w:cs="Arial"/>
          <w:color w:val="000000"/>
        </w:rPr>
        <w:t>Tawodzera, O. (2024) ‘Unravelling the tensions: exploring the interplay of paid care work, family obligations, and transnational care among Zimbabwean migrant care workers in the UK’,</w:t>
      </w:r>
      <w:r w:rsidRPr="00BD7EB1">
        <w:rPr>
          <w:rStyle w:val="apple-converted-space"/>
          <w:rFonts w:ascii="Arial" w:hAnsi="Arial" w:cs="Arial"/>
          <w:color w:val="000000"/>
        </w:rPr>
        <w:t> </w:t>
      </w:r>
      <w:r w:rsidRPr="00BD7EB1">
        <w:rPr>
          <w:rStyle w:val="Emphasis"/>
          <w:rFonts w:ascii="Arial" w:hAnsi="Arial" w:cs="Arial"/>
          <w:color w:val="000000"/>
        </w:rPr>
        <w:t>Journal of Family Studies</w:t>
      </w:r>
      <w:r w:rsidRPr="00BD7EB1">
        <w:rPr>
          <w:rFonts w:ascii="Arial" w:hAnsi="Arial" w:cs="Arial"/>
          <w:color w:val="000000"/>
        </w:rPr>
        <w:t>, 30(5), pp. 739–758. Available at:</w:t>
      </w:r>
      <w:r w:rsidRPr="00BD7EB1">
        <w:rPr>
          <w:rStyle w:val="apple-converted-space"/>
          <w:rFonts w:ascii="Arial" w:hAnsi="Arial" w:cs="Arial"/>
          <w:color w:val="000000"/>
        </w:rPr>
        <w:t> </w:t>
      </w:r>
      <w:hyperlink r:id="rId57" w:tgtFrame="_new" w:history="1">
        <w:r w:rsidRPr="00BD7EB1">
          <w:rPr>
            <w:rStyle w:val="Hyperlink"/>
            <w:rFonts w:ascii="Arial" w:hAnsi="Arial" w:cs="Arial"/>
          </w:rPr>
          <w:t>https://doi.org/10.1080/13229400.2024.2318335</w:t>
        </w:r>
      </w:hyperlink>
      <w:r w:rsidRPr="00BD7EB1">
        <w:rPr>
          <w:rFonts w:ascii="Arial" w:hAnsi="Arial" w:cs="Arial"/>
          <w:color w:val="000000"/>
        </w:rPr>
        <w:t xml:space="preserve">. </w:t>
      </w:r>
      <w:r w:rsidRPr="00BD7EB1">
        <w:rPr>
          <w:rFonts w:ascii="Arial" w:hAnsi="Arial" w:cs="Arial"/>
          <w:color w:val="EE0000"/>
        </w:rPr>
        <w:t>Paper 5</w:t>
      </w:r>
    </w:p>
    <w:p w14:paraId="74D703F3" w14:textId="18CE7EDA" w:rsidR="0010203C" w:rsidRDefault="0010203C" w:rsidP="0010203C">
      <w:pPr>
        <w:rPr>
          <w:rFonts w:ascii="Arial" w:hAnsi="Arial" w:cs="Arial"/>
        </w:rPr>
      </w:pPr>
      <w:r w:rsidRPr="00A86724">
        <w:rPr>
          <w:rFonts w:ascii="Arial" w:hAnsi="Arial" w:cs="Arial"/>
        </w:rPr>
        <w:t xml:space="preserve">The King’s Fund (2024) </w:t>
      </w:r>
      <w:r w:rsidRPr="00A86724">
        <w:rPr>
          <w:rFonts w:ascii="Arial" w:hAnsi="Arial" w:cs="Arial"/>
          <w:i/>
          <w:iCs/>
        </w:rPr>
        <w:t>The adult social care workforce in a nutshell</w:t>
      </w:r>
      <w:r w:rsidRPr="00A86724">
        <w:rPr>
          <w:rFonts w:ascii="Arial" w:hAnsi="Arial" w:cs="Arial"/>
        </w:rPr>
        <w:t xml:space="preserve">. Available at: </w:t>
      </w:r>
      <w:hyperlink r:id="rId58" w:history="1">
        <w:r w:rsidRPr="00A86724">
          <w:rPr>
            <w:rStyle w:val="Hyperlink"/>
            <w:rFonts w:ascii="Arial" w:hAnsi="Arial" w:cs="Arial"/>
          </w:rPr>
          <w:t>https://www.kingsfund.org.uk/insight-and-analysis/data-and-charts/social-care-workforce-nutshell</w:t>
        </w:r>
      </w:hyperlink>
      <w:r w:rsidRPr="00A86724">
        <w:rPr>
          <w:rFonts w:ascii="Arial" w:hAnsi="Arial" w:cs="Arial"/>
        </w:rPr>
        <w:t xml:space="preserve">  (Accessed: 17 March 2026).</w:t>
      </w:r>
    </w:p>
    <w:p w14:paraId="77BF6634" w14:textId="612AA5A5" w:rsidR="0010203C" w:rsidRDefault="0010203C" w:rsidP="0010203C">
      <w:pPr>
        <w:jc w:val="left"/>
        <w:rPr>
          <w:rFonts w:ascii="Arial" w:hAnsi="Arial" w:cs="Arial"/>
          <w:color w:val="EE0000"/>
        </w:rPr>
      </w:pPr>
      <w:r w:rsidRPr="00B95EED">
        <w:rPr>
          <w:rFonts w:ascii="Arial" w:hAnsi="Arial" w:cs="Arial"/>
          <w:color w:val="000000"/>
        </w:rPr>
        <w:t>UK Data Service (</w:t>
      </w:r>
      <w:r>
        <w:rPr>
          <w:rFonts w:ascii="Arial" w:hAnsi="Arial" w:cs="Arial"/>
          <w:color w:val="000000"/>
        </w:rPr>
        <w:t>2026</w:t>
      </w:r>
      <w:r w:rsidRPr="00B95EED">
        <w:rPr>
          <w:rFonts w:ascii="Arial" w:hAnsi="Arial" w:cs="Arial"/>
          <w:color w:val="000000"/>
        </w:rPr>
        <w:t>) </w:t>
      </w:r>
      <w:r w:rsidRPr="00B95EED">
        <w:rPr>
          <w:rFonts w:ascii="Arial" w:hAnsi="Arial" w:cs="Arial"/>
          <w:i/>
          <w:iCs/>
          <w:color w:val="000000"/>
        </w:rPr>
        <w:t>Ethical obligations</w:t>
      </w:r>
      <w:r w:rsidRPr="00B95EED">
        <w:rPr>
          <w:rFonts w:ascii="Arial" w:hAnsi="Arial" w:cs="Arial"/>
          <w:color w:val="000000"/>
        </w:rPr>
        <w:t>. Available at: </w:t>
      </w:r>
      <w:hyperlink r:id="rId59" w:tgtFrame="_new" w:history="1">
        <w:r w:rsidRPr="00B95EED">
          <w:rPr>
            <w:rFonts w:ascii="Arial" w:hAnsi="Arial" w:cs="Arial"/>
            <w:color w:val="0000FF"/>
            <w:u w:val="single"/>
          </w:rPr>
          <w:t>https://ukdataservice.ac.uk/learning-hub/research-data-management/ethical-issues/ethical-obligations/</w:t>
        </w:r>
      </w:hyperlink>
      <w:r w:rsidRPr="00B95EED">
        <w:rPr>
          <w:rFonts w:ascii="Arial" w:hAnsi="Arial" w:cs="Arial"/>
          <w:color w:val="000000"/>
        </w:rPr>
        <w:t> (Accessed: 1 June 2026).</w:t>
      </w:r>
      <w:r w:rsidRPr="008E1848">
        <w:rPr>
          <w:rFonts w:ascii="Arial" w:hAnsi="Arial" w:cs="Arial"/>
          <w:color w:val="EE0000"/>
        </w:rPr>
        <w:t xml:space="preserve"> </w:t>
      </w:r>
    </w:p>
    <w:p w14:paraId="6350FB0C" w14:textId="2FA101AA" w:rsidR="00A22865" w:rsidRDefault="00A22865" w:rsidP="0010203C">
      <w:pPr>
        <w:jc w:val="left"/>
        <w:rPr>
          <w:rStyle w:val="apple-converted-space"/>
          <w:rFonts w:ascii="Arial" w:hAnsi="Arial" w:cs="Arial"/>
          <w:color w:val="000000"/>
        </w:rPr>
      </w:pPr>
      <w:r w:rsidRPr="00A22865">
        <w:rPr>
          <w:rStyle w:val="Strong"/>
          <w:rFonts w:ascii="Arial" w:hAnsi="Arial" w:cs="Arial"/>
          <w:b w:val="0"/>
          <w:bCs w:val="0"/>
          <w:color w:val="000000"/>
        </w:rPr>
        <w:t>Villamin, P., Lopez, V., Thapa, D.K. and Cleary, M. (2023)</w:t>
      </w:r>
      <w:r w:rsidRPr="00A22865">
        <w:rPr>
          <w:rStyle w:val="apple-converted-space"/>
          <w:rFonts w:ascii="Arial" w:hAnsi="Arial" w:cs="Arial"/>
          <w:b/>
          <w:bCs/>
          <w:color w:val="000000"/>
        </w:rPr>
        <w:t> </w:t>
      </w:r>
      <w:r w:rsidRPr="00A22865">
        <w:rPr>
          <w:rFonts w:ascii="Arial" w:hAnsi="Arial" w:cs="Arial"/>
          <w:b/>
          <w:bCs/>
          <w:color w:val="000000"/>
        </w:rPr>
        <w:t>‘</w:t>
      </w:r>
      <w:r w:rsidRPr="00A22865">
        <w:rPr>
          <w:rFonts w:ascii="Arial" w:hAnsi="Arial" w:cs="Arial"/>
          <w:color w:val="000000"/>
        </w:rPr>
        <w:t>Retention and turnover among migrant nurses: A scoping review’,</w:t>
      </w:r>
      <w:r w:rsidRPr="00A22865">
        <w:rPr>
          <w:rStyle w:val="apple-converted-space"/>
          <w:rFonts w:ascii="Arial" w:hAnsi="Arial" w:cs="Arial"/>
          <w:color w:val="000000"/>
        </w:rPr>
        <w:t> </w:t>
      </w:r>
      <w:r w:rsidRPr="00A22865">
        <w:rPr>
          <w:rStyle w:val="Emphasis"/>
          <w:rFonts w:ascii="Arial" w:hAnsi="Arial" w:cs="Arial"/>
          <w:color w:val="000000"/>
        </w:rPr>
        <w:t>International Nursing Review</w:t>
      </w:r>
      <w:r w:rsidRPr="00A22865">
        <w:rPr>
          <w:rFonts w:ascii="Arial" w:hAnsi="Arial" w:cs="Arial"/>
          <w:color w:val="000000"/>
        </w:rPr>
        <w:t>,</w:t>
      </w:r>
      <w:r w:rsidRPr="00A22865">
        <w:rPr>
          <w:rStyle w:val="apple-converted-space"/>
          <w:rFonts w:ascii="Arial" w:hAnsi="Arial" w:cs="Arial"/>
          <w:color w:val="000000"/>
        </w:rPr>
        <w:t> </w:t>
      </w:r>
      <w:r w:rsidRPr="00A22865">
        <w:rPr>
          <w:rStyle w:val="Strong"/>
          <w:rFonts w:ascii="Arial" w:hAnsi="Arial" w:cs="Arial"/>
          <w:b w:val="0"/>
          <w:bCs w:val="0"/>
          <w:color w:val="000000"/>
        </w:rPr>
        <w:t>71</w:t>
      </w:r>
      <w:r w:rsidRPr="00A22865">
        <w:rPr>
          <w:rFonts w:ascii="Arial" w:hAnsi="Arial" w:cs="Arial"/>
          <w:color w:val="000000"/>
        </w:rPr>
        <w:t>(3), pp. 541–555. Available at:</w:t>
      </w:r>
      <w:r w:rsidRPr="00A22865">
        <w:rPr>
          <w:rStyle w:val="apple-converted-space"/>
          <w:rFonts w:ascii="Arial" w:hAnsi="Arial" w:cs="Arial"/>
          <w:color w:val="000000"/>
        </w:rPr>
        <w:t> </w:t>
      </w:r>
      <w:hyperlink r:id="rId60" w:tgtFrame="_new" w:history="1">
        <w:r w:rsidRPr="00A22865">
          <w:rPr>
            <w:rStyle w:val="Hyperlink"/>
            <w:rFonts w:ascii="Arial" w:hAnsi="Arial" w:cs="Arial"/>
          </w:rPr>
          <w:t>https://doi.org/10.1111/inr.12861</w:t>
        </w:r>
      </w:hyperlink>
      <w:r w:rsidRPr="00A22865">
        <w:rPr>
          <w:rFonts w:ascii="Arial" w:hAnsi="Arial" w:cs="Arial"/>
          <w:color w:val="000000"/>
        </w:rPr>
        <w:t>.</w:t>
      </w:r>
      <w:r w:rsidRPr="00A22865">
        <w:rPr>
          <w:rStyle w:val="apple-converted-space"/>
          <w:rFonts w:ascii="Arial" w:hAnsi="Arial" w:cs="Arial"/>
          <w:color w:val="000000"/>
        </w:rPr>
        <w:t> </w:t>
      </w:r>
    </w:p>
    <w:p w14:paraId="434765F0" w14:textId="4E9BAC63" w:rsidR="00F82F48" w:rsidRPr="00A44D06" w:rsidRDefault="00F82F48" w:rsidP="0010203C">
      <w:pPr>
        <w:jc w:val="left"/>
        <w:rPr>
          <w:rFonts w:ascii="Arial" w:hAnsi="Arial" w:cs="Arial"/>
        </w:rPr>
      </w:pPr>
      <w:r w:rsidRPr="00A44D06">
        <w:rPr>
          <w:rFonts w:ascii="Arial" w:hAnsi="Arial" w:cs="Arial"/>
          <w:color w:val="000000"/>
        </w:rPr>
        <w:t>Vadean, F., Allan, S. and Malisauskaite, G. (2025) </w:t>
      </w:r>
      <w:r w:rsidRPr="00A44D06">
        <w:rPr>
          <w:rFonts w:ascii="Arial" w:hAnsi="Arial" w:cs="Arial"/>
          <w:i/>
          <w:iCs/>
          <w:color w:val="000000"/>
        </w:rPr>
        <w:t>International migration of health and social care workforce</w:t>
      </w:r>
      <w:r w:rsidRPr="00A44D06">
        <w:rPr>
          <w:rFonts w:ascii="Arial" w:hAnsi="Arial" w:cs="Arial"/>
          <w:color w:val="000000"/>
        </w:rPr>
        <w:t>. Project report. REAL Supply Research Unit, University of Kent. Available at: </w:t>
      </w:r>
      <w:hyperlink r:id="rId61" w:history="1">
        <w:r w:rsidR="00C536FC" w:rsidRPr="00A44D06">
          <w:rPr>
            <w:rStyle w:val="Hyperlink"/>
            <w:rFonts w:ascii="Arial" w:hAnsi="Arial" w:cs="Arial"/>
          </w:rPr>
          <w:t>https://kar.kent.ac.uk/114925/1/Topic%203_%20International%20migration%20of%20the%20health%20and%20social%20care%20workforce.pdf</w:t>
        </w:r>
      </w:hyperlink>
      <w:r w:rsidR="00C536FC" w:rsidRPr="00A44D06">
        <w:rPr>
          <w:rFonts w:ascii="Arial" w:hAnsi="Arial" w:cs="Arial"/>
          <w:color w:val="000000"/>
        </w:rPr>
        <w:t xml:space="preserve"> </w:t>
      </w:r>
      <w:r w:rsidRPr="00A44D06">
        <w:rPr>
          <w:rFonts w:ascii="Arial" w:hAnsi="Arial" w:cs="Arial"/>
          <w:color w:val="000000"/>
        </w:rPr>
        <w:t> (Accessed: 7 July 2026).</w:t>
      </w:r>
    </w:p>
    <w:p w14:paraId="345AE8F3" w14:textId="77777777" w:rsidR="00271C0A" w:rsidRPr="00175837" w:rsidRDefault="0010203C" w:rsidP="00175837">
      <w:pPr>
        <w:jc w:val="left"/>
        <w:rPr>
          <w:rFonts w:ascii="Arial" w:hAnsi="Arial" w:cs="Arial"/>
        </w:rPr>
      </w:pPr>
      <w:r w:rsidRPr="00A86724">
        <w:rPr>
          <w:rFonts w:ascii="Arial" w:hAnsi="Arial" w:cs="Arial"/>
        </w:rPr>
        <w:t xml:space="preserve">World Health Organization (WHO) (2023) </w:t>
      </w:r>
      <w:r w:rsidRPr="00A86724">
        <w:rPr>
          <w:rFonts w:ascii="Arial" w:hAnsi="Arial" w:cs="Arial"/>
          <w:i/>
          <w:iCs/>
        </w:rPr>
        <w:t>Health workforce support and safeguards list 2023</w:t>
      </w:r>
      <w:r w:rsidRPr="00A86724">
        <w:rPr>
          <w:rFonts w:ascii="Arial" w:hAnsi="Arial" w:cs="Arial"/>
        </w:rPr>
        <w:t xml:space="preserve">. Available at: </w:t>
      </w:r>
      <w:hyperlink r:id="rId62" w:history="1">
        <w:r w:rsidRPr="00A86724">
          <w:rPr>
            <w:rStyle w:val="Hyperlink"/>
            <w:rFonts w:ascii="Arial" w:hAnsi="Arial" w:cs="Arial"/>
          </w:rPr>
          <w:t>https://www.who.int/publications/i/item/9789240069787</w:t>
        </w:r>
      </w:hyperlink>
      <w:r w:rsidRPr="00A86724">
        <w:rPr>
          <w:rFonts w:ascii="Arial" w:hAnsi="Arial" w:cs="Arial"/>
        </w:rPr>
        <w:t xml:space="preserve">  (Accessed: 17 March 2026).</w:t>
      </w:r>
    </w:p>
    <w:p w14:paraId="32EBCF61" w14:textId="4FA8F179" w:rsidR="00175837" w:rsidRDefault="00175837" w:rsidP="00175837">
      <w:pPr>
        <w:jc w:val="left"/>
        <w:rPr>
          <w:rFonts w:ascii="Arial" w:hAnsi="Arial" w:cs="Arial"/>
        </w:rPr>
      </w:pPr>
      <w:r w:rsidRPr="00175837">
        <w:rPr>
          <w:rStyle w:val="Strong"/>
          <w:rFonts w:ascii="Arial" w:hAnsi="Arial" w:cs="Arial"/>
          <w:b w:val="0"/>
          <w:bCs w:val="0"/>
          <w:color w:val="000000"/>
        </w:rPr>
        <w:t>Wilkinson, E., Iweka, E., Snaith, B. and Omiyi, D. (2025)</w:t>
      </w:r>
      <w:r w:rsidRPr="00175837">
        <w:rPr>
          <w:rStyle w:val="apple-converted-space"/>
          <w:rFonts w:ascii="Arial" w:hAnsi="Arial" w:cs="Arial"/>
          <w:b/>
          <w:bCs/>
          <w:color w:val="000000"/>
        </w:rPr>
        <w:t> </w:t>
      </w:r>
      <w:r w:rsidRPr="00175837">
        <w:rPr>
          <w:rFonts w:ascii="Arial" w:hAnsi="Arial" w:cs="Arial"/>
          <w:b/>
          <w:bCs/>
          <w:color w:val="000000"/>
        </w:rPr>
        <w:t>‘</w:t>
      </w:r>
      <w:r w:rsidRPr="00175837">
        <w:rPr>
          <w:rFonts w:ascii="Arial" w:hAnsi="Arial" w:cs="Arial"/>
          <w:color w:val="000000"/>
        </w:rPr>
        <w:t>Integration experiences of internationally educated diagnostic radiographers working in the UK’,</w:t>
      </w:r>
      <w:r w:rsidRPr="00175837">
        <w:rPr>
          <w:rStyle w:val="apple-converted-space"/>
          <w:rFonts w:ascii="Arial" w:hAnsi="Arial" w:cs="Arial"/>
          <w:color w:val="000000"/>
        </w:rPr>
        <w:t> </w:t>
      </w:r>
      <w:r w:rsidRPr="00175837">
        <w:rPr>
          <w:rStyle w:val="Emphasis"/>
          <w:rFonts w:ascii="Arial" w:hAnsi="Arial" w:cs="Arial"/>
          <w:color w:val="000000"/>
        </w:rPr>
        <w:t>PLOS ONE</w:t>
      </w:r>
      <w:r w:rsidRPr="00175837">
        <w:rPr>
          <w:rFonts w:ascii="Arial" w:hAnsi="Arial" w:cs="Arial"/>
          <w:b/>
          <w:bCs/>
          <w:color w:val="000000"/>
        </w:rPr>
        <w:t>,</w:t>
      </w:r>
      <w:r w:rsidRPr="00175837">
        <w:rPr>
          <w:rStyle w:val="apple-converted-space"/>
          <w:rFonts w:ascii="Arial" w:hAnsi="Arial" w:cs="Arial"/>
          <w:b/>
          <w:bCs/>
          <w:color w:val="000000"/>
        </w:rPr>
        <w:t> </w:t>
      </w:r>
      <w:r w:rsidRPr="00175837">
        <w:rPr>
          <w:rStyle w:val="Strong"/>
          <w:rFonts w:ascii="Arial" w:hAnsi="Arial" w:cs="Arial"/>
          <w:b w:val="0"/>
          <w:bCs w:val="0"/>
          <w:color w:val="000000"/>
        </w:rPr>
        <w:t>20</w:t>
      </w:r>
      <w:r w:rsidRPr="00175837">
        <w:rPr>
          <w:rFonts w:ascii="Arial" w:hAnsi="Arial" w:cs="Arial"/>
          <w:color w:val="000000"/>
        </w:rPr>
        <w:t xml:space="preserve">(6), </w:t>
      </w:r>
      <w:r w:rsidRPr="00175837">
        <w:rPr>
          <w:rFonts w:ascii="Arial" w:hAnsi="Arial" w:cs="Arial"/>
          <w:color w:val="000000"/>
        </w:rPr>
        <w:lastRenderedPageBreak/>
        <w:t>e0325446. Available at:</w:t>
      </w:r>
      <w:r w:rsidRPr="00175837">
        <w:rPr>
          <w:rStyle w:val="apple-converted-space"/>
          <w:rFonts w:ascii="Arial" w:hAnsi="Arial" w:cs="Arial"/>
          <w:color w:val="000000"/>
        </w:rPr>
        <w:t> </w:t>
      </w:r>
      <w:hyperlink r:id="rId63" w:tgtFrame="_new" w:history="1">
        <w:r w:rsidRPr="00175837">
          <w:rPr>
            <w:rStyle w:val="Hyperlink"/>
            <w:rFonts w:ascii="Arial" w:hAnsi="Arial" w:cs="Arial"/>
          </w:rPr>
          <w:t>https://doi.org/10.1371/journal.pone.0325446</w:t>
        </w:r>
      </w:hyperlink>
      <w:r>
        <w:rPr>
          <w:rFonts w:ascii="Arial" w:hAnsi="Arial" w:cs="Arial"/>
          <w:color w:val="000000" w:themeColor="text1"/>
        </w:rPr>
        <w:t xml:space="preserve"> </w:t>
      </w:r>
      <w:r w:rsidRPr="00A86724">
        <w:rPr>
          <w:rFonts w:ascii="Arial" w:hAnsi="Arial" w:cs="Arial"/>
        </w:rPr>
        <w:t xml:space="preserve">(Accessed: </w:t>
      </w:r>
      <w:r w:rsidR="00211AF8">
        <w:rPr>
          <w:rFonts w:ascii="Arial" w:hAnsi="Arial" w:cs="Arial"/>
        </w:rPr>
        <w:t xml:space="preserve">5 July </w:t>
      </w:r>
      <w:r w:rsidRPr="00A86724">
        <w:rPr>
          <w:rFonts w:ascii="Arial" w:hAnsi="Arial" w:cs="Arial"/>
        </w:rPr>
        <w:t>2026).</w:t>
      </w:r>
    </w:p>
    <w:p w14:paraId="62D28714" w14:textId="7D20BCFD" w:rsidR="00807740" w:rsidRPr="00807740" w:rsidRDefault="00807740" w:rsidP="00175837">
      <w:pPr>
        <w:jc w:val="left"/>
        <w:rPr>
          <w:rFonts w:ascii="Arial" w:hAnsi="Arial" w:cs="Arial"/>
        </w:rPr>
      </w:pPr>
      <w:r w:rsidRPr="00807740">
        <w:rPr>
          <w:rFonts w:ascii="Arial" w:hAnsi="Arial" w:cs="Arial"/>
          <w:color w:val="000000"/>
        </w:rPr>
        <w:t>Work Rights Centre (2024)</w:t>
      </w:r>
      <w:r w:rsidRPr="00807740">
        <w:rPr>
          <w:rStyle w:val="apple-converted-space"/>
          <w:rFonts w:ascii="Arial" w:hAnsi="Arial" w:cs="Arial"/>
          <w:color w:val="000000"/>
        </w:rPr>
        <w:t> </w:t>
      </w:r>
      <w:r w:rsidRPr="00807740">
        <w:rPr>
          <w:rStyle w:val="Emphasis"/>
          <w:rFonts w:ascii="Arial" w:hAnsi="Arial" w:cs="Arial"/>
          <w:color w:val="000000"/>
        </w:rPr>
        <w:t>The Forgotten Third: Migrant Care Workers' Views on the Care Sector</w:t>
      </w:r>
      <w:r w:rsidRPr="00807740">
        <w:rPr>
          <w:rFonts w:ascii="Arial" w:hAnsi="Arial" w:cs="Arial"/>
          <w:color w:val="000000"/>
        </w:rPr>
        <w:t>. London: Work Rights Centre. Available at:</w:t>
      </w:r>
      <w:r w:rsidRPr="00807740">
        <w:rPr>
          <w:rStyle w:val="apple-converted-space"/>
          <w:rFonts w:ascii="Arial" w:hAnsi="Arial" w:cs="Arial"/>
          <w:color w:val="000000"/>
        </w:rPr>
        <w:t> </w:t>
      </w:r>
      <w:hyperlink r:id="rId64" w:tgtFrame="_new" w:history="1">
        <w:r w:rsidRPr="00807740">
          <w:rPr>
            <w:rStyle w:val="Hyperlink"/>
            <w:rFonts w:ascii="Arial" w:hAnsi="Arial" w:cs="Arial"/>
          </w:rPr>
          <w:t>https://www.workrightscentre.org/media/rr1hklek/the-forgotten-third-migrant-care-workers-views-on-the-care-sector.pdf</w:t>
        </w:r>
      </w:hyperlink>
    </w:p>
    <w:p w14:paraId="052969A1" w14:textId="1B7F7EA1" w:rsidR="00175837" w:rsidRDefault="00175837" w:rsidP="00175837">
      <w:pPr>
        <w:jc w:val="left"/>
        <w:rPr>
          <w:rFonts w:ascii="Arial" w:hAnsi="Arial" w:cs="Arial"/>
          <w:color w:val="000000" w:themeColor="text1"/>
        </w:rPr>
      </w:pPr>
    </w:p>
    <w:p w14:paraId="5BF5F0F2" w14:textId="77777777" w:rsidR="00175837" w:rsidRDefault="00175837" w:rsidP="0010203C">
      <w:pPr>
        <w:rPr>
          <w:rFonts w:ascii="Arial" w:hAnsi="Arial" w:cs="Arial"/>
        </w:rPr>
      </w:pPr>
    </w:p>
    <w:p w14:paraId="1BF5C9F2" w14:textId="77777777" w:rsidR="00271C0A" w:rsidRPr="00080ED7" w:rsidRDefault="00271C0A" w:rsidP="00271C0A">
      <w:pPr>
        <w:pStyle w:val="ListParagraph"/>
        <w:rPr>
          <w:rFonts w:ascii="Arial" w:hAnsi="Arial" w:cs="Arial"/>
          <w:b/>
          <w:bCs/>
        </w:rPr>
      </w:pPr>
    </w:p>
    <w:p w14:paraId="25676688" w14:textId="77777777" w:rsidR="00271C0A" w:rsidRDefault="00271C0A" w:rsidP="00271C0A">
      <w:pPr>
        <w:rPr>
          <w:rFonts w:ascii="Arial" w:hAnsi="Arial" w:cs="Arial"/>
          <w:color w:val="000000" w:themeColor="text1"/>
        </w:rPr>
      </w:pPr>
      <w:hyperlink r:id="rId65" w:history="1">
        <w:r w:rsidRPr="00A12A87">
          <w:rPr>
            <w:rStyle w:val="Hyperlink"/>
            <w:rFonts w:ascii="Arial" w:hAnsi="Arial" w:cs="Arial"/>
          </w:rPr>
          <w:t>https://link.springer.com/content/pdf/10.1186/s13584-018-0224-1</w:t>
        </w:r>
      </w:hyperlink>
      <w:r>
        <w:rPr>
          <w:rFonts w:ascii="Arial" w:hAnsi="Arial" w:cs="Arial"/>
          <w:color w:val="000000" w:themeColor="text1"/>
        </w:rPr>
        <w:t xml:space="preserve"> keep for support</w:t>
      </w:r>
    </w:p>
    <w:p w14:paraId="78870B20" w14:textId="7F7DB8FF" w:rsidR="00E3104C" w:rsidRDefault="00E3104C" w:rsidP="00271C0A">
      <w:pPr>
        <w:rPr>
          <w:rFonts w:ascii="Arial" w:hAnsi="Arial" w:cs="Arial"/>
          <w:color w:val="000000" w:themeColor="text1"/>
        </w:rPr>
      </w:pPr>
      <w:hyperlink r:id="rId66" w:history="1">
        <w:r w:rsidRPr="00433BE1">
          <w:rPr>
            <w:rStyle w:val="Hyperlink"/>
            <w:rFonts w:ascii="Arial" w:hAnsi="Arial" w:cs="Arial"/>
          </w:rPr>
          <w:t>https://pmc.ncbi.nlm.nih.gov/articles/PMC12555078/</w:t>
        </w:r>
      </w:hyperlink>
      <w:r>
        <w:rPr>
          <w:rFonts w:ascii="Arial" w:hAnsi="Arial" w:cs="Arial"/>
          <w:color w:val="000000" w:themeColor="text1"/>
        </w:rPr>
        <w:t xml:space="preserve"> keep for support</w:t>
      </w:r>
    </w:p>
    <w:p w14:paraId="0F1E642D" w14:textId="77777777" w:rsidR="00271C0A" w:rsidRDefault="00271C0A" w:rsidP="0010203C">
      <w:pPr>
        <w:rPr>
          <w:rFonts w:ascii="Arial" w:hAnsi="Arial" w:cs="Arial"/>
        </w:rPr>
      </w:pPr>
    </w:p>
    <w:p w14:paraId="196FD256" w14:textId="77777777" w:rsidR="00271C0A" w:rsidRDefault="00271C0A" w:rsidP="0010203C">
      <w:pPr>
        <w:rPr>
          <w:rFonts w:ascii="Arial" w:hAnsi="Arial" w:cs="Arial"/>
        </w:rPr>
      </w:pPr>
    </w:p>
    <w:p w14:paraId="7698ECFA" w14:textId="77777777" w:rsidR="00271C0A" w:rsidRDefault="00271C0A" w:rsidP="0010203C">
      <w:pPr>
        <w:rPr>
          <w:rFonts w:ascii="Arial" w:hAnsi="Arial" w:cs="Arial"/>
        </w:rPr>
      </w:pPr>
    </w:p>
    <w:p w14:paraId="3072D43A" w14:textId="77777777" w:rsidR="009A4E65" w:rsidRDefault="009A4E65" w:rsidP="0010203C">
      <w:pPr>
        <w:rPr>
          <w:b/>
          <w:bCs/>
          <w:sz w:val="20"/>
          <w:szCs w:val="20"/>
        </w:rPr>
      </w:pPr>
    </w:p>
    <w:p w14:paraId="1E59D2C8" w14:textId="77777777" w:rsidR="009A4E65" w:rsidRDefault="009A4E65" w:rsidP="0010203C">
      <w:pPr>
        <w:rPr>
          <w:b/>
          <w:bCs/>
          <w:sz w:val="20"/>
          <w:szCs w:val="20"/>
        </w:rPr>
      </w:pPr>
    </w:p>
    <w:p w14:paraId="21626B42" w14:textId="77777777" w:rsidR="009A4E65" w:rsidRDefault="009A4E65" w:rsidP="0010203C">
      <w:pPr>
        <w:rPr>
          <w:b/>
          <w:bCs/>
          <w:sz w:val="20"/>
          <w:szCs w:val="20"/>
        </w:rPr>
      </w:pPr>
    </w:p>
    <w:p w14:paraId="04E4A512" w14:textId="77777777" w:rsidR="009A4E65" w:rsidRDefault="009A4E65" w:rsidP="0010203C">
      <w:pPr>
        <w:rPr>
          <w:b/>
          <w:bCs/>
          <w:sz w:val="20"/>
          <w:szCs w:val="20"/>
        </w:rPr>
      </w:pPr>
    </w:p>
    <w:p w14:paraId="78179205" w14:textId="77777777" w:rsidR="009A4E65" w:rsidRDefault="009A4E65" w:rsidP="0010203C">
      <w:pPr>
        <w:rPr>
          <w:b/>
          <w:bCs/>
          <w:sz w:val="20"/>
          <w:szCs w:val="20"/>
        </w:rPr>
      </w:pPr>
    </w:p>
    <w:p w14:paraId="181A3C1A" w14:textId="77777777" w:rsidR="009A4E65" w:rsidRDefault="009A4E65" w:rsidP="0010203C">
      <w:pPr>
        <w:rPr>
          <w:b/>
          <w:bCs/>
          <w:sz w:val="20"/>
          <w:szCs w:val="20"/>
        </w:rPr>
      </w:pPr>
    </w:p>
    <w:p w14:paraId="605055F3" w14:textId="77777777" w:rsidR="00EC3F25" w:rsidRDefault="00EC3F25" w:rsidP="00B97C38">
      <w:pPr>
        <w:rPr>
          <w:b/>
          <w:bCs/>
          <w:sz w:val="20"/>
          <w:szCs w:val="20"/>
        </w:rPr>
      </w:pPr>
    </w:p>
    <w:p w14:paraId="28BF9515" w14:textId="77777777" w:rsidR="00EC3F25" w:rsidRDefault="00EC3F25" w:rsidP="00B97C38">
      <w:pPr>
        <w:rPr>
          <w:b/>
          <w:bCs/>
          <w:sz w:val="20"/>
          <w:szCs w:val="20"/>
        </w:rPr>
      </w:pPr>
    </w:p>
    <w:p w14:paraId="28B23AED" w14:textId="04FE3EE5" w:rsidR="0010203C" w:rsidRDefault="0010203C" w:rsidP="00B97C38">
      <w:pPr>
        <w:rPr>
          <w:rFonts w:ascii="Arial" w:hAnsi="Arial" w:cs="Arial"/>
          <w:sz w:val="28"/>
          <w:szCs w:val="28"/>
        </w:rPr>
      </w:pPr>
      <w:r w:rsidRPr="00E40227">
        <w:rPr>
          <w:rFonts w:ascii="Arial" w:hAnsi="Arial" w:cs="Arial"/>
          <w:b/>
          <w:bCs/>
          <w:sz w:val="28"/>
          <w:szCs w:val="28"/>
        </w:rPr>
        <w:t>BMHP6020 Independent Project Results Summary Table chapter 4</w:t>
      </w:r>
    </w:p>
    <w:p w14:paraId="3CD950AD" w14:textId="77777777" w:rsidR="00334330" w:rsidRDefault="00334330" w:rsidP="00B97C38">
      <w:pPr>
        <w:rPr>
          <w:rFonts w:ascii="Arial" w:hAnsi="Arial" w:cs="Arial"/>
          <w:sz w:val="28"/>
          <w:szCs w:val="28"/>
        </w:rPr>
      </w:pPr>
    </w:p>
    <w:p w14:paraId="20E38904" w14:textId="77777777" w:rsidR="00334330" w:rsidRPr="00334330" w:rsidRDefault="00334330" w:rsidP="00334330">
      <w:pPr>
        <w:rPr>
          <w:rFonts w:ascii="Arial" w:hAnsi="Arial" w:cs="Arial"/>
          <w:sz w:val="28"/>
          <w:szCs w:val="28"/>
        </w:rPr>
      </w:pPr>
    </w:p>
    <w:p w14:paraId="7109C73F" w14:textId="77777777" w:rsidR="00334330" w:rsidRPr="00334330" w:rsidRDefault="00334330" w:rsidP="00334330">
      <w:pPr>
        <w:rPr>
          <w:rFonts w:ascii="Arial" w:hAnsi="Arial" w:cs="Arial"/>
          <w:sz w:val="28"/>
          <w:szCs w:val="28"/>
        </w:rPr>
      </w:pPr>
    </w:p>
    <w:p w14:paraId="37AF9A73" w14:textId="77777777" w:rsidR="00334330" w:rsidRPr="00334330" w:rsidRDefault="00334330" w:rsidP="00334330">
      <w:pPr>
        <w:rPr>
          <w:rFonts w:ascii="Arial" w:hAnsi="Arial" w:cs="Arial"/>
          <w:sz w:val="28"/>
          <w:szCs w:val="28"/>
        </w:rPr>
      </w:pPr>
    </w:p>
    <w:p w14:paraId="2E6639B8" w14:textId="77777777" w:rsidR="00334330" w:rsidRPr="00334330" w:rsidRDefault="00334330" w:rsidP="00334330">
      <w:pPr>
        <w:rPr>
          <w:rFonts w:ascii="Arial" w:hAnsi="Arial" w:cs="Arial"/>
          <w:sz w:val="28"/>
          <w:szCs w:val="28"/>
        </w:rPr>
      </w:pPr>
    </w:p>
    <w:p w14:paraId="6621E926" w14:textId="77777777" w:rsidR="00334330" w:rsidRPr="00334330" w:rsidRDefault="00334330" w:rsidP="00334330">
      <w:pPr>
        <w:rPr>
          <w:rFonts w:ascii="Arial" w:hAnsi="Arial" w:cs="Arial"/>
          <w:sz w:val="28"/>
          <w:szCs w:val="28"/>
        </w:rPr>
      </w:pPr>
    </w:p>
    <w:p w14:paraId="466A6A99" w14:textId="77777777" w:rsidR="00334330" w:rsidRPr="00334330" w:rsidRDefault="00334330" w:rsidP="00334330">
      <w:pPr>
        <w:rPr>
          <w:rFonts w:ascii="Arial" w:hAnsi="Arial" w:cs="Arial"/>
          <w:sz w:val="28"/>
          <w:szCs w:val="28"/>
        </w:rPr>
      </w:pPr>
    </w:p>
    <w:p w14:paraId="380AD3AC" w14:textId="77777777" w:rsidR="00334330" w:rsidRPr="00334330" w:rsidRDefault="00334330" w:rsidP="00334330">
      <w:pPr>
        <w:rPr>
          <w:rFonts w:ascii="Arial" w:hAnsi="Arial" w:cs="Arial"/>
          <w:sz w:val="28"/>
          <w:szCs w:val="28"/>
        </w:rPr>
      </w:pPr>
    </w:p>
    <w:p w14:paraId="1E42172C" w14:textId="77777777" w:rsidR="00334330" w:rsidRPr="00334330" w:rsidRDefault="00334330" w:rsidP="00334330">
      <w:pPr>
        <w:rPr>
          <w:rFonts w:ascii="Arial" w:hAnsi="Arial" w:cs="Arial"/>
          <w:sz w:val="28"/>
          <w:szCs w:val="28"/>
        </w:rPr>
      </w:pPr>
    </w:p>
    <w:p w14:paraId="077A6801" w14:textId="77777777" w:rsidR="00334330" w:rsidRPr="00334330" w:rsidRDefault="00334330" w:rsidP="00334330">
      <w:pPr>
        <w:rPr>
          <w:rFonts w:ascii="Arial" w:hAnsi="Arial" w:cs="Arial"/>
          <w:sz w:val="28"/>
          <w:szCs w:val="28"/>
        </w:rPr>
      </w:pPr>
    </w:p>
    <w:p w14:paraId="2CCF0855" w14:textId="77777777" w:rsidR="00334330" w:rsidRPr="00334330" w:rsidRDefault="00334330" w:rsidP="00334330">
      <w:pPr>
        <w:rPr>
          <w:rFonts w:ascii="Arial" w:hAnsi="Arial" w:cs="Arial"/>
          <w:sz w:val="28"/>
          <w:szCs w:val="28"/>
        </w:rPr>
      </w:pPr>
    </w:p>
    <w:p w14:paraId="3B059A5E" w14:textId="77777777" w:rsidR="00334330" w:rsidRPr="00334330" w:rsidRDefault="00334330" w:rsidP="00334330">
      <w:pPr>
        <w:rPr>
          <w:rFonts w:ascii="Arial" w:hAnsi="Arial" w:cs="Arial"/>
          <w:sz w:val="28"/>
          <w:szCs w:val="28"/>
        </w:rPr>
      </w:pPr>
    </w:p>
    <w:p w14:paraId="52068A2B" w14:textId="77777777" w:rsidR="00334330" w:rsidRPr="00334330" w:rsidRDefault="00334330" w:rsidP="00334330">
      <w:pPr>
        <w:rPr>
          <w:rFonts w:ascii="Arial" w:hAnsi="Arial" w:cs="Arial"/>
          <w:sz w:val="28"/>
          <w:szCs w:val="28"/>
        </w:rPr>
      </w:pPr>
    </w:p>
    <w:p w14:paraId="02B6B1F8" w14:textId="77777777" w:rsidR="00334330" w:rsidRPr="00334330" w:rsidRDefault="00334330" w:rsidP="00334330">
      <w:pPr>
        <w:rPr>
          <w:rFonts w:ascii="Arial" w:hAnsi="Arial" w:cs="Arial"/>
          <w:sz w:val="28"/>
          <w:szCs w:val="28"/>
        </w:rPr>
      </w:pPr>
    </w:p>
    <w:p w14:paraId="74D86CF3" w14:textId="77777777" w:rsidR="00334330" w:rsidRPr="00334330" w:rsidRDefault="00334330" w:rsidP="00334330">
      <w:pPr>
        <w:rPr>
          <w:rFonts w:ascii="Arial" w:hAnsi="Arial" w:cs="Arial"/>
          <w:sz w:val="28"/>
          <w:szCs w:val="28"/>
        </w:rPr>
      </w:pPr>
    </w:p>
    <w:p w14:paraId="6C4964EA" w14:textId="77777777" w:rsidR="00334330" w:rsidRPr="00334330" w:rsidRDefault="00334330" w:rsidP="00334330">
      <w:pPr>
        <w:rPr>
          <w:rFonts w:ascii="Arial" w:hAnsi="Arial" w:cs="Arial"/>
          <w:sz w:val="28"/>
          <w:szCs w:val="28"/>
        </w:rPr>
      </w:pPr>
    </w:p>
    <w:p w14:paraId="699C72CD" w14:textId="77777777" w:rsidR="00334330" w:rsidRDefault="00334330" w:rsidP="00334330">
      <w:pPr>
        <w:rPr>
          <w:rFonts w:ascii="Arial" w:hAnsi="Arial" w:cs="Arial"/>
          <w:sz w:val="28"/>
          <w:szCs w:val="28"/>
        </w:rPr>
      </w:pPr>
    </w:p>
    <w:p w14:paraId="70F37D0B" w14:textId="77777777" w:rsidR="00334330" w:rsidRDefault="00334330" w:rsidP="00334330">
      <w:pPr>
        <w:rPr>
          <w:rFonts w:ascii="Arial" w:hAnsi="Arial" w:cs="Arial"/>
          <w:sz w:val="28"/>
          <w:szCs w:val="28"/>
        </w:rPr>
      </w:pPr>
    </w:p>
    <w:p w14:paraId="500E19E2" w14:textId="77777777" w:rsidR="00334330" w:rsidRDefault="00334330" w:rsidP="00334330">
      <w:pPr>
        <w:rPr>
          <w:rFonts w:ascii="Arial" w:hAnsi="Arial" w:cs="Arial"/>
          <w:sz w:val="28"/>
          <w:szCs w:val="28"/>
        </w:rPr>
      </w:pPr>
    </w:p>
    <w:p w14:paraId="53F6F570" w14:textId="77777777" w:rsidR="00334330" w:rsidRDefault="00334330" w:rsidP="00334330">
      <w:pPr>
        <w:rPr>
          <w:rFonts w:ascii="Arial" w:hAnsi="Arial" w:cs="Arial"/>
          <w:sz w:val="28"/>
          <w:szCs w:val="28"/>
        </w:rPr>
      </w:pPr>
    </w:p>
    <w:p w14:paraId="78A10682" w14:textId="77777777" w:rsidR="00334330" w:rsidRPr="00334330" w:rsidRDefault="00334330" w:rsidP="000B66BC">
      <w:pPr>
        <w:jc w:val="center"/>
        <w:rPr>
          <w:rFonts w:ascii="Arial" w:hAnsi="Arial" w:cs="Arial"/>
          <w:sz w:val="28"/>
          <w:szCs w:val="28"/>
        </w:rPr>
      </w:pPr>
    </w:p>
    <w:tbl>
      <w:tblPr>
        <w:tblStyle w:val="TableGrid"/>
        <w:tblpPr w:leftFromText="180" w:rightFromText="180" w:vertAnchor="text" w:horzAnchor="page" w:tblpX="-1611" w:tblpY="-1445"/>
        <w:tblW w:w="11761" w:type="dxa"/>
        <w:tblLayout w:type="fixed"/>
        <w:tblLook w:val="04A0" w:firstRow="1" w:lastRow="0" w:firstColumn="1" w:lastColumn="0" w:noHBand="0" w:noVBand="1"/>
      </w:tblPr>
      <w:tblGrid>
        <w:gridCol w:w="1418"/>
        <w:gridCol w:w="1559"/>
        <w:gridCol w:w="1701"/>
        <w:gridCol w:w="1559"/>
        <w:gridCol w:w="1559"/>
        <w:gridCol w:w="1418"/>
        <w:gridCol w:w="1276"/>
        <w:gridCol w:w="1271"/>
      </w:tblGrid>
      <w:tr w:rsidR="001F1DC1" w:rsidRPr="00B01BC9" w14:paraId="5472AEBF" w14:textId="77777777" w:rsidTr="00482C27">
        <w:trPr>
          <w:trHeight w:val="1509"/>
        </w:trPr>
        <w:tc>
          <w:tcPr>
            <w:tcW w:w="1418" w:type="dxa"/>
          </w:tcPr>
          <w:p w14:paraId="3151E76D" w14:textId="77777777" w:rsidR="001F1DC1" w:rsidRPr="000B66BC" w:rsidRDefault="001F1DC1" w:rsidP="000B66BC">
            <w:pPr>
              <w:jc w:val="center"/>
              <w:rPr>
                <w:b/>
                <w:bCs/>
                <w:sz w:val="20"/>
                <w:szCs w:val="20"/>
              </w:rPr>
            </w:pPr>
            <w:r w:rsidRPr="000B66BC">
              <w:rPr>
                <w:b/>
                <w:bCs/>
                <w:sz w:val="20"/>
                <w:szCs w:val="20"/>
              </w:rPr>
              <w:lastRenderedPageBreak/>
              <w:t>Author &amp; Year</w:t>
            </w:r>
          </w:p>
        </w:tc>
        <w:tc>
          <w:tcPr>
            <w:tcW w:w="1559" w:type="dxa"/>
          </w:tcPr>
          <w:p w14:paraId="2E281E2F"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Article Title</w:t>
            </w:r>
          </w:p>
        </w:tc>
        <w:tc>
          <w:tcPr>
            <w:tcW w:w="1701" w:type="dxa"/>
          </w:tcPr>
          <w:p w14:paraId="541AC5E4"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Type of Study</w:t>
            </w:r>
          </w:p>
        </w:tc>
        <w:tc>
          <w:tcPr>
            <w:tcW w:w="1559" w:type="dxa"/>
          </w:tcPr>
          <w:p w14:paraId="2226AD59"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Research Method &amp; Sample Size</w:t>
            </w:r>
          </w:p>
        </w:tc>
        <w:tc>
          <w:tcPr>
            <w:tcW w:w="1559" w:type="dxa"/>
          </w:tcPr>
          <w:p w14:paraId="40D4E9ED"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Strengths &amp; Limitations</w:t>
            </w:r>
          </w:p>
        </w:tc>
        <w:tc>
          <w:tcPr>
            <w:tcW w:w="1418" w:type="dxa"/>
          </w:tcPr>
          <w:p w14:paraId="431F0496"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Main Findings</w:t>
            </w:r>
          </w:p>
        </w:tc>
        <w:tc>
          <w:tcPr>
            <w:tcW w:w="1276" w:type="dxa"/>
          </w:tcPr>
          <w:p w14:paraId="17FFC004" w14:textId="77777777"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Keywords &amp; Codes</w:t>
            </w:r>
          </w:p>
        </w:tc>
        <w:tc>
          <w:tcPr>
            <w:tcW w:w="1271" w:type="dxa"/>
          </w:tcPr>
          <w:p w14:paraId="497624E8" w14:textId="6A77796E" w:rsidR="001F1DC1" w:rsidRPr="000B66BC" w:rsidRDefault="001F1DC1" w:rsidP="000B66BC">
            <w:pPr>
              <w:jc w:val="center"/>
              <w:rPr>
                <w:rFonts w:ascii="Arial" w:hAnsi="Arial" w:cs="Arial"/>
                <w:b/>
                <w:bCs/>
                <w:sz w:val="20"/>
                <w:szCs w:val="20"/>
              </w:rPr>
            </w:pPr>
            <w:r w:rsidRPr="000B66BC">
              <w:rPr>
                <w:rFonts w:ascii="Arial" w:hAnsi="Arial" w:cs="Arial"/>
                <w:b/>
                <w:bCs/>
                <w:sz w:val="20"/>
                <w:szCs w:val="20"/>
              </w:rPr>
              <w:t>Notes and Commen</w:t>
            </w:r>
            <w:r w:rsidR="003C6100" w:rsidRPr="000B66BC">
              <w:rPr>
                <w:rFonts w:ascii="Arial" w:hAnsi="Arial" w:cs="Arial"/>
                <w:b/>
                <w:bCs/>
                <w:sz w:val="20"/>
                <w:szCs w:val="20"/>
              </w:rPr>
              <w:t>ts</w:t>
            </w:r>
          </w:p>
        </w:tc>
      </w:tr>
      <w:tr w:rsidR="001F1DC1" w:rsidRPr="00B01BC9" w14:paraId="648431A1" w14:textId="77777777" w:rsidTr="00482C27">
        <w:trPr>
          <w:trHeight w:val="647"/>
        </w:trPr>
        <w:tc>
          <w:tcPr>
            <w:tcW w:w="1418" w:type="dxa"/>
          </w:tcPr>
          <w:p w14:paraId="1ADF81A7" w14:textId="77777777" w:rsidR="001F1DC1" w:rsidRPr="00B01BC9" w:rsidRDefault="001F1DC1" w:rsidP="00534669">
            <w:pPr>
              <w:jc w:val="left"/>
              <w:rPr>
                <w:rFonts w:ascii="Arial" w:hAnsi="Arial" w:cs="Arial"/>
                <w:color w:val="000000"/>
              </w:rPr>
            </w:pPr>
            <w:r w:rsidRPr="00B01BC9">
              <w:rPr>
                <w:rFonts w:ascii="Arial" w:hAnsi="Arial" w:cs="Arial"/>
                <w:color w:val="000000"/>
              </w:rPr>
              <w:t>Arfeen</w:t>
            </w:r>
            <w:r w:rsidR="00481333" w:rsidRPr="00B01BC9">
              <w:rPr>
                <w:rFonts w:ascii="Arial" w:hAnsi="Arial" w:cs="Arial"/>
                <w:color w:val="000000"/>
              </w:rPr>
              <w:t xml:space="preserve"> </w:t>
            </w:r>
            <w:r w:rsidR="00481333" w:rsidRPr="00B01BC9">
              <w:rPr>
                <w:rFonts w:ascii="Arial" w:hAnsi="Arial" w:cs="Arial"/>
                <w:i/>
                <w:iCs/>
                <w:color w:val="000000"/>
              </w:rPr>
              <w:t>et al,.</w:t>
            </w:r>
            <w:r w:rsidRPr="00B01BC9">
              <w:rPr>
                <w:rFonts w:ascii="Arial" w:hAnsi="Arial" w:cs="Arial"/>
                <w:color w:val="000000"/>
              </w:rPr>
              <w:t xml:space="preserve"> (2025)</w:t>
            </w:r>
          </w:p>
          <w:p w14:paraId="4EA6C6C1" w14:textId="0CA8A808" w:rsidR="006E2180" w:rsidRPr="00B01BC9" w:rsidRDefault="00FA199D" w:rsidP="00534669">
            <w:pPr>
              <w:jc w:val="left"/>
              <w:rPr>
                <w:rFonts w:ascii="Arial" w:hAnsi="Arial" w:cs="Arial"/>
              </w:rPr>
            </w:pPr>
            <w:r w:rsidRPr="00B01BC9">
              <w:rPr>
                <w:rFonts w:ascii="Arial" w:hAnsi="Arial" w:cs="Arial"/>
              </w:rPr>
              <w:t>Paper 1</w:t>
            </w:r>
          </w:p>
        </w:tc>
        <w:tc>
          <w:tcPr>
            <w:tcW w:w="1559" w:type="dxa"/>
          </w:tcPr>
          <w:p w14:paraId="6F23AD22" w14:textId="77777777" w:rsidR="001F1DC1" w:rsidRPr="00B01BC9" w:rsidRDefault="001F1DC1" w:rsidP="00C44F4E">
            <w:pPr>
              <w:jc w:val="left"/>
              <w:rPr>
                <w:rFonts w:ascii="Arial" w:hAnsi="Arial" w:cs="Arial"/>
              </w:rPr>
            </w:pPr>
            <w:r w:rsidRPr="00B01BC9">
              <w:rPr>
                <w:rFonts w:ascii="Arial" w:hAnsi="Arial" w:cs="Arial"/>
                <w:color w:val="000000"/>
              </w:rPr>
              <w:t>Reliance on Migrant Healthcare Workers in the United Kingdom: A Critical Discourse Analysis</w:t>
            </w:r>
          </w:p>
        </w:tc>
        <w:tc>
          <w:tcPr>
            <w:tcW w:w="1701" w:type="dxa"/>
          </w:tcPr>
          <w:p w14:paraId="46B5D515" w14:textId="77777777" w:rsidR="001F1DC1" w:rsidRPr="00B01BC9" w:rsidRDefault="001F1DC1" w:rsidP="00C44F4E">
            <w:pPr>
              <w:jc w:val="left"/>
              <w:rPr>
                <w:rFonts w:ascii="Arial" w:hAnsi="Arial" w:cs="Arial"/>
              </w:rPr>
            </w:pPr>
            <w:r w:rsidRPr="00B01BC9">
              <w:rPr>
                <w:rFonts w:ascii="Arial" w:hAnsi="Arial" w:cs="Arial"/>
                <w:color w:val="000000"/>
              </w:rPr>
              <w:t>Critical discourse analysis</w:t>
            </w:r>
          </w:p>
        </w:tc>
        <w:tc>
          <w:tcPr>
            <w:tcW w:w="1559" w:type="dxa"/>
          </w:tcPr>
          <w:p w14:paraId="48BC577A" w14:textId="77777777" w:rsidR="001F1DC1" w:rsidRPr="00B01BC9" w:rsidRDefault="001F1DC1" w:rsidP="00C44F4E">
            <w:pPr>
              <w:jc w:val="left"/>
              <w:rPr>
                <w:rFonts w:ascii="Arial" w:hAnsi="Arial" w:cs="Arial"/>
              </w:rPr>
            </w:pPr>
            <w:r w:rsidRPr="00B01BC9">
              <w:rPr>
                <w:rFonts w:ascii="Arial" w:hAnsi="Arial" w:cs="Arial"/>
                <w:color w:val="000000"/>
              </w:rPr>
              <w:t>Qualitative analysis of policy and workforce discourse relating to migrant healthcare workers in the UK</w:t>
            </w:r>
          </w:p>
        </w:tc>
        <w:tc>
          <w:tcPr>
            <w:tcW w:w="1559" w:type="dxa"/>
          </w:tcPr>
          <w:p w14:paraId="7C74BCC8" w14:textId="77777777" w:rsidR="001F1DC1" w:rsidRPr="00B01BC9" w:rsidRDefault="001F1DC1" w:rsidP="00C44F4E">
            <w:pPr>
              <w:jc w:val="left"/>
              <w:rPr>
                <w:rFonts w:ascii="Arial" w:hAnsi="Arial" w:cs="Arial"/>
              </w:rPr>
            </w:pPr>
            <w:r w:rsidRPr="00B01BC9">
              <w:rPr>
                <w:rFonts w:ascii="Arial" w:hAnsi="Arial" w:cs="Arial"/>
                <w:color w:val="000000"/>
              </w:rPr>
              <w:t>Strengths: Recent, UK-focused, policy relevance. Limitations: Does not focus exclusively on ASC workforce.</w:t>
            </w:r>
          </w:p>
        </w:tc>
        <w:tc>
          <w:tcPr>
            <w:tcW w:w="1418" w:type="dxa"/>
          </w:tcPr>
          <w:p w14:paraId="257B4037" w14:textId="77777777" w:rsidR="001F1DC1" w:rsidRPr="00B01BC9" w:rsidRDefault="001F1DC1" w:rsidP="00C44F4E">
            <w:pPr>
              <w:jc w:val="left"/>
              <w:rPr>
                <w:rFonts w:ascii="Arial" w:hAnsi="Arial" w:cs="Arial"/>
              </w:rPr>
            </w:pPr>
            <w:r w:rsidRPr="00B01BC9">
              <w:rPr>
                <w:rFonts w:ascii="Arial" w:hAnsi="Arial" w:cs="Arial"/>
                <w:color w:val="000000"/>
              </w:rPr>
              <w:t>UK health and care services increasingly rely on migrant workers to address workforce shortages</w:t>
            </w:r>
          </w:p>
        </w:tc>
        <w:tc>
          <w:tcPr>
            <w:tcW w:w="1276" w:type="dxa"/>
          </w:tcPr>
          <w:p w14:paraId="045B45B1" w14:textId="77777777" w:rsidR="001F1DC1" w:rsidRPr="00B01BC9" w:rsidRDefault="001F1DC1" w:rsidP="00C44F4E">
            <w:pPr>
              <w:jc w:val="left"/>
              <w:rPr>
                <w:rFonts w:ascii="Arial" w:hAnsi="Arial" w:cs="Arial"/>
              </w:rPr>
            </w:pPr>
            <w:r w:rsidRPr="00B01BC9">
              <w:rPr>
                <w:rFonts w:ascii="Arial" w:hAnsi="Arial" w:cs="Arial"/>
                <w:color w:val="000000"/>
              </w:rPr>
              <w:t>Workforce shortages; migrant labour; recruitment; sustainability</w:t>
            </w:r>
          </w:p>
        </w:tc>
        <w:tc>
          <w:tcPr>
            <w:tcW w:w="1271" w:type="dxa"/>
          </w:tcPr>
          <w:p w14:paraId="12807138" w14:textId="77777777" w:rsidR="001F1DC1" w:rsidRPr="00B01BC9" w:rsidRDefault="001F1DC1" w:rsidP="00C44F4E">
            <w:pPr>
              <w:jc w:val="left"/>
              <w:rPr>
                <w:rFonts w:ascii="Arial" w:hAnsi="Arial" w:cs="Arial"/>
              </w:rPr>
            </w:pPr>
            <w:r w:rsidRPr="00B01BC9">
              <w:rPr>
                <w:rFonts w:ascii="Arial" w:hAnsi="Arial" w:cs="Arial"/>
                <w:color w:val="000000"/>
              </w:rPr>
              <w:t>Strong evidence for Theme 1 and Theme 2. Highlights growing dependence on migrant labour.</w:t>
            </w:r>
          </w:p>
        </w:tc>
      </w:tr>
      <w:tr w:rsidR="001F1DC1" w:rsidRPr="00B01BC9" w14:paraId="4300D226" w14:textId="77777777" w:rsidTr="00482C27">
        <w:trPr>
          <w:trHeight w:val="616"/>
        </w:trPr>
        <w:tc>
          <w:tcPr>
            <w:tcW w:w="1418" w:type="dxa"/>
          </w:tcPr>
          <w:p w14:paraId="4EDC3373" w14:textId="77777777" w:rsidR="001F1DC1" w:rsidRPr="00B01BC9" w:rsidRDefault="001F1DC1" w:rsidP="00C44F4E">
            <w:pPr>
              <w:jc w:val="left"/>
              <w:rPr>
                <w:rFonts w:ascii="Arial" w:hAnsi="Arial" w:cs="Arial"/>
                <w:color w:val="000000"/>
              </w:rPr>
            </w:pPr>
            <w:r w:rsidRPr="00B01BC9">
              <w:rPr>
                <w:rFonts w:ascii="Arial" w:hAnsi="Arial" w:cs="Arial"/>
                <w:color w:val="000000"/>
              </w:rPr>
              <w:t>Turnpenny and Hussein (2022)</w:t>
            </w:r>
          </w:p>
          <w:p w14:paraId="3E70E7D9" w14:textId="01127765" w:rsidR="00FA199D" w:rsidRPr="00B01BC9" w:rsidRDefault="00FA199D" w:rsidP="00C44F4E">
            <w:pPr>
              <w:jc w:val="left"/>
              <w:rPr>
                <w:rFonts w:ascii="Arial" w:hAnsi="Arial" w:cs="Arial"/>
              </w:rPr>
            </w:pPr>
            <w:r w:rsidRPr="00B01BC9">
              <w:rPr>
                <w:rFonts w:ascii="Arial" w:hAnsi="Arial" w:cs="Arial"/>
              </w:rPr>
              <w:t>Paper 2</w:t>
            </w:r>
          </w:p>
        </w:tc>
        <w:tc>
          <w:tcPr>
            <w:tcW w:w="1559" w:type="dxa"/>
          </w:tcPr>
          <w:tbl>
            <w:tblPr>
              <w:tblW w:w="107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73"/>
            </w:tblGrid>
            <w:tr w:rsidR="001F1DC1" w:rsidRPr="00B01BC9" w14:paraId="6E95965F" w14:textId="77777777" w:rsidTr="0032162D">
              <w:trPr>
                <w:trHeight w:val="145"/>
                <w:tblCellSpacing w:w="15" w:type="dxa"/>
              </w:trPr>
              <w:tc>
                <w:tcPr>
                  <w:tcW w:w="1327" w:type="dxa"/>
                  <w:vAlign w:val="center"/>
                  <w:hideMark/>
                </w:tcPr>
                <w:p w14:paraId="0C7B3B10" w14:textId="77777777" w:rsidR="001F1DC1" w:rsidRPr="00B01BC9" w:rsidRDefault="001F1DC1"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Migrant Home Care Workers in the UK: a Scoping Review of Outcomes and Sustainability and Implications in the Context of Brexit</w:t>
                  </w:r>
                </w:p>
              </w:tc>
            </w:tr>
          </w:tbl>
          <w:p w14:paraId="7BB6B83D" w14:textId="77777777" w:rsidR="001F1DC1" w:rsidRPr="00B01BC9" w:rsidRDefault="001F1DC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1F1DC1" w:rsidRPr="00B01BC9" w14:paraId="0A9B9B3E" w14:textId="77777777" w:rsidTr="0032162D">
              <w:trPr>
                <w:trHeight w:val="145"/>
                <w:tblCellSpacing w:w="15" w:type="dxa"/>
              </w:trPr>
              <w:tc>
                <w:tcPr>
                  <w:tcW w:w="36" w:type="dxa"/>
                  <w:vAlign w:val="center"/>
                  <w:hideMark/>
                </w:tcPr>
                <w:p w14:paraId="2BC6F46C" w14:textId="34ECE37C" w:rsidR="001F1DC1" w:rsidRPr="00B01BC9" w:rsidRDefault="001F1DC1" w:rsidP="00034C52">
                  <w:pPr>
                    <w:framePr w:hSpace="180" w:wrap="around" w:vAnchor="text" w:hAnchor="page" w:x="-1611" w:y="-1445"/>
                    <w:jc w:val="left"/>
                    <w:rPr>
                      <w:rFonts w:ascii="Arial" w:hAnsi="Arial" w:cs="Arial"/>
                      <w:color w:val="000000"/>
                    </w:rPr>
                  </w:pPr>
                </w:p>
              </w:tc>
            </w:tr>
          </w:tbl>
          <w:p w14:paraId="0E9F625B" w14:textId="77777777" w:rsidR="001F1DC1" w:rsidRPr="00B01BC9" w:rsidRDefault="001F1DC1" w:rsidP="00C44F4E">
            <w:pPr>
              <w:jc w:val="left"/>
              <w:rPr>
                <w:rFonts w:ascii="Arial" w:hAnsi="Arial" w:cs="Arial"/>
              </w:rPr>
            </w:pPr>
          </w:p>
        </w:tc>
        <w:tc>
          <w:tcPr>
            <w:tcW w:w="1701" w:type="dxa"/>
          </w:tcPr>
          <w:tbl>
            <w:tblPr>
              <w:tblW w:w="72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724"/>
            </w:tblGrid>
            <w:tr w:rsidR="001F1DC1" w:rsidRPr="00B01BC9" w14:paraId="2424E4B7" w14:textId="77777777" w:rsidTr="0032162D">
              <w:trPr>
                <w:trHeight w:val="145"/>
                <w:tblCellSpacing w:w="15" w:type="dxa"/>
              </w:trPr>
              <w:tc>
                <w:tcPr>
                  <w:tcW w:w="826" w:type="dxa"/>
                  <w:vAlign w:val="center"/>
                  <w:hideMark/>
                </w:tcPr>
                <w:p w14:paraId="138D05D1" w14:textId="582D4F32" w:rsidR="001F1DC1" w:rsidRPr="00B01BC9" w:rsidRDefault="001F1DC1"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Scoping revi</w:t>
                  </w:r>
                  <w:r w:rsidR="00797748">
                    <w:rPr>
                      <w:rFonts w:ascii="Arial" w:hAnsi="Arial" w:cs="Arial"/>
                      <w:color w:val="000000"/>
                    </w:rPr>
                    <w:t>e</w:t>
                  </w:r>
                  <w:r w:rsidRPr="00B01BC9">
                    <w:rPr>
                      <w:rFonts w:ascii="Arial" w:hAnsi="Arial" w:cs="Arial"/>
                      <w:color w:val="000000"/>
                    </w:rPr>
                    <w:t>w</w:t>
                  </w:r>
                </w:p>
              </w:tc>
            </w:tr>
          </w:tbl>
          <w:p w14:paraId="36670664" w14:textId="77777777" w:rsidR="001F1DC1" w:rsidRPr="00B01BC9" w:rsidRDefault="001F1DC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1F1DC1" w:rsidRPr="00B01BC9" w14:paraId="533ABA57" w14:textId="77777777" w:rsidTr="0032162D">
              <w:trPr>
                <w:trHeight w:val="145"/>
                <w:tblCellSpacing w:w="15" w:type="dxa"/>
              </w:trPr>
              <w:tc>
                <w:tcPr>
                  <w:tcW w:w="36" w:type="dxa"/>
                  <w:vAlign w:val="center"/>
                  <w:hideMark/>
                </w:tcPr>
                <w:p w14:paraId="296CEFDD" w14:textId="77777777" w:rsidR="001F1DC1" w:rsidRPr="00B01BC9" w:rsidRDefault="001F1DC1" w:rsidP="00034C52">
                  <w:pPr>
                    <w:framePr w:hSpace="180" w:wrap="around" w:vAnchor="text" w:hAnchor="page" w:x="-1611" w:y="-1445"/>
                    <w:jc w:val="left"/>
                    <w:rPr>
                      <w:rFonts w:ascii="Arial" w:hAnsi="Arial" w:cs="Arial"/>
                    </w:rPr>
                  </w:pPr>
                </w:p>
              </w:tc>
            </w:tr>
          </w:tbl>
          <w:p w14:paraId="0F0B7945" w14:textId="77777777" w:rsidR="001F1DC1" w:rsidRPr="00B01BC9" w:rsidRDefault="001F1DC1" w:rsidP="00C44F4E">
            <w:pPr>
              <w:jc w:val="left"/>
              <w:rPr>
                <w:rFonts w:ascii="Arial" w:hAnsi="Arial" w:cs="Arial"/>
              </w:rPr>
            </w:pPr>
          </w:p>
        </w:tc>
        <w:tc>
          <w:tcPr>
            <w:tcW w:w="1559" w:type="dxa"/>
          </w:tcPr>
          <w:p w14:paraId="4638017D" w14:textId="77777777" w:rsidR="001F1DC1" w:rsidRPr="00B01BC9" w:rsidRDefault="001F1DC1" w:rsidP="00C44F4E">
            <w:pPr>
              <w:jc w:val="left"/>
              <w:rPr>
                <w:rFonts w:ascii="Arial" w:hAnsi="Arial" w:cs="Arial"/>
              </w:rPr>
            </w:pPr>
            <w:r w:rsidRPr="00B01BC9">
              <w:rPr>
                <w:rFonts w:ascii="Arial" w:hAnsi="Arial" w:cs="Arial"/>
                <w:color w:val="000000"/>
              </w:rPr>
              <w:t>Review of literature relating to migrant home care workers in the UK</w:t>
            </w:r>
          </w:p>
        </w:tc>
        <w:tc>
          <w:tcPr>
            <w:tcW w:w="1559" w:type="dxa"/>
          </w:tcPr>
          <w:p w14:paraId="6D9E05CE" w14:textId="77777777" w:rsidR="001F1DC1" w:rsidRPr="00B01BC9" w:rsidRDefault="001F1DC1" w:rsidP="00C44F4E">
            <w:pPr>
              <w:jc w:val="left"/>
              <w:rPr>
                <w:rFonts w:ascii="Arial" w:hAnsi="Arial" w:cs="Arial"/>
              </w:rPr>
            </w:pPr>
            <w:r w:rsidRPr="00B01BC9">
              <w:rPr>
                <w:rFonts w:ascii="Arial" w:hAnsi="Arial" w:cs="Arial"/>
                <w:color w:val="000000"/>
              </w:rPr>
              <w:t>Strengths: UK-specific, comprehensive review. Limitations: Secondary data only.</w:t>
            </w:r>
          </w:p>
        </w:tc>
        <w:tc>
          <w:tcPr>
            <w:tcW w:w="1418" w:type="dxa"/>
          </w:tcPr>
          <w:p w14:paraId="6251912B" w14:textId="77777777" w:rsidR="001F1DC1" w:rsidRPr="00B01BC9" w:rsidRDefault="001F1DC1" w:rsidP="00C44F4E">
            <w:pPr>
              <w:jc w:val="left"/>
              <w:rPr>
                <w:rFonts w:ascii="Arial" w:hAnsi="Arial" w:cs="Arial"/>
              </w:rPr>
            </w:pPr>
            <w:r w:rsidRPr="00B01BC9">
              <w:rPr>
                <w:rFonts w:ascii="Arial" w:hAnsi="Arial" w:cs="Arial"/>
                <w:color w:val="000000"/>
              </w:rPr>
              <w:t>Migrant workers play a vital role in sustaining home care services but face challenges linked to Brexit and workforce instability.</w:t>
            </w:r>
          </w:p>
        </w:tc>
        <w:tc>
          <w:tcPr>
            <w:tcW w:w="1276" w:type="dxa"/>
          </w:tcPr>
          <w:p w14:paraId="6E3AF6A9" w14:textId="77777777" w:rsidR="001F1DC1" w:rsidRPr="00B01BC9" w:rsidRDefault="001F1DC1" w:rsidP="00C44F4E">
            <w:pPr>
              <w:jc w:val="left"/>
              <w:rPr>
                <w:rFonts w:ascii="Arial" w:hAnsi="Arial" w:cs="Arial"/>
              </w:rPr>
            </w:pPr>
            <w:r w:rsidRPr="00B01BC9">
              <w:rPr>
                <w:rFonts w:ascii="Arial" w:hAnsi="Arial" w:cs="Arial"/>
                <w:color w:val="000000"/>
              </w:rPr>
              <w:t>Workforce sustainability; Brexit; migrant care workers; retention</w:t>
            </w:r>
          </w:p>
        </w:tc>
        <w:tc>
          <w:tcPr>
            <w:tcW w:w="1271" w:type="dxa"/>
          </w:tcPr>
          <w:p w14:paraId="67159BA4" w14:textId="77777777" w:rsidR="001F1DC1" w:rsidRPr="00B01BC9" w:rsidRDefault="001F1DC1" w:rsidP="00C44F4E">
            <w:pPr>
              <w:jc w:val="left"/>
              <w:rPr>
                <w:rFonts w:ascii="Arial" w:hAnsi="Arial" w:cs="Arial"/>
              </w:rPr>
            </w:pPr>
            <w:r w:rsidRPr="00B01BC9">
              <w:rPr>
                <w:rFonts w:ascii="Arial" w:hAnsi="Arial" w:cs="Arial"/>
                <w:color w:val="000000"/>
              </w:rPr>
              <w:t>Relevant across all three themes. Strong link between migration and workforce sustainability.</w:t>
            </w:r>
          </w:p>
        </w:tc>
      </w:tr>
      <w:tr w:rsidR="001F1DC1" w:rsidRPr="00B01BC9" w14:paraId="30307EDE" w14:textId="77777777" w:rsidTr="00482C27">
        <w:trPr>
          <w:trHeight w:val="616"/>
        </w:trPr>
        <w:tc>
          <w:tcPr>
            <w:tcW w:w="1418" w:type="dxa"/>
          </w:tcPr>
          <w:p w14:paraId="5585905E" w14:textId="50EF1E9D" w:rsidR="001F1DC1" w:rsidRPr="00B01BC9" w:rsidRDefault="001F1DC1" w:rsidP="00C44F4E">
            <w:pPr>
              <w:jc w:val="left"/>
              <w:rPr>
                <w:rFonts w:ascii="Arial" w:hAnsi="Arial" w:cs="Arial"/>
                <w:color w:val="000000"/>
              </w:rPr>
            </w:pPr>
            <w:r w:rsidRPr="00B01BC9">
              <w:rPr>
                <w:rFonts w:ascii="Arial" w:hAnsi="Arial" w:cs="Arial"/>
                <w:color w:val="000000"/>
              </w:rPr>
              <w:t>Marino and Keizer (2</w:t>
            </w:r>
            <w:r w:rsidR="009E7150" w:rsidRPr="00B01BC9">
              <w:rPr>
                <w:rFonts w:ascii="Arial" w:hAnsi="Arial" w:cs="Arial"/>
                <w:color w:val="000000"/>
              </w:rPr>
              <w:t>0</w:t>
            </w:r>
            <w:r w:rsidR="00340C39" w:rsidRPr="00B01BC9">
              <w:rPr>
                <w:rFonts w:ascii="Arial" w:hAnsi="Arial" w:cs="Arial"/>
                <w:color w:val="000000"/>
              </w:rPr>
              <w:t>23</w:t>
            </w:r>
            <w:r w:rsidR="009E7150" w:rsidRPr="00B01BC9">
              <w:rPr>
                <w:rFonts w:ascii="Arial" w:hAnsi="Arial" w:cs="Arial"/>
                <w:color w:val="000000"/>
              </w:rPr>
              <w:t>)</w:t>
            </w:r>
          </w:p>
          <w:p w14:paraId="118AC10B" w14:textId="0048612C" w:rsidR="00FA199D" w:rsidRPr="00B01BC9" w:rsidRDefault="00FA199D" w:rsidP="00C44F4E">
            <w:pPr>
              <w:jc w:val="left"/>
              <w:rPr>
                <w:rFonts w:ascii="Arial" w:hAnsi="Arial" w:cs="Arial"/>
              </w:rPr>
            </w:pPr>
            <w:r w:rsidRPr="00B01BC9">
              <w:rPr>
                <w:rFonts w:ascii="Arial" w:hAnsi="Arial" w:cs="Arial"/>
              </w:rPr>
              <w:t>Paper 3</w:t>
            </w:r>
          </w:p>
        </w:tc>
        <w:tc>
          <w:tcPr>
            <w:tcW w:w="1559" w:type="dxa"/>
          </w:tcPr>
          <w:tbl>
            <w:tblPr>
              <w:tblW w:w="988"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88"/>
            </w:tblGrid>
            <w:tr w:rsidR="00363318" w:rsidRPr="00B01BC9" w14:paraId="079A76C8" w14:textId="77777777" w:rsidTr="0032162D">
              <w:trPr>
                <w:trHeight w:val="145"/>
                <w:tblCellSpacing w:w="15" w:type="dxa"/>
              </w:trPr>
              <w:tc>
                <w:tcPr>
                  <w:tcW w:w="1217" w:type="dxa"/>
                  <w:vAlign w:val="center"/>
                  <w:hideMark/>
                </w:tcPr>
                <w:p w14:paraId="725024A3" w14:textId="77777777" w:rsidR="00363318" w:rsidRPr="00B01BC9" w:rsidRDefault="00363318"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 xml:space="preserve">Labour Market Regulation and the Demand for </w:t>
                  </w:r>
                  <w:r w:rsidRPr="00B01BC9">
                    <w:rPr>
                      <w:rFonts w:ascii="Arial" w:hAnsi="Arial" w:cs="Arial"/>
                      <w:color w:val="000000"/>
                    </w:rPr>
                    <w:lastRenderedPageBreak/>
                    <w:t>Migrant Labour: A Comparison of the Adult Social Care Sector in England and the Netherlands</w:t>
                  </w:r>
                </w:p>
              </w:tc>
            </w:tr>
          </w:tbl>
          <w:p w14:paraId="4BCB89FB"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7A7047C9" w14:textId="77777777" w:rsidTr="0032162D">
              <w:trPr>
                <w:trHeight w:val="12"/>
                <w:tblCellSpacing w:w="15" w:type="dxa"/>
              </w:trPr>
              <w:tc>
                <w:tcPr>
                  <w:tcW w:w="36" w:type="dxa"/>
                  <w:vAlign w:val="center"/>
                  <w:hideMark/>
                </w:tcPr>
                <w:p w14:paraId="5A794C48" w14:textId="77777777" w:rsidR="00363318" w:rsidRPr="00B01BC9" w:rsidRDefault="00363318" w:rsidP="00034C52">
                  <w:pPr>
                    <w:framePr w:hSpace="180" w:wrap="around" w:vAnchor="text" w:hAnchor="page" w:x="-1611" w:y="-1445"/>
                    <w:jc w:val="left"/>
                    <w:rPr>
                      <w:rFonts w:ascii="Arial" w:hAnsi="Arial" w:cs="Arial"/>
                    </w:rPr>
                  </w:pPr>
                </w:p>
              </w:tc>
            </w:tr>
          </w:tbl>
          <w:p w14:paraId="131C702E" w14:textId="77777777" w:rsidR="001F1DC1" w:rsidRPr="00B01BC9" w:rsidRDefault="001F1DC1" w:rsidP="00C44F4E">
            <w:pPr>
              <w:jc w:val="left"/>
              <w:rPr>
                <w:rFonts w:ascii="Arial" w:hAnsi="Arial" w:cs="Arial"/>
              </w:rPr>
            </w:pPr>
          </w:p>
        </w:tc>
        <w:tc>
          <w:tcPr>
            <w:tcW w:w="1701" w:type="dxa"/>
          </w:tcPr>
          <w:tbl>
            <w:tblPr>
              <w:tblW w:w="1035"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35"/>
            </w:tblGrid>
            <w:tr w:rsidR="00363318" w:rsidRPr="00B01BC9" w14:paraId="7D1112F3" w14:textId="77777777" w:rsidTr="0032162D">
              <w:trPr>
                <w:trHeight w:val="145"/>
                <w:tblCellSpacing w:w="15" w:type="dxa"/>
              </w:trPr>
              <w:tc>
                <w:tcPr>
                  <w:tcW w:w="1278" w:type="dxa"/>
                  <w:vAlign w:val="center"/>
                  <w:hideMark/>
                </w:tcPr>
                <w:p w14:paraId="546D382E" w14:textId="77777777" w:rsidR="00363318" w:rsidRPr="00B01BC9" w:rsidRDefault="00363318"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Comparative study</w:t>
                  </w:r>
                </w:p>
              </w:tc>
            </w:tr>
          </w:tbl>
          <w:p w14:paraId="1310F71B"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3508CA9F" w14:textId="77777777" w:rsidTr="0032162D">
              <w:trPr>
                <w:trHeight w:val="145"/>
                <w:tblCellSpacing w:w="15" w:type="dxa"/>
              </w:trPr>
              <w:tc>
                <w:tcPr>
                  <w:tcW w:w="36" w:type="dxa"/>
                  <w:vAlign w:val="center"/>
                  <w:hideMark/>
                </w:tcPr>
                <w:p w14:paraId="0CE47FD5" w14:textId="77777777" w:rsidR="00363318" w:rsidRPr="00B01BC9" w:rsidRDefault="00363318" w:rsidP="00034C52">
                  <w:pPr>
                    <w:framePr w:hSpace="180" w:wrap="around" w:vAnchor="text" w:hAnchor="page" w:x="-1611" w:y="-1445"/>
                    <w:jc w:val="left"/>
                    <w:rPr>
                      <w:rFonts w:ascii="Arial" w:hAnsi="Arial" w:cs="Arial"/>
                    </w:rPr>
                  </w:pPr>
                </w:p>
              </w:tc>
            </w:tr>
          </w:tbl>
          <w:p w14:paraId="45085C7E" w14:textId="77777777" w:rsidR="001F1DC1" w:rsidRPr="00B01BC9" w:rsidRDefault="001F1DC1" w:rsidP="00C44F4E">
            <w:pPr>
              <w:jc w:val="left"/>
              <w:rPr>
                <w:rFonts w:ascii="Arial" w:hAnsi="Arial" w:cs="Arial"/>
              </w:rPr>
            </w:pPr>
          </w:p>
        </w:tc>
        <w:tc>
          <w:tcPr>
            <w:tcW w:w="1559" w:type="dxa"/>
          </w:tcPr>
          <w:p w14:paraId="6CD1280F" w14:textId="0D6A80B4" w:rsidR="001F1DC1" w:rsidRPr="00B01BC9" w:rsidRDefault="00363318" w:rsidP="00C44F4E">
            <w:pPr>
              <w:jc w:val="left"/>
              <w:rPr>
                <w:rFonts w:ascii="Arial" w:hAnsi="Arial" w:cs="Arial"/>
              </w:rPr>
            </w:pPr>
            <w:r w:rsidRPr="00B01BC9">
              <w:rPr>
                <w:rFonts w:ascii="Arial" w:hAnsi="Arial" w:cs="Arial"/>
                <w:color w:val="000000"/>
              </w:rPr>
              <w:t xml:space="preserve">Comparative analysis of labour market regulation in England and </w:t>
            </w:r>
            <w:r w:rsidRPr="00B01BC9">
              <w:rPr>
                <w:rFonts w:ascii="Arial" w:hAnsi="Arial" w:cs="Arial"/>
                <w:color w:val="000000"/>
              </w:rPr>
              <w:lastRenderedPageBreak/>
              <w:t>the Netherlands</w:t>
            </w:r>
          </w:p>
        </w:tc>
        <w:tc>
          <w:tcPr>
            <w:tcW w:w="1559" w:type="dxa"/>
          </w:tcPr>
          <w:tbl>
            <w:tblPr>
              <w:tblW w:w="100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06"/>
            </w:tblGrid>
            <w:tr w:rsidR="00363318" w:rsidRPr="00B01BC9" w14:paraId="4C34DCCE" w14:textId="77777777" w:rsidTr="0032162D">
              <w:trPr>
                <w:trHeight w:val="145"/>
                <w:tblCellSpacing w:w="15" w:type="dxa"/>
              </w:trPr>
              <w:tc>
                <w:tcPr>
                  <w:tcW w:w="1241" w:type="dxa"/>
                  <w:vAlign w:val="center"/>
                  <w:hideMark/>
                </w:tcPr>
                <w:p w14:paraId="633A3CA1" w14:textId="77777777" w:rsidR="00363318" w:rsidRPr="00B01BC9" w:rsidRDefault="00363318"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 xml:space="preserve">Strengths: International comparison, policy </w:t>
                  </w:r>
                  <w:r w:rsidRPr="00B01BC9">
                    <w:rPr>
                      <w:rFonts w:ascii="Arial" w:hAnsi="Arial" w:cs="Arial"/>
                      <w:color w:val="000000"/>
                    </w:rPr>
                    <w:lastRenderedPageBreak/>
                    <w:t>focus. Limitations: Findings may not be fully transferable to UK context.</w:t>
                  </w:r>
                </w:p>
              </w:tc>
            </w:tr>
          </w:tbl>
          <w:p w14:paraId="2307AF64" w14:textId="77777777" w:rsidR="00363318" w:rsidRPr="00B01BC9" w:rsidRDefault="0036331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63318" w:rsidRPr="00B01BC9" w14:paraId="52D0B812" w14:textId="77777777" w:rsidTr="0032162D">
              <w:trPr>
                <w:trHeight w:val="12"/>
                <w:tblCellSpacing w:w="15" w:type="dxa"/>
              </w:trPr>
              <w:tc>
                <w:tcPr>
                  <w:tcW w:w="36" w:type="dxa"/>
                  <w:vAlign w:val="center"/>
                  <w:hideMark/>
                </w:tcPr>
                <w:p w14:paraId="78E06006" w14:textId="77777777" w:rsidR="00363318" w:rsidRPr="00B01BC9" w:rsidRDefault="00363318" w:rsidP="00034C52">
                  <w:pPr>
                    <w:framePr w:hSpace="180" w:wrap="around" w:vAnchor="text" w:hAnchor="page" w:x="-1611" w:y="-1445"/>
                    <w:jc w:val="left"/>
                    <w:rPr>
                      <w:rFonts w:ascii="Arial" w:hAnsi="Arial" w:cs="Arial"/>
                    </w:rPr>
                  </w:pPr>
                </w:p>
              </w:tc>
            </w:tr>
          </w:tbl>
          <w:p w14:paraId="2EFAC2EF" w14:textId="77777777" w:rsidR="001F1DC1" w:rsidRPr="00B01BC9" w:rsidRDefault="001F1DC1" w:rsidP="00C44F4E">
            <w:pPr>
              <w:jc w:val="left"/>
              <w:rPr>
                <w:rFonts w:ascii="Arial" w:hAnsi="Arial" w:cs="Arial"/>
              </w:rPr>
            </w:pPr>
          </w:p>
        </w:tc>
        <w:tc>
          <w:tcPr>
            <w:tcW w:w="1418" w:type="dxa"/>
          </w:tcPr>
          <w:tbl>
            <w:tblPr>
              <w:tblW w:w="836"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836"/>
            </w:tblGrid>
            <w:tr w:rsidR="00DD3A84" w:rsidRPr="00B01BC9" w14:paraId="10AC73F5" w14:textId="77777777" w:rsidTr="0032162D">
              <w:trPr>
                <w:trHeight w:val="145"/>
                <w:tblCellSpacing w:w="15" w:type="dxa"/>
              </w:trPr>
              <w:tc>
                <w:tcPr>
                  <w:tcW w:w="1021" w:type="dxa"/>
                  <w:vAlign w:val="center"/>
                  <w:hideMark/>
                </w:tcPr>
                <w:p w14:paraId="355B7536" w14:textId="77777777" w:rsidR="00DD3A84" w:rsidRPr="00B01BC9" w:rsidRDefault="00DD3A84"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lastRenderedPageBreak/>
                    <w:t>Labour market regulation influences deman</w:t>
                  </w:r>
                  <w:r w:rsidRPr="00B01BC9">
                    <w:rPr>
                      <w:rFonts w:ascii="Arial" w:hAnsi="Arial" w:cs="Arial"/>
                      <w:color w:val="000000"/>
                    </w:rPr>
                    <w:lastRenderedPageBreak/>
                    <w:t>d for migrant workers within adult social care.</w:t>
                  </w:r>
                </w:p>
              </w:tc>
            </w:tr>
          </w:tbl>
          <w:p w14:paraId="42E94197" w14:textId="77777777" w:rsidR="00DD3A84" w:rsidRPr="00B01BC9" w:rsidRDefault="00DD3A84"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D3A84" w:rsidRPr="00B01BC9" w14:paraId="775C23F0" w14:textId="77777777" w:rsidTr="0032162D">
              <w:trPr>
                <w:trHeight w:val="12"/>
                <w:tblCellSpacing w:w="15" w:type="dxa"/>
              </w:trPr>
              <w:tc>
                <w:tcPr>
                  <w:tcW w:w="36" w:type="dxa"/>
                  <w:vAlign w:val="center"/>
                  <w:hideMark/>
                </w:tcPr>
                <w:p w14:paraId="0986118E" w14:textId="77777777" w:rsidR="00DD3A84" w:rsidRPr="00B01BC9" w:rsidRDefault="00DD3A84" w:rsidP="00034C52">
                  <w:pPr>
                    <w:framePr w:hSpace="180" w:wrap="around" w:vAnchor="text" w:hAnchor="page" w:x="-1611" w:y="-1445"/>
                    <w:jc w:val="left"/>
                    <w:rPr>
                      <w:rFonts w:ascii="Arial" w:hAnsi="Arial" w:cs="Arial"/>
                    </w:rPr>
                  </w:pPr>
                </w:p>
              </w:tc>
            </w:tr>
          </w:tbl>
          <w:p w14:paraId="65150B7C" w14:textId="77777777" w:rsidR="001F1DC1" w:rsidRPr="00B01BC9" w:rsidRDefault="001F1DC1" w:rsidP="00C44F4E">
            <w:pPr>
              <w:jc w:val="left"/>
              <w:rPr>
                <w:rFonts w:ascii="Arial" w:hAnsi="Arial" w:cs="Arial"/>
              </w:rPr>
            </w:pPr>
          </w:p>
        </w:tc>
        <w:tc>
          <w:tcPr>
            <w:tcW w:w="1276" w:type="dxa"/>
          </w:tcPr>
          <w:p w14:paraId="73668AE1" w14:textId="1BA9D28B" w:rsidR="001F1DC1" w:rsidRPr="00B01BC9" w:rsidRDefault="00DD3A84" w:rsidP="00C44F4E">
            <w:pPr>
              <w:jc w:val="left"/>
              <w:rPr>
                <w:rFonts w:ascii="Arial" w:hAnsi="Arial" w:cs="Arial"/>
              </w:rPr>
            </w:pPr>
            <w:r w:rsidRPr="00B01BC9">
              <w:rPr>
                <w:rFonts w:ascii="Arial" w:hAnsi="Arial" w:cs="Arial"/>
                <w:color w:val="000000"/>
              </w:rPr>
              <w:lastRenderedPageBreak/>
              <w:t xml:space="preserve">Labour market regulation; recruitment; international labour; </w:t>
            </w:r>
            <w:r w:rsidRPr="00B01BC9">
              <w:rPr>
                <w:rFonts w:ascii="Arial" w:hAnsi="Arial" w:cs="Arial"/>
                <w:color w:val="000000"/>
              </w:rPr>
              <w:lastRenderedPageBreak/>
              <w:t>workforce demand</w:t>
            </w:r>
          </w:p>
        </w:tc>
        <w:tc>
          <w:tcPr>
            <w:tcW w:w="1271" w:type="dxa"/>
          </w:tcPr>
          <w:p w14:paraId="3FEADD17" w14:textId="3AE0BF0B" w:rsidR="001F1DC1" w:rsidRPr="00B01BC9" w:rsidRDefault="00DD3A84" w:rsidP="00C44F4E">
            <w:pPr>
              <w:jc w:val="left"/>
              <w:rPr>
                <w:rFonts w:ascii="Arial" w:hAnsi="Arial" w:cs="Arial"/>
              </w:rPr>
            </w:pPr>
            <w:r w:rsidRPr="00B01BC9">
              <w:rPr>
                <w:rFonts w:ascii="Arial" w:hAnsi="Arial" w:cs="Arial"/>
                <w:color w:val="000000"/>
              </w:rPr>
              <w:lastRenderedPageBreak/>
              <w:t>Useful for analysing migration policy and recruitment practices.</w:t>
            </w:r>
          </w:p>
        </w:tc>
      </w:tr>
      <w:tr w:rsidR="001F1DC1" w:rsidRPr="00B01BC9" w14:paraId="2F80222E" w14:textId="77777777" w:rsidTr="00482C27">
        <w:trPr>
          <w:trHeight w:val="616"/>
        </w:trPr>
        <w:tc>
          <w:tcPr>
            <w:tcW w:w="1418" w:type="dxa"/>
          </w:tcPr>
          <w:p w14:paraId="52D7C493" w14:textId="77777777" w:rsidR="001F1DC1" w:rsidRPr="00B01BC9" w:rsidRDefault="00FC15CE" w:rsidP="00C44F4E">
            <w:pPr>
              <w:jc w:val="left"/>
              <w:rPr>
                <w:rFonts w:ascii="Arial" w:hAnsi="Arial" w:cs="Arial"/>
                <w:color w:val="000000"/>
              </w:rPr>
            </w:pPr>
            <w:r w:rsidRPr="00B01BC9">
              <w:rPr>
                <w:rFonts w:ascii="Arial" w:hAnsi="Arial" w:cs="Arial"/>
                <w:color w:val="000000"/>
              </w:rPr>
              <w:t>Hussein (2022)</w:t>
            </w:r>
          </w:p>
          <w:p w14:paraId="4F7FD760" w14:textId="5F2A01A8"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4</w:t>
            </w:r>
          </w:p>
        </w:tc>
        <w:tc>
          <w:tcPr>
            <w:tcW w:w="1559" w:type="dxa"/>
          </w:tcPr>
          <w:tbl>
            <w:tblPr>
              <w:tblW w:w="96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69"/>
            </w:tblGrid>
            <w:tr w:rsidR="00FC15CE" w:rsidRPr="00B01BC9" w14:paraId="6645D3C0" w14:textId="77777777" w:rsidTr="0032162D">
              <w:trPr>
                <w:trHeight w:val="145"/>
                <w:tblCellSpacing w:w="15" w:type="dxa"/>
              </w:trPr>
              <w:tc>
                <w:tcPr>
                  <w:tcW w:w="1192" w:type="dxa"/>
                  <w:vAlign w:val="center"/>
                  <w:hideMark/>
                </w:tcPr>
                <w:p w14:paraId="4F68104A" w14:textId="77777777" w:rsidR="00FC15CE" w:rsidRPr="00B01BC9" w:rsidRDefault="00FC15CE"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The Global Demand for Migrant Care Workers: Drivers and Implications on Migrants’ Wellbeing</w:t>
                  </w:r>
                </w:p>
              </w:tc>
            </w:tr>
          </w:tbl>
          <w:p w14:paraId="1FD96A08" w14:textId="77777777" w:rsidR="00FC15CE" w:rsidRPr="00B01BC9" w:rsidRDefault="00FC15CE"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FC15CE" w:rsidRPr="00B01BC9" w14:paraId="1E4D1AB8" w14:textId="77777777" w:rsidTr="0032162D">
              <w:trPr>
                <w:trHeight w:val="145"/>
                <w:tblCellSpacing w:w="15" w:type="dxa"/>
              </w:trPr>
              <w:tc>
                <w:tcPr>
                  <w:tcW w:w="36" w:type="dxa"/>
                  <w:vAlign w:val="center"/>
                  <w:hideMark/>
                </w:tcPr>
                <w:p w14:paraId="72C5835A" w14:textId="77777777" w:rsidR="00FC15CE" w:rsidRPr="00B01BC9" w:rsidRDefault="00FC15CE" w:rsidP="00034C52">
                  <w:pPr>
                    <w:framePr w:hSpace="180" w:wrap="around" w:vAnchor="text" w:hAnchor="page" w:x="-1611" w:y="-1445"/>
                    <w:jc w:val="left"/>
                    <w:rPr>
                      <w:rFonts w:ascii="Arial" w:hAnsi="Arial" w:cs="Arial"/>
                    </w:rPr>
                  </w:pPr>
                </w:p>
              </w:tc>
            </w:tr>
          </w:tbl>
          <w:p w14:paraId="767657B6" w14:textId="77777777" w:rsidR="001F1DC1" w:rsidRPr="00B01BC9" w:rsidRDefault="001F1DC1" w:rsidP="00C44F4E">
            <w:pPr>
              <w:jc w:val="left"/>
              <w:rPr>
                <w:rFonts w:ascii="Arial" w:hAnsi="Arial" w:cs="Arial"/>
              </w:rPr>
            </w:pPr>
          </w:p>
        </w:tc>
        <w:tc>
          <w:tcPr>
            <w:tcW w:w="1701" w:type="dxa"/>
          </w:tcPr>
          <w:p w14:paraId="350FD927" w14:textId="1A313938" w:rsidR="001F1DC1" w:rsidRPr="00B01BC9" w:rsidRDefault="00FC15CE" w:rsidP="00C44F4E">
            <w:pPr>
              <w:jc w:val="left"/>
              <w:rPr>
                <w:rFonts w:ascii="Arial" w:hAnsi="Arial" w:cs="Arial"/>
              </w:rPr>
            </w:pPr>
            <w:r w:rsidRPr="00B01BC9">
              <w:rPr>
                <w:rFonts w:ascii="Arial" w:hAnsi="Arial" w:cs="Arial"/>
                <w:color w:val="000000"/>
              </w:rPr>
              <w:t>Literature review</w:t>
            </w:r>
          </w:p>
        </w:tc>
        <w:tc>
          <w:tcPr>
            <w:tcW w:w="1559" w:type="dxa"/>
          </w:tcPr>
          <w:tbl>
            <w:tblPr>
              <w:tblW w:w="903"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03"/>
            </w:tblGrid>
            <w:tr w:rsidR="003518A1" w:rsidRPr="00B01BC9" w14:paraId="14A3C74E" w14:textId="77777777" w:rsidTr="0032162D">
              <w:trPr>
                <w:trHeight w:val="145"/>
                <w:tblCellSpacing w:w="15" w:type="dxa"/>
              </w:trPr>
              <w:tc>
                <w:tcPr>
                  <w:tcW w:w="1107" w:type="dxa"/>
                  <w:vAlign w:val="center"/>
                  <w:hideMark/>
                </w:tcPr>
                <w:p w14:paraId="7D572E9A" w14:textId="77777777" w:rsidR="003518A1" w:rsidRPr="00B01BC9" w:rsidRDefault="003518A1"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Review of global evidence concerning migrant care workers</w:t>
                  </w:r>
                </w:p>
              </w:tc>
            </w:tr>
          </w:tbl>
          <w:p w14:paraId="6A21AA77" w14:textId="77777777" w:rsidR="003518A1" w:rsidRPr="00B01BC9" w:rsidRDefault="003518A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518A1" w:rsidRPr="00B01BC9" w14:paraId="09926088" w14:textId="77777777" w:rsidTr="0032162D">
              <w:trPr>
                <w:trHeight w:val="145"/>
                <w:tblCellSpacing w:w="15" w:type="dxa"/>
              </w:trPr>
              <w:tc>
                <w:tcPr>
                  <w:tcW w:w="36" w:type="dxa"/>
                  <w:vAlign w:val="center"/>
                  <w:hideMark/>
                </w:tcPr>
                <w:p w14:paraId="28957ABD" w14:textId="77777777" w:rsidR="003518A1" w:rsidRPr="00B01BC9" w:rsidRDefault="003518A1" w:rsidP="00034C52">
                  <w:pPr>
                    <w:framePr w:hSpace="180" w:wrap="around" w:vAnchor="text" w:hAnchor="page" w:x="-1611" w:y="-1445"/>
                    <w:jc w:val="left"/>
                    <w:rPr>
                      <w:rFonts w:ascii="Arial" w:hAnsi="Arial" w:cs="Arial"/>
                    </w:rPr>
                  </w:pPr>
                </w:p>
              </w:tc>
            </w:tr>
          </w:tbl>
          <w:p w14:paraId="3C0A868F" w14:textId="77777777" w:rsidR="001F1DC1" w:rsidRPr="00B01BC9" w:rsidRDefault="001F1DC1" w:rsidP="00C44F4E">
            <w:pPr>
              <w:jc w:val="left"/>
              <w:rPr>
                <w:rFonts w:ascii="Arial" w:hAnsi="Arial" w:cs="Arial"/>
              </w:rPr>
            </w:pPr>
          </w:p>
        </w:tc>
        <w:tc>
          <w:tcPr>
            <w:tcW w:w="1559" w:type="dxa"/>
          </w:tcPr>
          <w:tbl>
            <w:tblPr>
              <w:tblW w:w="997"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97"/>
            </w:tblGrid>
            <w:tr w:rsidR="003518A1" w:rsidRPr="00B01BC9" w14:paraId="681F9CFB" w14:textId="77777777" w:rsidTr="0032162D">
              <w:trPr>
                <w:trHeight w:val="145"/>
                <w:tblCellSpacing w:w="15" w:type="dxa"/>
              </w:trPr>
              <w:tc>
                <w:tcPr>
                  <w:tcW w:w="1229" w:type="dxa"/>
                  <w:vAlign w:val="center"/>
                  <w:hideMark/>
                </w:tcPr>
                <w:p w14:paraId="4DD10E54" w14:textId="77777777" w:rsidR="003518A1" w:rsidRPr="00B01BC9" w:rsidRDefault="003518A1"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Strengths: Broad overview of international trends. Limitations: Not UK-specific.</w:t>
                  </w:r>
                </w:p>
              </w:tc>
            </w:tr>
          </w:tbl>
          <w:p w14:paraId="1FD63BAD" w14:textId="77777777" w:rsidR="003518A1" w:rsidRPr="00B01BC9" w:rsidRDefault="003518A1"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3518A1" w:rsidRPr="00B01BC9" w14:paraId="64C9909C" w14:textId="77777777" w:rsidTr="0032162D">
              <w:trPr>
                <w:trHeight w:val="145"/>
                <w:tblCellSpacing w:w="15" w:type="dxa"/>
              </w:trPr>
              <w:tc>
                <w:tcPr>
                  <w:tcW w:w="36" w:type="dxa"/>
                  <w:vAlign w:val="center"/>
                  <w:hideMark/>
                </w:tcPr>
                <w:p w14:paraId="78BC244D" w14:textId="77777777" w:rsidR="003518A1" w:rsidRPr="00B01BC9" w:rsidRDefault="003518A1" w:rsidP="00034C52">
                  <w:pPr>
                    <w:framePr w:hSpace="180" w:wrap="around" w:vAnchor="text" w:hAnchor="page" w:x="-1611" w:y="-1445"/>
                    <w:jc w:val="left"/>
                    <w:rPr>
                      <w:rFonts w:ascii="Arial" w:hAnsi="Arial" w:cs="Arial"/>
                    </w:rPr>
                  </w:pPr>
                </w:p>
              </w:tc>
            </w:tr>
          </w:tbl>
          <w:p w14:paraId="7AD8EA2C" w14:textId="77777777" w:rsidR="001F1DC1" w:rsidRPr="00B01BC9" w:rsidRDefault="001F1DC1" w:rsidP="00C44F4E">
            <w:pPr>
              <w:jc w:val="left"/>
              <w:rPr>
                <w:rFonts w:ascii="Arial" w:hAnsi="Arial" w:cs="Arial"/>
              </w:rPr>
            </w:pPr>
          </w:p>
        </w:tc>
        <w:tc>
          <w:tcPr>
            <w:tcW w:w="1418" w:type="dxa"/>
          </w:tcPr>
          <w:p w14:paraId="6E9C8C19" w14:textId="6DB73CD7" w:rsidR="001F1DC1" w:rsidRPr="00B01BC9" w:rsidRDefault="003518A1" w:rsidP="00C44F4E">
            <w:pPr>
              <w:jc w:val="left"/>
              <w:rPr>
                <w:rFonts w:ascii="Arial" w:hAnsi="Arial" w:cs="Arial"/>
              </w:rPr>
            </w:pPr>
            <w:r w:rsidRPr="00B01BC9">
              <w:rPr>
                <w:rFonts w:ascii="Arial" w:hAnsi="Arial" w:cs="Arial"/>
                <w:color w:val="000000"/>
              </w:rPr>
              <w:t>Growing global demand for migrant care workers has implications for wellbeing, recruitment, and workforce sustainability.</w:t>
            </w:r>
          </w:p>
        </w:tc>
        <w:tc>
          <w:tcPr>
            <w:tcW w:w="1276" w:type="dxa"/>
          </w:tcPr>
          <w:p w14:paraId="06B78D80" w14:textId="2247B8DA" w:rsidR="001F1DC1" w:rsidRPr="00B01BC9" w:rsidRDefault="00A6522B" w:rsidP="00C44F4E">
            <w:pPr>
              <w:jc w:val="left"/>
              <w:rPr>
                <w:rFonts w:ascii="Arial" w:hAnsi="Arial" w:cs="Arial"/>
              </w:rPr>
            </w:pPr>
            <w:r w:rsidRPr="00B01BC9">
              <w:rPr>
                <w:rFonts w:ascii="Arial" w:hAnsi="Arial" w:cs="Arial"/>
                <w:color w:val="000000"/>
              </w:rPr>
              <w:t>Global demand, wellbeing, recruitment, sustainability</w:t>
            </w:r>
          </w:p>
        </w:tc>
        <w:tc>
          <w:tcPr>
            <w:tcW w:w="1271" w:type="dxa"/>
          </w:tcPr>
          <w:p w14:paraId="4ABC2910" w14:textId="54D3074B" w:rsidR="001F1DC1" w:rsidRPr="00B01BC9" w:rsidRDefault="009E76E2" w:rsidP="00C44F4E">
            <w:pPr>
              <w:jc w:val="left"/>
              <w:rPr>
                <w:rFonts w:ascii="Arial" w:hAnsi="Arial" w:cs="Arial"/>
              </w:rPr>
            </w:pPr>
            <w:r w:rsidRPr="00B01BC9">
              <w:rPr>
                <w:rFonts w:ascii="Arial" w:hAnsi="Arial" w:cs="Arial"/>
                <w:color w:val="000000"/>
              </w:rPr>
              <w:t>Supports Themes 2 and 3. Useful comparative source.</w:t>
            </w:r>
          </w:p>
        </w:tc>
      </w:tr>
      <w:tr w:rsidR="001F1DC1" w:rsidRPr="00B01BC9" w14:paraId="158B0688" w14:textId="77777777" w:rsidTr="00482C27">
        <w:trPr>
          <w:trHeight w:val="616"/>
        </w:trPr>
        <w:tc>
          <w:tcPr>
            <w:tcW w:w="1418" w:type="dxa"/>
          </w:tcPr>
          <w:p w14:paraId="47F44E51" w14:textId="77777777" w:rsidR="001F1DC1" w:rsidRPr="00B01BC9" w:rsidRDefault="009E76E2" w:rsidP="00C44F4E">
            <w:pPr>
              <w:jc w:val="left"/>
              <w:rPr>
                <w:rFonts w:ascii="Arial" w:hAnsi="Arial" w:cs="Arial"/>
                <w:color w:val="000000"/>
              </w:rPr>
            </w:pPr>
            <w:r w:rsidRPr="00B01BC9">
              <w:rPr>
                <w:rFonts w:ascii="Arial" w:hAnsi="Arial" w:cs="Arial"/>
                <w:color w:val="000000"/>
              </w:rPr>
              <w:t>Tawodzera (2024)</w:t>
            </w:r>
          </w:p>
          <w:p w14:paraId="61AC109B" w14:textId="1A714775"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5</w:t>
            </w:r>
          </w:p>
        </w:tc>
        <w:tc>
          <w:tcPr>
            <w:tcW w:w="1559" w:type="dxa"/>
          </w:tcPr>
          <w:p w14:paraId="2105F89B" w14:textId="13B3C2E0" w:rsidR="001F1DC1" w:rsidRPr="00B01BC9" w:rsidRDefault="009E76E2" w:rsidP="00C44F4E">
            <w:pPr>
              <w:jc w:val="left"/>
              <w:rPr>
                <w:rFonts w:ascii="Arial" w:hAnsi="Arial" w:cs="Arial"/>
              </w:rPr>
            </w:pPr>
            <w:r w:rsidRPr="00B01BC9">
              <w:rPr>
                <w:rFonts w:ascii="Arial" w:hAnsi="Arial" w:cs="Arial"/>
                <w:color w:val="000000"/>
              </w:rPr>
              <w:t xml:space="preserve">Unravelling the Tensions: Exploring the Interplay of </w:t>
            </w:r>
            <w:r w:rsidRPr="00B01BC9">
              <w:rPr>
                <w:rFonts w:ascii="Arial" w:hAnsi="Arial" w:cs="Arial"/>
                <w:color w:val="000000"/>
              </w:rPr>
              <w:lastRenderedPageBreak/>
              <w:t>Paid Care Work, Family Obligations, and Transnational Care among Zimbabwean Migrant Care Workers in the UK</w:t>
            </w:r>
          </w:p>
        </w:tc>
        <w:tc>
          <w:tcPr>
            <w:tcW w:w="1701" w:type="dxa"/>
          </w:tcPr>
          <w:p w14:paraId="7D1F142B" w14:textId="189B6738" w:rsidR="001F1DC1" w:rsidRPr="00B01BC9" w:rsidRDefault="009E76E2" w:rsidP="00C44F4E">
            <w:pPr>
              <w:jc w:val="left"/>
              <w:rPr>
                <w:rFonts w:ascii="Arial" w:hAnsi="Arial" w:cs="Arial"/>
              </w:rPr>
            </w:pPr>
            <w:r w:rsidRPr="00B01BC9">
              <w:rPr>
                <w:rFonts w:ascii="Arial" w:hAnsi="Arial" w:cs="Arial"/>
                <w:color w:val="000000"/>
              </w:rPr>
              <w:lastRenderedPageBreak/>
              <w:t>Qualitative study</w:t>
            </w:r>
          </w:p>
        </w:tc>
        <w:tc>
          <w:tcPr>
            <w:tcW w:w="1559" w:type="dxa"/>
          </w:tcPr>
          <w:tbl>
            <w:tblPr>
              <w:tblW w:w="104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044"/>
            </w:tblGrid>
            <w:tr w:rsidR="005744E8" w:rsidRPr="00B01BC9" w14:paraId="3BA682A0" w14:textId="77777777" w:rsidTr="0032162D">
              <w:trPr>
                <w:trHeight w:val="145"/>
                <w:tblCellSpacing w:w="15" w:type="dxa"/>
              </w:trPr>
              <w:tc>
                <w:tcPr>
                  <w:tcW w:w="1290" w:type="dxa"/>
                  <w:vAlign w:val="center"/>
                  <w:hideMark/>
                </w:tcPr>
                <w:p w14:paraId="227D4AAD" w14:textId="77777777" w:rsidR="005744E8" w:rsidRPr="00B01BC9" w:rsidRDefault="005744E8"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 xml:space="preserve">Qualitative exploration of </w:t>
                  </w:r>
                  <w:r w:rsidRPr="00B01BC9">
                    <w:rPr>
                      <w:rFonts w:ascii="Arial" w:hAnsi="Arial" w:cs="Arial"/>
                      <w:color w:val="000000"/>
                    </w:rPr>
                    <w:lastRenderedPageBreak/>
                    <w:t>Zimbabwean migrant care workers' experiences in the UK</w:t>
                  </w:r>
                </w:p>
              </w:tc>
            </w:tr>
          </w:tbl>
          <w:p w14:paraId="7DEDFB4E" w14:textId="77777777" w:rsidR="005744E8" w:rsidRPr="00B01BC9" w:rsidRDefault="005744E8"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744E8" w:rsidRPr="00B01BC9" w14:paraId="71D8E01B" w14:textId="77777777" w:rsidTr="0032162D">
              <w:trPr>
                <w:trHeight w:val="145"/>
                <w:tblCellSpacing w:w="15" w:type="dxa"/>
              </w:trPr>
              <w:tc>
                <w:tcPr>
                  <w:tcW w:w="36" w:type="dxa"/>
                  <w:vAlign w:val="center"/>
                  <w:hideMark/>
                </w:tcPr>
                <w:p w14:paraId="2DCECE9B" w14:textId="77777777" w:rsidR="005744E8" w:rsidRPr="00B01BC9" w:rsidRDefault="005744E8" w:rsidP="00034C52">
                  <w:pPr>
                    <w:framePr w:hSpace="180" w:wrap="around" w:vAnchor="text" w:hAnchor="page" w:x="-1611" w:y="-1445"/>
                    <w:jc w:val="left"/>
                    <w:rPr>
                      <w:rFonts w:ascii="Arial" w:hAnsi="Arial" w:cs="Arial"/>
                    </w:rPr>
                  </w:pPr>
                </w:p>
              </w:tc>
            </w:tr>
          </w:tbl>
          <w:p w14:paraId="2C55A8DD" w14:textId="77777777" w:rsidR="001F1DC1" w:rsidRPr="00B01BC9" w:rsidRDefault="001F1DC1" w:rsidP="00C44F4E">
            <w:pPr>
              <w:jc w:val="left"/>
              <w:rPr>
                <w:rFonts w:ascii="Arial" w:hAnsi="Arial" w:cs="Arial"/>
              </w:rPr>
            </w:pPr>
          </w:p>
        </w:tc>
        <w:tc>
          <w:tcPr>
            <w:tcW w:w="1559" w:type="dxa"/>
          </w:tcPr>
          <w:p w14:paraId="6D3BE7B2" w14:textId="095E2E06" w:rsidR="001F1DC1" w:rsidRPr="00B01BC9" w:rsidRDefault="005744E8" w:rsidP="00C44F4E">
            <w:pPr>
              <w:jc w:val="left"/>
              <w:rPr>
                <w:rFonts w:ascii="Arial" w:hAnsi="Arial" w:cs="Arial"/>
              </w:rPr>
            </w:pPr>
            <w:r w:rsidRPr="00B01BC9">
              <w:rPr>
                <w:rFonts w:ascii="Arial" w:hAnsi="Arial" w:cs="Arial"/>
                <w:color w:val="000000"/>
              </w:rPr>
              <w:lastRenderedPageBreak/>
              <w:t xml:space="preserve">Strengths: Rich participant experiences, </w:t>
            </w:r>
            <w:r w:rsidRPr="00B01BC9">
              <w:rPr>
                <w:rFonts w:ascii="Arial" w:hAnsi="Arial" w:cs="Arial"/>
                <w:color w:val="000000"/>
              </w:rPr>
              <w:lastRenderedPageBreak/>
              <w:t>UK-focused. Limitations: Specific migrant group may limit wider generalisation.</w:t>
            </w:r>
          </w:p>
        </w:tc>
        <w:tc>
          <w:tcPr>
            <w:tcW w:w="1418" w:type="dxa"/>
          </w:tcPr>
          <w:p w14:paraId="2E348775" w14:textId="235F70D9" w:rsidR="001F1DC1" w:rsidRPr="00B01BC9" w:rsidRDefault="00256A1F" w:rsidP="00C44F4E">
            <w:pPr>
              <w:jc w:val="left"/>
              <w:rPr>
                <w:rFonts w:ascii="Arial" w:hAnsi="Arial" w:cs="Arial"/>
              </w:rPr>
            </w:pPr>
            <w:r w:rsidRPr="00B01BC9">
              <w:rPr>
                <w:rFonts w:ascii="Arial" w:hAnsi="Arial" w:cs="Arial"/>
                <w:color w:val="000000"/>
              </w:rPr>
              <w:lastRenderedPageBreak/>
              <w:t xml:space="preserve">Migrant care workers experience </w:t>
            </w:r>
            <w:r w:rsidRPr="00B01BC9">
              <w:rPr>
                <w:rFonts w:ascii="Arial" w:hAnsi="Arial" w:cs="Arial"/>
                <w:color w:val="000000"/>
              </w:rPr>
              <w:lastRenderedPageBreak/>
              <w:t>tensions between employment responsibilities and family obligations across national borders.</w:t>
            </w:r>
          </w:p>
        </w:tc>
        <w:tc>
          <w:tcPr>
            <w:tcW w:w="1276" w:type="dxa"/>
          </w:tcPr>
          <w:p w14:paraId="303D6DA5" w14:textId="5498951B" w:rsidR="001F1DC1" w:rsidRPr="00B01BC9" w:rsidRDefault="00256A1F" w:rsidP="00C44F4E">
            <w:pPr>
              <w:jc w:val="left"/>
              <w:rPr>
                <w:rFonts w:ascii="Arial" w:hAnsi="Arial" w:cs="Arial"/>
              </w:rPr>
            </w:pPr>
            <w:r w:rsidRPr="00B01BC9">
              <w:rPr>
                <w:rFonts w:ascii="Arial" w:hAnsi="Arial" w:cs="Arial"/>
              </w:rPr>
              <w:lastRenderedPageBreak/>
              <w:t xml:space="preserve">Wellbeing; family obligations; </w:t>
            </w:r>
            <w:r w:rsidRPr="00B01BC9">
              <w:rPr>
                <w:rFonts w:ascii="Arial" w:hAnsi="Arial" w:cs="Arial"/>
              </w:rPr>
              <w:lastRenderedPageBreak/>
              <w:t>transnational care; migrant experiences</w:t>
            </w:r>
          </w:p>
        </w:tc>
        <w:tc>
          <w:tcPr>
            <w:tcW w:w="1271" w:type="dxa"/>
          </w:tcPr>
          <w:p w14:paraId="3FA41A20" w14:textId="77777777" w:rsidR="001F1DC1" w:rsidRPr="00B01BC9" w:rsidRDefault="001F1DC1" w:rsidP="00C44F4E">
            <w:pPr>
              <w:jc w:val="left"/>
              <w:rPr>
                <w:rFonts w:ascii="Arial" w:hAnsi="Arial" w:cs="Arial"/>
              </w:rPr>
            </w:pPr>
          </w:p>
        </w:tc>
      </w:tr>
      <w:tr w:rsidR="001F1DC1" w:rsidRPr="00B01BC9" w14:paraId="41EAC5B5" w14:textId="77777777" w:rsidTr="00482C27">
        <w:trPr>
          <w:trHeight w:val="647"/>
        </w:trPr>
        <w:tc>
          <w:tcPr>
            <w:tcW w:w="1418" w:type="dxa"/>
          </w:tcPr>
          <w:p w14:paraId="7301572D" w14:textId="6307BC12" w:rsidR="001F1DC1" w:rsidRPr="00B01BC9" w:rsidRDefault="007C14DD" w:rsidP="00C44F4E">
            <w:pPr>
              <w:jc w:val="left"/>
              <w:rPr>
                <w:rFonts w:ascii="Arial" w:hAnsi="Arial" w:cs="Arial"/>
                <w:color w:val="000000"/>
              </w:rPr>
            </w:pPr>
            <w:r w:rsidRPr="00B01BC9">
              <w:rPr>
                <w:rFonts w:ascii="Arial" w:hAnsi="Arial" w:cs="Arial"/>
                <w:color w:val="000000"/>
              </w:rPr>
              <w:t xml:space="preserve">Agbonmwandolor </w:t>
            </w:r>
            <w:r w:rsidRPr="00B01BC9">
              <w:rPr>
                <w:rFonts w:ascii="Arial" w:hAnsi="Arial" w:cs="Arial"/>
                <w:i/>
                <w:iCs/>
                <w:color w:val="000000"/>
              </w:rPr>
              <w:t>et al</w:t>
            </w:r>
            <w:r w:rsidR="00083129">
              <w:rPr>
                <w:rFonts w:ascii="Arial" w:hAnsi="Arial" w:cs="Arial"/>
                <w:i/>
                <w:iCs/>
                <w:color w:val="000000"/>
              </w:rPr>
              <w:t>,</w:t>
            </w:r>
            <w:r w:rsidRPr="00B01BC9">
              <w:rPr>
                <w:rFonts w:ascii="Arial" w:hAnsi="Arial" w:cs="Arial"/>
                <w:color w:val="000000"/>
              </w:rPr>
              <w:t xml:space="preserve"> (2024)</w:t>
            </w:r>
          </w:p>
          <w:p w14:paraId="11865F22" w14:textId="50BB8C4D" w:rsidR="00340C39" w:rsidRPr="00B01BC9" w:rsidRDefault="00340C39" w:rsidP="00C44F4E">
            <w:pPr>
              <w:jc w:val="left"/>
              <w:rPr>
                <w:rFonts w:ascii="Arial" w:hAnsi="Arial" w:cs="Arial"/>
              </w:rPr>
            </w:pPr>
            <w:r w:rsidRPr="00B01BC9">
              <w:rPr>
                <w:rFonts w:ascii="Arial" w:hAnsi="Arial" w:cs="Arial"/>
              </w:rPr>
              <w:t xml:space="preserve">Paper </w:t>
            </w:r>
            <w:r w:rsidR="00383355" w:rsidRPr="00B01BC9">
              <w:rPr>
                <w:rFonts w:ascii="Arial" w:hAnsi="Arial" w:cs="Arial"/>
              </w:rPr>
              <w:t>6</w:t>
            </w:r>
          </w:p>
        </w:tc>
        <w:tc>
          <w:tcPr>
            <w:tcW w:w="1559" w:type="dxa"/>
          </w:tcPr>
          <w:p w14:paraId="6AFC5904" w14:textId="40FC8936" w:rsidR="001F1DC1" w:rsidRPr="00B01BC9" w:rsidRDefault="007C14DD" w:rsidP="00C44F4E">
            <w:pPr>
              <w:jc w:val="left"/>
              <w:rPr>
                <w:rFonts w:ascii="Arial" w:hAnsi="Arial" w:cs="Arial"/>
              </w:rPr>
            </w:pPr>
            <w:r w:rsidRPr="00B01BC9">
              <w:rPr>
                <w:rFonts w:ascii="Arial" w:hAnsi="Arial" w:cs="Arial"/>
                <w:color w:val="000000"/>
              </w:rPr>
              <w:t>Coping Strategies Used by Migrant Healthcare Workers to Support Their Mental Health During COVID-19 in the United Kingdom: A Qualitative Analysis</w:t>
            </w:r>
          </w:p>
        </w:tc>
        <w:tc>
          <w:tcPr>
            <w:tcW w:w="1701" w:type="dxa"/>
          </w:tcPr>
          <w:p w14:paraId="6DEFDB19" w14:textId="5339DA7F" w:rsidR="001F1DC1" w:rsidRPr="00B01BC9" w:rsidRDefault="007C14DD" w:rsidP="00C44F4E">
            <w:pPr>
              <w:jc w:val="left"/>
              <w:rPr>
                <w:rFonts w:ascii="Arial" w:hAnsi="Arial" w:cs="Arial"/>
              </w:rPr>
            </w:pPr>
            <w:r w:rsidRPr="00B01BC9">
              <w:rPr>
                <w:rFonts w:ascii="Arial" w:hAnsi="Arial" w:cs="Arial"/>
                <w:color w:val="000000"/>
              </w:rPr>
              <w:t>Qualitative study</w:t>
            </w:r>
          </w:p>
        </w:tc>
        <w:tc>
          <w:tcPr>
            <w:tcW w:w="1559" w:type="dxa"/>
          </w:tcPr>
          <w:p w14:paraId="25B53676" w14:textId="638A5D85" w:rsidR="001F1DC1" w:rsidRPr="00B01BC9" w:rsidRDefault="007C14DD" w:rsidP="00C44F4E">
            <w:pPr>
              <w:jc w:val="left"/>
              <w:rPr>
                <w:rFonts w:ascii="Arial" w:hAnsi="Arial" w:cs="Arial"/>
              </w:rPr>
            </w:pPr>
            <w:r w:rsidRPr="00B01BC9">
              <w:rPr>
                <w:rFonts w:ascii="Arial" w:hAnsi="Arial" w:cs="Arial"/>
                <w:color w:val="000000"/>
              </w:rPr>
              <w:t>Qualitative analysis of migrant healthcare workers' mental health experiences during COVID-19</w:t>
            </w:r>
          </w:p>
        </w:tc>
        <w:tc>
          <w:tcPr>
            <w:tcW w:w="1559" w:type="dxa"/>
          </w:tcPr>
          <w:p w14:paraId="33F70165" w14:textId="7E7BEF57" w:rsidR="001F1DC1" w:rsidRPr="00B01BC9" w:rsidRDefault="007C14DD" w:rsidP="00C44F4E">
            <w:pPr>
              <w:jc w:val="left"/>
              <w:rPr>
                <w:rFonts w:ascii="Arial" w:hAnsi="Arial" w:cs="Arial"/>
              </w:rPr>
            </w:pPr>
            <w:r w:rsidRPr="00B01BC9">
              <w:rPr>
                <w:rFonts w:ascii="Arial" w:hAnsi="Arial" w:cs="Arial"/>
                <w:color w:val="000000"/>
              </w:rPr>
              <w:t>Strengths: Recent, UK-based, wellbeing focus. Limitations: Healthcare workforce rather than ASC exclusively.</w:t>
            </w:r>
          </w:p>
        </w:tc>
        <w:tc>
          <w:tcPr>
            <w:tcW w:w="1418" w:type="dxa"/>
          </w:tcPr>
          <w:p w14:paraId="25FD3FD5" w14:textId="4827E0BF" w:rsidR="001F1DC1" w:rsidRPr="00B01BC9" w:rsidRDefault="007A4DD1" w:rsidP="00C44F4E">
            <w:pPr>
              <w:jc w:val="left"/>
              <w:rPr>
                <w:rFonts w:ascii="Arial" w:hAnsi="Arial" w:cs="Arial"/>
              </w:rPr>
            </w:pPr>
            <w:r w:rsidRPr="00B01BC9">
              <w:rPr>
                <w:rFonts w:ascii="Arial" w:hAnsi="Arial" w:cs="Arial"/>
                <w:color w:val="000000"/>
              </w:rPr>
              <w:t>Migrant workers developed coping strategies to manage mental health pressures and workplace stress.</w:t>
            </w:r>
          </w:p>
        </w:tc>
        <w:tc>
          <w:tcPr>
            <w:tcW w:w="1276" w:type="dxa"/>
          </w:tcPr>
          <w:p w14:paraId="7F86946F" w14:textId="422DA442" w:rsidR="001F1DC1" w:rsidRPr="00B01BC9" w:rsidRDefault="007A4DD1" w:rsidP="00C44F4E">
            <w:pPr>
              <w:jc w:val="left"/>
              <w:rPr>
                <w:rFonts w:ascii="Arial" w:hAnsi="Arial" w:cs="Arial"/>
              </w:rPr>
            </w:pPr>
            <w:r w:rsidRPr="00B01BC9">
              <w:rPr>
                <w:rFonts w:ascii="Arial" w:hAnsi="Arial" w:cs="Arial"/>
                <w:color w:val="000000"/>
              </w:rPr>
              <w:t>Mental health; resilience; wellbeing; coping strategies</w:t>
            </w:r>
          </w:p>
        </w:tc>
        <w:tc>
          <w:tcPr>
            <w:tcW w:w="1271" w:type="dxa"/>
          </w:tcPr>
          <w:p w14:paraId="68F96028" w14:textId="77777777" w:rsidR="001F1DC1" w:rsidRPr="00B01BC9" w:rsidRDefault="001F1DC1" w:rsidP="00C44F4E">
            <w:pPr>
              <w:jc w:val="left"/>
              <w:rPr>
                <w:rFonts w:ascii="Arial" w:hAnsi="Arial" w:cs="Arial"/>
              </w:rPr>
            </w:pPr>
          </w:p>
        </w:tc>
      </w:tr>
      <w:tr w:rsidR="001F1DC1" w:rsidRPr="00B01BC9" w14:paraId="045BEFB1" w14:textId="77777777" w:rsidTr="00482C27">
        <w:trPr>
          <w:trHeight w:val="2317"/>
        </w:trPr>
        <w:tc>
          <w:tcPr>
            <w:tcW w:w="1418" w:type="dxa"/>
          </w:tcPr>
          <w:p w14:paraId="3073ADD9" w14:textId="77777777" w:rsidR="001F1DC1" w:rsidRPr="00B01BC9" w:rsidRDefault="00975815" w:rsidP="00C44F4E">
            <w:pPr>
              <w:jc w:val="left"/>
              <w:rPr>
                <w:rFonts w:ascii="Arial" w:hAnsi="Arial" w:cs="Arial"/>
                <w:color w:val="000000"/>
              </w:rPr>
            </w:pPr>
            <w:r w:rsidRPr="00B01BC9">
              <w:rPr>
                <w:rFonts w:ascii="Arial" w:hAnsi="Arial" w:cs="Arial"/>
                <w:color w:val="000000"/>
              </w:rPr>
              <w:t xml:space="preserve">Edwards </w:t>
            </w:r>
            <w:r w:rsidRPr="00B01BC9">
              <w:rPr>
                <w:rFonts w:ascii="Arial" w:hAnsi="Arial" w:cs="Arial"/>
                <w:i/>
                <w:iCs/>
                <w:color w:val="000000"/>
              </w:rPr>
              <w:t>et al.</w:t>
            </w:r>
            <w:r w:rsidRPr="00B01BC9">
              <w:rPr>
                <w:rFonts w:ascii="Arial" w:hAnsi="Arial" w:cs="Arial"/>
                <w:color w:val="000000"/>
              </w:rPr>
              <w:t xml:space="preserve"> (2022)</w:t>
            </w:r>
            <w:r w:rsidR="00383355" w:rsidRPr="00B01BC9">
              <w:rPr>
                <w:rFonts w:ascii="Arial" w:hAnsi="Arial" w:cs="Arial"/>
                <w:color w:val="000000"/>
              </w:rPr>
              <w:t xml:space="preserve"> </w:t>
            </w:r>
          </w:p>
          <w:p w14:paraId="66AF8F29" w14:textId="33CA6F3D" w:rsidR="00383355" w:rsidRPr="00B01BC9" w:rsidRDefault="00383355" w:rsidP="00C44F4E">
            <w:pPr>
              <w:jc w:val="left"/>
              <w:rPr>
                <w:rFonts w:ascii="Arial" w:hAnsi="Arial" w:cs="Arial"/>
              </w:rPr>
            </w:pPr>
            <w:r w:rsidRPr="00B01BC9">
              <w:rPr>
                <w:rFonts w:ascii="Arial" w:hAnsi="Arial" w:cs="Arial"/>
                <w:color w:val="000000"/>
              </w:rPr>
              <w:t>Paper 7</w:t>
            </w:r>
          </w:p>
        </w:tc>
        <w:tc>
          <w:tcPr>
            <w:tcW w:w="1559" w:type="dxa"/>
          </w:tcPr>
          <w:p w14:paraId="78141300" w14:textId="503E2861" w:rsidR="001F1DC1" w:rsidRPr="00B01BC9" w:rsidRDefault="00CF0B79" w:rsidP="00C44F4E">
            <w:pPr>
              <w:jc w:val="left"/>
              <w:rPr>
                <w:rFonts w:ascii="Arial" w:hAnsi="Arial" w:cs="Arial"/>
              </w:rPr>
            </w:pPr>
            <w:r w:rsidRPr="00B01BC9">
              <w:rPr>
                <w:rFonts w:ascii="Arial" w:hAnsi="Arial" w:cs="Arial"/>
                <w:color w:val="000000"/>
              </w:rPr>
              <w:t xml:space="preserve">A Rapid Review of Innovations for Attraction, Recruitment and Retention of Social Care Workers: An Exploration of Factors </w:t>
            </w:r>
            <w:r w:rsidRPr="00B01BC9">
              <w:rPr>
                <w:rFonts w:ascii="Arial" w:hAnsi="Arial" w:cs="Arial"/>
                <w:color w:val="000000"/>
              </w:rPr>
              <w:lastRenderedPageBreak/>
              <w:t>Influencing Turnover within the UK Context</w:t>
            </w:r>
          </w:p>
        </w:tc>
        <w:tc>
          <w:tcPr>
            <w:tcW w:w="1701" w:type="dxa"/>
          </w:tcPr>
          <w:p w14:paraId="3529D18D" w14:textId="34895DC4" w:rsidR="001F1DC1" w:rsidRPr="00B01BC9" w:rsidRDefault="00CF0B79" w:rsidP="00C44F4E">
            <w:pPr>
              <w:jc w:val="left"/>
              <w:rPr>
                <w:rFonts w:ascii="Arial" w:hAnsi="Arial" w:cs="Arial"/>
              </w:rPr>
            </w:pPr>
            <w:r w:rsidRPr="00B01BC9">
              <w:rPr>
                <w:rFonts w:ascii="Arial" w:hAnsi="Arial" w:cs="Arial"/>
                <w:color w:val="000000"/>
              </w:rPr>
              <w:lastRenderedPageBreak/>
              <w:t>Rapid review</w:t>
            </w:r>
          </w:p>
        </w:tc>
        <w:tc>
          <w:tcPr>
            <w:tcW w:w="1559" w:type="dxa"/>
          </w:tcPr>
          <w:tbl>
            <w:tblPr>
              <w:tblW w:w="969"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969"/>
            </w:tblGrid>
            <w:tr w:rsidR="00CF0B79" w:rsidRPr="00B01BC9" w14:paraId="35D462B0" w14:textId="77777777" w:rsidTr="0032162D">
              <w:trPr>
                <w:trHeight w:val="3241"/>
                <w:tblCellSpacing w:w="15" w:type="dxa"/>
              </w:trPr>
              <w:tc>
                <w:tcPr>
                  <w:tcW w:w="1192" w:type="dxa"/>
                  <w:vAlign w:val="center"/>
                  <w:hideMark/>
                </w:tcPr>
                <w:p w14:paraId="1E7CD3C1" w14:textId="77777777" w:rsidR="00CF0B79" w:rsidRPr="00B01BC9" w:rsidRDefault="00CF0B79" w:rsidP="00034C52">
                  <w:pPr>
                    <w:framePr w:hSpace="180" w:wrap="around" w:vAnchor="text" w:hAnchor="page" w:x="-1611" w:y="-1445"/>
                    <w:jc w:val="left"/>
                    <w:rPr>
                      <w:rFonts w:ascii="Arial" w:eastAsia="Times New Roman" w:hAnsi="Arial" w:cs="Arial"/>
                      <w:color w:val="000000"/>
                      <w:lang w:eastAsia="en-GB"/>
                    </w:rPr>
                  </w:pPr>
                  <w:r w:rsidRPr="00B01BC9">
                    <w:rPr>
                      <w:rFonts w:ascii="Arial" w:hAnsi="Arial" w:cs="Arial"/>
                      <w:color w:val="000000"/>
                    </w:rPr>
                    <w:t xml:space="preserve">Review of UK evidence relating to recruitment, retention, and </w:t>
                  </w:r>
                  <w:r w:rsidRPr="00B01BC9">
                    <w:rPr>
                      <w:rFonts w:ascii="Arial" w:hAnsi="Arial" w:cs="Arial"/>
                      <w:color w:val="000000"/>
                    </w:rPr>
                    <w:lastRenderedPageBreak/>
                    <w:t>turnover in social care</w:t>
                  </w:r>
                </w:p>
              </w:tc>
            </w:tr>
          </w:tbl>
          <w:p w14:paraId="2FDAD008" w14:textId="77777777" w:rsidR="00CF0B79" w:rsidRPr="00B01BC9" w:rsidRDefault="00CF0B79" w:rsidP="00C44F4E">
            <w:pPr>
              <w:jc w:val="left"/>
              <w:rPr>
                <w:rFonts w:ascii="Arial" w:hAnsi="Arial" w:cs="Arial"/>
                <w:vanish/>
              </w:rPr>
            </w:pPr>
          </w:p>
          <w:tbl>
            <w:tblPr>
              <w:tblW w:w="74"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CF0B79" w:rsidRPr="00B01BC9" w14:paraId="51B71096" w14:textId="77777777" w:rsidTr="0032162D">
              <w:trPr>
                <w:trHeight w:val="12"/>
                <w:tblCellSpacing w:w="15" w:type="dxa"/>
              </w:trPr>
              <w:tc>
                <w:tcPr>
                  <w:tcW w:w="36" w:type="dxa"/>
                  <w:vAlign w:val="center"/>
                  <w:hideMark/>
                </w:tcPr>
                <w:p w14:paraId="786B916E" w14:textId="77777777" w:rsidR="00CF0B79" w:rsidRPr="00B01BC9" w:rsidRDefault="00CF0B79" w:rsidP="00034C52">
                  <w:pPr>
                    <w:framePr w:hSpace="180" w:wrap="around" w:vAnchor="text" w:hAnchor="page" w:x="-1611" w:y="-1445"/>
                    <w:jc w:val="left"/>
                    <w:rPr>
                      <w:rFonts w:ascii="Arial" w:hAnsi="Arial" w:cs="Arial"/>
                    </w:rPr>
                  </w:pPr>
                </w:p>
              </w:tc>
            </w:tr>
          </w:tbl>
          <w:p w14:paraId="2058CCF1" w14:textId="77777777" w:rsidR="001F1DC1" w:rsidRPr="00B01BC9" w:rsidRDefault="001F1DC1" w:rsidP="00C44F4E">
            <w:pPr>
              <w:jc w:val="left"/>
              <w:rPr>
                <w:rFonts w:ascii="Arial" w:hAnsi="Arial" w:cs="Arial"/>
              </w:rPr>
            </w:pPr>
          </w:p>
        </w:tc>
        <w:tc>
          <w:tcPr>
            <w:tcW w:w="1559" w:type="dxa"/>
          </w:tcPr>
          <w:p w14:paraId="09BAEE4E" w14:textId="2C910DB5" w:rsidR="001F1DC1" w:rsidRPr="00B01BC9" w:rsidRDefault="00B3316B" w:rsidP="00C44F4E">
            <w:pPr>
              <w:jc w:val="left"/>
              <w:rPr>
                <w:rFonts w:ascii="Arial" w:hAnsi="Arial" w:cs="Arial"/>
              </w:rPr>
            </w:pPr>
            <w:r w:rsidRPr="00B01BC9">
              <w:rPr>
                <w:rFonts w:ascii="Arial" w:hAnsi="Arial" w:cs="Arial"/>
                <w:color w:val="000000"/>
              </w:rPr>
              <w:lastRenderedPageBreak/>
              <w:t>Strengths: Direct relevance to UK social care workforce. Limitations: Broad focus not limited to migrant workers.</w:t>
            </w:r>
          </w:p>
        </w:tc>
        <w:tc>
          <w:tcPr>
            <w:tcW w:w="1418" w:type="dxa"/>
          </w:tcPr>
          <w:p w14:paraId="6354D504" w14:textId="49F7A859" w:rsidR="001F1DC1" w:rsidRPr="00B01BC9" w:rsidRDefault="00B3316B" w:rsidP="00C44F4E">
            <w:pPr>
              <w:jc w:val="left"/>
              <w:rPr>
                <w:rFonts w:ascii="Arial" w:hAnsi="Arial" w:cs="Arial"/>
              </w:rPr>
            </w:pPr>
            <w:r w:rsidRPr="00B01BC9">
              <w:rPr>
                <w:rFonts w:ascii="Arial" w:hAnsi="Arial" w:cs="Arial"/>
                <w:color w:val="000000"/>
              </w:rPr>
              <w:t>Recruitment and retention challenges continue to affect workforce sustainability within social care.</w:t>
            </w:r>
          </w:p>
        </w:tc>
        <w:tc>
          <w:tcPr>
            <w:tcW w:w="1276" w:type="dxa"/>
          </w:tcPr>
          <w:p w14:paraId="487CDA83" w14:textId="0954C85E" w:rsidR="001F1DC1" w:rsidRPr="00B01BC9" w:rsidRDefault="00B3316B" w:rsidP="00C44F4E">
            <w:pPr>
              <w:jc w:val="left"/>
              <w:rPr>
                <w:rFonts w:ascii="Arial" w:hAnsi="Arial" w:cs="Arial"/>
              </w:rPr>
            </w:pPr>
            <w:r w:rsidRPr="00B01BC9">
              <w:rPr>
                <w:rFonts w:ascii="Arial" w:hAnsi="Arial" w:cs="Arial"/>
                <w:color w:val="000000"/>
              </w:rPr>
              <w:t>Recruitment; retention; turnover; workforce sustainability</w:t>
            </w:r>
          </w:p>
        </w:tc>
        <w:tc>
          <w:tcPr>
            <w:tcW w:w="1271" w:type="dxa"/>
          </w:tcPr>
          <w:p w14:paraId="78D7A82E" w14:textId="77777777" w:rsidR="001F1DC1" w:rsidRPr="00B01BC9" w:rsidRDefault="001F1DC1" w:rsidP="00C44F4E">
            <w:pPr>
              <w:jc w:val="left"/>
              <w:rPr>
                <w:rFonts w:ascii="Arial" w:hAnsi="Arial" w:cs="Arial"/>
              </w:rPr>
            </w:pPr>
          </w:p>
        </w:tc>
      </w:tr>
      <w:tr w:rsidR="001F1DC1" w:rsidRPr="00B01BC9" w14:paraId="09FE8087" w14:textId="77777777" w:rsidTr="00482C27">
        <w:trPr>
          <w:trHeight w:val="616"/>
        </w:trPr>
        <w:tc>
          <w:tcPr>
            <w:tcW w:w="1418" w:type="dxa"/>
          </w:tcPr>
          <w:p w14:paraId="5606F9E5" w14:textId="77777777" w:rsidR="001F1DC1" w:rsidRPr="00B01BC9" w:rsidRDefault="001F1DC1" w:rsidP="00C44F4E">
            <w:pPr>
              <w:jc w:val="left"/>
              <w:rPr>
                <w:rFonts w:ascii="Arial" w:hAnsi="Arial" w:cs="Arial"/>
              </w:rPr>
            </w:pPr>
          </w:p>
        </w:tc>
        <w:tc>
          <w:tcPr>
            <w:tcW w:w="1559" w:type="dxa"/>
          </w:tcPr>
          <w:p w14:paraId="64ADA08E" w14:textId="77777777" w:rsidR="001F1DC1" w:rsidRPr="00B01BC9" w:rsidRDefault="001F1DC1" w:rsidP="00C44F4E">
            <w:pPr>
              <w:jc w:val="left"/>
              <w:rPr>
                <w:rFonts w:ascii="Arial" w:hAnsi="Arial" w:cs="Arial"/>
              </w:rPr>
            </w:pPr>
          </w:p>
        </w:tc>
        <w:tc>
          <w:tcPr>
            <w:tcW w:w="1701" w:type="dxa"/>
          </w:tcPr>
          <w:p w14:paraId="73F543AC" w14:textId="77777777" w:rsidR="001F1DC1" w:rsidRPr="00B01BC9" w:rsidRDefault="001F1DC1" w:rsidP="00C44F4E">
            <w:pPr>
              <w:jc w:val="left"/>
              <w:rPr>
                <w:rFonts w:ascii="Arial" w:hAnsi="Arial" w:cs="Arial"/>
              </w:rPr>
            </w:pPr>
          </w:p>
        </w:tc>
        <w:tc>
          <w:tcPr>
            <w:tcW w:w="1559" w:type="dxa"/>
          </w:tcPr>
          <w:p w14:paraId="23320064" w14:textId="77777777" w:rsidR="001F1DC1" w:rsidRPr="00B01BC9" w:rsidRDefault="001F1DC1" w:rsidP="00C44F4E">
            <w:pPr>
              <w:jc w:val="left"/>
              <w:rPr>
                <w:rFonts w:ascii="Arial" w:hAnsi="Arial" w:cs="Arial"/>
              </w:rPr>
            </w:pPr>
          </w:p>
        </w:tc>
        <w:tc>
          <w:tcPr>
            <w:tcW w:w="1559" w:type="dxa"/>
          </w:tcPr>
          <w:p w14:paraId="5045CD2D" w14:textId="77777777" w:rsidR="001F1DC1" w:rsidRPr="00B01BC9" w:rsidRDefault="001F1DC1" w:rsidP="00C44F4E">
            <w:pPr>
              <w:jc w:val="left"/>
              <w:rPr>
                <w:rFonts w:ascii="Arial" w:hAnsi="Arial" w:cs="Arial"/>
              </w:rPr>
            </w:pPr>
          </w:p>
        </w:tc>
        <w:tc>
          <w:tcPr>
            <w:tcW w:w="1418" w:type="dxa"/>
          </w:tcPr>
          <w:p w14:paraId="20DD10D0" w14:textId="77777777" w:rsidR="001F1DC1" w:rsidRPr="00B01BC9" w:rsidRDefault="001F1DC1" w:rsidP="00C44F4E">
            <w:pPr>
              <w:jc w:val="left"/>
              <w:rPr>
                <w:rFonts w:ascii="Arial" w:hAnsi="Arial" w:cs="Arial"/>
              </w:rPr>
            </w:pPr>
          </w:p>
        </w:tc>
        <w:tc>
          <w:tcPr>
            <w:tcW w:w="1276" w:type="dxa"/>
          </w:tcPr>
          <w:p w14:paraId="5BDAD0C1" w14:textId="77777777" w:rsidR="001F1DC1" w:rsidRPr="00B01BC9" w:rsidRDefault="001F1DC1" w:rsidP="00C44F4E">
            <w:pPr>
              <w:jc w:val="left"/>
              <w:rPr>
                <w:rFonts w:ascii="Arial" w:hAnsi="Arial" w:cs="Arial"/>
              </w:rPr>
            </w:pPr>
          </w:p>
        </w:tc>
        <w:tc>
          <w:tcPr>
            <w:tcW w:w="1271" w:type="dxa"/>
          </w:tcPr>
          <w:p w14:paraId="74876A1B" w14:textId="77777777" w:rsidR="001F1DC1" w:rsidRPr="00B01BC9" w:rsidRDefault="001F1DC1" w:rsidP="00C44F4E">
            <w:pPr>
              <w:jc w:val="left"/>
              <w:rPr>
                <w:rFonts w:ascii="Arial" w:hAnsi="Arial" w:cs="Arial"/>
              </w:rPr>
            </w:pPr>
          </w:p>
        </w:tc>
      </w:tr>
      <w:tr w:rsidR="001F1DC1" w:rsidRPr="00B01BC9" w14:paraId="5CED945D" w14:textId="77777777" w:rsidTr="00482C27">
        <w:trPr>
          <w:trHeight w:val="616"/>
        </w:trPr>
        <w:tc>
          <w:tcPr>
            <w:tcW w:w="1418" w:type="dxa"/>
          </w:tcPr>
          <w:p w14:paraId="0395721F" w14:textId="77777777" w:rsidR="001F1DC1" w:rsidRPr="00B01BC9" w:rsidRDefault="001F1DC1" w:rsidP="00C44F4E">
            <w:pPr>
              <w:jc w:val="left"/>
              <w:rPr>
                <w:rFonts w:ascii="Arial" w:hAnsi="Arial" w:cs="Arial"/>
              </w:rPr>
            </w:pPr>
          </w:p>
        </w:tc>
        <w:tc>
          <w:tcPr>
            <w:tcW w:w="1559" w:type="dxa"/>
          </w:tcPr>
          <w:p w14:paraId="1747AFC9" w14:textId="77777777" w:rsidR="001F1DC1" w:rsidRPr="00B01BC9" w:rsidRDefault="001F1DC1" w:rsidP="00C44F4E">
            <w:pPr>
              <w:jc w:val="left"/>
              <w:rPr>
                <w:rFonts w:ascii="Arial" w:hAnsi="Arial" w:cs="Arial"/>
              </w:rPr>
            </w:pPr>
          </w:p>
        </w:tc>
        <w:tc>
          <w:tcPr>
            <w:tcW w:w="1701" w:type="dxa"/>
          </w:tcPr>
          <w:p w14:paraId="342F5F0D" w14:textId="77777777" w:rsidR="001F1DC1" w:rsidRPr="00B01BC9" w:rsidRDefault="001F1DC1" w:rsidP="00C44F4E">
            <w:pPr>
              <w:jc w:val="left"/>
              <w:rPr>
                <w:rFonts w:ascii="Arial" w:hAnsi="Arial" w:cs="Arial"/>
              </w:rPr>
            </w:pPr>
          </w:p>
        </w:tc>
        <w:tc>
          <w:tcPr>
            <w:tcW w:w="1559" w:type="dxa"/>
          </w:tcPr>
          <w:p w14:paraId="185E55EF" w14:textId="77777777" w:rsidR="001F1DC1" w:rsidRPr="00B01BC9" w:rsidRDefault="001F1DC1" w:rsidP="00C44F4E">
            <w:pPr>
              <w:jc w:val="left"/>
              <w:rPr>
                <w:rFonts w:ascii="Arial" w:hAnsi="Arial" w:cs="Arial"/>
              </w:rPr>
            </w:pPr>
          </w:p>
        </w:tc>
        <w:tc>
          <w:tcPr>
            <w:tcW w:w="1559" w:type="dxa"/>
          </w:tcPr>
          <w:p w14:paraId="76136DFD" w14:textId="77777777" w:rsidR="001F1DC1" w:rsidRPr="00B01BC9" w:rsidRDefault="001F1DC1" w:rsidP="00C44F4E">
            <w:pPr>
              <w:jc w:val="left"/>
              <w:rPr>
                <w:rFonts w:ascii="Arial" w:hAnsi="Arial" w:cs="Arial"/>
              </w:rPr>
            </w:pPr>
          </w:p>
        </w:tc>
        <w:tc>
          <w:tcPr>
            <w:tcW w:w="1418" w:type="dxa"/>
          </w:tcPr>
          <w:p w14:paraId="626F7DA4" w14:textId="77777777" w:rsidR="001F1DC1" w:rsidRPr="00B01BC9" w:rsidRDefault="001F1DC1" w:rsidP="00C44F4E">
            <w:pPr>
              <w:jc w:val="left"/>
              <w:rPr>
                <w:rFonts w:ascii="Arial" w:hAnsi="Arial" w:cs="Arial"/>
              </w:rPr>
            </w:pPr>
          </w:p>
        </w:tc>
        <w:tc>
          <w:tcPr>
            <w:tcW w:w="1276" w:type="dxa"/>
          </w:tcPr>
          <w:p w14:paraId="6A33EAA5" w14:textId="77777777" w:rsidR="001F1DC1" w:rsidRPr="00B01BC9" w:rsidRDefault="001F1DC1" w:rsidP="00C44F4E">
            <w:pPr>
              <w:jc w:val="left"/>
              <w:rPr>
                <w:rFonts w:ascii="Arial" w:hAnsi="Arial" w:cs="Arial"/>
              </w:rPr>
            </w:pPr>
          </w:p>
        </w:tc>
        <w:tc>
          <w:tcPr>
            <w:tcW w:w="1271" w:type="dxa"/>
          </w:tcPr>
          <w:p w14:paraId="64BDB59F" w14:textId="77777777" w:rsidR="001F1DC1" w:rsidRPr="00B01BC9" w:rsidRDefault="001F1DC1" w:rsidP="00C44F4E">
            <w:pPr>
              <w:jc w:val="left"/>
              <w:rPr>
                <w:rFonts w:ascii="Arial" w:hAnsi="Arial" w:cs="Arial"/>
              </w:rPr>
            </w:pPr>
          </w:p>
        </w:tc>
      </w:tr>
      <w:tr w:rsidR="001F1DC1" w:rsidRPr="00B01BC9" w14:paraId="1E91558E" w14:textId="77777777" w:rsidTr="00482C27">
        <w:trPr>
          <w:trHeight w:val="59"/>
        </w:trPr>
        <w:tc>
          <w:tcPr>
            <w:tcW w:w="1418" w:type="dxa"/>
          </w:tcPr>
          <w:p w14:paraId="21619A70" w14:textId="77777777" w:rsidR="001F1DC1" w:rsidRPr="00B01BC9" w:rsidRDefault="001F1DC1" w:rsidP="00C44F4E">
            <w:pPr>
              <w:jc w:val="left"/>
              <w:rPr>
                <w:rFonts w:ascii="Arial" w:hAnsi="Arial" w:cs="Arial"/>
              </w:rPr>
            </w:pPr>
          </w:p>
        </w:tc>
        <w:tc>
          <w:tcPr>
            <w:tcW w:w="1559" w:type="dxa"/>
          </w:tcPr>
          <w:p w14:paraId="386E8EAF" w14:textId="77777777" w:rsidR="001F1DC1" w:rsidRPr="00B01BC9" w:rsidRDefault="001F1DC1" w:rsidP="00C44F4E">
            <w:pPr>
              <w:jc w:val="left"/>
              <w:rPr>
                <w:rFonts w:ascii="Arial" w:hAnsi="Arial" w:cs="Arial"/>
              </w:rPr>
            </w:pPr>
          </w:p>
        </w:tc>
        <w:tc>
          <w:tcPr>
            <w:tcW w:w="1701" w:type="dxa"/>
          </w:tcPr>
          <w:p w14:paraId="04649ACE" w14:textId="77777777" w:rsidR="001F1DC1" w:rsidRPr="00B01BC9" w:rsidRDefault="001F1DC1" w:rsidP="00C44F4E">
            <w:pPr>
              <w:jc w:val="left"/>
              <w:rPr>
                <w:rFonts w:ascii="Arial" w:hAnsi="Arial" w:cs="Arial"/>
              </w:rPr>
            </w:pPr>
          </w:p>
        </w:tc>
        <w:tc>
          <w:tcPr>
            <w:tcW w:w="1559" w:type="dxa"/>
          </w:tcPr>
          <w:p w14:paraId="22939266" w14:textId="77777777" w:rsidR="001F1DC1" w:rsidRPr="00B01BC9" w:rsidRDefault="001F1DC1" w:rsidP="00C44F4E">
            <w:pPr>
              <w:jc w:val="left"/>
              <w:rPr>
                <w:rFonts w:ascii="Arial" w:hAnsi="Arial" w:cs="Arial"/>
              </w:rPr>
            </w:pPr>
          </w:p>
        </w:tc>
        <w:tc>
          <w:tcPr>
            <w:tcW w:w="1559" w:type="dxa"/>
          </w:tcPr>
          <w:p w14:paraId="12642A6D" w14:textId="77777777" w:rsidR="001F1DC1" w:rsidRPr="00B01BC9" w:rsidRDefault="001F1DC1" w:rsidP="00C44F4E">
            <w:pPr>
              <w:jc w:val="left"/>
              <w:rPr>
                <w:rFonts w:ascii="Arial" w:hAnsi="Arial" w:cs="Arial"/>
              </w:rPr>
            </w:pPr>
          </w:p>
        </w:tc>
        <w:tc>
          <w:tcPr>
            <w:tcW w:w="1418" w:type="dxa"/>
          </w:tcPr>
          <w:p w14:paraId="27BC4322" w14:textId="77777777" w:rsidR="001F1DC1" w:rsidRPr="00B01BC9" w:rsidRDefault="001F1DC1" w:rsidP="00C44F4E">
            <w:pPr>
              <w:jc w:val="left"/>
              <w:rPr>
                <w:rFonts w:ascii="Arial" w:hAnsi="Arial" w:cs="Arial"/>
              </w:rPr>
            </w:pPr>
          </w:p>
        </w:tc>
        <w:tc>
          <w:tcPr>
            <w:tcW w:w="1276" w:type="dxa"/>
          </w:tcPr>
          <w:p w14:paraId="7C683748" w14:textId="77777777" w:rsidR="001F1DC1" w:rsidRPr="00B01BC9" w:rsidRDefault="001F1DC1" w:rsidP="00C44F4E">
            <w:pPr>
              <w:jc w:val="left"/>
              <w:rPr>
                <w:rFonts w:ascii="Arial" w:hAnsi="Arial" w:cs="Arial"/>
              </w:rPr>
            </w:pPr>
          </w:p>
        </w:tc>
        <w:tc>
          <w:tcPr>
            <w:tcW w:w="1271" w:type="dxa"/>
          </w:tcPr>
          <w:p w14:paraId="451DAD62" w14:textId="797B8F19" w:rsidR="001F1DC1" w:rsidRPr="00B01BC9" w:rsidRDefault="004010EC" w:rsidP="00C44F4E">
            <w:pPr>
              <w:jc w:val="left"/>
              <w:rPr>
                <w:rFonts w:ascii="Arial" w:hAnsi="Arial" w:cs="Arial"/>
              </w:rPr>
            </w:pPr>
            <w:r w:rsidRPr="00B01BC9">
              <w:rPr>
                <w:rFonts w:ascii="Arial" w:hAnsi="Arial" w:cs="Arial"/>
              </w:rPr>
              <w:t xml:space="preserve">          </w:t>
            </w:r>
          </w:p>
        </w:tc>
      </w:tr>
    </w:tbl>
    <w:p w14:paraId="4F96E570" w14:textId="77777777" w:rsidR="0010203C" w:rsidRPr="00B01BC9" w:rsidRDefault="0010203C" w:rsidP="0000376A">
      <w:pPr>
        <w:jc w:val="left"/>
        <w:rPr>
          <w:rFonts w:ascii="Arial" w:hAnsi="Arial" w:cs="Arial"/>
        </w:rPr>
      </w:pPr>
    </w:p>
    <w:p w14:paraId="794A63BF" w14:textId="77777777" w:rsidR="00177663" w:rsidRPr="00B01BC9" w:rsidRDefault="00177663" w:rsidP="0000376A">
      <w:pPr>
        <w:jc w:val="left"/>
        <w:rPr>
          <w:rFonts w:ascii="Arial" w:hAnsi="Arial" w:cs="Arial"/>
        </w:rPr>
      </w:pPr>
    </w:p>
    <w:p w14:paraId="796F763B" w14:textId="77777777" w:rsidR="00177663" w:rsidRPr="00B01BC9" w:rsidRDefault="00177663" w:rsidP="0000376A">
      <w:pPr>
        <w:jc w:val="left"/>
        <w:rPr>
          <w:rFonts w:ascii="Arial" w:hAnsi="Arial" w:cs="Arial"/>
        </w:rPr>
      </w:pPr>
    </w:p>
    <w:p w14:paraId="43F62A7B" w14:textId="77777777" w:rsidR="006B5511" w:rsidRPr="00B01BC9" w:rsidRDefault="006B5511" w:rsidP="0000376A">
      <w:pPr>
        <w:pStyle w:val="paragraph"/>
        <w:spacing w:before="0" w:beforeAutospacing="0" w:after="0" w:afterAutospacing="0" w:line="360" w:lineRule="auto"/>
        <w:textAlignment w:val="baseline"/>
        <w:rPr>
          <w:rFonts w:ascii="Arial" w:hAnsi="Arial" w:cs="Arial"/>
          <w:sz w:val="16"/>
          <w:szCs w:val="16"/>
        </w:rPr>
      </w:pPr>
    </w:p>
    <w:p w14:paraId="3EC256D8" w14:textId="77777777" w:rsidR="00052B11" w:rsidRPr="00B01BC9" w:rsidRDefault="00052B11" w:rsidP="0000376A">
      <w:pPr>
        <w:jc w:val="left"/>
        <w:rPr>
          <w:rFonts w:ascii="Arial" w:hAnsi="Arial" w:cs="Arial"/>
        </w:rPr>
      </w:pPr>
    </w:p>
    <w:p w14:paraId="046B6116" w14:textId="77777777" w:rsidR="00720E5F" w:rsidRPr="00B01BC9" w:rsidRDefault="00720E5F"/>
    <w:sectPr w:rsidR="00720E5F" w:rsidRPr="00B01BC9">
      <w:footerReference w:type="even" r:id="rId67"/>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BBC0D63" w14:textId="77777777" w:rsidR="00E76FAB" w:rsidRDefault="00E76FAB" w:rsidP="000C345D">
      <w:pPr>
        <w:spacing w:after="0" w:line="240" w:lineRule="auto"/>
      </w:pPr>
      <w:r>
        <w:separator/>
      </w:r>
    </w:p>
  </w:endnote>
  <w:endnote w:type="continuationSeparator" w:id="0">
    <w:p w14:paraId="5CA4D8D6" w14:textId="77777777" w:rsidR="00E76FAB" w:rsidRDefault="00E76FAB" w:rsidP="000C3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10888445"/>
      <w:docPartObj>
        <w:docPartGallery w:val="Page Numbers (Bottom of Page)"/>
        <w:docPartUnique/>
      </w:docPartObj>
    </w:sdtPr>
    <w:sdtContent>
      <w:p w14:paraId="4CC2FB6C" w14:textId="3F5299DA" w:rsidR="000C345D" w:rsidRDefault="000C345D" w:rsidP="00ED5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36CF7F" w14:textId="77777777" w:rsidR="000C345D" w:rsidRDefault="000C345D" w:rsidP="000C34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7591190"/>
      <w:docPartObj>
        <w:docPartGallery w:val="Page Numbers (Bottom of Page)"/>
        <w:docPartUnique/>
      </w:docPartObj>
    </w:sdtPr>
    <w:sdtContent>
      <w:p w14:paraId="30C3D64D" w14:textId="721AFA10" w:rsidR="000C345D" w:rsidRDefault="000C345D" w:rsidP="00ED55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1E4C770" w14:textId="77777777" w:rsidR="000C345D" w:rsidRDefault="000C345D" w:rsidP="000C345D">
    <w:pPr>
      <w:pStyle w:val="Footer"/>
      <w:ind w:right="360"/>
    </w:pPr>
  </w:p>
  <w:p w14:paraId="0670ACE8" w14:textId="77777777" w:rsidR="00C44F4E" w:rsidRDefault="00C44F4E" w:rsidP="000C345D">
    <w:pPr>
      <w:pStyle w:val="Footer"/>
      <w:ind w:right="360"/>
    </w:pPr>
  </w:p>
  <w:p w14:paraId="12840157" w14:textId="77777777" w:rsidR="00C44F4E" w:rsidRDefault="00C44F4E" w:rsidP="000C34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A043E1" w14:textId="77777777" w:rsidR="00E76FAB" w:rsidRDefault="00E76FAB" w:rsidP="000C345D">
      <w:pPr>
        <w:spacing w:after="0" w:line="240" w:lineRule="auto"/>
      </w:pPr>
      <w:r>
        <w:separator/>
      </w:r>
    </w:p>
  </w:footnote>
  <w:footnote w:type="continuationSeparator" w:id="0">
    <w:p w14:paraId="4A41030A" w14:textId="77777777" w:rsidR="00E76FAB" w:rsidRDefault="00E76FAB" w:rsidP="000C34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D2CBA"/>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05AAD"/>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EB67FDB"/>
    <w:multiLevelType w:val="hybridMultilevel"/>
    <w:tmpl w:val="BD062E5C"/>
    <w:lvl w:ilvl="0" w:tplc="FFFFFFFF">
      <w:start w:val="4"/>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9C5F1B"/>
    <w:multiLevelType w:val="hybridMultilevel"/>
    <w:tmpl w:val="94B08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3655D32"/>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424D4F3A"/>
    <w:multiLevelType w:val="hybridMultilevel"/>
    <w:tmpl w:val="BD062E5C"/>
    <w:lvl w:ilvl="0" w:tplc="B87ABC1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167C51"/>
    <w:multiLevelType w:val="hybridMultilevel"/>
    <w:tmpl w:val="94B087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E2D36E9"/>
    <w:multiLevelType w:val="hybridMultilevel"/>
    <w:tmpl w:val="D424EDC4"/>
    <w:lvl w:ilvl="0" w:tplc="F37474DE">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AE028E"/>
    <w:multiLevelType w:val="hybridMultilevel"/>
    <w:tmpl w:val="D424EDC4"/>
    <w:lvl w:ilvl="0" w:tplc="FFFFFFFF">
      <w:start w:val="3"/>
      <w:numFmt w:val="decimal"/>
      <w:lvlText w:val="%1."/>
      <w:lvlJc w:val="lef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F6C69"/>
    <w:multiLevelType w:val="hybridMultilevel"/>
    <w:tmpl w:val="7C46E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782F72"/>
    <w:multiLevelType w:val="hybridMultilevel"/>
    <w:tmpl w:val="2F3EA558"/>
    <w:lvl w:ilvl="0" w:tplc="705E4AC0">
      <w:start w:val="3"/>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749197">
    <w:abstractNumId w:val="15"/>
  </w:num>
  <w:num w:numId="2" w16cid:durableId="1726679607">
    <w:abstractNumId w:val="8"/>
  </w:num>
  <w:num w:numId="3" w16cid:durableId="1630209448">
    <w:abstractNumId w:val="18"/>
  </w:num>
  <w:num w:numId="4" w16cid:durableId="928663234">
    <w:abstractNumId w:val="21"/>
  </w:num>
  <w:num w:numId="5" w16cid:durableId="2017072952">
    <w:abstractNumId w:val="25"/>
  </w:num>
  <w:num w:numId="6" w16cid:durableId="58405484">
    <w:abstractNumId w:val="11"/>
  </w:num>
  <w:num w:numId="7" w16cid:durableId="1817530714">
    <w:abstractNumId w:val="5"/>
  </w:num>
  <w:num w:numId="8" w16cid:durableId="2141336387">
    <w:abstractNumId w:val="20"/>
  </w:num>
  <w:num w:numId="9" w16cid:durableId="1325282792">
    <w:abstractNumId w:val="2"/>
  </w:num>
  <w:num w:numId="10" w16cid:durableId="1319654748">
    <w:abstractNumId w:val="27"/>
  </w:num>
  <w:num w:numId="11" w16cid:durableId="556555801">
    <w:abstractNumId w:val="0"/>
  </w:num>
  <w:num w:numId="12" w16cid:durableId="1903828627">
    <w:abstractNumId w:val="6"/>
  </w:num>
  <w:num w:numId="13" w16cid:durableId="281425930">
    <w:abstractNumId w:val="19"/>
  </w:num>
  <w:num w:numId="14" w16cid:durableId="1491553762">
    <w:abstractNumId w:val="14"/>
  </w:num>
  <w:num w:numId="15" w16cid:durableId="965625632">
    <w:abstractNumId w:val="29"/>
  </w:num>
  <w:num w:numId="16" w16cid:durableId="424033359">
    <w:abstractNumId w:val="16"/>
  </w:num>
  <w:num w:numId="17" w16cid:durableId="1335066293">
    <w:abstractNumId w:val="30"/>
  </w:num>
  <w:num w:numId="18" w16cid:durableId="662587085">
    <w:abstractNumId w:val="12"/>
  </w:num>
  <w:num w:numId="19" w16cid:durableId="2071072074">
    <w:abstractNumId w:val="28"/>
  </w:num>
  <w:num w:numId="20" w16cid:durableId="1573662111">
    <w:abstractNumId w:val="35"/>
  </w:num>
  <w:num w:numId="21" w16cid:durableId="131678057">
    <w:abstractNumId w:val="32"/>
  </w:num>
  <w:num w:numId="22" w16cid:durableId="99565733">
    <w:abstractNumId w:val="10"/>
  </w:num>
  <w:num w:numId="23" w16cid:durableId="1481145624">
    <w:abstractNumId w:val="37"/>
  </w:num>
  <w:num w:numId="24" w16cid:durableId="29957555">
    <w:abstractNumId w:val="36"/>
  </w:num>
  <w:num w:numId="25" w16cid:durableId="633143735">
    <w:abstractNumId w:val="34"/>
  </w:num>
  <w:num w:numId="26" w16cid:durableId="1100951892">
    <w:abstractNumId w:val="9"/>
  </w:num>
  <w:num w:numId="27" w16cid:durableId="574709544">
    <w:abstractNumId w:val="7"/>
  </w:num>
  <w:num w:numId="28" w16cid:durableId="424109844">
    <w:abstractNumId w:val="33"/>
  </w:num>
  <w:num w:numId="29" w16cid:durableId="1793279413">
    <w:abstractNumId w:val="23"/>
  </w:num>
  <w:num w:numId="30" w16cid:durableId="350181803">
    <w:abstractNumId w:val="22"/>
  </w:num>
  <w:num w:numId="31" w16cid:durableId="749424382">
    <w:abstractNumId w:val="24"/>
  </w:num>
  <w:num w:numId="32" w16cid:durableId="1468358797">
    <w:abstractNumId w:val="17"/>
  </w:num>
  <w:num w:numId="33" w16cid:durableId="1372261529">
    <w:abstractNumId w:val="4"/>
  </w:num>
  <w:num w:numId="34" w16cid:durableId="2039815518">
    <w:abstractNumId w:val="3"/>
  </w:num>
  <w:num w:numId="35" w16cid:durableId="469176485">
    <w:abstractNumId w:val="13"/>
  </w:num>
  <w:num w:numId="36" w16cid:durableId="170417281">
    <w:abstractNumId w:val="1"/>
  </w:num>
  <w:num w:numId="37" w16cid:durableId="1042821728">
    <w:abstractNumId w:val="31"/>
  </w:num>
  <w:num w:numId="38" w16cid:durableId="936909390">
    <w:abstractNumId w:val="26"/>
  </w:num>
  <w:numIdMacAtCleanup w:val="1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E5F"/>
    <w:rsid w:val="0000008D"/>
    <w:rsid w:val="0000376A"/>
    <w:rsid w:val="000040B1"/>
    <w:rsid w:val="0000601E"/>
    <w:rsid w:val="0000673F"/>
    <w:rsid w:val="00006A5B"/>
    <w:rsid w:val="000107A6"/>
    <w:rsid w:val="00011033"/>
    <w:rsid w:val="00012166"/>
    <w:rsid w:val="000122CF"/>
    <w:rsid w:val="000138EB"/>
    <w:rsid w:val="000141C3"/>
    <w:rsid w:val="00015C4D"/>
    <w:rsid w:val="000160F9"/>
    <w:rsid w:val="000173D0"/>
    <w:rsid w:val="000257C6"/>
    <w:rsid w:val="0002582A"/>
    <w:rsid w:val="00025CEA"/>
    <w:rsid w:val="00025F4F"/>
    <w:rsid w:val="000269D2"/>
    <w:rsid w:val="00027374"/>
    <w:rsid w:val="00033E34"/>
    <w:rsid w:val="00033E6F"/>
    <w:rsid w:val="00034C52"/>
    <w:rsid w:val="00034D73"/>
    <w:rsid w:val="00036BC3"/>
    <w:rsid w:val="0003750C"/>
    <w:rsid w:val="00037B17"/>
    <w:rsid w:val="00042DED"/>
    <w:rsid w:val="00043BB6"/>
    <w:rsid w:val="00046DE5"/>
    <w:rsid w:val="00047BF4"/>
    <w:rsid w:val="00052055"/>
    <w:rsid w:val="00052944"/>
    <w:rsid w:val="00052B11"/>
    <w:rsid w:val="000547A6"/>
    <w:rsid w:val="00054D96"/>
    <w:rsid w:val="000552DB"/>
    <w:rsid w:val="00055AFE"/>
    <w:rsid w:val="00056C85"/>
    <w:rsid w:val="00060108"/>
    <w:rsid w:val="00061F21"/>
    <w:rsid w:val="00064B67"/>
    <w:rsid w:val="00065129"/>
    <w:rsid w:val="00065437"/>
    <w:rsid w:val="000659C8"/>
    <w:rsid w:val="00066398"/>
    <w:rsid w:val="000706AF"/>
    <w:rsid w:val="00071662"/>
    <w:rsid w:val="00071EFB"/>
    <w:rsid w:val="00072933"/>
    <w:rsid w:val="00075716"/>
    <w:rsid w:val="000803A8"/>
    <w:rsid w:val="00080ED7"/>
    <w:rsid w:val="000822D2"/>
    <w:rsid w:val="00083129"/>
    <w:rsid w:val="000833A9"/>
    <w:rsid w:val="00083582"/>
    <w:rsid w:val="000839D9"/>
    <w:rsid w:val="00084767"/>
    <w:rsid w:val="000858F3"/>
    <w:rsid w:val="0008675E"/>
    <w:rsid w:val="00093291"/>
    <w:rsid w:val="00094DB1"/>
    <w:rsid w:val="00096EEB"/>
    <w:rsid w:val="000A13D4"/>
    <w:rsid w:val="000A1D4E"/>
    <w:rsid w:val="000A2A2B"/>
    <w:rsid w:val="000A31A6"/>
    <w:rsid w:val="000A4E7D"/>
    <w:rsid w:val="000A5AAD"/>
    <w:rsid w:val="000B0368"/>
    <w:rsid w:val="000B0665"/>
    <w:rsid w:val="000B1BCB"/>
    <w:rsid w:val="000B23E3"/>
    <w:rsid w:val="000B3699"/>
    <w:rsid w:val="000B3824"/>
    <w:rsid w:val="000B441D"/>
    <w:rsid w:val="000B5D9C"/>
    <w:rsid w:val="000B66BC"/>
    <w:rsid w:val="000B7094"/>
    <w:rsid w:val="000B787B"/>
    <w:rsid w:val="000C22BD"/>
    <w:rsid w:val="000C345D"/>
    <w:rsid w:val="000C36F7"/>
    <w:rsid w:val="000C3E79"/>
    <w:rsid w:val="000C4155"/>
    <w:rsid w:val="000C507F"/>
    <w:rsid w:val="000C5169"/>
    <w:rsid w:val="000C7540"/>
    <w:rsid w:val="000C7F3D"/>
    <w:rsid w:val="000D2349"/>
    <w:rsid w:val="000D3C88"/>
    <w:rsid w:val="000D3D8F"/>
    <w:rsid w:val="000D73FD"/>
    <w:rsid w:val="000E0896"/>
    <w:rsid w:val="000E2CCB"/>
    <w:rsid w:val="000E42ED"/>
    <w:rsid w:val="000E4BA0"/>
    <w:rsid w:val="000E54BF"/>
    <w:rsid w:val="000E6454"/>
    <w:rsid w:val="000E7BCA"/>
    <w:rsid w:val="000E7F14"/>
    <w:rsid w:val="000F00B4"/>
    <w:rsid w:val="000F3B09"/>
    <w:rsid w:val="000F5F69"/>
    <w:rsid w:val="000F6E01"/>
    <w:rsid w:val="00100B89"/>
    <w:rsid w:val="00100CCA"/>
    <w:rsid w:val="0010203C"/>
    <w:rsid w:val="001021DA"/>
    <w:rsid w:val="00106200"/>
    <w:rsid w:val="0010674F"/>
    <w:rsid w:val="00110428"/>
    <w:rsid w:val="00111927"/>
    <w:rsid w:val="00111F35"/>
    <w:rsid w:val="00112B55"/>
    <w:rsid w:val="00112EB7"/>
    <w:rsid w:val="001153C5"/>
    <w:rsid w:val="00115D87"/>
    <w:rsid w:val="00117194"/>
    <w:rsid w:val="00117F3E"/>
    <w:rsid w:val="00121BF1"/>
    <w:rsid w:val="00121DEF"/>
    <w:rsid w:val="00122138"/>
    <w:rsid w:val="001229E7"/>
    <w:rsid w:val="00122B84"/>
    <w:rsid w:val="00122F7E"/>
    <w:rsid w:val="00124474"/>
    <w:rsid w:val="00124E89"/>
    <w:rsid w:val="0013210F"/>
    <w:rsid w:val="00133DE8"/>
    <w:rsid w:val="00133F60"/>
    <w:rsid w:val="00134960"/>
    <w:rsid w:val="00134E86"/>
    <w:rsid w:val="00135687"/>
    <w:rsid w:val="0013658F"/>
    <w:rsid w:val="0013665B"/>
    <w:rsid w:val="00136819"/>
    <w:rsid w:val="00136ED7"/>
    <w:rsid w:val="00137789"/>
    <w:rsid w:val="00137EED"/>
    <w:rsid w:val="00141B16"/>
    <w:rsid w:val="001436D2"/>
    <w:rsid w:val="00145826"/>
    <w:rsid w:val="001459BB"/>
    <w:rsid w:val="00147AC3"/>
    <w:rsid w:val="0015502E"/>
    <w:rsid w:val="00156427"/>
    <w:rsid w:val="00157811"/>
    <w:rsid w:val="00160F0A"/>
    <w:rsid w:val="00161B1E"/>
    <w:rsid w:val="00162A55"/>
    <w:rsid w:val="00162A86"/>
    <w:rsid w:val="00166F87"/>
    <w:rsid w:val="0016770C"/>
    <w:rsid w:val="00167C97"/>
    <w:rsid w:val="00170CED"/>
    <w:rsid w:val="00171DCD"/>
    <w:rsid w:val="00175837"/>
    <w:rsid w:val="00175E41"/>
    <w:rsid w:val="00177663"/>
    <w:rsid w:val="00177A25"/>
    <w:rsid w:val="00180DB3"/>
    <w:rsid w:val="0018111B"/>
    <w:rsid w:val="0018155F"/>
    <w:rsid w:val="00182678"/>
    <w:rsid w:val="00183965"/>
    <w:rsid w:val="00183D7B"/>
    <w:rsid w:val="00184C94"/>
    <w:rsid w:val="00184FAD"/>
    <w:rsid w:val="00185A03"/>
    <w:rsid w:val="00185C8C"/>
    <w:rsid w:val="00186313"/>
    <w:rsid w:val="00187363"/>
    <w:rsid w:val="00191781"/>
    <w:rsid w:val="00191E7D"/>
    <w:rsid w:val="0019348D"/>
    <w:rsid w:val="00195BF2"/>
    <w:rsid w:val="00197143"/>
    <w:rsid w:val="001A25A0"/>
    <w:rsid w:val="001A38B1"/>
    <w:rsid w:val="001A67D4"/>
    <w:rsid w:val="001A723E"/>
    <w:rsid w:val="001B19FA"/>
    <w:rsid w:val="001B2038"/>
    <w:rsid w:val="001B2CD9"/>
    <w:rsid w:val="001B3740"/>
    <w:rsid w:val="001B4D33"/>
    <w:rsid w:val="001B5842"/>
    <w:rsid w:val="001B6B2D"/>
    <w:rsid w:val="001B74F8"/>
    <w:rsid w:val="001C0B4D"/>
    <w:rsid w:val="001C1730"/>
    <w:rsid w:val="001C3F06"/>
    <w:rsid w:val="001C43ED"/>
    <w:rsid w:val="001C4459"/>
    <w:rsid w:val="001C4E56"/>
    <w:rsid w:val="001C5465"/>
    <w:rsid w:val="001C5A9D"/>
    <w:rsid w:val="001C65A9"/>
    <w:rsid w:val="001C7F8D"/>
    <w:rsid w:val="001D3B6F"/>
    <w:rsid w:val="001D421A"/>
    <w:rsid w:val="001D723E"/>
    <w:rsid w:val="001E070D"/>
    <w:rsid w:val="001E0A2D"/>
    <w:rsid w:val="001E19C8"/>
    <w:rsid w:val="001E2B12"/>
    <w:rsid w:val="001E354D"/>
    <w:rsid w:val="001E37C2"/>
    <w:rsid w:val="001E42F4"/>
    <w:rsid w:val="001E62ED"/>
    <w:rsid w:val="001F1DC1"/>
    <w:rsid w:val="001F24A5"/>
    <w:rsid w:val="001F34C1"/>
    <w:rsid w:val="001F69D2"/>
    <w:rsid w:val="001F6F88"/>
    <w:rsid w:val="001F7006"/>
    <w:rsid w:val="001F7A30"/>
    <w:rsid w:val="00200C4F"/>
    <w:rsid w:val="00201FAF"/>
    <w:rsid w:val="00205539"/>
    <w:rsid w:val="0020624B"/>
    <w:rsid w:val="002079F6"/>
    <w:rsid w:val="00211AF8"/>
    <w:rsid w:val="00212C36"/>
    <w:rsid w:val="00215007"/>
    <w:rsid w:val="0021767E"/>
    <w:rsid w:val="00217C0B"/>
    <w:rsid w:val="002212D4"/>
    <w:rsid w:val="00221B33"/>
    <w:rsid w:val="002229DD"/>
    <w:rsid w:val="00225223"/>
    <w:rsid w:val="00226AF6"/>
    <w:rsid w:val="00226D63"/>
    <w:rsid w:val="0022701B"/>
    <w:rsid w:val="0022785D"/>
    <w:rsid w:val="002344D0"/>
    <w:rsid w:val="00236074"/>
    <w:rsid w:val="002360A9"/>
    <w:rsid w:val="002411E2"/>
    <w:rsid w:val="00241787"/>
    <w:rsid w:val="00241B85"/>
    <w:rsid w:val="00242166"/>
    <w:rsid w:val="002442D4"/>
    <w:rsid w:val="002448FA"/>
    <w:rsid w:val="00244E47"/>
    <w:rsid w:val="00245B38"/>
    <w:rsid w:val="00245E46"/>
    <w:rsid w:val="0024727A"/>
    <w:rsid w:val="00247CEC"/>
    <w:rsid w:val="002509FE"/>
    <w:rsid w:val="00251FF2"/>
    <w:rsid w:val="00252A06"/>
    <w:rsid w:val="00254774"/>
    <w:rsid w:val="002565AA"/>
    <w:rsid w:val="00256A1F"/>
    <w:rsid w:val="00260742"/>
    <w:rsid w:val="00261080"/>
    <w:rsid w:val="00261718"/>
    <w:rsid w:val="002619FF"/>
    <w:rsid w:val="002622CC"/>
    <w:rsid w:val="0026233A"/>
    <w:rsid w:val="00263121"/>
    <w:rsid w:val="002635A8"/>
    <w:rsid w:val="0026370D"/>
    <w:rsid w:val="0026373A"/>
    <w:rsid w:val="0026497E"/>
    <w:rsid w:val="00266333"/>
    <w:rsid w:val="0026703D"/>
    <w:rsid w:val="00271C0A"/>
    <w:rsid w:val="002753B9"/>
    <w:rsid w:val="00276792"/>
    <w:rsid w:val="002777A7"/>
    <w:rsid w:val="0028080A"/>
    <w:rsid w:val="00280C12"/>
    <w:rsid w:val="00280ECC"/>
    <w:rsid w:val="002850B1"/>
    <w:rsid w:val="00290F1C"/>
    <w:rsid w:val="00291E7A"/>
    <w:rsid w:val="00295ED3"/>
    <w:rsid w:val="00297374"/>
    <w:rsid w:val="00297483"/>
    <w:rsid w:val="0029786E"/>
    <w:rsid w:val="002A3114"/>
    <w:rsid w:val="002A35C9"/>
    <w:rsid w:val="002A3DB9"/>
    <w:rsid w:val="002A40F8"/>
    <w:rsid w:val="002A4F12"/>
    <w:rsid w:val="002A641A"/>
    <w:rsid w:val="002A7F8D"/>
    <w:rsid w:val="002B0DEF"/>
    <w:rsid w:val="002B1F02"/>
    <w:rsid w:val="002B261A"/>
    <w:rsid w:val="002B2AE5"/>
    <w:rsid w:val="002B36F4"/>
    <w:rsid w:val="002B3E3B"/>
    <w:rsid w:val="002B47ED"/>
    <w:rsid w:val="002B539B"/>
    <w:rsid w:val="002B563F"/>
    <w:rsid w:val="002B631E"/>
    <w:rsid w:val="002C107A"/>
    <w:rsid w:val="002C39FD"/>
    <w:rsid w:val="002C4852"/>
    <w:rsid w:val="002C54C7"/>
    <w:rsid w:val="002C5EAE"/>
    <w:rsid w:val="002C61DC"/>
    <w:rsid w:val="002C70EC"/>
    <w:rsid w:val="002C7677"/>
    <w:rsid w:val="002C7971"/>
    <w:rsid w:val="002D0696"/>
    <w:rsid w:val="002D0F58"/>
    <w:rsid w:val="002D187D"/>
    <w:rsid w:val="002D1B61"/>
    <w:rsid w:val="002D3D7C"/>
    <w:rsid w:val="002D41D4"/>
    <w:rsid w:val="002D43BE"/>
    <w:rsid w:val="002D77E4"/>
    <w:rsid w:val="002E11B8"/>
    <w:rsid w:val="002E1DEC"/>
    <w:rsid w:val="002E255D"/>
    <w:rsid w:val="002E33F4"/>
    <w:rsid w:val="002E4BDD"/>
    <w:rsid w:val="002E4FE2"/>
    <w:rsid w:val="002E678A"/>
    <w:rsid w:val="002F2432"/>
    <w:rsid w:val="002F30EA"/>
    <w:rsid w:val="002F3CFC"/>
    <w:rsid w:val="002F3DCC"/>
    <w:rsid w:val="002F450A"/>
    <w:rsid w:val="002F4EE0"/>
    <w:rsid w:val="002F54B9"/>
    <w:rsid w:val="002F6459"/>
    <w:rsid w:val="00304ED7"/>
    <w:rsid w:val="00305838"/>
    <w:rsid w:val="00305C6D"/>
    <w:rsid w:val="003073F7"/>
    <w:rsid w:val="00310125"/>
    <w:rsid w:val="00311C4F"/>
    <w:rsid w:val="00315179"/>
    <w:rsid w:val="003158B3"/>
    <w:rsid w:val="00315F2B"/>
    <w:rsid w:val="00317ACF"/>
    <w:rsid w:val="00317E63"/>
    <w:rsid w:val="0032162D"/>
    <w:rsid w:val="00321F81"/>
    <w:rsid w:val="00323806"/>
    <w:rsid w:val="00323AF7"/>
    <w:rsid w:val="00324218"/>
    <w:rsid w:val="00325CE5"/>
    <w:rsid w:val="00326719"/>
    <w:rsid w:val="00327FF7"/>
    <w:rsid w:val="00331A6B"/>
    <w:rsid w:val="003325CE"/>
    <w:rsid w:val="00334330"/>
    <w:rsid w:val="00334CC6"/>
    <w:rsid w:val="00335706"/>
    <w:rsid w:val="003362EF"/>
    <w:rsid w:val="003369D1"/>
    <w:rsid w:val="0034070A"/>
    <w:rsid w:val="0034096B"/>
    <w:rsid w:val="00340C39"/>
    <w:rsid w:val="00343480"/>
    <w:rsid w:val="00344D64"/>
    <w:rsid w:val="00345B26"/>
    <w:rsid w:val="003505AE"/>
    <w:rsid w:val="003509FF"/>
    <w:rsid w:val="003518A1"/>
    <w:rsid w:val="00352FC7"/>
    <w:rsid w:val="00353904"/>
    <w:rsid w:val="00353C5B"/>
    <w:rsid w:val="00353EB7"/>
    <w:rsid w:val="00354FE9"/>
    <w:rsid w:val="003551C5"/>
    <w:rsid w:val="00355A6E"/>
    <w:rsid w:val="00356B31"/>
    <w:rsid w:val="00361610"/>
    <w:rsid w:val="00363318"/>
    <w:rsid w:val="00363F6C"/>
    <w:rsid w:val="00364218"/>
    <w:rsid w:val="00364FF1"/>
    <w:rsid w:val="00365C99"/>
    <w:rsid w:val="003677F0"/>
    <w:rsid w:val="00367C97"/>
    <w:rsid w:val="003702EB"/>
    <w:rsid w:val="003720F2"/>
    <w:rsid w:val="00373A16"/>
    <w:rsid w:val="003741A4"/>
    <w:rsid w:val="00375C2E"/>
    <w:rsid w:val="00377EC0"/>
    <w:rsid w:val="003815B6"/>
    <w:rsid w:val="00381828"/>
    <w:rsid w:val="00383355"/>
    <w:rsid w:val="003845AC"/>
    <w:rsid w:val="00386926"/>
    <w:rsid w:val="0039114E"/>
    <w:rsid w:val="00391C03"/>
    <w:rsid w:val="00391CD5"/>
    <w:rsid w:val="00392205"/>
    <w:rsid w:val="00392372"/>
    <w:rsid w:val="003930B5"/>
    <w:rsid w:val="003934F6"/>
    <w:rsid w:val="003941A0"/>
    <w:rsid w:val="0039665A"/>
    <w:rsid w:val="003974BD"/>
    <w:rsid w:val="003A02B4"/>
    <w:rsid w:val="003A0663"/>
    <w:rsid w:val="003A10BD"/>
    <w:rsid w:val="003A1F81"/>
    <w:rsid w:val="003A20DD"/>
    <w:rsid w:val="003A2F08"/>
    <w:rsid w:val="003A3AD3"/>
    <w:rsid w:val="003A3C89"/>
    <w:rsid w:val="003A4B0B"/>
    <w:rsid w:val="003A52D4"/>
    <w:rsid w:val="003A6AD1"/>
    <w:rsid w:val="003B346B"/>
    <w:rsid w:val="003B4CC1"/>
    <w:rsid w:val="003B62A1"/>
    <w:rsid w:val="003B6797"/>
    <w:rsid w:val="003B727D"/>
    <w:rsid w:val="003B7D53"/>
    <w:rsid w:val="003C0A37"/>
    <w:rsid w:val="003C4EB2"/>
    <w:rsid w:val="003C5119"/>
    <w:rsid w:val="003C58C0"/>
    <w:rsid w:val="003C5DF9"/>
    <w:rsid w:val="003C6100"/>
    <w:rsid w:val="003C658F"/>
    <w:rsid w:val="003C6F00"/>
    <w:rsid w:val="003D060D"/>
    <w:rsid w:val="003D2151"/>
    <w:rsid w:val="003D2474"/>
    <w:rsid w:val="003D282B"/>
    <w:rsid w:val="003D37D6"/>
    <w:rsid w:val="003D4774"/>
    <w:rsid w:val="003D6E04"/>
    <w:rsid w:val="003D71C9"/>
    <w:rsid w:val="003D75F8"/>
    <w:rsid w:val="003E16C1"/>
    <w:rsid w:val="003E1E9F"/>
    <w:rsid w:val="003E224A"/>
    <w:rsid w:val="003E6406"/>
    <w:rsid w:val="003E6609"/>
    <w:rsid w:val="003E6BEF"/>
    <w:rsid w:val="003E7473"/>
    <w:rsid w:val="003F185A"/>
    <w:rsid w:val="003F3979"/>
    <w:rsid w:val="003F5BC5"/>
    <w:rsid w:val="003F5BF5"/>
    <w:rsid w:val="00400C2D"/>
    <w:rsid w:val="004010EC"/>
    <w:rsid w:val="00401520"/>
    <w:rsid w:val="00403835"/>
    <w:rsid w:val="00406222"/>
    <w:rsid w:val="004066F4"/>
    <w:rsid w:val="00406A83"/>
    <w:rsid w:val="00406E7A"/>
    <w:rsid w:val="00407ADF"/>
    <w:rsid w:val="00407AFA"/>
    <w:rsid w:val="004111D8"/>
    <w:rsid w:val="00412E13"/>
    <w:rsid w:val="00415D39"/>
    <w:rsid w:val="00416A00"/>
    <w:rsid w:val="00416AB3"/>
    <w:rsid w:val="0041716B"/>
    <w:rsid w:val="004224DC"/>
    <w:rsid w:val="00422B16"/>
    <w:rsid w:val="00422E29"/>
    <w:rsid w:val="004235E7"/>
    <w:rsid w:val="004312E2"/>
    <w:rsid w:val="004326CA"/>
    <w:rsid w:val="00432926"/>
    <w:rsid w:val="004354A5"/>
    <w:rsid w:val="00440A39"/>
    <w:rsid w:val="00441CE1"/>
    <w:rsid w:val="00443446"/>
    <w:rsid w:val="004438B2"/>
    <w:rsid w:val="004438F5"/>
    <w:rsid w:val="0044600E"/>
    <w:rsid w:val="004471FB"/>
    <w:rsid w:val="0045219D"/>
    <w:rsid w:val="004527EC"/>
    <w:rsid w:val="004533E0"/>
    <w:rsid w:val="00453DF9"/>
    <w:rsid w:val="00456102"/>
    <w:rsid w:val="00457A1E"/>
    <w:rsid w:val="00462B64"/>
    <w:rsid w:val="00462F37"/>
    <w:rsid w:val="00463323"/>
    <w:rsid w:val="00463CFF"/>
    <w:rsid w:val="00464AA3"/>
    <w:rsid w:val="00467C4D"/>
    <w:rsid w:val="00470314"/>
    <w:rsid w:val="0047168E"/>
    <w:rsid w:val="00471EA8"/>
    <w:rsid w:val="00472A3D"/>
    <w:rsid w:val="00472E24"/>
    <w:rsid w:val="00477DF6"/>
    <w:rsid w:val="00480CBB"/>
    <w:rsid w:val="00481333"/>
    <w:rsid w:val="00482C27"/>
    <w:rsid w:val="00483E38"/>
    <w:rsid w:val="00486426"/>
    <w:rsid w:val="00490B1D"/>
    <w:rsid w:val="00491BC8"/>
    <w:rsid w:val="004923BB"/>
    <w:rsid w:val="00492746"/>
    <w:rsid w:val="00492BF5"/>
    <w:rsid w:val="00492CD4"/>
    <w:rsid w:val="0049460C"/>
    <w:rsid w:val="00495DCC"/>
    <w:rsid w:val="00496548"/>
    <w:rsid w:val="00496E26"/>
    <w:rsid w:val="004A1B13"/>
    <w:rsid w:val="004A246F"/>
    <w:rsid w:val="004A2C88"/>
    <w:rsid w:val="004A6C1B"/>
    <w:rsid w:val="004B02A0"/>
    <w:rsid w:val="004B3BDD"/>
    <w:rsid w:val="004B4C89"/>
    <w:rsid w:val="004C1033"/>
    <w:rsid w:val="004C2DEC"/>
    <w:rsid w:val="004C4338"/>
    <w:rsid w:val="004C5111"/>
    <w:rsid w:val="004C577D"/>
    <w:rsid w:val="004C5B48"/>
    <w:rsid w:val="004C5E52"/>
    <w:rsid w:val="004C5F78"/>
    <w:rsid w:val="004D4C9A"/>
    <w:rsid w:val="004D6069"/>
    <w:rsid w:val="004D62C5"/>
    <w:rsid w:val="004E0B9D"/>
    <w:rsid w:val="004E11F2"/>
    <w:rsid w:val="004E1781"/>
    <w:rsid w:val="004E20D2"/>
    <w:rsid w:val="004E2514"/>
    <w:rsid w:val="004E3340"/>
    <w:rsid w:val="004E40B9"/>
    <w:rsid w:val="004E47A4"/>
    <w:rsid w:val="004E50DF"/>
    <w:rsid w:val="004F0F4A"/>
    <w:rsid w:val="004F0FB5"/>
    <w:rsid w:val="004F1EC7"/>
    <w:rsid w:val="004F249B"/>
    <w:rsid w:val="004F2831"/>
    <w:rsid w:val="005014CC"/>
    <w:rsid w:val="00502E6F"/>
    <w:rsid w:val="00503A35"/>
    <w:rsid w:val="005067B8"/>
    <w:rsid w:val="00506D9B"/>
    <w:rsid w:val="00514D89"/>
    <w:rsid w:val="00514E1C"/>
    <w:rsid w:val="00515E51"/>
    <w:rsid w:val="005209A8"/>
    <w:rsid w:val="00520A1D"/>
    <w:rsid w:val="00522CA0"/>
    <w:rsid w:val="005258FB"/>
    <w:rsid w:val="00525AEA"/>
    <w:rsid w:val="0052637E"/>
    <w:rsid w:val="0052701B"/>
    <w:rsid w:val="005307AA"/>
    <w:rsid w:val="0053258A"/>
    <w:rsid w:val="0053383C"/>
    <w:rsid w:val="00534669"/>
    <w:rsid w:val="00535ACA"/>
    <w:rsid w:val="005366F9"/>
    <w:rsid w:val="00536A32"/>
    <w:rsid w:val="005379EA"/>
    <w:rsid w:val="005402D4"/>
    <w:rsid w:val="0054485E"/>
    <w:rsid w:val="00547727"/>
    <w:rsid w:val="0055240C"/>
    <w:rsid w:val="00554243"/>
    <w:rsid w:val="00554DCB"/>
    <w:rsid w:val="0055575C"/>
    <w:rsid w:val="005567DE"/>
    <w:rsid w:val="00560B29"/>
    <w:rsid w:val="00561938"/>
    <w:rsid w:val="00561C79"/>
    <w:rsid w:val="00562856"/>
    <w:rsid w:val="00563316"/>
    <w:rsid w:val="00567654"/>
    <w:rsid w:val="00567957"/>
    <w:rsid w:val="00570304"/>
    <w:rsid w:val="0057086E"/>
    <w:rsid w:val="00570B20"/>
    <w:rsid w:val="00571668"/>
    <w:rsid w:val="00572012"/>
    <w:rsid w:val="005744E8"/>
    <w:rsid w:val="00574F1D"/>
    <w:rsid w:val="0057605C"/>
    <w:rsid w:val="00576BCA"/>
    <w:rsid w:val="00577EB2"/>
    <w:rsid w:val="00580B64"/>
    <w:rsid w:val="00580F51"/>
    <w:rsid w:val="0058204B"/>
    <w:rsid w:val="005821CE"/>
    <w:rsid w:val="00583AF8"/>
    <w:rsid w:val="00584470"/>
    <w:rsid w:val="00584BEA"/>
    <w:rsid w:val="00591CE6"/>
    <w:rsid w:val="005921B3"/>
    <w:rsid w:val="00592C7B"/>
    <w:rsid w:val="005935E7"/>
    <w:rsid w:val="00593A7D"/>
    <w:rsid w:val="00594036"/>
    <w:rsid w:val="0059406C"/>
    <w:rsid w:val="00594962"/>
    <w:rsid w:val="005979CC"/>
    <w:rsid w:val="005A2BBC"/>
    <w:rsid w:val="005A3FEA"/>
    <w:rsid w:val="005A67EF"/>
    <w:rsid w:val="005A75BD"/>
    <w:rsid w:val="005B03F7"/>
    <w:rsid w:val="005B13D2"/>
    <w:rsid w:val="005B1B48"/>
    <w:rsid w:val="005B1D78"/>
    <w:rsid w:val="005B710C"/>
    <w:rsid w:val="005C1755"/>
    <w:rsid w:val="005C2306"/>
    <w:rsid w:val="005C44DF"/>
    <w:rsid w:val="005C4783"/>
    <w:rsid w:val="005C4DAD"/>
    <w:rsid w:val="005C50F0"/>
    <w:rsid w:val="005C5C4F"/>
    <w:rsid w:val="005C5E04"/>
    <w:rsid w:val="005C6A60"/>
    <w:rsid w:val="005D1578"/>
    <w:rsid w:val="005D2DB3"/>
    <w:rsid w:val="005D6032"/>
    <w:rsid w:val="005D6054"/>
    <w:rsid w:val="005D62A7"/>
    <w:rsid w:val="005D74E0"/>
    <w:rsid w:val="005D77FF"/>
    <w:rsid w:val="005E0F81"/>
    <w:rsid w:val="005E301E"/>
    <w:rsid w:val="005E3EA7"/>
    <w:rsid w:val="005E5D36"/>
    <w:rsid w:val="005E7D57"/>
    <w:rsid w:val="005F0006"/>
    <w:rsid w:val="005F0352"/>
    <w:rsid w:val="005F0978"/>
    <w:rsid w:val="005F2730"/>
    <w:rsid w:val="005F3A50"/>
    <w:rsid w:val="005F45C1"/>
    <w:rsid w:val="005F63D6"/>
    <w:rsid w:val="006008C6"/>
    <w:rsid w:val="00600E58"/>
    <w:rsid w:val="00600F16"/>
    <w:rsid w:val="0060144E"/>
    <w:rsid w:val="00601F59"/>
    <w:rsid w:val="00602286"/>
    <w:rsid w:val="006052E8"/>
    <w:rsid w:val="006069F5"/>
    <w:rsid w:val="006100DA"/>
    <w:rsid w:val="00614357"/>
    <w:rsid w:val="00617344"/>
    <w:rsid w:val="00617BCC"/>
    <w:rsid w:val="00620CAA"/>
    <w:rsid w:val="0062170B"/>
    <w:rsid w:val="0062579B"/>
    <w:rsid w:val="00626061"/>
    <w:rsid w:val="00627AD0"/>
    <w:rsid w:val="006331FB"/>
    <w:rsid w:val="00636903"/>
    <w:rsid w:val="00637FCB"/>
    <w:rsid w:val="00640297"/>
    <w:rsid w:val="00640993"/>
    <w:rsid w:val="00640BA7"/>
    <w:rsid w:val="006413CD"/>
    <w:rsid w:val="006440B2"/>
    <w:rsid w:val="006452D9"/>
    <w:rsid w:val="006508D5"/>
    <w:rsid w:val="00650AAC"/>
    <w:rsid w:val="00651464"/>
    <w:rsid w:val="0065372C"/>
    <w:rsid w:val="0065452D"/>
    <w:rsid w:val="00654D42"/>
    <w:rsid w:val="00655047"/>
    <w:rsid w:val="00657764"/>
    <w:rsid w:val="00657922"/>
    <w:rsid w:val="00657A1F"/>
    <w:rsid w:val="006602B4"/>
    <w:rsid w:val="00663F47"/>
    <w:rsid w:val="006646CB"/>
    <w:rsid w:val="00665236"/>
    <w:rsid w:val="006666AB"/>
    <w:rsid w:val="0067563E"/>
    <w:rsid w:val="0067590A"/>
    <w:rsid w:val="00676B9B"/>
    <w:rsid w:val="00680F68"/>
    <w:rsid w:val="00681C58"/>
    <w:rsid w:val="00682E74"/>
    <w:rsid w:val="00682F29"/>
    <w:rsid w:val="00687304"/>
    <w:rsid w:val="00690112"/>
    <w:rsid w:val="006906D5"/>
    <w:rsid w:val="00692264"/>
    <w:rsid w:val="00694100"/>
    <w:rsid w:val="006947B1"/>
    <w:rsid w:val="00694B38"/>
    <w:rsid w:val="0069560B"/>
    <w:rsid w:val="006A03E6"/>
    <w:rsid w:val="006A058A"/>
    <w:rsid w:val="006A0A1E"/>
    <w:rsid w:val="006A1998"/>
    <w:rsid w:val="006A3492"/>
    <w:rsid w:val="006A60A6"/>
    <w:rsid w:val="006B12D2"/>
    <w:rsid w:val="006B421F"/>
    <w:rsid w:val="006B5511"/>
    <w:rsid w:val="006C027D"/>
    <w:rsid w:val="006C02F6"/>
    <w:rsid w:val="006C28C6"/>
    <w:rsid w:val="006C41B6"/>
    <w:rsid w:val="006C5B0D"/>
    <w:rsid w:val="006C672E"/>
    <w:rsid w:val="006D0AC7"/>
    <w:rsid w:val="006D0EB2"/>
    <w:rsid w:val="006D295B"/>
    <w:rsid w:val="006D41CD"/>
    <w:rsid w:val="006D4283"/>
    <w:rsid w:val="006D4D35"/>
    <w:rsid w:val="006D4D7C"/>
    <w:rsid w:val="006D5075"/>
    <w:rsid w:val="006D6790"/>
    <w:rsid w:val="006E0006"/>
    <w:rsid w:val="006E0618"/>
    <w:rsid w:val="006E0B79"/>
    <w:rsid w:val="006E1825"/>
    <w:rsid w:val="006E2180"/>
    <w:rsid w:val="006E2A5B"/>
    <w:rsid w:val="006E332B"/>
    <w:rsid w:val="006E548E"/>
    <w:rsid w:val="006E5E68"/>
    <w:rsid w:val="006E5F40"/>
    <w:rsid w:val="006E6686"/>
    <w:rsid w:val="006E72A1"/>
    <w:rsid w:val="006E73B2"/>
    <w:rsid w:val="006E7B11"/>
    <w:rsid w:val="006E7CAB"/>
    <w:rsid w:val="006F2A61"/>
    <w:rsid w:val="006F3648"/>
    <w:rsid w:val="006F3A12"/>
    <w:rsid w:val="006F5D97"/>
    <w:rsid w:val="006F6056"/>
    <w:rsid w:val="006F7A5E"/>
    <w:rsid w:val="00700834"/>
    <w:rsid w:val="00700A09"/>
    <w:rsid w:val="00701FE3"/>
    <w:rsid w:val="00703788"/>
    <w:rsid w:val="007053E6"/>
    <w:rsid w:val="0070595D"/>
    <w:rsid w:val="00705EB5"/>
    <w:rsid w:val="007113F8"/>
    <w:rsid w:val="00712513"/>
    <w:rsid w:val="007163B7"/>
    <w:rsid w:val="007172CD"/>
    <w:rsid w:val="0071765B"/>
    <w:rsid w:val="0072053A"/>
    <w:rsid w:val="00720E5F"/>
    <w:rsid w:val="00721EFB"/>
    <w:rsid w:val="00722613"/>
    <w:rsid w:val="00722ED3"/>
    <w:rsid w:val="0072333D"/>
    <w:rsid w:val="007240F6"/>
    <w:rsid w:val="00724B90"/>
    <w:rsid w:val="007263D9"/>
    <w:rsid w:val="0072658C"/>
    <w:rsid w:val="00727CC9"/>
    <w:rsid w:val="00731376"/>
    <w:rsid w:val="0073152F"/>
    <w:rsid w:val="007317A4"/>
    <w:rsid w:val="00733013"/>
    <w:rsid w:val="0073620E"/>
    <w:rsid w:val="007423CC"/>
    <w:rsid w:val="00743559"/>
    <w:rsid w:val="00744C11"/>
    <w:rsid w:val="00747F5A"/>
    <w:rsid w:val="00750230"/>
    <w:rsid w:val="007513ED"/>
    <w:rsid w:val="007521BA"/>
    <w:rsid w:val="00754B59"/>
    <w:rsid w:val="00755324"/>
    <w:rsid w:val="00756E63"/>
    <w:rsid w:val="00757FDA"/>
    <w:rsid w:val="007611F1"/>
    <w:rsid w:val="00761558"/>
    <w:rsid w:val="007619C7"/>
    <w:rsid w:val="00761A54"/>
    <w:rsid w:val="00761C61"/>
    <w:rsid w:val="007645A3"/>
    <w:rsid w:val="007646AF"/>
    <w:rsid w:val="0076492C"/>
    <w:rsid w:val="00764C59"/>
    <w:rsid w:val="00766307"/>
    <w:rsid w:val="00771671"/>
    <w:rsid w:val="007738D4"/>
    <w:rsid w:val="00773BA2"/>
    <w:rsid w:val="00774DC0"/>
    <w:rsid w:val="007773C0"/>
    <w:rsid w:val="00781FDE"/>
    <w:rsid w:val="0078325A"/>
    <w:rsid w:val="007836D6"/>
    <w:rsid w:val="0078393D"/>
    <w:rsid w:val="007846E8"/>
    <w:rsid w:val="007853FB"/>
    <w:rsid w:val="00785FD4"/>
    <w:rsid w:val="00786315"/>
    <w:rsid w:val="00786DBE"/>
    <w:rsid w:val="00791240"/>
    <w:rsid w:val="007938E0"/>
    <w:rsid w:val="00793D76"/>
    <w:rsid w:val="007961D9"/>
    <w:rsid w:val="00797748"/>
    <w:rsid w:val="0079783C"/>
    <w:rsid w:val="00797A5B"/>
    <w:rsid w:val="007A14E2"/>
    <w:rsid w:val="007A2A7F"/>
    <w:rsid w:val="007A372C"/>
    <w:rsid w:val="007A38B6"/>
    <w:rsid w:val="007A4DD1"/>
    <w:rsid w:val="007A4EE1"/>
    <w:rsid w:val="007A5325"/>
    <w:rsid w:val="007A6694"/>
    <w:rsid w:val="007A75C1"/>
    <w:rsid w:val="007B0C7F"/>
    <w:rsid w:val="007B0DB5"/>
    <w:rsid w:val="007B3B6D"/>
    <w:rsid w:val="007B473B"/>
    <w:rsid w:val="007B50A4"/>
    <w:rsid w:val="007B69D9"/>
    <w:rsid w:val="007B7B69"/>
    <w:rsid w:val="007C10DA"/>
    <w:rsid w:val="007C14DD"/>
    <w:rsid w:val="007C2EF8"/>
    <w:rsid w:val="007C3001"/>
    <w:rsid w:val="007C693E"/>
    <w:rsid w:val="007C72C4"/>
    <w:rsid w:val="007C7304"/>
    <w:rsid w:val="007C7F90"/>
    <w:rsid w:val="007D0C91"/>
    <w:rsid w:val="007D22EF"/>
    <w:rsid w:val="007D4A4F"/>
    <w:rsid w:val="007D4B5E"/>
    <w:rsid w:val="007D6DDA"/>
    <w:rsid w:val="007E4731"/>
    <w:rsid w:val="007E62C9"/>
    <w:rsid w:val="007E7E8B"/>
    <w:rsid w:val="007F1CFC"/>
    <w:rsid w:val="007F2317"/>
    <w:rsid w:val="007F2365"/>
    <w:rsid w:val="007F3E79"/>
    <w:rsid w:val="007F571D"/>
    <w:rsid w:val="007F72E0"/>
    <w:rsid w:val="008029AD"/>
    <w:rsid w:val="008074C5"/>
    <w:rsid w:val="00807740"/>
    <w:rsid w:val="0081262C"/>
    <w:rsid w:val="00815007"/>
    <w:rsid w:val="00817101"/>
    <w:rsid w:val="00817F5D"/>
    <w:rsid w:val="00821DFC"/>
    <w:rsid w:val="00822A5A"/>
    <w:rsid w:val="0082408F"/>
    <w:rsid w:val="008249F6"/>
    <w:rsid w:val="00827931"/>
    <w:rsid w:val="00830819"/>
    <w:rsid w:val="008321B5"/>
    <w:rsid w:val="00832C65"/>
    <w:rsid w:val="008333C4"/>
    <w:rsid w:val="00834EC9"/>
    <w:rsid w:val="00841BEF"/>
    <w:rsid w:val="00842F37"/>
    <w:rsid w:val="00844539"/>
    <w:rsid w:val="00844FD7"/>
    <w:rsid w:val="00845820"/>
    <w:rsid w:val="008476C5"/>
    <w:rsid w:val="008479F8"/>
    <w:rsid w:val="00850024"/>
    <w:rsid w:val="00853469"/>
    <w:rsid w:val="00853963"/>
    <w:rsid w:val="008557BF"/>
    <w:rsid w:val="00857AD3"/>
    <w:rsid w:val="008619E4"/>
    <w:rsid w:val="00861A5E"/>
    <w:rsid w:val="00862855"/>
    <w:rsid w:val="00864804"/>
    <w:rsid w:val="0087015E"/>
    <w:rsid w:val="008722BA"/>
    <w:rsid w:val="00872B2F"/>
    <w:rsid w:val="00873971"/>
    <w:rsid w:val="00874DE8"/>
    <w:rsid w:val="008750BB"/>
    <w:rsid w:val="00875C03"/>
    <w:rsid w:val="00876BE7"/>
    <w:rsid w:val="00876E29"/>
    <w:rsid w:val="00877761"/>
    <w:rsid w:val="00880A94"/>
    <w:rsid w:val="00882BE4"/>
    <w:rsid w:val="00884422"/>
    <w:rsid w:val="00887F03"/>
    <w:rsid w:val="0089127B"/>
    <w:rsid w:val="0089246A"/>
    <w:rsid w:val="00892938"/>
    <w:rsid w:val="008952B6"/>
    <w:rsid w:val="008A0735"/>
    <w:rsid w:val="008A1310"/>
    <w:rsid w:val="008A15C1"/>
    <w:rsid w:val="008A2751"/>
    <w:rsid w:val="008A2DDF"/>
    <w:rsid w:val="008A31ED"/>
    <w:rsid w:val="008A50AE"/>
    <w:rsid w:val="008A53E9"/>
    <w:rsid w:val="008A547E"/>
    <w:rsid w:val="008A5745"/>
    <w:rsid w:val="008B1F63"/>
    <w:rsid w:val="008B284C"/>
    <w:rsid w:val="008B2CC9"/>
    <w:rsid w:val="008B39B1"/>
    <w:rsid w:val="008B4FA4"/>
    <w:rsid w:val="008B747E"/>
    <w:rsid w:val="008C07B1"/>
    <w:rsid w:val="008C3B12"/>
    <w:rsid w:val="008C43F7"/>
    <w:rsid w:val="008C4FCE"/>
    <w:rsid w:val="008C54EA"/>
    <w:rsid w:val="008C59BF"/>
    <w:rsid w:val="008C5BD7"/>
    <w:rsid w:val="008C7F51"/>
    <w:rsid w:val="008D171C"/>
    <w:rsid w:val="008D2049"/>
    <w:rsid w:val="008D3A19"/>
    <w:rsid w:val="008D3D89"/>
    <w:rsid w:val="008D3FBF"/>
    <w:rsid w:val="008D4745"/>
    <w:rsid w:val="008D50D3"/>
    <w:rsid w:val="008D69BD"/>
    <w:rsid w:val="008D716B"/>
    <w:rsid w:val="008D75CE"/>
    <w:rsid w:val="008D7A33"/>
    <w:rsid w:val="008D7D53"/>
    <w:rsid w:val="008D7D80"/>
    <w:rsid w:val="008E0C2C"/>
    <w:rsid w:val="008E1755"/>
    <w:rsid w:val="008E1848"/>
    <w:rsid w:val="008E29F9"/>
    <w:rsid w:val="008E4BE1"/>
    <w:rsid w:val="008E4CD3"/>
    <w:rsid w:val="008E54D4"/>
    <w:rsid w:val="008E5D8B"/>
    <w:rsid w:val="008E60B6"/>
    <w:rsid w:val="008E6498"/>
    <w:rsid w:val="008E6609"/>
    <w:rsid w:val="008E71D5"/>
    <w:rsid w:val="008F0C2B"/>
    <w:rsid w:val="008F0F12"/>
    <w:rsid w:val="008F1520"/>
    <w:rsid w:val="008F4920"/>
    <w:rsid w:val="008F620D"/>
    <w:rsid w:val="008F6561"/>
    <w:rsid w:val="008F6C24"/>
    <w:rsid w:val="008F70E2"/>
    <w:rsid w:val="008F7284"/>
    <w:rsid w:val="008F73D2"/>
    <w:rsid w:val="009005F8"/>
    <w:rsid w:val="00900AF2"/>
    <w:rsid w:val="0090207D"/>
    <w:rsid w:val="00903B55"/>
    <w:rsid w:val="00903C42"/>
    <w:rsid w:val="00904660"/>
    <w:rsid w:val="00905763"/>
    <w:rsid w:val="009058AB"/>
    <w:rsid w:val="0090598B"/>
    <w:rsid w:val="0090606D"/>
    <w:rsid w:val="0090747D"/>
    <w:rsid w:val="0091092A"/>
    <w:rsid w:val="00912875"/>
    <w:rsid w:val="009130E1"/>
    <w:rsid w:val="0091360F"/>
    <w:rsid w:val="00913643"/>
    <w:rsid w:val="009141A7"/>
    <w:rsid w:val="00914BCA"/>
    <w:rsid w:val="00915020"/>
    <w:rsid w:val="0091538B"/>
    <w:rsid w:val="0091651F"/>
    <w:rsid w:val="009167A6"/>
    <w:rsid w:val="00916BAD"/>
    <w:rsid w:val="009202B3"/>
    <w:rsid w:val="00920B27"/>
    <w:rsid w:val="009219E5"/>
    <w:rsid w:val="00921C06"/>
    <w:rsid w:val="00922E33"/>
    <w:rsid w:val="00922FC0"/>
    <w:rsid w:val="009239BB"/>
    <w:rsid w:val="009253FF"/>
    <w:rsid w:val="0092544E"/>
    <w:rsid w:val="00931EF8"/>
    <w:rsid w:val="00933B29"/>
    <w:rsid w:val="00934A76"/>
    <w:rsid w:val="00934B34"/>
    <w:rsid w:val="009350D8"/>
    <w:rsid w:val="00935378"/>
    <w:rsid w:val="00942FD7"/>
    <w:rsid w:val="00944322"/>
    <w:rsid w:val="00944568"/>
    <w:rsid w:val="00944EC6"/>
    <w:rsid w:val="0094594E"/>
    <w:rsid w:val="0094628D"/>
    <w:rsid w:val="009462B0"/>
    <w:rsid w:val="009500B9"/>
    <w:rsid w:val="00950141"/>
    <w:rsid w:val="0095127A"/>
    <w:rsid w:val="00957E3A"/>
    <w:rsid w:val="009623D6"/>
    <w:rsid w:val="00964535"/>
    <w:rsid w:val="009649E5"/>
    <w:rsid w:val="00967E0A"/>
    <w:rsid w:val="00970425"/>
    <w:rsid w:val="0097439E"/>
    <w:rsid w:val="00975363"/>
    <w:rsid w:val="00975815"/>
    <w:rsid w:val="009779CE"/>
    <w:rsid w:val="00977ED6"/>
    <w:rsid w:val="00980160"/>
    <w:rsid w:val="00984DFD"/>
    <w:rsid w:val="00985AB7"/>
    <w:rsid w:val="0098682B"/>
    <w:rsid w:val="00990B72"/>
    <w:rsid w:val="00991DAF"/>
    <w:rsid w:val="00992918"/>
    <w:rsid w:val="00993E64"/>
    <w:rsid w:val="00996D60"/>
    <w:rsid w:val="00997816"/>
    <w:rsid w:val="00997DA3"/>
    <w:rsid w:val="009A00A9"/>
    <w:rsid w:val="009A041E"/>
    <w:rsid w:val="009A067D"/>
    <w:rsid w:val="009A099E"/>
    <w:rsid w:val="009A0C67"/>
    <w:rsid w:val="009A1206"/>
    <w:rsid w:val="009A1358"/>
    <w:rsid w:val="009A1515"/>
    <w:rsid w:val="009A2F1E"/>
    <w:rsid w:val="009A4E65"/>
    <w:rsid w:val="009A5C6F"/>
    <w:rsid w:val="009B1AA0"/>
    <w:rsid w:val="009B28E0"/>
    <w:rsid w:val="009B29C5"/>
    <w:rsid w:val="009B356E"/>
    <w:rsid w:val="009B641A"/>
    <w:rsid w:val="009B6431"/>
    <w:rsid w:val="009B787B"/>
    <w:rsid w:val="009C0B57"/>
    <w:rsid w:val="009C1B79"/>
    <w:rsid w:val="009C2852"/>
    <w:rsid w:val="009C2F40"/>
    <w:rsid w:val="009C4FB3"/>
    <w:rsid w:val="009C5DFA"/>
    <w:rsid w:val="009C64E9"/>
    <w:rsid w:val="009C6680"/>
    <w:rsid w:val="009D131E"/>
    <w:rsid w:val="009D18DF"/>
    <w:rsid w:val="009D2829"/>
    <w:rsid w:val="009D29A1"/>
    <w:rsid w:val="009D3404"/>
    <w:rsid w:val="009D39E6"/>
    <w:rsid w:val="009D4F3A"/>
    <w:rsid w:val="009E1BA4"/>
    <w:rsid w:val="009E4202"/>
    <w:rsid w:val="009E7150"/>
    <w:rsid w:val="009E76E2"/>
    <w:rsid w:val="009E7B1B"/>
    <w:rsid w:val="009F0D4F"/>
    <w:rsid w:val="009F28C0"/>
    <w:rsid w:val="009F33A2"/>
    <w:rsid w:val="009F4261"/>
    <w:rsid w:val="009F4A67"/>
    <w:rsid w:val="009F6174"/>
    <w:rsid w:val="009F645B"/>
    <w:rsid w:val="009F72CA"/>
    <w:rsid w:val="009F7770"/>
    <w:rsid w:val="00A01C2A"/>
    <w:rsid w:val="00A02019"/>
    <w:rsid w:val="00A03983"/>
    <w:rsid w:val="00A0531C"/>
    <w:rsid w:val="00A11A16"/>
    <w:rsid w:val="00A12D44"/>
    <w:rsid w:val="00A14131"/>
    <w:rsid w:val="00A160B2"/>
    <w:rsid w:val="00A16220"/>
    <w:rsid w:val="00A16F53"/>
    <w:rsid w:val="00A16FF2"/>
    <w:rsid w:val="00A20D73"/>
    <w:rsid w:val="00A22865"/>
    <w:rsid w:val="00A22B22"/>
    <w:rsid w:val="00A22F22"/>
    <w:rsid w:val="00A23B6F"/>
    <w:rsid w:val="00A26844"/>
    <w:rsid w:val="00A276E4"/>
    <w:rsid w:val="00A307C8"/>
    <w:rsid w:val="00A3286A"/>
    <w:rsid w:val="00A33286"/>
    <w:rsid w:val="00A33F11"/>
    <w:rsid w:val="00A35997"/>
    <w:rsid w:val="00A35F74"/>
    <w:rsid w:val="00A37F3B"/>
    <w:rsid w:val="00A405FE"/>
    <w:rsid w:val="00A430D5"/>
    <w:rsid w:val="00A43F70"/>
    <w:rsid w:val="00A44D06"/>
    <w:rsid w:val="00A450CD"/>
    <w:rsid w:val="00A45DE5"/>
    <w:rsid w:val="00A460DE"/>
    <w:rsid w:val="00A51DEF"/>
    <w:rsid w:val="00A52EC9"/>
    <w:rsid w:val="00A550DC"/>
    <w:rsid w:val="00A5552A"/>
    <w:rsid w:val="00A568CB"/>
    <w:rsid w:val="00A575B6"/>
    <w:rsid w:val="00A60404"/>
    <w:rsid w:val="00A607AB"/>
    <w:rsid w:val="00A62026"/>
    <w:rsid w:val="00A6522B"/>
    <w:rsid w:val="00A66963"/>
    <w:rsid w:val="00A673E1"/>
    <w:rsid w:val="00A674EE"/>
    <w:rsid w:val="00A70096"/>
    <w:rsid w:val="00A701A3"/>
    <w:rsid w:val="00A7108B"/>
    <w:rsid w:val="00A716D3"/>
    <w:rsid w:val="00A76933"/>
    <w:rsid w:val="00A77401"/>
    <w:rsid w:val="00A801ED"/>
    <w:rsid w:val="00A8070A"/>
    <w:rsid w:val="00A80E92"/>
    <w:rsid w:val="00A8115E"/>
    <w:rsid w:val="00A815EC"/>
    <w:rsid w:val="00A81DB6"/>
    <w:rsid w:val="00A820FD"/>
    <w:rsid w:val="00A82201"/>
    <w:rsid w:val="00A82E25"/>
    <w:rsid w:val="00A83565"/>
    <w:rsid w:val="00A8449D"/>
    <w:rsid w:val="00A84846"/>
    <w:rsid w:val="00A8500B"/>
    <w:rsid w:val="00A855AC"/>
    <w:rsid w:val="00A85687"/>
    <w:rsid w:val="00A85DA7"/>
    <w:rsid w:val="00A861E1"/>
    <w:rsid w:val="00A86724"/>
    <w:rsid w:val="00A86F3A"/>
    <w:rsid w:val="00A875C4"/>
    <w:rsid w:val="00A90448"/>
    <w:rsid w:val="00A907BE"/>
    <w:rsid w:val="00A9182F"/>
    <w:rsid w:val="00A93577"/>
    <w:rsid w:val="00A97B52"/>
    <w:rsid w:val="00A97E37"/>
    <w:rsid w:val="00A97F44"/>
    <w:rsid w:val="00AA0254"/>
    <w:rsid w:val="00AA3913"/>
    <w:rsid w:val="00AA413E"/>
    <w:rsid w:val="00AA5428"/>
    <w:rsid w:val="00AA741A"/>
    <w:rsid w:val="00AA7A71"/>
    <w:rsid w:val="00AB2727"/>
    <w:rsid w:val="00AB2DBA"/>
    <w:rsid w:val="00AB4DD2"/>
    <w:rsid w:val="00AB50A1"/>
    <w:rsid w:val="00AB62FF"/>
    <w:rsid w:val="00AB7C1C"/>
    <w:rsid w:val="00AC0F4F"/>
    <w:rsid w:val="00AC2357"/>
    <w:rsid w:val="00AC3845"/>
    <w:rsid w:val="00AC3D3B"/>
    <w:rsid w:val="00AC3E26"/>
    <w:rsid w:val="00AC4F06"/>
    <w:rsid w:val="00AC63D7"/>
    <w:rsid w:val="00AC65E6"/>
    <w:rsid w:val="00AC7994"/>
    <w:rsid w:val="00AC7F00"/>
    <w:rsid w:val="00AD2C0F"/>
    <w:rsid w:val="00AD5568"/>
    <w:rsid w:val="00AD5947"/>
    <w:rsid w:val="00AD72D1"/>
    <w:rsid w:val="00AD7623"/>
    <w:rsid w:val="00AE15A5"/>
    <w:rsid w:val="00AE1954"/>
    <w:rsid w:val="00AE1ECB"/>
    <w:rsid w:val="00AE29BA"/>
    <w:rsid w:val="00AE4584"/>
    <w:rsid w:val="00AE628F"/>
    <w:rsid w:val="00AE73E7"/>
    <w:rsid w:val="00AF3910"/>
    <w:rsid w:val="00AF449B"/>
    <w:rsid w:val="00AF52EC"/>
    <w:rsid w:val="00AF59C8"/>
    <w:rsid w:val="00AF6073"/>
    <w:rsid w:val="00AF70BD"/>
    <w:rsid w:val="00B00241"/>
    <w:rsid w:val="00B01037"/>
    <w:rsid w:val="00B01593"/>
    <w:rsid w:val="00B01BC9"/>
    <w:rsid w:val="00B01E5A"/>
    <w:rsid w:val="00B01ECC"/>
    <w:rsid w:val="00B02C5C"/>
    <w:rsid w:val="00B0586A"/>
    <w:rsid w:val="00B0627F"/>
    <w:rsid w:val="00B065CA"/>
    <w:rsid w:val="00B13E25"/>
    <w:rsid w:val="00B1432E"/>
    <w:rsid w:val="00B152C6"/>
    <w:rsid w:val="00B17C0B"/>
    <w:rsid w:val="00B25496"/>
    <w:rsid w:val="00B26CE0"/>
    <w:rsid w:val="00B30178"/>
    <w:rsid w:val="00B312F8"/>
    <w:rsid w:val="00B3200F"/>
    <w:rsid w:val="00B3316B"/>
    <w:rsid w:val="00B34BD9"/>
    <w:rsid w:val="00B37BAB"/>
    <w:rsid w:val="00B41658"/>
    <w:rsid w:val="00B430F5"/>
    <w:rsid w:val="00B45B24"/>
    <w:rsid w:val="00B47749"/>
    <w:rsid w:val="00B501DD"/>
    <w:rsid w:val="00B52949"/>
    <w:rsid w:val="00B532EF"/>
    <w:rsid w:val="00B5347B"/>
    <w:rsid w:val="00B535B8"/>
    <w:rsid w:val="00B537A2"/>
    <w:rsid w:val="00B53DF4"/>
    <w:rsid w:val="00B56728"/>
    <w:rsid w:val="00B56B2D"/>
    <w:rsid w:val="00B57A44"/>
    <w:rsid w:val="00B61547"/>
    <w:rsid w:val="00B616FA"/>
    <w:rsid w:val="00B66C54"/>
    <w:rsid w:val="00B6753A"/>
    <w:rsid w:val="00B67BCD"/>
    <w:rsid w:val="00B70F08"/>
    <w:rsid w:val="00B71CAC"/>
    <w:rsid w:val="00B71EB6"/>
    <w:rsid w:val="00B73013"/>
    <w:rsid w:val="00B73A6F"/>
    <w:rsid w:val="00B7524C"/>
    <w:rsid w:val="00B7595E"/>
    <w:rsid w:val="00B77EA7"/>
    <w:rsid w:val="00B805D5"/>
    <w:rsid w:val="00B82729"/>
    <w:rsid w:val="00B830B6"/>
    <w:rsid w:val="00B8367D"/>
    <w:rsid w:val="00B84FDF"/>
    <w:rsid w:val="00B90360"/>
    <w:rsid w:val="00B90398"/>
    <w:rsid w:val="00B91F4C"/>
    <w:rsid w:val="00B9243C"/>
    <w:rsid w:val="00B95EED"/>
    <w:rsid w:val="00B97B8C"/>
    <w:rsid w:val="00B97C38"/>
    <w:rsid w:val="00BA1EA2"/>
    <w:rsid w:val="00BA2896"/>
    <w:rsid w:val="00BA7716"/>
    <w:rsid w:val="00BB0E0C"/>
    <w:rsid w:val="00BB24F1"/>
    <w:rsid w:val="00BB47D5"/>
    <w:rsid w:val="00BB4A34"/>
    <w:rsid w:val="00BB4FF9"/>
    <w:rsid w:val="00BB55EC"/>
    <w:rsid w:val="00BB591A"/>
    <w:rsid w:val="00BB73D0"/>
    <w:rsid w:val="00BC057E"/>
    <w:rsid w:val="00BC2DC3"/>
    <w:rsid w:val="00BC5344"/>
    <w:rsid w:val="00BC63CB"/>
    <w:rsid w:val="00BC65C2"/>
    <w:rsid w:val="00BD0F94"/>
    <w:rsid w:val="00BD0FE2"/>
    <w:rsid w:val="00BD1B0B"/>
    <w:rsid w:val="00BD3CD2"/>
    <w:rsid w:val="00BD678D"/>
    <w:rsid w:val="00BD7EB1"/>
    <w:rsid w:val="00BE25B1"/>
    <w:rsid w:val="00BE7972"/>
    <w:rsid w:val="00BE7B67"/>
    <w:rsid w:val="00BE7FFD"/>
    <w:rsid w:val="00BF0FFD"/>
    <w:rsid w:val="00BF1997"/>
    <w:rsid w:val="00BF1DBF"/>
    <w:rsid w:val="00BF2741"/>
    <w:rsid w:val="00BF5CD4"/>
    <w:rsid w:val="00BF70F4"/>
    <w:rsid w:val="00C00866"/>
    <w:rsid w:val="00C00DCD"/>
    <w:rsid w:val="00C05105"/>
    <w:rsid w:val="00C05379"/>
    <w:rsid w:val="00C05EA7"/>
    <w:rsid w:val="00C07654"/>
    <w:rsid w:val="00C11C2F"/>
    <w:rsid w:val="00C128AA"/>
    <w:rsid w:val="00C1437B"/>
    <w:rsid w:val="00C1719E"/>
    <w:rsid w:val="00C173A2"/>
    <w:rsid w:val="00C2128F"/>
    <w:rsid w:val="00C21661"/>
    <w:rsid w:val="00C25816"/>
    <w:rsid w:val="00C267E2"/>
    <w:rsid w:val="00C27133"/>
    <w:rsid w:val="00C316EA"/>
    <w:rsid w:val="00C320E6"/>
    <w:rsid w:val="00C3217B"/>
    <w:rsid w:val="00C322B0"/>
    <w:rsid w:val="00C329C3"/>
    <w:rsid w:val="00C330E4"/>
    <w:rsid w:val="00C33928"/>
    <w:rsid w:val="00C34CA8"/>
    <w:rsid w:val="00C34E26"/>
    <w:rsid w:val="00C3505B"/>
    <w:rsid w:val="00C358A1"/>
    <w:rsid w:val="00C3621F"/>
    <w:rsid w:val="00C36E50"/>
    <w:rsid w:val="00C37B7F"/>
    <w:rsid w:val="00C4006C"/>
    <w:rsid w:val="00C40091"/>
    <w:rsid w:val="00C400D4"/>
    <w:rsid w:val="00C40721"/>
    <w:rsid w:val="00C41BCD"/>
    <w:rsid w:val="00C41CBF"/>
    <w:rsid w:val="00C426C6"/>
    <w:rsid w:val="00C44936"/>
    <w:rsid w:val="00C44F4E"/>
    <w:rsid w:val="00C45EE2"/>
    <w:rsid w:val="00C50887"/>
    <w:rsid w:val="00C536FC"/>
    <w:rsid w:val="00C544C0"/>
    <w:rsid w:val="00C553A2"/>
    <w:rsid w:val="00C55CA2"/>
    <w:rsid w:val="00C569FE"/>
    <w:rsid w:val="00C5722B"/>
    <w:rsid w:val="00C57C8B"/>
    <w:rsid w:val="00C57F41"/>
    <w:rsid w:val="00C602F1"/>
    <w:rsid w:val="00C618EA"/>
    <w:rsid w:val="00C6237C"/>
    <w:rsid w:val="00C6238F"/>
    <w:rsid w:val="00C63278"/>
    <w:rsid w:val="00C63D39"/>
    <w:rsid w:val="00C6594A"/>
    <w:rsid w:val="00C664F5"/>
    <w:rsid w:val="00C66A46"/>
    <w:rsid w:val="00C66C40"/>
    <w:rsid w:val="00C67B3D"/>
    <w:rsid w:val="00C700C2"/>
    <w:rsid w:val="00C703CE"/>
    <w:rsid w:val="00C70E6C"/>
    <w:rsid w:val="00C711A8"/>
    <w:rsid w:val="00C73471"/>
    <w:rsid w:val="00C7391A"/>
    <w:rsid w:val="00C756BA"/>
    <w:rsid w:val="00C77BB8"/>
    <w:rsid w:val="00C82BB7"/>
    <w:rsid w:val="00C83691"/>
    <w:rsid w:val="00C84787"/>
    <w:rsid w:val="00C84B42"/>
    <w:rsid w:val="00C8681E"/>
    <w:rsid w:val="00C903FC"/>
    <w:rsid w:val="00C914EA"/>
    <w:rsid w:val="00C928FD"/>
    <w:rsid w:val="00C92D26"/>
    <w:rsid w:val="00C9647D"/>
    <w:rsid w:val="00C97B60"/>
    <w:rsid w:val="00CA1B8D"/>
    <w:rsid w:val="00CA35CA"/>
    <w:rsid w:val="00CA48E6"/>
    <w:rsid w:val="00CA4973"/>
    <w:rsid w:val="00CA4C0F"/>
    <w:rsid w:val="00CA4E68"/>
    <w:rsid w:val="00CA5008"/>
    <w:rsid w:val="00CA5C1F"/>
    <w:rsid w:val="00CA6F40"/>
    <w:rsid w:val="00CB3659"/>
    <w:rsid w:val="00CB660B"/>
    <w:rsid w:val="00CB67E6"/>
    <w:rsid w:val="00CB68C4"/>
    <w:rsid w:val="00CB6916"/>
    <w:rsid w:val="00CB7C92"/>
    <w:rsid w:val="00CC1BE3"/>
    <w:rsid w:val="00CC22A2"/>
    <w:rsid w:val="00CC64F3"/>
    <w:rsid w:val="00CD03FB"/>
    <w:rsid w:val="00CD0A0B"/>
    <w:rsid w:val="00CD149D"/>
    <w:rsid w:val="00CD250F"/>
    <w:rsid w:val="00CD26F9"/>
    <w:rsid w:val="00CD2868"/>
    <w:rsid w:val="00CD4F1E"/>
    <w:rsid w:val="00CD58AB"/>
    <w:rsid w:val="00CD6114"/>
    <w:rsid w:val="00CD689A"/>
    <w:rsid w:val="00CD7F09"/>
    <w:rsid w:val="00CE2548"/>
    <w:rsid w:val="00CE28EF"/>
    <w:rsid w:val="00CE5804"/>
    <w:rsid w:val="00CE6381"/>
    <w:rsid w:val="00CE71B4"/>
    <w:rsid w:val="00CE78D3"/>
    <w:rsid w:val="00CE7E87"/>
    <w:rsid w:val="00CF0B79"/>
    <w:rsid w:val="00CF0D2C"/>
    <w:rsid w:val="00CF28C4"/>
    <w:rsid w:val="00CF31CD"/>
    <w:rsid w:val="00CF387B"/>
    <w:rsid w:val="00CF396D"/>
    <w:rsid w:val="00CF45FC"/>
    <w:rsid w:val="00CF48C8"/>
    <w:rsid w:val="00CF5562"/>
    <w:rsid w:val="00D000FC"/>
    <w:rsid w:val="00D0270B"/>
    <w:rsid w:val="00D02D19"/>
    <w:rsid w:val="00D03358"/>
    <w:rsid w:val="00D06BD0"/>
    <w:rsid w:val="00D079E0"/>
    <w:rsid w:val="00D10815"/>
    <w:rsid w:val="00D115B6"/>
    <w:rsid w:val="00D12C4B"/>
    <w:rsid w:val="00D14B2C"/>
    <w:rsid w:val="00D17094"/>
    <w:rsid w:val="00D17410"/>
    <w:rsid w:val="00D23A79"/>
    <w:rsid w:val="00D24664"/>
    <w:rsid w:val="00D3083B"/>
    <w:rsid w:val="00D32698"/>
    <w:rsid w:val="00D334DB"/>
    <w:rsid w:val="00D36BA0"/>
    <w:rsid w:val="00D3728A"/>
    <w:rsid w:val="00D41A71"/>
    <w:rsid w:val="00D43359"/>
    <w:rsid w:val="00D50E47"/>
    <w:rsid w:val="00D52290"/>
    <w:rsid w:val="00D5279C"/>
    <w:rsid w:val="00D52A7F"/>
    <w:rsid w:val="00D53B3B"/>
    <w:rsid w:val="00D55F24"/>
    <w:rsid w:val="00D604A0"/>
    <w:rsid w:val="00D6128E"/>
    <w:rsid w:val="00D62010"/>
    <w:rsid w:val="00D63232"/>
    <w:rsid w:val="00D632EA"/>
    <w:rsid w:val="00D63E70"/>
    <w:rsid w:val="00D63F3B"/>
    <w:rsid w:val="00D645AB"/>
    <w:rsid w:val="00D6601E"/>
    <w:rsid w:val="00D7037F"/>
    <w:rsid w:val="00D74053"/>
    <w:rsid w:val="00D74C6B"/>
    <w:rsid w:val="00D7503B"/>
    <w:rsid w:val="00D77F02"/>
    <w:rsid w:val="00D818C4"/>
    <w:rsid w:val="00D824E3"/>
    <w:rsid w:val="00D87FDB"/>
    <w:rsid w:val="00D90384"/>
    <w:rsid w:val="00D935F8"/>
    <w:rsid w:val="00D93E86"/>
    <w:rsid w:val="00D9653D"/>
    <w:rsid w:val="00D96A6F"/>
    <w:rsid w:val="00D96C4C"/>
    <w:rsid w:val="00DA2B01"/>
    <w:rsid w:val="00DA587F"/>
    <w:rsid w:val="00DA5EF5"/>
    <w:rsid w:val="00DA71B3"/>
    <w:rsid w:val="00DA7E03"/>
    <w:rsid w:val="00DA7FA1"/>
    <w:rsid w:val="00DB1374"/>
    <w:rsid w:val="00DB50C3"/>
    <w:rsid w:val="00DB60C9"/>
    <w:rsid w:val="00DB75F3"/>
    <w:rsid w:val="00DC1D3F"/>
    <w:rsid w:val="00DC3231"/>
    <w:rsid w:val="00DC6CF2"/>
    <w:rsid w:val="00DD01D7"/>
    <w:rsid w:val="00DD090A"/>
    <w:rsid w:val="00DD1BFA"/>
    <w:rsid w:val="00DD2178"/>
    <w:rsid w:val="00DD3A84"/>
    <w:rsid w:val="00DD3E34"/>
    <w:rsid w:val="00DD4683"/>
    <w:rsid w:val="00DD6D8D"/>
    <w:rsid w:val="00DD6DAD"/>
    <w:rsid w:val="00DE1278"/>
    <w:rsid w:val="00DE226A"/>
    <w:rsid w:val="00DE48F3"/>
    <w:rsid w:val="00DE5806"/>
    <w:rsid w:val="00DF2A44"/>
    <w:rsid w:val="00DF2A66"/>
    <w:rsid w:val="00DF3AC1"/>
    <w:rsid w:val="00DF4B21"/>
    <w:rsid w:val="00DF6137"/>
    <w:rsid w:val="00E008E0"/>
    <w:rsid w:val="00E04702"/>
    <w:rsid w:val="00E048E0"/>
    <w:rsid w:val="00E1381B"/>
    <w:rsid w:val="00E15F0B"/>
    <w:rsid w:val="00E1617B"/>
    <w:rsid w:val="00E16A25"/>
    <w:rsid w:val="00E20AE0"/>
    <w:rsid w:val="00E22CA3"/>
    <w:rsid w:val="00E22FA2"/>
    <w:rsid w:val="00E232AA"/>
    <w:rsid w:val="00E30DAA"/>
    <w:rsid w:val="00E3104C"/>
    <w:rsid w:val="00E31453"/>
    <w:rsid w:val="00E32176"/>
    <w:rsid w:val="00E323C9"/>
    <w:rsid w:val="00E352AE"/>
    <w:rsid w:val="00E35CC8"/>
    <w:rsid w:val="00E36660"/>
    <w:rsid w:val="00E3754A"/>
    <w:rsid w:val="00E40227"/>
    <w:rsid w:val="00E425C7"/>
    <w:rsid w:val="00E425E3"/>
    <w:rsid w:val="00E42FF3"/>
    <w:rsid w:val="00E430C6"/>
    <w:rsid w:val="00E449C4"/>
    <w:rsid w:val="00E454AF"/>
    <w:rsid w:val="00E46CC0"/>
    <w:rsid w:val="00E502BF"/>
    <w:rsid w:val="00E54634"/>
    <w:rsid w:val="00E55222"/>
    <w:rsid w:val="00E557E6"/>
    <w:rsid w:val="00E632E2"/>
    <w:rsid w:val="00E634B2"/>
    <w:rsid w:val="00E64AEF"/>
    <w:rsid w:val="00E64B66"/>
    <w:rsid w:val="00E650CF"/>
    <w:rsid w:val="00E71013"/>
    <w:rsid w:val="00E73DFB"/>
    <w:rsid w:val="00E7423F"/>
    <w:rsid w:val="00E76FAB"/>
    <w:rsid w:val="00E774CA"/>
    <w:rsid w:val="00E8084E"/>
    <w:rsid w:val="00E8090C"/>
    <w:rsid w:val="00E810F2"/>
    <w:rsid w:val="00E814A9"/>
    <w:rsid w:val="00E81B70"/>
    <w:rsid w:val="00E82A35"/>
    <w:rsid w:val="00E82C57"/>
    <w:rsid w:val="00E83887"/>
    <w:rsid w:val="00E84434"/>
    <w:rsid w:val="00E850A2"/>
    <w:rsid w:val="00E8596C"/>
    <w:rsid w:val="00E859A1"/>
    <w:rsid w:val="00E87161"/>
    <w:rsid w:val="00E8799C"/>
    <w:rsid w:val="00E9042F"/>
    <w:rsid w:val="00E9176B"/>
    <w:rsid w:val="00E92BD9"/>
    <w:rsid w:val="00E93E01"/>
    <w:rsid w:val="00E9501B"/>
    <w:rsid w:val="00EA1882"/>
    <w:rsid w:val="00EA4E6D"/>
    <w:rsid w:val="00EA6397"/>
    <w:rsid w:val="00EA657F"/>
    <w:rsid w:val="00EA6C16"/>
    <w:rsid w:val="00EA7099"/>
    <w:rsid w:val="00EB1D40"/>
    <w:rsid w:val="00EB2773"/>
    <w:rsid w:val="00EB2E41"/>
    <w:rsid w:val="00EB4A91"/>
    <w:rsid w:val="00EB4CAC"/>
    <w:rsid w:val="00EB60B6"/>
    <w:rsid w:val="00EB7C61"/>
    <w:rsid w:val="00EC0E6D"/>
    <w:rsid w:val="00EC21D0"/>
    <w:rsid w:val="00EC347A"/>
    <w:rsid w:val="00EC3F25"/>
    <w:rsid w:val="00EC57E1"/>
    <w:rsid w:val="00EC6174"/>
    <w:rsid w:val="00EC63F0"/>
    <w:rsid w:val="00EC7BF9"/>
    <w:rsid w:val="00ED2575"/>
    <w:rsid w:val="00ED2B4A"/>
    <w:rsid w:val="00ED52F6"/>
    <w:rsid w:val="00ED728D"/>
    <w:rsid w:val="00ED74B6"/>
    <w:rsid w:val="00ED7655"/>
    <w:rsid w:val="00ED7668"/>
    <w:rsid w:val="00EE16B8"/>
    <w:rsid w:val="00EE4003"/>
    <w:rsid w:val="00EF0CEA"/>
    <w:rsid w:val="00EF10AA"/>
    <w:rsid w:val="00EF2989"/>
    <w:rsid w:val="00EF2C31"/>
    <w:rsid w:val="00EF64EC"/>
    <w:rsid w:val="00EF6AC1"/>
    <w:rsid w:val="00EF71B9"/>
    <w:rsid w:val="00F007F1"/>
    <w:rsid w:val="00F01D9A"/>
    <w:rsid w:val="00F02167"/>
    <w:rsid w:val="00F02B6D"/>
    <w:rsid w:val="00F03119"/>
    <w:rsid w:val="00F037A4"/>
    <w:rsid w:val="00F04125"/>
    <w:rsid w:val="00F06847"/>
    <w:rsid w:val="00F06A73"/>
    <w:rsid w:val="00F06C48"/>
    <w:rsid w:val="00F10939"/>
    <w:rsid w:val="00F109BF"/>
    <w:rsid w:val="00F10E37"/>
    <w:rsid w:val="00F12F12"/>
    <w:rsid w:val="00F14C3B"/>
    <w:rsid w:val="00F16D45"/>
    <w:rsid w:val="00F2455A"/>
    <w:rsid w:val="00F3086C"/>
    <w:rsid w:val="00F31D6F"/>
    <w:rsid w:val="00F321E4"/>
    <w:rsid w:val="00F32DEC"/>
    <w:rsid w:val="00F335A3"/>
    <w:rsid w:val="00F35D9B"/>
    <w:rsid w:val="00F36689"/>
    <w:rsid w:val="00F3770D"/>
    <w:rsid w:val="00F40136"/>
    <w:rsid w:val="00F40611"/>
    <w:rsid w:val="00F421EE"/>
    <w:rsid w:val="00F43485"/>
    <w:rsid w:val="00F444C1"/>
    <w:rsid w:val="00F4502B"/>
    <w:rsid w:val="00F45A05"/>
    <w:rsid w:val="00F51292"/>
    <w:rsid w:val="00F51A43"/>
    <w:rsid w:val="00F54D5C"/>
    <w:rsid w:val="00F573F0"/>
    <w:rsid w:val="00F60761"/>
    <w:rsid w:val="00F61265"/>
    <w:rsid w:val="00F64625"/>
    <w:rsid w:val="00F64E72"/>
    <w:rsid w:val="00F6529F"/>
    <w:rsid w:val="00F67DDB"/>
    <w:rsid w:val="00F75D56"/>
    <w:rsid w:val="00F76CFC"/>
    <w:rsid w:val="00F80054"/>
    <w:rsid w:val="00F809DB"/>
    <w:rsid w:val="00F81D0C"/>
    <w:rsid w:val="00F827C2"/>
    <w:rsid w:val="00F829F1"/>
    <w:rsid w:val="00F82A54"/>
    <w:rsid w:val="00F82F48"/>
    <w:rsid w:val="00F83D86"/>
    <w:rsid w:val="00F83D91"/>
    <w:rsid w:val="00F845A2"/>
    <w:rsid w:val="00F84702"/>
    <w:rsid w:val="00F85615"/>
    <w:rsid w:val="00F8562F"/>
    <w:rsid w:val="00F8588C"/>
    <w:rsid w:val="00F860F0"/>
    <w:rsid w:val="00F8723A"/>
    <w:rsid w:val="00F91F9A"/>
    <w:rsid w:val="00F92372"/>
    <w:rsid w:val="00F92D3C"/>
    <w:rsid w:val="00F93C5E"/>
    <w:rsid w:val="00FA1293"/>
    <w:rsid w:val="00FA199D"/>
    <w:rsid w:val="00FA3C0E"/>
    <w:rsid w:val="00FA561A"/>
    <w:rsid w:val="00FA5B8E"/>
    <w:rsid w:val="00FA6E0D"/>
    <w:rsid w:val="00FB10DC"/>
    <w:rsid w:val="00FB367C"/>
    <w:rsid w:val="00FB41D4"/>
    <w:rsid w:val="00FB4712"/>
    <w:rsid w:val="00FB4F78"/>
    <w:rsid w:val="00FB5911"/>
    <w:rsid w:val="00FC0189"/>
    <w:rsid w:val="00FC15CE"/>
    <w:rsid w:val="00FC305C"/>
    <w:rsid w:val="00FC6AAB"/>
    <w:rsid w:val="00FC788E"/>
    <w:rsid w:val="00FC7BD7"/>
    <w:rsid w:val="00FD1B22"/>
    <w:rsid w:val="00FD356D"/>
    <w:rsid w:val="00FD5E5F"/>
    <w:rsid w:val="00FE0A02"/>
    <w:rsid w:val="00FE0CC1"/>
    <w:rsid w:val="00FE115A"/>
    <w:rsid w:val="00FE1947"/>
    <w:rsid w:val="00FE389C"/>
    <w:rsid w:val="00FE3A90"/>
    <w:rsid w:val="00FE5A87"/>
    <w:rsid w:val="00FF00D1"/>
    <w:rsid w:val="00FF237D"/>
    <w:rsid w:val="00FF24E7"/>
    <w:rsid w:val="00FF32C1"/>
    <w:rsid w:val="00FF44D0"/>
    <w:rsid w:val="00FF6AC8"/>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63081"/>
  <w15:chartTrackingRefBased/>
  <w15:docId w15:val="{0CE28BBB-9503-5D45-860F-CCFC9B190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B11"/>
    <w:pPr>
      <w:spacing w:line="360" w:lineRule="auto"/>
      <w:jc w:val="both"/>
    </w:pPr>
    <w:rPr>
      <w:rFonts w:ascii="Aptos" w:eastAsiaTheme="minorEastAsia" w:hAnsi="Aptos"/>
      <w:sz w:val="22"/>
      <w:szCs w:val="22"/>
      <w:lang w:eastAsia="zh-CN"/>
    </w:rPr>
  </w:style>
  <w:style w:type="paragraph" w:styleId="Heading1">
    <w:name w:val="heading 1"/>
    <w:basedOn w:val="Normal"/>
    <w:next w:val="Normal"/>
    <w:link w:val="Heading1Char"/>
    <w:uiPriority w:val="1"/>
    <w:qFormat/>
    <w:rsid w:val="00720E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0E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0E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20E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E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E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E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E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E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20E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0E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0E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20E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E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E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E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E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E5F"/>
    <w:rPr>
      <w:rFonts w:eastAsiaTheme="majorEastAsia" w:cstheme="majorBidi"/>
      <w:color w:val="272727" w:themeColor="text1" w:themeTint="D8"/>
    </w:rPr>
  </w:style>
  <w:style w:type="paragraph" w:styleId="Title">
    <w:name w:val="Title"/>
    <w:basedOn w:val="Normal"/>
    <w:next w:val="Normal"/>
    <w:link w:val="TitleChar"/>
    <w:uiPriority w:val="10"/>
    <w:qFormat/>
    <w:rsid w:val="00720E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0E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E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E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E5F"/>
    <w:pPr>
      <w:spacing w:before="160"/>
      <w:jc w:val="center"/>
    </w:pPr>
    <w:rPr>
      <w:i/>
      <w:iCs/>
      <w:color w:val="404040" w:themeColor="text1" w:themeTint="BF"/>
    </w:rPr>
  </w:style>
  <w:style w:type="character" w:customStyle="1" w:styleId="QuoteChar">
    <w:name w:val="Quote Char"/>
    <w:basedOn w:val="DefaultParagraphFont"/>
    <w:link w:val="Quote"/>
    <w:uiPriority w:val="29"/>
    <w:rsid w:val="00720E5F"/>
    <w:rPr>
      <w:i/>
      <w:iCs/>
      <w:color w:val="404040" w:themeColor="text1" w:themeTint="BF"/>
    </w:rPr>
  </w:style>
  <w:style w:type="paragraph" w:styleId="ListParagraph">
    <w:name w:val="List Paragraph"/>
    <w:basedOn w:val="Normal"/>
    <w:uiPriority w:val="34"/>
    <w:qFormat/>
    <w:rsid w:val="00720E5F"/>
    <w:pPr>
      <w:ind w:left="720"/>
      <w:contextualSpacing/>
    </w:pPr>
  </w:style>
  <w:style w:type="character" w:styleId="IntenseEmphasis">
    <w:name w:val="Intense Emphasis"/>
    <w:basedOn w:val="DefaultParagraphFont"/>
    <w:uiPriority w:val="21"/>
    <w:qFormat/>
    <w:rsid w:val="00720E5F"/>
    <w:rPr>
      <w:i/>
      <w:iCs/>
      <w:color w:val="0F4761" w:themeColor="accent1" w:themeShade="BF"/>
    </w:rPr>
  </w:style>
  <w:style w:type="paragraph" w:styleId="IntenseQuote">
    <w:name w:val="Intense Quote"/>
    <w:basedOn w:val="Normal"/>
    <w:next w:val="Normal"/>
    <w:link w:val="IntenseQuoteChar"/>
    <w:uiPriority w:val="30"/>
    <w:qFormat/>
    <w:rsid w:val="00720E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E5F"/>
    <w:rPr>
      <w:i/>
      <w:iCs/>
      <w:color w:val="0F4761" w:themeColor="accent1" w:themeShade="BF"/>
    </w:rPr>
  </w:style>
  <w:style w:type="character" w:styleId="IntenseReference">
    <w:name w:val="Intense Reference"/>
    <w:basedOn w:val="DefaultParagraphFont"/>
    <w:uiPriority w:val="32"/>
    <w:qFormat/>
    <w:rsid w:val="00720E5F"/>
    <w:rPr>
      <w:b/>
      <w:bCs/>
      <w:smallCaps/>
      <w:color w:val="0F4761" w:themeColor="accent1" w:themeShade="BF"/>
      <w:spacing w:val="5"/>
    </w:rPr>
  </w:style>
  <w:style w:type="paragraph" w:styleId="BodyText">
    <w:name w:val="Body Text"/>
    <w:basedOn w:val="Normal"/>
    <w:link w:val="BodyTextChar"/>
    <w:uiPriority w:val="1"/>
    <w:unhideWhenUsed/>
    <w:qFormat/>
    <w:rsid w:val="00052B11"/>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52B11"/>
    <w:rPr>
      <w:rFonts w:ascii="Arial" w:eastAsia="Calibri Light" w:hAnsi="Arial" w:cs="Calibri Light"/>
      <w:kern w:val="0"/>
      <w:sz w:val="22"/>
      <w:szCs w:val="22"/>
      <w:lang w:eastAsia="en-GB" w:bidi="en-GB"/>
      <w14:ligatures w14:val="none"/>
    </w:rPr>
  </w:style>
  <w:style w:type="paragraph" w:customStyle="1" w:styleId="paragraph">
    <w:name w:val="paragraph"/>
    <w:basedOn w:val="Normal"/>
    <w:rsid w:val="00052B11"/>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052B11"/>
  </w:style>
  <w:style w:type="character" w:customStyle="1" w:styleId="eop">
    <w:name w:val="eop"/>
    <w:basedOn w:val="DefaultParagraphFont"/>
    <w:rsid w:val="00052B11"/>
  </w:style>
  <w:style w:type="paragraph" w:customStyle="1" w:styleId="p1">
    <w:name w:val="p1"/>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s1">
    <w:name w:val="s1"/>
    <w:basedOn w:val="DefaultParagraphFont"/>
    <w:rsid w:val="0020624B"/>
  </w:style>
  <w:style w:type="paragraph" w:customStyle="1" w:styleId="p2">
    <w:name w:val="p2"/>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p3">
    <w:name w:val="p3"/>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customStyle="1" w:styleId="p4">
    <w:name w:val="p4"/>
    <w:basedOn w:val="Normal"/>
    <w:rsid w:val="0020624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2360A9"/>
  </w:style>
  <w:style w:type="character" w:styleId="Hyperlink">
    <w:name w:val="Hyperlink"/>
    <w:basedOn w:val="DefaultParagraphFont"/>
    <w:uiPriority w:val="99"/>
    <w:unhideWhenUsed/>
    <w:rsid w:val="003D2151"/>
    <w:rPr>
      <w:color w:val="467886" w:themeColor="hyperlink"/>
      <w:u w:val="single"/>
    </w:rPr>
  </w:style>
  <w:style w:type="character" w:styleId="UnresolvedMention">
    <w:name w:val="Unresolved Mention"/>
    <w:basedOn w:val="DefaultParagraphFont"/>
    <w:uiPriority w:val="99"/>
    <w:semiHidden/>
    <w:unhideWhenUsed/>
    <w:rsid w:val="003D2151"/>
    <w:rPr>
      <w:color w:val="605E5C"/>
      <w:shd w:val="clear" w:color="auto" w:fill="E1DFDD"/>
    </w:rPr>
  </w:style>
  <w:style w:type="character" w:styleId="FollowedHyperlink">
    <w:name w:val="FollowedHyperlink"/>
    <w:basedOn w:val="DefaultParagraphFont"/>
    <w:uiPriority w:val="99"/>
    <w:semiHidden/>
    <w:unhideWhenUsed/>
    <w:rsid w:val="00DC3231"/>
    <w:rPr>
      <w:color w:val="96607D" w:themeColor="followedHyperlink"/>
      <w:u w:val="single"/>
    </w:rPr>
  </w:style>
  <w:style w:type="paragraph" w:styleId="Footer">
    <w:name w:val="footer"/>
    <w:basedOn w:val="Normal"/>
    <w:link w:val="FooterChar"/>
    <w:uiPriority w:val="99"/>
    <w:unhideWhenUsed/>
    <w:rsid w:val="000C3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45D"/>
    <w:rPr>
      <w:rFonts w:ascii="Aptos" w:eastAsiaTheme="minorEastAsia" w:hAnsi="Aptos"/>
      <w:sz w:val="22"/>
      <w:szCs w:val="22"/>
      <w:lang w:eastAsia="zh-CN"/>
    </w:rPr>
  </w:style>
  <w:style w:type="character" w:styleId="PageNumber">
    <w:name w:val="page number"/>
    <w:basedOn w:val="DefaultParagraphFont"/>
    <w:uiPriority w:val="99"/>
    <w:semiHidden/>
    <w:unhideWhenUsed/>
    <w:rsid w:val="000C345D"/>
  </w:style>
  <w:style w:type="paragraph" w:styleId="NormalWeb">
    <w:name w:val="Normal (Web)"/>
    <w:basedOn w:val="Normal"/>
    <w:uiPriority w:val="99"/>
    <w:unhideWhenUsed/>
    <w:rsid w:val="006B5511"/>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B5511"/>
    <w:rPr>
      <w:b/>
      <w:bCs/>
    </w:rPr>
  </w:style>
  <w:style w:type="paragraph" w:styleId="Header">
    <w:name w:val="header"/>
    <w:basedOn w:val="Normal"/>
    <w:link w:val="HeaderChar"/>
    <w:uiPriority w:val="99"/>
    <w:unhideWhenUsed/>
    <w:rsid w:val="00905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98B"/>
    <w:rPr>
      <w:rFonts w:ascii="Aptos" w:eastAsiaTheme="minorEastAsia" w:hAnsi="Aptos"/>
      <w:sz w:val="22"/>
      <w:szCs w:val="22"/>
      <w:lang w:eastAsia="zh-CN"/>
    </w:rPr>
  </w:style>
  <w:style w:type="table" w:styleId="TableGrid">
    <w:name w:val="Table Grid"/>
    <w:basedOn w:val="TableNormal"/>
    <w:uiPriority w:val="39"/>
    <w:rsid w:val="0017766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7C10DA"/>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0B0665"/>
    <w:rPr>
      <w:i/>
      <w:iCs/>
    </w:rPr>
  </w:style>
  <w:style w:type="paragraph" w:customStyle="1" w:styleId="pdq2pgselectionanchorcontainer">
    <w:name w:val="pdq2pg_selectionanchorcontainer"/>
    <w:basedOn w:val="Normal"/>
    <w:rsid w:val="00853963"/>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ommonslibrary.parliament.uk/research-briefings/cbp-9615/" TargetMode="External"/><Relationship Id="rId21" Type="http://schemas.openxmlformats.org/officeDocument/2006/relationships/hyperlink" Target="https://books.core-econ.org/the-economy/macroeconomics/02-unemployment-wages-inequality-06-segmented-labour-markets.html" TargetMode="External"/><Relationship Id="rId42" Type="http://schemas.openxmlformats.org/officeDocument/2006/relationships/hyperlink" Target="https://doi.org/10.1177/09596801221127810" TargetMode="External"/><Relationship Id="rId47" Type="http://schemas.openxmlformats.org/officeDocument/2006/relationships/hyperlink" Target="https://www.england.nhs.uk/publication/nhs-long-term-workforce-plan/" TargetMode="External"/><Relationship Id="rId63" Type="http://schemas.openxmlformats.org/officeDocument/2006/relationships/hyperlink" Target="https://doi.org/10.1371/journal.pone.0325446" TargetMode="External"/><Relationship Id="rId68"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ibguides.bcu.ac.uk/critical-evaluation/checklist-approach" TargetMode="External"/><Relationship Id="rId29" Type="http://schemas.openxmlformats.org/officeDocument/2006/relationships/hyperlink" Target="https://pmc.ncbi.nlm.nih.gov/articles/PMC5037944/" TargetMode="External"/><Relationship Id="rId11" Type="http://schemas.openxmlformats.org/officeDocument/2006/relationships/hyperlink" Target="https://doi.org/10.1080/20008066.2024.2415747" TargetMode="External"/><Relationship Id="rId24" Type="http://schemas.openxmlformats.org/officeDocument/2006/relationships/hyperlink" Target="https://www.gov.uk/government/publications/international-recruitment-toolkit-for-adult-social-care-providers" TargetMode="External"/><Relationship Id="rId32" Type="http://schemas.openxmlformats.org/officeDocument/2006/relationships/hyperlink" Target="https://onlinelibrary.wiley.com/doi/10.1111/hsc.12455" TargetMode="External"/><Relationship Id="rId37" Type="http://schemas.openxmlformats.org/officeDocument/2006/relationships/hyperlink" Target="https://www.ilo.org/topics/employment-security/labour-market-segmentation" TargetMode="External"/><Relationship Id="rId40" Type="http://schemas.openxmlformats.org/officeDocument/2006/relationships/hyperlink" Target="https://www.local.gov.uk/publications/international-recruitment-adult-social-care-guide-councils" TargetMode="External"/><Relationship Id="rId45" Type="http://schemas.openxmlformats.org/officeDocument/2006/relationships/hyperlink" Target="https://migrationobservatory.ox.ac.uk/resources/briefings/migration-and-the-health-and-care-workforce" TargetMode="External"/><Relationship Id="rId53" Type="http://schemas.openxmlformats.org/officeDocument/2006/relationships/hyperlink" Target="https://doi.org/10.1016/j.worlddev.2023.106185" TargetMode="External"/><Relationship Id="rId58" Type="http://schemas.openxmlformats.org/officeDocument/2006/relationships/hyperlink" Target="https://www.kingsfund.org.uk/insight-and-analysis/data-and-charts/social-care-workforce-nutshell" TargetMode="External"/><Relationship Id="rId66" Type="http://schemas.openxmlformats.org/officeDocument/2006/relationships/hyperlink" Target="https://pmc.ncbi.nlm.nih.gov/articles/PMC12555078/" TargetMode="External"/><Relationship Id="rId5" Type="http://schemas.openxmlformats.org/officeDocument/2006/relationships/footnotes" Target="footnotes.xml"/><Relationship Id="rId61" Type="http://schemas.openxmlformats.org/officeDocument/2006/relationships/hyperlink" Target="https://kar.kent.ac.uk/114925/1/Topic%203_%20International%20migration%20of%20the%20health%20and%20social%20care%20workforce.pdf" TargetMode="External"/><Relationship Id="rId19" Type="http://schemas.openxmlformats.org/officeDocument/2006/relationships/hyperlink" Target="https://www.cqc.org.uk/publications/major-report/state-care/2024-2025/access/asc" TargetMode="External"/><Relationship Id="rId14" Type="http://schemas.openxmlformats.org/officeDocument/2006/relationships/hyperlink" Target="https://commonslibrary.parliament.uk/the-uks-changing-population/" TargetMode="External"/><Relationship Id="rId22" Type="http://schemas.openxmlformats.org/officeDocument/2006/relationships/hyperlink" Target="https://www.nuffieldtrust.org.uk/research/the-future-for-health-after-brexit" TargetMode="External"/><Relationship Id="rId27" Type="http://schemas.openxmlformats.org/officeDocument/2006/relationships/hyperlink" Target="https://doi.org/10.3389/fsoc.2025.1548473" TargetMode="External"/><Relationship Id="rId30" Type="http://schemas.openxmlformats.org/officeDocument/2006/relationships/hyperlink" Target="https://www.gov.uk/health-care-worker-visa" TargetMode="External"/><Relationship Id="rId35" Type="http://schemas.openxmlformats.org/officeDocument/2006/relationships/hyperlink" Target="https://committees.parliament.uk/publications/23246/documents/171671/default/" TargetMode="External"/><Relationship Id="rId43" Type="http://schemas.openxmlformats.org/officeDocument/2006/relationships/hyperlink" Target="https://assets.publishing.service.gov.uk/media/651557b86dfda600148e37ba/Review_of_the_Shortage_Occupation_List_2023.pdf" TargetMode="External"/><Relationship Id="rId48" Type="http://schemas.openxmlformats.org/officeDocument/2006/relationships/hyperlink" Target="https://www.ons.gov.uk" TargetMode="External"/><Relationship Id="rId56" Type="http://schemas.openxmlformats.org/officeDocument/2006/relationships/hyperlink" Target="https://doi.org/10.1007/s12134-021-00807-3%20%20" TargetMode="External"/><Relationship Id="rId64" Type="http://schemas.openxmlformats.org/officeDocument/2006/relationships/hyperlink" Target="https://www.workrightscentre.org/media/rr1hklek/the-forgotten-third-migrant-care-workers-views-on-the-care-sector.pdf"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post.parliament.uk/sustaining-the-health-and-adult-social-care-workforce/" TargetMode="External"/><Relationship Id="rId3" Type="http://schemas.openxmlformats.org/officeDocument/2006/relationships/settings" Target="settings.xml"/><Relationship Id="rId12" Type="http://schemas.openxmlformats.org/officeDocument/2006/relationships/hyperlink" Target="https://doi.org/10.1080/16549716.2025.2479910" TargetMode="External"/><Relationship Id="rId17" Type="http://schemas.openxmlformats.org/officeDocument/2006/relationships/hyperlink" Target="https://doi.org/10.1191/1478088706qp063oa" TargetMode="External"/><Relationship Id="rId25" Type="http://schemas.openxmlformats.org/officeDocument/2006/relationships/hyperlink" Target="https://journal.ilpnetwork.org/articles/10.31389/jltc.130" TargetMode="External"/><Relationship Id="rId33" Type="http://schemas.openxmlformats.org/officeDocument/2006/relationships/hyperlink" Target="https://doi.org/10.3390/su141710612%20Paper%204" TargetMode="External"/><Relationship Id="rId38" Type="http://schemas.openxmlformats.org/officeDocument/2006/relationships/hyperlink" Target="https://www.ilo.org/sites/default/files/2024-10/Migrant%20Workers%20in%20the%20Care%20Economy_Note_2024_Final.pdf" TargetMode="External"/><Relationship Id="rId46" Type="http://schemas.openxmlformats.org/officeDocument/2006/relationships/hyperlink" Target="https://www.simplypsychology.org/maslow.html" TargetMode="External"/><Relationship Id="rId59" Type="http://schemas.openxmlformats.org/officeDocument/2006/relationships/hyperlink" Target="https://ukdataservice.ac.uk/learning-hub/research-data-management/ethical-issues/ethical-obligations/" TargetMode="External"/><Relationship Id="rId67" Type="http://schemas.openxmlformats.org/officeDocument/2006/relationships/footer" Target="footer1.xml"/><Relationship Id="rId20" Type="http://schemas.openxmlformats.org/officeDocument/2006/relationships/hyperlink" Target="https://www.cqc.org.uk/publications/major-report/state-care/2023-2024/access/asc" TargetMode="External"/><Relationship Id="rId41" Type="http://schemas.openxmlformats.org/officeDocument/2006/relationships/hyperlink" Target="https://www.legislation.gov.uk/ukpga/2014/23/contents/enacted" TargetMode="External"/><Relationship Id="rId54" Type="http://schemas.openxmlformats.org/officeDocument/2006/relationships/hyperlink" Target="https://www.skillsforcare.org.uk/Adult-Social-Care-Workforce-Data/workforceintelligence/resources/Reports/National/The-state-of-the-adult-social-care-sector-and-workforce-in-England-2025.pdf" TargetMode="External"/><Relationship Id="rId62" Type="http://schemas.openxmlformats.org/officeDocument/2006/relationships/hyperlink" Target="https://www.who.int/publications/i/item/9789240069787" TargetMode="External"/><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libguides.bcu.ac.uk/searching/boolean-operators" TargetMode="External"/><Relationship Id="rId23" Type="http://schemas.openxmlformats.org/officeDocument/2006/relationships/hyperlink" Target="https://www.gov.uk/government/publications/people-at-the-heart-of-care-adult-social-care-reform-white-paper/people-at-the-heart-of-care-adult-social-care-reform" TargetMode="External"/><Relationship Id="rId28" Type="http://schemas.openxmlformats.org/officeDocument/2006/relationships/hyperlink" Target="https://www.health.org.uk/reports-and-analysis/briefings/health-and-social-care-workforce" TargetMode="External"/><Relationship Id="rId36" Type="http://schemas.openxmlformats.org/officeDocument/2006/relationships/hyperlink" Target="https://www.instituteforgovernment.org.uk/publication/performance-tracker-2025/local-services/adult-social-care" TargetMode="External"/><Relationship Id="rId49" Type="http://schemas.openxmlformats.org/officeDocument/2006/relationships/hyperlink" Target="https://doi.org/10.1177/15271544241289605" TargetMode="External"/><Relationship Id="rId57" Type="http://schemas.openxmlformats.org/officeDocument/2006/relationships/hyperlink" Target="https://doi.org/10.1080/13229400.2024.2318335" TargetMode="External"/><Relationship Id="rId10" Type="http://schemas.openxmlformats.org/officeDocument/2006/relationships/hyperlink" Target="https://doi.org/10.1371/journal.pgph.0005141" TargetMode="External"/><Relationship Id="rId31" Type="http://schemas.openxmlformats.org/officeDocument/2006/relationships/hyperlink" Target="https://researchbriefings.files.parliament.uk/documents/CBP-10017/CBP-10017.pdf" TargetMode="External"/><Relationship Id="rId44" Type="http://schemas.openxmlformats.org/officeDocument/2006/relationships/hyperlink" Target="https://www.gov.uk/government/publications/recruitment-and-retention-in-adult-social-care-a-qualitative-study" TargetMode="External"/><Relationship Id="rId52" Type="http://schemas.openxmlformats.org/officeDocument/2006/relationships/hyperlink" Target="https://library.leeds.ac.uk/info/1404/literature_searching/14/literature_searching_explained/4" TargetMode="External"/><Relationship Id="rId60" Type="http://schemas.openxmlformats.org/officeDocument/2006/relationships/hyperlink" Target="https://doi.org/10.1111/inr.12861" TargetMode="External"/><Relationship Id="rId65" Type="http://schemas.openxmlformats.org/officeDocument/2006/relationships/hyperlink" Target="https://link.springer.com/content/pdf/10.1186/s13584-018-0224-1"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libguides.bcu.ac.uk/critical-evaluation/checklist-approach" TargetMode="External"/><Relationship Id="rId18" Type="http://schemas.openxmlformats.org/officeDocument/2006/relationships/hyperlink" Target="https://www.cqc.org.uk/guidance-regulation/providers/adult-social-care" TargetMode="External"/><Relationship Id="rId39" Type="http://schemas.openxmlformats.org/officeDocument/2006/relationships/hyperlink" Target="https://www.instituteforgovernment.org.uk/publication/performance-tracker-2025/local-services/adult-social-care" TargetMode="External"/><Relationship Id="rId34" Type="http://schemas.openxmlformats.org/officeDocument/2006/relationships/hyperlink" Target="https://doi.org/10.1080/09692290.2025.2450399" TargetMode="External"/><Relationship Id="rId50" Type="http://schemas.openxmlformats.org/officeDocument/2006/relationships/hyperlink" Target="https://doi.org/10.1787/92c0ef68-en" TargetMode="External"/><Relationship Id="rId55" Type="http://schemas.openxmlformats.org/officeDocument/2006/relationships/hyperlink" Target="https://www.skillsforcare.org.uk/Workforce-Strategy/resources/Supporting-resources/A-Workforce-Strategy-for-Adult-Social-Care-in-Engla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1478</TotalTime>
  <Pages>53</Pages>
  <Words>16016</Words>
  <Characters>91297</Characters>
  <Application>Microsoft Office Word</Application>
  <DocSecurity>0</DocSecurity>
  <Lines>760</Lines>
  <Paragraphs>214</Paragraphs>
  <ScaleCrop>false</ScaleCrop>
  <Company/>
  <LinksUpToDate>false</LinksUpToDate>
  <CharactersWithSpaces>107099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Safina Bibi (2243482)</dc:creator>
  <cp:keywords/>
  <dc:description/>
  <cp:lastModifiedBy>Safina Bibi (2243482)</cp:lastModifiedBy>
  <cp:revision>1598</cp:revision>
  <dcterms:created xsi:type="dcterms:W3CDTF">2026-02-25T22:49:00Z</dcterms:created>
  <dcterms:modified xsi:type="dcterms:W3CDTF">2026-07-08T21:33:00Z</dcterms:modified>
</cp:coreProperties>
</file>