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875A1" w14:textId="77777777" w:rsidR="00C43955" w:rsidRDefault="00C43955" w:rsidP="00C43955">
      <w:pPr>
        <w:jc w:val="center"/>
        <w:rPr>
          <w:rFonts w:cs="Arial"/>
          <w:b/>
        </w:rPr>
      </w:pPr>
      <w:r w:rsidRPr="00C43955">
        <w:rPr>
          <w:rFonts w:cs="Arial"/>
          <w:b/>
          <w:noProof/>
          <w:lang w:val="en-US"/>
        </w:rPr>
        <w:drawing>
          <wp:inline distT="0" distB="0" distL="0" distR="0" wp14:anchorId="524C45DC" wp14:editId="7DB07D78">
            <wp:extent cx="4236720" cy="180875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49103" cy="1814041"/>
                    </a:xfrm>
                    <a:prstGeom prst="rect">
                      <a:avLst/>
                    </a:prstGeom>
                  </pic:spPr>
                </pic:pic>
              </a:graphicData>
            </a:graphic>
          </wp:inline>
        </w:drawing>
      </w:r>
    </w:p>
    <w:p w14:paraId="3B056E37" w14:textId="77777777" w:rsidR="0043059F" w:rsidRPr="00A6321A" w:rsidRDefault="0043059F" w:rsidP="0043059F">
      <w:pPr>
        <w:jc w:val="center"/>
        <w:rPr>
          <w:rFonts w:cs="Arial"/>
          <w:b/>
        </w:rPr>
      </w:pPr>
      <w:r w:rsidRPr="00A6321A">
        <w:rPr>
          <w:rFonts w:cs="Arial"/>
          <w:b/>
        </w:rPr>
        <w:t>Faculty of Business and Management</w:t>
      </w:r>
    </w:p>
    <w:p w14:paraId="5A620DD1" w14:textId="77777777" w:rsidR="0043059F" w:rsidRPr="00A6321A" w:rsidRDefault="0043059F" w:rsidP="0043059F">
      <w:pPr>
        <w:jc w:val="center"/>
        <w:rPr>
          <w:rFonts w:cs="Arial"/>
        </w:rPr>
      </w:pPr>
    </w:p>
    <w:p w14:paraId="7EB902F5" w14:textId="77777777" w:rsidR="0043059F" w:rsidRPr="00A6321A" w:rsidRDefault="0043059F" w:rsidP="0043059F">
      <w:pPr>
        <w:jc w:val="center"/>
        <w:rPr>
          <w:rFonts w:cs="Arial"/>
        </w:rPr>
      </w:pPr>
      <w:r w:rsidRPr="00A6321A">
        <w:rPr>
          <w:rFonts w:cs="Arial"/>
        </w:rPr>
        <w:t>Module Title</w:t>
      </w:r>
    </w:p>
    <w:p w14:paraId="1AB370C2" w14:textId="2C5E0416" w:rsidR="0043059F" w:rsidRPr="00A6321A" w:rsidRDefault="0043059F" w:rsidP="0043059F">
      <w:pPr>
        <w:jc w:val="center"/>
        <w:rPr>
          <w:rFonts w:cs="Arial"/>
        </w:rPr>
      </w:pPr>
      <w:r w:rsidRPr="00A6321A">
        <w:rPr>
          <w:rStyle w:val="Strong"/>
          <w:rFonts w:cs="Arial"/>
        </w:rPr>
        <w:t xml:space="preserve">Financial Management </w:t>
      </w:r>
    </w:p>
    <w:p w14:paraId="70F990C6" w14:textId="77777777" w:rsidR="006D2A9A" w:rsidRPr="00A6321A" w:rsidRDefault="006D2A9A" w:rsidP="006D2A9A">
      <w:pPr>
        <w:rPr>
          <w:rFonts w:cs="Arial"/>
        </w:rPr>
      </w:pPr>
    </w:p>
    <w:p w14:paraId="3133F504" w14:textId="77777777" w:rsidR="0043059F" w:rsidRPr="00A6321A" w:rsidRDefault="0043059F" w:rsidP="0043059F">
      <w:pPr>
        <w:jc w:val="center"/>
        <w:rPr>
          <w:rFonts w:cs="Arial"/>
        </w:rPr>
      </w:pPr>
      <w:r w:rsidRPr="00A6321A">
        <w:rPr>
          <w:rFonts w:cs="Arial"/>
        </w:rPr>
        <w:t>Strategic Financial Evaluation, Restructuring</w:t>
      </w:r>
    </w:p>
    <w:p w14:paraId="314B6250" w14:textId="77777777" w:rsidR="0043059F" w:rsidRPr="00A6321A" w:rsidRDefault="0043059F" w:rsidP="0043059F">
      <w:pPr>
        <w:jc w:val="center"/>
        <w:rPr>
          <w:rFonts w:cs="Arial"/>
        </w:rPr>
      </w:pPr>
      <w:r w:rsidRPr="00A6321A">
        <w:rPr>
          <w:rFonts w:cs="Arial"/>
        </w:rPr>
        <w:t>and Investment Appraisal Report</w:t>
      </w:r>
    </w:p>
    <w:p w14:paraId="17DFF501" w14:textId="77777777" w:rsidR="0043059F" w:rsidRPr="00A6321A" w:rsidRDefault="0043059F" w:rsidP="0043059F">
      <w:pPr>
        <w:jc w:val="center"/>
        <w:rPr>
          <w:rFonts w:cs="Arial"/>
        </w:rPr>
      </w:pPr>
      <w:r w:rsidRPr="00A6321A">
        <w:rPr>
          <w:rStyle w:val="Strong"/>
          <w:rFonts w:cs="Arial"/>
        </w:rPr>
        <w:t>Toyota Motor Corporation</w:t>
      </w:r>
    </w:p>
    <w:p w14:paraId="05C6E868" w14:textId="77777777" w:rsidR="0043059F" w:rsidRPr="00A6321A" w:rsidRDefault="0043059F" w:rsidP="0043059F">
      <w:pPr>
        <w:jc w:val="center"/>
        <w:rPr>
          <w:rFonts w:cs="Arial"/>
        </w:rPr>
      </w:pPr>
    </w:p>
    <w:p w14:paraId="3ACE845F" w14:textId="055547F4" w:rsidR="0043059F" w:rsidRPr="00A6321A" w:rsidRDefault="0043059F" w:rsidP="0043059F">
      <w:pPr>
        <w:jc w:val="center"/>
        <w:rPr>
          <w:rFonts w:cs="Arial"/>
        </w:rPr>
      </w:pPr>
      <w:r w:rsidRPr="00A6321A">
        <w:rPr>
          <w:rFonts w:cs="Arial"/>
        </w:rPr>
        <w:t xml:space="preserve">Submitted By – </w:t>
      </w:r>
      <w:r w:rsidR="002E0CF8" w:rsidRPr="002E0CF8">
        <w:rPr>
          <w:rFonts w:cs="Arial"/>
        </w:rPr>
        <w:t>Kevin Dilippuri Gosai</w:t>
      </w:r>
    </w:p>
    <w:p w14:paraId="06171B85" w14:textId="77777777" w:rsidR="00473B85" w:rsidRDefault="00473B85" w:rsidP="008817D9">
      <w:pPr>
        <w:jc w:val="center"/>
        <w:rPr>
          <w:rFonts w:cs="Arial"/>
        </w:rPr>
      </w:pPr>
    </w:p>
    <w:p w14:paraId="4499C01D" w14:textId="07F2BBB1" w:rsidR="008817D9" w:rsidRPr="00A6321A" w:rsidRDefault="0043059F" w:rsidP="008817D9">
      <w:pPr>
        <w:jc w:val="center"/>
        <w:rPr>
          <w:rFonts w:cs="Arial"/>
        </w:rPr>
      </w:pPr>
      <w:r w:rsidRPr="00A6321A">
        <w:rPr>
          <w:rFonts w:cs="Arial"/>
        </w:rPr>
        <w:t>Academic Year</w:t>
      </w:r>
      <w:r w:rsidR="008817D9" w:rsidRPr="00A6321A">
        <w:rPr>
          <w:rFonts w:cs="Arial"/>
        </w:rPr>
        <w:t xml:space="preserve"> – 2025/26</w:t>
      </w:r>
    </w:p>
    <w:p w14:paraId="596BF346" w14:textId="6809D358" w:rsidR="00334BB7" w:rsidRPr="0043059F" w:rsidRDefault="0043059F" w:rsidP="0043059F">
      <w:pPr>
        <w:jc w:val="center"/>
      </w:pPr>
      <w:r w:rsidRPr="00A6321A">
        <w:rPr>
          <w:rFonts w:cs="Arial"/>
        </w:rPr>
        <w:t>Submission Date –</w:t>
      </w:r>
      <w:r w:rsidR="00473B85">
        <w:rPr>
          <w:rFonts w:cs="Arial"/>
        </w:rPr>
        <w:t xml:space="preserve"> 24 April 2026</w:t>
      </w:r>
      <w:r w:rsidR="00334BB7" w:rsidRPr="00A6321A">
        <w:rPr>
          <w:rFonts w:cs="Arial"/>
        </w:rPr>
        <w:br/>
      </w:r>
      <w:r w:rsidR="00334BB7" w:rsidRPr="0010446F">
        <w:rPr>
          <w:rFonts w:cs="Arial"/>
        </w:rPr>
        <w:br/>
      </w:r>
    </w:p>
    <w:p w14:paraId="1D609CFF" w14:textId="77777777" w:rsidR="00334BB7" w:rsidRPr="0010446F" w:rsidRDefault="00334BB7" w:rsidP="00334BB7">
      <w:pPr>
        <w:rPr>
          <w:rFonts w:eastAsiaTheme="majorEastAsia" w:cs="Arial"/>
          <w:color w:val="000000" w:themeColor="text1"/>
          <w:kern w:val="0"/>
          <w:lang w:val="en-US"/>
          <w14:ligatures w14:val="none"/>
        </w:rPr>
      </w:pPr>
      <w:r w:rsidRPr="0010446F">
        <w:rPr>
          <w:rFonts w:cs="Arial"/>
        </w:rPr>
        <w:br w:type="page"/>
      </w:r>
    </w:p>
    <w:sdt>
      <w:sdtPr>
        <w:rPr>
          <w:rFonts w:ascii="Arial" w:eastAsiaTheme="minorHAnsi" w:hAnsi="Arial" w:cs="Arial"/>
          <w:b/>
          <w:color w:val="0D0D0D" w:themeColor="text1" w:themeTint="F2"/>
          <w:kern w:val="2"/>
          <w:sz w:val="24"/>
          <w:szCs w:val="24"/>
          <w:lang w:val="en-IN"/>
          <w14:ligatures w14:val="standardContextual"/>
        </w:rPr>
        <w:id w:val="26617042"/>
        <w:docPartObj>
          <w:docPartGallery w:val="Table of Contents"/>
          <w:docPartUnique/>
        </w:docPartObj>
      </w:sdtPr>
      <w:sdtEndPr>
        <w:rPr>
          <w:bCs/>
          <w:noProof/>
          <w:color w:val="auto"/>
        </w:rPr>
      </w:sdtEndPr>
      <w:sdtContent>
        <w:p w14:paraId="1E73B0F0" w14:textId="77777777" w:rsidR="00334BB7" w:rsidRPr="0010446F" w:rsidRDefault="00334BB7" w:rsidP="00334BB7">
          <w:pPr>
            <w:pStyle w:val="TOCHeading"/>
            <w:jc w:val="center"/>
            <w:rPr>
              <w:rFonts w:ascii="Arial" w:hAnsi="Arial" w:cs="Arial"/>
              <w:b/>
              <w:color w:val="0D0D0D" w:themeColor="text1" w:themeTint="F2"/>
              <w:sz w:val="24"/>
              <w:szCs w:val="24"/>
            </w:rPr>
          </w:pPr>
          <w:r w:rsidRPr="0010446F">
            <w:rPr>
              <w:rFonts w:ascii="Arial" w:hAnsi="Arial" w:cs="Arial"/>
              <w:b/>
              <w:color w:val="0D0D0D" w:themeColor="text1" w:themeTint="F2"/>
              <w:sz w:val="24"/>
              <w:szCs w:val="24"/>
            </w:rPr>
            <w:t>Table of Contents</w:t>
          </w:r>
        </w:p>
        <w:p w14:paraId="0007A77B" w14:textId="6A823F4C" w:rsidR="000A2B5F" w:rsidRDefault="00334BB7">
          <w:pPr>
            <w:pStyle w:val="TOC1"/>
            <w:tabs>
              <w:tab w:val="right" w:leader="dot" w:pos="9350"/>
            </w:tabs>
            <w:rPr>
              <w:rFonts w:asciiTheme="minorHAnsi" w:eastAsiaTheme="minorEastAsia" w:hAnsiTheme="minorHAnsi"/>
              <w:noProof/>
              <w:lang w:eastAsia="en-IN"/>
            </w:rPr>
          </w:pPr>
          <w:r w:rsidRPr="0010446F">
            <w:rPr>
              <w:rFonts w:cs="Arial"/>
            </w:rPr>
            <w:fldChar w:fldCharType="begin"/>
          </w:r>
          <w:r w:rsidRPr="0010446F">
            <w:rPr>
              <w:rFonts w:cs="Arial"/>
            </w:rPr>
            <w:instrText xml:space="preserve"> TOC \o "1-3" \h \z \u </w:instrText>
          </w:r>
          <w:r w:rsidRPr="0010446F">
            <w:rPr>
              <w:rFonts w:cs="Arial"/>
            </w:rPr>
            <w:fldChar w:fldCharType="separate"/>
          </w:r>
          <w:hyperlink w:anchor="_Toc227947225" w:history="1">
            <w:r w:rsidR="000A2B5F" w:rsidRPr="00FB1EBC">
              <w:rPr>
                <w:rStyle w:val="Hyperlink"/>
                <w:rFonts w:cs="Arial"/>
                <w:noProof/>
              </w:rPr>
              <w:t>1. Introduction</w:t>
            </w:r>
            <w:r w:rsidR="000A2B5F">
              <w:rPr>
                <w:noProof/>
                <w:webHidden/>
              </w:rPr>
              <w:tab/>
            </w:r>
            <w:r w:rsidR="000A2B5F">
              <w:rPr>
                <w:noProof/>
                <w:webHidden/>
              </w:rPr>
              <w:fldChar w:fldCharType="begin"/>
            </w:r>
            <w:r w:rsidR="000A2B5F">
              <w:rPr>
                <w:noProof/>
                <w:webHidden/>
              </w:rPr>
              <w:instrText xml:space="preserve"> PAGEREF _Toc227947225 \h </w:instrText>
            </w:r>
            <w:r w:rsidR="000A2B5F">
              <w:rPr>
                <w:noProof/>
                <w:webHidden/>
              </w:rPr>
            </w:r>
            <w:r w:rsidR="000A2B5F">
              <w:rPr>
                <w:noProof/>
                <w:webHidden/>
              </w:rPr>
              <w:fldChar w:fldCharType="separate"/>
            </w:r>
            <w:r w:rsidR="000A2B5F">
              <w:rPr>
                <w:noProof/>
                <w:webHidden/>
              </w:rPr>
              <w:t>3</w:t>
            </w:r>
            <w:r w:rsidR="000A2B5F">
              <w:rPr>
                <w:noProof/>
                <w:webHidden/>
              </w:rPr>
              <w:fldChar w:fldCharType="end"/>
            </w:r>
          </w:hyperlink>
        </w:p>
        <w:p w14:paraId="40B0C657" w14:textId="582D9183" w:rsidR="000A2B5F" w:rsidRDefault="000A2B5F">
          <w:pPr>
            <w:pStyle w:val="TOC1"/>
            <w:tabs>
              <w:tab w:val="right" w:leader="dot" w:pos="9350"/>
            </w:tabs>
            <w:rPr>
              <w:rFonts w:asciiTheme="minorHAnsi" w:eastAsiaTheme="minorEastAsia" w:hAnsiTheme="minorHAnsi"/>
              <w:noProof/>
              <w:lang w:eastAsia="en-IN"/>
            </w:rPr>
          </w:pPr>
          <w:hyperlink w:anchor="_Toc227947226" w:history="1">
            <w:r w:rsidRPr="00FB1EBC">
              <w:rPr>
                <w:rStyle w:val="Hyperlink"/>
                <w:rFonts w:cs="Arial"/>
                <w:noProof/>
              </w:rPr>
              <w:t>2. Financial Health Check</w:t>
            </w:r>
            <w:r>
              <w:rPr>
                <w:noProof/>
                <w:webHidden/>
              </w:rPr>
              <w:tab/>
            </w:r>
            <w:r>
              <w:rPr>
                <w:noProof/>
                <w:webHidden/>
              </w:rPr>
              <w:fldChar w:fldCharType="begin"/>
            </w:r>
            <w:r>
              <w:rPr>
                <w:noProof/>
                <w:webHidden/>
              </w:rPr>
              <w:instrText xml:space="preserve"> PAGEREF _Toc227947226 \h </w:instrText>
            </w:r>
            <w:r>
              <w:rPr>
                <w:noProof/>
                <w:webHidden/>
              </w:rPr>
            </w:r>
            <w:r>
              <w:rPr>
                <w:noProof/>
                <w:webHidden/>
              </w:rPr>
              <w:fldChar w:fldCharType="separate"/>
            </w:r>
            <w:r>
              <w:rPr>
                <w:noProof/>
                <w:webHidden/>
              </w:rPr>
              <w:t>3</w:t>
            </w:r>
            <w:r>
              <w:rPr>
                <w:noProof/>
                <w:webHidden/>
              </w:rPr>
              <w:fldChar w:fldCharType="end"/>
            </w:r>
          </w:hyperlink>
        </w:p>
        <w:p w14:paraId="58B5DB56" w14:textId="5B8361A4" w:rsidR="000A2B5F" w:rsidRDefault="000A2B5F">
          <w:pPr>
            <w:pStyle w:val="TOC1"/>
            <w:tabs>
              <w:tab w:val="right" w:leader="dot" w:pos="9350"/>
            </w:tabs>
            <w:rPr>
              <w:rFonts w:asciiTheme="minorHAnsi" w:eastAsiaTheme="minorEastAsia" w:hAnsiTheme="minorHAnsi"/>
              <w:noProof/>
              <w:lang w:eastAsia="en-IN"/>
            </w:rPr>
          </w:pPr>
          <w:hyperlink w:anchor="_Toc227947227" w:history="1">
            <w:r w:rsidRPr="00FB1EBC">
              <w:rPr>
                <w:rStyle w:val="Hyperlink"/>
                <w:rFonts w:cs="Arial"/>
                <w:noProof/>
              </w:rPr>
              <w:t>3. Working Capital Management Analysis</w:t>
            </w:r>
            <w:r>
              <w:rPr>
                <w:noProof/>
                <w:webHidden/>
              </w:rPr>
              <w:tab/>
            </w:r>
            <w:r>
              <w:rPr>
                <w:noProof/>
                <w:webHidden/>
              </w:rPr>
              <w:fldChar w:fldCharType="begin"/>
            </w:r>
            <w:r>
              <w:rPr>
                <w:noProof/>
                <w:webHidden/>
              </w:rPr>
              <w:instrText xml:space="preserve"> PAGEREF _Toc227947227 \h </w:instrText>
            </w:r>
            <w:r>
              <w:rPr>
                <w:noProof/>
                <w:webHidden/>
              </w:rPr>
            </w:r>
            <w:r>
              <w:rPr>
                <w:noProof/>
                <w:webHidden/>
              </w:rPr>
              <w:fldChar w:fldCharType="separate"/>
            </w:r>
            <w:r>
              <w:rPr>
                <w:noProof/>
                <w:webHidden/>
              </w:rPr>
              <w:t>8</w:t>
            </w:r>
            <w:r>
              <w:rPr>
                <w:noProof/>
                <w:webHidden/>
              </w:rPr>
              <w:fldChar w:fldCharType="end"/>
            </w:r>
          </w:hyperlink>
        </w:p>
        <w:p w14:paraId="53AC50A7" w14:textId="4247E743" w:rsidR="000A2B5F" w:rsidRDefault="000A2B5F">
          <w:pPr>
            <w:pStyle w:val="TOC2"/>
            <w:tabs>
              <w:tab w:val="right" w:leader="dot" w:pos="9350"/>
            </w:tabs>
            <w:rPr>
              <w:rFonts w:asciiTheme="minorHAnsi" w:eastAsiaTheme="minorEastAsia" w:hAnsiTheme="minorHAnsi"/>
              <w:noProof/>
              <w:lang w:eastAsia="en-IN"/>
            </w:rPr>
          </w:pPr>
          <w:hyperlink w:anchor="_Toc227947228" w:history="1">
            <w:r w:rsidRPr="00FB1EBC">
              <w:rPr>
                <w:rStyle w:val="Hyperlink"/>
                <w:rFonts w:cs="Arial"/>
                <w:noProof/>
              </w:rPr>
              <w:t>3.1 Cash Operating Cycle</w:t>
            </w:r>
            <w:r>
              <w:rPr>
                <w:noProof/>
                <w:webHidden/>
              </w:rPr>
              <w:tab/>
            </w:r>
            <w:r>
              <w:rPr>
                <w:noProof/>
                <w:webHidden/>
              </w:rPr>
              <w:fldChar w:fldCharType="begin"/>
            </w:r>
            <w:r>
              <w:rPr>
                <w:noProof/>
                <w:webHidden/>
              </w:rPr>
              <w:instrText xml:space="preserve"> PAGEREF _Toc227947228 \h </w:instrText>
            </w:r>
            <w:r>
              <w:rPr>
                <w:noProof/>
                <w:webHidden/>
              </w:rPr>
            </w:r>
            <w:r>
              <w:rPr>
                <w:noProof/>
                <w:webHidden/>
              </w:rPr>
              <w:fldChar w:fldCharType="separate"/>
            </w:r>
            <w:r>
              <w:rPr>
                <w:noProof/>
                <w:webHidden/>
              </w:rPr>
              <w:t>8</w:t>
            </w:r>
            <w:r>
              <w:rPr>
                <w:noProof/>
                <w:webHidden/>
              </w:rPr>
              <w:fldChar w:fldCharType="end"/>
            </w:r>
          </w:hyperlink>
        </w:p>
        <w:p w14:paraId="149EEB6A" w14:textId="4FAF3B3B" w:rsidR="000A2B5F" w:rsidRDefault="000A2B5F">
          <w:pPr>
            <w:pStyle w:val="TOC2"/>
            <w:tabs>
              <w:tab w:val="right" w:leader="dot" w:pos="9350"/>
            </w:tabs>
            <w:rPr>
              <w:rFonts w:asciiTheme="minorHAnsi" w:eastAsiaTheme="minorEastAsia" w:hAnsiTheme="minorHAnsi"/>
              <w:noProof/>
              <w:lang w:eastAsia="en-IN"/>
            </w:rPr>
          </w:pPr>
          <w:hyperlink w:anchor="_Toc227947229" w:history="1">
            <w:r w:rsidRPr="00FB1EBC">
              <w:rPr>
                <w:rStyle w:val="Hyperlink"/>
                <w:rFonts w:cs="Arial"/>
                <w:noProof/>
              </w:rPr>
              <w:t>3.2 Working Capital Problems Identified</w:t>
            </w:r>
            <w:r>
              <w:rPr>
                <w:noProof/>
                <w:webHidden/>
              </w:rPr>
              <w:tab/>
            </w:r>
            <w:r>
              <w:rPr>
                <w:noProof/>
                <w:webHidden/>
              </w:rPr>
              <w:fldChar w:fldCharType="begin"/>
            </w:r>
            <w:r>
              <w:rPr>
                <w:noProof/>
                <w:webHidden/>
              </w:rPr>
              <w:instrText xml:space="preserve"> PAGEREF _Toc227947229 \h </w:instrText>
            </w:r>
            <w:r>
              <w:rPr>
                <w:noProof/>
                <w:webHidden/>
              </w:rPr>
            </w:r>
            <w:r>
              <w:rPr>
                <w:noProof/>
                <w:webHidden/>
              </w:rPr>
              <w:fldChar w:fldCharType="separate"/>
            </w:r>
            <w:r>
              <w:rPr>
                <w:noProof/>
                <w:webHidden/>
              </w:rPr>
              <w:t>9</w:t>
            </w:r>
            <w:r>
              <w:rPr>
                <w:noProof/>
                <w:webHidden/>
              </w:rPr>
              <w:fldChar w:fldCharType="end"/>
            </w:r>
          </w:hyperlink>
        </w:p>
        <w:p w14:paraId="2FBA05B2" w14:textId="1D4EFB85" w:rsidR="000A2B5F" w:rsidRDefault="000A2B5F">
          <w:pPr>
            <w:pStyle w:val="TOC2"/>
            <w:tabs>
              <w:tab w:val="right" w:leader="dot" w:pos="9350"/>
            </w:tabs>
            <w:rPr>
              <w:rFonts w:asciiTheme="minorHAnsi" w:eastAsiaTheme="minorEastAsia" w:hAnsiTheme="minorHAnsi"/>
              <w:noProof/>
              <w:lang w:eastAsia="en-IN"/>
            </w:rPr>
          </w:pPr>
          <w:hyperlink w:anchor="_Toc227947230" w:history="1">
            <w:r w:rsidRPr="00FB1EBC">
              <w:rPr>
                <w:rStyle w:val="Hyperlink"/>
                <w:rFonts w:cs="Arial"/>
                <w:noProof/>
              </w:rPr>
              <w:t>3.3 Working Capital Improvement Strategies</w:t>
            </w:r>
            <w:r>
              <w:rPr>
                <w:noProof/>
                <w:webHidden/>
              </w:rPr>
              <w:tab/>
            </w:r>
            <w:r>
              <w:rPr>
                <w:noProof/>
                <w:webHidden/>
              </w:rPr>
              <w:fldChar w:fldCharType="begin"/>
            </w:r>
            <w:r>
              <w:rPr>
                <w:noProof/>
                <w:webHidden/>
              </w:rPr>
              <w:instrText xml:space="preserve"> PAGEREF _Toc227947230 \h </w:instrText>
            </w:r>
            <w:r>
              <w:rPr>
                <w:noProof/>
                <w:webHidden/>
              </w:rPr>
            </w:r>
            <w:r>
              <w:rPr>
                <w:noProof/>
                <w:webHidden/>
              </w:rPr>
              <w:fldChar w:fldCharType="separate"/>
            </w:r>
            <w:r>
              <w:rPr>
                <w:noProof/>
                <w:webHidden/>
              </w:rPr>
              <w:t>9</w:t>
            </w:r>
            <w:r>
              <w:rPr>
                <w:noProof/>
                <w:webHidden/>
              </w:rPr>
              <w:fldChar w:fldCharType="end"/>
            </w:r>
          </w:hyperlink>
        </w:p>
        <w:p w14:paraId="0E793C62" w14:textId="66F87980" w:rsidR="000A2B5F" w:rsidRDefault="000A2B5F">
          <w:pPr>
            <w:pStyle w:val="TOC2"/>
            <w:tabs>
              <w:tab w:val="right" w:leader="dot" w:pos="9350"/>
            </w:tabs>
            <w:rPr>
              <w:rFonts w:asciiTheme="minorHAnsi" w:eastAsiaTheme="minorEastAsia" w:hAnsiTheme="minorHAnsi"/>
              <w:noProof/>
              <w:lang w:eastAsia="en-IN"/>
            </w:rPr>
          </w:pPr>
          <w:hyperlink w:anchor="_Toc227947231" w:history="1">
            <w:r w:rsidRPr="00FB1EBC">
              <w:rPr>
                <w:rStyle w:val="Hyperlink"/>
                <w:rFonts w:cs="Arial"/>
                <w:noProof/>
              </w:rPr>
              <w:t>3.4 Long-Term vs Short-Term Financing Comparison</w:t>
            </w:r>
            <w:r>
              <w:rPr>
                <w:noProof/>
                <w:webHidden/>
              </w:rPr>
              <w:tab/>
            </w:r>
            <w:r>
              <w:rPr>
                <w:noProof/>
                <w:webHidden/>
              </w:rPr>
              <w:fldChar w:fldCharType="begin"/>
            </w:r>
            <w:r>
              <w:rPr>
                <w:noProof/>
                <w:webHidden/>
              </w:rPr>
              <w:instrText xml:space="preserve"> PAGEREF _Toc227947231 \h </w:instrText>
            </w:r>
            <w:r>
              <w:rPr>
                <w:noProof/>
                <w:webHidden/>
              </w:rPr>
            </w:r>
            <w:r>
              <w:rPr>
                <w:noProof/>
                <w:webHidden/>
              </w:rPr>
              <w:fldChar w:fldCharType="separate"/>
            </w:r>
            <w:r>
              <w:rPr>
                <w:noProof/>
                <w:webHidden/>
              </w:rPr>
              <w:t>10</w:t>
            </w:r>
            <w:r>
              <w:rPr>
                <w:noProof/>
                <w:webHidden/>
              </w:rPr>
              <w:fldChar w:fldCharType="end"/>
            </w:r>
          </w:hyperlink>
        </w:p>
        <w:p w14:paraId="5C0E305A" w14:textId="4AE826CA" w:rsidR="000A2B5F" w:rsidRDefault="000A2B5F">
          <w:pPr>
            <w:pStyle w:val="TOC1"/>
            <w:tabs>
              <w:tab w:val="right" w:leader="dot" w:pos="9350"/>
            </w:tabs>
            <w:rPr>
              <w:rFonts w:asciiTheme="minorHAnsi" w:eastAsiaTheme="minorEastAsia" w:hAnsiTheme="minorHAnsi"/>
              <w:noProof/>
              <w:lang w:eastAsia="en-IN"/>
            </w:rPr>
          </w:pPr>
          <w:hyperlink w:anchor="_Toc227947232" w:history="1">
            <w:r w:rsidRPr="00FB1EBC">
              <w:rPr>
                <w:rStyle w:val="Hyperlink"/>
                <w:rFonts w:cs="Arial"/>
                <w:noProof/>
              </w:rPr>
              <w:t>4. Strategic Financial Restructuring Plan</w:t>
            </w:r>
            <w:r>
              <w:rPr>
                <w:noProof/>
                <w:webHidden/>
              </w:rPr>
              <w:tab/>
            </w:r>
            <w:r>
              <w:rPr>
                <w:noProof/>
                <w:webHidden/>
              </w:rPr>
              <w:fldChar w:fldCharType="begin"/>
            </w:r>
            <w:r>
              <w:rPr>
                <w:noProof/>
                <w:webHidden/>
              </w:rPr>
              <w:instrText xml:space="preserve"> PAGEREF _Toc227947232 \h </w:instrText>
            </w:r>
            <w:r>
              <w:rPr>
                <w:noProof/>
                <w:webHidden/>
              </w:rPr>
            </w:r>
            <w:r>
              <w:rPr>
                <w:noProof/>
                <w:webHidden/>
              </w:rPr>
              <w:fldChar w:fldCharType="separate"/>
            </w:r>
            <w:r>
              <w:rPr>
                <w:noProof/>
                <w:webHidden/>
              </w:rPr>
              <w:t>11</w:t>
            </w:r>
            <w:r>
              <w:rPr>
                <w:noProof/>
                <w:webHidden/>
              </w:rPr>
              <w:fldChar w:fldCharType="end"/>
            </w:r>
          </w:hyperlink>
        </w:p>
        <w:p w14:paraId="2761C1BE" w14:textId="71879487" w:rsidR="000A2B5F" w:rsidRDefault="000A2B5F">
          <w:pPr>
            <w:pStyle w:val="TOC2"/>
            <w:tabs>
              <w:tab w:val="right" w:leader="dot" w:pos="9350"/>
            </w:tabs>
            <w:rPr>
              <w:rFonts w:asciiTheme="minorHAnsi" w:eastAsiaTheme="minorEastAsia" w:hAnsiTheme="minorHAnsi"/>
              <w:noProof/>
              <w:lang w:eastAsia="en-IN"/>
            </w:rPr>
          </w:pPr>
          <w:hyperlink w:anchor="_Toc227947233" w:history="1">
            <w:r w:rsidRPr="00FB1EBC">
              <w:rPr>
                <w:rStyle w:val="Hyperlink"/>
                <w:rFonts w:cs="Arial"/>
                <w:noProof/>
              </w:rPr>
              <w:t>4.1 Need for Financial Restructuring</w:t>
            </w:r>
            <w:r>
              <w:rPr>
                <w:noProof/>
                <w:webHidden/>
              </w:rPr>
              <w:tab/>
            </w:r>
            <w:r>
              <w:rPr>
                <w:noProof/>
                <w:webHidden/>
              </w:rPr>
              <w:fldChar w:fldCharType="begin"/>
            </w:r>
            <w:r>
              <w:rPr>
                <w:noProof/>
                <w:webHidden/>
              </w:rPr>
              <w:instrText xml:space="preserve"> PAGEREF _Toc227947233 \h </w:instrText>
            </w:r>
            <w:r>
              <w:rPr>
                <w:noProof/>
                <w:webHidden/>
              </w:rPr>
            </w:r>
            <w:r>
              <w:rPr>
                <w:noProof/>
                <w:webHidden/>
              </w:rPr>
              <w:fldChar w:fldCharType="separate"/>
            </w:r>
            <w:r>
              <w:rPr>
                <w:noProof/>
                <w:webHidden/>
              </w:rPr>
              <w:t>11</w:t>
            </w:r>
            <w:r>
              <w:rPr>
                <w:noProof/>
                <w:webHidden/>
              </w:rPr>
              <w:fldChar w:fldCharType="end"/>
            </w:r>
          </w:hyperlink>
        </w:p>
        <w:p w14:paraId="6C524FB7" w14:textId="0AECF94B" w:rsidR="000A2B5F" w:rsidRDefault="000A2B5F">
          <w:pPr>
            <w:pStyle w:val="TOC2"/>
            <w:tabs>
              <w:tab w:val="right" w:leader="dot" w:pos="9350"/>
            </w:tabs>
            <w:rPr>
              <w:rFonts w:asciiTheme="minorHAnsi" w:eastAsiaTheme="minorEastAsia" w:hAnsiTheme="minorHAnsi"/>
              <w:noProof/>
              <w:lang w:eastAsia="en-IN"/>
            </w:rPr>
          </w:pPr>
          <w:hyperlink w:anchor="_Toc227947234" w:history="1">
            <w:r w:rsidRPr="00FB1EBC">
              <w:rPr>
                <w:rStyle w:val="Hyperlink"/>
                <w:rFonts w:cs="Arial"/>
                <w:noProof/>
              </w:rPr>
              <w:t>4.2 Impact Assessment</w:t>
            </w:r>
            <w:r>
              <w:rPr>
                <w:noProof/>
                <w:webHidden/>
              </w:rPr>
              <w:tab/>
            </w:r>
            <w:r>
              <w:rPr>
                <w:noProof/>
                <w:webHidden/>
              </w:rPr>
              <w:fldChar w:fldCharType="begin"/>
            </w:r>
            <w:r>
              <w:rPr>
                <w:noProof/>
                <w:webHidden/>
              </w:rPr>
              <w:instrText xml:space="preserve"> PAGEREF _Toc227947234 \h </w:instrText>
            </w:r>
            <w:r>
              <w:rPr>
                <w:noProof/>
                <w:webHidden/>
              </w:rPr>
            </w:r>
            <w:r>
              <w:rPr>
                <w:noProof/>
                <w:webHidden/>
              </w:rPr>
              <w:fldChar w:fldCharType="separate"/>
            </w:r>
            <w:r>
              <w:rPr>
                <w:noProof/>
                <w:webHidden/>
              </w:rPr>
              <w:t>13</w:t>
            </w:r>
            <w:r>
              <w:rPr>
                <w:noProof/>
                <w:webHidden/>
              </w:rPr>
              <w:fldChar w:fldCharType="end"/>
            </w:r>
          </w:hyperlink>
        </w:p>
        <w:p w14:paraId="2CC91A70" w14:textId="523F1AC5" w:rsidR="000A2B5F" w:rsidRDefault="000A2B5F">
          <w:pPr>
            <w:pStyle w:val="TOC2"/>
            <w:tabs>
              <w:tab w:val="right" w:leader="dot" w:pos="9350"/>
            </w:tabs>
            <w:rPr>
              <w:rFonts w:asciiTheme="minorHAnsi" w:eastAsiaTheme="minorEastAsia" w:hAnsiTheme="minorHAnsi"/>
              <w:noProof/>
              <w:lang w:eastAsia="en-IN"/>
            </w:rPr>
          </w:pPr>
          <w:hyperlink w:anchor="_Toc227947235" w:history="1">
            <w:r w:rsidRPr="00FB1EBC">
              <w:rPr>
                <w:rStyle w:val="Hyperlink"/>
                <w:rFonts w:cs="Arial"/>
                <w:noProof/>
              </w:rPr>
              <w:t>4.3 Ethical Considerations</w:t>
            </w:r>
            <w:r>
              <w:rPr>
                <w:noProof/>
                <w:webHidden/>
              </w:rPr>
              <w:tab/>
            </w:r>
            <w:r>
              <w:rPr>
                <w:noProof/>
                <w:webHidden/>
              </w:rPr>
              <w:fldChar w:fldCharType="begin"/>
            </w:r>
            <w:r>
              <w:rPr>
                <w:noProof/>
                <w:webHidden/>
              </w:rPr>
              <w:instrText xml:space="preserve"> PAGEREF _Toc227947235 \h </w:instrText>
            </w:r>
            <w:r>
              <w:rPr>
                <w:noProof/>
                <w:webHidden/>
              </w:rPr>
            </w:r>
            <w:r>
              <w:rPr>
                <w:noProof/>
                <w:webHidden/>
              </w:rPr>
              <w:fldChar w:fldCharType="separate"/>
            </w:r>
            <w:r>
              <w:rPr>
                <w:noProof/>
                <w:webHidden/>
              </w:rPr>
              <w:t>14</w:t>
            </w:r>
            <w:r>
              <w:rPr>
                <w:noProof/>
                <w:webHidden/>
              </w:rPr>
              <w:fldChar w:fldCharType="end"/>
            </w:r>
          </w:hyperlink>
        </w:p>
        <w:p w14:paraId="3A081760" w14:textId="5626F41F" w:rsidR="000A2B5F" w:rsidRDefault="000A2B5F">
          <w:pPr>
            <w:pStyle w:val="TOC1"/>
            <w:tabs>
              <w:tab w:val="right" w:leader="dot" w:pos="9350"/>
            </w:tabs>
            <w:rPr>
              <w:rFonts w:asciiTheme="minorHAnsi" w:eastAsiaTheme="minorEastAsia" w:hAnsiTheme="minorHAnsi"/>
              <w:noProof/>
              <w:lang w:eastAsia="en-IN"/>
            </w:rPr>
          </w:pPr>
          <w:hyperlink w:anchor="_Toc227947236" w:history="1">
            <w:r w:rsidRPr="00FB1EBC">
              <w:rPr>
                <w:rStyle w:val="Hyperlink"/>
                <w:rFonts w:cs="Arial"/>
                <w:noProof/>
              </w:rPr>
              <w:t>5. Investment Appraisal and Capital Budgeting</w:t>
            </w:r>
            <w:r>
              <w:rPr>
                <w:noProof/>
                <w:webHidden/>
              </w:rPr>
              <w:tab/>
            </w:r>
            <w:r>
              <w:rPr>
                <w:noProof/>
                <w:webHidden/>
              </w:rPr>
              <w:fldChar w:fldCharType="begin"/>
            </w:r>
            <w:r>
              <w:rPr>
                <w:noProof/>
                <w:webHidden/>
              </w:rPr>
              <w:instrText xml:space="preserve"> PAGEREF _Toc227947236 \h </w:instrText>
            </w:r>
            <w:r>
              <w:rPr>
                <w:noProof/>
                <w:webHidden/>
              </w:rPr>
            </w:r>
            <w:r>
              <w:rPr>
                <w:noProof/>
                <w:webHidden/>
              </w:rPr>
              <w:fldChar w:fldCharType="separate"/>
            </w:r>
            <w:r>
              <w:rPr>
                <w:noProof/>
                <w:webHidden/>
              </w:rPr>
              <w:t>14</w:t>
            </w:r>
            <w:r>
              <w:rPr>
                <w:noProof/>
                <w:webHidden/>
              </w:rPr>
              <w:fldChar w:fldCharType="end"/>
            </w:r>
          </w:hyperlink>
        </w:p>
        <w:p w14:paraId="63758BCC" w14:textId="7CC2E552" w:rsidR="000A2B5F" w:rsidRDefault="000A2B5F">
          <w:pPr>
            <w:pStyle w:val="TOC1"/>
            <w:tabs>
              <w:tab w:val="right" w:leader="dot" w:pos="9350"/>
            </w:tabs>
            <w:rPr>
              <w:rFonts w:asciiTheme="minorHAnsi" w:eastAsiaTheme="minorEastAsia" w:hAnsiTheme="minorHAnsi"/>
              <w:noProof/>
              <w:lang w:eastAsia="en-IN"/>
            </w:rPr>
          </w:pPr>
          <w:hyperlink w:anchor="_Toc227947237" w:history="1">
            <w:r w:rsidRPr="00FB1EBC">
              <w:rPr>
                <w:rStyle w:val="Hyperlink"/>
                <w:rFonts w:cs="Arial"/>
                <w:noProof/>
              </w:rPr>
              <w:t>6. Conclusion</w:t>
            </w:r>
            <w:r>
              <w:rPr>
                <w:noProof/>
                <w:webHidden/>
              </w:rPr>
              <w:tab/>
            </w:r>
            <w:r>
              <w:rPr>
                <w:noProof/>
                <w:webHidden/>
              </w:rPr>
              <w:fldChar w:fldCharType="begin"/>
            </w:r>
            <w:r>
              <w:rPr>
                <w:noProof/>
                <w:webHidden/>
              </w:rPr>
              <w:instrText xml:space="preserve"> PAGEREF _Toc227947237 \h </w:instrText>
            </w:r>
            <w:r>
              <w:rPr>
                <w:noProof/>
                <w:webHidden/>
              </w:rPr>
            </w:r>
            <w:r>
              <w:rPr>
                <w:noProof/>
                <w:webHidden/>
              </w:rPr>
              <w:fldChar w:fldCharType="separate"/>
            </w:r>
            <w:r>
              <w:rPr>
                <w:noProof/>
                <w:webHidden/>
              </w:rPr>
              <w:t>18</w:t>
            </w:r>
            <w:r>
              <w:rPr>
                <w:noProof/>
                <w:webHidden/>
              </w:rPr>
              <w:fldChar w:fldCharType="end"/>
            </w:r>
          </w:hyperlink>
        </w:p>
        <w:p w14:paraId="2F810DB7" w14:textId="657D88F8" w:rsidR="000A2B5F" w:rsidRDefault="000A2B5F">
          <w:pPr>
            <w:pStyle w:val="TOC1"/>
            <w:tabs>
              <w:tab w:val="right" w:leader="dot" w:pos="9350"/>
            </w:tabs>
            <w:rPr>
              <w:rFonts w:asciiTheme="minorHAnsi" w:eastAsiaTheme="minorEastAsia" w:hAnsiTheme="minorHAnsi"/>
              <w:noProof/>
              <w:lang w:eastAsia="en-IN"/>
            </w:rPr>
          </w:pPr>
          <w:hyperlink w:anchor="_Toc227947238" w:history="1">
            <w:r w:rsidRPr="00FB1EBC">
              <w:rPr>
                <w:rStyle w:val="Hyperlink"/>
                <w:rFonts w:cs="Arial"/>
                <w:noProof/>
              </w:rPr>
              <w:t>7. References</w:t>
            </w:r>
            <w:r>
              <w:rPr>
                <w:noProof/>
                <w:webHidden/>
              </w:rPr>
              <w:tab/>
            </w:r>
            <w:r>
              <w:rPr>
                <w:noProof/>
                <w:webHidden/>
              </w:rPr>
              <w:fldChar w:fldCharType="begin"/>
            </w:r>
            <w:r>
              <w:rPr>
                <w:noProof/>
                <w:webHidden/>
              </w:rPr>
              <w:instrText xml:space="preserve"> PAGEREF _Toc227947238 \h </w:instrText>
            </w:r>
            <w:r>
              <w:rPr>
                <w:noProof/>
                <w:webHidden/>
              </w:rPr>
            </w:r>
            <w:r>
              <w:rPr>
                <w:noProof/>
                <w:webHidden/>
              </w:rPr>
              <w:fldChar w:fldCharType="separate"/>
            </w:r>
            <w:r>
              <w:rPr>
                <w:noProof/>
                <w:webHidden/>
              </w:rPr>
              <w:t>20</w:t>
            </w:r>
            <w:r>
              <w:rPr>
                <w:noProof/>
                <w:webHidden/>
              </w:rPr>
              <w:fldChar w:fldCharType="end"/>
            </w:r>
          </w:hyperlink>
        </w:p>
        <w:p w14:paraId="04F801F2" w14:textId="410FBB9B" w:rsidR="000A2B5F" w:rsidRDefault="000A2B5F">
          <w:pPr>
            <w:pStyle w:val="TOC1"/>
            <w:tabs>
              <w:tab w:val="right" w:leader="dot" w:pos="9350"/>
            </w:tabs>
            <w:rPr>
              <w:rFonts w:asciiTheme="minorHAnsi" w:eastAsiaTheme="minorEastAsia" w:hAnsiTheme="minorHAnsi"/>
              <w:noProof/>
              <w:lang w:eastAsia="en-IN"/>
            </w:rPr>
          </w:pPr>
          <w:hyperlink w:anchor="_Toc227947239" w:history="1">
            <w:r w:rsidRPr="00FB1EBC">
              <w:rPr>
                <w:rStyle w:val="Hyperlink"/>
                <w:noProof/>
              </w:rPr>
              <w:t>8. Appendix</w:t>
            </w:r>
            <w:r>
              <w:rPr>
                <w:noProof/>
                <w:webHidden/>
              </w:rPr>
              <w:tab/>
            </w:r>
            <w:r>
              <w:rPr>
                <w:noProof/>
                <w:webHidden/>
              </w:rPr>
              <w:fldChar w:fldCharType="begin"/>
            </w:r>
            <w:r>
              <w:rPr>
                <w:noProof/>
                <w:webHidden/>
              </w:rPr>
              <w:instrText xml:space="preserve"> PAGEREF _Toc227947239 \h </w:instrText>
            </w:r>
            <w:r>
              <w:rPr>
                <w:noProof/>
                <w:webHidden/>
              </w:rPr>
            </w:r>
            <w:r>
              <w:rPr>
                <w:noProof/>
                <w:webHidden/>
              </w:rPr>
              <w:fldChar w:fldCharType="separate"/>
            </w:r>
            <w:r>
              <w:rPr>
                <w:noProof/>
                <w:webHidden/>
              </w:rPr>
              <w:t>23</w:t>
            </w:r>
            <w:r>
              <w:rPr>
                <w:noProof/>
                <w:webHidden/>
              </w:rPr>
              <w:fldChar w:fldCharType="end"/>
            </w:r>
          </w:hyperlink>
        </w:p>
        <w:p w14:paraId="1E2C2F7B" w14:textId="396F59EF" w:rsidR="00334BB7" w:rsidRPr="0010446F" w:rsidRDefault="00334BB7">
          <w:pPr>
            <w:rPr>
              <w:rFonts w:cs="Arial"/>
            </w:rPr>
          </w:pPr>
          <w:r w:rsidRPr="0010446F">
            <w:rPr>
              <w:rFonts w:cs="Arial"/>
              <w:b/>
              <w:bCs/>
              <w:noProof/>
            </w:rPr>
            <w:fldChar w:fldCharType="end"/>
          </w:r>
        </w:p>
      </w:sdtContent>
    </w:sdt>
    <w:p w14:paraId="20264D37" w14:textId="77777777" w:rsidR="002541D0" w:rsidRDefault="002541D0">
      <w:pPr>
        <w:spacing w:before="0" w:after="160" w:line="259" w:lineRule="auto"/>
        <w:jc w:val="left"/>
        <w:rPr>
          <w:rFonts w:cs="Arial"/>
        </w:rPr>
      </w:pPr>
    </w:p>
    <w:p w14:paraId="30AE5C95" w14:textId="77777777" w:rsidR="009A071F" w:rsidRDefault="009A071F">
      <w:pPr>
        <w:spacing w:before="0" w:after="160" w:line="259" w:lineRule="auto"/>
        <w:jc w:val="left"/>
        <w:rPr>
          <w:rFonts w:eastAsiaTheme="majorEastAsia" w:cs="Arial"/>
          <w:b/>
          <w:color w:val="000000" w:themeColor="text1"/>
          <w:kern w:val="0"/>
          <w:lang w:val="en-US"/>
          <w14:ligatures w14:val="none"/>
        </w:rPr>
      </w:pPr>
      <w:r>
        <w:rPr>
          <w:rFonts w:cs="Arial"/>
        </w:rPr>
        <w:br w:type="page"/>
      </w:r>
    </w:p>
    <w:p w14:paraId="72767620" w14:textId="44F9729A" w:rsidR="00AE6A16" w:rsidRPr="0010446F" w:rsidRDefault="00AE6A16" w:rsidP="00AE6A16">
      <w:pPr>
        <w:pStyle w:val="Heading1"/>
        <w:rPr>
          <w:rFonts w:cs="Arial"/>
          <w:szCs w:val="24"/>
        </w:rPr>
      </w:pPr>
      <w:bookmarkStart w:id="0" w:name="_Toc227947225"/>
      <w:r w:rsidRPr="0010446F">
        <w:rPr>
          <w:rFonts w:cs="Arial"/>
          <w:szCs w:val="24"/>
        </w:rPr>
        <w:lastRenderedPageBreak/>
        <w:t>1. Introduction</w:t>
      </w:r>
      <w:bookmarkEnd w:id="0"/>
    </w:p>
    <w:p w14:paraId="459E921D" w14:textId="77777777" w:rsidR="00AE6A16" w:rsidRPr="00AF4715" w:rsidRDefault="00AE6A16" w:rsidP="00AF4715">
      <w:pPr>
        <w:rPr>
          <w:i/>
          <w:iCs/>
        </w:rPr>
      </w:pPr>
      <w:r w:rsidRPr="00AF4715">
        <w:rPr>
          <w:i/>
          <w:iCs/>
        </w:rPr>
        <w:t>1.1 Company Overview</w:t>
      </w:r>
    </w:p>
    <w:p w14:paraId="431857B1" w14:textId="63706A32" w:rsidR="009A071F" w:rsidRPr="0010446F" w:rsidRDefault="009A071F" w:rsidP="00AE6A16">
      <w:pPr>
        <w:rPr>
          <w:rFonts w:cs="Arial"/>
          <w:lang w:val="en-US"/>
        </w:rPr>
      </w:pPr>
      <w:r w:rsidRPr="009A071F">
        <w:rPr>
          <w:rFonts w:cs="Arial"/>
          <w:lang w:val="en-US"/>
        </w:rPr>
        <w:t>Toyota Motor Corporation is a global automotive giant and a prominent player in the automotive and electric vehicle (EV) markets. Based in Japan, Toyota has a global presence, selling its vehicles in over 170 markets, backed by a vast network of manufacturing, distribution and supply (Toyota Europe, 2026). Toyota holds a competitive position in the global market with its range of passenger vehicles, hybrid electric vehicles (HEVs), battery electric vehicles (BEVs) and commercial transport solutions. Toyota's legacy for quality, innovation and efficiency has allowed it to maintain a strong position in the highly competitive automotive market. But the rapidly increasing global trend towards electrification has placed more strategic pressure on the company to develop its expertise in electric vehicles (EV), invest in battery technologies and adjust its financial mode of operation to compete with EV startups such as Tesla and BYD.</w:t>
      </w:r>
    </w:p>
    <w:p w14:paraId="25EBCDBD" w14:textId="77777777" w:rsidR="00AE6A16" w:rsidRPr="00AF4715" w:rsidRDefault="00AE6A16" w:rsidP="00AF4715">
      <w:pPr>
        <w:rPr>
          <w:i/>
          <w:iCs/>
        </w:rPr>
      </w:pPr>
      <w:r w:rsidRPr="00AF4715">
        <w:rPr>
          <w:i/>
          <w:iCs/>
        </w:rPr>
        <w:t>1.2 Purpose of Report</w:t>
      </w:r>
    </w:p>
    <w:p w14:paraId="46E5C823" w14:textId="26DD90C8" w:rsidR="001839BD" w:rsidRPr="0010446F" w:rsidRDefault="001839BD" w:rsidP="00AE6A16">
      <w:pPr>
        <w:rPr>
          <w:rFonts w:cs="Arial"/>
          <w:lang w:val="en-US"/>
        </w:rPr>
      </w:pPr>
      <w:r w:rsidRPr="001839BD">
        <w:rPr>
          <w:rFonts w:cs="Arial"/>
          <w:lang w:val="en-US"/>
        </w:rPr>
        <w:t xml:space="preserve">This report has been prepared from </w:t>
      </w:r>
      <w:r w:rsidR="00285173">
        <w:rPr>
          <w:rFonts w:cs="Arial"/>
          <w:lang w:val="en-US"/>
        </w:rPr>
        <w:t>perspective of</w:t>
      </w:r>
      <w:r w:rsidRPr="001839BD">
        <w:rPr>
          <w:rFonts w:cs="Arial"/>
          <w:lang w:val="en-US"/>
        </w:rPr>
        <w:t xml:space="preserve"> Chief Financial Officer perspective to critically </w:t>
      </w:r>
      <w:proofErr w:type="spellStart"/>
      <w:r w:rsidRPr="001839BD">
        <w:rPr>
          <w:rFonts w:cs="Arial"/>
          <w:lang w:val="en-US"/>
        </w:rPr>
        <w:t>analyse</w:t>
      </w:r>
      <w:proofErr w:type="spellEnd"/>
      <w:r w:rsidRPr="001839BD">
        <w:rPr>
          <w:rFonts w:cs="Arial"/>
          <w:lang w:val="en-US"/>
        </w:rPr>
        <w:t xml:space="preserve"> Toyota's financial performance during the last five years and to provide an overview of its financial position. The report conducts detailed financial statement and ratio analysis to determine underlying trends, strengths, weaknesses and risks in the business operations. </w:t>
      </w:r>
      <w:r w:rsidR="00CB47D5">
        <w:rPr>
          <w:rFonts w:cs="Arial"/>
          <w:lang w:val="en-US"/>
        </w:rPr>
        <w:t>The</w:t>
      </w:r>
      <w:r w:rsidRPr="001839BD">
        <w:rPr>
          <w:rFonts w:cs="Arial"/>
          <w:lang w:val="en-US"/>
        </w:rPr>
        <w:t xml:space="preserve"> report assesses Toyota's working capital management and makes recommendations to enhance liquidity and </w:t>
      </w:r>
      <w:proofErr w:type="spellStart"/>
      <w:r w:rsidRPr="001839BD">
        <w:rPr>
          <w:rFonts w:cs="Arial"/>
          <w:lang w:val="en-US"/>
        </w:rPr>
        <w:t>optimise</w:t>
      </w:r>
      <w:proofErr w:type="spellEnd"/>
      <w:r w:rsidRPr="001839BD">
        <w:rPr>
          <w:rFonts w:cs="Arial"/>
          <w:lang w:val="en-US"/>
        </w:rPr>
        <w:t xml:space="preserve"> short-term financial processes. The report also provides financial restructuring recommendations to improve capital structure, flexibility and shareholder returns. </w:t>
      </w:r>
      <w:r>
        <w:rPr>
          <w:rFonts w:cs="Arial"/>
          <w:lang w:val="en-US"/>
        </w:rPr>
        <w:t>I</w:t>
      </w:r>
      <w:r w:rsidRPr="001839BD">
        <w:rPr>
          <w:rFonts w:cs="Arial"/>
          <w:lang w:val="en-US"/>
        </w:rPr>
        <w:t xml:space="preserve">nvestment appraisal and capital budgeting methods are used to evaluate potential investment options and </w:t>
      </w:r>
      <w:proofErr w:type="spellStart"/>
      <w:r w:rsidRPr="001839BD">
        <w:rPr>
          <w:rFonts w:cs="Arial"/>
          <w:lang w:val="en-US"/>
        </w:rPr>
        <w:t>prioritise</w:t>
      </w:r>
      <w:proofErr w:type="spellEnd"/>
      <w:r w:rsidRPr="001839BD">
        <w:rPr>
          <w:rFonts w:cs="Arial"/>
          <w:lang w:val="en-US"/>
        </w:rPr>
        <w:t xml:space="preserve"> the most attractive opportunities to support Toyota's long-term strategic development in the global EV industry.</w:t>
      </w:r>
    </w:p>
    <w:p w14:paraId="64C974CB" w14:textId="77777777" w:rsidR="00C7346B" w:rsidRPr="0010446F" w:rsidRDefault="007C3064" w:rsidP="00C7346B">
      <w:pPr>
        <w:pStyle w:val="Heading1"/>
        <w:rPr>
          <w:rFonts w:cs="Arial"/>
          <w:szCs w:val="24"/>
        </w:rPr>
      </w:pPr>
      <w:bookmarkStart w:id="1" w:name="_Toc227947226"/>
      <w:r w:rsidRPr="0010446F">
        <w:rPr>
          <w:rFonts w:cs="Arial"/>
          <w:szCs w:val="24"/>
        </w:rPr>
        <w:t>2. F</w:t>
      </w:r>
      <w:r w:rsidR="00C7346B" w:rsidRPr="0010446F">
        <w:rPr>
          <w:rFonts w:cs="Arial"/>
          <w:szCs w:val="24"/>
        </w:rPr>
        <w:t>inancial Health Check</w:t>
      </w:r>
      <w:bookmarkEnd w:id="1"/>
    </w:p>
    <w:p w14:paraId="1F926970" w14:textId="746B106F" w:rsidR="007C3064" w:rsidRPr="00AF4715" w:rsidRDefault="007C3064" w:rsidP="00AF4715">
      <w:pPr>
        <w:rPr>
          <w:b/>
          <w:bCs/>
          <w:i/>
          <w:iCs/>
        </w:rPr>
      </w:pPr>
      <w:r w:rsidRPr="00AF4715">
        <w:rPr>
          <w:b/>
          <w:bCs/>
          <w:i/>
          <w:iCs/>
        </w:rPr>
        <w:t xml:space="preserve">Overview of Five-Year </w:t>
      </w:r>
      <w:r w:rsidRPr="00AF4715">
        <w:rPr>
          <w:rStyle w:val="Heading2Char"/>
          <w:rFonts w:cs="Arial"/>
          <w:b w:val="0"/>
          <w:bCs/>
          <w:szCs w:val="24"/>
          <w:u w:val="none"/>
        </w:rPr>
        <w:t>Financial</w:t>
      </w:r>
      <w:r w:rsidRPr="00AF4715">
        <w:rPr>
          <w:b/>
          <w:bCs/>
          <w:i/>
          <w:iCs/>
        </w:rPr>
        <w:t xml:space="preserve"> Performance</w:t>
      </w:r>
    </w:p>
    <w:p w14:paraId="3ED23EA1" w14:textId="4623082D" w:rsidR="00B33DEF" w:rsidRPr="0010446F" w:rsidRDefault="00B33DEF" w:rsidP="00180094">
      <w:pPr>
        <w:rPr>
          <w:rFonts w:cs="Arial"/>
          <w:lang w:val="en-US"/>
        </w:rPr>
      </w:pPr>
      <w:r w:rsidRPr="00B33DEF">
        <w:rPr>
          <w:rFonts w:cs="Arial"/>
          <w:lang w:val="en-US"/>
        </w:rPr>
        <w:t xml:space="preserve">The financial performance of Toyota Motor Corporation over the five years between fiscal years (FY) 2021 and FY2025 shows continued revenue and profit growth. Revenues </w:t>
      </w:r>
      <w:r w:rsidRPr="00B33DEF">
        <w:rPr>
          <w:rFonts w:cs="Arial"/>
          <w:lang w:val="en-US"/>
        </w:rPr>
        <w:lastRenderedPageBreak/>
        <w:t>steadily grew from around ¥2,118,302 million in FY2021 to ¥4,084,984 million in FY2025, suggesting substantial top-line growth due to increased global vehicle sales, diversification in electric vehicle (EV) production and better pricing practices (Toyota, 2026). Net profits also grew consistently, showing that Toyota has been able to sustain profitability in the face of challenges from inflation and heightened competition in the global automobile market. The upward trend in profits is a testament to sound operational management and strong business performance.</w:t>
      </w:r>
    </w:p>
    <w:p w14:paraId="4FD62D6C" w14:textId="2F30FE4A" w:rsidR="00237F11" w:rsidRPr="00AF4715" w:rsidRDefault="00237F11" w:rsidP="00AF4715">
      <w:pPr>
        <w:rPr>
          <w:b/>
          <w:bCs/>
          <w:i/>
          <w:iCs/>
          <w:lang w:val="en-US"/>
        </w:rPr>
      </w:pPr>
      <w:r w:rsidRPr="00AF4715">
        <w:rPr>
          <w:b/>
          <w:bCs/>
          <w:i/>
          <w:iCs/>
          <w:lang w:val="en-US"/>
        </w:rPr>
        <w:t>Profitability Analysis</w:t>
      </w:r>
    </w:p>
    <w:p w14:paraId="19026D2B" w14:textId="77777777" w:rsidR="00B00F2B" w:rsidRPr="00B00F2B" w:rsidRDefault="00B00F2B" w:rsidP="00B00F2B">
      <w:pPr>
        <w:rPr>
          <w:rFonts w:cs="Arial"/>
          <w:lang w:val="en-US"/>
        </w:rPr>
      </w:pPr>
      <w:r w:rsidRPr="00B00F2B">
        <w:rPr>
          <w:rFonts w:cs="Arial"/>
          <w:lang w:val="en-US"/>
        </w:rPr>
        <w:t>The profitability of Toyota Motor Corporation remained consistent between FY2021 and FY2025, suggesting strong operational performance despite increased competition and cost pressures in the global automotive and electric vehicle (EV) industry. Gross profit margin consistently stayed high, ranging from 22.37% to 23.51%, indicating that Toyota maintained control over its production and procurement costs, while retaining its ability to pass on price increases (Toyota, 2025). The small dip in FY2022 and FY2023 could be a result of inflation, chip shortages, and rising raw material prices affecting the global automotive sector (Toyota, 2023).</w:t>
      </w:r>
    </w:p>
    <w:p w14:paraId="69B46000" w14:textId="0D22CB23" w:rsidR="00B00F2B" w:rsidRPr="0010446F" w:rsidRDefault="00B00F2B" w:rsidP="00B00F2B">
      <w:pPr>
        <w:rPr>
          <w:rFonts w:cs="Arial"/>
          <w:lang w:val="en-US"/>
        </w:rPr>
      </w:pPr>
      <w:r w:rsidRPr="00B00F2B">
        <w:rPr>
          <w:rFonts w:cs="Arial"/>
          <w:lang w:val="en-US"/>
        </w:rPr>
        <w:t>The operating profit margin was more variable, dropping from 5.88% in FY2022 to 5.03% in FY2023, and then recovering to 5.43% in FY2025 (Toyota, 2023). This suggests pressure from higher selling, general, administrative and research and development costs, as Toyota ramped up investment in electric vehicle (EV) technology, battery technology, and digital transformation projects. Similarly, net profit margin declined to 5.88% in FY2023, but recovered to 6.64% in FY2025, reflecting an increase in bottom-line profitability due to better operational performance and financial management.</w:t>
      </w:r>
    </w:p>
    <w:p w14:paraId="23FD891C" w14:textId="501D01EE" w:rsidR="0056447E" w:rsidRPr="0010446F" w:rsidRDefault="0056447E" w:rsidP="00237F11">
      <w:pPr>
        <w:rPr>
          <w:rFonts w:cs="Arial"/>
          <w:lang w:val="en-US"/>
        </w:rPr>
      </w:pPr>
      <w:r w:rsidRPr="0056447E">
        <w:rPr>
          <w:rFonts w:cs="Arial"/>
          <w:lang w:val="en-US"/>
        </w:rPr>
        <w:t>Return on Assets (ROA) showed gradual improvement from 2.17% in FY2021 to 2.88% in FY2025, indicating improvement in managing returns from company's growing assets (Toyota, 2021). Return on Equity (ROE) also improved from 4.26% to 5.41%, showing improved returns to shareholders over the period, although with a dip in FY2024.</w:t>
      </w:r>
    </w:p>
    <w:p w14:paraId="66934959" w14:textId="762C1B9B" w:rsidR="00237F11" w:rsidRPr="00AF4715" w:rsidRDefault="00165470" w:rsidP="00AF4715">
      <w:pPr>
        <w:rPr>
          <w:b/>
          <w:bCs/>
          <w:i/>
          <w:iCs/>
        </w:rPr>
      </w:pPr>
      <w:r w:rsidRPr="00AF4715">
        <w:rPr>
          <w:b/>
          <w:bCs/>
          <w:i/>
          <w:iCs/>
        </w:rPr>
        <w:t>Liquidity Analysis</w:t>
      </w:r>
    </w:p>
    <w:p w14:paraId="4D2B979F" w14:textId="7E93D672" w:rsidR="004B57B7" w:rsidRPr="0010446F" w:rsidRDefault="004B57B7" w:rsidP="004B57B7">
      <w:pPr>
        <w:rPr>
          <w:rFonts w:cs="Arial"/>
          <w:lang w:val="en-US"/>
        </w:rPr>
      </w:pPr>
      <w:r w:rsidRPr="004B57B7">
        <w:rPr>
          <w:rFonts w:cs="Arial"/>
          <w:lang w:val="en-US"/>
        </w:rPr>
        <w:lastRenderedPageBreak/>
        <w:t>Toyota Motor Corporation's liquidity remained robust during the FY2021-FY2025 period, reflecting its strong short-term financial stability and efficient management of short-term cash requirements. The current ratio steadily improved from roughly 1.64 in FY2021 to 1.92 in FY2025, indicating that Toyota had an adequate amount of current assets to meet short-term obligations. This is indicative of solid working capital management and short-term financial stability.</w:t>
      </w:r>
      <w:r>
        <w:rPr>
          <w:rFonts w:cs="Arial"/>
          <w:lang w:val="en-US"/>
        </w:rPr>
        <w:t xml:space="preserve"> </w:t>
      </w:r>
      <w:r w:rsidRPr="004B57B7">
        <w:rPr>
          <w:rFonts w:cs="Arial"/>
          <w:lang w:val="en-US"/>
        </w:rPr>
        <w:t>The quick ratio was consistently high throughout the period (between 2.45 and 2.86) suggesting that Toyota held significant liquid assets even after inventory is removed. This suggests healthy receivables, cash and short-term investments, which increases the company's ability to meet short-term obligations without having to rely on inventory sales. This is a good sign of financial stability, especially in a capital-intensive industry like automobiles.</w:t>
      </w:r>
    </w:p>
    <w:p w14:paraId="46A502EE" w14:textId="06480134" w:rsidR="00245AE3" w:rsidRPr="0010446F" w:rsidRDefault="00245AE3" w:rsidP="00245AE3">
      <w:pPr>
        <w:rPr>
          <w:rFonts w:cs="Arial"/>
          <w:lang w:val="en-US"/>
        </w:rPr>
      </w:pPr>
      <w:r w:rsidRPr="00245AE3">
        <w:rPr>
          <w:rFonts w:cs="Arial"/>
          <w:lang w:val="en-US"/>
        </w:rPr>
        <w:t xml:space="preserve">But the cash ratio was relatively low during this period, ranging from 0.14 to 0.31. This implies that the cash held by Toyota is relatively low as compared to current liabilities, but this is common for large multinational manufacturers who efficiently </w:t>
      </w:r>
      <w:proofErr w:type="spellStart"/>
      <w:r w:rsidRPr="00245AE3">
        <w:rPr>
          <w:rFonts w:cs="Arial"/>
          <w:lang w:val="en-US"/>
        </w:rPr>
        <w:t>utilise</w:t>
      </w:r>
      <w:proofErr w:type="spellEnd"/>
      <w:r w:rsidRPr="00245AE3">
        <w:rPr>
          <w:rFonts w:cs="Arial"/>
          <w:lang w:val="en-US"/>
        </w:rPr>
        <w:t xml:space="preserve"> cash through active cash management and short-term borrowing.</w:t>
      </w:r>
      <w:r>
        <w:rPr>
          <w:rFonts w:cs="Arial"/>
          <w:lang w:val="en-US"/>
        </w:rPr>
        <w:t xml:space="preserve"> </w:t>
      </w:r>
      <w:r w:rsidRPr="00245AE3">
        <w:rPr>
          <w:rFonts w:cs="Arial"/>
          <w:lang w:val="en-US"/>
        </w:rPr>
        <w:t>Toyota's liquidity ratios reflect a healthy short-term financial position, with good working capital coverage and liquidity. The low cash ratio suggests that its cash flow and treasury management needs to be efficient to meet operational and investment needs.</w:t>
      </w:r>
    </w:p>
    <w:p w14:paraId="0DA291A4" w14:textId="152C07CA" w:rsidR="00165470" w:rsidRPr="00AF4715" w:rsidRDefault="007A54D8" w:rsidP="00AF4715">
      <w:pPr>
        <w:rPr>
          <w:b/>
          <w:bCs/>
          <w:i/>
          <w:iCs/>
        </w:rPr>
      </w:pPr>
      <w:r w:rsidRPr="00AF4715">
        <w:rPr>
          <w:b/>
          <w:bCs/>
          <w:i/>
          <w:iCs/>
        </w:rPr>
        <w:t xml:space="preserve">Working Capital Efficiency </w:t>
      </w:r>
    </w:p>
    <w:p w14:paraId="59953B43" w14:textId="77777777" w:rsidR="00EF1713" w:rsidRPr="00EF1713" w:rsidRDefault="00EF1713" w:rsidP="00EF1713">
      <w:pPr>
        <w:rPr>
          <w:rFonts w:cs="Arial"/>
          <w:lang w:val="en-US"/>
        </w:rPr>
      </w:pPr>
      <w:r w:rsidRPr="00EF1713">
        <w:rPr>
          <w:rFonts w:cs="Arial"/>
          <w:lang w:val="en-US"/>
        </w:rPr>
        <w:t xml:space="preserve">The working capital efficiency of Toyota Motor Corporation has declined over the years from FY2021 to FY2025, </w:t>
      </w:r>
      <w:proofErr w:type="spellStart"/>
      <w:r w:rsidRPr="00EF1713">
        <w:rPr>
          <w:rFonts w:cs="Arial"/>
          <w:lang w:val="en-US"/>
        </w:rPr>
        <w:t>signalling</w:t>
      </w:r>
      <w:proofErr w:type="spellEnd"/>
      <w:r w:rsidRPr="00EF1713">
        <w:rPr>
          <w:rFonts w:cs="Arial"/>
          <w:lang w:val="en-US"/>
        </w:rPr>
        <w:t xml:space="preserve"> increased stress on operational cash flow management and the efficiency of using short-term assets. Inventory days stayed at consistently high levels, ranging from around 65 days to 77 days, implying that Toyota maintained high levels of inventory. This could be a deliberate strategy to support its global manufacturing and supply chain needs, but high inventory days can also lead to higher inventory costs and lower working capital efficiency.</w:t>
      </w:r>
    </w:p>
    <w:p w14:paraId="7630BC4E" w14:textId="4D0F5BDF" w:rsidR="00EF1713" w:rsidRPr="0010446F" w:rsidRDefault="00EF1713" w:rsidP="00EF1713">
      <w:pPr>
        <w:rPr>
          <w:rFonts w:cs="Arial"/>
          <w:lang w:val="en-US"/>
        </w:rPr>
      </w:pPr>
      <w:r w:rsidRPr="00EF1713">
        <w:rPr>
          <w:rFonts w:cs="Arial"/>
          <w:lang w:val="en-US"/>
        </w:rPr>
        <w:t xml:space="preserve">Receivable days have consistently been high, averaging over 150 days over the past five years, reflecting a long receivable collection cycle. This implies a large amount of cash is invested in receivables, which may reduce the company's cash liquidity and require more reliance on external financing to fund operations. Although these longer receivable days </w:t>
      </w:r>
      <w:r w:rsidRPr="00EF1713">
        <w:rPr>
          <w:rFonts w:cs="Arial"/>
          <w:lang w:val="en-US"/>
        </w:rPr>
        <w:lastRenderedPageBreak/>
        <w:t xml:space="preserve">may be associated with </w:t>
      </w:r>
      <w:proofErr w:type="spellStart"/>
      <w:r w:rsidRPr="00EF1713">
        <w:rPr>
          <w:rFonts w:cs="Arial"/>
          <w:lang w:val="en-US"/>
        </w:rPr>
        <w:t>favourable</w:t>
      </w:r>
      <w:proofErr w:type="spellEnd"/>
      <w:r w:rsidRPr="00EF1713">
        <w:rPr>
          <w:rFonts w:cs="Arial"/>
          <w:lang w:val="en-US"/>
        </w:rPr>
        <w:t xml:space="preserve"> credit terms within Toyota's dealership and financing business, they still have a negative impact on short-term cash flow efficiency.</w:t>
      </w:r>
    </w:p>
    <w:p w14:paraId="3A704096" w14:textId="2E6DEB6A" w:rsidR="009875D3" w:rsidRPr="009875D3" w:rsidRDefault="00697B0B" w:rsidP="009875D3">
      <w:pPr>
        <w:rPr>
          <w:rFonts w:cs="Arial"/>
          <w:lang w:val="en-US"/>
        </w:rPr>
      </w:pPr>
      <w:r>
        <w:rPr>
          <w:rFonts w:cs="Arial"/>
          <w:lang w:val="en-US"/>
        </w:rPr>
        <w:t>The</w:t>
      </w:r>
      <w:r w:rsidR="009875D3" w:rsidRPr="009875D3">
        <w:rPr>
          <w:rFonts w:cs="Arial"/>
          <w:lang w:val="en-US"/>
        </w:rPr>
        <w:t xml:space="preserve"> number of days payable reduced substantially from around 138 days in FY 2021 to 102 days in FY 2025, suggesting that Toyota is paying suppliers faster (Toyota, 2022). Although accelerated supplier settlements can enhance supplier relationships, this impairs the company's cash retention capacity during the operating cycle.</w:t>
      </w:r>
    </w:p>
    <w:p w14:paraId="3123A888" w14:textId="47380251" w:rsidR="009875D3" w:rsidRPr="0010446F" w:rsidRDefault="009875D3" w:rsidP="009875D3">
      <w:pPr>
        <w:rPr>
          <w:rFonts w:cs="Arial"/>
          <w:lang w:val="en-US"/>
        </w:rPr>
      </w:pPr>
      <w:r>
        <w:rPr>
          <w:rFonts w:cs="Arial"/>
          <w:lang w:val="en-US"/>
        </w:rPr>
        <w:t>Due</w:t>
      </w:r>
      <w:r w:rsidRPr="009875D3">
        <w:rPr>
          <w:rFonts w:cs="Arial"/>
          <w:lang w:val="en-US"/>
        </w:rPr>
        <w:t xml:space="preserve"> to these simultaneous changes, Toyota's cash conversion cycle has grown significantly from 94 days in FY2021 to 124 days in FY2025, indicating working capital efficiency has declined (Toyota, 2024). This increase suggests that Toyota is taking longer to recover investments in its operations, which may limit its cash flow and increase the need for financing. Toyota can enhance its efficiency by refining its inventory planning, managing receivables and negotiating better credit terms with its suppliers to reduce the operating cash cycle.</w:t>
      </w:r>
    </w:p>
    <w:p w14:paraId="69551227" w14:textId="55339B3C" w:rsidR="007C3064" w:rsidRPr="00AF4715" w:rsidRDefault="00634836" w:rsidP="00AF4715">
      <w:pPr>
        <w:rPr>
          <w:b/>
          <w:bCs/>
          <w:i/>
          <w:iCs/>
        </w:rPr>
      </w:pPr>
      <w:r w:rsidRPr="00AF4715">
        <w:rPr>
          <w:b/>
          <w:bCs/>
          <w:i/>
          <w:iCs/>
        </w:rPr>
        <w:t>Capital Structure and Gearing Analysis</w:t>
      </w:r>
    </w:p>
    <w:p w14:paraId="76CC6B3F" w14:textId="77777777" w:rsidR="00046D89" w:rsidRPr="00046D89" w:rsidRDefault="00046D89" w:rsidP="00046D89">
      <w:pPr>
        <w:rPr>
          <w:rFonts w:cs="Arial"/>
          <w:lang w:val="en-US"/>
        </w:rPr>
      </w:pPr>
      <w:r w:rsidRPr="00046D89">
        <w:rPr>
          <w:rFonts w:cs="Arial"/>
          <w:lang w:val="en-US"/>
        </w:rPr>
        <w:t>Toyota Motor Corporation's capital structure remained fairly conservative and consistent over the FY2021 to FY2025 period, suggesting a cautious approach to financial risk and a moderate level of gearing. The debt-to-equity ratio was relatively stable over the period, ranging from 28% to 43% (represented in percentage for consistency in the graph). This implies that Toyota prefers to use more equity finance over debt finance, therefore avoiding excessive leverage and interest expenses. The spike in FY2023 suggests a temporary boost in debt financing, likely due to investment needs or fund-raising for operational growth.</w:t>
      </w:r>
    </w:p>
    <w:p w14:paraId="1B3B4168" w14:textId="77777777" w:rsidR="00046D89" w:rsidRPr="00046D89" w:rsidRDefault="00046D89" w:rsidP="00046D89">
      <w:pPr>
        <w:rPr>
          <w:rFonts w:cs="Arial"/>
          <w:lang w:val="en-US"/>
        </w:rPr>
      </w:pPr>
      <w:r w:rsidRPr="00046D89">
        <w:rPr>
          <w:rFonts w:cs="Arial"/>
          <w:lang w:val="en-US"/>
        </w:rPr>
        <w:t xml:space="preserve">The debt to capital ratio also had a similar trend, ranging from 21.71% to 30.16%, showing that debt was a small part of Toyota's capital. This suggests a prudent approach to funding and its ability to meet operational and investment needs while </w:t>
      </w:r>
      <w:proofErr w:type="spellStart"/>
      <w:r w:rsidRPr="00046D89">
        <w:rPr>
          <w:rFonts w:cs="Arial"/>
          <w:lang w:val="en-US"/>
        </w:rPr>
        <w:t>minimising</w:t>
      </w:r>
      <w:proofErr w:type="spellEnd"/>
      <w:r w:rsidRPr="00046D89">
        <w:rPr>
          <w:rFonts w:cs="Arial"/>
          <w:lang w:val="en-US"/>
        </w:rPr>
        <w:t xml:space="preserve"> reliance on debt. Debt ratio has consistently been less than 22% over the past five years while equity ratio has consistently been greater than 50%, suggesting the balance sheet and shareholder-funded capital of Toyota are well supported.</w:t>
      </w:r>
    </w:p>
    <w:p w14:paraId="76A04FDC" w14:textId="4B48ED73" w:rsidR="00046D89" w:rsidRPr="0010446F" w:rsidRDefault="00046D89" w:rsidP="00046D89">
      <w:pPr>
        <w:rPr>
          <w:rFonts w:cs="Arial"/>
          <w:lang w:val="en-US"/>
        </w:rPr>
      </w:pPr>
      <w:r w:rsidRPr="00046D89">
        <w:rPr>
          <w:rFonts w:cs="Arial"/>
          <w:lang w:val="en-US"/>
        </w:rPr>
        <w:lastRenderedPageBreak/>
        <w:t>The substantial improvement in FY2024, with gearing ratios falling considerably, indicates effective debt reduction or increases in equity during this year, improving Toyota’s financial flexibility and lowering the risk of insolvency. While gearing has marginally increased again in FY2025, it remains conservative. Toyota's gearing profile suggests a safe, healthy and low-risk capital structure with a high debt capacity for future large-scale investments if needed. But the company's management should keep debt and equity balanced to reduce the cost of capital and enhance flexibility to fund large electrification and global expansion projects.</w:t>
      </w:r>
    </w:p>
    <w:p w14:paraId="70BC4500" w14:textId="56958E7E" w:rsidR="000145E9" w:rsidRPr="00AF4715" w:rsidRDefault="000145E9" w:rsidP="00AF4715">
      <w:pPr>
        <w:rPr>
          <w:b/>
          <w:bCs/>
          <w:i/>
          <w:iCs/>
        </w:rPr>
      </w:pPr>
      <w:r w:rsidRPr="00AF4715">
        <w:rPr>
          <w:b/>
          <w:bCs/>
          <w:i/>
          <w:iCs/>
        </w:rPr>
        <w:t>Investment and Cash Flow Analysis</w:t>
      </w:r>
    </w:p>
    <w:p w14:paraId="16377246" w14:textId="77777777" w:rsidR="008E745D" w:rsidRPr="008E745D" w:rsidRDefault="008E745D" w:rsidP="008E745D">
      <w:pPr>
        <w:rPr>
          <w:rFonts w:cs="Arial"/>
          <w:lang w:val="en-US"/>
        </w:rPr>
      </w:pPr>
      <w:r w:rsidRPr="008E745D">
        <w:rPr>
          <w:rFonts w:cs="Arial"/>
          <w:lang w:val="en-US"/>
        </w:rPr>
        <w:t>Toyota Motor Corporation's investor appeal and cash generation have been mixed in the five years from FY2021 to FY2025. Earnings per share (EPS) grew steadily over the past five years, reflecting a rise in profitability available to shareholders and the ability to generate earnings. This is a positive sign of Toyota's improving profitability and ability to generate value for shareholders by increasing profits. But the price-to-earnings (P/E) ratio has experienced significant swings during the period, which may indicate fluctuations in market sentiment and expectations about Toyota's future prospects. This could be due to the uncertainty over the company's EV strategy, competitive environment, and macroeconomic factors impacting the automotive industry.</w:t>
      </w:r>
    </w:p>
    <w:p w14:paraId="6A31297E" w14:textId="68279CDA" w:rsidR="008E745D" w:rsidRPr="0010446F" w:rsidRDefault="008E745D" w:rsidP="008E745D">
      <w:pPr>
        <w:rPr>
          <w:rFonts w:cs="Arial"/>
          <w:lang w:val="en-US"/>
        </w:rPr>
      </w:pPr>
      <w:r w:rsidRPr="008E745D">
        <w:rPr>
          <w:rFonts w:cs="Arial"/>
          <w:lang w:val="en-US"/>
        </w:rPr>
        <w:t>Despite its profitability improvement, Toyota's operating cash flow ratios also declined significantly over the period. Both the operating cash flow to current liabilities and operating cash flow to debt ratios fell over the period, reflecting diminished capacity to meet short-term liabilities and debt obligations with internally generated operating cash flows. Likewise, cash margin shrunk considerably over the past five years, which indicates a lower ability to convert sales revenue into cash, despite the increase in sales volume. This could reflect rising working capital needs, increased operating costs or slower cash collections.</w:t>
      </w:r>
    </w:p>
    <w:p w14:paraId="5E10E8D9" w14:textId="3CBAE503" w:rsidR="00C54EC3" w:rsidRPr="0010446F" w:rsidRDefault="00C54EC3" w:rsidP="000145E9">
      <w:pPr>
        <w:rPr>
          <w:rFonts w:cs="Arial"/>
          <w:lang w:val="en-US"/>
        </w:rPr>
      </w:pPr>
      <w:r w:rsidRPr="00C54EC3">
        <w:rPr>
          <w:rFonts w:cs="Arial"/>
          <w:lang w:val="en-US"/>
        </w:rPr>
        <w:t xml:space="preserve">Toyota remains an appealing investment from the perspective of earnings and shareholder returns, but declining operating cash flow efficiency suggests the need to monitor its cash generation capability. The company should focus on enhancing efficiency </w:t>
      </w:r>
      <w:r w:rsidRPr="00C54EC3">
        <w:rPr>
          <w:rFonts w:cs="Arial"/>
          <w:lang w:val="en-US"/>
        </w:rPr>
        <w:lastRenderedPageBreak/>
        <w:t>in cash conversion and working capital to enable future growth opportunities and maintain flexibility.</w:t>
      </w:r>
    </w:p>
    <w:p w14:paraId="705C0D01" w14:textId="1DE58B6E" w:rsidR="00621786" w:rsidRPr="00AF4715" w:rsidRDefault="000145E9" w:rsidP="00AF4715">
      <w:pPr>
        <w:rPr>
          <w:b/>
          <w:bCs/>
          <w:i/>
          <w:iCs/>
        </w:rPr>
      </w:pPr>
      <w:r w:rsidRPr="00AF4715">
        <w:rPr>
          <w:b/>
          <w:bCs/>
          <w:i/>
          <w:iCs/>
        </w:rPr>
        <w:t>Summary of Str</w:t>
      </w:r>
      <w:r w:rsidR="00621786" w:rsidRPr="00AF4715">
        <w:rPr>
          <w:b/>
          <w:bCs/>
          <w:i/>
          <w:iCs/>
        </w:rPr>
        <w:t>engths, Weaknesses, and Threats</w:t>
      </w:r>
    </w:p>
    <w:p w14:paraId="3D9540B3" w14:textId="7496A498" w:rsidR="00B44248" w:rsidRPr="0010446F" w:rsidRDefault="00B44248" w:rsidP="000145E9">
      <w:pPr>
        <w:rPr>
          <w:rFonts w:cs="Arial"/>
          <w:lang w:val="en-US"/>
        </w:rPr>
      </w:pPr>
      <w:r w:rsidRPr="00B44248">
        <w:rPr>
          <w:rFonts w:cs="Arial"/>
          <w:lang w:val="en-US"/>
        </w:rPr>
        <w:t>The financial analysis of Toyota reveals a number of strengths, such as robust sales growth, consistent profitability, low gearing levels, and growing shareholder returns, suggesting a high degree of financial stability and strategic sustainability. But there are also weaknesses reflected in declining working capital efficiency, inordinate days to receive accounts receivable, and in reduced operating cash flow, which could limit cash flows and operational flexibility. Opportunities lie in growing global EV market share, while threats include increasing global competition in EVs, higher costs of raw materials and battery production, technological change, supply chain disruption, and regulatory pressures relating to sustainability and emissions standards. These factors suggest, even though Toyota's financials are strong, financial improvements are needed for long-term profitability.</w:t>
      </w:r>
    </w:p>
    <w:p w14:paraId="443B861C" w14:textId="77777777" w:rsidR="00334BB7" w:rsidRPr="0010446F" w:rsidRDefault="00334BB7" w:rsidP="00334BB7">
      <w:pPr>
        <w:pStyle w:val="Heading1"/>
        <w:rPr>
          <w:rFonts w:cs="Arial"/>
          <w:szCs w:val="24"/>
        </w:rPr>
      </w:pPr>
      <w:bookmarkStart w:id="2" w:name="_Toc227947227"/>
      <w:r w:rsidRPr="0010446F">
        <w:rPr>
          <w:rFonts w:cs="Arial"/>
          <w:szCs w:val="24"/>
        </w:rPr>
        <w:t>3. Working Capital Management Analysis</w:t>
      </w:r>
      <w:bookmarkEnd w:id="2"/>
    </w:p>
    <w:p w14:paraId="3A94CAB8" w14:textId="0EB7CAE4" w:rsidR="00334BB7" w:rsidRPr="0010446F" w:rsidRDefault="00334BB7" w:rsidP="00334BB7">
      <w:pPr>
        <w:pStyle w:val="Heading2"/>
        <w:rPr>
          <w:rFonts w:cs="Arial"/>
          <w:szCs w:val="24"/>
        </w:rPr>
      </w:pPr>
      <w:bookmarkStart w:id="3" w:name="_Toc227947228"/>
      <w:r w:rsidRPr="0010446F">
        <w:rPr>
          <w:rFonts w:cs="Arial"/>
          <w:szCs w:val="24"/>
        </w:rPr>
        <w:t>3.1 Cash Operating Cycle</w:t>
      </w:r>
      <w:bookmarkEnd w:id="3"/>
      <w:r w:rsidRPr="0010446F">
        <w:rPr>
          <w:rFonts w:cs="Arial"/>
          <w:szCs w:val="24"/>
        </w:rPr>
        <w:t xml:space="preserve"> </w:t>
      </w:r>
    </w:p>
    <w:p w14:paraId="320867C2" w14:textId="77777777" w:rsidR="00A30EFC" w:rsidRPr="00A30EFC" w:rsidRDefault="00A30EFC" w:rsidP="00A30EFC">
      <w:pPr>
        <w:rPr>
          <w:rFonts w:cs="Arial"/>
          <w:lang w:val="en-US"/>
        </w:rPr>
      </w:pPr>
      <w:r w:rsidRPr="00A30EFC">
        <w:rPr>
          <w:rFonts w:cs="Arial"/>
          <w:lang w:val="en-US"/>
        </w:rPr>
        <w:t>The cash operating cycle of Toyota Motor Corporation has grown over the FY2021-2025 period, suggesting a decline in the efficiency of the company's working capital management. Toyota's cash operating cycle has grown from around 94 days in FY2021 to 124 days in FY2025. This reflects a trend towards a longer time to convert inventory and receivables into cash, which leads to lower short-term working capital efficiency and a higher reliance on working capital loans.</w:t>
      </w:r>
    </w:p>
    <w:p w14:paraId="44C8922D" w14:textId="08AF1E22" w:rsidR="00A30EFC" w:rsidRPr="0010446F" w:rsidRDefault="00A30EFC" w:rsidP="00A30EFC">
      <w:pPr>
        <w:rPr>
          <w:rFonts w:cs="Arial"/>
          <w:lang w:val="en-US"/>
        </w:rPr>
      </w:pPr>
      <w:r w:rsidRPr="00A30EFC">
        <w:rPr>
          <w:rFonts w:cs="Arial"/>
          <w:lang w:val="en-US"/>
        </w:rPr>
        <w:t>The inventory holding period has been steady but high</w:t>
      </w:r>
      <w:r>
        <w:rPr>
          <w:rFonts w:cs="Arial"/>
          <w:lang w:val="en-US"/>
        </w:rPr>
        <w:t xml:space="preserve"> </w:t>
      </w:r>
      <w:r w:rsidRPr="0010446F">
        <w:rPr>
          <w:rFonts w:cs="Arial"/>
          <w:lang w:val="en-US"/>
        </w:rPr>
        <w:t xml:space="preserve">between 65 and 77 </w:t>
      </w:r>
      <w:r w:rsidRPr="00A30EFC">
        <w:rPr>
          <w:rFonts w:cs="Arial"/>
          <w:lang w:val="en-US"/>
        </w:rPr>
        <w:t>days over the period. This suggests that Toyota takes more than two months on average to sell its inventory, which may be necessary to ensure strategic stockholding to support global manufacturing and reduce supply chain risk. However, longer inventory days also mean higher inventory costs such as storage, insurance and obsolescence.</w:t>
      </w:r>
    </w:p>
    <w:p w14:paraId="2B166693" w14:textId="2ACF12B2" w:rsidR="005A6E62" w:rsidRPr="0010446F" w:rsidRDefault="005A6E62" w:rsidP="005A6E62">
      <w:pPr>
        <w:rPr>
          <w:rFonts w:cs="Arial"/>
          <w:lang w:val="en-US"/>
        </w:rPr>
      </w:pPr>
      <w:r w:rsidRPr="005A6E62">
        <w:rPr>
          <w:rFonts w:cs="Arial"/>
          <w:lang w:val="en-US"/>
        </w:rPr>
        <w:t xml:space="preserve">Average receivable days were also high, averaging over 150 days throughout the period reviewed. This suggests that Toyota has a long receivable cycle from customers and </w:t>
      </w:r>
      <w:r w:rsidRPr="005A6E62">
        <w:rPr>
          <w:rFonts w:cs="Arial"/>
          <w:lang w:val="en-US"/>
        </w:rPr>
        <w:lastRenderedPageBreak/>
        <w:t>dealers, leading to significant cash being tied up in receivables. While this could partly be attributable to dealership financing and overseas credit arrangements, lengthy receivable days impact negatively on liquidity and cash flows from operating activities.</w:t>
      </w:r>
      <w:r>
        <w:rPr>
          <w:rFonts w:cs="Arial"/>
          <w:lang w:val="en-US"/>
        </w:rPr>
        <w:t xml:space="preserve"> </w:t>
      </w:r>
      <w:r w:rsidRPr="005A6E62">
        <w:rPr>
          <w:rFonts w:cs="Arial"/>
          <w:lang w:val="en-US"/>
        </w:rPr>
        <w:t>Payable days significantly decreased from around 138 days in FY2021 to 102 days in FY2025, indicating that Toyota has shortened the payment terms to suppliers. While this may enhance supplier relations and procurement certainty, it also reduces the interest-free loan provided by trade credit.</w:t>
      </w:r>
    </w:p>
    <w:p w14:paraId="7A1E1359" w14:textId="77777777" w:rsidR="00334BB7" w:rsidRPr="0010446F" w:rsidRDefault="00334BB7" w:rsidP="00334BB7">
      <w:pPr>
        <w:pStyle w:val="Heading2"/>
        <w:rPr>
          <w:rFonts w:cs="Arial"/>
          <w:szCs w:val="24"/>
        </w:rPr>
      </w:pPr>
      <w:bookmarkStart w:id="4" w:name="_Toc227947229"/>
      <w:r w:rsidRPr="0010446F">
        <w:rPr>
          <w:rFonts w:cs="Arial"/>
          <w:szCs w:val="24"/>
        </w:rPr>
        <w:t>3.2 Working Capital Problems Identified</w:t>
      </w:r>
      <w:bookmarkEnd w:id="4"/>
    </w:p>
    <w:p w14:paraId="313C99B3" w14:textId="77777777" w:rsidR="003973FF" w:rsidRPr="003973FF" w:rsidRDefault="003973FF" w:rsidP="003973FF">
      <w:pPr>
        <w:rPr>
          <w:rFonts w:cs="Arial"/>
          <w:lang w:val="en-US"/>
        </w:rPr>
      </w:pPr>
      <w:r w:rsidRPr="003973FF">
        <w:rPr>
          <w:rFonts w:cs="Arial"/>
          <w:lang w:val="en-US"/>
        </w:rPr>
        <w:t>Toyota's operating cycle analysis reveals a number of working capital problems. First, the major issue is the company's extended receivable period. Given the receivable period is consistently over 150 days, it suggests that Toyota has a significant amount of cash invested in trade receivables and customer finance balances. This slows cash flow, reduces liquidity and potentially exposes them to credit risk.</w:t>
      </w:r>
    </w:p>
    <w:p w14:paraId="43E2313D" w14:textId="7CE12384" w:rsidR="003973FF" w:rsidRPr="0010446F" w:rsidRDefault="003973FF" w:rsidP="003973FF">
      <w:pPr>
        <w:rPr>
          <w:rFonts w:cs="Arial"/>
          <w:lang w:val="en-US"/>
        </w:rPr>
      </w:pPr>
      <w:r w:rsidRPr="003973FF">
        <w:rPr>
          <w:rFonts w:cs="Arial"/>
          <w:lang w:val="en-US"/>
        </w:rPr>
        <w:t>Second, inventory remains high compared to levels of production and sales. While the automobile industry needs to hold substantial inventory levels due to global supply chain complexities and part interdependence, Toyota's inventory turnover period suggests an inefficiency in inventory management. High levels of inventory could lead to higher inventory holding costs, insurance costs, and the risk of inventory obsolescence, especially in the fast-moving electric vehicle (EV) market, where technological change could rapidly decrease the value of components (</w:t>
      </w:r>
      <w:proofErr w:type="spellStart"/>
      <w:r w:rsidRPr="003973FF">
        <w:rPr>
          <w:rFonts w:cs="Arial"/>
          <w:lang w:val="en-US"/>
        </w:rPr>
        <w:t>Klisura</w:t>
      </w:r>
      <w:proofErr w:type="spellEnd"/>
      <w:r w:rsidRPr="003973FF">
        <w:rPr>
          <w:rFonts w:cs="Arial"/>
          <w:lang w:val="en-US"/>
        </w:rPr>
        <w:t xml:space="preserve"> </w:t>
      </w:r>
      <w:r w:rsidRPr="003973FF">
        <w:rPr>
          <w:rFonts w:cs="Arial"/>
          <w:i/>
          <w:iCs/>
          <w:lang w:val="en-US"/>
        </w:rPr>
        <w:t>et al.,</w:t>
      </w:r>
      <w:r w:rsidRPr="003973FF">
        <w:rPr>
          <w:rFonts w:cs="Arial"/>
          <w:lang w:val="en-US"/>
        </w:rPr>
        <w:t xml:space="preserve"> 2025). The decrease in payable days indicates Toyota is paying its suppliers faster. This is likely to benefit the company's relationship with its suppliers, but limits the company's capacity to use supplier credit to fund its short-term working capital needs.</w:t>
      </w:r>
    </w:p>
    <w:p w14:paraId="0D8B2CAE" w14:textId="77777777" w:rsidR="00334BB7" w:rsidRPr="0010446F" w:rsidRDefault="00334BB7" w:rsidP="00334BB7">
      <w:pPr>
        <w:pStyle w:val="Heading2"/>
        <w:rPr>
          <w:rFonts w:cs="Arial"/>
          <w:szCs w:val="24"/>
        </w:rPr>
      </w:pPr>
      <w:bookmarkStart w:id="5" w:name="_Toc227947230"/>
      <w:r w:rsidRPr="0010446F">
        <w:rPr>
          <w:rFonts w:cs="Arial"/>
          <w:szCs w:val="24"/>
        </w:rPr>
        <w:t>3.3 Working Capital Improvement Strategies</w:t>
      </w:r>
      <w:bookmarkEnd w:id="5"/>
    </w:p>
    <w:p w14:paraId="777B04BE" w14:textId="77777777" w:rsidR="003973FF" w:rsidRPr="003973FF" w:rsidRDefault="003973FF" w:rsidP="003973FF">
      <w:pPr>
        <w:rPr>
          <w:rFonts w:cs="Arial"/>
          <w:lang w:val="en-US"/>
        </w:rPr>
      </w:pPr>
      <w:r w:rsidRPr="003973FF">
        <w:rPr>
          <w:rFonts w:cs="Arial"/>
          <w:lang w:val="en-US"/>
        </w:rPr>
        <w:t>To enhance working capital efficiency and boost liquidity, we recommend a number of changes to Toyota's operations.</w:t>
      </w:r>
    </w:p>
    <w:p w14:paraId="358EA489" w14:textId="4571D82C" w:rsidR="003973FF" w:rsidRPr="0010446F" w:rsidRDefault="003973FF" w:rsidP="003973FF">
      <w:pPr>
        <w:rPr>
          <w:rFonts w:cs="Arial"/>
          <w:lang w:val="en-US"/>
        </w:rPr>
      </w:pPr>
      <w:r w:rsidRPr="003973FF">
        <w:rPr>
          <w:rFonts w:cs="Arial"/>
          <w:lang w:val="en-US"/>
        </w:rPr>
        <w:t>First, Toyota should continue to fine-tune its inventory management by improving its Just-in-Time (JIT) inventory system (Susanti</w:t>
      </w:r>
      <w:r w:rsidRPr="003973FF">
        <w:rPr>
          <w:rFonts w:cs="Arial"/>
          <w:i/>
          <w:iCs/>
          <w:lang w:val="en-US"/>
        </w:rPr>
        <w:t xml:space="preserve"> et al., </w:t>
      </w:r>
      <w:r w:rsidRPr="003973FF">
        <w:rPr>
          <w:rFonts w:cs="Arial"/>
          <w:lang w:val="en-US"/>
        </w:rPr>
        <w:t xml:space="preserve">2025). While Toyota is the originator of JIT, supply chain events are likely to have meant increased stockpiles. Toyota should adopt </w:t>
      </w:r>
      <w:r w:rsidRPr="003973FF">
        <w:rPr>
          <w:rFonts w:cs="Arial"/>
          <w:lang w:val="en-US"/>
        </w:rPr>
        <w:lastRenderedPageBreak/>
        <w:t xml:space="preserve">sophisticated demand planning and AI-powered inventory </w:t>
      </w:r>
      <w:proofErr w:type="spellStart"/>
      <w:r w:rsidRPr="003973FF">
        <w:rPr>
          <w:rFonts w:cs="Arial"/>
          <w:lang w:val="en-US"/>
        </w:rPr>
        <w:t>optimisation</w:t>
      </w:r>
      <w:proofErr w:type="spellEnd"/>
      <w:r w:rsidRPr="003973FF">
        <w:rPr>
          <w:rFonts w:cs="Arial"/>
          <w:lang w:val="en-US"/>
        </w:rPr>
        <w:t xml:space="preserve"> technologies to ensure inventory is more closely matched to production schedules and market demand, </w:t>
      </w:r>
      <w:proofErr w:type="spellStart"/>
      <w:r w:rsidRPr="003973FF">
        <w:rPr>
          <w:rFonts w:cs="Arial"/>
          <w:lang w:val="en-US"/>
        </w:rPr>
        <w:t>minimising</w:t>
      </w:r>
      <w:proofErr w:type="spellEnd"/>
      <w:r w:rsidRPr="003973FF">
        <w:rPr>
          <w:rFonts w:cs="Arial"/>
          <w:lang w:val="en-US"/>
        </w:rPr>
        <w:t xml:space="preserve"> excess inventory build-up while maintaining supply chain flexibility.</w:t>
      </w:r>
    </w:p>
    <w:p w14:paraId="4DF5C204" w14:textId="77777777" w:rsidR="003973FF" w:rsidRPr="003973FF" w:rsidRDefault="003973FF" w:rsidP="003973FF">
      <w:pPr>
        <w:rPr>
          <w:rFonts w:cs="Arial"/>
          <w:lang w:val="en-US"/>
        </w:rPr>
      </w:pPr>
      <w:r w:rsidRPr="003973FF">
        <w:rPr>
          <w:rFonts w:cs="Arial"/>
          <w:lang w:val="en-US"/>
        </w:rPr>
        <w:t xml:space="preserve">Toyota should improve receivables management by adopting stricter credit policies and collecting receivables from dealers and customers faster, if it is economically viable. This could involve adjusting payment terms, improving credit risk evaluation, offering early payment discounts and implementing automated receivables monitoring to </w:t>
      </w:r>
      <w:proofErr w:type="spellStart"/>
      <w:r w:rsidRPr="003973FF">
        <w:rPr>
          <w:rFonts w:cs="Arial"/>
          <w:lang w:val="en-US"/>
        </w:rPr>
        <w:t>minimise</w:t>
      </w:r>
      <w:proofErr w:type="spellEnd"/>
      <w:r w:rsidRPr="003973FF">
        <w:rPr>
          <w:rFonts w:cs="Arial"/>
          <w:lang w:val="en-US"/>
        </w:rPr>
        <w:t xml:space="preserve"> overdue receivables. Toyota should negotiate with suppliers to </w:t>
      </w:r>
      <w:proofErr w:type="spellStart"/>
      <w:r w:rsidRPr="003973FF">
        <w:rPr>
          <w:rFonts w:cs="Arial"/>
          <w:lang w:val="en-US"/>
        </w:rPr>
        <w:t>optimise</w:t>
      </w:r>
      <w:proofErr w:type="spellEnd"/>
      <w:r w:rsidRPr="003973FF">
        <w:rPr>
          <w:rFonts w:cs="Arial"/>
          <w:lang w:val="en-US"/>
        </w:rPr>
        <w:t xml:space="preserve"> trade credit. Increasing payment terms where feasible would enable Toyota to keep cash tied up in the business longer, thus increasing cash flow without significantly adding to the cost of capital (</w:t>
      </w:r>
      <w:proofErr w:type="spellStart"/>
      <w:r w:rsidRPr="003973FF">
        <w:rPr>
          <w:rFonts w:cs="Arial"/>
          <w:lang w:val="en-US"/>
        </w:rPr>
        <w:t>Bhattacheryay</w:t>
      </w:r>
      <w:proofErr w:type="spellEnd"/>
      <w:r w:rsidRPr="003973FF">
        <w:rPr>
          <w:rFonts w:cs="Arial"/>
          <w:lang w:val="en-US"/>
        </w:rPr>
        <w:t>, 2023). But this should be done in a way which does not harm supplier relationships.</w:t>
      </w:r>
    </w:p>
    <w:p w14:paraId="0D6D25E2" w14:textId="6820F9CE" w:rsidR="003973FF" w:rsidRPr="0010446F" w:rsidRDefault="003973FF" w:rsidP="003973FF">
      <w:pPr>
        <w:rPr>
          <w:rFonts w:cs="Arial"/>
          <w:lang w:val="en-US"/>
        </w:rPr>
      </w:pPr>
      <w:r w:rsidRPr="003973FF">
        <w:rPr>
          <w:rFonts w:cs="Arial"/>
          <w:lang w:val="en-US"/>
        </w:rPr>
        <w:t>Toyota might consider dynamic discounting programs which allow early supplier payments in return for discounts when cash surpluses exist. This approach offers flexibility to manage supplier payments along with enhanced returns on excess cash. The adoption of integrated ERP and AI-powered treasury systems would enhance real-time cash flow, working capital, and liquidity projections, providing better visibility over operational cash balances (Olabowale, 2026).</w:t>
      </w:r>
    </w:p>
    <w:p w14:paraId="38077334" w14:textId="133A1BB3" w:rsidR="00334BB7" w:rsidRPr="0010446F" w:rsidRDefault="00334BB7" w:rsidP="00334BB7">
      <w:pPr>
        <w:pStyle w:val="Heading2"/>
        <w:rPr>
          <w:rFonts w:cs="Arial"/>
          <w:szCs w:val="24"/>
        </w:rPr>
      </w:pPr>
      <w:bookmarkStart w:id="6" w:name="_Toc227947231"/>
      <w:r w:rsidRPr="0010446F">
        <w:rPr>
          <w:rFonts w:cs="Arial"/>
          <w:szCs w:val="24"/>
        </w:rPr>
        <w:t xml:space="preserve">3.4 </w:t>
      </w:r>
      <w:r w:rsidR="00D22207" w:rsidRPr="0010446F">
        <w:rPr>
          <w:rFonts w:cs="Arial"/>
          <w:szCs w:val="24"/>
        </w:rPr>
        <w:t xml:space="preserve">Long-Term </w:t>
      </w:r>
      <w:r w:rsidR="00D22207">
        <w:rPr>
          <w:rFonts w:cs="Arial"/>
          <w:szCs w:val="24"/>
        </w:rPr>
        <w:t xml:space="preserve">vs </w:t>
      </w:r>
      <w:r w:rsidRPr="0010446F">
        <w:rPr>
          <w:rFonts w:cs="Arial"/>
          <w:szCs w:val="24"/>
        </w:rPr>
        <w:t>Short-Term Financing Comparison</w:t>
      </w:r>
      <w:bookmarkEnd w:id="6"/>
    </w:p>
    <w:p w14:paraId="7DFDCE1A" w14:textId="6957B0C3" w:rsidR="00642D6E" w:rsidRPr="00642D6E" w:rsidRDefault="00642D6E" w:rsidP="00642D6E">
      <w:pPr>
        <w:rPr>
          <w:rFonts w:cs="Arial"/>
          <w:lang w:val="en-US"/>
        </w:rPr>
      </w:pPr>
      <w:r w:rsidRPr="00642D6E">
        <w:rPr>
          <w:rFonts w:cs="Arial"/>
          <w:lang w:val="en-US"/>
        </w:rPr>
        <w:t>Toyota needs to assess a mix of short-term and long-term financing to meet working capital and long-term investment requirements. Short-term financing options like overdrafts, trade credit, and factoring are flexible and ideal for short-term financing needs or peak working capital demand. Overdrafts offer quick access to cash, while trade credit enables Toyota to postpone payments to suppliers without immediate cash flow. Factoring can help speed up receivables collection by selling receivables to banks. Yet, short-term financing often involves refinancing risks, interest rate fluctuations and over-reliance risks with excessive use.</w:t>
      </w:r>
    </w:p>
    <w:p w14:paraId="35FD022A" w14:textId="6D180A50" w:rsidR="00642D6E" w:rsidRPr="0010446F" w:rsidRDefault="00642D6E" w:rsidP="00642D6E">
      <w:pPr>
        <w:rPr>
          <w:rFonts w:cs="Arial"/>
          <w:lang w:val="en-US"/>
        </w:rPr>
      </w:pPr>
      <w:r w:rsidRPr="00642D6E">
        <w:rPr>
          <w:rFonts w:cs="Arial"/>
          <w:lang w:val="en-US"/>
        </w:rPr>
        <w:t xml:space="preserve">However, long-term financing alternatives including bonds, equity financing and long-term bank loans offer more stability and are better suited for financing capital investments and other long-term projects. Bonds may be cheaper for Toyota given its high credit rating, </w:t>
      </w:r>
      <w:r w:rsidRPr="00642D6E">
        <w:rPr>
          <w:rFonts w:cs="Arial"/>
          <w:lang w:val="en-US"/>
        </w:rPr>
        <w:lastRenderedPageBreak/>
        <w:t>but equity financing does not require repayment, although it can lead to a loss of control. Long-term loans have fixed payment schedules but raise leverage and long-term obligations.</w:t>
      </w:r>
    </w:p>
    <w:p w14:paraId="63917F9F" w14:textId="53B593A4" w:rsidR="00D13A97" w:rsidRPr="0010446F" w:rsidRDefault="00D13A97" w:rsidP="007C3064">
      <w:pPr>
        <w:rPr>
          <w:rFonts w:cs="Arial"/>
          <w:lang w:val="en-US"/>
        </w:rPr>
      </w:pPr>
      <w:r w:rsidRPr="00D13A97">
        <w:rPr>
          <w:rFonts w:cs="Arial"/>
          <w:lang w:val="en-US"/>
        </w:rPr>
        <w:t>Toyota's conservative gearing ratios and healthy balance sheet would allow short-term financing to be used sparingly for working capital requirements and leaving long-term financing for strategic initiatives such as EV investments, global expansion and major projects. Such a financing strategy would achieve cost efficiency and flexibility.</w:t>
      </w:r>
    </w:p>
    <w:p w14:paraId="6C9AE3A7" w14:textId="77777777" w:rsidR="00334BB7" w:rsidRPr="0010446F" w:rsidRDefault="00334BB7" w:rsidP="00334BB7">
      <w:pPr>
        <w:pStyle w:val="Heading1"/>
        <w:rPr>
          <w:rFonts w:cs="Arial"/>
          <w:szCs w:val="24"/>
        </w:rPr>
      </w:pPr>
      <w:bookmarkStart w:id="7" w:name="_Toc227947232"/>
      <w:r w:rsidRPr="0010446F">
        <w:rPr>
          <w:rFonts w:cs="Arial"/>
          <w:szCs w:val="24"/>
        </w:rPr>
        <w:t>4. Strategic Financial Restructuring Plan</w:t>
      </w:r>
      <w:bookmarkEnd w:id="7"/>
    </w:p>
    <w:p w14:paraId="0D1C5DBB" w14:textId="77777777" w:rsidR="00334BB7" w:rsidRPr="0010446F" w:rsidRDefault="00334BB7" w:rsidP="00334BB7">
      <w:pPr>
        <w:pStyle w:val="Heading2"/>
        <w:rPr>
          <w:rFonts w:cs="Arial"/>
          <w:szCs w:val="24"/>
        </w:rPr>
      </w:pPr>
      <w:bookmarkStart w:id="8" w:name="_Toc227947233"/>
      <w:r w:rsidRPr="0010446F">
        <w:rPr>
          <w:rFonts w:cs="Arial"/>
          <w:szCs w:val="24"/>
        </w:rPr>
        <w:t>4.1 Need for Financial Restructuring</w:t>
      </w:r>
      <w:bookmarkEnd w:id="8"/>
    </w:p>
    <w:p w14:paraId="3F9D854B" w14:textId="7F3AAD4A" w:rsidR="00490A87" w:rsidRPr="0010446F" w:rsidRDefault="00490A87" w:rsidP="00334BB7">
      <w:pPr>
        <w:rPr>
          <w:rFonts w:cs="Arial"/>
          <w:lang w:val="en-US"/>
        </w:rPr>
      </w:pPr>
      <w:r w:rsidRPr="00490A87">
        <w:rPr>
          <w:rFonts w:cs="Arial"/>
          <w:lang w:val="en-US"/>
        </w:rPr>
        <w:t>Although Toyota has a healthy financial status, the previous financial analysis highlights areas in which financial restructuring is needed to enhance long-term financial performance and maintain a competitive position. First, the company has seen a decline in working capital efficiency, increasing cash conversion cycle, and decreased operating cash flow ratios over time despite growing revenue and profits. These concerns indicate Toyota's financial structure may not be sufficiently flexible to support its rapid strategic shift towards electric vehicle (EV) manufacturing and technological advancement. The growing competition from EV-focused startups, the need for investment in battery technologies and the global regulatory pressures require large capital investments and improved financial agility (Lundgren and Viganò, 2024). Failure to preemptively restructure could result in less liquidity, inflexible operations and reduced investment in strategic initiatives. Thus, a comprehensive financial restructuring strategy is essential to enhance capital allocation and liquidity efficiency, maintain shareholder value, and maintain appropriate flexibility to fund future EV investments, global growth and transformation.</w:t>
      </w:r>
    </w:p>
    <w:p w14:paraId="2288509D" w14:textId="1C49ABD5" w:rsidR="00334BB7" w:rsidRPr="00AF4715" w:rsidRDefault="00334BB7" w:rsidP="00AF4715">
      <w:pPr>
        <w:rPr>
          <w:b/>
          <w:bCs/>
          <w:i/>
          <w:iCs/>
        </w:rPr>
      </w:pPr>
      <w:r w:rsidRPr="00AF4715">
        <w:rPr>
          <w:b/>
          <w:bCs/>
          <w:i/>
          <w:iCs/>
        </w:rPr>
        <w:t xml:space="preserve">Recommended Restructuring Strategy 1 </w:t>
      </w:r>
    </w:p>
    <w:p w14:paraId="5212C3DC" w14:textId="25787EDB" w:rsidR="00F301E9" w:rsidRPr="002F188B" w:rsidRDefault="00F301E9" w:rsidP="002F188B">
      <w:pPr>
        <w:rPr>
          <w:rFonts w:cs="Arial"/>
          <w:lang w:val="en-US"/>
        </w:rPr>
      </w:pPr>
      <w:r w:rsidRPr="00F301E9">
        <w:rPr>
          <w:rFonts w:cs="Arial"/>
          <w:lang w:val="en-US"/>
        </w:rPr>
        <w:t xml:space="preserve">Toyota should focus on internally generated funds and, when it makes sense, equity financing to fund long-term EV investment and technological change. Toyota's low leverage offers flexibility, but maintaining moderate gearing and leveraging for capital-intensive electrification plans is wise given the uncertainties and magnitude of investment. </w:t>
      </w:r>
      <w:r w:rsidRPr="00F301E9">
        <w:rPr>
          <w:rFonts w:cs="Arial"/>
          <w:lang w:val="en-US"/>
        </w:rPr>
        <w:lastRenderedPageBreak/>
        <w:t>Retained earnings are an internal and low-cost source of funds that can be used to finance EV growth without increasing debt levels or fixed interest payments (Fu and Yang, 2021). Financing battery manufacturing, software, R&amp;D and charging infrastructure with retained earnings will improve Toyota's solvency and maintain flexibility to borrow for future projects or recessions.</w:t>
      </w:r>
    </w:p>
    <w:p w14:paraId="502A44B4" w14:textId="77777777" w:rsidR="00EC0F92" w:rsidRPr="00EC0F92" w:rsidRDefault="00EC0F92" w:rsidP="00EC0F92">
      <w:pPr>
        <w:rPr>
          <w:rFonts w:cs="Arial"/>
          <w:lang w:val="en-US"/>
        </w:rPr>
      </w:pPr>
      <w:r w:rsidRPr="00EC0F92">
        <w:rPr>
          <w:rFonts w:cs="Arial"/>
          <w:lang w:val="en-US"/>
        </w:rPr>
        <w:t xml:space="preserve">However, equity financing or targeted equity placements could be used to fund particularly large investments. Equity financing reduces leverage risk, enhances solvency ratios and fortifies the firm's balance sheet by boosting its equity capital base (Abubakar and </w:t>
      </w:r>
      <w:proofErr w:type="spellStart"/>
      <w:r w:rsidRPr="00EC0F92">
        <w:rPr>
          <w:rFonts w:cs="Arial"/>
          <w:lang w:val="en-US"/>
        </w:rPr>
        <w:t>Anyonje</w:t>
      </w:r>
      <w:proofErr w:type="spellEnd"/>
      <w:r w:rsidRPr="00EC0F92">
        <w:rPr>
          <w:rFonts w:cs="Arial"/>
          <w:lang w:val="en-US"/>
        </w:rPr>
        <w:t>, 2025). This can be especially beneficial if Toyota were to make large-scale strategic investments. While issuing equity can dilute shareholders, this can be offset if the capital is spent on high-return strategic initiatives that are likely to increase shareholder returns over time. Retaining a high proportion of equity-based capital also promotes investor trust and Toyota's creditworthiness.</w:t>
      </w:r>
    </w:p>
    <w:p w14:paraId="5142B9B4" w14:textId="51BC3C6E" w:rsidR="00EC0F92" w:rsidRPr="002F188B" w:rsidRDefault="00EC0F92" w:rsidP="00EC0F92">
      <w:pPr>
        <w:rPr>
          <w:rFonts w:cs="Arial"/>
          <w:lang w:val="en-US"/>
        </w:rPr>
      </w:pPr>
      <w:r>
        <w:rPr>
          <w:rFonts w:cs="Arial"/>
          <w:lang w:val="en-US"/>
        </w:rPr>
        <w:t>A</w:t>
      </w:r>
      <w:r w:rsidRPr="00EC0F92">
        <w:rPr>
          <w:rFonts w:cs="Arial"/>
          <w:lang w:val="en-US"/>
        </w:rPr>
        <w:t xml:space="preserve"> preference for retained earnings and selective equity issuance would allow for long-term growth while maintaining Toyota's flexibility and avoiding excessive debt.</w:t>
      </w:r>
    </w:p>
    <w:p w14:paraId="393496F0" w14:textId="5151CF3D" w:rsidR="002F188B" w:rsidRPr="00AF4715" w:rsidRDefault="00334BB7" w:rsidP="00AF4715">
      <w:pPr>
        <w:rPr>
          <w:b/>
          <w:bCs/>
          <w:i/>
          <w:iCs/>
          <w:lang w:val="en-US"/>
        </w:rPr>
      </w:pPr>
      <w:r w:rsidRPr="00AF4715">
        <w:rPr>
          <w:b/>
          <w:bCs/>
          <w:i/>
          <w:iCs/>
        </w:rPr>
        <w:t xml:space="preserve">Recommended Restructuring Strategy </w:t>
      </w:r>
      <w:r w:rsidR="000B19AD" w:rsidRPr="00AF4715">
        <w:rPr>
          <w:b/>
          <w:bCs/>
          <w:i/>
          <w:iCs/>
        </w:rPr>
        <w:t>2</w:t>
      </w:r>
    </w:p>
    <w:p w14:paraId="127F5DB8" w14:textId="77777777" w:rsidR="001A3277" w:rsidRPr="001A3277" w:rsidRDefault="001A3277" w:rsidP="001A3277">
      <w:pPr>
        <w:rPr>
          <w:lang w:val="en-US"/>
        </w:rPr>
      </w:pPr>
      <w:r w:rsidRPr="001A3277">
        <w:rPr>
          <w:lang w:val="en-US"/>
        </w:rPr>
        <w:t>Increasing strategic partnerships and joint ventures will help Toyota mitigate financial risks, speed up technological development and improve global competitiveness in the EV industry (Porters and Prahalad, 2023). Due to the high financial and technological risk in EV development, alternative investment structures can be used to pool capital, technological, and market risk.</w:t>
      </w:r>
    </w:p>
    <w:p w14:paraId="47D25BF1" w14:textId="3B3B13F7" w:rsidR="001A3277" w:rsidRPr="002F188B" w:rsidRDefault="001A3277" w:rsidP="001A3277">
      <w:pPr>
        <w:rPr>
          <w:lang w:val="en-US"/>
        </w:rPr>
      </w:pPr>
      <w:r w:rsidRPr="001A3277">
        <w:rPr>
          <w:lang w:val="en-US"/>
        </w:rPr>
        <w:t xml:space="preserve">Joint ventures in battery technology would allow Toyota to leverage cutting-edge battery technology while offsetting the costs and risks of internal research and development, and increase the speed of bringing new EV technologies to market. Partnerships with battery producers, semiconductor companies and software providers can improve technology development capabilities and reduce risk. Joint ventures also enable co-investment in manufacturing facilities and global expansion, especially in emerging markets with high growth potential where market entry risks can also be high (Zhang </w:t>
      </w:r>
      <w:r w:rsidRPr="001A3277">
        <w:rPr>
          <w:i/>
          <w:iCs/>
          <w:lang w:val="en-US"/>
        </w:rPr>
        <w:t>et al.,</w:t>
      </w:r>
      <w:r w:rsidRPr="001A3277">
        <w:rPr>
          <w:lang w:val="en-US"/>
        </w:rPr>
        <w:t xml:space="preserve"> 2025). Collaborations with domestic manufacturers or technology companies can enhance market presence, navigate regulatory challenges, and reduce risk.</w:t>
      </w:r>
    </w:p>
    <w:p w14:paraId="085325E8" w14:textId="65624374" w:rsidR="00334BB7" w:rsidRPr="00AF4715" w:rsidRDefault="00334BB7" w:rsidP="00AF4715">
      <w:pPr>
        <w:rPr>
          <w:b/>
          <w:bCs/>
          <w:i/>
          <w:iCs/>
        </w:rPr>
      </w:pPr>
      <w:r w:rsidRPr="00AF4715">
        <w:rPr>
          <w:b/>
          <w:bCs/>
          <w:i/>
          <w:iCs/>
        </w:rPr>
        <w:lastRenderedPageBreak/>
        <w:t xml:space="preserve">Recommended Restructuring </w:t>
      </w:r>
      <w:r w:rsidR="000B19AD" w:rsidRPr="00AF4715">
        <w:rPr>
          <w:b/>
          <w:bCs/>
          <w:i/>
          <w:iCs/>
        </w:rPr>
        <w:t>Strategy 3</w:t>
      </w:r>
    </w:p>
    <w:p w14:paraId="730005F3" w14:textId="77777777" w:rsidR="00152566" w:rsidRPr="00152566" w:rsidRDefault="00152566" w:rsidP="00152566">
      <w:pPr>
        <w:rPr>
          <w:rFonts w:cs="Arial"/>
          <w:lang w:val="en-US"/>
        </w:rPr>
      </w:pPr>
      <w:r w:rsidRPr="00152566">
        <w:rPr>
          <w:rFonts w:cs="Arial"/>
          <w:lang w:val="en-US"/>
        </w:rPr>
        <w:t>Toyota should consider strategically divesting non-core assets, loss-making subsidiaries, or business units that are inconsistent with the company's strategy to achieve better financial performance and strengthen strategic clarity. With the fast-changing dynamics in the automotive industry towards electrification, existing investments in non-core assets or business units with poor growth rates may distract management focus and tie up resources that could have been diverted to EV-related growth initiatives.</w:t>
      </w:r>
    </w:p>
    <w:p w14:paraId="412309B8" w14:textId="62F135C9" w:rsidR="00152566" w:rsidRPr="002F188B" w:rsidRDefault="00152566" w:rsidP="00152566">
      <w:pPr>
        <w:rPr>
          <w:rFonts w:cs="Arial"/>
          <w:lang w:val="en-US"/>
        </w:rPr>
      </w:pPr>
      <w:r w:rsidRPr="00152566">
        <w:rPr>
          <w:rFonts w:cs="Arial"/>
          <w:lang w:val="en-US"/>
        </w:rPr>
        <w:t>This would provide cash inflows from divestments, which can be channeled to other growth-oriented projects such as EV manufacturing and battery production, software development, and digital mobility platforms (</w:t>
      </w:r>
      <w:proofErr w:type="spellStart"/>
      <w:r w:rsidRPr="00152566">
        <w:rPr>
          <w:rFonts w:cs="Arial"/>
          <w:lang w:val="en-US"/>
        </w:rPr>
        <w:t>Potharla</w:t>
      </w:r>
      <w:proofErr w:type="spellEnd"/>
      <w:r w:rsidRPr="00152566">
        <w:rPr>
          <w:rFonts w:cs="Arial"/>
          <w:lang w:val="en-US"/>
        </w:rPr>
        <w:t xml:space="preserve">, 2025). This would enhance Toyota's cash flow and </w:t>
      </w:r>
      <w:proofErr w:type="spellStart"/>
      <w:r w:rsidRPr="00152566">
        <w:rPr>
          <w:rFonts w:cs="Arial"/>
          <w:lang w:val="en-US"/>
        </w:rPr>
        <w:t>minimise</w:t>
      </w:r>
      <w:proofErr w:type="spellEnd"/>
      <w:r w:rsidRPr="00152566">
        <w:rPr>
          <w:rFonts w:cs="Arial"/>
          <w:lang w:val="en-US"/>
        </w:rPr>
        <w:t xml:space="preserve"> excessive reliance on external funding. Moreover, divestiture would increase asset productivity by eliminating non-productive assets from the books, thereby increasing return on assets and capital efficiency.</w:t>
      </w:r>
    </w:p>
    <w:p w14:paraId="0114F2F6" w14:textId="7FD97713" w:rsidR="00366A48" w:rsidRPr="002F188B" w:rsidRDefault="00366A48" w:rsidP="002F188B">
      <w:pPr>
        <w:rPr>
          <w:rFonts w:cs="Arial"/>
          <w:lang w:val="en-US"/>
        </w:rPr>
      </w:pPr>
      <w:r w:rsidRPr="00366A48">
        <w:rPr>
          <w:rFonts w:cs="Arial"/>
          <w:lang w:val="en-US"/>
        </w:rPr>
        <w:t>Strategically, divestment would enable Toyota to focus management attention and investment on key growth areas linked to the future of mobility. For instance, divesting from low-performing traditional combustion engine businesses or non-core overseas subsidiaries may enhance operational and strategic efficiency. But divestiture should be done in a way that avoids selling off key assets or disturbing operations. Managers should therefore undertake portfolio assessments to determine assets that provide subpar strategic and financial returns while retaining those assets that are essential to Toyota’s strategic sustainability.</w:t>
      </w:r>
    </w:p>
    <w:p w14:paraId="145CE7DA" w14:textId="6FFC2F0B" w:rsidR="00334BB7" w:rsidRPr="0010446F" w:rsidRDefault="00334BB7" w:rsidP="00334BB7">
      <w:pPr>
        <w:pStyle w:val="Heading2"/>
        <w:rPr>
          <w:rFonts w:cs="Arial"/>
          <w:szCs w:val="24"/>
        </w:rPr>
      </w:pPr>
      <w:bookmarkStart w:id="9" w:name="_Toc227947234"/>
      <w:r w:rsidRPr="0010446F">
        <w:rPr>
          <w:rFonts w:cs="Arial"/>
          <w:szCs w:val="24"/>
        </w:rPr>
        <w:t>4.</w:t>
      </w:r>
      <w:r w:rsidR="00AF4715">
        <w:rPr>
          <w:rFonts w:cs="Arial"/>
          <w:szCs w:val="24"/>
        </w:rPr>
        <w:t>2</w:t>
      </w:r>
      <w:r w:rsidRPr="0010446F">
        <w:rPr>
          <w:rFonts w:cs="Arial"/>
          <w:szCs w:val="24"/>
        </w:rPr>
        <w:t xml:space="preserve"> Impact Assessment</w:t>
      </w:r>
      <w:bookmarkEnd w:id="9"/>
      <w:r w:rsidRPr="0010446F">
        <w:rPr>
          <w:rFonts w:cs="Arial"/>
          <w:szCs w:val="24"/>
        </w:rPr>
        <w:t xml:space="preserve"> </w:t>
      </w:r>
    </w:p>
    <w:p w14:paraId="3D3A8B21" w14:textId="77777777" w:rsidR="004E3B43" w:rsidRPr="004E3B43" w:rsidRDefault="004E3B43" w:rsidP="004E3B43">
      <w:pPr>
        <w:rPr>
          <w:rFonts w:cs="Arial"/>
          <w:lang w:val="en-US"/>
        </w:rPr>
      </w:pPr>
      <w:r w:rsidRPr="004E3B43">
        <w:rPr>
          <w:rFonts w:cs="Arial"/>
          <w:lang w:val="en-US"/>
        </w:rPr>
        <w:t>The restructuring recommendations should impact Toyota's financial and strategic performance in multiple areas. First, equity value is likely to rise due to better capital allocation, higher return on capital, and better growth prospects with EV investment. Selling-off unproductive assets and investing in EV growth opportunities should improve profitability, and investor sentiment (CIACCHERI, 2024).</w:t>
      </w:r>
    </w:p>
    <w:p w14:paraId="662A7098" w14:textId="09F845D0" w:rsidR="004E3B43" w:rsidRDefault="004E3B43" w:rsidP="004E3B43">
      <w:pPr>
        <w:rPr>
          <w:rFonts w:cs="Arial"/>
          <w:lang w:val="en-US"/>
        </w:rPr>
      </w:pPr>
      <w:r w:rsidRPr="004E3B43">
        <w:rPr>
          <w:rFonts w:cs="Arial"/>
          <w:lang w:val="en-US"/>
        </w:rPr>
        <w:t xml:space="preserve">Toyota's financial leverage and solvency should not be impaired due to the recommended reliance on internal funds and equity financing, and partnerships rather than excessive </w:t>
      </w:r>
      <w:r w:rsidRPr="004E3B43">
        <w:rPr>
          <w:rFonts w:cs="Arial"/>
          <w:lang w:val="en-US"/>
        </w:rPr>
        <w:lastRenderedPageBreak/>
        <w:t>debt. This would sustain financial strength and borrowing capacity for future investments. Operational flexibility would improve significantly. With a leaner asset footprint, improved liquidity and a network of strategic partnerships, Toyota will gain greater agility to respond to technology and market change, competitive challenges and other external threats. Enhanced financial flexibility also boosts Toyota's resilience to macroeconomic and supply chain shocks.</w:t>
      </w:r>
    </w:p>
    <w:p w14:paraId="3082EFE1" w14:textId="0ECF509C" w:rsidR="00EF31AE" w:rsidRPr="0010446F" w:rsidRDefault="00EF31AE" w:rsidP="00334BB7">
      <w:pPr>
        <w:rPr>
          <w:rFonts w:cs="Arial"/>
          <w:lang w:val="en-US"/>
        </w:rPr>
      </w:pPr>
      <w:r w:rsidRPr="00EF31AE">
        <w:rPr>
          <w:rFonts w:cs="Arial"/>
          <w:lang w:val="en-US"/>
        </w:rPr>
        <w:t>Managers should consider the timing of restructuring to prevent operational chaos, resistance and/or implementation failure (Tran, 2025). Engagement with investors, employees and partners will be critical to achieve restructuring success.</w:t>
      </w:r>
    </w:p>
    <w:p w14:paraId="5278FC91" w14:textId="24FA1420" w:rsidR="00334BB7" w:rsidRPr="0010446F" w:rsidRDefault="00334BB7" w:rsidP="00334BB7">
      <w:pPr>
        <w:pStyle w:val="Heading2"/>
        <w:rPr>
          <w:rFonts w:cs="Arial"/>
          <w:szCs w:val="24"/>
        </w:rPr>
      </w:pPr>
      <w:bookmarkStart w:id="10" w:name="_Toc227947235"/>
      <w:r w:rsidRPr="0010446F">
        <w:rPr>
          <w:rFonts w:cs="Arial"/>
          <w:szCs w:val="24"/>
        </w:rPr>
        <w:t>4.</w:t>
      </w:r>
      <w:r w:rsidR="00AF4715">
        <w:rPr>
          <w:rFonts w:cs="Arial"/>
          <w:szCs w:val="24"/>
        </w:rPr>
        <w:t>3</w:t>
      </w:r>
      <w:r w:rsidRPr="0010446F">
        <w:rPr>
          <w:rFonts w:cs="Arial"/>
          <w:szCs w:val="24"/>
        </w:rPr>
        <w:t xml:space="preserve"> Ethical Considerations</w:t>
      </w:r>
      <w:bookmarkEnd w:id="10"/>
    </w:p>
    <w:p w14:paraId="4BC1FE24" w14:textId="60106CDE" w:rsidR="002E5C8B" w:rsidRPr="0010446F" w:rsidRDefault="002E5C8B" w:rsidP="00334BB7">
      <w:pPr>
        <w:rPr>
          <w:rFonts w:cs="Arial"/>
          <w:lang w:val="en-US"/>
        </w:rPr>
      </w:pPr>
      <w:proofErr w:type="spellStart"/>
      <w:r w:rsidRPr="002E5C8B">
        <w:rPr>
          <w:rFonts w:cs="Arial"/>
          <w:lang w:val="en-US"/>
        </w:rPr>
        <w:t>Globalisation</w:t>
      </w:r>
      <w:proofErr w:type="spellEnd"/>
      <w:r w:rsidRPr="002E5C8B">
        <w:rPr>
          <w:rFonts w:cs="Arial"/>
          <w:lang w:val="en-US"/>
        </w:rPr>
        <w:t xml:space="preserve"> and ethical considerations are important aspects of Toyota's restructuring strategy. Exchange rates can impact profitability and returns on investment through Toyota's global revenues and expenses, requiring exchange rate risk management. Inflation and global interest rate fluctuations might also impact production and financing costs, affecting restructurings. Cross-border tax implications need to be considered to promote efficient global capital allocation and meet global tax compliance obligations (</w:t>
      </w:r>
      <w:proofErr w:type="spellStart"/>
      <w:r w:rsidRPr="002E5C8B">
        <w:rPr>
          <w:rFonts w:cs="Arial"/>
          <w:lang w:val="en-US"/>
        </w:rPr>
        <w:t>Umeaduma</w:t>
      </w:r>
      <w:proofErr w:type="spellEnd"/>
      <w:r w:rsidRPr="002E5C8B">
        <w:rPr>
          <w:rFonts w:cs="Arial"/>
          <w:lang w:val="en-US"/>
        </w:rPr>
        <w:t>, 2022). Restructuring initiatives must comply with Toyota's corporate social responsibility policies and ESG goals, ensuring sustainable relationships with employees, suppliers and communities, and promoting environmentally sustainable EV production. A sustainable and ethical approach to restructuring is essential to maintain Toyota's reputation and trust.</w:t>
      </w:r>
    </w:p>
    <w:p w14:paraId="31C041F6" w14:textId="77777777" w:rsidR="00334BB7" w:rsidRPr="0010446F" w:rsidRDefault="00334BB7" w:rsidP="00334BB7">
      <w:pPr>
        <w:pStyle w:val="Heading1"/>
        <w:rPr>
          <w:rFonts w:cs="Arial"/>
          <w:szCs w:val="24"/>
        </w:rPr>
      </w:pPr>
      <w:bookmarkStart w:id="11" w:name="_Toc227947236"/>
      <w:r w:rsidRPr="0010446F">
        <w:rPr>
          <w:rFonts w:cs="Arial"/>
          <w:szCs w:val="24"/>
        </w:rPr>
        <w:t>5. Investment Appraisal and Capital Budgeting</w:t>
      </w:r>
      <w:bookmarkEnd w:id="11"/>
    </w:p>
    <w:p w14:paraId="37AF3A82" w14:textId="77777777" w:rsidR="00334BB7" w:rsidRPr="00AF4715" w:rsidRDefault="00334BB7" w:rsidP="00AF4715">
      <w:pPr>
        <w:rPr>
          <w:b/>
          <w:bCs/>
          <w:i/>
          <w:iCs/>
        </w:rPr>
      </w:pPr>
      <w:r w:rsidRPr="00AF4715">
        <w:rPr>
          <w:b/>
          <w:bCs/>
          <w:i/>
          <w:iCs/>
        </w:rPr>
        <w:t>5.1 Investment Appraisal Methodology</w:t>
      </w:r>
    </w:p>
    <w:p w14:paraId="60534747" w14:textId="77777777" w:rsidR="002E5C8B" w:rsidRPr="002E5C8B" w:rsidRDefault="002E5C8B" w:rsidP="002E5C8B">
      <w:pPr>
        <w:rPr>
          <w:rFonts w:cs="Arial"/>
          <w:lang w:val="en-US"/>
        </w:rPr>
      </w:pPr>
      <w:r w:rsidRPr="002E5C8B">
        <w:rPr>
          <w:rFonts w:cs="Arial"/>
          <w:lang w:val="en-US"/>
        </w:rPr>
        <w:t>Investment appraisal methods are critical financial tools to assess the feasibility, profitability and strategic suitability of long-term capital projects. This report uses five traditional appraisal techniques to evaluate Toyota’s investment projects.</w:t>
      </w:r>
    </w:p>
    <w:p w14:paraId="764B242E" w14:textId="75E254FE" w:rsidR="002E5C8B" w:rsidRPr="0010446F" w:rsidRDefault="002E5C8B" w:rsidP="002E5C8B">
      <w:pPr>
        <w:rPr>
          <w:rFonts w:cs="Arial"/>
          <w:lang w:val="en-US"/>
        </w:rPr>
      </w:pPr>
      <w:r w:rsidRPr="002E5C8B">
        <w:rPr>
          <w:rFonts w:cs="Arial"/>
          <w:lang w:val="en-US"/>
        </w:rPr>
        <w:t xml:space="preserve">Payback Period (PBP) calculates the time it takes to pay back the initial capital outlay from the cash flows generated (Cotter, 2023). It can be used to </w:t>
      </w:r>
      <w:proofErr w:type="spellStart"/>
      <w:r w:rsidRPr="002E5C8B">
        <w:rPr>
          <w:rFonts w:cs="Arial"/>
          <w:lang w:val="en-US"/>
        </w:rPr>
        <w:t>analyse</w:t>
      </w:r>
      <w:proofErr w:type="spellEnd"/>
      <w:r w:rsidRPr="002E5C8B">
        <w:rPr>
          <w:rFonts w:cs="Arial"/>
          <w:lang w:val="en-US"/>
        </w:rPr>
        <w:t xml:space="preserve"> liquidity and risk but fails to consider cash flows after the payback period and the time value of money. </w:t>
      </w:r>
      <w:r w:rsidRPr="002E5C8B">
        <w:rPr>
          <w:rFonts w:cs="Arial"/>
          <w:lang w:val="en-US"/>
        </w:rPr>
        <w:lastRenderedPageBreak/>
        <w:t>Accounting Rate of Return (ARR) measures the average accounting profit over average investment, providing information on the profitability of a project from an accounting viewpoint. But ARR is based on profits rather than cash flows. Net Present Value (NPV) evaluates present value of future cash inflows minus initial investment, considering the time value of money (Wang, 2021). If the NPV is positive, a project will create value for shareholders.</w:t>
      </w:r>
    </w:p>
    <w:p w14:paraId="4648DBAC" w14:textId="0A730EBE" w:rsidR="00D47D33" w:rsidRPr="0010446F" w:rsidRDefault="00D47D33" w:rsidP="00334BB7">
      <w:pPr>
        <w:rPr>
          <w:rFonts w:cs="Arial"/>
          <w:lang w:val="en-US"/>
        </w:rPr>
      </w:pPr>
      <w:r w:rsidRPr="00D47D33">
        <w:rPr>
          <w:rFonts w:cs="Arial"/>
          <w:lang w:val="en-US"/>
        </w:rPr>
        <w:t xml:space="preserve">Internal Rate of Return (IRR) is a rate that shows the percentage rate at which NPV is zero and indicates the anticipated percent that the project will produce (Kulakov and </w:t>
      </w:r>
      <w:proofErr w:type="spellStart"/>
      <w:r w:rsidRPr="00D47D33">
        <w:rPr>
          <w:rFonts w:cs="Arial"/>
          <w:lang w:val="en-US"/>
        </w:rPr>
        <w:t>Blaset</w:t>
      </w:r>
      <w:proofErr w:type="spellEnd"/>
      <w:r w:rsidRPr="00D47D33">
        <w:rPr>
          <w:rFonts w:cs="Arial"/>
          <w:lang w:val="en-US"/>
        </w:rPr>
        <w:t>, 2020). Even though the five approaches are all useful in their own ways, NPV is considered to be the most theoretically sound appraisal method since it directly evaluates the creation of shareholder value.</w:t>
      </w:r>
    </w:p>
    <w:p w14:paraId="05779E9B" w14:textId="07B1069F" w:rsidR="00334BB7" w:rsidRPr="00AF4715" w:rsidRDefault="00334BB7" w:rsidP="00AF4715">
      <w:pPr>
        <w:rPr>
          <w:b/>
          <w:bCs/>
          <w:i/>
          <w:iCs/>
          <w:lang w:val="en-US"/>
        </w:rPr>
      </w:pPr>
      <w:r w:rsidRPr="00AF4715">
        <w:rPr>
          <w:b/>
          <w:bCs/>
          <w:i/>
          <w:iCs/>
        </w:rPr>
        <w:t>5.2 Appraisal Results and Interpretation</w:t>
      </w:r>
    </w:p>
    <w:p w14:paraId="28CAA5D0" w14:textId="77777777" w:rsidR="00AB4DB6" w:rsidRPr="00AB4DB6" w:rsidRDefault="00AB4DB6" w:rsidP="00AB4DB6">
      <w:pPr>
        <w:rPr>
          <w:rFonts w:cs="Arial"/>
          <w:lang w:val="en-US"/>
        </w:rPr>
      </w:pPr>
      <w:r w:rsidRPr="00AB4DB6">
        <w:rPr>
          <w:rFonts w:cs="Arial"/>
          <w:lang w:val="en-US"/>
        </w:rPr>
        <w:t>Results of the investment appraisal reveal that there is evident difference in financial attractiveness of the three proposed projects. Under most appraisal methods, project C would do best overall and highest under most appraisal methods. It has the shortest payback period of 4.00 years, meaning that it is able to recoup the initial investment faster than other competing alternatives and thus has a lower liquidity risk. Its 6.00% ARR is also significantly higher than the accounting profitability of Projects A and B.</w:t>
      </w:r>
    </w:p>
    <w:p w14:paraId="458CEAD1" w14:textId="0147F0B6" w:rsidR="00AB4DB6" w:rsidRPr="0010446F" w:rsidRDefault="00AB4DB6" w:rsidP="00AB4DB6">
      <w:pPr>
        <w:rPr>
          <w:rFonts w:cs="Arial"/>
          <w:lang w:val="en-US"/>
        </w:rPr>
      </w:pPr>
      <w:r w:rsidRPr="00AB4DB6">
        <w:rPr>
          <w:rFonts w:cs="Arial"/>
          <w:lang w:val="en-US"/>
        </w:rPr>
        <w:t xml:space="preserve">Above all Project C is the only project that is producing a positive NPV of £1.08 million and this implies that Project C is likely to yield shareholder value once the cost of capital of 10% is taken into consideration. On the same note, its profitability index of 1.02 is a clear indication that the present value of future cash inflows will not be less than the initial investment, and thus, financial viability. Project A gives mixed outcome. Though </w:t>
      </w:r>
      <w:proofErr w:type="spellStart"/>
      <w:r w:rsidRPr="00AB4DB6">
        <w:rPr>
          <w:rFonts w:cs="Arial"/>
          <w:lang w:val="en-US"/>
        </w:rPr>
        <w:t>its</w:t>
      </w:r>
      <w:proofErr w:type="spellEnd"/>
      <w:r w:rsidRPr="00AB4DB6">
        <w:rPr>
          <w:rFonts w:cs="Arial"/>
          <w:lang w:val="en-US"/>
        </w:rPr>
        <w:t xml:space="preserve"> payback period and IRR are fairly acceptable, its negative NPV of £2.14 million means that the project would lower the wealth of shareholders should it be undertaken. Project B has the poorest performance in almost all appraisal measures, lowest IRR, and least PI and a negative NPV.</w:t>
      </w:r>
    </w:p>
    <w:p w14:paraId="1FA315CA" w14:textId="5FF2A442" w:rsidR="00A432E1" w:rsidRPr="0010446F" w:rsidRDefault="00A432E1" w:rsidP="00334BB7">
      <w:pPr>
        <w:rPr>
          <w:rFonts w:cs="Arial"/>
          <w:lang w:val="en-US"/>
        </w:rPr>
      </w:pPr>
      <w:r w:rsidRPr="00A432E1">
        <w:rPr>
          <w:rFonts w:cs="Arial"/>
          <w:lang w:val="en-US"/>
        </w:rPr>
        <w:t xml:space="preserve">Certain discrepancies among methods can be found. </w:t>
      </w:r>
      <w:r w:rsidRPr="0010446F">
        <w:rPr>
          <w:rFonts w:cs="Arial"/>
          <w:lang w:val="en-US"/>
        </w:rPr>
        <w:t xml:space="preserve">For example, </w:t>
      </w:r>
      <w:r w:rsidRPr="00A432E1">
        <w:rPr>
          <w:rFonts w:cs="Arial"/>
          <w:lang w:val="en-US"/>
        </w:rPr>
        <w:t xml:space="preserve">the IRR of Project A of 8.45% is stronger compared to the IRR of Project B of 3.42; nevertheless, both projects yield negative NPVs. This shows how relying on percentages based or </w:t>
      </w:r>
      <w:r w:rsidR="004F65F2" w:rsidRPr="00A432E1">
        <w:rPr>
          <w:rFonts w:cs="Arial"/>
          <w:lang w:val="en-US"/>
        </w:rPr>
        <w:t>liquidity-based</w:t>
      </w:r>
      <w:r w:rsidRPr="00A432E1">
        <w:rPr>
          <w:rFonts w:cs="Arial"/>
          <w:lang w:val="en-US"/>
        </w:rPr>
        <w:t xml:space="preserve"> </w:t>
      </w:r>
      <w:r w:rsidRPr="00A432E1">
        <w:rPr>
          <w:rFonts w:cs="Arial"/>
          <w:lang w:val="en-US"/>
        </w:rPr>
        <w:lastRenderedPageBreak/>
        <w:t>appraisal methods is limited. Payback and ARR can give preference to projects which have early or account-based returns but do not reflect full value creation. Therefore, NPV ought to be given the first priority in decision making as it is the only measure of the anticipated growth or loss in the wealth of the shareholders and it takes into consideration the time value of money. In this regard, Project C would be preferable based on the most theoretically sound investment criterion.</w:t>
      </w:r>
    </w:p>
    <w:p w14:paraId="1347CA72" w14:textId="5CC7DD9B" w:rsidR="00334BB7" w:rsidRPr="00AF4715" w:rsidRDefault="00334BB7" w:rsidP="00AF4715">
      <w:pPr>
        <w:rPr>
          <w:b/>
          <w:bCs/>
          <w:i/>
          <w:iCs/>
        </w:rPr>
      </w:pPr>
      <w:r w:rsidRPr="00AF4715">
        <w:rPr>
          <w:b/>
          <w:bCs/>
          <w:i/>
          <w:iCs/>
        </w:rPr>
        <w:t>5.3 Recommended Project</w:t>
      </w:r>
    </w:p>
    <w:p w14:paraId="2A5EC9DA" w14:textId="77777777" w:rsidR="008352ED" w:rsidRPr="008352ED" w:rsidRDefault="008352ED" w:rsidP="008352ED">
      <w:pPr>
        <w:rPr>
          <w:rFonts w:cs="Arial"/>
          <w:lang w:val="en-US"/>
        </w:rPr>
      </w:pPr>
      <w:r w:rsidRPr="008352ED">
        <w:rPr>
          <w:rFonts w:cs="Arial"/>
          <w:lang w:val="en-US"/>
        </w:rPr>
        <w:t>According to the analysis of investment appraisal, the most feasible investment option is Project C and it should be suggested to be implemented.</w:t>
      </w:r>
    </w:p>
    <w:p w14:paraId="4792E4B9" w14:textId="11726C11" w:rsidR="008352ED" w:rsidRPr="0010446F" w:rsidRDefault="008352ED" w:rsidP="008352ED">
      <w:pPr>
        <w:rPr>
          <w:rFonts w:cs="Arial"/>
          <w:lang w:val="en-US"/>
        </w:rPr>
      </w:pPr>
      <w:r w:rsidRPr="008352ED">
        <w:rPr>
          <w:rFonts w:cs="Arial"/>
          <w:lang w:val="en-US"/>
        </w:rPr>
        <w:t>The only project that generates a positive NPV is project C, meaning it is likely to create value to the shareholders once the cost of capital has been recovered. This is the most important determinant in capital budgeting as NPV is a direct measure of wealth creation. In comparison, both Projects A and B are negative NPVs and thus would decrease shareholder value were they approved. Besides its high NPV value, Project C has the best IRR of 10.69, which is higher than the required discount of 10% of the company. This implies that the project has returns that are greater than the hurdle rate of Toyota and is economically appealing in terms of percentage-return. Project C also has the shortest payback period of 4.00 years, enhancing the liquidity of investment and minimizing the risk of long-term uncertainty.</w:t>
      </w:r>
    </w:p>
    <w:p w14:paraId="0E73D569" w14:textId="77777777" w:rsidR="008352ED" w:rsidRPr="008352ED" w:rsidRDefault="008352ED" w:rsidP="008352ED">
      <w:pPr>
        <w:rPr>
          <w:rFonts w:cs="Arial"/>
          <w:lang w:val="en-US"/>
        </w:rPr>
      </w:pPr>
      <w:r w:rsidRPr="008352ED">
        <w:rPr>
          <w:rFonts w:cs="Arial"/>
          <w:lang w:val="en-US"/>
        </w:rPr>
        <w:t xml:space="preserve">Strategically, Toyota has a high liquidity and low gearing position, which indicates that the company has adequate financial resources to pursue Project C without putting too much strain on solvency and liquidity. The fact that Toyota is stable in terms of profitability, leverage, and balance sheet also contributes to the fact that the company can afford the investment or finance it with the help of low-cost borrowing in case of necessity. Choosing the best positive-NPV project is in line with the </w:t>
      </w:r>
      <w:proofErr w:type="spellStart"/>
      <w:r w:rsidRPr="008352ED">
        <w:rPr>
          <w:rFonts w:cs="Arial"/>
          <w:lang w:val="en-US"/>
        </w:rPr>
        <w:t>maximisation</w:t>
      </w:r>
      <w:proofErr w:type="spellEnd"/>
      <w:r w:rsidRPr="008352ED">
        <w:rPr>
          <w:rFonts w:cs="Arial"/>
          <w:lang w:val="en-US"/>
        </w:rPr>
        <w:t xml:space="preserve"> of shareholder wealth and a disciplined allocation of capital. In this context, the extremely capital-intensive and fast-changing EV market, Toyota should only invest in a project that will yield positive financial benefits in the long term.</w:t>
      </w:r>
    </w:p>
    <w:p w14:paraId="745D1EAC" w14:textId="0CCEC888" w:rsidR="008352ED" w:rsidRPr="0010446F" w:rsidRDefault="008352ED" w:rsidP="008352ED">
      <w:pPr>
        <w:rPr>
          <w:rFonts w:cs="Arial"/>
          <w:lang w:val="en-US"/>
        </w:rPr>
      </w:pPr>
      <w:r w:rsidRPr="008352ED">
        <w:rPr>
          <w:rFonts w:cs="Arial"/>
          <w:lang w:val="en-US"/>
        </w:rPr>
        <w:t>Thus, according to the financial appraisal and alignment with the strategic considerations, Project C is the best stand-alone investment decision that Toyota should make.</w:t>
      </w:r>
    </w:p>
    <w:p w14:paraId="0FBEF588" w14:textId="77777777" w:rsidR="00334BB7" w:rsidRPr="00AF4715" w:rsidRDefault="00334BB7" w:rsidP="00AF4715">
      <w:pPr>
        <w:rPr>
          <w:b/>
          <w:bCs/>
          <w:i/>
          <w:iCs/>
        </w:rPr>
      </w:pPr>
      <w:r w:rsidRPr="00AF4715">
        <w:rPr>
          <w:b/>
          <w:bCs/>
          <w:i/>
          <w:iCs/>
        </w:rPr>
        <w:lastRenderedPageBreak/>
        <w:t>5.4 Non-Financial Risk Assessment</w:t>
      </w:r>
    </w:p>
    <w:p w14:paraId="779BF3F7" w14:textId="77777777" w:rsidR="00AD5385" w:rsidRPr="00AD5385" w:rsidRDefault="00AD5385" w:rsidP="00AD5385">
      <w:pPr>
        <w:rPr>
          <w:rFonts w:cs="Arial"/>
          <w:lang w:val="en-US"/>
        </w:rPr>
      </w:pPr>
      <w:r w:rsidRPr="00AD5385">
        <w:rPr>
          <w:rFonts w:cs="Arial"/>
          <w:lang w:val="en-US"/>
        </w:rPr>
        <w:t>Project C is superior in terms of finance; however, before it is finally approved, non-financial risks have to be taken into consideration.</w:t>
      </w:r>
    </w:p>
    <w:p w14:paraId="1F69AA70" w14:textId="34EB537A" w:rsidR="00AD5385" w:rsidRPr="0010446F" w:rsidRDefault="00AD5385" w:rsidP="00AD5385">
      <w:pPr>
        <w:rPr>
          <w:rFonts w:cs="Arial"/>
          <w:lang w:val="en-US"/>
        </w:rPr>
      </w:pPr>
      <w:r w:rsidRPr="00AD5385">
        <w:rPr>
          <w:rFonts w:cs="Arial"/>
          <w:lang w:val="en-US"/>
        </w:rPr>
        <w:t xml:space="preserve">Political and regulatory risk is one of the main risks especially when the project would be international EV expansion or battery production. The changes in the government policies, tariffs, trade restrictions, and the local regulations can influence the profitability of the project and its feasibility to be implemented. The EV industry is especially susceptible to technology risk because of the fast rate of battery development, autonomous driving technology, and disruption of digital mobility. Investments can become obsolete in technology before the returns are </w:t>
      </w:r>
      <w:proofErr w:type="spellStart"/>
      <w:r w:rsidRPr="00AD5385">
        <w:rPr>
          <w:rFonts w:cs="Arial"/>
          <w:lang w:val="en-US"/>
        </w:rPr>
        <w:t>realised</w:t>
      </w:r>
      <w:proofErr w:type="spellEnd"/>
      <w:r w:rsidRPr="00AD5385">
        <w:rPr>
          <w:rFonts w:cs="Arial"/>
          <w:lang w:val="en-US"/>
        </w:rPr>
        <w:t xml:space="preserve"> especially in long term projects.</w:t>
      </w:r>
    </w:p>
    <w:p w14:paraId="2DEC0FDC" w14:textId="71F3892C" w:rsidR="00D976D8" w:rsidRPr="0010446F" w:rsidRDefault="00D976D8" w:rsidP="00334BB7">
      <w:pPr>
        <w:rPr>
          <w:rFonts w:cs="Arial"/>
          <w:lang w:val="en-US"/>
        </w:rPr>
      </w:pPr>
      <w:r w:rsidRPr="00D976D8">
        <w:rPr>
          <w:rFonts w:cs="Arial"/>
          <w:lang w:val="en-US"/>
        </w:rPr>
        <w:t>There is also the risk of customer loyalty and uncertainty of demand. Tastes in the EV market are also changing at a very high rate and lack of synchronization of product offerings with market demand may lead to lower returns anticipated. The existing and new EV producers Tesla, BYD, and Volkswagen can place competitive pressure on Toyota, potentially forcing it to lower the projected market share, price power and profitability of the investment. The risk in the supply chain is still significant because Toyota is relying on international semiconductor, battery, and raw material supply chains. Any disruption may delay implementation and raise costs of the project. The perception of stakeholders is being affected by sustainability and ESG expectations. The projects should be consistent with the environmental goals and sustainability pledges of Toyota so that the company could not suffer reputational harm and face regulatory control.</w:t>
      </w:r>
    </w:p>
    <w:p w14:paraId="6F440B5E" w14:textId="7A8D5D85" w:rsidR="00334BB7" w:rsidRPr="00AF4715" w:rsidRDefault="00334BB7" w:rsidP="00AF4715">
      <w:pPr>
        <w:rPr>
          <w:b/>
          <w:bCs/>
          <w:i/>
          <w:iCs/>
        </w:rPr>
      </w:pPr>
      <w:r w:rsidRPr="00AF4715">
        <w:rPr>
          <w:b/>
          <w:bCs/>
          <w:i/>
          <w:iCs/>
        </w:rPr>
        <w:t>5.5 Capital Analysis</w:t>
      </w:r>
    </w:p>
    <w:p w14:paraId="0097DD1E" w14:textId="77777777" w:rsidR="00003657" w:rsidRPr="00003657" w:rsidRDefault="00003657" w:rsidP="00003657">
      <w:pPr>
        <w:rPr>
          <w:rFonts w:cs="Arial"/>
          <w:lang w:val="en-US"/>
        </w:rPr>
      </w:pPr>
      <w:r w:rsidRPr="00003657">
        <w:rPr>
          <w:rFonts w:cs="Arial"/>
          <w:lang w:val="en-US"/>
        </w:rPr>
        <w:t>At a limited capital supply of 100 million pounds, Toyota cannot do all the three projects at the same time and has to practice capital rationing to find the best combination of investments. The capital rationing analysis shows that the A + C combination yields the greatest joint NPV and hence the financially optimal combination within the budget constraint of £100 million. Nevertheless, the NPV of the combination is negative at £1.06 million although this is the first combination in the list of available combinations.</w:t>
      </w:r>
    </w:p>
    <w:p w14:paraId="6C30991C" w14:textId="5D0A7F32" w:rsidR="00003657" w:rsidRPr="0010446F" w:rsidRDefault="00003657" w:rsidP="00003657">
      <w:pPr>
        <w:rPr>
          <w:rFonts w:cs="Arial"/>
          <w:lang w:val="en-US"/>
        </w:rPr>
      </w:pPr>
      <w:r w:rsidRPr="00003657">
        <w:rPr>
          <w:rFonts w:cs="Arial"/>
          <w:lang w:val="en-US"/>
        </w:rPr>
        <w:lastRenderedPageBreak/>
        <w:t>This poses a key strategic issue. Although A + C is the least value-destructive combination when using the budget constraint, the negative combined NPV indicates that the combination of the two projects can still decrease shareholder value in total. In this regard, the management ought to be careful in the approval of the entire allocation of £100 million. In this case, Toyota can look to investing in Project C alone and holding the remaining capital to exploit other opportunities in the future instead of using the entire budget to deploy it inefficiently. Alternatively, the management can revisit assumptions in Project A or implementation set up to enhance projected returns before going ahead.</w:t>
      </w:r>
    </w:p>
    <w:p w14:paraId="3D2A6AE3" w14:textId="77777777" w:rsidR="00334BB7" w:rsidRPr="00AF4715" w:rsidRDefault="00334BB7" w:rsidP="00AF4715">
      <w:pPr>
        <w:rPr>
          <w:b/>
          <w:bCs/>
          <w:i/>
          <w:iCs/>
        </w:rPr>
      </w:pPr>
      <w:r w:rsidRPr="00AF4715">
        <w:rPr>
          <w:b/>
          <w:bCs/>
          <w:i/>
          <w:iCs/>
        </w:rPr>
        <w:t>5.6 Final Investment Recommendation</w:t>
      </w:r>
    </w:p>
    <w:p w14:paraId="653E96D1" w14:textId="0921BAA6" w:rsidR="002C4A1D" w:rsidRPr="0010446F" w:rsidRDefault="002C4A1D" w:rsidP="00334BB7">
      <w:pPr>
        <w:rPr>
          <w:rFonts w:cs="Arial"/>
          <w:lang w:val="en-US"/>
        </w:rPr>
      </w:pPr>
      <w:r w:rsidRPr="002C4A1D">
        <w:rPr>
          <w:rFonts w:cs="Arial"/>
          <w:lang w:val="en-US"/>
        </w:rPr>
        <w:t xml:space="preserve">With the overall investment appraisal and capital rationing analysis, the preferred standalone investment opportunity that Toyota can undertake is Project C. Project C is the one project that yields a positive NPV, the highest IRR, the most lucrative index of profitability and the shortest payback period, which implies it is more financially and strategically appealing. The A + C combination would be the best under capital rationing, but its negative combined NPV implies that by investing in the two projects at the same time, shareholder value would be decreased. Thus, Toyota ought to stick to Project C alone, and save the remaining capital in future high-paying opportunities or reassess Project A after strategic redesign. This is the most appropriate strategy to help in the disciplined capital allocation and </w:t>
      </w:r>
      <w:proofErr w:type="gramStart"/>
      <w:r w:rsidRPr="002C4A1D">
        <w:rPr>
          <w:rFonts w:cs="Arial"/>
          <w:lang w:val="en-US"/>
        </w:rPr>
        <w:t>long term</w:t>
      </w:r>
      <w:proofErr w:type="gramEnd"/>
      <w:r w:rsidRPr="002C4A1D">
        <w:rPr>
          <w:rFonts w:cs="Arial"/>
          <w:lang w:val="en-US"/>
        </w:rPr>
        <w:t xml:space="preserve"> wealth </w:t>
      </w:r>
      <w:proofErr w:type="spellStart"/>
      <w:r w:rsidRPr="002C4A1D">
        <w:rPr>
          <w:rFonts w:cs="Arial"/>
          <w:lang w:val="en-US"/>
        </w:rPr>
        <w:t>maximisation</w:t>
      </w:r>
      <w:proofErr w:type="spellEnd"/>
      <w:r w:rsidRPr="002C4A1D">
        <w:rPr>
          <w:rFonts w:cs="Arial"/>
          <w:lang w:val="en-US"/>
        </w:rPr>
        <w:t xml:space="preserve"> of the shareholders.</w:t>
      </w:r>
    </w:p>
    <w:p w14:paraId="5C68E498" w14:textId="77777777" w:rsidR="00490405" w:rsidRPr="0010446F" w:rsidRDefault="00490405" w:rsidP="00490405">
      <w:pPr>
        <w:pStyle w:val="Heading1"/>
        <w:rPr>
          <w:rFonts w:cs="Arial"/>
          <w:szCs w:val="24"/>
        </w:rPr>
      </w:pPr>
      <w:bookmarkStart w:id="12" w:name="_Toc227947237"/>
      <w:r w:rsidRPr="0010446F">
        <w:rPr>
          <w:rFonts w:cs="Arial"/>
          <w:szCs w:val="24"/>
        </w:rPr>
        <w:t>6. Conclusion</w:t>
      </w:r>
      <w:bookmarkEnd w:id="12"/>
    </w:p>
    <w:p w14:paraId="419C09C9" w14:textId="195D801C" w:rsidR="002C4A1D" w:rsidRPr="0010446F" w:rsidRDefault="002C4A1D" w:rsidP="00490405">
      <w:pPr>
        <w:rPr>
          <w:rFonts w:cs="Arial"/>
          <w:lang w:val="en-US"/>
        </w:rPr>
      </w:pPr>
      <w:r w:rsidRPr="002C4A1D">
        <w:rPr>
          <w:rFonts w:cs="Arial"/>
          <w:lang w:val="en-US"/>
        </w:rPr>
        <w:t xml:space="preserve">Toyota Motor Corporation is financially well, with a robust growth in revenue, sustainable profitability, reasonable gearing ratios, and rising shareholder dividends in the FY2021-2025. The strengths suggest that the firm has a strong financial base to leverage on strategic growth in the future. Nevertheless, a significant issue identified in the analysis is that the efficiency of working capital is being deteriorated, the time of collecting receivables is increasing and the performance of operating cash flow is declining, which can limit liquidity and internal financing capability without intervention. To alleviate these problems, the report suggests strategic financial restructuring by selective divestiture, reinvestment of retained earnings, and strategic alliances to increase liquidity, operating flexibility, and capital allocation efficiency. Moreover, the investment appraisal results </w:t>
      </w:r>
      <w:r w:rsidRPr="002C4A1D">
        <w:rPr>
          <w:rFonts w:cs="Arial"/>
          <w:lang w:val="en-US"/>
        </w:rPr>
        <w:lastRenderedPageBreak/>
        <w:t>show that project C is the best investment opportunity, according to the high NPV value, IRR, and payback performance. In general, it will be crucial to maintain long-term competitiveness of Toyota in the emerging global EV market due to disciplined financial management and strategic restructuring.</w:t>
      </w:r>
    </w:p>
    <w:p w14:paraId="5C5EC911" w14:textId="77777777" w:rsidR="00614463" w:rsidRPr="0010446F" w:rsidRDefault="00614463">
      <w:pPr>
        <w:spacing w:before="0" w:after="160" w:line="259" w:lineRule="auto"/>
        <w:jc w:val="left"/>
        <w:rPr>
          <w:rFonts w:cs="Arial"/>
        </w:rPr>
      </w:pPr>
      <w:r w:rsidRPr="0010446F">
        <w:rPr>
          <w:rFonts w:cs="Arial"/>
        </w:rPr>
        <w:br w:type="page"/>
      </w:r>
    </w:p>
    <w:p w14:paraId="3B547D00" w14:textId="77777777" w:rsidR="00614463" w:rsidRPr="0010446F" w:rsidRDefault="00614463" w:rsidP="00C7346B">
      <w:pPr>
        <w:pStyle w:val="Heading1"/>
        <w:rPr>
          <w:rFonts w:cs="Arial"/>
          <w:szCs w:val="24"/>
        </w:rPr>
      </w:pPr>
      <w:bookmarkStart w:id="13" w:name="_Toc227947238"/>
      <w:r w:rsidRPr="0010446F">
        <w:rPr>
          <w:rFonts w:cs="Arial"/>
          <w:szCs w:val="24"/>
        </w:rPr>
        <w:lastRenderedPageBreak/>
        <w:t>7. References</w:t>
      </w:r>
      <w:bookmarkEnd w:id="13"/>
    </w:p>
    <w:p w14:paraId="1300F568" w14:textId="77777777" w:rsidR="009A071F" w:rsidRDefault="009A071F" w:rsidP="009F2CB5">
      <w:r w:rsidRPr="00663BCC">
        <w:t xml:space="preserve">Abubakar, A.O. and </w:t>
      </w:r>
      <w:proofErr w:type="spellStart"/>
      <w:r w:rsidRPr="00663BCC">
        <w:t>Anyonje</w:t>
      </w:r>
      <w:proofErr w:type="spellEnd"/>
      <w:r w:rsidRPr="00663BCC">
        <w:t>, S.A., 2025. Financial leverage and corporate financial performance: A comprehensive review. </w:t>
      </w:r>
      <w:r w:rsidRPr="00663BCC">
        <w:rPr>
          <w:i/>
          <w:iCs/>
        </w:rPr>
        <w:t>East African Finance Journal</w:t>
      </w:r>
      <w:r w:rsidRPr="00663BCC">
        <w:t>, </w:t>
      </w:r>
      <w:r w:rsidRPr="00663BCC">
        <w:rPr>
          <w:i/>
          <w:iCs/>
        </w:rPr>
        <w:t>4</w:t>
      </w:r>
      <w:r w:rsidRPr="00663BCC">
        <w:t>(2), pp.34-54.</w:t>
      </w:r>
    </w:p>
    <w:p w14:paraId="26D34F0E" w14:textId="77777777" w:rsidR="009A071F" w:rsidRDefault="009A071F" w:rsidP="009F2CB5">
      <w:proofErr w:type="spellStart"/>
      <w:r w:rsidRPr="006C0793">
        <w:t>Bhattacheryay</w:t>
      </w:r>
      <w:proofErr w:type="spellEnd"/>
      <w:r w:rsidRPr="006C0793">
        <w:t>, S., 2023. Multinational working capital management a study on Toyota Motor Corporation. </w:t>
      </w:r>
      <w:r w:rsidRPr="006C0793">
        <w:rPr>
          <w:i/>
          <w:iCs/>
        </w:rPr>
        <w:t>International Journal of Finance &amp; Economics</w:t>
      </w:r>
      <w:r w:rsidRPr="006C0793">
        <w:t>, </w:t>
      </w:r>
      <w:r w:rsidRPr="006C0793">
        <w:rPr>
          <w:i/>
          <w:iCs/>
        </w:rPr>
        <w:t>28</w:t>
      </w:r>
      <w:r w:rsidRPr="006C0793">
        <w:t>(1), pp.236-256.</w:t>
      </w:r>
    </w:p>
    <w:p w14:paraId="138C8F60" w14:textId="77777777" w:rsidR="009A071F" w:rsidRDefault="009A071F" w:rsidP="009F2CB5">
      <w:r w:rsidRPr="004005C9">
        <w:t>CIACCHERI, A., 2024. Alternative Investments in Sports: Evaluating Hedge Fund &amp; Private Equity Strategies and Financial Performance.</w:t>
      </w:r>
    </w:p>
    <w:p w14:paraId="12650DB3" w14:textId="77777777" w:rsidR="009A071F" w:rsidRDefault="009A071F" w:rsidP="009F2CB5">
      <w:r w:rsidRPr="00BE6090">
        <w:t>Cotter, E., 2023. Net Present Value and Payback Period: An Analysis.</w:t>
      </w:r>
    </w:p>
    <w:p w14:paraId="49CB4BDE" w14:textId="77777777" w:rsidR="009A071F" w:rsidRDefault="009A071F" w:rsidP="009F2CB5">
      <w:r w:rsidRPr="00663BCC">
        <w:t>Fu, Q. and Yang, Z., 2021. Mode selection and risk estimation of financing in new energy automobile enterprises. </w:t>
      </w:r>
      <w:r w:rsidRPr="00663BCC">
        <w:rPr>
          <w:i/>
          <w:iCs/>
        </w:rPr>
        <w:t>Energy Reports</w:t>
      </w:r>
      <w:r w:rsidRPr="00663BCC">
        <w:t>, </w:t>
      </w:r>
      <w:r w:rsidRPr="00663BCC">
        <w:rPr>
          <w:i/>
          <w:iCs/>
        </w:rPr>
        <w:t>7</w:t>
      </w:r>
      <w:r w:rsidRPr="00663BCC">
        <w:t>, pp.330-337.</w:t>
      </w:r>
    </w:p>
    <w:p w14:paraId="172A5433" w14:textId="77777777" w:rsidR="009A071F" w:rsidRDefault="009A071F" w:rsidP="009F2CB5">
      <w:r w:rsidRPr="002F188B">
        <w:t>Hofmann, E., Templar, S., Rogers, D., Choi, T.Y., Leuschner, R. and Korde, R.Y., 2021. Supply chain financing and pandemic: managing cash flows to keep firms and their value networks healthy. </w:t>
      </w:r>
      <w:r w:rsidRPr="002F188B">
        <w:rPr>
          <w:i/>
          <w:iCs/>
        </w:rPr>
        <w:t>Rutgers Business Review</w:t>
      </w:r>
      <w:r w:rsidRPr="002F188B">
        <w:t>, </w:t>
      </w:r>
      <w:r w:rsidRPr="002F188B">
        <w:rPr>
          <w:i/>
          <w:iCs/>
        </w:rPr>
        <w:t>6</w:t>
      </w:r>
      <w:r w:rsidRPr="002F188B">
        <w:t>(1), pp.1-23.</w:t>
      </w:r>
    </w:p>
    <w:p w14:paraId="4DECE61E" w14:textId="77777777" w:rsidR="009A071F" w:rsidRDefault="009A071F" w:rsidP="009F2CB5">
      <w:proofErr w:type="spellStart"/>
      <w:r w:rsidRPr="006C0793">
        <w:t>Klisura</w:t>
      </w:r>
      <w:proofErr w:type="spellEnd"/>
      <w:r w:rsidRPr="006C0793">
        <w:t>, F., Aleksić, M. and Sarvan, M., 2025. Spare Parts and Material Management in Electric Vehicle Maintenance: A Multidisciplinary Review. </w:t>
      </w:r>
      <w:r w:rsidRPr="006C0793">
        <w:rPr>
          <w:i/>
          <w:iCs/>
        </w:rPr>
        <w:t>Science, Engineering and Technology</w:t>
      </w:r>
      <w:r w:rsidRPr="006C0793">
        <w:t>, </w:t>
      </w:r>
      <w:r w:rsidRPr="006C0793">
        <w:rPr>
          <w:i/>
          <w:iCs/>
        </w:rPr>
        <w:t>5</w:t>
      </w:r>
      <w:r w:rsidRPr="006C0793">
        <w:t>(2), pp.209-227.</w:t>
      </w:r>
    </w:p>
    <w:p w14:paraId="1444F294" w14:textId="77777777" w:rsidR="009A071F" w:rsidRDefault="009A071F" w:rsidP="009F2CB5">
      <w:r w:rsidRPr="002F188B">
        <w:t>Kostyna, V., 2025. THE IMPACT OF INVESTMENT STRATEGIES ON LONG-TERM FINANCIAL STABILITY. </w:t>
      </w:r>
      <w:r w:rsidRPr="002F188B">
        <w:rPr>
          <w:i/>
          <w:iCs/>
        </w:rPr>
        <w:t>Collection of scientific papers «SCIENTIA»</w:t>
      </w:r>
      <w:r w:rsidRPr="002F188B">
        <w:t>, (October 3, 2025; Berlin, Germany), pp.35-42.</w:t>
      </w:r>
    </w:p>
    <w:p w14:paraId="341ADDE6" w14:textId="77777777" w:rsidR="009A071F" w:rsidRDefault="009A071F" w:rsidP="009F2CB5">
      <w:r w:rsidRPr="00C279B9">
        <w:t xml:space="preserve">Kulakov, N. and </w:t>
      </w:r>
      <w:proofErr w:type="spellStart"/>
      <w:r w:rsidRPr="00C279B9">
        <w:t>Blaset</w:t>
      </w:r>
      <w:proofErr w:type="spellEnd"/>
      <w:r w:rsidRPr="00C279B9">
        <w:t>, A., 2020. Rehabilitation of the Internal Rate of Return. </w:t>
      </w:r>
      <w:r w:rsidRPr="00C279B9">
        <w:rPr>
          <w:i/>
          <w:iCs/>
        </w:rPr>
        <w:t>Available at SSRN 3593173</w:t>
      </w:r>
      <w:r w:rsidRPr="00C279B9">
        <w:t>.</w:t>
      </w:r>
    </w:p>
    <w:p w14:paraId="05BF9AFF" w14:textId="77777777" w:rsidR="009A071F" w:rsidRDefault="009A071F" w:rsidP="009F2CB5">
      <w:r w:rsidRPr="002F188B">
        <w:t>Lundgren, L.S.V. and Viganò, V., 2024. Interplay between Sustainability and Financial Performance: A Mixed-Methods Analysis in the Automotive Industry.</w:t>
      </w:r>
    </w:p>
    <w:p w14:paraId="22A9E555" w14:textId="77777777" w:rsidR="009A071F" w:rsidRDefault="009A071F" w:rsidP="009F2CB5">
      <w:r w:rsidRPr="0056029C">
        <w:t>Olabowale, B., 2026. PREDICTIVE ANALYTICS FOR LIQUIDITY FORECASTING IN TREASURY MANAGEMENT.</w:t>
      </w:r>
    </w:p>
    <w:p w14:paraId="6ACFA64C" w14:textId="77777777" w:rsidR="009A071F" w:rsidRDefault="009A071F" w:rsidP="009F2CB5">
      <w:r w:rsidRPr="00663BCC">
        <w:t>Porters, M.W. and Prahalad, J.S., 2023. Strategic Innovation Management in US Automobile Manufacturing: Electric Vehicles and Competitive Advantage. </w:t>
      </w:r>
      <w:r w:rsidRPr="00663BCC">
        <w:rPr>
          <w:i/>
          <w:iCs/>
        </w:rPr>
        <w:t>Journal of Strategic Management</w:t>
      </w:r>
      <w:r w:rsidRPr="00663BCC">
        <w:t>, </w:t>
      </w:r>
      <w:r w:rsidRPr="00663BCC">
        <w:rPr>
          <w:i/>
          <w:iCs/>
        </w:rPr>
        <w:t>7</w:t>
      </w:r>
      <w:r w:rsidRPr="00663BCC">
        <w:t>(6), pp.13-26.</w:t>
      </w:r>
    </w:p>
    <w:p w14:paraId="3B2BA932" w14:textId="77777777" w:rsidR="009A071F" w:rsidRDefault="009A071F" w:rsidP="009F2CB5">
      <w:proofErr w:type="spellStart"/>
      <w:r w:rsidRPr="00C86886">
        <w:lastRenderedPageBreak/>
        <w:t>Potharla</w:t>
      </w:r>
      <w:proofErr w:type="spellEnd"/>
      <w:r w:rsidRPr="00C86886">
        <w:t>, S., 2025. From Debt to Divestiture: How Indian and Global Firms Reshaped through Corporate Restructuring. </w:t>
      </w:r>
      <w:r w:rsidRPr="00C86886">
        <w:rPr>
          <w:i/>
          <w:iCs/>
        </w:rPr>
        <w:t>Available at SSRN 5348941</w:t>
      </w:r>
      <w:r w:rsidRPr="00C86886">
        <w:t>.</w:t>
      </w:r>
    </w:p>
    <w:p w14:paraId="1506B91C" w14:textId="77777777" w:rsidR="009A071F" w:rsidRDefault="009A071F" w:rsidP="009F2CB5">
      <w:r w:rsidRPr="006C0793">
        <w:t xml:space="preserve">Susanti, T., </w:t>
      </w:r>
      <w:proofErr w:type="spellStart"/>
      <w:r w:rsidRPr="006C0793">
        <w:t>Rionaldi</w:t>
      </w:r>
      <w:proofErr w:type="spellEnd"/>
      <w:r w:rsidRPr="006C0793">
        <w:t xml:space="preserve">, R., </w:t>
      </w:r>
      <w:proofErr w:type="spellStart"/>
      <w:r w:rsidRPr="006C0793">
        <w:t>Aristiawan</w:t>
      </w:r>
      <w:proofErr w:type="spellEnd"/>
      <w:r w:rsidRPr="006C0793">
        <w:t xml:space="preserve">, D., </w:t>
      </w:r>
      <w:proofErr w:type="spellStart"/>
      <w:r w:rsidRPr="006C0793">
        <w:t>Taufid</w:t>
      </w:r>
      <w:proofErr w:type="spellEnd"/>
      <w:r w:rsidRPr="006C0793">
        <w:t>, H. and Lusiana, L., 2025. Implementation of Just-In-Time (JIT) in Inventory Management: A Case Study in a Manufacturing Company. </w:t>
      </w:r>
      <w:proofErr w:type="spellStart"/>
      <w:r w:rsidRPr="006C0793">
        <w:rPr>
          <w:i/>
          <w:iCs/>
        </w:rPr>
        <w:t>Eduvest</w:t>
      </w:r>
      <w:proofErr w:type="spellEnd"/>
      <w:r w:rsidRPr="006C0793">
        <w:rPr>
          <w:i/>
          <w:iCs/>
        </w:rPr>
        <w:t>-Journal of Universal Studies</w:t>
      </w:r>
      <w:r w:rsidRPr="006C0793">
        <w:t>, </w:t>
      </w:r>
      <w:r w:rsidRPr="006C0793">
        <w:rPr>
          <w:i/>
          <w:iCs/>
        </w:rPr>
        <w:t>5</w:t>
      </w:r>
      <w:r w:rsidRPr="006C0793">
        <w:t>(7), pp.6208-6216.</w:t>
      </w:r>
    </w:p>
    <w:p w14:paraId="3DF827C3" w14:textId="77777777" w:rsidR="009A071F" w:rsidRDefault="009A071F" w:rsidP="009F2CB5">
      <w:pPr>
        <w:rPr>
          <w:lang w:val="en-US"/>
        </w:rPr>
      </w:pPr>
      <w:r>
        <w:rPr>
          <w:lang w:val="en-US"/>
        </w:rPr>
        <w:t xml:space="preserve">Toyota Europe, 2026. </w:t>
      </w:r>
      <w:r w:rsidRPr="009F2CB5">
        <w:rPr>
          <w:lang w:val="en-US"/>
        </w:rPr>
        <w:t>Toyota in the world</w:t>
      </w:r>
      <w:r>
        <w:rPr>
          <w:lang w:val="en-US"/>
        </w:rPr>
        <w:t xml:space="preserve">. </w:t>
      </w:r>
      <w:r w:rsidRPr="0010446F">
        <w:rPr>
          <w:rFonts w:cs="Arial"/>
          <w:lang w:val="en-US"/>
        </w:rPr>
        <w:t>[online] available at</w:t>
      </w:r>
      <w:r>
        <w:rPr>
          <w:lang w:val="en-US"/>
        </w:rPr>
        <w:t xml:space="preserve"> </w:t>
      </w:r>
      <w:hyperlink r:id="rId8" w:history="1">
        <w:r w:rsidRPr="005854E9">
          <w:rPr>
            <w:rStyle w:val="Hyperlink"/>
            <w:lang w:val="en-US"/>
          </w:rPr>
          <w:t>https://www.toyota-europe.com/about-us/toyota-in-the-world</w:t>
        </w:r>
      </w:hyperlink>
    </w:p>
    <w:p w14:paraId="741A2D57" w14:textId="77777777" w:rsidR="009A071F" w:rsidRPr="0010446F" w:rsidRDefault="009A071F" w:rsidP="00B5548F">
      <w:pPr>
        <w:rPr>
          <w:rFonts w:cs="Arial"/>
          <w:lang w:val="en-US"/>
        </w:rPr>
      </w:pPr>
      <w:r w:rsidRPr="0010446F">
        <w:rPr>
          <w:rFonts w:cs="Arial"/>
          <w:lang w:val="en-US"/>
        </w:rPr>
        <w:t xml:space="preserve">Toyota, 2021. Annual Financial Report 2021. [online] available at </w:t>
      </w:r>
      <w:hyperlink r:id="rId9" w:history="1">
        <w:r w:rsidRPr="0010446F">
          <w:rPr>
            <w:rStyle w:val="Hyperlink"/>
            <w:rFonts w:cs="Arial"/>
            <w:lang w:val="en-US"/>
          </w:rPr>
          <w:t>https://www.toyota-industries.com/investors/items/2021_annual_financial_report_E.pdf</w:t>
        </w:r>
      </w:hyperlink>
    </w:p>
    <w:p w14:paraId="2B4A6A14" w14:textId="77777777" w:rsidR="009A071F" w:rsidRPr="0010446F" w:rsidRDefault="009A071F" w:rsidP="00B5548F">
      <w:pPr>
        <w:rPr>
          <w:rFonts w:cs="Arial"/>
          <w:lang w:val="en-US"/>
        </w:rPr>
      </w:pPr>
      <w:r w:rsidRPr="0010446F">
        <w:rPr>
          <w:rFonts w:cs="Arial"/>
          <w:lang w:val="en-US"/>
        </w:rPr>
        <w:t xml:space="preserve">Toyota, 2022. Annual Financial Report 2022. [online] available at </w:t>
      </w:r>
      <w:hyperlink r:id="rId10" w:history="1">
        <w:r w:rsidRPr="0010446F">
          <w:rPr>
            <w:rStyle w:val="Hyperlink"/>
            <w:rFonts w:cs="Arial"/>
            <w:lang w:val="en-US"/>
          </w:rPr>
          <w:t>https://www.toyota-industries.com/investors/library/reports/index.html</w:t>
        </w:r>
      </w:hyperlink>
    </w:p>
    <w:p w14:paraId="60D44453" w14:textId="77777777" w:rsidR="009A071F" w:rsidRPr="0010446F" w:rsidRDefault="009A071F" w:rsidP="00B5548F">
      <w:pPr>
        <w:rPr>
          <w:rFonts w:cs="Arial"/>
          <w:lang w:val="en-US"/>
        </w:rPr>
      </w:pPr>
      <w:r w:rsidRPr="0010446F">
        <w:rPr>
          <w:rFonts w:cs="Arial"/>
          <w:lang w:val="en-US"/>
        </w:rPr>
        <w:t xml:space="preserve">Toyota, 2023. Annual Financial Report 2023. [online] available at </w:t>
      </w:r>
      <w:hyperlink r:id="rId11" w:history="1">
        <w:r w:rsidRPr="0010446F">
          <w:rPr>
            <w:rStyle w:val="Hyperlink"/>
            <w:rFonts w:cs="Arial"/>
            <w:lang w:val="en-US"/>
          </w:rPr>
          <w:t>https://www.toyota-industries.com/investors/item/2023_annual_financial_report_E.pdf</w:t>
        </w:r>
      </w:hyperlink>
    </w:p>
    <w:p w14:paraId="4A4E13CC" w14:textId="77777777" w:rsidR="009A071F" w:rsidRPr="0010446F" w:rsidRDefault="009A071F" w:rsidP="00B5548F">
      <w:pPr>
        <w:rPr>
          <w:rFonts w:cs="Arial"/>
          <w:lang w:val="en-US"/>
        </w:rPr>
      </w:pPr>
      <w:r w:rsidRPr="0010446F">
        <w:rPr>
          <w:rFonts w:cs="Arial"/>
          <w:lang w:val="en-US"/>
        </w:rPr>
        <w:t xml:space="preserve">Toyota, 2024. Annual Financial Report 2024. [online] available at </w:t>
      </w:r>
      <w:hyperlink r:id="rId12" w:history="1">
        <w:r w:rsidRPr="0010446F">
          <w:rPr>
            <w:rStyle w:val="Hyperlink"/>
            <w:rFonts w:cs="Arial"/>
            <w:lang w:val="en-US"/>
          </w:rPr>
          <w:t>https://global.toyota/pages/global_toyota/ir/library/annual/2024_001_integrated_en.pdf</w:t>
        </w:r>
      </w:hyperlink>
    </w:p>
    <w:p w14:paraId="305A4550" w14:textId="77777777" w:rsidR="009A071F" w:rsidRPr="0010446F" w:rsidRDefault="009A071F" w:rsidP="00C7346B">
      <w:pPr>
        <w:rPr>
          <w:rFonts w:cs="Arial"/>
          <w:lang w:val="en-US"/>
        </w:rPr>
      </w:pPr>
      <w:r w:rsidRPr="0010446F">
        <w:rPr>
          <w:rFonts w:cs="Arial"/>
          <w:lang w:val="en-US"/>
        </w:rPr>
        <w:t xml:space="preserve">Toyota, 2025. Annual Financial Report 2025. [online] available at </w:t>
      </w:r>
      <w:hyperlink r:id="rId13" w:history="1">
        <w:r w:rsidRPr="0010446F">
          <w:rPr>
            <w:rStyle w:val="Hyperlink"/>
            <w:rFonts w:cs="Arial"/>
            <w:lang w:val="en-US"/>
          </w:rPr>
          <w:t>https://www.toyota-industries.com/investors/item/2025_annual_financial_report_E.pdf</w:t>
        </w:r>
      </w:hyperlink>
    </w:p>
    <w:p w14:paraId="1221DD7D" w14:textId="77777777" w:rsidR="009A071F" w:rsidRDefault="009A071F" w:rsidP="009F2CB5">
      <w:r w:rsidRPr="00BA7686">
        <w:t>Tran, N.K., 2025. </w:t>
      </w:r>
      <w:r w:rsidRPr="00BA7686">
        <w:rPr>
          <w:i/>
          <w:iCs/>
        </w:rPr>
        <w:t>Effective Change Management Strategies for Minimizing Financial Impact and Operational Disruption</w:t>
      </w:r>
      <w:r w:rsidRPr="00BA7686">
        <w:t> (Doctoral dissertation, Walden University).</w:t>
      </w:r>
    </w:p>
    <w:p w14:paraId="383ACC91" w14:textId="77777777" w:rsidR="009A071F" w:rsidRDefault="009A071F" w:rsidP="009F2CB5">
      <w:proofErr w:type="spellStart"/>
      <w:r w:rsidRPr="00C41740">
        <w:t>Umeaduma</w:t>
      </w:r>
      <w:proofErr w:type="spellEnd"/>
      <w:r w:rsidRPr="00C41740">
        <w:t>, C.M.G., 2022. Corporate taxation, capital structure optimization, and economic growth dynamics in multinational firms across borders. </w:t>
      </w:r>
      <w:r w:rsidRPr="00C41740">
        <w:rPr>
          <w:i/>
          <w:iCs/>
        </w:rPr>
        <w:t>Int J Sci Res Arch</w:t>
      </w:r>
      <w:r w:rsidRPr="00C41740">
        <w:t>, </w:t>
      </w:r>
      <w:r w:rsidRPr="00C41740">
        <w:rPr>
          <w:i/>
          <w:iCs/>
        </w:rPr>
        <w:t>7</w:t>
      </w:r>
      <w:r w:rsidRPr="00C41740">
        <w:t>(2), pp.724-739.</w:t>
      </w:r>
    </w:p>
    <w:p w14:paraId="42C6AD71" w14:textId="77777777" w:rsidR="009A071F" w:rsidRDefault="009A071F" w:rsidP="009F2CB5">
      <w:r w:rsidRPr="00BE6090">
        <w:t>Wang, Z., 2021, December. Evaluating the Accuracy of Net Present Value and Initial Rate of Return Investment Rules. In </w:t>
      </w:r>
      <w:r w:rsidRPr="00BE6090">
        <w:rPr>
          <w:i/>
          <w:iCs/>
        </w:rPr>
        <w:t>2021 3rd International Conference on Economic Management and Cultural Industry (ICEMCI 2021)</w:t>
      </w:r>
      <w:r w:rsidRPr="00BE6090">
        <w:t> (pp. 1319-1322). Atlantis Press.</w:t>
      </w:r>
    </w:p>
    <w:p w14:paraId="5AF8AEED" w14:textId="77777777" w:rsidR="009A071F" w:rsidRDefault="009A071F" w:rsidP="009F2CB5">
      <w:r w:rsidRPr="00C86886">
        <w:t>Zhang, Y., Zhang, Y. and Wang, T., 2025. Cross-community collaboration strategies of foreign venture capital: industrial expansion capacity. </w:t>
      </w:r>
      <w:r w:rsidRPr="00C86886">
        <w:rPr>
          <w:i/>
          <w:iCs/>
        </w:rPr>
        <w:t>Journal of Social Computing</w:t>
      </w:r>
      <w:r w:rsidRPr="00C86886">
        <w:t>, </w:t>
      </w:r>
      <w:r w:rsidRPr="00C86886">
        <w:rPr>
          <w:i/>
          <w:iCs/>
        </w:rPr>
        <w:t>6</w:t>
      </w:r>
      <w:r w:rsidRPr="00C86886">
        <w:t>(1), pp.29-42.</w:t>
      </w:r>
    </w:p>
    <w:p w14:paraId="32E60883" w14:textId="77777777" w:rsidR="009A071F" w:rsidRDefault="009A071F" w:rsidP="009F2CB5"/>
    <w:p w14:paraId="1993F84B" w14:textId="6995CCFD" w:rsidR="000630E5" w:rsidRDefault="000630E5" w:rsidP="009F2CB5">
      <w:pPr>
        <w:rPr>
          <w:rFonts w:eastAsiaTheme="majorEastAsia" w:cstheme="majorBidi"/>
          <w:b/>
          <w:color w:val="000000" w:themeColor="text1"/>
          <w:kern w:val="0"/>
          <w:szCs w:val="40"/>
          <w:lang w:val="en-US"/>
          <w14:ligatures w14:val="none"/>
        </w:rPr>
      </w:pPr>
      <w:r>
        <w:br w:type="page"/>
      </w:r>
    </w:p>
    <w:p w14:paraId="7A17AF12" w14:textId="604386B7" w:rsidR="00BD4F25" w:rsidRDefault="00BD4F25" w:rsidP="00BD4F25">
      <w:pPr>
        <w:pStyle w:val="Heading1"/>
      </w:pPr>
      <w:bookmarkStart w:id="14" w:name="_Toc227947239"/>
      <w:r>
        <w:lastRenderedPageBreak/>
        <w:t>8. Appendix</w:t>
      </w:r>
      <w:bookmarkEnd w:id="14"/>
    </w:p>
    <w:tbl>
      <w:tblPr>
        <w:tblW w:w="9243" w:type="dxa"/>
        <w:tblLook w:val="04A0" w:firstRow="1" w:lastRow="0" w:firstColumn="1" w:lastColumn="0" w:noHBand="0" w:noVBand="1"/>
      </w:tblPr>
      <w:tblGrid>
        <w:gridCol w:w="2689"/>
        <w:gridCol w:w="1284"/>
        <w:gridCol w:w="1284"/>
        <w:gridCol w:w="1284"/>
        <w:gridCol w:w="1418"/>
        <w:gridCol w:w="1284"/>
      </w:tblGrid>
      <w:tr w:rsidR="00BD4F25" w:rsidRPr="00BD4F25" w14:paraId="2E8F8DFD"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AF09945"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Financial Data (¥ Mn)</w:t>
            </w:r>
          </w:p>
        </w:tc>
        <w:tc>
          <w:tcPr>
            <w:tcW w:w="128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B349CB3"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FY2021</w:t>
            </w:r>
          </w:p>
        </w:tc>
        <w:tc>
          <w:tcPr>
            <w:tcW w:w="128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C6C2E15"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FY2022</w:t>
            </w:r>
          </w:p>
        </w:tc>
        <w:tc>
          <w:tcPr>
            <w:tcW w:w="128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D30B82A"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FY2023</w:t>
            </w:r>
          </w:p>
        </w:tc>
        <w:tc>
          <w:tcPr>
            <w:tcW w:w="141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116099D"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FY2024</w:t>
            </w:r>
          </w:p>
        </w:tc>
        <w:tc>
          <w:tcPr>
            <w:tcW w:w="128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57B844E"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FY2025</w:t>
            </w:r>
          </w:p>
        </w:tc>
      </w:tr>
      <w:tr w:rsidR="00BD4F25" w:rsidRPr="00BD4F25" w14:paraId="2C77C881"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446E632"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Revenue</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EF9EA5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2,118,302</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4A03E8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2,705,183</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28BDE5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3,379,891</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ADCAD6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3,833,205</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EF447E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4,084,984</w:t>
            </w:r>
          </w:p>
        </w:tc>
      </w:tr>
      <w:tr w:rsidR="00BD4F25" w:rsidRPr="00BD4F25" w14:paraId="209F4110"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0A53D74E"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Cost of Sales</w:t>
            </w:r>
          </w:p>
        </w:tc>
        <w:tc>
          <w:tcPr>
            <w:tcW w:w="1284" w:type="dxa"/>
            <w:tcBorders>
              <w:top w:val="single" w:sz="4" w:space="0" w:color="auto"/>
              <w:left w:val="single" w:sz="4" w:space="0" w:color="auto"/>
              <w:bottom w:val="single" w:sz="4" w:space="0" w:color="auto"/>
              <w:right w:val="single" w:sz="4" w:space="0" w:color="auto"/>
            </w:tcBorders>
            <w:vAlign w:val="center"/>
            <w:hideMark/>
          </w:tcPr>
          <w:p w14:paraId="4D77880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1,627,894</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DAA535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2,097,501</w:t>
            </w:r>
          </w:p>
        </w:tc>
        <w:tc>
          <w:tcPr>
            <w:tcW w:w="1284" w:type="dxa"/>
            <w:tcBorders>
              <w:top w:val="single" w:sz="4" w:space="0" w:color="auto"/>
              <w:left w:val="single" w:sz="4" w:space="0" w:color="auto"/>
              <w:bottom w:val="single" w:sz="4" w:space="0" w:color="auto"/>
              <w:right w:val="single" w:sz="4" w:space="0" w:color="auto"/>
            </w:tcBorders>
            <w:vAlign w:val="center"/>
            <w:hideMark/>
          </w:tcPr>
          <w:p w14:paraId="0A4B8EB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2,623,707</w:t>
            </w:r>
          </w:p>
        </w:tc>
        <w:tc>
          <w:tcPr>
            <w:tcW w:w="1418" w:type="dxa"/>
            <w:tcBorders>
              <w:top w:val="single" w:sz="4" w:space="0" w:color="auto"/>
              <w:left w:val="single" w:sz="4" w:space="0" w:color="auto"/>
              <w:bottom w:val="single" w:sz="4" w:space="0" w:color="auto"/>
              <w:right w:val="single" w:sz="4" w:space="0" w:color="auto"/>
            </w:tcBorders>
            <w:vAlign w:val="center"/>
            <w:hideMark/>
          </w:tcPr>
          <w:p w14:paraId="0FAFBE9B"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2,932,058</w:t>
            </w:r>
          </w:p>
        </w:tc>
        <w:tc>
          <w:tcPr>
            <w:tcW w:w="1284" w:type="dxa"/>
            <w:tcBorders>
              <w:top w:val="single" w:sz="4" w:space="0" w:color="auto"/>
              <w:left w:val="single" w:sz="4" w:space="0" w:color="auto"/>
              <w:bottom w:val="single" w:sz="4" w:space="0" w:color="auto"/>
              <w:right w:val="single" w:sz="4" w:space="0" w:color="auto"/>
            </w:tcBorders>
            <w:vAlign w:val="center"/>
            <w:hideMark/>
          </w:tcPr>
          <w:p w14:paraId="643000E5"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3,133,410</w:t>
            </w:r>
          </w:p>
        </w:tc>
      </w:tr>
      <w:tr w:rsidR="00BD4F25" w:rsidRPr="00BD4F25" w14:paraId="138D2E59"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88FBD8F"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Gross Profit</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D67DA0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490,407</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4236E5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607,682</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E4DFEB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756,183</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13181F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901,147</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354494F"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951,573</w:t>
            </w:r>
          </w:p>
        </w:tc>
      </w:tr>
      <w:tr w:rsidR="00BD4F25" w:rsidRPr="00BD4F25" w14:paraId="412A4F2F"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2A37CD39"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Operating Profit</w:t>
            </w:r>
          </w:p>
        </w:tc>
        <w:tc>
          <w:tcPr>
            <w:tcW w:w="1284" w:type="dxa"/>
            <w:tcBorders>
              <w:top w:val="single" w:sz="4" w:space="0" w:color="auto"/>
              <w:left w:val="single" w:sz="4" w:space="0" w:color="auto"/>
              <w:bottom w:val="single" w:sz="4" w:space="0" w:color="auto"/>
              <w:right w:val="single" w:sz="4" w:space="0" w:color="auto"/>
            </w:tcBorders>
            <w:vAlign w:val="center"/>
            <w:hideMark/>
          </w:tcPr>
          <w:p w14:paraId="39C8C2B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118,159</w:t>
            </w:r>
          </w:p>
        </w:tc>
        <w:tc>
          <w:tcPr>
            <w:tcW w:w="1284" w:type="dxa"/>
            <w:tcBorders>
              <w:top w:val="single" w:sz="4" w:space="0" w:color="auto"/>
              <w:left w:val="single" w:sz="4" w:space="0" w:color="auto"/>
              <w:bottom w:val="single" w:sz="4" w:space="0" w:color="auto"/>
              <w:right w:val="single" w:sz="4" w:space="0" w:color="auto"/>
            </w:tcBorders>
            <w:vAlign w:val="center"/>
            <w:hideMark/>
          </w:tcPr>
          <w:p w14:paraId="65E303D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159,066</w:t>
            </w:r>
          </w:p>
        </w:tc>
        <w:tc>
          <w:tcPr>
            <w:tcW w:w="1284" w:type="dxa"/>
            <w:tcBorders>
              <w:top w:val="single" w:sz="4" w:space="0" w:color="auto"/>
              <w:left w:val="single" w:sz="4" w:space="0" w:color="auto"/>
              <w:bottom w:val="single" w:sz="4" w:space="0" w:color="auto"/>
              <w:right w:val="single" w:sz="4" w:space="0" w:color="auto"/>
            </w:tcBorders>
            <w:vAlign w:val="center"/>
            <w:hideMark/>
          </w:tcPr>
          <w:p w14:paraId="5116C6F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169,904</w:t>
            </w:r>
          </w:p>
        </w:tc>
        <w:tc>
          <w:tcPr>
            <w:tcW w:w="1418" w:type="dxa"/>
            <w:tcBorders>
              <w:top w:val="single" w:sz="4" w:space="0" w:color="auto"/>
              <w:left w:val="single" w:sz="4" w:space="0" w:color="auto"/>
              <w:bottom w:val="single" w:sz="4" w:space="0" w:color="auto"/>
              <w:right w:val="single" w:sz="4" w:space="0" w:color="auto"/>
            </w:tcBorders>
            <w:vAlign w:val="center"/>
            <w:hideMark/>
          </w:tcPr>
          <w:p w14:paraId="71DAC6B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200,404</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10753E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221,695</w:t>
            </w:r>
          </w:p>
        </w:tc>
      </w:tr>
      <w:tr w:rsidR="00BD4F25" w:rsidRPr="00BD4F25" w14:paraId="647A7523"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F2C9392"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Profit Before Tax</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C26052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184,011</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9A197F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246,123</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74ED76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262,967</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6AAAF56"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309,190</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D15481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351,463</w:t>
            </w:r>
          </w:p>
        </w:tc>
      </w:tr>
      <w:tr w:rsidR="00BD4F25" w:rsidRPr="00BD4F25" w14:paraId="32918D6B"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48ECAC23"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Net Profit</w:t>
            </w:r>
          </w:p>
        </w:tc>
        <w:tc>
          <w:tcPr>
            <w:tcW w:w="1284" w:type="dxa"/>
            <w:tcBorders>
              <w:top w:val="single" w:sz="4" w:space="0" w:color="auto"/>
              <w:left w:val="single" w:sz="4" w:space="0" w:color="auto"/>
              <w:bottom w:val="single" w:sz="4" w:space="0" w:color="auto"/>
              <w:right w:val="single" w:sz="4" w:space="0" w:color="auto"/>
            </w:tcBorders>
            <w:vAlign w:val="center"/>
            <w:hideMark/>
          </w:tcPr>
          <w:p w14:paraId="3A948E3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141,435</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01F883F"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185,350</w:t>
            </w:r>
          </w:p>
        </w:tc>
        <w:tc>
          <w:tcPr>
            <w:tcW w:w="1284" w:type="dxa"/>
            <w:tcBorders>
              <w:top w:val="single" w:sz="4" w:space="0" w:color="auto"/>
              <w:left w:val="single" w:sz="4" w:space="0" w:color="auto"/>
              <w:bottom w:val="single" w:sz="4" w:space="0" w:color="auto"/>
              <w:right w:val="single" w:sz="4" w:space="0" w:color="auto"/>
            </w:tcBorders>
            <w:vAlign w:val="center"/>
            <w:hideMark/>
          </w:tcPr>
          <w:p w14:paraId="04BADDA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198,716</w:t>
            </w:r>
          </w:p>
        </w:tc>
        <w:tc>
          <w:tcPr>
            <w:tcW w:w="1418" w:type="dxa"/>
            <w:tcBorders>
              <w:top w:val="single" w:sz="4" w:space="0" w:color="auto"/>
              <w:left w:val="single" w:sz="4" w:space="0" w:color="auto"/>
              <w:bottom w:val="single" w:sz="4" w:space="0" w:color="auto"/>
              <w:right w:val="single" w:sz="4" w:space="0" w:color="auto"/>
            </w:tcBorders>
            <w:vAlign w:val="center"/>
            <w:hideMark/>
          </w:tcPr>
          <w:p w14:paraId="0FD6712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236,854</w:t>
            </w:r>
          </w:p>
        </w:tc>
        <w:tc>
          <w:tcPr>
            <w:tcW w:w="1284" w:type="dxa"/>
            <w:tcBorders>
              <w:top w:val="single" w:sz="4" w:space="0" w:color="auto"/>
              <w:left w:val="single" w:sz="4" w:space="0" w:color="auto"/>
              <w:bottom w:val="single" w:sz="4" w:space="0" w:color="auto"/>
              <w:right w:val="single" w:sz="4" w:space="0" w:color="auto"/>
            </w:tcBorders>
            <w:vAlign w:val="center"/>
            <w:hideMark/>
          </w:tcPr>
          <w:p w14:paraId="30BF364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271,247</w:t>
            </w:r>
          </w:p>
        </w:tc>
      </w:tr>
      <w:tr w:rsidR="00BD4F25" w:rsidRPr="00BD4F25" w14:paraId="573B5FA5"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4EB1CFD"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Current Assets</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AC3C49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1,948,081</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359B4E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2,255,827</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37E499B"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2,677,024</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EDA758F"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3,129,531</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DDCB5E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3,109,426</w:t>
            </w:r>
          </w:p>
        </w:tc>
      </w:tr>
      <w:tr w:rsidR="00BD4F25" w:rsidRPr="00BD4F25" w14:paraId="68174669"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1BD11908"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Cash</w:t>
            </w:r>
          </w:p>
        </w:tc>
        <w:tc>
          <w:tcPr>
            <w:tcW w:w="1284" w:type="dxa"/>
            <w:tcBorders>
              <w:top w:val="single" w:sz="4" w:space="0" w:color="auto"/>
              <w:left w:val="single" w:sz="4" w:space="0" w:color="auto"/>
              <w:bottom w:val="single" w:sz="4" w:space="0" w:color="auto"/>
              <w:right w:val="single" w:sz="4" w:space="0" w:color="auto"/>
            </w:tcBorders>
            <w:vAlign w:val="center"/>
            <w:hideMark/>
          </w:tcPr>
          <w:p w14:paraId="3FBA047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238,248</w:t>
            </w:r>
          </w:p>
        </w:tc>
        <w:tc>
          <w:tcPr>
            <w:tcW w:w="1284" w:type="dxa"/>
            <w:tcBorders>
              <w:top w:val="single" w:sz="4" w:space="0" w:color="auto"/>
              <w:left w:val="single" w:sz="4" w:space="0" w:color="auto"/>
              <w:bottom w:val="single" w:sz="4" w:space="0" w:color="auto"/>
              <w:right w:val="single" w:sz="4" w:space="0" w:color="auto"/>
            </w:tcBorders>
            <w:vAlign w:val="center"/>
            <w:hideMark/>
          </w:tcPr>
          <w:p w14:paraId="5E4980A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247,085</w:t>
            </w:r>
          </w:p>
        </w:tc>
        <w:tc>
          <w:tcPr>
            <w:tcW w:w="1284" w:type="dxa"/>
            <w:tcBorders>
              <w:top w:val="single" w:sz="4" w:space="0" w:color="auto"/>
              <w:left w:val="single" w:sz="4" w:space="0" w:color="auto"/>
              <w:bottom w:val="single" w:sz="4" w:space="0" w:color="auto"/>
              <w:right w:val="single" w:sz="4" w:space="0" w:color="auto"/>
            </w:tcBorders>
            <w:vAlign w:val="center"/>
            <w:hideMark/>
          </w:tcPr>
          <w:p w14:paraId="44D8539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202,731</w:t>
            </w:r>
          </w:p>
        </w:tc>
        <w:tc>
          <w:tcPr>
            <w:tcW w:w="1418" w:type="dxa"/>
            <w:tcBorders>
              <w:top w:val="single" w:sz="4" w:space="0" w:color="auto"/>
              <w:left w:val="single" w:sz="4" w:space="0" w:color="auto"/>
              <w:bottom w:val="single" w:sz="4" w:space="0" w:color="auto"/>
              <w:right w:val="single" w:sz="4" w:space="0" w:color="auto"/>
            </w:tcBorders>
            <w:vAlign w:val="center"/>
            <w:hideMark/>
          </w:tcPr>
          <w:p w14:paraId="3A0B9D0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496,849</w:t>
            </w:r>
          </w:p>
        </w:tc>
        <w:tc>
          <w:tcPr>
            <w:tcW w:w="1284" w:type="dxa"/>
            <w:tcBorders>
              <w:top w:val="single" w:sz="4" w:space="0" w:color="auto"/>
              <w:left w:val="single" w:sz="4" w:space="0" w:color="auto"/>
              <w:bottom w:val="single" w:sz="4" w:space="0" w:color="auto"/>
              <w:right w:val="single" w:sz="4" w:space="0" w:color="auto"/>
            </w:tcBorders>
            <w:vAlign w:val="center"/>
            <w:hideMark/>
          </w:tcPr>
          <w:p w14:paraId="6A94C35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378,455</w:t>
            </w:r>
          </w:p>
        </w:tc>
      </w:tr>
      <w:tr w:rsidR="00BD4F25" w:rsidRPr="00BD4F25" w14:paraId="18B8731E"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FF50781"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Trade Receivables</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62DC62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962,270</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5172A9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1,121,491</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4C9E90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1,398,757</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0FE7DC6"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1,638,998</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E2BFDE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1,720,610</w:t>
            </w:r>
          </w:p>
        </w:tc>
      </w:tr>
      <w:tr w:rsidR="00BD4F25" w:rsidRPr="00BD4F25" w14:paraId="1D310817"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77250476"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Inventory</w:t>
            </w:r>
          </w:p>
        </w:tc>
        <w:tc>
          <w:tcPr>
            <w:tcW w:w="1284" w:type="dxa"/>
            <w:tcBorders>
              <w:top w:val="single" w:sz="4" w:space="0" w:color="auto"/>
              <w:left w:val="single" w:sz="4" w:space="0" w:color="auto"/>
              <w:bottom w:val="single" w:sz="4" w:space="0" w:color="auto"/>
              <w:right w:val="single" w:sz="4" w:space="0" w:color="auto"/>
            </w:tcBorders>
            <w:vAlign w:val="center"/>
            <w:hideMark/>
          </w:tcPr>
          <w:p w14:paraId="6229166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292,461</w:t>
            </w:r>
          </w:p>
        </w:tc>
        <w:tc>
          <w:tcPr>
            <w:tcW w:w="1284" w:type="dxa"/>
            <w:tcBorders>
              <w:top w:val="single" w:sz="4" w:space="0" w:color="auto"/>
              <w:left w:val="single" w:sz="4" w:space="0" w:color="auto"/>
              <w:bottom w:val="single" w:sz="4" w:space="0" w:color="auto"/>
              <w:right w:val="single" w:sz="4" w:space="0" w:color="auto"/>
            </w:tcBorders>
            <w:vAlign w:val="center"/>
            <w:hideMark/>
          </w:tcPr>
          <w:p w14:paraId="5D4D713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433,961</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EFD383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524,385</w:t>
            </w:r>
          </w:p>
        </w:tc>
        <w:tc>
          <w:tcPr>
            <w:tcW w:w="1418" w:type="dxa"/>
            <w:tcBorders>
              <w:top w:val="single" w:sz="4" w:space="0" w:color="auto"/>
              <w:left w:val="single" w:sz="4" w:space="0" w:color="auto"/>
              <w:bottom w:val="single" w:sz="4" w:space="0" w:color="auto"/>
              <w:right w:val="single" w:sz="4" w:space="0" w:color="auto"/>
            </w:tcBorders>
            <w:vAlign w:val="center"/>
            <w:hideMark/>
          </w:tcPr>
          <w:p w14:paraId="5362DC7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619,082</w:t>
            </w:r>
          </w:p>
        </w:tc>
        <w:tc>
          <w:tcPr>
            <w:tcW w:w="1284" w:type="dxa"/>
            <w:tcBorders>
              <w:top w:val="single" w:sz="4" w:space="0" w:color="auto"/>
              <w:left w:val="single" w:sz="4" w:space="0" w:color="auto"/>
              <w:bottom w:val="single" w:sz="4" w:space="0" w:color="auto"/>
              <w:right w:val="single" w:sz="4" w:space="0" w:color="auto"/>
            </w:tcBorders>
            <w:vAlign w:val="center"/>
            <w:hideMark/>
          </w:tcPr>
          <w:p w14:paraId="12B0A18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619,804</w:t>
            </w:r>
          </w:p>
        </w:tc>
      </w:tr>
      <w:tr w:rsidR="00BD4F25" w:rsidRPr="00BD4F25" w14:paraId="08F8AC4D"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D102A9A"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Total Assets</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03F446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6,503,986</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62F804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7,627,120</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758F67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7,821,185</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AF30DF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11,078,462</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96A959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9,403,481</w:t>
            </w:r>
          </w:p>
        </w:tc>
      </w:tr>
      <w:tr w:rsidR="00BD4F25" w:rsidRPr="00BD4F25" w14:paraId="2BD2B7D8"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46F6CA88"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Current Liabilities</w:t>
            </w:r>
          </w:p>
        </w:tc>
        <w:tc>
          <w:tcPr>
            <w:tcW w:w="1284" w:type="dxa"/>
            <w:tcBorders>
              <w:top w:val="single" w:sz="4" w:space="0" w:color="auto"/>
              <w:left w:val="single" w:sz="4" w:space="0" w:color="auto"/>
              <w:bottom w:val="single" w:sz="4" w:space="0" w:color="auto"/>
              <w:right w:val="single" w:sz="4" w:space="0" w:color="auto"/>
            </w:tcBorders>
            <w:vAlign w:val="center"/>
            <w:hideMark/>
          </w:tcPr>
          <w:p w14:paraId="04C4A4F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1,188,239</w:t>
            </w:r>
          </w:p>
        </w:tc>
        <w:tc>
          <w:tcPr>
            <w:tcW w:w="1284" w:type="dxa"/>
            <w:tcBorders>
              <w:top w:val="single" w:sz="4" w:space="0" w:color="auto"/>
              <w:left w:val="single" w:sz="4" w:space="0" w:color="auto"/>
              <w:bottom w:val="single" w:sz="4" w:space="0" w:color="auto"/>
              <w:right w:val="single" w:sz="4" w:space="0" w:color="auto"/>
            </w:tcBorders>
            <w:vAlign w:val="center"/>
            <w:hideMark/>
          </w:tcPr>
          <w:p w14:paraId="06F95E3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1,372,721</w:t>
            </w:r>
          </w:p>
        </w:tc>
        <w:tc>
          <w:tcPr>
            <w:tcW w:w="1284" w:type="dxa"/>
            <w:tcBorders>
              <w:top w:val="single" w:sz="4" w:space="0" w:color="auto"/>
              <w:left w:val="single" w:sz="4" w:space="0" w:color="auto"/>
              <w:bottom w:val="single" w:sz="4" w:space="0" w:color="auto"/>
              <w:right w:val="single" w:sz="4" w:space="0" w:color="auto"/>
            </w:tcBorders>
            <w:vAlign w:val="center"/>
            <w:hideMark/>
          </w:tcPr>
          <w:p w14:paraId="27A1211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1,517,112</w:t>
            </w:r>
          </w:p>
        </w:tc>
        <w:tc>
          <w:tcPr>
            <w:tcW w:w="1418" w:type="dxa"/>
            <w:tcBorders>
              <w:top w:val="single" w:sz="4" w:space="0" w:color="auto"/>
              <w:left w:val="single" w:sz="4" w:space="0" w:color="auto"/>
              <w:bottom w:val="single" w:sz="4" w:space="0" w:color="auto"/>
              <w:right w:val="single" w:sz="4" w:space="0" w:color="auto"/>
            </w:tcBorders>
            <w:vAlign w:val="center"/>
            <w:hideMark/>
          </w:tcPr>
          <w:p w14:paraId="6B7ECAB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1,639,197</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A33AF2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1,622,284</w:t>
            </w:r>
          </w:p>
        </w:tc>
      </w:tr>
      <w:tr w:rsidR="00BD4F25" w:rsidRPr="00BD4F25" w14:paraId="0B4B7979"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DE3A31F"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Trade Payables</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0F5CB4F"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613,579</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085508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745,553</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56EC85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807,474</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608C37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876,925</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940856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878,848</w:t>
            </w:r>
          </w:p>
        </w:tc>
      </w:tr>
      <w:tr w:rsidR="00BD4F25" w:rsidRPr="00BD4F25" w14:paraId="539F4886"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697FC662"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Short-Term Debt</w:t>
            </w:r>
          </w:p>
        </w:tc>
        <w:tc>
          <w:tcPr>
            <w:tcW w:w="1284" w:type="dxa"/>
            <w:tcBorders>
              <w:top w:val="single" w:sz="4" w:space="0" w:color="auto"/>
              <w:left w:val="single" w:sz="4" w:space="0" w:color="auto"/>
              <w:bottom w:val="single" w:sz="4" w:space="0" w:color="auto"/>
              <w:right w:val="single" w:sz="4" w:space="0" w:color="auto"/>
            </w:tcBorders>
            <w:vAlign w:val="center"/>
            <w:hideMark/>
          </w:tcPr>
          <w:p w14:paraId="65EA9CF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435,238</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4951AE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468,504</w:t>
            </w:r>
          </w:p>
        </w:tc>
        <w:tc>
          <w:tcPr>
            <w:tcW w:w="1284" w:type="dxa"/>
            <w:tcBorders>
              <w:top w:val="single" w:sz="4" w:space="0" w:color="auto"/>
              <w:left w:val="single" w:sz="4" w:space="0" w:color="auto"/>
              <w:bottom w:val="single" w:sz="4" w:space="0" w:color="auto"/>
              <w:right w:val="single" w:sz="4" w:space="0" w:color="auto"/>
            </w:tcBorders>
            <w:vAlign w:val="center"/>
            <w:hideMark/>
          </w:tcPr>
          <w:p w14:paraId="1736FCD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519,749</w:t>
            </w:r>
          </w:p>
        </w:tc>
        <w:tc>
          <w:tcPr>
            <w:tcW w:w="1418" w:type="dxa"/>
            <w:tcBorders>
              <w:top w:val="single" w:sz="4" w:space="0" w:color="auto"/>
              <w:left w:val="single" w:sz="4" w:space="0" w:color="auto"/>
              <w:bottom w:val="single" w:sz="4" w:space="0" w:color="auto"/>
              <w:right w:val="single" w:sz="4" w:space="0" w:color="auto"/>
            </w:tcBorders>
            <w:vAlign w:val="center"/>
            <w:hideMark/>
          </w:tcPr>
          <w:p w14:paraId="338DCE8B"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424,486</w:t>
            </w:r>
          </w:p>
        </w:tc>
        <w:tc>
          <w:tcPr>
            <w:tcW w:w="1284" w:type="dxa"/>
            <w:tcBorders>
              <w:top w:val="single" w:sz="4" w:space="0" w:color="auto"/>
              <w:left w:val="single" w:sz="4" w:space="0" w:color="auto"/>
              <w:bottom w:val="single" w:sz="4" w:space="0" w:color="auto"/>
              <w:right w:val="single" w:sz="4" w:space="0" w:color="auto"/>
            </w:tcBorders>
            <w:vAlign w:val="center"/>
            <w:hideMark/>
          </w:tcPr>
          <w:p w14:paraId="6239848F"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497,293</w:t>
            </w:r>
          </w:p>
        </w:tc>
      </w:tr>
      <w:tr w:rsidR="00BD4F25" w:rsidRPr="00BD4F25" w14:paraId="70DC3FE7"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0AE3012"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Long-Term Debt</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576F1E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910,124</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F2A790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922,011</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B71695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1,179,390</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8E3151C"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1,281,779</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AAD993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1,232,789</w:t>
            </w:r>
          </w:p>
        </w:tc>
      </w:tr>
      <w:tr w:rsidR="00BD4F25" w:rsidRPr="00BD4F25" w14:paraId="410CE3E6"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4C8C683E"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Total Debt</w:t>
            </w:r>
          </w:p>
        </w:tc>
        <w:tc>
          <w:tcPr>
            <w:tcW w:w="1284" w:type="dxa"/>
            <w:tcBorders>
              <w:top w:val="single" w:sz="4" w:space="0" w:color="auto"/>
              <w:left w:val="single" w:sz="4" w:space="0" w:color="auto"/>
              <w:bottom w:val="single" w:sz="4" w:space="0" w:color="auto"/>
              <w:right w:val="single" w:sz="4" w:space="0" w:color="auto"/>
            </w:tcBorders>
            <w:vAlign w:val="center"/>
            <w:hideMark/>
          </w:tcPr>
          <w:p w14:paraId="4187FEF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1,345,362</w:t>
            </w:r>
          </w:p>
        </w:tc>
        <w:tc>
          <w:tcPr>
            <w:tcW w:w="1284" w:type="dxa"/>
            <w:tcBorders>
              <w:top w:val="single" w:sz="4" w:space="0" w:color="auto"/>
              <w:left w:val="single" w:sz="4" w:space="0" w:color="auto"/>
              <w:bottom w:val="single" w:sz="4" w:space="0" w:color="auto"/>
              <w:right w:val="single" w:sz="4" w:space="0" w:color="auto"/>
            </w:tcBorders>
            <w:vAlign w:val="center"/>
            <w:hideMark/>
          </w:tcPr>
          <w:p w14:paraId="194C5D6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1,390,515</w:t>
            </w:r>
          </w:p>
        </w:tc>
        <w:tc>
          <w:tcPr>
            <w:tcW w:w="1284" w:type="dxa"/>
            <w:tcBorders>
              <w:top w:val="single" w:sz="4" w:space="0" w:color="auto"/>
              <w:left w:val="single" w:sz="4" w:space="0" w:color="auto"/>
              <w:bottom w:val="single" w:sz="4" w:space="0" w:color="auto"/>
              <w:right w:val="single" w:sz="4" w:space="0" w:color="auto"/>
            </w:tcBorders>
            <w:vAlign w:val="center"/>
            <w:hideMark/>
          </w:tcPr>
          <w:p w14:paraId="21A75FC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1,699,139</w:t>
            </w:r>
          </w:p>
        </w:tc>
        <w:tc>
          <w:tcPr>
            <w:tcW w:w="1418" w:type="dxa"/>
            <w:tcBorders>
              <w:top w:val="single" w:sz="4" w:space="0" w:color="auto"/>
              <w:left w:val="single" w:sz="4" w:space="0" w:color="auto"/>
              <w:bottom w:val="single" w:sz="4" w:space="0" w:color="auto"/>
              <w:right w:val="single" w:sz="4" w:space="0" w:color="auto"/>
            </w:tcBorders>
            <w:vAlign w:val="center"/>
            <w:hideMark/>
          </w:tcPr>
          <w:p w14:paraId="2D1233B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1,706,265</w:t>
            </w:r>
          </w:p>
        </w:tc>
        <w:tc>
          <w:tcPr>
            <w:tcW w:w="1284" w:type="dxa"/>
            <w:tcBorders>
              <w:top w:val="single" w:sz="4" w:space="0" w:color="auto"/>
              <w:left w:val="single" w:sz="4" w:space="0" w:color="auto"/>
              <w:bottom w:val="single" w:sz="4" w:space="0" w:color="auto"/>
              <w:right w:val="single" w:sz="4" w:space="0" w:color="auto"/>
            </w:tcBorders>
            <w:vAlign w:val="center"/>
            <w:hideMark/>
          </w:tcPr>
          <w:p w14:paraId="2E56552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1,730,082</w:t>
            </w:r>
          </w:p>
        </w:tc>
      </w:tr>
      <w:tr w:rsidR="00BD4F25" w:rsidRPr="00BD4F25" w14:paraId="7C9D917A"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68FD3A3"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Total Liabilities</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6B6C8F6"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3,181,436</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D4880C6"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3,605,152</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1810C1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3,885,784</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EB89D6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4,925,103</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B7A445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4,388,235</w:t>
            </w:r>
          </w:p>
        </w:tc>
      </w:tr>
      <w:tr w:rsidR="00BD4F25" w:rsidRPr="00BD4F25" w14:paraId="1ED8BF78"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vAlign w:val="center"/>
            <w:hideMark/>
          </w:tcPr>
          <w:p w14:paraId="43E2F287"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Total Equity</w:t>
            </w:r>
          </w:p>
        </w:tc>
        <w:tc>
          <w:tcPr>
            <w:tcW w:w="1284" w:type="dxa"/>
            <w:tcBorders>
              <w:top w:val="single" w:sz="4" w:space="0" w:color="auto"/>
              <w:left w:val="single" w:sz="4" w:space="0" w:color="auto"/>
              <w:bottom w:val="single" w:sz="4" w:space="0" w:color="auto"/>
              <w:right w:val="single" w:sz="4" w:space="0" w:color="auto"/>
            </w:tcBorders>
            <w:vAlign w:val="center"/>
            <w:hideMark/>
          </w:tcPr>
          <w:p w14:paraId="747EEC9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3,322,550</w:t>
            </w:r>
          </w:p>
        </w:tc>
        <w:tc>
          <w:tcPr>
            <w:tcW w:w="1284" w:type="dxa"/>
            <w:tcBorders>
              <w:top w:val="single" w:sz="4" w:space="0" w:color="auto"/>
              <w:left w:val="single" w:sz="4" w:space="0" w:color="auto"/>
              <w:bottom w:val="single" w:sz="4" w:space="0" w:color="auto"/>
              <w:right w:val="single" w:sz="4" w:space="0" w:color="auto"/>
            </w:tcBorders>
            <w:vAlign w:val="center"/>
            <w:hideMark/>
          </w:tcPr>
          <w:p w14:paraId="4447955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4,021,967</w:t>
            </w:r>
          </w:p>
        </w:tc>
        <w:tc>
          <w:tcPr>
            <w:tcW w:w="1284" w:type="dxa"/>
            <w:tcBorders>
              <w:top w:val="single" w:sz="4" w:space="0" w:color="auto"/>
              <w:left w:val="single" w:sz="4" w:space="0" w:color="auto"/>
              <w:bottom w:val="single" w:sz="4" w:space="0" w:color="auto"/>
              <w:right w:val="single" w:sz="4" w:space="0" w:color="auto"/>
            </w:tcBorders>
            <w:vAlign w:val="center"/>
            <w:hideMark/>
          </w:tcPr>
          <w:p w14:paraId="0938992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3,935,401</w:t>
            </w:r>
          </w:p>
        </w:tc>
        <w:tc>
          <w:tcPr>
            <w:tcW w:w="1418" w:type="dxa"/>
            <w:tcBorders>
              <w:top w:val="single" w:sz="4" w:space="0" w:color="auto"/>
              <w:left w:val="single" w:sz="4" w:space="0" w:color="auto"/>
              <w:bottom w:val="single" w:sz="4" w:space="0" w:color="auto"/>
              <w:right w:val="single" w:sz="4" w:space="0" w:color="auto"/>
            </w:tcBorders>
            <w:vAlign w:val="center"/>
            <w:hideMark/>
          </w:tcPr>
          <w:p w14:paraId="5B58144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6,153,359</w:t>
            </w:r>
          </w:p>
        </w:tc>
        <w:tc>
          <w:tcPr>
            <w:tcW w:w="1284" w:type="dxa"/>
            <w:tcBorders>
              <w:top w:val="single" w:sz="4" w:space="0" w:color="auto"/>
              <w:left w:val="single" w:sz="4" w:space="0" w:color="auto"/>
              <w:bottom w:val="single" w:sz="4" w:space="0" w:color="auto"/>
              <w:right w:val="single" w:sz="4" w:space="0" w:color="auto"/>
            </w:tcBorders>
            <w:vAlign w:val="center"/>
            <w:hideMark/>
          </w:tcPr>
          <w:p w14:paraId="5D0EE0F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5,015,246</w:t>
            </w:r>
          </w:p>
        </w:tc>
      </w:tr>
      <w:tr w:rsidR="00BD4F25" w:rsidRPr="00BD4F25" w14:paraId="2BF6218A" w14:textId="77777777" w:rsidTr="00BD4F25">
        <w:trPr>
          <w:trHeight w:val="288"/>
        </w:trPr>
        <w:tc>
          <w:tcPr>
            <w:tcW w:w="2689"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C36155D"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Operating Cash Flow</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1DE8885"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382,386</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1283A5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321,085</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F532E9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194,964</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530256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443,590</w:t>
            </w:r>
          </w:p>
        </w:tc>
        <w:tc>
          <w:tcPr>
            <w:tcW w:w="1284"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31807F5"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171,578</w:t>
            </w:r>
          </w:p>
        </w:tc>
      </w:tr>
    </w:tbl>
    <w:p w14:paraId="2B1AF83A" w14:textId="77777777" w:rsidR="00BD4F25" w:rsidRDefault="00BD4F25" w:rsidP="00C7346B">
      <w:pPr>
        <w:rPr>
          <w:rFonts w:cs="Arial"/>
          <w:lang w:val="en-US"/>
        </w:rPr>
      </w:pPr>
    </w:p>
    <w:p w14:paraId="6E33B145" w14:textId="27C77498" w:rsidR="00BD4F25" w:rsidRPr="00BD4F25" w:rsidRDefault="00372B78" w:rsidP="00C7346B">
      <w:pPr>
        <w:rPr>
          <w:rFonts w:cs="Arial"/>
          <w:b/>
          <w:bCs/>
          <w:lang w:val="en-US"/>
        </w:rPr>
      </w:pPr>
      <w:r w:rsidRPr="00372B78">
        <w:rPr>
          <w:rFonts w:cs="Arial"/>
          <w:b/>
          <w:bCs/>
          <w:lang w:val="en-US"/>
        </w:rPr>
        <w:t>PROFITABILITY RATIOS</w:t>
      </w:r>
      <w:r w:rsidR="00BD4F25" w:rsidRPr="00BD4F25">
        <w:rPr>
          <w:rFonts w:cs="Arial"/>
          <w:b/>
          <w:bCs/>
          <w:lang w:val="en-US"/>
        </w:rPr>
        <w:t xml:space="preserve"> </w:t>
      </w:r>
    </w:p>
    <w:tbl>
      <w:tblPr>
        <w:tblW w:w="9297" w:type="dxa"/>
        <w:tblLook w:val="04A0" w:firstRow="1" w:lastRow="0" w:firstColumn="1" w:lastColumn="0" w:noHBand="0" w:noVBand="1"/>
      </w:tblPr>
      <w:tblGrid>
        <w:gridCol w:w="3114"/>
        <w:gridCol w:w="1276"/>
        <w:gridCol w:w="1559"/>
        <w:gridCol w:w="1080"/>
        <w:gridCol w:w="1188"/>
        <w:gridCol w:w="1080"/>
      </w:tblGrid>
      <w:tr w:rsidR="00BD4F25" w:rsidRPr="00BD4F25" w14:paraId="4159020E" w14:textId="77777777" w:rsidTr="00BD4F25">
        <w:trPr>
          <w:trHeight w:val="312"/>
        </w:trPr>
        <w:tc>
          <w:tcPr>
            <w:tcW w:w="3114"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3D2CD53"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Ratio</w:t>
            </w:r>
          </w:p>
        </w:tc>
        <w:tc>
          <w:tcPr>
            <w:tcW w:w="127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91BB548"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FY2021</w:t>
            </w:r>
          </w:p>
        </w:tc>
        <w:tc>
          <w:tcPr>
            <w:tcW w:w="1559"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706539C"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FY2022</w:t>
            </w:r>
          </w:p>
        </w:tc>
        <w:tc>
          <w:tcPr>
            <w:tcW w:w="108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8C27A50"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FY2023</w:t>
            </w:r>
          </w:p>
        </w:tc>
        <w:tc>
          <w:tcPr>
            <w:tcW w:w="118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7DB259A"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FY2024</w:t>
            </w:r>
          </w:p>
        </w:tc>
        <w:tc>
          <w:tcPr>
            <w:tcW w:w="108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D3E7D47" w14:textId="77777777" w:rsidR="00BD4F25" w:rsidRPr="00BD4F25" w:rsidRDefault="00BD4F25" w:rsidP="00BD4F25">
            <w:pPr>
              <w:spacing w:before="0" w:after="0" w:line="240" w:lineRule="auto"/>
              <w:jc w:val="center"/>
              <w:rPr>
                <w:rFonts w:eastAsia="Times New Roman" w:cs="Arial"/>
                <w:b/>
                <w:bCs/>
                <w:color w:val="FFFFFF"/>
                <w:kern w:val="0"/>
                <w:lang w:eastAsia="en-IN"/>
                <w14:ligatures w14:val="none"/>
              </w:rPr>
            </w:pPr>
            <w:r w:rsidRPr="00BD4F25">
              <w:rPr>
                <w:rFonts w:eastAsia="Times New Roman" w:cs="Arial"/>
                <w:b/>
                <w:bCs/>
                <w:color w:val="FFFFFF"/>
                <w:kern w:val="0"/>
                <w:lang w:eastAsia="en-IN"/>
                <w14:ligatures w14:val="none"/>
              </w:rPr>
              <w:t>FY2025</w:t>
            </w:r>
          </w:p>
        </w:tc>
      </w:tr>
      <w:tr w:rsidR="00BD4F25" w:rsidRPr="00BD4F25" w14:paraId="2716BA71" w14:textId="77777777" w:rsidTr="00BD4F25">
        <w:trPr>
          <w:trHeight w:val="312"/>
        </w:trPr>
        <w:tc>
          <w:tcPr>
            <w:tcW w:w="3114" w:type="dxa"/>
            <w:tcBorders>
              <w:top w:val="single" w:sz="4" w:space="0" w:color="auto"/>
              <w:left w:val="single" w:sz="4" w:space="0" w:color="auto"/>
              <w:bottom w:val="single" w:sz="4" w:space="0" w:color="auto"/>
              <w:right w:val="single" w:sz="4" w:space="0" w:color="auto"/>
            </w:tcBorders>
            <w:vAlign w:val="center"/>
            <w:hideMark/>
          </w:tcPr>
          <w:p w14:paraId="0EB0B732"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Gross Profit Margin</w:t>
            </w:r>
          </w:p>
        </w:tc>
        <w:tc>
          <w:tcPr>
            <w:tcW w:w="1276" w:type="dxa"/>
            <w:tcBorders>
              <w:top w:val="single" w:sz="4" w:space="0" w:color="auto"/>
              <w:left w:val="single" w:sz="4" w:space="0" w:color="auto"/>
              <w:bottom w:val="single" w:sz="4" w:space="0" w:color="auto"/>
              <w:right w:val="single" w:sz="4" w:space="0" w:color="auto"/>
            </w:tcBorders>
            <w:vAlign w:val="center"/>
            <w:hideMark/>
          </w:tcPr>
          <w:p w14:paraId="2C70A00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23.15%</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7B8F6F9"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22.46%</w:t>
            </w:r>
          </w:p>
        </w:tc>
        <w:tc>
          <w:tcPr>
            <w:tcW w:w="1080" w:type="dxa"/>
            <w:tcBorders>
              <w:top w:val="single" w:sz="4" w:space="0" w:color="auto"/>
              <w:left w:val="single" w:sz="4" w:space="0" w:color="auto"/>
              <w:bottom w:val="single" w:sz="4" w:space="0" w:color="auto"/>
              <w:right w:val="single" w:sz="4" w:space="0" w:color="auto"/>
            </w:tcBorders>
            <w:vAlign w:val="center"/>
            <w:hideMark/>
          </w:tcPr>
          <w:p w14:paraId="0DE7B003"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22.37%</w:t>
            </w:r>
          </w:p>
        </w:tc>
        <w:tc>
          <w:tcPr>
            <w:tcW w:w="1188" w:type="dxa"/>
            <w:tcBorders>
              <w:top w:val="single" w:sz="4" w:space="0" w:color="auto"/>
              <w:left w:val="single" w:sz="4" w:space="0" w:color="auto"/>
              <w:bottom w:val="single" w:sz="4" w:space="0" w:color="auto"/>
              <w:right w:val="single" w:sz="4" w:space="0" w:color="auto"/>
            </w:tcBorders>
            <w:vAlign w:val="center"/>
            <w:hideMark/>
          </w:tcPr>
          <w:p w14:paraId="0C5818D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23.51%</w:t>
            </w:r>
          </w:p>
        </w:tc>
        <w:tc>
          <w:tcPr>
            <w:tcW w:w="1080" w:type="dxa"/>
            <w:tcBorders>
              <w:top w:val="single" w:sz="4" w:space="0" w:color="auto"/>
              <w:left w:val="single" w:sz="4" w:space="0" w:color="auto"/>
              <w:bottom w:val="single" w:sz="4" w:space="0" w:color="auto"/>
              <w:right w:val="single" w:sz="4" w:space="0" w:color="auto"/>
            </w:tcBorders>
            <w:vAlign w:val="center"/>
            <w:hideMark/>
          </w:tcPr>
          <w:p w14:paraId="2ABCC67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23.29%</w:t>
            </w:r>
          </w:p>
        </w:tc>
      </w:tr>
      <w:tr w:rsidR="00BD4F25" w:rsidRPr="00BD4F25" w14:paraId="644467BD" w14:textId="77777777" w:rsidTr="00BD4F25">
        <w:trPr>
          <w:trHeight w:val="312"/>
        </w:trPr>
        <w:tc>
          <w:tcPr>
            <w:tcW w:w="3114" w:type="dxa"/>
            <w:tcBorders>
              <w:top w:val="single" w:sz="4" w:space="0" w:color="auto"/>
              <w:left w:val="single" w:sz="4" w:space="0" w:color="auto"/>
              <w:bottom w:val="single" w:sz="4" w:space="0" w:color="auto"/>
              <w:right w:val="single" w:sz="4" w:space="0" w:color="auto"/>
            </w:tcBorders>
            <w:vAlign w:val="center"/>
            <w:hideMark/>
          </w:tcPr>
          <w:p w14:paraId="2DFB5A84"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Operating Profit Margin</w:t>
            </w:r>
          </w:p>
        </w:tc>
        <w:tc>
          <w:tcPr>
            <w:tcW w:w="1276" w:type="dxa"/>
            <w:tcBorders>
              <w:top w:val="single" w:sz="4" w:space="0" w:color="auto"/>
              <w:left w:val="single" w:sz="4" w:space="0" w:color="auto"/>
              <w:bottom w:val="single" w:sz="4" w:space="0" w:color="auto"/>
              <w:right w:val="single" w:sz="4" w:space="0" w:color="auto"/>
            </w:tcBorders>
            <w:vAlign w:val="center"/>
            <w:hideMark/>
          </w:tcPr>
          <w:p w14:paraId="1ECC4F26"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5.58%</w:t>
            </w:r>
          </w:p>
        </w:tc>
        <w:tc>
          <w:tcPr>
            <w:tcW w:w="1559" w:type="dxa"/>
            <w:tcBorders>
              <w:top w:val="single" w:sz="4" w:space="0" w:color="auto"/>
              <w:left w:val="single" w:sz="4" w:space="0" w:color="auto"/>
              <w:bottom w:val="single" w:sz="4" w:space="0" w:color="auto"/>
              <w:right w:val="single" w:sz="4" w:space="0" w:color="auto"/>
            </w:tcBorders>
            <w:vAlign w:val="center"/>
            <w:hideMark/>
          </w:tcPr>
          <w:p w14:paraId="1F052C7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5.88%</w:t>
            </w:r>
          </w:p>
        </w:tc>
        <w:tc>
          <w:tcPr>
            <w:tcW w:w="1080" w:type="dxa"/>
            <w:tcBorders>
              <w:top w:val="single" w:sz="4" w:space="0" w:color="auto"/>
              <w:left w:val="single" w:sz="4" w:space="0" w:color="auto"/>
              <w:bottom w:val="single" w:sz="4" w:space="0" w:color="auto"/>
              <w:right w:val="single" w:sz="4" w:space="0" w:color="auto"/>
            </w:tcBorders>
            <w:vAlign w:val="center"/>
            <w:hideMark/>
          </w:tcPr>
          <w:p w14:paraId="2486910B"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5.03%</w:t>
            </w:r>
          </w:p>
        </w:tc>
        <w:tc>
          <w:tcPr>
            <w:tcW w:w="1188" w:type="dxa"/>
            <w:tcBorders>
              <w:top w:val="single" w:sz="4" w:space="0" w:color="auto"/>
              <w:left w:val="single" w:sz="4" w:space="0" w:color="auto"/>
              <w:bottom w:val="single" w:sz="4" w:space="0" w:color="auto"/>
              <w:right w:val="single" w:sz="4" w:space="0" w:color="auto"/>
            </w:tcBorders>
            <w:vAlign w:val="center"/>
            <w:hideMark/>
          </w:tcPr>
          <w:p w14:paraId="597709F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5.23%</w:t>
            </w:r>
          </w:p>
        </w:tc>
        <w:tc>
          <w:tcPr>
            <w:tcW w:w="1080" w:type="dxa"/>
            <w:tcBorders>
              <w:top w:val="single" w:sz="4" w:space="0" w:color="auto"/>
              <w:left w:val="single" w:sz="4" w:space="0" w:color="auto"/>
              <w:bottom w:val="single" w:sz="4" w:space="0" w:color="auto"/>
              <w:right w:val="single" w:sz="4" w:space="0" w:color="auto"/>
            </w:tcBorders>
            <w:vAlign w:val="center"/>
            <w:hideMark/>
          </w:tcPr>
          <w:p w14:paraId="46C73B8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5.43%</w:t>
            </w:r>
          </w:p>
        </w:tc>
      </w:tr>
      <w:tr w:rsidR="00BD4F25" w:rsidRPr="00BD4F25" w14:paraId="34D45866" w14:textId="77777777" w:rsidTr="00BD4F25">
        <w:trPr>
          <w:trHeight w:val="312"/>
        </w:trPr>
        <w:tc>
          <w:tcPr>
            <w:tcW w:w="3114" w:type="dxa"/>
            <w:tcBorders>
              <w:top w:val="single" w:sz="4" w:space="0" w:color="auto"/>
              <w:left w:val="single" w:sz="4" w:space="0" w:color="auto"/>
              <w:bottom w:val="single" w:sz="4" w:space="0" w:color="auto"/>
              <w:right w:val="single" w:sz="4" w:space="0" w:color="auto"/>
            </w:tcBorders>
            <w:vAlign w:val="center"/>
            <w:hideMark/>
          </w:tcPr>
          <w:p w14:paraId="2F4C9D7F"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Net Profit Margin</w:t>
            </w:r>
          </w:p>
        </w:tc>
        <w:tc>
          <w:tcPr>
            <w:tcW w:w="1276" w:type="dxa"/>
            <w:tcBorders>
              <w:top w:val="single" w:sz="4" w:space="0" w:color="auto"/>
              <w:left w:val="single" w:sz="4" w:space="0" w:color="auto"/>
              <w:bottom w:val="single" w:sz="4" w:space="0" w:color="auto"/>
              <w:right w:val="single" w:sz="4" w:space="0" w:color="auto"/>
            </w:tcBorders>
            <w:vAlign w:val="center"/>
            <w:hideMark/>
          </w:tcPr>
          <w:p w14:paraId="2942D0D4"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6.68%</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35217A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6.85%</w:t>
            </w:r>
          </w:p>
        </w:tc>
        <w:tc>
          <w:tcPr>
            <w:tcW w:w="1080" w:type="dxa"/>
            <w:tcBorders>
              <w:top w:val="single" w:sz="4" w:space="0" w:color="auto"/>
              <w:left w:val="single" w:sz="4" w:space="0" w:color="auto"/>
              <w:bottom w:val="single" w:sz="4" w:space="0" w:color="auto"/>
              <w:right w:val="single" w:sz="4" w:space="0" w:color="auto"/>
            </w:tcBorders>
            <w:vAlign w:val="center"/>
            <w:hideMark/>
          </w:tcPr>
          <w:p w14:paraId="7F61415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5.88%</w:t>
            </w:r>
          </w:p>
        </w:tc>
        <w:tc>
          <w:tcPr>
            <w:tcW w:w="1188" w:type="dxa"/>
            <w:tcBorders>
              <w:top w:val="single" w:sz="4" w:space="0" w:color="auto"/>
              <w:left w:val="single" w:sz="4" w:space="0" w:color="auto"/>
              <w:bottom w:val="single" w:sz="4" w:space="0" w:color="auto"/>
              <w:right w:val="single" w:sz="4" w:space="0" w:color="auto"/>
            </w:tcBorders>
            <w:vAlign w:val="center"/>
            <w:hideMark/>
          </w:tcPr>
          <w:p w14:paraId="5113CBB8"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6.18%</w:t>
            </w:r>
          </w:p>
        </w:tc>
        <w:tc>
          <w:tcPr>
            <w:tcW w:w="1080" w:type="dxa"/>
            <w:tcBorders>
              <w:top w:val="single" w:sz="4" w:space="0" w:color="auto"/>
              <w:left w:val="single" w:sz="4" w:space="0" w:color="auto"/>
              <w:bottom w:val="single" w:sz="4" w:space="0" w:color="auto"/>
              <w:right w:val="single" w:sz="4" w:space="0" w:color="auto"/>
            </w:tcBorders>
            <w:vAlign w:val="center"/>
            <w:hideMark/>
          </w:tcPr>
          <w:p w14:paraId="7F7B3605"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6.64%</w:t>
            </w:r>
          </w:p>
        </w:tc>
      </w:tr>
      <w:tr w:rsidR="00BD4F25" w:rsidRPr="00BD4F25" w14:paraId="0A4AA575" w14:textId="77777777" w:rsidTr="00BD4F25">
        <w:trPr>
          <w:trHeight w:val="312"/>
        </w:trPr>
        <w:tc>
          <w:tcPr>
            <w:tcW w:w="3114" w:type="dxa"/>
            <w:tcBorders>
              <w:top w:val="single" w:sz="4" w:space="0" w:color="auto"/>
              <w:left w:val="single" w:sz="4" w:space="0" w:color="auto"/>
              <w:bottom w:val="single" w:sz="4" w:space="0" w:color="auto"/>
              <w:right w:val="single" w:sz="4" w:space="0" w:color="auto"/>
            </w:tcBorders>
            <w:vAlign w:val="center"/>
            <w:hideMark/>
          </w:tcPr>
          <w:p w14:paraId="51502130"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Return on Assets (ROA)</w:t>
            </w:r>
          </w:p>
        </w:tc>
        <w:tc>
          <w:tcPr>
            <w:tcW w:w="1276" w:type="dxa"/>
            <w:tcBorders>
              <w:top w:val="single" w:sz="4" w:space="0" w:color="auto"/>
              <w:left w:val="single" w:sz="4" w:space="0" w:color="auto"/>
              <w:bottom w:val="single" w:sz="4" w:space="0" w:color="auto"/>
              <w:right w:val="single" w:sz="4" w:space="0" w:color="auto"/>
            </w:tcBorders>
            <w:vAlign w:val="center"/>
            <w:hideMark/>
          </w:tcPr>
          <w:p w14:paraId="0A160A01"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2.17%</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A8A7A7E"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2.43%</w:t>
            </w:r>
          </w:p>
        </w:tc>
        <w:tc>
          <w:tcPr>
            <w:tcW w:w="1080" w:type="dxa"/>
            <w:tcBorders>
              <w:top w:val="single" w:sz="4" w:space="0" w:color="auto"/>
              <w:left w:val="single" w:sz="4" w:space="0" w:color="auto"/>
              <w:bottom w:val="single" w:sz="4" w:space="0" w:color="auto"/>
              <w:right w:val="single" w:sz="4" w:space="0" w:color="auto"/>
            </w:tcBorders>
            <w:vAlign w:val="center"/>
            <w:hideMark/>
          </w:tcPr>
          <w:p w14:paraId="7D89FB1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2.54%</w:t>
            </w:r>
          </w:p>
        </w:tc>
        <w:tc>
          <w:tcPr>
            <w:tcW w:w="1188" w:type="dxa"/>
            <w:tcBorders>
              <w:top w:val="single" w:sz="4" w:space="0" w:color="auto"/>
              <w:left w:val="single" w:sz="4" w:space="0" w:color="auto"/>
              <w:bottom w:val="single" w:sz="4" w:space="0" w:color="auto"/>
              <w:right w:val="single" w:sz="4" w:space="0" w:color="auto"/>
            </w:tcBorders>
            <w:vAlign w:val="center"/>
            <w:hideMark/>
          </w:tcPr>
          <w:p w14:paraId="317311A7"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2.14%</w:t>
            </w:r>
          </w:p>
        </w:tc>
        <w:tc>
          <w:tcPr>
            <w:tcW w:w="1080" w:type="dxa"/>
            <w:tcBorders>
              <w:top w:val="single" w:sz="4" w:space="0" w:color="auto"/>
              <w:left w:val="single" w:sz="4" w:space="0" w:color="auto"/>
              <w:bottom w:val="single" w:sz="4" w:space="0" w:color="auto"/>
              <w:right w:val="single" w:sz="4" w:space="0" w:color="auto"/>
            </w:tcBorders>
            <w:vAlign w:val="center"/>
            <w:hideMark/>
          </w:tcPr>
          <w:p w14:paraId="2678FB3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2.88%</w:t>
            </w:r>
          </w:p>
        </w:tc>
      </w:tr>
      <w:tr w:rsidR="00BD4F25" w:rsidRPr="00BD4F25" w14:paraId="7B38EC82" w14:textId="77777777" w:rsidTr="00BD4F25">
        <w:trPr>
          <w:trHeight w:val="312"/>
        </w:trPr>
        <w:tc>
          <w:tcPr>
            <w:tcW w:w="3114" w:type="dxa"/>
            <w:tcBorders>
              <w:top w:val="single" w:sz="4" w:space="0" w:color="auto"/>
              <w:left w:val="single" w:sz="4" w:space="0" w:color="auto"/>
              <w:bottom w:val="single" w:sz="4" w:space="0" w:color="auto"/>
              <w:right w:val="single" w:sz="4" w:space="0" w:color="auto"/>
            </w:tcBorders>
            <w:vAlign w:val="center"/>
            <w:hideMark/>
          </w:tcPr>
          <w:p w14:paraId="6CBA349F" w14:textId="77777777" w:rsidR="00BD4F25" w:rsidRPr="00BD4F25" w:rsidRDefault="00BD4F25" w:rsidP="00BD4F25">
            <w:pPr>
              <w:spacing w:before="0" w:after="0" w:line="240" w:lineRule="auto"/>
              <w:jc w:val="lef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Return on Equity (ROE)</w:t>
            </w:r>
          </w:p>
        </w:tc>
        <w:tc>
          <w:tcPr>
            <w:tcW w:w="1276" w:type="dxa"/>
            <w:tcBorders>
              <w:top w:val="single" w:sz="4" w:space="0" w:color="auto"/>
              <w:left w:val="single" w:sz="4" w:space="0" w:color="auto"/>
              <w:bottom w:val="single" w:sz="4" w:space="0" w:color="auto"/>
              <w:right w:val="single" w:sz="4" w:space="0" w:color="auto"/>
            </w:tcBorders>
            <w:vAlign w:val="center"/>
            <w:hideMark/>
          </w:tcPr>
          <w:p w14:paraId="3E819DAA"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4.26%</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D8A5DCD"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4.61%</w:t>
            </w:r>
          </w:p>
        </w:tc>
        <w:tc>
          <w:tcPr>
            <w:tcW w:w="1080" w:type="dxa"/>
            <w:tcBorders>
              <w:top w:val="single" w:sz="4" w:space="0" w:color="auto"/>
              <w:left w:val="single" w:sz="4" w:space="0" w:color="auto"/>
              <w:bottom w:val="single" w:sz="4" w:space="0" w:color="auto"/>
              <w:right w:val="single" w:sz="4" w:space="0" w:color="auto"/>
            </w:tcBorders>
            <w:vAlign w:val="center"/>
            <w:hideMark/>
          </w:tcPr>
          <w:p w14:paraId="103D2930"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5.05%</w:t>
            </w:r>
          </w:p>
        </w:tc>
        <w:tc>
          <w:tcPr>
            <w:tcW w:w="1188" w:type="dxa"/>
            <w:tcBorders>
              <w:top w:val="single" w:sz="4" w:space="0" w:color="auto"/>
              <w:left w:val="single" w:sz="4" w:space="0" w:color="auto"/>
              <w:bottom w:val="single" w:sz="4" w:space="0" w:color="auto"/>
              <w:right w:val="single" w:sz="4" w:space="0" w:color="auto"/>
            </w:tcBorders>
            <w:vAlign w:val="center"/>
            <w:hideMark/>
          </w:tcPr>
          <w:p w14:paraId="1561D442"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3.85%</w:t>
            </w:r>
          </w:p>
        </w:tc>
        <w:tc>
          <w:tcPr>
            <w:tcW w:w="1080" w:type="dxa"/>
            <w:tcBorders>
              <w:top w:val="single" w:sz="4" w:space="0" w:color="auto"/>
              <w:left w:val="single" w:sz="4" w:space="0" w:color="auto"/>
              <w:bottom w:val="single" w:sz="4" w:space="0" w:color="auto"/>
              <w:right w:val="single" w:sz="4" w:space="0" w:color="auto"/>
            </w:tcBorders>
            <w:vAlign w:val="center"/>
            <w:hideMark/>
          </w:tcPr>
          <w:p w14:paraId="651895D5" w14:textId="77777777" w:rsidR="00BD4F25" w:rsidRPr="00BD4F25" w:rsidRDefault="00BD4F25" w:rsidP="00BD4F25">
            <w:pPr>
              <w:spacing w:before="0" w:after="0" w:line="240" w:lineRule="auto"/>
              <w:jc w:val="right"/>
              <w:rPr>
                <w:rFonts w:eastAsia="Times New Roman" w:cs="Arial"/>
                <w:color w:val="000000"/>
                <w:kern w:val="0"/>
                <w:lang w:eastAsia="en-IN"/>
                <w14:ligatures w14:val="none"/>
              </w:rPr>
            </w:pPr>
            <w:r w:rsidRPr="00BD4F25">
              <w:rPr>
                <w:rFonts w:eastAsia="Times New Roman" w:cs="Arial"/>
                <w:color w:val="000000"/>
                <w:kern w:val="0"/>
                <w:lang w:eastAsia="en-IN"/>
                <w14:ligatures w14:val="none"/>
              </w:rPr>
              <w:t>5.41%</w:t>
            </w:r>
          </w:p>
        </w:tc>
      </w:tr>
    </w:tbl>
    <w:p w14:paraId="39F343F1" w14:textId="1BBBAB59" w:rsidR="00BD4F25" w:rsidRPr="00372B78" w:rsidRDefault="00372B78" w:rsidP="00C7346B">
      <w:pPr>
        <w:rPr>
          <w:rFonts w:cs="Arial"/>
          <w:b/>
          <w:bCs/>
          <w:lang w:val="en-US"/>
        </w:rPr>
      </w:pPr>
      <w:r w:rsidRPr="00372B78">
        <w:rPr>
          <w:rFonts w:cs="Arial"/>
          <w:b/>
          <w:bCs/>
          <w:lang w:val="en-US"/>
        </w:rPr>
        <w:t>LIQUIDITY RATIOS</w:t>
      </w:r>
    </w:p>
    <w:tbl>
      <w:tblPr>
        <w:tblW w:w="9310" w:type="dxa"/>
        <w:tblLook w:val="04A0" w:firstRow="1" w:lastRow="0" w:firstColumn="1" w:lastColumn="0" w:noHBand="0" w:noVBand="1"/>
      </w:tblPr>
      <w:tblGrid>
        <w:gridCol w:w="1555"/>
        <w:gridCol w:w="1275"/>
        <w:gridCol w:w="1620"/>
        <w:gridCol w:w="1620"/>
        <w:gridCol w:w="1620"/>
        <w:gridCol w:w="1620"/>
      </w:tblGrid>
      <w:tr w:rsidR="00BD4F25" w:rsidRPr="00372B78" w14:paraId="481E6BDF" w14:textId="77777777" w:rsidTr="00BD4F25">
        <w:trPr>
          <w:trHeight w:val="312"/>
        </w:trPr>
        <w:tc>
          <w:tcPr>
            <w:tcW w:w="155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0BDD7EE" w14:textId="77777777" w:rsidR="00BD4F25" w:rsidRPr="00372B78" w:rsidRDefault="00BD4F25" w:rsidP="00BD4F25">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Ratio</w:t>
            </w:r>
          </w:p>
        </w:tc>
        <w:tc>
          <w:tcPr>
            <w:tcW w:w="1275"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E11720C" w14:textId="77777777" w:rsidR="00BD4F25" w:rsidRPr="00372B78" w:rsidRDefault="00BD4F25" w:rsidP="00BD4F25">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FY2021</w:t>
            </w:r>
          </w:p>
        </w:tc>
        <w:tc>
          <w:tcPr>
            <w:tcW w:w="162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E50ECC2" w14:textId="77777777" w:rsidR="00BD4F25" w:rsidRPr="00372B78" w:rsidRDefault="00BD4F25" w:rsidP="00BD4F25">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FY2022</w:t>
            </w:r>
          </w:p>
        </w:tc>
        <w:tc>
          <w:tcPr>
            <w:tcW w:w="162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197AEE0" w14:textId="77777777" w:rsidR="00BD4F25" w:rsidRPr="00372B78" w:rsidRDefault="00BD4F25" w:rsidP="00BD4F25">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FY2023</w:t>
            </w:r>
          </w:p>
        </w:tc>
        <w:tc>
          <w:tcPr>
            <w:tcW w:w="162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31C81D3" w14:textId="77777777" w:rsidR="00BD4F25" w:rsidRPr="00372B78" w:rsidRDefault="00BD4F25" w:rsidP="00BD4F25">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FY2024</w:t>
            </w:r>
          </w:p>
        </w:tc>
        <w:tc>
          <w:tcPr>
            <w:tcW w:w="162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77AD22D6" w14:textId="77777777" w:rsidR="00BD4F25" w:rsidRPr="00372B78" w:rsidRDefault="00BD4F25" w:rsidP="00BD4F25">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FY2025</w:t>
            </w:r>
          </w:p>
        </w:tc>
      </w:tr>
      <w:tr w:rsidR="00BD4F25" w:rsidRPr="00372B78" w14:paraId="09330CD8" w14:textId="77777777" w:rsidTr="00BD4F25">
        <w:trPr>
          <w:trHeight w:val="312"/>
        </w:trPr>
        <w:tc>
          <w:tcPr>
            <w:tcW w:w="1555"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21D2BCB" w14:textId="77777777" w:rsidR="00BD4F25" w:rsidRPr="00372B78" w:rsidRDefault="00BD4F25" w:rsidP="00BD4F25">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Current Ratio</w:t>
            </w:r>
          </w:p>
        </w:tc>
        <w:tc>
          <w:tcPr>
            <w:tcW w:w="1275"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425E629"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1.64</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CFB7D72"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1.64</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708745A"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1.76</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A6476EF"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1.91</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B33B1A5"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1.92</w:t>
            </w:r>
          </w:p>
        </w:tc>
      </w:tr>
      <w:tr w:rsidR="00BD4F25" w:rsidRPr="00372B78" w14:paraId="1D9044C1" w14:textId="77777777" w:rsidTr="00BD4F25">
        <w:trPr>
          <w:trHeight w:val="312"/>
        </w:trPr>
        <w:tc>
          <w:tcPr>
            <w:tcW w:w="1555" w:type="dxa"/>
            <w:tcBorders>
              <w:top w:val="single" w:sz="4" w:space="0" w:color="auto"/>
              <w:left w:val="single" w:sz="4" w:space="0" w:color="auto"/>
              <w:bottom w:val="single" w:sz="4" w:space="0" w:color="auto"/>
              <w:right w:val="single" w:sz="4" w:space="0" w:color="auto"/>
            </w:tcBorders>
            <w:vAlign w:val="center"/>
            <w:hideMark/>
          </w:tcPr>
          <w:p w14:paraId="06805E5D" w14:textId="77777777" w:rsidR="00BD4F25" w:rsidRPr="00372B78" w:rsidRDefault="00BD4F25" w:rsidP="00BD4F25">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Quick Ratio</w:t>
            </w:r>
          </w:p>
        </w:tc>
        <w:tc>
          <w:tcPr>
            <w:tcW w:w="1275" w:type="dxa"/>
            <w:tcBorders>
              <w:top w:val="single" w:sz="4" w:space="0" w:color="auto"/>
              <w:left w:val="single" w:sz="4" w:space="0" w:color="auto"/>
              <w:bottom w:val="single" w:sz="4" w:space="0" w:color="auto"/>
              <w:right w:val="single" w:sz="4" w:space="0" w:color="auto"/>
            </w:tcBorders>
            <w:vAlign w:val="center"/>
            <w:hideMark/>
          </w:tcPr>
          <w:p w14:paraId="05B0C97D"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2.70</w:t>
            </w:r>
          </w:p>
        </w:tc>
        <w:tc>
          <w:tcPr>
            <w:tcW w:w="1620" w:type="dxa"/>
            <w:tcBorders>
              <w:top w:val="single" w:sz="4" w:space="0" w:color="auto"/>
              <w:left w:val="single" w:sz="4" w:space="0" w:color="auto"/>
              <w:bottom w:val="single" w:sz="4" w:space="0" w:color="auto"/>
              <w:right w:val="single" w:sz="4" w:space="0" w:color="auto"/>
            </w:tcBorders>
            <w:vAlign w:val="center"/>
            <w:hideMark/>
          </w:tcPr>
          <w:p w14:paraId="6A2E809F"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2.44</w:t>
            </w:r>
          </w:p>
        </w:tc>
        <w:tc>
          <w:tcPr>
            <w:tcW w:w="1620" w:type="dxa"/>
            <w:tcBorders>
              <w:top w:val="single" w:sz="4" w:space="0" w:color="auto"/>
              <w:left w:val="single" w:sz="4" w:space="0" w:color="auto"/>
              <w:bottom w:val="single" w:sz="4" w:space="0" w:color="auto"/>
              <w:right w:val="single" w:sz="4" w:space="0" w:color="auto"/>
            </w:tcBorders>
            <w:vAlign w:val="center"/>
            <w:hideMark/>
          </w:tcPr>
          <w:p w14:paraId="15094727"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2.67</w:t>
            </w:r>
          </w:p>
        </w:tc>
        <w:tc>
          <w:tcPr>
            <w:tcW w:w="1620" w:type="dxa"/>
            <w:tcBorders>
              <w:top w:val="single" w:sz="4" w:space="0" w:color="auto"/>
              <w:left w:val="single" w:sz="4" w:space="0" w:color="auto"/>
              <w:bottom w:val="single" w:sz="4" w:space="0" w:color="auto"/>
              <w:right w:val="single" w:sz="4" w:space="0" w:color="auto"/>
            </w:tcBorders>
            <w:vAlign w:val="center"/>
            <w:hideMark/>
          </w:tcPr>
          <w:p w14:paraId="1FFB7285"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2.86</w:t>
            </w:r>
          </w:p>
        </w:tc>
        <w:tc>
          <w:tcPr>
            <w:tcW w:w="1620" w:type="dxa"/>
            <w:tcBorders>
              <w:top w:val="single" w:sz="4" w:space="0" w:color="auto"/>
              <w:left w:val="single" w:sz="4" w:space="0" w:color="auto"/>
              <w:bottom w:val="single" w:sz="4" w:space="0" w:color="auto"/>
              <w:right w:val="single" w:sz="4" w:space="0" w:color="auto"/>
            </w:tcBorders>
            <w:vAlign w:val="center"/>
            <w:hideMark/>
          </w:tcPr>
          <w:p w14:paraId="0C651982"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2.83</w:t>
            </w:r>
          </w:p>
        </w:tc>
      </w:tr>
      <w:tr w:rsidR="00BD4F25" w:rsidRPr="00372B78" w14:paraId="1485BC19" w14:textId="77777777" w:rsidTr="00BD4F25">
        <w:trPr>
          <w:trHeight w:val="312"/>
        </w:trPr>
        <w:tc>
          <w:tcPr>
            <w:tcW w:w="1555"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2AA6041" w14:textId="77777777" w:rsidR="00BD4F25" w:rsidRPr="00372B78" w:rsidRDefault="00BD4F25" w:rsidP="00BD4F25">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Cash Ratio</w:t>
            </w:r>
          </w:p>
        </w:tc>
        <w:tc>
          <w:tcPr>
            <w:tcW w:w="1275"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D3B63AC"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0.20</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A6B90F5"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0.18</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BA4C7D1"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0.13</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B927B56"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0.30</w:t>
            </w:r>
          </w:p>
        </w:tc>
        <w:tc>
          <w:tcPr>
            <w:tcW w:w="162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D9266FD" w14:textId="77777777" w:rsidR="00BD4F25" w:rsidRPr="00372B78" w:rsidRDefault="00BD4F25" w:rsidP="00BD4F25">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0.23</w:t>
            </w:r>
          </w:p>
        </w:tc>
      </w:tr>
    </w:tbl>
    <w:p w14:paraId="08F20295" w14:textId="77777777" w:rsidR="00372B78" w:rsidRDefault="00372B78" w:rsidP="00C7346B">
      <w:pPr>
        <w:rPr>
          <w:rFonts w:cs="Arial"/>
          <w:lang w:val="en-US"/>
        </w:rPr>
      </w:pPr>
    </w:p>
    <w:p w14:paraId="5A483EC3" w14:textId="77777777" w:rsidR="00372B78" w:rsidRDefault="00372B78" w:rsidP="00C7346B">
      <w:pPr>
        <w:rPr>
          <w:rFonts w:cs="Arial"/>
          <w:lang w:val="en-US"/>
        </w:rPr>
      </w:pPr>
    </w:p>
    <w:p w14:paraId="57B270BB" w14:textId="4759C786" w:rsidR="00BD4F25" w:rsidRPr="00372B78" w:rsidRDefault="00372B78" w:rsidP="00C7346B">
      <w:pPr>
        <w:rPr>
          <w:rFonts w:cs="Arial"/>
          <w:b/>
          <w:bCs/>
          <w:lang w:val="en-US"/>
        </w:rPr>
      </w:pPr>
      <w:r w:rsidRPr="00372B78">
        <w:rPr>
          <w:rFonts w:cs="Arial"/>
          <w:b/>
          <w:bCs/>
          <w:lang w:val="en-US"/>
        </w:rPr>
        <w:lastRenderedPageBreak/>
        <w:t>WORKING CAPITAL RATIOS</w:t>
      </w:r>
    </w:p>
    <w:tbl>
      <w:tblPr>
        <w:tblW w:w="9357" w:type="dxa"/>
        <w:tblLook w:val="04A0" w:firstRow="1" w:lastRow="0" w:firstColumn="1" w:lastColumn="0" w:noHBand="0" w:noVBand="1"/>
      </w:tblPr>
      <w:tblGrid>
        <w:gridCol w:w="2830"/>
        <w:gridCol w:w="1418"/>
        <w:gridCol w:w="1417"/>
        <w:gridCol w:w="1276"/>
        <w:gridCol w:w="1276"/>
        <w:gridCol w:w="1140"/>
      </w:tblGrid>
      <w:tr w:rsidR="00372B78" w:rsidRPr="00372B78" w14:paraId="67EA0BC9" w14:textId="77777777" w:rsidTr="00372B78">
        <w:trPr>
          <w:trHeight w:val="312"/>
        </w:trPr>
        <w:tc>
          <w:tcPr>
            <w:tcW w:w="283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F0EFC7E"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Ratio</w:t>
            </w:r>
          </w:p>
        </w:tc>
        <w:tc>
          <w:tcPr>
            <w:tcW w:w="141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CF921A0"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FY2021</w:t>
            </w:r>
          </w:p>
        </w:tc>
        <w:tc>
          <w:tcPr>
            <w:tcW w:w="141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1C8BC547"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FY2022</w:t>
            </w:r>
          </w:p>
        </w:tc>
        <w:tc>
          <w:tcPr>
            <w:tcW w:w="127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91BF994"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FY2023</w:t>
            </w:r>
          </w:p>
        </w:tc>
        <w:tc>
          <w:tcPr>
            <w:tcW w:w="127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014272DE"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FY2024</w:t>
            </w:r>
          </w:p>
        </w:tc>
        <w:tc>
          <w:tcPr>
            <w:tcW w:w="114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D3D68CA"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FY2025</w:t>
            </w:r>
          </w:p>
        </w:tc>
      </w:tr>
      <w:tr w:rsidR="00372B78" w:rsidRPr="00372B78" w14:paraId="6AB906C6" w14:textId="77777777" w:rsidTr="00372B78">
        <w:trPr>
          <w:trHeight w:val="312"/>
        </w:trPr>
        <w:tc>
          <w:tcPr>
            <w:tcW w:w="283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8D313E2"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Inventory Days</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4AE9439"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65.57</w:t>
            </w:r>
          </w:p>
        </w:tc>
        <w:tc>
          <w:tcPr>
            <w:tcW w:w="141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87947B7"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75.52</w:t>
            </w:r>
          </w:p>
        </w:tc>
        <w:tc>
          <w:tcPr>
            <w:tcW w:w="127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FC11ECF"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72.95</w:t>
            </w:r>
          </w:p>
        </w:tc>
        <w:tc>
          <w:tcPr>
            <w:tcW w:w="127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EC7B12E"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77.07</w:t>
            </w:r>
          </w:p>
        </w:tc>
        <w:tc>
          <w:tcPr>
            <w:tcW w:w="114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DE52493"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72.20</w:t>
            </w:r>
          </w:p>
        </w:tc>
      </w:tr>
      <w:tr w:rsidR="00372B78" w:rsidRPr="00372B78" w14:paraId="4664E763" w14:textId="77777777" w:rsidTr="00372B78">
        <w:trPr>
          <w:trHeight w:val="312"/>
        </w:trPr>
        <w:tc>
          <w:tcPr>
            <w:tcW w:w="2830" w:type="dxa"/>
            <w:tcBorders>
              <w:top w:val="single" w:sz="4" w:space="0" w:color="auto"/>
              <w:left w:val="single" w:sz="4" w:space="0" w:color="auto"/>
              <w:bottom w:val="single" w:sz="4" w:space="0" w:color="auto"/>
              <w:right w:val="single" w:sz="4" w:space="0" w:color="auto"/>
            </w:tcBorders>
            <w:vAlign w:val="center"/>
            <w:hideMark/>
          </w:tcPr>
          <w:p w14:paraId="5745BEEF"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Receivable Days</w:t>
            </w:r>
          </w:p>
        </w:tc>
        <w:tc>
          <w:tcPr>
            <w:tcW w:w="1418" w:type="dxa"/>
            <w:tcBorders>
              <w:top w:val="single" w:sz="4" w:space="0" w:color="auto"/>
              <w:left w:val="single" w:sz="4" w:space="0" w:color="auto"/>
              <w:bottom w:val="single" w:sz="4" w:space="0" w:color="auto"/>
              <w:right w:val="single" w:sz="4" w:space="0" w:color="auto"/>
            </w:tcBorders>
            <w:vAlign w:val="center"/>
            <w:hideMark/>
          </w:tcPr>
          <w:p w14:paraId="29BAAAF8"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165.81</w:t>
            </w:r>
          </w:p>
        </w:tc>
        <w:tc>
          <w:tcPr>
            <w:tcW w:w="1417" w:type="dxa"/>
            <w:tcBorders>
              <w:top w:val="single" w:sz="4" w:space="0" w:color="auto"/>
              <w:left w:val="single" w:sz="4" w:space="0" w:color="auto"/>
              <w:bottom w:val="single" w:sz="4" w:space="0" w:color="auto"/>
              <w:right w:val="single" w:sz="4" w:space="0" w:color="auto"/>
            </w:tcBorders>
            <w:vAlign w:val="center"/>
            <w:hideMark/>
          </w:tcPr>
          <w:p w14:paraId="793DC541"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151.32</w:t>
            </w:r>
          </w:p>
        </w:tc>
        <w:tc>
          <w:tcPr>
            <w:tcW w:w="1276" w:type="dxa"/>
            <w:tcBorders>
              <w:top w:val="single" w:sz="4" w:space="0" w:color="auto"/>
              <w:left w:val="single" w:sz="4" w:space="0" w:color="auto"/>
              <w:bottom w:val="single" w:sz="4" w:space="0" w:color="auto"/>
              <w:right w:val="single" w:sz="4" w:space="0" w:color="auto"/>
            </w:tcBorders>
            <w:vAlign w:val="center"/>
            <w:hideMark/>
          </w:tcPr>
          <w:p w14:paraId="51C554A9"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151.05</w:t>
            </w:r>
          </w:p>
        </w:tc>
        <w:tc>
          <w:tcPr>
            <w:tcW w:w="1276" w:type="dxa"/>
            <w:tcBorders>
              <w:top w:val="single" w:sz="4" w:space="0" w:color="auto"/>
              <w:left w:val="single" w:sz="4" w:space="0" w:color="auto"/>
              <w:bottom w:val="single" w:sz="4" w:space="0" w:color="auto"/>
              <w:right w:val="single" w:sz="4" w:space="0" w:color="auto"/>
            </w:tcBorders>
            <w:vAlign w:val="center"/>
            <w:hideMark/>
          </w:tcPr>
          <w:p w14:paraId="1A4DAF96"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156.07</w:t>
            </w:r>
          </w:p>
        </w:tc>
        <w:tc>
          <w:tcPr>
            <w:tcW w:w="1140" w:type="dxa"/>
            <w:tcBorders>
              <w:top w:val="single" w:sz="4" w:space="0" w:color="auto"/>
              <w:left w:val="single" w:sz="4" w:space="0" w:color="auto"/>
              <w:bottom w:val="single" w:sz="4" w:space="0" w:color="auto"/>
              <w:right w:val="single" w:sz="4" w:space="0" w:color="auto"/>
            </w:tcBorders>
            <w:vAlign w:val="center"/>
            <w:hideMark/>
          </w:tcPr>
          <w:p w14:paraId="3155DF51"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153.74</w:t>
            </w:r>
          </w:p>
        </w:tc>
      </w:tr>
      <w:tr w:rsidR="00372B78" w:rsidRPr="00372B78" w14:paraId="78F9EC83" w14:textId="77777777" w:rsidTr="00372B78">
        <w:trPr>
          <w:trHeight w:val="312"/>
        </w:trPr>
        <w:tc>
          <w:tcPr>
            <w:tcW w:w="283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80DAD50"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Payable Days</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FBEA291"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137.57</w:t>
            </w:r>
          </w:p>
        </w:tc>
        <w:tc>
          <w:tcPr>
            <w:tcW w:w="141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F6F599C"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129.74</w:t>
            </w:r>
          </w:p>
        </w:tc>
        <w:tc>
          <w:tcPr>
            <w:tcW w:w="127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DCD93B5"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112.33</w:t>
            </w:r>
          </w:p>
        </w:tc>
        <w:tc>
          <w:tcPr>
            <w:tcW w:w="127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2A85F05"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109.16</w:t>
            </w:r>
          </w:p>
        </w:tc>
        <w:tc>
          <w:tcPr>
            <w:tcW w:w="114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0521B9B"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102.37</w:t>
            </w:r>
          </w:p>
        </w:tc>
      </w:tr>
      <w:tr w:rsidR="00372B78" w:rsidRPr="00372B78" w14:paraId="7B963BD0" w14:textId="77777777" w:rsidTr="00372B78">
        <w:trPr>
          <w:trHeight w:val="312"/>
        </w:trPr>
        <w:tc>
          <w:tcPr>
            <w:tcW w:w="2830" w:type="dxa"/>
            <w:tcBorders>
              <w:top w:val="single" w:sz="4" w:space="0" w:color="auto"/>
              <w:left w:val="single" w:sz="4" w:space="0" w:color="auto"/>
              <w:bottom w:val="single" w:sz="4" w:space="0" w:color="auto"/>
              <w:right w:val="single" w:sz="4" w:space="0" w:color="auto"/>
            </w:tcBorders>
            <w:vAlign w:val="center"/>
            <w:hideMark/>
          </w:tcPr>
          <w:p w14:paraId="26F34A50"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Cash Conversion Cycle</w:t>
            </w:r>
          </w:p>
        </w:tc>
        <w:tc>
          <w:tcPr>
            <w:tcW w:w="1418" w:type="dxa"/>
            <w:tcBorders>
              <w:top w:val="single" w:sz="4" w:space="0" w:color="auto"/>
              <w:left w:val="single" w:sz="4" w:space="0" w:color="auto"/>
              <w:bottom w:val="single" w:sz="4" w:space="0" w:color="auto"/>
              <w:right w:val="single" w:sz="4" w:space="0" w:color="auto"/>
            </w:tcBorders>
            <w:vAlign w:val="center"/>
            <w:hideMark/>
          </w:tcPr>
          <w:p w14:paraId="5E76A81E"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93.81</w:t>
            </w:r>
          </w:p>
        </w:tc>
        <w:tc>
          <w:tcPr>
            <w:tcW w:w="1417" w:type="dxa"/>
            <w:tcBorders>
              <w:top w:val="single" w:sz="4" w:space="0" w:color="auto"/>
              <w:left w:val="single" w:sz="4" w:space="0" w:color="auto"/>
              <w:bottom w:val="single" w:sz="4" w:space="0" w:color="auto"/>
              <w:right w:val="single" w:sz="4" w:space="0" w:color="auto"/>
            </w:tcBorders>
            <w:vAlign w:val="center"/>
            <w:hideMark/>
          </w:tcPr>
          <w:p w14:paraId="091C6490"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97.10</w:t>
            </w:r>
          </w:p>
        </w:tc>
        <w:tc>
          <w:tcPr>
            <w:tcW w:w="1276" w:type="dxa"/>
            <w:tcBorders>
              <w:top w:val="single" w:sz="4" w:space="0" w:color="auto"/>
              <w:left w:val="single" w:sz="4" w:space="0" w:color="auto"/>
              <w:bottom w:val="single" w:sz="4" w:space="0" w:color="auto"/>
              <w:right w:val="single" w:sz="4" w:space="0" w:color="auto"/>
            </w:tcBorders>
            <w:vAlign w:val="center"/>
            <w:hideMark/>
          </w:tcPr>
          <w:p w14:paraId="214A9DBD"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111.67</w:t>
            </w:r>
          </w:p>
        </w:tc>
        <w:tc>
          <w:tcPr>
            <w:tcW w:w="1276" w:type="dxa"/>
            <w:tcBorders>
              <w:top w:val="single" w:sz="4" w:space="0" w:color="auto"/>
              <w:left w:val="single" w:sz="4" w:space="0" w:color="auto"/>
              <w:bottom w:val="single" w:sz="4" w:space="0" w:color="auto"/>
              <w:right w:val="single" w:sz="4" w:space="0" w:color="auto"/>
            </w:tcBorders>
            <w:vAlign w:val="center"/>
            <w:hideMark/>
          </w:tcPr>
          <w:p w14:paraId="469222B1"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123.97</w:t>
            </w:r>
          </w:p>
        </w:tc>
        <w:tc>
          <w:tcPr>
            <w:tcW w:w="1140" w:type="dxa"/>
            <w:tcBorders>
              <w:top w:val="single" w:sz="4" w:space="0" w:color="auto"/>
              <w:left w:val="single" w:sz="4" w:space="0" w:color="auto"/>
              <w:bottom w:val="single" w:sz="4" w:space="0" w:color="auto"/>
              <w:right w:val="single" w:sz="4" w:space="0" w:color="auto"/>
            </w:tcBorders>
            <w:vAlign w:val="center"/>
            <w:hideMark/>
          </w:tcPr>
          <w:p w14:paraId="6F49C1A1"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123.56</w:t>
            </w:r>
          </w:p>
        </w:tc>
      </w:tr>
      <w:tr w:rsidR="00372B78" w:rsidRPr="00372B78" w14:paraId="5DECE547" w14:textId="77777777" w:rsidTr="00372B78">
        <w:trPr>
          <w:trHeight w:val="312"/>
        </w:trPr>
        <w:tc>
          <w:tcPr>
            <w:tcW w:w="283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D81A45B"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Asset Turnover</w:t>
            </w:r>
          </w:p>
        </w:tc>
        <w:tc>
          <w:tcPr>
            <w:tcW w:w="141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18B1266"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0.33</w:t>
            </w:r>
          </w:p>
        </w:tc>
        <w:tc>
          <w:tcPr>
            <w:tcW w:w="141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F4D96A4"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0.35</w:t>
            </w:r>
          </w:p>
        </w:tc>
        <w:tc>
          <w:tcPr>
            <w:tcW w:w="127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E98E546"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0.43</w:t>
            </w:r>
          </w:p>
        </w:tc>
        <w:tc>
          <w:tcPr>
            <w:tcW w:w="127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AA08F9C"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0.35</w:t>
            </w:r>
          </w:p>
        </w:tc>
        <w:tc>
          <w:tcPr>
            <w:tcW w:w="114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CB24423"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0.43</w:t>
            </w:r>
          </w:p>
        </w:tc>
      </w:tr>
    </w:tbl>
    <w:p w14:paraId="4D4254EE" w14:textId="77777777" w:rsidR="00372B78" w:rsidRDefault="00372B78" w:rsidP="00C7346B">
      <w:pPr>
        <w:rPr>
          <w:rFonts w:cs="Arial"/>
          <w:lang w:val="en-US"/>
        </w:rPr>
      </w:pPr>
    </w:p>
    <w:p w14:paraId="1CF730B0" w14:textId="3AB0CCFB" w:rsidR="00372B78" w:rsidRPr="00372B78" w:rsidRDefault="00372B78" w:rsidP="00C7346B">
      <w:pPr>
        <w:rPr>
          <w:rFonts w:cs="Arial"/>
          <w:b/>
          <w:bCs/>
          <w:lang w:val="en-US"/>
        </w:rPr>
      </w:pPr>
      <w:r w:rsidRPr="00372B78">
        <w:rPr>
          <w:rFonts w:cs="Arial"/>
          <w:b/>
          <w:bCs/>
          <w:lang w:val="en-US"/>
        </w:rPr>
        <w:t>SOLVENCY RATIOS</w:t>
      </w:r>
    </w:p>
    <w:tbl>
      <w:tblPr>
        <w:tblW w:w="9315" w:type="dxa"/>
        <w:tblLook w:val="04A0" w:firstRow="1" w:lastRow="0" w:firstColumn="1" w:lastColumn="0" w:noHBand="0" w:noVBand="1"/>
      </w:tblPr>
      <w:tblGrid>
        <w:gridCol w:w="2405"/>
        <w:gridCol w:w="1559"/>
        <w:gridCol w:w="1560"/>
        <w:gridCol w:w="1240"/>
        <w:gridCol w:w="1311"/>
        <w:gridCol w:w="1240"/>
      </w:tblGrid>
      <w:tr w:rsidR="00372B78" w:rsidRPr="00372B78" w14:paraId="28F24532" w14:textId="77777777" w:rsidTr="00372B78">
        <w:trPr>
          <w:trHeight w:val="276"/>
        </w:trPr>
        <w:tc>
          <w:tcPr>
            <w:tcW w:w="2405" w:type="dxa"/>
            <w:tcBorders>
              <w:top w:val="single" w:sz="4" w:space="0" w:color="000000"/>
              <w:left w:val="single" w:sz="4" w:space="0" w:color="000000"/>
              <w:bottom w:val="single" w:sz="4" w:space="0" w:color="000000"/>
              <w:right w:val="nil"/>
            </w:tcBorders>
            <w:shd w:val="clear" w:color="000000" w:fill="000000"/>
            <w:vAlign w:val="center"/>
            <w:hideMark/>
          </w:tcPr>
          <w:p w14:paraId="3A3C7652"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Ratio</w:t>
            </w:r>
          </w:p>
        </w:tc>
        <w:tc>
          <w:tcPr>
            <w:tcW w:w="1559" w:type="dxa"/>
            <w:tcBorders>
              <w:top w:val="single" w:sz="4" w:space="0" w:color="000000"/>
              <w:left w:val="nil"/>
              <w:bottom w:val="single" w:sz="4" w:space="0" w:color="000000"/>
              <w:right w:val="nil"/>
            </w:tcBorders>
            <w:shd w:val="clear" w:color="000000" w:fill="000000"/>
            <w:vAlign w:val="center"/>
            <w:hideMark/>
          </w:tcPr>
          <w:p w14:paraId="3C93EE4C"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FY2021</w:t>
            </w:r>
          </w:p>
        </w:tc>
        <w:tc>
          <w:tcPr>
            <w:tcW w:w="1560" w:type="dxa"/>
            <w:tcBorders>
              <w:top w:val="single" w:sz="4" w:space="0" w:color="000000"/>
              <w:left w:val="nil"/>
              <w:bottom w:val="single" w:sz="4" w:space="0" w:color="000000"/>
              <w:right w:val="nil"/>
            </w:tcBorders>
            <w:shd w:val="clear" w:color="000000" w:fill="000000"/>
            <w:vAlign w:val="center"/>
            <w:hideMark/>
          </w:tcPr>
          <w:p w14:paraId="1229B088"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FY2022</w:t>
            </w:r>
          </w:p>
        </w:tc>
        <w:tc>
          <w:tcPr>
            <w:tcW w:w="1240" w:type="dxa"/>
            <w:tcBorders>
              <w:top w:val="single" w:sz="4" w:space="0" w:color="000000"/>
              <w:left w:val="nil"/>
              <w:bottom w:val="single" w:sz="4" w:space="0" w:color="000000"/>
              <w:right w:val="nil"/>
            </w:tcBorders>
            <w:shd w:val="clear" w:color="000000" w:fill="000000"/>
            <w:vAlign w:val="center"/>
            <w:hideMark/>
          </w:tcPr>
          <w:p w14:paraId="6465F97E"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FY2023</w:t>
            </w:r>
          </w:p>
        </w:tc>
        <w:tc>
          <w:tcPr>
            <w:tcW w:w="1311" w:type="dxa"/>
            <w:tcBorders>
              <w:top w:val="single" w:sz="4" w:space="0" w:color="000000"/>
              <w:left w:val="nil"/>
              <w:bottom w:val="single" w:sz="4" w:space="0" w:color="000000"/>
              <w:right w:val="nil"/>
            </w:tcBorders>
            <w:shd w:val="clear" w:color="000000" w:fill="000000"/>
            <w:vAlign w:val="center"/>
            <w:hideMark/>
          </w:tcPr>
          <w:p w14:paraId="3721376F"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FY2024</w:t>
            </w:r>
          </w:p>
        </w:tc>
        <w:tc>
          <w:tcPr>
            <w:tcW w:w="1240" w:type="dxa"/>
            <w:tcBorders>
              <w:top w:val="single" w:sz="4" w:space="0" w:color="000000"/>
              <w:left w:val="nil"/>
              <w:bottom w:val="single" w:sz="4" w:space="0" w:color="000000"/>
              <w:right w:val="single" w:sz="4" w:space="0" w:color="000000"/>
            </w:tcBorders>
            <w:shd w:val="clear" w:color="000000" w:fill="000000"/>
            <w:vAlign w:val="center"/>
            <w:hideMark/>
          </w:tcPr>
          <w:p w14:paraId="10585CF1"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FY2025</w:t>
            </w:r>
          </w:p>
        </w:tc>
      </w:tr>
      <w:tr w:rsidR="00372B78" w:rsidRPr="00372B78" w14:paraId="0DA5616F" w14:textId="77777777" w:rsidTr="00372B78">
        <w:trPr>
          <w:trHeight w:val="552"/>
        </w:trPr>
        <w:tc>
          <w:tcPr>
            <w:tcW w:w="2405" w:type="dxa"/>
            <w:tcBorders>
              <w:top w:val="single" w:sz="4" w:space="0" w:color="000000"/>
              <w:left w:val="single" w:sz="4" w:space="0" w:color="000000"/>
              <w:bottom w:val="single" w:sz="4" w:space="0" w:color="000000"/>
              <w:right w:val="nil"/>
            </w:tcBorders>
            <w:shd w:val="clear" w:color="D9D9D9" w:fill="D9D9D9"/>
            <w:vAlign w:val="center"/>
            <w:hideMark/>
          </w:tcPr>
          <w:p w14:paraId="7155591E"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Debt to Equity</w:t>
            </w:r>
          </w:p>
        </w:tc>
        <w:tc>
          <w:tcPr>
            <w:tcW w:w="1559" w:type="dxa"/>
            <w:tcBorders>
              <w:top w:val="single" w:sz="4" w:space="0" w:color="000000"/>
              <w:left w:val="nil"/>
              <w:bottom w:val="single" w:sz="4" w:space="0" w:color="000000"/>
              <w:right w:val="nil"/>
            </w:tcBorders>
            <w:shd w:val="clear" w:color="D9D9D9" w:fill="D9D9D9"/>
            <w:vAlign w:val="center"/>
            <w:hideMark/>
          </w:tcPr>
          <w:p w14:paraId="7248B873"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40.49%</w:t>
            </w:r>
          </w:p>
        </w:tc>
        <w:tc>
          <w:tcPr>
            <w:tcW w:w="1560" w:type="dxa"/>
            <w:tcBorders>
              <w:top w:val="single" w:sz="4" w:space="0" w:color="000000"/>
              <w:left w:val="nil"/>
              <w:bottom w:val="single" w:sz="4" w:space="0" w:color="000000"/>
              <w:right w:val="nil"/>
            </w:tcBorders>
            <w:shd w:val="clear" w:color="D9D9D9" w:fill="D9D9D9"/>
            <w:vAlign w:val="center"/>
            <w:hideMark/>
          </w:tcPr>
          <w:p w14:paraId="6AD90AFC"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34.57%</w:t>
            </w:r>
          </w:p>
        </w:tc>
        <w:tc>
          <w:tcPr>
            <w:tcW w:w="1240" w:type="dxa"/>
            <w:tcBorders>
              <w:top w:val="single" w:sz="4" w:space="0" w:color="000000"/>
              <w:left w:val="nil"/>
              <w:bottom w:val="single" w:sz="4" w:space="0" w:color="000000"/>
              <w:right w:val="nil"/>
            </w:tcBorders>
            <w:shd w:val="clear" w:color="D9D9D9" w:fill="D9D9D9"/>
            <w:vAlign w:val="center"/>
            <w:hideMark/>
          </w:tcPr>
          <w:p w14:paraId="23876574"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43.18%</w:t>
            </w:r>
          </w:p>
        </w:tc>
        <w:tc>
          <w:tcPr>
            <w:tcW w:w="1311" w:type="dxa"/>
            <w:tcBorders>
              <w:top w:val="single" w:sz="4" w:space="0" w:color="000000"/>
              <w:left w:val="nil"/>
              <w:bottom w:val="single" w:sz="4" w:space="0" w:color="000000"/>
              <w:right w:val="nil"/>
            </w:tcBorders>
            <w:shd w:val="clear" w:color="D9D9D9" w:fill="D9D9D9"/>
            <w:vAlign w:val="center"/>
            <w:hideMark/>
          </w:tcPr>
          <w:p w14:paraId="1C4BC904"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27.73%</w:t>
            </w:r>
          </w:p>
        </w:tc>
        <w:tc>
          <w:tcPr>
            <w:tcW w:w="1240" w:type="dxa"/>
            <w:tcBorders>
              <w:top w:val="single" w:sz="4" w:space="0" w:color="000000"/>
              <w:left w:val="nil"/>
              <w:bottom w:val="single" w:sz="4" w:space="0" w:color="000000"/>
              <w:right w:val="single" w:sz="4" w:space="0" w:color="000000"/>
            </w:tcBorders>
            <w:shd w:val="clear" w:color="D9D9D9" w:fill="D9D9D9"/>
            <w:vAlign w:val="center"/>
            <w:hideMark/>
          </w:tcPr>
          <w:p w14:paraId="226B68EF"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34.50%</w:t>
            </w:r>
          </w:p>
        </w:tc>
      </w:tr>
      <w:tr w:rsidR="00372B78" w:rsidRPr="00372B78" w14:paraId="2C6E0F30" w14:textId="77777777" w:rsidTr="00372B78">
        <w:trPr>
          <w:trHeight w:val="276"/>
        </w:trPr>
        <w:tc>
          <w:tcPr>
            <w:tcW w:w="2405" w:type="dxa"/>
            <w:tcBorders>
              <w:top w:val="single" w:sz="4" w:space="0" w:color="000000"/>
              <w:left w:val="single" w:sz="4" w:space="0" w:color="000000"/>
              <w:bottom w:val="single" w:sz="4" w:space="0" w:color="000000"/>
              <w:right w:val="nil"/>
            </w:tcBorders>
            <w:vAlign w:val="center"/>
            <w:hideMark/>
          </w:tcPr>
          <w:p w14:paraId="1C97932D"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Debt Ratio</w:t>
            </w:r>
          </w:p>
        </w:tc>
        <w:tc>
          <w:tcPr>
            <w:tcW w:w="1559" w:type="dxa"/>
            <w:tcBorders>
              <w:top w:val="single" w:sz="4" w:space="0" w:color="000000"/>
              <w:left w:val="nil"/>
              <w:bottom w:val="single" w:sz="4" w:space="0" w:color="000000"/>
              <w:right w:val="nil"/>
            </w:tcBorders>
            <w:vAlign w:val="center"/>
            <w:hideMark/>
          </w:tcPr>
          <w:p w14:paraId="7DF5F37F"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20.69%</w:t>
            </w:r>
          </w:p>
        </w:tc>
        <w:tc>
          <w:tcPr>
            <w:tcW w:w="1560" w:type="dxa"/>
            <w:tcBorders>
              <w:top w:val="single" w:sz="4" w:space="0" w:color="000000"/>
              <w:left w:val="nil"/>
              <w:bottom w:val="single" w:sz="4" w:space="0" w:color="000000"/>
              <w:right w:val="nil"/>
            </w:tcBorders>
            <w:vAlign w:val="center"/>
            <w:hideMark/>
          </w:tcPr>
          <w:p w14:paraId="5F8B3A48"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18.23%</w:t>
            </w:r>
          </w:p>
        </w:tc>
        <w:tc>
          <w:tcPr>
            <w:tcW w:w="1240" w:type="dxa"/>
            <w:tcBorders>
              <w:top w:val="single" w:sz="4" w:space="0" w:color="000000"/>
              <w:left w:val="nil"/>
              <w:bottom w:val="single" w:sz="4" w:space="0" w:color="000000"/>
              <w:right w:val="nil"/>
            </w:tcBorders>
            <w:vAlign w:val="center"/>
            <w:hideMark/>
          </w:tcPr>
          <w:p w14:paraId="7B47D2C4"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21.72%</w:t>
            </w:r>
          </w:p>
        </w:tc>
        <w:tc>
          <w:tcPr>
            <w:tcW w:w="1311" w:type="dxa"/>
            <w:tcBorders>
              <w:top w:val="single" w:sz="4" w:space="0" w:color="000000"/>
              <w:left w:val="nil"/>
              <w:bottom w:val="single" w:sz="4" w:space="0" w:color="000000"/>
              <w:right w:val="nil"/>
            </w:tcBorders>
            <w:vAlign w:val="center"/>
            <w:hideMark/>
          </w:tcPr>
          <w:p w14:paraId="0D6D97A7"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15.40%</w:t>
            </w:r>
          </w:p>
        </w:tc>
        <w:tc>
          <w:tcPr>
            <w:tcW w:w="1240" w:type="dxa"/>
            <w:tcBorders>
              <w:top w:val="single" w:sz="4" w:space="0" w:color="000000"/>
              <w:left w:val="nil"/>
              <w:bottom w:val="single" w:sz="4" w:space="0" w:color="000000"/>
              <w:right w:val="single" w:sz="4" w:space="0" w:color="000000"/>
            </w:tcBorders>
            <w:vAlign w:val="center"/>
            <w:hideMark/>
          </w:tcPr>
          <w:p w14:paraId="405F8B41"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18.40%</w:t>
            </w:r>
          </w:p>
        </w:tc>
      </w:tr>
      <w:tr w:rsidR="00372B78" w:rsidRPr="00372B78" w14:paraId="54F54B61" w14:textId="77777777" w:rsidTr="00372B78">
        <w:trPr>
          <w:trHeight w:val="276"/>
        </w:trPr>
        <w:tc>
          <w:tcPr>
            <w:tcW w:w="2405" w:type="dxa"/>
            <w:tcBorders>
              <w:top w:val="single" w:sz="4" w:space="0" w:color="000000"/>
              <w:left w:val="single" w:sz="4" w:space="0" w:color="000000"/>
              <w:bottom w:val="single" w:sz="4" w:space="0" w:color="000000"/>
              <w:right w:val="nil"/>
            </w:tcBorders>
            <w:shd w:val="clear" w:color="D9D9D9" w:fill="D9D9D9"/>
            <w:vAlign w:val="center"/>
            <w:hideMark/>
          </w:tcPr>
          <w:p w14:paraId="15495E5C"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Equity Ratio</w:t>
            </w:r>
          </w:p>
        </w:tc>
        <w:tc>
          <w:tcPr>
            <w:tcW w:w="1559" w:type="dxa"/>
            <w:tcBorders>
              <w:top w:val="single" w:sz="4" w:space="0" w:color="000000"/>
              <w:left w:val="nil"/>
              <w:bottom w:val="single" w:sz="4" w:space="0" w:color="000000"/>
              <w:right w:val="nil"/>
            </w:tcBorders>
            <w:shd w:val="clear" w:color="D9D9D9" w:fill="D9D9D9"/>
            <w:vAlign w:val="center"/>
            <w:hideMark/>
          </w:tcPr>
          <w:p w14:paraId="3AB5B28F"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51.08%</w:t>
            </w:r>
          </w:p>
        </w:tc>
        <w:tc>
          <w:tcPr>
            <w:tcW w:w="1560" w:type="dxa"/>
            <w:tcBorders>
              <w:top w:val="single" w:sz="4" w:space="0" w:color="000000"/>
              <w:left w:val="nil"/>
              <w:bottom w:val="single" w:sz="4" w:space="0" w:color="000000"/>
              <w:right w:val="nil"/>
            </w:tcBorders>
            <w:shd w:val="clear" w:color="D9D9D9" w:fill="D9D9D9"/>
            <w:vAlign w:val="center"/>
            <w:hideMark/>
          </w:tcPr>
          <w:p w14:paraId="678FE832"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52.73%</w:t>
            </w:r>
          </w:p>
        </w:tc>
        <w:tc>
          <w:tcPr>
            <w:tcW w:w="1240" w:type="dxa"/>
            <w:tcBorders>
              <w:top w:val="single" w:sz="4" w:space="0" w:color="000000"/>
              <w:left w:val="nil"/>
              <w:bottom w:val="single" w:sz="4" w:space="0" w:color="000000"/>
              <w:right w:val="nil"/>
            </w:tcBorders>
            <w:shd w:val="clear" w:color="D9D9D9" w:fill="D9D9D9"/>
            <w:vAlign w:val="center"/>
            <w:hideMark/>
          </w:tcPr>
          <w:p w14:paraId="16CBB49C"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50.32%</w:t>
            </w:r>
          </w:p>
        </w:tc>
        <w:tc>
          <w:tcPr>
            <w:tcW w:w="1311" w:type="dxa"/>
            <w:tcBorders>
              <w:top w:val="single" w:sz="4" w:space="0" w:color="000000"/>
              <w:left w:val="nil"/>
              <w:bottom w:val="single" w:sz="4" w:space="0" w:color="000000"/>
              <w:right w:val="nil"/>
            </w:tcBorders>
            <w:shd w:val="clear" w:color="D9D9D9" w:fill="D9D9D9"/>
            <w:vAlign w:val="center"/>
            <w:hideMark/>
          </w:tcPr>
          <w:p w14:paraId="1FDC9479"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55.54%</w:t>
            </w:r>
          </w:p>
        </w:tc>
        <w:tc>
          <w:tcPr>
            <w:tcW w:w="1240" w:type="dxa"/>
            <w:tcBorders>
              <w:top w:val="single" w:sz="4" w:space="0" w:color="000000"/>
              <w:left w:val="nil"/>
              <w:bottom w:val="single" w:sz="4" w:space="0" w:color="000000"/>
              <w:right w:val="single" w:sz="4" w:space="0" w:color="000000"/>
            </w:tcBorders>
            <w:shd w:val="clear" w:color="D9D9D9" w:fill="D9D9D9"/>
            <w:vAlign w:val="center"/>
            <w:hideMark/>
          </w:tcPr>
          <w:p w14:paraId="6C38AA97"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53.33%</w:t>
            </w:r>
          </w:p>
        </w:tc>
      </w:tr>
      <w:tr w:rsidR="00372B78" w:rsidRPr="00372B78" w14:paraId="4DDE3B17" w14:textId="77777777" w:rsidTr="00372B78">
        <w:trPr>
          <w:trHeight w:val="552"/>
        </w:trPr>
        <w:tc>
          <w:tcPr>
            <w:tcW w:w="2405" w:type="dxa"/>
            <w:tcBorders>
              <w:top w:val="single" w:sz="4" w:space="0" w:color="000000"/>
              <w:left w:val="single" w:sz="4" w:space="0" w:color="000000"/>
              <w:bottom w:val="single" w:sz="4" w:space="0" w:color="000000"/>
              <w:right w:val="nil"/>
            </w:tcBorders>
            <w:vAlign w:val="center"/>
            <w:hideMark/>
          </w:tcPr>
          <w:p w14:paraId="6159B110"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Debt to Capital</w:t>
            </w:r>
          </w:p>
        </w:tc>
        <w:tc>
          <w:tcPr>
            <w:tcW w:w="1559" w:type="dxa"/>
            <w:tcBorders>
              <w:top w:val="single" w:sz="4" w:space="0" w:color="000000"/>
              <w:left w:val="nil"/>
              <w:bottom w:val="single" w:sz="4" w:space="0" w:color="000000"/>
              <w:right w:val="nil"/>
            </w:tcBorders>
            <w:vAlign w:val="center"/>
            <w:hideMark/>
          </w:tcPr>
          <w:p w14:paraId="48EA9112"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28.82%</w:t>
            </w:r>
          </w:p>
        </w:tc>
        <w:tc>
          <w:tcPr>
            <w:tcW w:w="1560" w:type="dxa"/>
            <w:tcBorders>
              <w:top w:val="single" w:sz="4" w:space="0" w:color="000000"/>
              <w:left w:val="nil"/>
              <w:bottom w:val="single" w:sz="4" w:space="0" w:color="000000"/>
              <w:right w:val="nil"/>
            </w:tcBorders>
            <w:vAlign w:val="center"/>
            <w:hideMark/>
          </w:tcPr>
          <w:p w14:paraId="69CC4CB5"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25.69%</w:t>
            </w:r>
          </w:p>
        </w:tc>
        <w:tc>
          <w:tcPr>
            <w:tcW w:w="1240" w:type="dxa"/>
            <w:tcBorders>
              <w:top w:val="single" w:sz="4" w:space="0" w:color="000000"/>
              <w:left w:val="nil"/>
              <w:bottom w:val="single" w:sz="4" w:space="0" w:color="000000"/>
              <w:right w:val="nil"/>
            </w:tcBorders>
            <w:vAlign w:val="center"/>
            <w:hideMark/>
          </w:tcPr>
          <w:p w14:paraId="5DA7AE8B"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30.16%</w:t>
            </w:r>
          </w:p>
        </w:tc>
        <w:tc>
          <w:tcPr>
            <w:tcW w:w="1311" w:type="dxa"/>
            <w:tcBorders>
              <w:top w:val="single" w:sz="4" w:space="0" w:color="000000"/>
              <w:left w:val="nil"/>
              <w:bottom w:val="single" w:sz="4" w:space="0" w:color="000000"/>
              <w:right w:val="nil"/>
            </w:tcBorders>
            <w:vAlign w:val="center"/>
            <w:hideMark/>
          </w:tcPr>
          <w:p w14:paraId="04DFEED4"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21.71%</w:t>
            </w:r>
          </w:p>
        </w:tc>
        <w:tc>
          <w:tcPr>
            <w:tcW w:w="1240" w:type="dxa"/>
            <w:tcBorders>
              <w:top w:val="single" w:sz="4" w:space="0" w:color="000000"/>
              <w:left w:val="nil"/>
              <w:bottom w:val="single" w:sz="4" w:space="0" w:color="000000"/>
              <w:right w:val="single" w:sz="4" w:space="0" w:color="000000"/>
            </w:tcBorders>
            <w:vAlign w:val="center"/>
            <w:hideMark/>
          </w:tcPr>
          <w:p w14:paraId="1DD9F6D0"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25.65%</w:t>
            </w:r>
          </w:p>
        </w:tc>
      </w:tr>
    </w:tbl>
    <w:p w14:paraId="4A0318A5" w14:textId="77777777" w:rsidR="00372B78" w:rsidRDefault="00372B78" w:rsidP="00C7346B">
      <w:pPr>
        <w:rPr>
          <w:rFonts w:cs="Arial"/>
          <w:lang w:val="en-US"/>
        </w:rPr>
      </w:pPr>
    </w:p>
    <w:p w14:paraId="5DB5755F" w14:textId="0AAC4412" w:rsidR="00372B78" w:rsidRPr="00372B78" w:rsidRDefault="00372B78" w:rsidP="00C7346B">
      <w:pPr>
        <w:rPr>
          <w:rFonts w:cs="Arial"/>
          <w:b/>
          <w:bCs/>
          <w:lang w:val="en-US"/>
        </w:rPr>
      </w:pPr>
      <w:r w:rsidRPr="00372B78">
        <w:rPr>
          <w:rFonts w:cs="Arial"/>
          <w:b/>
          <w:bCs/>
          <w:lang w:val="en-US"/>
        </w:rPr>
        <w:t>CASH FLOW RATIOS</w:t>
      </w:r>
    </w:p>
    <w:tbl>
      <w:tblPr>
        <w:tblW w:w="9347" w:type="dxa"/>
        <w:tblLook w:val="04A0" w:firstRow="1" w:lastRow="0" w:firstColumn="1" w:lastColumn="0" w:noHBand="0" w:noVBand="1"/>
      </w:tblPr>
      <w:tblGrid>
        <w:gridCol w:w="2547"/>
        <w:gridCol w:w="1360"/>
        <w:gridCol w:w="1360"/>
        <w:gridCol w:w="1360"/>
        <w:gridCol w:w="1360"/>
        <w:gridCol w:w="1360"/>
      </w:tblGrid>
      <w:tr w:rsidR="00372B78" w:rsidRPr="00372B78" w14:paraId="536439C8" w14:textId="77777777" w:rsidTr="00372B78">
        <w:trPr>
          <w:trHeight w:val="312"/>
        </w:trPr>
        <w:tc>
          <w:tcPr>
            <w:tcW w:w="2547"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9C8C170"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Ratio</w:t>
            </w:r>
          </w:p>
        </w:tc>
        <w:tc>
          <w:tcPr>
            <w:tcW w:w="136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5B1D21C"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FY2021</w:t>
            </w:r>
          </w:p>
        </w:tc>
        <w:tc>
          <w:tcPr>
            <w:tcW w:w="136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1D64FA5"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FY2022</w:t>
            </w:r>
          </w:p>
        </w:tc>
        <w:tc>
          <w:tcPr>
            <w:tcW w:w="136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5BA2DC1"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FY2023</w:t>
            </w:r>
          </w:p>
        </w:tc>
        <w:tc>
          <w:tcPr>
            <w:tcW w:w="136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27A2386"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FY2024</w:t>
            </w:r>
          </w:p>
        </w:tc>
        <w:tc>
          <w:tcPr>
            <w:tcW w:w="1360"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2B1A06C" w14:textId="77777777" w:rsidR="00372B78" w:rsidRPr="00372B78" w:rsidRDefault="00372B78" w:rsidP="00372B78">
            <w:pPr>
              <w:spacing w:before="0" w:after="0" w:line="240" w:lineRule="auto"/>
              <w:jc w:val="center"/>
              <w:rPr>
                <w:rFonts w:eastAsia="Times New Roman" w:cs="Arial"/>
                <w:b/>
                <w:bCs/>
                <w:color w:val="FFFFFF"/>
                <w:kern w:val="0"/>
                <w:lang w:eastAsia="en-IN"/>
                <w14:ligatures w14:val="none"/>
              </w:rPr>
            </w:pPr>
            <w:r w:rsidRPr="00372B78">
              <w:rPr>
                <w:rFonts w:eastAsia="Times New Roman" w:cs="Arial"/>
                <w:b/>
                <w:bCs/>
                <w:color w:val="FFFFFF"/>
                <w:kern w:val="0"/>
                <w:lang w:eastAsia="en-IN"/>
                <w14:ligatures w14:val="none"/>
              </w:rPr>
              <w:t>FY2025</w:t>
            </w:r>
          </w:p>
        </w:tc>
      </w:tr>
      <w:tr w:rsidR="00372B78" w:rsidRPr="00372B78" w14:paraId="10FC0AD2" w14:textId="77777777" w:rsidTr="00372B78">
        <w:trPr>
          <w:trHeight w:val="312"/>
        </w:trPr>
        <w:tc>
          <w:tcPr>
            <w:tcW w:w="254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70992BC"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Operating Cash Flow Ratio</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54F1169"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0.32</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55BBE30"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0.23</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B9C177F"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0.13</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E3E37BA"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0.27</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3ECDD8B"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0.11</w:t>
            </w:r>
          </w:p>
        </w:tc>
      </w:tr>
      <w:tr w:rsidR="00372B78" w:rsidRPr="00372B78" w14:paraId="2CDAA178" w14:textId="77777777" w:rsidTr="00372B78">
        <w:trPr>
          <w:trHeight w:val="312"/>
        </w:trPr>
        <w:tc>
          <w:tcPr>
            <w:tcW w:w="2547" w:type="dxa"/>
            <w:tcBorders>
              <w:top w:val="single" w:sz="4" w:space="0" w:color="auto"/>
              <w:left w:val="single" w:sz="4" w:space="0" w:color="auto"/>
              <w:bottom w:val="single" w:sz="4" w:space="0" w:color="auto"/>
              <w:right w:val="single" w:sz="4" w:space="0" w:color="auto"/>
            </w:tcBorders>
            <w:vAlign w:val="center"/>
            <w:hideMark/>
          </w:tcPr>
          <w:p w14:paraId="3037CE4A"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Cash Flow to Debt Ratio</w:t>
            </w:r>
          </w:p>
        </w:tc>
        <w:tc>
          <w:tcPr>
            <w:tcW w:w="1360" w:type="dxa"/>
            <w:tcBorders>
              <w:top w:val="single" w:sz="4" w:space="0" w:color="auto"/>
              <w:left w:val="single" w:sz="4" w:space="0" w:color="auto"/>
              <w:bottom w:val="single" w:sz="4" w:space="0" w:color="auto"/>
              <w:right w:val="single" w:sz="4" w:space="0" w:color="auto"/>
            </w:tcBorders>
            <w:vAlign w:val="center"/>
            <w:hideMark/>
          </w:tcPr>
          <w:p w14:paraId="67F1C8F8"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0.28</w:t>
            </w:r>
          </w:p>
        </w:tc>
        <w:tc>
          <w:tcPr>
            <w:tcW w:w="1360" w:type="dxa"/>
            <w:tcBorders>
              <w:top w:val="single" w:sz="4" w:space="0" w:color="auto"/>
              <w:left w:val="single" w:sz="4" w:space="0" w:color="auto"/>
              <w:bottom w:val="single" w:sz="4" w:space="0" w:color="auto"/>
              <w:right w:val="single" w:sz="4" w:space="0" w:color="auto"/>
            </w:tcBorders>
            <w:vAlign w:val="center"/>
            <w:hideMark/>
          </w:tcPr>
          <w:p w14:paraId="41B7B500"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0.23</w:t>
            </w:r>
          </w:p>
        </w:tc>
        <w:tc>
          <w:tcPr>
            <w:tcW w:w="1360" w:type="dxa"/>
            <w:tcBorders>
              <w:top w:val="single" w:sz="4" w:space="0" w:color="auto"/>
              <w:left w:val="single" w:sz="4" w:space="0" w:color="auto"/>
              <w:bottom w:val="single" w:sz="4" w:space="0" w:color="auto"/>
              <w:right w:val="single" w:sz="4" w:space="0" w:color="auto"/>
            </w:tcBorders>
            <w:vAlign w:val="center"/>
            <w:hideMark/>
          </w:tcPr>
          <w:p w14:paraId="3FA791D9"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0.11</w:t>
            </w:r>
          </w:p>
        </w:tc>
        <w:tc>
          <w:tcPr>
            <w:tcW w:w="1360" w:type="dxa"/>
            <w:tcBorders>
              <w:top w:val="single" w:sz="4" w:space="0" w:color="auto"/>
              <w:left w:val="single" w:sz="4" w:space="0" w:color="auto"/>
              <w:bottom w:val="single" w:sz="4" w:space="0" w:color="auto"/>
              <w:right w:val="single" w:sz="4" w:space="0" w:color="auto"/>
            </w:tcBorders>
            <w:vAlign w:val="center"/>
            <w:hideMark/>
          </w:tcPr>
          <w:p w14:paraId="1A930B4D"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0.26</w:t>
            </w:r>
          </w:p>
        </w:tc>
        <w:tc>
          <w:tcPr>
            <w:tcW w:w="1360" w:type="dxa"/>
            <w:tcBorders>
              <w:top w:val="single" w:sz="4" w:space="0" w:color="auto"/>
              <w:left w:val="single" w:sz="4" w:space="0" w:color="auto"/>
              <w:bottom w:val="single" w:sz="4" w:space="0" w:color="auto"/>
              <w:right w:val="single" w:sz="4" w:space="0" w:color="auto"/>
            </w:tcBorders>
            <w:vAlign w:val="center"/>
            <w:hideMark/>
          </w:tcPr>
          <w:p w14:paraId="162537CE"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0.10</w:t>
            </w:r>
          </w:p>
        </w:tc>
      </w:tr>
      <w:tr w:rsidR="00372B78" w:rsidRPr="00372B78" w14:paraId="50F50927" w14:textId="77777777" w:rsidTr="00372B78">
        <w:trPr>
          <w:trHeight w:val="312"/>
        </w:trPr>
        <w:tc>
          <w:tcPr>
            <w:tcW w:w="2547"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A7144F2" w14:textId="77777777" w:rsidR="00372B78" w:rsidRPr="00372B78" w:rsidRDefault="00372B78" w:rsidP="00372B78">
            <w:pPr>
              <w:spacing w:before="0" w:after="0" w:line="240" w:lineRule="auto"/>
              <w:jc w:val="lef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Cash Margin</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466ED546"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18.05%</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4F8C4B5"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11.87%</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69F2B44"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5.77%</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534BD5E6"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11.57%</w:t>
            </w:r>
          </w:p>
        </w:tc>
        <w:tc>
          <w:tcPr>
            <w:tcW w:w="1360"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F59BEAF" w14:textId="77777777" w:rsidR="00372B78" w:rsidRPr="00372B78" w:rsidRDefault="00372B78" w:rsidP="00372B78">
            <w:pPr>
              <w:spacing w:before="0" w:after="0" w:line="240" w:lineRule="auto"/>
              <w:jc w:val="right"/>
              <w:rPr>
                <w:rFonts w:eastAsia="Times New Roman" w:cs="Arial"/>
                <w:color w:val="000000"/>
                <w:kern w:val="0"/>
                <w:lang w:eastAsia="en-IN"/>
                <w14:ligatures w14:val="none"/>
              </w:rPr>
            </w:pPr>
            <w:r w:rsidRPr="00372B78">
              <w:rPr>
                <w:rFonts w:eastAsia="Times New Roman" w:cs="Arial"/>
                <w:color w:val="000000"/>
                <w:kern w:val="0"/>
                <w:lang w:eastAsia="en-IN"/>
                <w14:ligatures w14:val="none"/>
              </w:rPr>
              <w:t>4.20%</w:t>
            </w:r>
          </w:p>
        </w:tc>
      </w:tr>
    </w:tbl>
    <w:p w14:paraId="2E08EC0E" w14:textId="77777777" w:rsidR="005A5F47" w:rsidRDefault="005A5F47" w:rsidP="00C7346B">
      <w:pPr>
        <w:rPr>
          <w:rFonts w:cs="Arial"/>
          <w:lang w:val="en-US"/>
        </w:rPr>
      </w:pPr>
    </w:p>
    <w:p w14:paraId="7554BC73" w14:textId="4E7786C4" w:rsidR="005A5F47" w:rsidRPr="005A5F47" w:rsidRDefault="005A5F47" w:rsidP="00C7346B">
      <w:pPr>
        <w:rPr>
          <w:rFonts w:cs="Arial"/>
          <w:b/>
          <w:bCs/>
          <w:lang w:val="en-US"/>
        </w:rPr>
      </w:pPr>
      <w:r w:rsidRPr="005A5F47">
        <w:rPr>
          <w:rFonts w:cs="Arial"/>
          <w:b/>
          <w:bCs/>
          <w:lang w:val="en-US"/>
        </w:rPr>
        <w:t>HORIZONTAL TREND ANALYSIS</w:t>
      </w:r>
    </w:p>
    <w:tbl>
      <w:tblPr>
        <w:tblW w:w="9492" w:type="dxa"/>
        <w:tblLook w:val="04A0" w:firstRow="1" w:lastRow="0" w:firstColumn="1" w:lastColumn="0" w:noHBand="0" w:noVBand="1"/>
      </w:tblPr>
      <w:tblGrid>
        <w:gridCol w:w="1838"/>
        <w:gridCol w:w="1701"/>
        <w:gridCol w:w="2126"/>
        <w:gridCol w:w="2126"/>
        <w:gridCol w:w="1701"/>
      </w:tblGrid>
      <w:tr w:rsidR="005A5F47" w:rsidRPr="005A5F47" w14:paraId="4D37999A"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2FB7234" w14:textId="77777777" w:rsidR="005A5F47" w:rsidRPr="005A5F47" w:rsidRDefault="005A5F47" w:rsidP="005A5F47">
            <w:pPr>
              <w:spacing w:before="0" w:after="0" w:line="240" w:lineRule="auto"/>
              <w:jc w:val="center"/>
              <w:rPr>
                <w:rFonts w:eastAsia="Times New Roman" w:cs="Arial"/>
                <w:b/>
                <w:bCs/>
                <w:color w:val="FFFFFF"/>
                <w:kern w:val="0"/>
                <w:lang w:eastAsia="en-IN"/>
                <w14:ligatures w14:val="none"/>
              </w:rPr>
            </w:pPr>
            <w:r w:rsidRPr="005A5F47">
              <w:rPr>
                <w:rFonts w:eastAsia="Times New Roman" w:cs="Arial"/>
                <w:b/>
                <w:bCs/>
                <w:color w:val="FFFFFF"/>
                <w:kern w:val="0"/>
                <w:lang w:eastAsia="en-IN"/>
                <w14:ligatures w14:val="none"/>
              </w:rPr>
              <w:t>Item</w:t>
            </w:r>
          </w:p>
        </w:tc>
        <w:tc>
          <w:tcPr>
            <w:tcW w:w="170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358FDB9" w14:textId="77777777" w:rsidR="005A5F47" w:rsidRPr="005A5F47" w:rsidRDefault="005A5F47" w:rsidP="005A5F47">
            <w:pPr>
              <w:spacing w:before="0" w:after="0" w:line="240" w:lineRule="auto"/>
              <w:jc w:val="center"/>
              <w:rPr>
                <w:rFonts w:eastAsia="Times New Roman" w:cs="Arial"/>
                <w:b/>
                <w:bCs/>
                <w:color w:val="FFFFFF"/>
                <w:kern w:val="0"/>
                <w:lang w:eastAsia="en-IN"/>
                <w14:ligatures w14:val="none"/>
              </w:rPr>
            </w:pPr>
            <w:r w:rsidRPr="005A5F47">
              <w:rPr>
                <w:rFonts w:eastAsia="Times New Roman" w:cs="Arial"/>
                <w:b/>
                <w:bCs/>
                <w:color w:val="FFFFFF"/>
                <w:kern w:val="0"/>
                <w:lang w:eastAsia="en-IN"/>
                <w14:ligatures w14:val="none"/>
              </w:rPr>
              <w:t>FY2022 Growth %</w:t>
            </w:r>
          </w:p>
        </w:tc>
        <w:tc>
          <w:tcPr>
            <w:tcW w:w="212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480A6AF6" w14:textId="77777777" w:rsidR="005A5F47" w:rsidRPr="005A5F47" w:rsidRDefault="005A5F47" w:rsidP="005A5F47">
            <w:pPr>
              <w:spacing w:before="0" w:after="0" w:line="240" w:lineRule="auto"/>
              <w:jc w:val="center"/>
              <w:rPr>
                <w:rFonts w:eastAsia="Times New Roman" w:cs="Arial"/>
                <w:b/>
                <w:bCs/>
                <w:color w:val="FFFFFF"/>
                <w:kern w:val="0"/>
                <w:lang w:eastAsia="en-IN"/>
                <w14:ligatures w14:val="none"/>
              </w:rPr>
            </w:pPr>
            <w:r w:rsidRPr="005A5F47">
              <w:rPr>
                <w:rFonts w:eastAsia="Times New Roman" w:cs="Arial"/>
                <w:b/>
                <w:bCs/>
                <w:color w:val="FFFFFF"/>
                <w:kern w:val="0"/>
                <w:lang w:eastAsia="en-IN"/>
                <w14:ligatures w14:val="none"/>
              </w:rPr>
              <w:t>FY2023 Growth %</w:t>
            </w:r>
          </w:p>
        </w:tc>
        <w:tc>
          <w:tcPr>
            <w:tcW w:w="2126"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52B64784" w14:textId="77777777" w:rsidR="005A5F47" w:rsidRPr="005A5F47" w:rsidRDefault="005A5F47" w:rsidP="005A5F47">
            <w:pPr>
              <w:spacing w:before="0" w:after="0" w:line="240" w:lineRule="auto"/>
              <w:jc w:val="center"/>
              <w:rPr>
                <w:rFonts w:eastAsia="Times New Roman" w:cs="Arial"/>
                <w:b/>
                <w:bCs/>
                <w:color w:val="FFFFFF"/>
                <w:kern w:val="0"/>
                <w:lang w:eastAsia="en-IN"/>
                <w14:ligatures w14:val="none"/>
              </w:rPr>
            </w:pPr>
            <w:r w:rsidRPr="005A5F47">
              <w:rPr>
                <w:rFonts w:eastAsia="Times New Roman" w:cs="Arial"/>
                <w:b/>
                <w:bCs/>
                <w:color w:val="FFFFFF"/>
                <w:kern w:val="0"/>
                <w:lang w:eastAsia="en-IN"/>
                <w14:ligatures w14:val="none"/>
              </w:rPr>
              <w:t>FY2024 Growth %</w:t>
            </w:r>
          </w:p>
        </w:tc>
        <w:tc>
          <w:tcPr>
            <w:tcW w:w="170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5E27F3A" w14:textId="77777777" w:rsidR="005A5F47" w:rsidRPr="005A5F47" w:rsidRDefault="005A5F47" w:rsidP="005A5F47">
            <w:pPr>
              <w:spacing w:before="0" w:after="0" w:line="240" w:lineRule="auto"/>
              <w:jc w:val="center"/>
              <w:rPr>
                <w:rFonts w:eastAsia="Times New Roman" w:cs="Arial"/>
                <w:b/>
                <w:bCs/>
                <w:color w:val="FFFFFF"/>
                <w:kern w:val="0"/>
                <w:lang w:eastAsia="en-IN"/>
                <w14:ligatures w14:val="none"/>
              </w:rPr>
            </w:pPr>
            <w:r w:rsidRPr="005A5F47">
              <w:rPr>
                <w:rFonts w:eastAsia="Times New Roman" w:cs="Arial"/>
                <w:b/>
                <w:bCs/>
                <w:color w:val="FFFFFF"/>
                <w:kern w:val="0"/>
                <w:lang w:eastAsia="en-IN"/>
                <w14:ligatures w14:val="none"/>
              </w:rPr>
              <w:t>FY2025 Growth %</w:t>
            </w:r>
          </w:p>
        </w:tc>
      </w:tr>
      <w:tr w:rsidR="005A5F47" w:rsidRPr="005A5F47" w14:paraId="2EA5EA25"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90C985D"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Revenue</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33E0573"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27.71%</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D63C234"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24.94%</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71E0BED"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13.41%</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6BC3E10"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6.57%</w:t>
            </w:r>
          </w:p>
        </w:tc>
      </w:tr>
      <w:tr w:rsidR="005A5F47" w:rsidRPr="005A5F47" w14:paraId="63A41696"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vAlign w:val="center"/>
            <w:hideMark/>
          </w:tcPr>
          <w:p w14:paraId="2E144A82"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Gross Profit</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B7B387D"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23.91%</w:t>
            </w:r>
          </w:p>
        </w:tc>
        <w:tc>
          <w:tcPr>
            <w:tcW w:w="2126" w:type="dxa"/>
            <w:tcBorders>
              <w:top w:val="single" w:sz="4" w:space="0" w:color="auto"/>
              <w:left w:val="single" w:sz="4" w:space="0" w:color="auto"/>
              <w:bottom w:val="single" w:sz="4" w:space="0" w:color="auto"/>
              <w:right w:val="single" w:sz="4" w:space="0" w:color="auto"/>
            </w:tcBorders>
            <w:vAlign w:val="center"/>
            <w:hideMark/>
          </w:tcPr>
          <w:p w14:paraId="2132F665"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24.44%</w:t>
            </w:r>
          </w:p>
        </w:tc>
        <w:tc>
          <w:tcPr>
            <w:tcW w:w="2126" w:type="dxa"/>
            <w:tcBorders>
              <w:top w:val="single" w:sz="4" w:space="0" w:color="auto"/>
              <w:left w:val="single" w:sz="4" w:space="0" w:color="auto"/>
              <w:bottom w:val="single" w:sz="4" w:space="0" w:color="auto"/>
              <w:right w:val="single" w:sz="4" w:space="0" w:color="auto"/>
            </w:tcBorders>
            <w:vAlign w:val="center"/>
            <w:hideMark/>
          </w:tcPr>
          <w:p w14:paraId="3B233225"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19.17%</w:t>
            </w:r>
          </w:p>
        </w:tc>
        <w:tc>
          <w:tcPr>
            <w:tcW w:w="1701" w:type="dxa"/>
            <w:tcBorders>
              <w:top w:val="single" w:sz="4" w:space="0" w:color="auto"/>
              <w:left w:val="single" w:sz="4" w:space="0" w:color="auto"/>
              <w:bottom w:val="single" w:sz="4" w:space="0" w:color="auto"/>
              <w:right w:val="single" w:sz="4" w:space="0" w:color="auto"/>
            </w:tcBorders>
            <w:vAlign w:val="center"/>
            <w:hideMark/>
          </w:tcPr>
          <w:p w14:paraId="50478AC9"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5.60%</w:t>
            </w:r>
          </w:p>
        </w:tc>
      </w:tr>
      <w:tr w:rsidR="005A5F47" w:rsidRPr="005A5F47" w14:paraId="1CCC173A"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290362F8"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Operating Profit</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1F87BD8"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34.62%</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4B3C657"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6.81%</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FCCCC46"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17.95%</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EC59404"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10.62%</w:t>
            </w:r>
          </w:p>
        </w:tc>
      </w:tr>
      <w:tr w:rsidR="005A5F47" w:rsidRPr="005A5F47" w14:paraId="1FF71C77"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vAlign w:val="center"/>
            <w:hideMark/>
          </w:tcPr>
          <w:p w14:paraId="5CA3C145"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Net Profit</w:t>
            </w:r>
          </w:p>
        </w:tc>
        <w:tc>
          <w:tcPr>
            <w:tcW w:w="1701" w:type="dxa"/>
            <w:tcBorders>
              <w:top w:val="single" w:sz="4" w:space="0" w:color="auto"/>
              <w:left w:val="single" w:sz="4" w:space="0" w:color="auto"/>
              <w:bottom w:val="single" w:sz="4" w:space="0" w:color="auto"/>
              <w:right w:val="single" w:sz="4" w:space="0" w:color="auto"/>
            </w:tcBorders>
            <w:vAlign w:val="center"/>
            <w:hideMark/>
          </w:tcPr>
          <w:p w14:paraId="113A4C8F"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31.05%</w:t>
            </w:r>
          </w:p>
        </w:tc>
        <w:tc>
          <w:tcPr>
            <w:tcW w:w="2126" w:type="dxa"/>
            <w:tcBorders>
              <w:top w:val="single" w:sz="4" w:space="0" w:color="auto"/>
              <w:left w:val="single" w:sz="4" w:space="0" w:color="auto"/>
              <w:bottom w:val="single" w:sz="4" w:space="0" w:color="auto"/>
              <w:right w:val="single" w:sz="4" w:space="0" w:color="auto"/>
            </w:tcBorders>
            <w:vAlign w:val="center"/>
            <w:hideMark/>
          </w:tcPr>
          <w:p w14:paraId="0497D149"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7.21%</w:t>
            </w:r>
          </w:p>
        </w:tc>
        <w:tc>
          <w:tcPr>
            <w:tcW w:w="2126" w:type="dxa"/>
            <w:tcBorders>
              <w:top w:val="single" w:sz="4" w:space="0" w:color="auto"/>
              <w:left w:val="single" w:sz="4" w:space="0" w:color="auto"/>
              <w:bottom w:val="single" w:sz="4" w:space="0" w:color="auto"/>
              <w:right w:val="single" w:sz="4" w:space="0" w:color="auto"/>
            </w:tcBorders>
            <w:vAlign w:val="center"/>
            <w:hideMark/>
          </w:tcPr>
          <w:p w14:paraId="4F448DFF"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19.19%</w:t>
            </w:r>
          </w:p>
        </w:tc>
        <w:tc>
          <w:tcPr>
            <w:tcW w:w="1701" w:type="dxa"/>
            <w:tcBorders>
              <w:top w:val="single" w:sz="4" w:space="0" w:color="auto"/>
              <w:left w:val="single" w:sz="4" w:space="0" w:color="auto"/>
              <w:bottom w:val="single" w:sz="4" w:space="0" w:color="auto"/>
              <w:right w:val="single" w:sz="4" w:space="0" w:color="auto"/>
            </w:tcBorders>
            <w:vAlign w:val="center"/>
            <w:hideMark/>
          </w:tcPr>
          <w:p w14:paraId="14085D7C"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14.52%</w:t>
            </w:r>
          </w:p>
        </w:tc>
      </w:tr>
      <w:tr w:rsidR="005A5F47" w:rsidRPr="005A5F47" w14:paraId="7A3108CF"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60BC078"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Total Assets</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BE3A11F"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17.27%</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6A900D3"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2.54%</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C915B1E"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41.65%</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F617E25"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-15.12%</w:t>
            </w:r>
          </w:p>
        </w:tc>
      </w:tr>
      <w:tr w:rsidR="005A5F47" w:rsidRPr="005A5F47" w14:paraId="4E2B29F7"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vAlign w:val="center"/>
            <w:hideMark/>
          </w:tcPr>
          <w:p w14:paraId="462BF651"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Total Equity</w:t>
            </w:r>
          </w:p>
        </w:tc>
        <w:tc>
          <w:tcPr>
            <w:tcW w:w="1701" w:type="dxa"/>
            <w:tcBorders>
              <w:top w:val="single" w:sz="4" w:space="0" w:color="auto"/>
              <w:left w:val="single" w:sz="4" w:space="0" w:color="auto"/>
              <w:bottom w:val="single" w:sz="4" w:space="0" w:color="auto"/>
              <w:right w:val="single" w:sz="4" w:space="0" w:color="auto"/>
            </w:tcBorders>
            <w:vAlign w:val="center"/>
            <w:hideMark/>
          </w:tcPr>
          <w:p w14:paraId="1F956ADA"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21.05%</w:t>
            </w:r>
          </w:p>
        </w:tc>
        <w:tc>
          <w:tcPr>
            <w:tcW w:w="2126" w:type="dxa"/>
            <w:tcBorders>
              <w:top w:val="single" w:sz="4" w:space="0" w:color="auto"/>
              <w:left w:val="single" w:sz="4" w:space="0" w:color="auto"/>
              <w:bottom w:val="single" w:sz="4" w:space="0" w:color="auto"/>
              <w:right w:val="single" w:sz="4" w:space="0" w:color="auto"/>
            </w:tcBorders>
            <w:vAlign w:val="center"/>
            <w:hideMark/>
          </w:tcPr>
          <w:p w14:paraId="4230F67A"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-2.15%</w:t>
            </w:r>
          </w:p>
        </w:tc>
        <w:tc>
          <w:tcPr>
            <w:tcW w:w="2126" w:type="dxa"/>
            <w:tcBorders>
              <w:top w:val="single" w:sz="4" w:space="0" w:color="auto"/>
              <w:left w:val="single" w:sz="4" w:space="0" w:color="auto"/>
              <w:bottom w:val="single" w:sz="4" w:space="0" w:color="auto"/>
              <w:right w:val="single" w:sz="4" w:space="0" w:color="auto"/>
            </w:tcBorders>
            <w:vAlign w:val="center"/>
            <w:hideMark/>
          </w:tcPr>
          <w:p w14:paraId="6B6C7285"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56.36%</w:t>
            </w:r>
          </w:p>
        </w:tc>
        <w:tc>
          <w:tcPr>
            <w:tcW w:w="1701" w:type="dxa"/>
            <w:tcBorders>
              <w:top w:val="single" w:sz="4" w:space="0" w:color="auto"/>
              <w:left w:val="single" w:sz="4" w:space="0" w:color="auto"/>
              <w:bottom w:val="single" w:sz="4" w:space="0" w:color="auto"/>
              <w:right w:val="single" w:sz="4" w:space="0" w:color="auto"/>
            </w:tcBorders>
            <w:vAlign w:val="center"/>
            <w:hideMark/>
          </w:tcPr>
          <w:p w14:paraId="3A724E1B"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-18.50%</w:t>
            </w:r>
          </w:p>
        </w:tc>
      </w:tr>
      <w:tr w:rsidR="005A5F47" w:rsidRPr="005A5F47" w14:paraId="3C9F9701" w14:textId="77777777" w:rsidTr="005A5F47">
        <w:trPr>
          <w:trHeight w:val="312"/>
        </w:trPr>
        <w:tc>
          <w:tcPr>
            <w:tcW w:w="183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8F5BF7F" w14:textId="77777777" w:rsidR="005A5F47" w:rsidRPr="005A5F47" w:rsidRDefault="005A5F47" w:rsidP="005A5F47">
            <w:pPr>
              <w:spacing w:before="0" w:after="0" w:line="240" w:lineRule="auto"/>
              <w:jc w:val="lef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Total Debt</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6C05204"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3.36%</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0B1725FE"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22.19%</w:t>
            </w:r>
          </w:p>
        </w:tc>
        <w:tc>
          <w:tcPr>
            <w:tcW w:w="2126"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2194024"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0.42%</w:t>
            </w:r>
          </w:p>
        </w:tc>
        <w:tc>
          <w:tcPr>
            <w:tcW w:w="1701"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DBE67C3" w14:textId="77777777" w:rsidR="005A5F47" w:rsidRPr="005A5F47" w:rsidRDefault="005A5F47" w:rsidP="005A5F47">
            <w:pPr>
              <w:spacing w:before="0" w:after="0" w:line="240" w:lineRule="auto"/>
              <w:jc w:val="right"/>
              <w:rPr>
                <w:rFonts w:eastAsia="Times New Roman" w:cs="Arial"/>
                <w:color w:val="000000"/>
                <w:kern w:val="0"/>
                <w:lang w:eastAsia="en-IN"/>
                <w14:ligatures w14:val="none"/>
              </w:rPr>
            </w:pPr>
            <w:r w:rsidRPr="005A5F47">
              <w:rPr>
                <w:rFonts w:eastAsia="Times New Roman" w:cs="Arial"/>
                <w:color w:val="000000"/>
                <w:kern w:val="0"/>
                <w:lang w:eastAsia="en-IN"/>
                <w14:ligatures w14:val="none"/>
              </w:rPr>
              <w:t>1.40%</w:t>
            </w:r>
          </w:p>
        </w:tc>
      </w:tr>
    </w:tbl>
    <w:p w14:paraId="7CB5E026" w14:textId="413C8EBD" w:rsidR="00372B78" w:rsidRPr="00DE44A7" w:rsidRDefault="00DE44A7" w:rsidP="00C7346B">
      <w:pPr>
        <w:rPr>
          <w:rFonts w:cs="Arial"/>
          <w:b/>
          <w:bCs/>
          <w:lang w:val="en-US"/>
        </w:rPr>
      </w:pPr>
      <w:r w:rsidRPr="00DE44A7">
        <w:rPr>
          <w:rFonts w:cs="Arial"/>
          <w:b/>
          <w:bCs/>
          <w:lang w:val="en-US"/>
        </w:rPr>
        <w:lastRenderedPageBreak/>
        <w:t>Investment ratio</w:t>
      </w:r>
    </w:p>
    <w:tbl>
      <w:tblPr>
        <w:tblW w:w="7500" w:type="dxa"/>
        <w:tblLook w:val="04A0" w:firstRow="1" w:lastRow="0" w:firstColumn="1" w:lastColumn="0" w:noHBand="0" w:noVBand="1"/>
      </w:tblPr>
      <w:tblGrid>
        <w:gridCol w:w="2700"/>
        <w:gridCol w:w="960"/>
        <w:gridCol w:w="960"/>
        <w:gridCol w:w="960"/>
        <w:gridCol w:w="960"/>
        <w:gridCol w:w="960"/>
      </w:tblGrid>
      <w:tr w:rsidR="00DE44A7" w:rsidRPr="00DE44A7" w14:paraId="0E257B17" w14:textId="77777777" w:rsidTr="00DE44A7">
        <w:trPr>
          <w:trHeight w:val="288"/>
        </w:trPr>
        <w:tc>
          <w:tcPr>
            <w:tcW w:w="2700" w:type="dxa"/>
            <w:tcBorders>
              <w:top w:val="single" w:sz="4" w:space="0" w:color="000000"/>
              <w:left w:val="single" w:sz="4" w:space="0" w:color="000000"/>
              <w:bottom w:val="single" w:sz="4" w:space="0" w:color="000000"/>
              <w:right w:val="nil"/>
            </w:tcBorders>
            <w:shd w:val="clear" w:color="000000" w:fill="000000"/>
            <w:vAlign w:val="center"/>
            <w:hideMark/>
          </w:tcPr>
          <w:p w14:paraId="56A13CD1" w14:textId="77777777" w:rsidR="00DE44A7" w:rsidRPr="00DE44A7" w:rsidRDefault="00DE44A7" w:rsidP="00DE44A7">
            <w:pPr>
              <w:spacing w:before="0" w:after="0" w:line="240" w:lineRule="auto"/>
              <w:jc w:val="center"/>
              <w:rPr>
                <w:rFonts w:ascii="Calibri" w:eastAsia="Times New Roman" w:hAnsi="Calibri" w:cs="Calibri"/>
                <w:b/>
                <w:bCs/>
                <w:color w:val="FFFFFF"/>
                <w:kern w:val="0"/>
                <w:sz w:val="22"/>
                <w:szCs w:val="22"/>
                <w:lang w:eastAsia="en-IN"/>
                <w14:ligatures w14:val="none"/>
              </w:rPr>
            </w:pPr>
            <w:r w:rsidRPr="00DE44A7">
              <w:rPr>
                <w:rFonts w:ascii="Calibri" w:eastAsia="Times New Roman" w:hAnsi="Calibri" w:cs="Calibri"/>
                <w:b/>
                <w:bCs/>
                <w:color w:val="FFFFFF"/>
                <w:kern w:val="0"/>
                <w:sz w:val="22"/>
                <w:szCs w:val="22"/>
                <w:lang w:eastAsia="en-IN"/>
                <w14:ligatures w14:val="none"/>
              </w:rPr>
              <w:t>Ratio</w:t>
            </w:r>
          </w:p>
        </w:tc>
        <w:tc>
          <w:tcPr>
            <w:tcW w:w="960" w:type="dxa"/>
            <w:tcBorders>
              <w:top w:val="single" w:sz="4" w:space="0" w:color="000000"/>
              <w:left w:val="nil"/>
              <w:bottom w:val="single" w:sz="4" w:space="0" w:color="000000"/>
              <w:right w:val="nil"/>
            </w:tcBorders>
            <w:shd w:val="clear" w:color="000000" w:fill="000000"/>
            <w:vAlign w:val="center"/>
            <w:hideMark/>
          </w:tcPr>
          <w:p w14:paraId="02A713A4" w14:textId="77777777" w:rsidR="00DE44A7" w:rsidRPr="00DE44A7" w:rsidRDefault="00DE44A7" w:rsidP="00DE44A7">
            <w:pPr>
              <w:spacing w:before="0" w:after="0" w:line="240" w:lineRule="auto"/>
              <w:jc w:val="center"/>
              <w:rPr>
                <w:rFonts w:ascii="Calibri" w:eastAsia="Times New Roman" w:hAnsi="Calibri" w:cs="Calibri"/>
                <w:b/>
                <w:bCs/>
                <w:color w:val="FFFFFF"/>
                <w:kern w:val="0"/>
                <w:sz w:val="22"/>
                <w:szCs w:val="22"/>
                <w:lang w:eastAsia="en-IN"/>
                <w14:ligatures w14:val="none"/>
              </w:rPr>
            </w:pPr>
            <w:r w:rsidRPr="00DE44A7">
              <w:rPr>
                <w:rFonts w:ascii="Calibri" w:eastAsia="Times New Roman" w:hAnsi="Calibri" w:cs="Calibri"/>
                <w:b/>
                <w:bCs/>
                <w:color w:val="FFFFFF"/>
                <w:kern w:val="0"/>
                <w:sz w:val="22"/>
                <w:szCs w:val="22"/>
                <w:lang w:eastAsia="en-IN"/>
                <w14:ligatures w14:val="none"/>
              </w:rPr>
              <w:t>FY2021</w:t>
            </w:r>
          </w:p>
        </w:tc>
        <w:tc>
          <w:tcPr>
            <w:tcW w:w="960" w:type="dxa"/>
            <w:tcBorders>
              <w:top w:val="single" w:sz="4" w:space="0" w:color="000000"/>
              <w:left w:val="nil"/>
              <w:bottom w:val="single" w:sz="4" w:space="0" w:color="000000"/>
              <w:right w:val="nil"/>
            </w:tcBorders>
            <w:shd w:val="clear" w:color="000000" w:fill="000000"/>
            <w:vAlign w:val="center"/>
            <w:hideMark/>
          </w:tcPr>
          <w:p w14:paraId="5EA93BC4" w14:textId="77777777" w:rsidR="00DE44A7" w:rsidRPr="00DE44A7" w:rsidRDefault="00DE44A7" w:rsidP="00DE44A7">
            <w:pPr>
              <w:spacing w:before="0" w:after="0" w:line="240" w:lineRule="auto"/>
              <w:jc w:val="center"/>
              <w:rPr>
                <w:rFonts w:ascii="Calibri" w:eastAsia="Times New Roman" w:hAnsi="Calibri" w:cs="Calibri"/>
                <w:b/>
                <w:bCs/>
                <w:color w:val="FFFFFF"/>
                <w:kern w:val="0"/>
                <w:sz w:val="22"/>
                <w:szCs w:val="22"/>
                <w:lang w:eastAsia="en-IN"/>
                <w14:ligatures w14:val="none"/>
              </w:rPr>
            </w:pPr>
            <w:r w:rsidRPr="00DE44A7">
              <w:rPr>
                <w:rFonts w:ascii="Calibri" w:eastAsia="Times New Roman" w:hAnsi="Calibri" w:cs="Calibri"/>
                <w:b/>
                <w:bCs/>
                <w:color w:val="FFFFFF"/>
                <w:kern w:val="0"/>
                <w:sz w:val="22"/>
                <w:szCs w:val="22"/>
                <w:lang w:eastAsia="en-IN"/>
                <w14:ligatures w14:val="none"/>
              </w:rPr>
              <w:t>FY2022</w:t>
            </w:r>
          </w:p>
        </w:tc>
        <w:tc>
          <w:tcPr>
            <w:tcW w:w="960" w:type="dxa"/>
            <w:tcBorders>
              <w:top w:val="single" w:sz="4" w:space="0" w:color="000000"/>
              <w:left w:val="nil"/>
              <w:bottom w:val="single" w:sz="4" w:space="0" w:color="000000"/>
              <w:right w:val="nil"/>
            </w:tcBorders>
            <w:shd w:val="clear" w:color="000000" w:fill="000000"/>
            <w:vAlign w:val="center"/>
            <w:hideMark/>
          </w:tcPr>
          <w:p w14:paraId="1D66A919" w14:textId="77777777" w:rsidR="00DE44A7" w:rsidRPr="00DE44A7" w:rsidRDefault="00DE44A7" w:rsidP="00DE44A7">
            <w:pPr>
              <w:spacing w:before="0" w:after="0" w:line="240" w:lineRule="auto"/>
              <w:jc w:val="center"/>
              <w:rPr>
                <w:rFonts w:ascii="Calibri" w:eastAsia="Times New Roman" w:hAnsi="Calibri" w:cs="Calibri"/>
                <w:b/>
                <w:bCs/>
                <w:color w:val="FFFFFF"/>
                <w:kern w:val="0"/>
                <w:sz w:val="22"/>
                <w:szCs w:val="22"/>
                <w:lang w:eastAsia="en-IN"/>
                <w14:ligatures w14:val="none"/>
              </w:rPr>
            </w:pPr>
            <w:r w:rsidRPr="00DE44A7">
              <w:rPr>
                <w:rFonts w:ascii="Calibri" w:eastAsia="Times New Roman" w:hAnsi="Calibri" w:cs="Calibri"/>
                <w:b/>
                <w:bCs/>
                <w:color w:val="FFFFFF"/>
                <w:kern w:val="0"/>
                <w:sz w:val="22"/>
                <w:szCs w:val="22"/>
                <w:lang w:eastAsia="en-IN"/>
                <w14:ligatures w14:val="none"/>
              </w:rPr>
              <w:t>FY2023</w:t>
            </w:r>
          </w:p>
        </w:tc>
        <w:tc>
          <w:tcPr>
            <w:tcW w:w="960" w:type="dxa"/>
            <w:tcBorders>
              <w:top w:val="single" w:sz="4" w:space="0" w:color="000000"/>
              <w:left w:val="nil"/>
              <w:bottom w:val="single" w:sz="4" w:space="0" w:color="000000"/>
              <w:right w:val="nil"/>
            </w:tcBorders>
            <w:shd w:val="clear" w:color="000000" w:fill="000000"/>
            <w:vAlign w:val="center"/>
            <w:hideMark/>
          </w:tcPr>
          <w:p w14:paraId="0671D4DD" w14:textId="77777777" w:rsidR="00DE44A7" w:rsidRPr="00DE44A7" w:rsidRDefault="00DE44A7" w:rsidP="00DE44A7">
            <w:pPr>
              <w:spacing w:before="0" w:after="0" w:line="240" w:lineRule="auto"/>
              <w:jc w:val="center"/>
              <w:rPr>
                <w:rFonts w:ascii="Calibri" w:eastAsia="Times New Roman" w:hAnsi="Calibri" w:cs="Calibri"/>
                <w:b/>
                <w:bCs/>
                <w:color w:val="FFFFFF"/>
                <w:kern w:val="0"/>
                <w:sz w:val="22"/>
                <w:szCs w:val="22"/>
                <w:lang w:eastAsia="en-IN"/>
                <w14:ligatures w14:val="none"/>
              </w:rPr>
            </w:pPr>
            <w:r w:rsidRPr="00DE44A7">
              <w:rPr>
                <w:rFonts w:ascii="Calibri" w:eastAsia="Times New Roman" w:hAnsi="Calibri" w:cs="Calibri"/>
                <w:b/>
                <w:bCs/>
                <w:color w:val="FFFFFF"/>
                <w:kern w:val="0"/>
                <w:sz w:val="22"/>
                <w:szCs w:val="22"/>
                <w:lang w:eastAsia="en-IN"/>
                <w14:ligatures w14:val="none"/>
              </w:rPr>
              <w:t>FY2024</w:t>
            </w:r>
          </w:p>
        </w:tc>
        <w:tc>
          <w:tcPr>
            <w:tcW w:w="960" w:type="dxa"/>
            <w:tcBorders>
              <w:top w:val="single" w:sz="4" w:space="0" w:color="000000"/>
              <w:left w:val="nil"/>
              <w:bottom w:val="single" w:sz="4" w:space="0" w:color="000000"/>
              <w:right w:val="single" w:sz="4" w:space="0" w:color="000000"/>
            </w:tcBorders>
            <w:shd w:val="clear" w:color="000000" w:fill="000000"/>
            <w:vAlign w:val="center"/>
            <w:hideMark/>
          </w:tcPr>
          <w:p w14:paraId="57FFDF47" w14:textId="77777777" w:rsidR="00DE44A7" w:rsidRPr="00DE44A7" w:rsidRDefault="00DE44A7" w:rsidP="00DE44A7">
            <w:pPr>
              <w:spacing w:before="0" w:after="0" w:line="240" w:lineRule="auto"/>
              <w:jc w:val="center"/>
              <w:rPr>
                <w:rFonts w:ascii="Calibri" w:eastAsia="Times New Roman" w:hAnsi="Calibri" w:cs="Calibri"/>
                <w:b/>
                <w:bCs/>
                <w:color w:val="FFFFFF"/>
                <w:kern w:val="0"/>
                <w:sz w:val="22"/>
                <w:szCs w:val="22"/>
                <w:lang w:eastAsia="en-IN"/>
                <w14:ligatures w14:val="none"/>
              </w:rPr>
            </w:pPr>
            <w:r w:rsidRPr="00DE44A7">
              <w:rPr>
                <w:rFonts w:ascii="Calibri" w:eastAsia="Times New Roman" w:hAnsi="Calibri" w:cs="Calibri"/>
                <w:b/>
                <w:bCs/>
                <w:color w:val="FFFFFF"/>
                <w:kern w:val="0"/>
                <w:sz w:val="22"/>
                <w:szCs w:val="22"/>
                <w:lang w:eastAsia="en-IN"/>
                <w14:ligatures w14:val="none"/>
              </w:rPr>
              <w:t>FY2025</w:t>
            </w:r>
          </w:p>
        </w:tc>
      </w:tr>
      <w:tr w:rsidR="00DE44A7" w:rsidRPr="00DE44A7" w14:paraId="262DBC63" w14:textId="77777777" w:rsidTr="00DE44A7">
        <w:trPr>
          <w:trHeight w:val="288"/>
        </w:trPr>
        <w:tc>
          <w:tcPr>
            <w:tcW w:w="2700" w:type="dxa"/>
            <w:tcBorders>
              <w:top w:val="single" w:sz="4" w:space="0" w:color="000000"/>
              <w:left w:val="single" w:sz="4" w:space="0" w:color="000000"/>
              <w:bottom w:val="single" w:sz="4" w:space="0" w:color="000000"/>
              <w:right w:val="nil"/>
            </w:tcBorders>
            <w:shd w:val="clear" w:color="D9D9D9" w:fill="D9D9D9"/>
            <w:vAlign w:val="center"/>
            <w:hideMark/>
          </w:tcPr>
          <w:p w14:paraId="4EEFE218"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Earnings Per Share (EPS)</w:t>
            </w:r>
          </w:p>
        </w:tc>
        <w:tc>
          <w:tcPr>
            <w:tcW w:w="960" w:type="dxa"/>
            <w:tcBorders>
              <w:top w:val="single" w:sz="4" w:space="0" w:color="000000"/>
              <w:left w:val="nil"/>
              <w:bottom w:val="single" w:sz="4" w:space="0" w:color="000000"/>
              <w:right w:val="nil"/>
            </w:tcBorders>
            <w:shd w:val="clear" w:color="D9D9D9" w:fill="D9D9D9"/>
            <w:vAlign w:val="center"/>
            <w:hideMark/>
          </w:tcPr>
          <w:p w14:paraId="63C18A29"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440.28</w:t>
            </w:r>
          </w:p>
        </w:tc>
        <w:tc>
          <w:tcPr>
            <w:tcW w:w="960" w:type="dxa"/>
            <w:tcBorders>
              <w:top w:val="single" w:sz="4" w:space="0" w:color="000000"/>
              <w:left w:val="nil"/>
              <w:bottom w:val="single" w:sz="4" w:space="0" w:color="000000"/>
              <w:right w:val="nil"/>
            </w:tcBorders>
            <w:shd w:val="clear" w:color="D9D9D9" w:fill="D9D9D9"/>
            <w:vAlign w:val="center"/>
            <w:hideMark/>
          </w:tcPr>
          <w:p w14:paraId="12DE1FC3"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580.73</w:t>
            </w:r>
          </w:p>
        </w:tc>
        <w:tc>
          <w:tcPr>
            <w:tcW w:w="960" w:type="dxa"/>
            <w:tcBorders>
              <w:top w:val="single" w:sz="4" w:space="0" w:color="000000"/>
              <w:left w:val="nil"/>
              <w:bottom w:val="single" w:sz="4" w:space="0" w:color="000000"/>
              <w:right w:val="nil"/>
            </w:tcBorders>
            <w:shd w:val="clear" w:color="D9D9D9" w:fill="D9D9D9"/>
            <w:vAlign w:val="center"/>
            <w:hideMark/>
          </w:tcPr>
          <w:p w14:paraId="6E753FA6"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621.17</w:t>
            </w:r>
          </w:p>
        </w:tc>
        <w:tc>
          <w:tcPr>
            <w:tcW w:w="960" w:type="dxa"/>
            <w:tcBorders>
              <w:top w:val="single" w:sz="4" w:space="0" w:color="000000"/>
              <w:left w:val="nil"/>
              <w:bottom w:val="single" w:sz="4" w:space="0" w:color="000000"/>
              <w:right w:val="nil"/>
            </w:tcBorders>
            <w:shd w:val="clear" w:color="D9D9D9" w:fill="D9D9D9"/>
            <w:vAlign w:val="center"/>
            <w:hideMark/>
          </w:tcPr>
          <w:p w14:paraId="2317ABE8"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736.86</w:t>
            </w:r>
          </w:p>
        </w:tc>
        <w:tc>
          <w:tcPr>
            <w:tcW w:w="960" w:type="dxa"/>
            <w:tcBorders>
              <w:top w:val="single" w:sz="4" w:space="0" w:color="000000"/>
              <w:left w:val="nil"/>
              <w:bottom w:val="single" w:sz="4" w:space="0" w:color="000000"/>
              <w:right w:val="single" w:sz="4" w:space="0" w:color="000000"/>
            </w:tcBorders>
            <w:shd w:val="clear" w:color="D9D9D9" w:fill="D9D9D9"/>
            <w:vAlign w:val="center"/>
            <w:hideMark/>
          </w:tcPr>
          <w:p w14:paraId="5E2AACA2"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856.96</w:t>
            </w:r>
          </w:p>
        </w:tc>
      </w:tr>
      <w:tr w:rsidR="00DE44A7" w:rsidRPr="00DE44A7" w14:paraId="476F6166" w14:textId="77777777" w:rsidTr="00DE44A7">
        <w:trPr>
          <w:trHeight w:val="288"/>
        </w:trPr>
        <w:tc>
          <w:tcPr>
            <w:tcW w:w="2700" w:type="dxa"/>
            <w:tcBorders>
              <w:top w:val="single" w:sz="4" w:space="0" w:color="000000"/>
              <w:left w:val="single" w:sz="4" w:space="0" w:color="000000"/>
              <w:bottom w:val="single" w:sz="4" w:space="0" w:color="000000"/>
              <w:right w:val="nil"/>
            </w:tcBorders>
            <w:vAlign w:val="center"/>
            <w:hideMark/>
          </w:tcPr>
          <w:p w14:paraId="43A0ED45"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Price Earnings Ratio (P/E)</w:t>
            </w:r>
          </w:p>
        </w:tc>
        <w:tc>
          <w:tcPr>
            <w:tcW w:w="960" w:type="dxa"/>
            <w:tcBorders>
              <w:top w:val="single" w:sz="4" w:space="0" w:color="000000"/>
              <w:left w:val="nil"/>
              <w:bottom w:val="single" w:sz="4" w:space="0" w:color="000000"/>
              <w:right w:val="nil"/>
            </w:tcBorders>
            <w:vAlign w:val="center"/>
            <w:hideMark/>
          </w:tcPr>
          <w:p w14:paraId="0FBB389A"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22.39</w:t>
            </w:r>
          </w:p>
        </w:tc>
        <w:tc>
          <w:tcPr>
            <w:tcW w:w="960" w:type="dxa"/>
            <w:tcBorders>
              <w:top w:val="single" w:sz="4" w:space="0" w:color="000000"/>
              <w:left w:val="nil"/>
              <w:bottom w:val="single" w:sz="4" w:space="0" w:color="000000"/>
              <w:right w:val="nil"/>
            </w:tcBorders>
            <w:vAlign w:val="center"/>
            <w:hideMark/>
          </w:tcPr>
          <w:p w14:paraId="1C7718D4"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14.58</w:t>
            </w:r>
          </w:p>
        </w:tc>
        <w:tc>
          <w:tcPr>
            <w:tcW w:w="960" w:type="dxa"/>
            <w:tcBorders>
              <w:top w:val="single" w:sz="4" w:space="0" w:color="000000"/>
              <w:left w:val="nil"/>
              <w:bottom w:val="single" w:sz="4" w:space="0" w:color="000000"/>
              <w:right w:val="nil"/>
            </w:tcBorders>
            <w:vAlign w:val="center"/>
            <w:hideMark/>
          </w:tcPr>
          <w:p w14:paraId="20004F4A"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11.83</w:t>
            </w:r>
          </w:p>
        </w:tc>
        <w:tc>
          <w:tcPr>
            <w:tcW w:w="960" w:type="dxa"/>
            <w:tcBorders>
              <w:top w:val="single" w:sz="4" w:space="0" w:color="000000"/>
              <w:left w:val="nil"/>
              <w:bottom w:val="single" w:sz="4" w:space="0" w:color="000000"/>
              <w:right w:val="nil"/>
            </w:tcBorders>
            <w:vAlign w:val="center"/>
            <w:hideMark/>
          </w:tcPr>
          <w:p w14:paraId="46EE8E4B"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21.24</w:t>
            </w:r>
          </w:p>
        </w:tc>
        <w:tc>
          <w:tcPr>
            <w:tcW w:w="960" w:type="dxa"/>
            <w:tcBorders>
              <w:top w:val="single" w:sz="4" w:space="0" w:color="000000"/>
              <w:left w:val="nil"/>
              <w:bottom w:val="single" w:sz="4" w:space="0" w:color="000000"/>
              <w:right w:val="single" w:sz="4" w:space="0" w:color="000000"/>
            </w:tcBorders>
            <w:vAlign w:val="center"/>
            <w:hideMark/>
          </w:tcPr>
          <w:p w14:paraId="48D5A6DE"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14.83</w:t>
            </w:r>
          </w:p>
        </w:tc>
      </w:tr>
    </w:tbl>
    <w:p w14:paraId="5A24D633" w14:textId="77777777" w:rsidR="00372B78" w:rsidRDefault="00372B78" w:rsidP="00C7346B">
      <w:pPr>
        <w:rPr>
          <w:rFonts w:cs="Arial"/>
          <w:lang w:val="en-US"/>
        </w:rPr>
      </w:pPr>
    </w:p>
    <w:p w14:paraId="2027A871" w14:textId="77777777" w:rsidR="00372B78" w:rsidRDefault="00372B78" w:rsidP="00C7346B">
      <w:pPr>
        <w:rPr>
          <w:rFonts w:cs="Arial"/>
          <w:lang w:val="en-US"/>
        </w:rPr>
      </w:pPr>
    </w:p>
    <w:tbl>
      <w:tblPr>
        <w:tblW w:w="6658" w:type="dxa"/>
        <w:tblLook w:val="04A0" w:firstRow="1" w:lastRow="0" w:firstColumn="1" w:lastColumn="0" w:noHBand="0" w:noVBand="1"/>
      </w:tblPr>
      <w:tblGrid>
        <w:gridCol w:w="2547"/>
        <w:gridCol w:w="1417"/>
        <w:gridCol w:w="1240"/>
        <w:gridCol w:w="1454"/>
      </w:tblGrid>
      <w:tr w:rsidR="00DE44A7" w:rsidRPr="00DE44A7" w14:paraId="2884DD58" w14:textId="77777777" w:rsidTr="00DE44A7">
        <w:trPr>
          <w:trHeight w:val="288"/>
        </w:trPr>
        <w:tc>
          <w:tcPr>
            <w:tcW w:w="6658" w:type="dxa"/>
            <w:gridSpan w:val="4"/>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5E0223" w14:textId="77777777" w:rsidR="00DE44A7" w:rsidRPr="00DE44A7" w:rsidRDefault="00DE44A7" w:rsidP="00DE44A7">
            <w:pPr>
              <w:spacing w:before="0" w:after="0" w:line="240" w:lineRule="auto"/>
              <w:jc w:val="center"/>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Project Cash Flow Inputs</w:t>
            </w:r>
          </w:p>
        </w:tc>
      </w:tr>
      <w:tr w:rsidR="00DE44A7" w:rsidRPr="00DE44A7" w14:paraId="4EFCCD11"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0C2C50A3" w14:textId="77777777" w:rsidR="00DE44A7" w:rsidRPr="00DE44A7" w:rsidRDefault="00DE44A7" w:rsidP="00DE44A7">
            <w:pPr>
              <w:spacing w:before="0" w:after="0" w:line="240" w:lineRule="auto"/>
              <w:jc w:val="center"/>
              <w:rPr>
                <w:rFonts w:ascii="Calibri" w:eastAsia="Times New Roman" w:hAnsi="Calibri" w:cs="Calibri"/>
                <w:b/>
                <w:bCs/>
                <w:color w:val="000000"/>
                <w:kern w:val="0"/>
                <w:sz w:val="22"/>
                <w:szCs w:val="22"/>
                <w:lang w:eastAsia="en-IN"/>
                <w14:ligatures w14:val="none"/>
              </w:rPr>
            </w:pPr>
            <w:r w:rsidRPr="00DE44A7">
              <w:rPr>
                <w:rFonts w:ascii="Calibri" w:eastAsia="Times New Roman" w:hAnsi="Calibri" w:cs="Calibri"/>
                <w:b/>
                <w:bCs/>
                <w:color w:val="000000"/>
                <w:kern w:val="0"/>
                <w:sz w:val="22"/>
                <w:szCs w:val="22"/>
                <w:lang w:eastAsia="en-IN"/>
                <w14:ligatures w14:val="none"/>
              </w:rPr>
              <w:t>Particulars</w:t>
            </w:r>
          </w:p>
        </w:tc>
        <w:tc>
          <w:tcPr>
            <w:tcW w:w="1417" w:type="dxa"/>
            <w:tcBorders>
              <w:top w:val="nil"/>
              <w:left w:val="nil"/>
              <w:bottom w:val="single" w:sz="4" w:space="0" w:color="auto"/>
              <w:right w:val="single" w:sz="4" w:space="0" w:color="auto"/>
            </w:tcBorders>
            <w:vAlign w:val="center"/>
            <w:hideMark/>
          </w:tcPr>
          <w:p w14:paraId="1B1E44A0" w14:textId="77777777" w:rsidR="00DE44A7" w:rsidRPr="00DE44A7" w:rsidRDefault="00DE44A7" w:rsidP="00DE44A7">
            <w:pPr>
              <w:spacing w:before="0" w:after="0" w:line="240" w:lineRule="auto"/>
              <w:jc w:val="center"/>
              <w:rPr>
                <w:rFonts w:ascii="Calibri" w:eastAsia="Times New Roman" w:hAnsi="Calibri" w:cs="Calibri"/>
                <w:b/>
                <w:bCs/>
                <w:color w:val="000000"/>
                <w:kern w:val="0"/>
                <w:sz w:val="22"/>
                <w:szCs w:val="22"/>
                <w:lang w:eastAsia="en-IN"/>
                <w14:ligatures w14:val="none"/>
              </w:rPr>
            </w:pPr>
            <w:r w:rsidRPr="00DE44A7">
              <w:rPr>
                <w:rFonts w:ascii="Calibri" w:eastAsia="Times New Roman" w:hAnsi="Calibri" w:cs="Calibri"/>
                <w:b/>
                <w:bCs/>
                <w:color w:val="000000"/>
                <w:kern w:val="0"/>
                <w:sz w:val="22"/>
                <w:szCs w:val="22"/>
                <w:lang w:eastAsia="en-IN"/>
                <w14:ligatures w14:val="none"/>
              </w:rPr>
              <w:t>Project A</w:t>
            </w:r>
          </w:p>
        </w:tc>
        <w:tc>
          <w:tcPr>
            <w:tcW w:w="1240" w:type="dxa"/>
            <w:tcBorders>
              <w:top w:val="nil"/>
              <w:left w:val="nil"/>
              <w:bottom w:val="single" w:sz="4" w:space="0" w:color="auto"/>
              <w:right w:val="single" w:sz="4" w:space="0" w:color="auto"/>
            </w:tcBorders>
            <w:vAlign w:val="center"/>
            <w:hideMark/>
          </w:tcPr>
          <w:p w14:paraId="733B6592" w14:textId="77777777" w:rsidR="00DE44A7" w:rsidRPr="00DE44A7" w:rsidRDefault="00DE44A7" w:rsidP="00DE44A7">
            <w:pPr>
              <w:spacing w:before="0" w:after="0" w:line="240" w:lineRule="auto"/>
              <w:jc w:val="center"/>
              <w:rPr>
                <w:rFonts w:ascii="Calibri" w:eastAsia="Times New Roman" w:hAnsi="Calibri" w:cs="Calibri"/>
                <w:b/>
                <w:bCs/>
                <w:color w:val="000000"/>
                <w:kern w:val="0"/>
                <w:sz w:val="22"/>
                <w:szCs w:val="22"/>
                <w:lang w:eastAsia="en-IN"/>
                <w14:ligatures w14:val="none"/>
              </w:rPr>
            </w:pPr>
            <w:r w:rsidRPr="00DE44A7">
              <w:rPr>
                <w:rFonts w:ascii="Calibri" w:eastAsia="Times New Roman" w:hAnsi="Calibri" w:cs="Calibri"/>
                <w:b/>
                <w:bCs/>
                <w:color w:val="000000"/>
                <w:kern w:val="0"/>
                <w:sz w:val="22"/>
                <w:szCs w:val="22"/>
                <w:lang w:eastAsia="en-IN"/>
                <w14:ligatures w14:val="none"/>
              </w:rPr>
              <w:t>Project B</w:t>
            </w:r>
          </w:p>
        </w:tc>
        <w:tc>
          <w:tcPr>
            <w:tcW w:w="1454" w:type="dxa"/>
            <w:tcBorders>
              <w:top w:val="nil"/>
              <w:left w:val="nil"/>
              <w:bottom w:val="single" w:sz="4" w:space="0" w:color="auto"/>
              <w:right w:val="single" w:sz="4" w:space="0" w:color="auto"/>
            </w:tcBorders>
            <w:vAlign w:val="center"/>
            <w:hideMark/>
          </w:tcPr>
          <w:p w14:paraId="48B47BC3" w14:textId="77777777" w:rsidR="00DE44A7" w:rsidRPr="00DE44A7" w:rsidRDefault="00DE44A7" w:rsidP="00DE44A7">
            <w:pPr>
              <w:spacing w:before="0" w:after="0" w:line="240" w:lineRule="auto"/>
              <w:jc w:val="center"/>
              <w:rPr>
                <w:rFonts w:ascii="Calibri" w:eastAsia="Times New Roman" w:hAnsi="Calibri" w:cs="Calibri"/>
                <w:b/>
                <w:bCs/>
                <w:color w:val="000000"/>
                <w:kern w:val="0"/>
                <w:sz w:val="22"/>
                <w:szCs w:val="22"/>
                <w:lang w:eastAsia="en-IN"/>
                <w14:ligatures w14:val="none"/>
              </w:rPr>
            </w:pPr>
            <w:r w:rsidRPr="00DE44A7">
              <w:rPr>
                <w:rFonts w:ascii="Calibri" w:eastAsia="Times New Roman" w:hAnsi="Calibri" w:cs="Calibri"/>
                <w:b/>
                <w:bCs/>
                <w:color w:val="000000"/>
                <w:kern w:val="0"/>
                <w:sz w:val="22"/>
                <w:szCs w:val="22"/>
                <w:lang w:eastAsia="en-IN"/>
                <w14:ligatures w14:val="none"/>
              </w:rPr>
              <w:t>Project C</w:t>
            </w:r>
          </w:p>
        </w:tc>
      </w:tr>
      <w:tr w:rsidR="00DE44A7" w:rsidRPr="00DE44A7" w14:paraId="6A92C4DE"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5353EE39"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Initial Investment (£)</w:t>
            </w:r>
          </w:p>
        </w:tc>
        <w:tc>
          <w:tcPr>
            <w:tcW w:w="1417" w:type="dxa"/>
            <w:tcBorders>
              <w:top w:val="nil"/>
              <w:left w:val="nil"/>
              <w:bottom w:val="single" w:sz="4" w:space="0" w:color="auto"/>
              <w:right w:val="single" w:sz="4" w:space="0" w:color="auto"/>
            </w:tcBorders>
            <w:vAlign w:val="center"/>
            <w:hideMark/>
          </w:tcPr>
          <w:p w14:paraId="55E6F3DF"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50</w:t>
            </w:r>
          </w:p>
        </w:tc>
        <w:tc>
          <w:tcPr>
            <w:tcW w:w="1240" w:type="dxa"/>
            <w:tcBorders>
              <w:top w:val="nil"/>
              <w:left w:val="nil"/>
              <w:bottom w:val="single" w:sz="4" w:space="0" w:color="auto"/>
              <w:right w:val="single" w:sz="4" w:space="0" w:color="auto"/>
            </w:tcBorders>
            <w:vAlign w:val="center"/>
            <w:hideMark/>
          </w:tcPr>
          <w:p w14:paraId="182692D2"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50</w:t>
            </w:r>
          </w:p>
        </w:tc>
        <w:tc>
          <w:tcPr>
            <w:tcW w:w="1454" w:type="dxa"/>
            <w:tcBorders>
              <w:top w:val="nil"/>
              <w:left w:val="nil"/>
              <w:bottom w:val="single" w:sz="4" w:space="0" w:color="auto"/>
              <w:right w:val="single" w:sz="4" w:space="0" w:color="auto"/>
            </w:tcBorders>
            <w:vAlign w:val="center"/>
            <w:hideMark/>
          </w:tcPr>
          <w:p w14:paraId="1ADB4FD8"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50</w:t>
            </w:r>
          </w:p>
        </w:tc>
      </w:tr>
      <w:tr w:rsidR="00DE44A7" w:rsidRPr="00DE44A7" w14:paraId="55F3BE23"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1B9769B8"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Year 1 Inflow</w:t>
            </w:r>
          </w:p>
        </w:tc>
        <w:tc>
          <w:tcPr>
            <w:tcW w:w="1417" w:type="dxa"/>
            <w:tcBorders>
              <w:top w:val="nil"/>
              <w:left w:val="nil"/>
              <w:bottom w:val="single" w:sz="4" w:space="0" w:color="auto"/>
              <w:right w:val="single" w:sz="4" w:space="0" w:color="auto"/>
            </w:tcBorders>
            <w:vAlign w:val="center"/>
            <w:hideMark/>
          </w:tcPr>
          <w:p w14:paraId="1ABF6EFE"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10</w:t>
            </w:r>
          </w:p>
        </w:tc>
        <w:tc>
          <w:tcPr>
            <w:tcW w:w="1240" w:type="dxa"/>
            <w:tcBorders>
              <w:top w:val="nil"/>
              <w:left w:val="nil"/>
              <w:bottom w:val="single" w:sz="4" w:space="0" w:color="auto"/>
              <w:right w:val="single" w:sz="4" w:space="0" w:color="auto"/>
            </w:tcBorders>
            <w:vAlign w:val="center"/>
            <w:hideMark/>
          </w:tcPr>
          <w:p w14:paraId="3D11D420"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11</w:t>
            </w:r>
          </w:p>
        </w:tc>
        <w:tc>
          <w:tcPr>
            <w:tcW w:w="1454" w:type="dxa"/>
            <w:tcBorders>
              <w:top w:val="nil"/>
              <w:left w:val="nil"/>
              <w:bottom w:val="single" w:sz="4" w:space="0" w:color="auto"/>
              <w:right w:val="single" w:sz="4" w:space="0" w:color="auto"/>
            </w:tcBorders>
            <w:vAlign w:val="center"/>
            <w:hideMark/>
          </w:tcPr>
          <w:p w14:paraId="70039EE6"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5</w:t>
            </w:r>
          </w:p>
        </w:tc>
      </w:tr>
      <w:tr w:rsidR="00DE44A7" w:rsidRPr="00DE44A7" w14:paraId="3457BEC1"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02D223CE"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Year 2 Inflow</w:t>
            </w:r>
          </w:p>
        </w:tc>
        <w:tc>
          <w:tcPr>
            <w:tcW w:w="1417" w:type="dxa"/>
            <w:tcBorders>
              <w:top w:val="nil"/>
              <w:left w:val="nil"/>
              <w:bottom w:val="single" w:sz="4" w:space="0" w:color="auto"/>
              <w:right w:val="single" w:sz="4" w:space="0" w:color="auto"/>
            </w:tcBorders>
            <w:vAlign w:val="center"/>
            <w:hideMark/>
          </w:tcPr>
          <w:p w14:paraId="52B43634"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12</w:t>
            </w:r>
          </w:p>
        </w:tc>
        <w:tc>
          <w:tcPr>
            <w:tcW w:w="1240" w:type="dxa"/>
            <w:tcBorders>
              <w:top w:val="nil"/>
              <w:left w:val="nil"/>
              <w:bottom w:val="single" w:sz="4" w:space="0" w:color="auto"/>
              <w:right w:val="single" w:sz="4" w:space="0" w:color="auto"/>
            </w:tcBorders>
            <w:vAlign w:val="center"/>
            <w:hideMark/>
          </w:tcPr>
          <w:p w14:paraId="669054B6"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11</w:t>
            </w:r>
          </w:p>
        </w:tc>
        <w:tc>
          <w:tcPr>
            <w:tcW w:w="1454" w:type="dxa"/>
            <w:tcBorders>
              <w:top w:val="nil"/>
              <w:left w:val="nil"/>
              <w:bottom w:val="single" w:sz="4" w:space="0" w:color="auto"/>
              <w:right w:val="single" w:sz="4" w:space="0" w:color="auto"/>
            </w:tcBorders>
            <w:vAlign w:val="center"/>
            <w:hideMark/>
          </w:tcPr>
          <w:p w14:paraId="4A0EC992"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10</w:t>
            </w:r>
          </w:p>
        </w:tc>
      </w:tr>
      <w:tr w:rsidR="00DE44A7" w:rsidRPr="00DE44A7" w14:paraId="1171E8B6"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253DCE5A"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Year 3 Inflow</w:t>
            </w:r>
          </w:p>
        </w:tc>
        <w:tc>
          <w:tcPr>
            <w:tcW w:w="1417" w:type="dxa"/>
            <w:tcBorders>
              <w:top w:val="nil"/>
              <w:left w:val="nil"/>
              <w:bottom w:val="single" w:sz="4" w:space="0" w:color="auto"/>
              <w:right w:val="single" w:sz="4" w:space="0" w:color="auto"/>
            </w:tcBorders>
            <w:vAlign w:val="center"/>
            <w:hideMark/>
          </w:tcPr>
          <w:p w14:paraId="4F221D2C"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14</w:t>
            </w:r>
          </w:p>
        </w:tc>
        <w:tc>
          <w:tcPr>
            <w:tcW w:w="1240" w:type="dxa"/>
            <w:tcBorders>
              <w:top w:val="nil"/>
              <w:left w:val="nil"/>
              <w:bottom w:val="single" w:sz="4" w:space="0" w:color="auto"/>
              <w:right w:val="single" w:sz="4" w:space="0" w:color="auto"/>
            </w:tcBorders>
            <w:vAlign w:val="center"/>
            <w:hideMark/>
          </w:tcPr>
          <w:p w14:paraId="6AC60FF3"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11</w:t>
            </w:r>
          </w:p>
        </w:tc>
        <w:tc>
          <w:tcPr>
            <w:tcW w:w="1454" w:type="dxa"/>
            <w:tcBorders>
              <w:top w:val="nil"/>
              <w:left w:val="nil"/>
              <w:bottom w:val="single" w:sz="4" w:space="0" w:color="auto"/>
              <w:right w:val="single" w:sz="4" w:space="0" w:color="auto"/>
            </w:tcBorders>
            <w:vAlign w:val="center"/>
            <w:hideMark/>
          </w:tcPr>
          <w:p w14:paraId="4B5EDDDB"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20</w:t>
            </w:r>
          </w:p>
        </w:tc>
      </w:tr>
      <w:tr w:rsidR="00DE44A7" w:rsidRPr="00DE44A7" w14:paraId="18595A08"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59F952E6"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Year 4 Inflow</w:t>
            </w:r>
          </w:p>
        </w:tc>
        <w:tc>
          <w:tcPr>
            <w:tcW w:w="1417" w:type="dxa"/>
            <w:tcBorders>
              <w:top w:val="nil"/>
              <w:left w:val="nil"/>
              <w:bottom w:val="single" w:sz="4" w:space="0" w:color="auto"/>
              <w:right w:val="single" w:sz="4" w:space="0" w:color="auto"/>
            </w:tcBorders>
            <w:vAlign w:val="center"/>
            <w:hideMark/>
          </w:tcPr>
          <w:p w14:paraId="4CEE3804"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10</w:t>
            </w:r>
          </w:p>
        </w:tc>
        <w:tc>
          <w:tcPr>
            <w:tcW w:w="1240" w:type="dxa"/>
            <w:tcBorders>
              <w:top w:val="nil"/>
              <w:left w:val="nil"/>
              <w:bottom w:val="single" w:sz="4" w:space="0" w:color="auto"/>
              <w:right w:val="single" w:sz="4" w:space="0" w:color="auto"/>
            </w:tcBorders>
            <w:vAlign w:val="center"/>
            <w:hideMark/>
          </w:tcPr>
          <w:p w14:paraId="69E7D1F5"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11</w:t>
            </w:r>
          </w:p>
        </w:tc>
        <w:tc>
          <w:tcPr>
            <w:tcW w:w="1454" w:type="dxa"/>
            <w:tcBorders>
              <w:top w:val="nil"/>
              <w:left w:val="nil"/>
              <w:bottom w:val="single" w:sz="4" w:space="0" w:color="auto"/>
              <w:right w:val="single" w:sz="4" w:space="0" w:color="auto"/>
            </w:tcBorders>
            <w:vAlign w:val="center"/>
            <w:hideMark/>
          </w:tcPr>
          <w:p w14:paraId="7D6EA268"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25</w:t>
            </w:r>
          </w:p>
        </w:tc>
      </w:tr>
      <w:tr w:rsidR="00DE44A7" w:rsidRPr="00DE44A7" w14:paraId="5FE4CC73" w14:textId="77777777" w:rsidTr="00DE44A7">
        <w:trPr>
          <w:trHeight w:val="288"/>
        </w:trPr>
        <w:tc>
          <w:tcPr>
            <w:tcW w:w="2547" w:type="dxa"/>
            <w:tcBorders>
              <w:top w:val="nil"/>
              <w:left w:val="single" w:sz="4" w:space="0" w:color="auto"/>
              <w:bottom w:val="single" w:sz="4" w:space="0" w:color="auto"/>
              <w:right w:val="single" w:sz="4" w:space="0" w:color="auto"/>
            </w:tcBorders>
            <w:vAlign w:val="center"/>
            <w:hideMark/>
          </w:tcPr>
          <w:p w14:paraId="36DFAE43" w14:textId="77777777" w:rsidR="00DE44A7" w:rsidRPr="00DE44A7" w:rsidRDefault="00DE44A7" w:rsidP="00DE44A7">
            <w:pPr>
              <w:spacing w:before="0" w:after="0" w:line="240" w:lineRule="auto"/>
              <w:jc w:val="lef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Year 5 Inflow</w:t>
            </w:r>
          </w:p>
        </w:tc>
        <w:tc>
          <w:tcPr>
            <w:tcW w:w="1417" w:type="dxa"/>
            <w:tcBorders>
              <w:top w:val="nil"/>
              <w:left w:val="nil"/>
              <w:bottom w:val="single" w:sz="4" w:space="0" w:color="auto"/>
              <w:right w:val="single" w:sz="4" w:space="0" w:color="auto"/>
            </w:tcBorders>
            <w:vAlign w:val="center"/>
            <w:hideMark/>
          </w:tcPr>
          <w:p w14:paraId="3E2D1383"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8</w:t>
            </w:r>
          </w:p>
        </w:tc>
        <w:tc>
          <w:tcPr>
            <w:tcW w:w="1240" w:type="dxa"/>
            <w:tcBorders>
              <w:top w:val="nil"/>
              <w:left w:val="nil"/>
              <w:bottom w:val="single" w:sz="4" w:space="0" w:color="auto"/>
              <w:right w:val="single" w:sz="4" w:space="0" w:color="auto"/>
            </w:tcBorders>
            <w:vAlign w:val="center"/>
            <w:hideMark/>
          </w:tcPr>
          <w:p w14:paraId="625253E4"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11</w:t>
            </w:r>
          </w:p>
        </w:tc>
        <w:tc>
          <w:tcPr>
            <w:tcW w:w="1454" w:type="dxa"/>
            <w:tcBorders>
              <w:top w:val="nil"/>
              <w:left w:val="nil"/>
              <w:bottom w:val="single" w:sz="4" w:space="0" w:color="auto"/>
              <w:right w:val="single" w:sz="4" w:space="0" w:color="auto"/>
            </w:tcBorders>
            <w:vAlign w:val="center"/>
            <w:hideMark/>
          </w:tcPr>
          <w:p w14:paraId="0B6940BA" w14:textId="77777777" w:rsidR="00DE44A7" w:rsidRPr="00DE44A7" w:rsidRDefault="00DE44A7" w:rsidP="00DE44A7">
            <w:pPr>
              <w:spacing w:before="0" w:after="0" w:line="240" w:lineRule="auto"/>
              <w:jc w:val="right"/>
              <w:rPr>
                <w:rFonts w:ascii="Calibri" w:eastAsia="Times New Roman" w:hAnsi="Calibri" w:cs="Calibri"/>
                <w:color w:val="000000"/>
                <w:kern w:val="0"/>
                <w:sz w:val="22"/>
                <w:szCs w:val="22"/>
                <w:lang w:eastAsia="en-IN"/>
                <w14:ligatures w14:val="none"/>
              </w:rPr>
            </w:pPr>
            <w:r w:rsidRPr="00DE44A7">
              <w:rPr>
                <w:rFonts w:ascii="Calibri" w:eastAsia="Times New Roman" w:hAnsi="Calibri" w:cs="Calibri"/>
                <w:color w:val="000000"/>
                <w:kern w:val="0"/>
                <w:sz w:val="22"/>
                <w:szCs w:val="22"/>
                <w:lang w:eastAsia="en-IN"/>
                <w14:ligatures w14:val="none"/>
              </w:rPr>
              <w:t>5</w:t>
            </w:r>
          </w:p>
        </w:tc>
      </w:tr>
    </w:tbl>
    <w:p w14:paraId="753517B6" w14:textId="77777777" w:rsidR="00DE44A7" w:rsidRDefault="00DE44A7" w:rsidP="00C7346B">
      <w:pPr>
        <w:rPr>
          <w:rFonts w:cs="Arial"/>
          <w:lang w:val="en-US"/>
        </w:rPr>
      </w:pPr>
    </w:p>
    <w:tbl>
      <w:tblPr>
        <w:tblW w:w="6665" w:type="dxa"/>
        <w:tblLook w:val="04A0" w:firstRow="1" w:lastRow="0" w:firstColumn="1" w:lastColumn="0" w:noHBand="0" w:noVBand="1"/>
      </w:tblPr>
      <w:tblGrid>
        <w:gridCol w:w="2405"/>
        <w:gridCol w:w="1418"/>
        <w:gridCol w:w="1559"/>
        <w:gridCol w:w="1283"/>
      </w:tblGrid>
      <w:tr w:rsidR="00DE44A7" w:rsidRPr="00DE44A7" w14:paraId="36F7F489" w14:textId="77777777" w:rsidTr="00DE44A7">
        <w:trPr>
          <w:trHeight w:val="288"/>
        </w:trPr>
        <w:tc>
          <w:tcPr>
            <w:tcW w:w="6665" w:type="dxa"/>
            <w:gridSpan w:val="4"/>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B4E53F6" w14:textId="77777777" w:rsidR="00DE44A7" w:rsidRPr="00DE44A7" w:rsidRDefault="00DE44A7" w:rsidP="00DE44A7">
            <w:pPr>
              <w:spacing w:before="0" w:after="0" w:line="240" w:lineRule="auto"/>
              <w:jc w:val="center"/>
              <w:rPr>
                <w:rFonts w:eastAsia="Times New Roman" w:cs="Arial"/>
                <w:b/>
                <w:bCs/>
                <w:color w:val="000000"/>
                <w:kern w:val="0"/>
                <w:sz w:val="22"/>
                <w:szCs w:val="22"/>
                <w:lang w:eastAsia="en-IN"/>
                <w14:ligatures w14:val="none"/>
              </w:rPr>
            </w:pPr>
            <w:r w:rsidRPr="00DE44A7">
              <w:rPr>
                <w:rFonts w:eastAsia="Times New Roman" w:cs="Arial"/>
                <w:b/>
                <w:bCs/>
                <w:color w:val="000000"/>
                <w:kern w:val="0"/>
                <w:sz w:val="22"/>
                <w:szCs w:val="22"/>
                <w:lang w:eastAsia="en-IN"/>
                <w14:ligatures w14:val="none"/>
              </w:rPr>
              <w:t>INVESTMENT APPRAISAL RESULTS</w:t>
            </w:r>
          </w:p>
        </w:tc>
      </w:tr>
      <w:tr w:rsidR="00DE44A7" w:rsidRPr="00DE44A7" w14:paraId="12B451B6" w14:textId="77777777" w:rsidTr="00DE44A7">
        <w:trPr>
          <w:trHeight w:val="288"/>
        </w:trPr>
        <w:tc>
          <w:tcPr>
            <w:tcW w:w="2405" w:type="dxa"/>
            <w:tcBorders>
              <w:top w:val="nil"/>
              <w:left w:val="single" w:sz="4" w:space="0" w:color="auto"/>
              <w:bottom w:val="single" w:sz="4" w:space="0" w:color="auto"/>
              <w:right w:val="single" w:sz="4" w:space="0" w:color="auto"/>
            </w:tcBorders>
            <w:vAlign w:val="center"/>
            <w:hideMark/>
          </w:tcPr>
          <w:p w14:paraId="616D0276" w14:textId="77777777" w:rsidR="00DE44A7" w:rsidRPr="00DE44A7" w:rsidRDefault="00DE44A7" w:rsidP="00DE44A7">
            <w:pPr>
              <w:spacing w:before="0" w:after="0" w:line="240" w:lineRule="auto"/>
              <w:jc w:val="center"/>
              <w:rPr>
                <w:rFonts w:eastAsia="Times New Roman" w:cs="Arial"/>
                <w:b/>
                <w:bCs/>
                <w:color w:val="000000"/>
                <w:kern w:val="0"/>
                <w:sz w:val="22"/>
                <w:szCs w:val="22"/>
                <w:lang w:eastAsia="en-IN"/>
                <w14:ligatures w14:val="none"/>
              </w:rPr>
            </w:pPr>
            <w:r w:rsidRPr="00DE44A7">
              <w:rPr>
                <w:rFonts w:eastAsia="Times New Roman" w:cs="Arial"/>
                <w:b/>
                <w:bCs/>
                <w:color w:val="000000"/>
                <w:kern w:val="0"/>
                <w:sz w:val="22"/>
                <w:szCs w:val="22"/>
                <w:lang w:eastAsia="en-IN"/>
                <w14:ligatures w14:val="none"/>
              </w:rPr>
              <w:t>Metric</w:t>
            </w:r>
          </w:p>
        </w:tc>
        <w:tc>
          <w:tcPr>
            <w:tcW w:w="1418" w:type="dxa"/>
            <w:tcBorders>
              <w:top w:val="nil"/>
              <w:left w:val="nil"/>
              <w:bottom w:val="single" w:sz="4" w:space="0" w:color="auto"/>
              <w:right w:val="single" w:sz="4" w:space="0" w:color="auto"/>
            </w:tcBorders>
            <w:vAlign w:val="center"/>
            <w:hideMark/>
          </w:tcPr>
          <w:p w14:paraId="2E0448C7" w14:textId="77777777" w:rsidR="00DE44A7" w:rsidRPr="00DE44A7" w:rsidRDefault="00DE44A7" w:rsidP="00DE44A7">
            <w:pPr>
              <w:spacing w:before="0" w:after="0" w:line="240" w:lineRule="auto"/>
              <w:jc w:val="center"/>
              <w:rPr>
                <w:rFonts w:eastAsia="Times New Roman" w:cs="Arial"/>
                <w:b/>
                <w:bCs/>
                <w:color w:val="000000"/>
                <w:kern w:val="0"/>
                <w:sz w:val="22"/>
                <w:szCs w:val="22"/>
                <w:lang w:eastAsia="en-IN"/>
                <w14:ligatures w14:val="none"/>
              </w:rPr>
            </w:pPr>
            <w:r w:rsidRPr="00DE44A7">
              <w:rPr>
                <w:rFonts w:eastAsia="Times New Roman" w:cs="Arial"/>
                <w:b/>
                <w:bCs/>
                <w:color w:val="000000"/>
                <w:kern w:val="0"/>
                <w:sz w:val="22"/>
                <w:szCs w:val="22"/>
                <w:lang w:eastAsia="en-IN"/>
                <w14:ligatures w14:val="none"/>
              </w:rPr>
              <w:t>Project A</w:t>
            </w:r>
          </w:p>
        </w:tc>
        <w:tc>
          <w:tcPr>
            <w:tcW w:w="1559" w:type="dxa"/>
            <w:tcBorders>
              <w:top w:val="nil"/>
              <w:left w:val="nil"/>
              <w:bottom w:val="single" w:sz="4" w:space="0" w:color="auto"/>
              <w:right w:val="single" w:sz="4" w:space="0" w:color="auto"/>
            </w:tcBorders>
            <w:vAlign w:val="center"/>
            <w:hideMark/>
          </w:tcPr>
          <w:p w14:paraId="7568C0F3" w14:textId="77777777" w:rsidR="00DE44A7" w:rsidRPr="00DE44A7" w:rsidRDefault="00DE44A7" w:rsidP="00DE44A7">
            <w:pPr>
              <w:spacing w:before="0" w:after="0" w:line="240" w:lineRule="auto"/>
              <w:jc w:val="center"/>
              <w:rPr>
                <w:rFonts w:eastAsia="Times New Roman" w:cs="Arial"/>
                <w:b/>
                <w:bCs/>
                <w:color w:val="000000"/>
                <w:kern w:val="0"/>
                <w:sz w:val="22"/>
                <w:szCs w:val="22"/>
                <w:lang w:eastAsia="en-IN"/>
                <w14:ligatures w14:val="none"/>
              </w:rPr>
            </w:pPr>
            <w:r w:rsidRPr="00DE44A7">
              <w:rPr>
                <w:rFonts w:eastAsia="Times New Roman" w:cs="Arial"/>
                <w:b/>
                <w:bCs/>
                <w:color w:val="000000"/>
                <w:kern w:val="0"/>
                <w:sz w:val="22"/>
                <w:szCs w:val="22"/>
                <w:lang w:eastAsia="en-IN"/>
                <w14:ligatures w14:val="none"/>
              </w:rPr>
              <w:t>Project B</w:t>
            </w:r>
          </w:p>
        </w:tc>
        <w:tc>
          <w:tcPr>
            <w:tcW w:w="1283" w:type="dxa"/>
            <w:tcBorders>
              <w:top w:val="nil"/>
              <w:left w:val="nil"/>
              <w:bottom w:val="single" w:sz="4" w:space="0" w:color="auto"/>
              <w:right w:val="single" w:sz="4" w:space="0" w:color="auto"/>
            </w:tcBorders>
            <w:vAlign w:val="center"/>
            <w:hideMark/>
          </w:tcPr>
          <w:p w14:paraId="4EBF0F21" w14:textId="77777777" w:rsidR="00DE44A7" w:rsidRPr="00DE44A7" w:rsidRDefault="00DE44A7" w:rsidP="00DE44A7">
            <w:pPr>
              <w:spacing w:before="0" w:after="0" w:line="240" w:lineRule="auto"/>
              <w:jc w:val="center"/>
              <w:rPr>
                <w:rFonts w:eastAsia="Times New Roman" w:cs="Arial"/>
                <w:b/>
                <w:bCs/>
                <w:color w:val="000000"/>
                <w:kern w:val="0"/>
                <w:sz w:val="22"/>
                <w:szCs w:val="22"/>
                <w:lang w:eastAsia="en-IN"/>
                <w14:ligatures w14:val="none"/>
              </w:rPr>
            </w:pPr>
            <w:r w:rsidRPr="00DE44A7">
              <w:rPr>
                <w:rFonts w:eastAsia="Times New Roman" w:cs="Arial"/>
                <w:b/>
                <w:bCs/>
                <w:color w:val="000000"/>
                <w:kern w:val="0"/>
                <w:sz w:val="22"/>
                <w:szCs w:val="22"/>
                <w:lang w:eastAsia="en-IN"/>
                <w14:ligatures w14:val="none"/>
              </w:rPr>
              <w:t>Project C</w:t>
            </w:r>
          </w:p>
        </w:tc>
      </w:tr>
      <w:tr w:rsidR="00DE44A7" w:rsidRPr="00DE44A7" w14:paraId="591FABC4" w14:textId="77777777" w:rsidTr="00DE44A7">
        <w:trPr>
          <w:trHeight w:val="288"/>
        </w:trPr>
        <w:tc>
          <w:tcPr>
            <w:tcW w:w="2405" w:type="dxa"/>
            <w:tcBorders>
              <w:top w:val="nil"/>
              <w:left w:val="single" w:sz="4" w:space="0" w:color="auto"/>
              <w:bottom w:val="single" w:sz="4" w:space="0" w:color="auto"/>
              <w:right w:val="single" w:sz="4" w:space="0" w:color="auto"/>
            </w:tcBorders>
            <w:vAlign w:val="center"/>
            <w:hideMark/>
          </w:tcPr>
          <w:p w14:paraId="2AAF7C19"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Payback Period</w:t>
            </w:r>
          </w:p>
        </w:tc>
        <w:tc>
          <w:tcPr>
            <w:tcW w:w="1418" w:type="dxa"/>
            <w:tcBorders>
              <w:top w:val="nil"/>
              <w:left w:val="nil"/>
              <w:bottom w:val="single" w:sz="4" w:space="0" w:color="auto"/>
              <w:right w:val="single" w:sz="4" w:space="0" w:color="auto"/>
            </w:tcBorders>
            <w:vAlign w:val="center"/>
            <w:hideMark/>
          </w:tcPr>
          <w:p w14:paraId="2938A1C7"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4.50 Years</w:t>
            </w:r>
          </w:p>
        </w:tc>
        <w:tc>
          <w:tcPr>
            <w:tcW w:w="1559" w:type="dxa"/>
            <w:tcBorders>
              <w:top w:val="nil"/>
              <w:left w:val="nil"/>
              <w:bottom w:val="single" w:sz="4" w:space="0" w:color="auto"/>
              <w:right w:val="single" w:sz="4" w:space="0" w:color="auto"/>
            </w:tcBorders>
            <w:vAlign w:val="center"/>
            <w:hideMark/>
          </w:tcPr>
          <w:p w14:paraId="7CA308D6"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4.55 Years</w:t>
            </w:r>
          </w:p>
        </w:tc>
        <w:tc>
          <w:tcPr>
            <w:tcW w:w="1283" w:type="dxa"/>
            <w:tcBorders>
              <w:top w:val="nil"/>
              <w:left w:val="nil"/>
              <w:bottom w:val="single" w:sz="4" w:space="0" w:color="auto"/>
              <w:right w:val="single" w:sz="4" w:space="0" w:color="auto"/>
            </w:tcBorders>
            <w:vAlign w:val="center"/>
            <w:hideMark/>
          </w:tcPr>
          <w:p w14:paraId="1596E6C4"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4.00 Years</w:t>
            </w:r>
          </w:p>
        </w:tc>
      </w:tr>
      <w:tr w:rsidR="00DE44A7" w:rsidRPr="00DE44A7" w14:paraId="59062C3E" w14:textId="77777777" w:rsidTr="00DE44A7">
        <w:trPr>
          <w:trHeight w:val="288"/>
        </w:trPr>
        <w:tc>
          <w:tcPr>
            <w:tcW w:w="2405" w:type="dxa"/>
            <w:tcBorders>
              <w:top w:val="nil"/>
              <w:left w:val="single" w:sz="4" w:space="0" w:color="auto"/>
              <w:bottom w:val="single" w:sz="4" w:space="0" w:color="auto"/>
              <w:right w:val="single" w:sz="4" w:space="0" w:color="auto"/>
            </w:tcBorders>
            <w:vAlign w:val="center"/>
            <w:hideMark/>
          </w:tcPr>
          <w:p w14:paraId="2F0D71BE"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ARR</w:t>
            </w:r>
          </w:p>
        </w:tc>
        <w:tc>
          <w:tcPr>
            <w:tcW w:w="1418" w:type="dxa"/>
            <w:tcBorders>
              <w:top w:val="nil"/>
              <w:left w:val="nil"/>
              <w:bottom w:val="single" w:sz="4" w:space="0" w:color="auto"/>
              <w:right w:val="single" w:sz="4" w:space="0" w:color="auto"/>
            </w:tcBorders>
            <w:vAlign w:val="center"/>
            <w:hideMark/>
          </w:tcPr>
          <w:p w14:paraId="31D1634F"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1.60%</w:t>
            </w:r>
          </w:p>
        </w:tc>
        <w:tc>
          <w:tcPr>
            <w:tcW w:w="1559" w:type="dxa"/>
            <w:tcBorders>
              <w:top w:val="nil"/>
              <w:left w:val="nil"/>
              <w:bottom w:val="single" w:sz="4" w:space="0" w:color="auto"/>
              <w:right w:val="single" w:sz="4" w:space="0" w:color="auto"/>
            </w:tcBorders>
            <w:vAlign w:val="center"/>
            <w:hideMark/>
          </w:tcPr>
          <w:p w14:paraId="48DBAD02"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2.00%</w:t>
            </w:r>
          </w:p>
        </w:tc>
        <w:tc>
          <w:tcPr>
            <w:tcW w:w="1283" w:type="dxa"/>
            <w:tcBorders>
              <w:top w:val="nil"/>
              <w:left w:val="nil"/>
              <w:bottom w:val="single" w:sz="4" w:space="0" w:color="auto"/>
              <w:right w:val="single" w:sz="4" w:space="0" w:color="auto"/>
            </w:tcBorders>
            <w:vAlign w:val="center"/>
            <w:hideMark/>
          </w:tcPr>
          <w:p w14:paraId="2E89015E"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6.00%</w:t>
            </w:r>
          </w:p>
        </w:tc>
      </w:tr>
      <w:tr w:rsidR="00DE44A7" w:rsidRPr="00DE44A7" w14:paraId="6320D11C" w14:textId="77777777" w:rsidTr="00DE44A7">
        <w:trPr>
          <w:trHeight w:val="288"/>
        </w:trPr>
        <w:tc>
          <w:tcPr>
            <w:tcW w:w="2405" w:type="dxa"/>
            <w:tcBorders>
              <w:top w:val="nil"/>
              <w:left w:val="single" w:sz="4" w:space="0" w:color="auto"/>
              <w:bottom w:val="single" w:sz="4" w:space="0" w:color="auto"/>
              <w:right w:val="single" w:sz="4" w:space="0" w:color="auto"/>
            </w:tcBorders>
            <w:vAlign w:val="center"/>
            <w:hideMark/>
          </w:tcPr>
          <w:p w14:paraId="5CDC3019"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NPV (£m)</w:t>
            </w:r>
          </w:p>
        </w:tc>
        <w:tc>
          <w:tcPr>
            <w:tcW w:w="1418" w:type="dxa"/>
            <w:tcBorders>
              <w:top w:val="nil"/>
              <w:left w:val="nil"/>
              <w:bottom w:val="single" w:sz="4" w:space="0" w:color="auto"/>
              <w:right w:val="single" w:sz="4" w:space="0" w:color="auto"/>
            </w:tcBorders>
            <w:vAlign w:val="center"/>
            <w:hideMark/>
          </w:tcPr>
          <w:p w14:paraId="062E064D"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-2.14</w:t>
            </w:r>
          </w:p>
        </w:tc>
        <w:tc>
          <w:tcPr>
            <w:tcW w:w="1559" w:type="dxa"/>
            <w:tcBorders>
              <w:top w:val="nil"/>
              <w:left w:val="nil"/>
              <w:bottom w:val="single" w:sz="4" w:space="0" w:color="auto"/>
              <w:right w:val="single" w:sz="4" w:space="0" w:color="auto"/>
            </w:tcBorders>
            <w:vAlign w:val="center"/>
            <w:hideMark/>
          </w:tcPr>
          <w:p w14:paraId="2EB47BEF"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-8.3</w:t>
            </w:r>
          </w:p>
        </w:tc>
        <w:tc>
          <w:tcPr>
            <w:tcW w:w="1283" w:type="dxa"/>
            <w:tcBorders>
              <w:top w:val="nil"/>
              <w:left w:val="nil"/>
              <w:bottom w:val="single" w:sz="4" w:space="0" w:color="auto"/>
              <w:right w:val="single" w:sz="4" w:space="0" w:color="auto"/>
            </w:tcBorders>
            <w:vAlign w:val="center"/>
            <w:hideMark/>
          </w:tcPr>
          <w:p w14:paraId="5D034FFF"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1.08</w:t>
            </w:r>
          </w:p>
        </w:tc>
      </w:tr>
      <w:tr w:rsidR="00DE44A7" w:rsidRPr="00DE44A7" w14:paraId="70275FAE" w14:textId="77777777" w:rsidTr="00DE44A7">
        <w:trPr>
          <w:trHeight w:val="288"/>
        </w:trPr>
        <w:tc>
          <w:tcPr>
            <w:tcW w:w="2405" w:type="dxa"/>
            <w:tcBorders>
              <w:top w:val="nil"/>
              <w:left w:val="single" w:sz="4" w:space="0" w:color="auto"/>
              <w:bottom w:val="single" w:sz="4" w:space="0" w:color="auto"/>
              <w:right w:val="single" w:sz="4" w:space="0" w:color="auto"/>
            </w:tcBorders>
            <w:vAlign w:val="center"/>
            <w:hideMark/>
          </w:tcPr>
          <w:p w14:paraId="7D031974"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Profitability Index</w:t>
            </w:r>
          </w:p>
        </w:tc>
        <w:tc>
          <w:tcPr>
            <w:tcW w:w="1418" w:type="dxa"/>
            <w:tcBorders>
              <w:top w:val="nil"/>
              <w:left w:val="nil"/>
              <w:bottom w:val="single" w:sz="4" w:space="0" w:color="auto"/>
              <w:right w:val="single" w:sz="4" w:space="0" w:color="auto"/>
            </w:tcBorders>
            <w:vAlign w:val="center"/>
            <w:hideMark/>
          </w:tcPr>
          <w:p w14:paraId="7AF461C3"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0.96</w:t>
            </w:r>
          </w:p>
        </w:tc>
        <w:tc>
          <w:tcPr>
            <w:tcW w:w="1559" w:type="dxa"/>
            <w:tcBorders>
              <w:top w:val="nil"/>
              <w:left w:val="nil"/>
              <w:bottom w:val="single" w:sz="4" w:space="0" w:color="auto"/>
              <w:right w:val="single" w:sz="4" w:space="0" w:color="auto"/>
            </w:tcBorders>
            <w:vAlign w:val="center"/>
            <w:hideMark/>
          </w:tcPr>
          <w:p w14:paraId="0C5761F7"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0.83</w:t>
            </w:r>
          </w:p>
        </w:tc>
        <w:tc>
          <w:tcPr>
            <w:tcW w:w="1283" w:type="dxa"/>
            <w:tcBorders>
              <w:top w:val="nil"/>
              <w:left w:val="nil"/>
              <w:bottom w:val="single" w:sz="4" w:space="0" w:color="auto"/>
              <w:right w:val="single" w:sz="4" w:space="0" w:color="auto"/>
            </w:tcBorders>
            <w:vAlign w:val="center"/>
            <w:hideMark/>
          </w:tcPr>
          <w:p w14:paraId="0F55F868"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1.02</w:t>
            </w:r>
          </w:p>
        </w:tc>
      </w:tr>
      <w:tr w:rsidR="00DE44A7" w:rsidRPr="00DE44A7" w14:paraId="0D024A47" w14:textId="77777777" w:rsidTr="00DE44A7">
        <w:trPr>
          <w:trHeight w:val="288"/>
        </w:trPr>
        <w:tc>
          <w:tcPr>
            <w:tcW w:w="2405" w:type="dxa"/>
            <w:tcBorders>
              <w:top w:val="nil"/>
              <w:left w:val="single" w:sz="4" w:space="0" w:color="auto"/>
              <w:bottom w:val="single" w:sz="4" w:space="0" w:color="auto"/>
              <w:right w:val="single" w:sz="4" w:space="0" w:color="auto"/>
            </w:tcBorders>
            <w:vAlign w:val="center"/>
            <w:hideMark/>
          </w:tcPr>
          <w:p w14:paraId="318E955E" w14:textId="77777777" w:rsidR="00DE44A7" w:rsidRPr="00DE44A7" w:rsidRDefault="00DE44A7" w:rsidP="00DE44A7">
            <w:pPr>
              <w:spacing w:before="0" w:after="0" w:line="240" w:lineRule="auto"/>
              <w:jc w:val="lef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IRR</w:t>
            </w:r>
          </w:p>
        </w:tc>
        <w:tc>
          <w:tcPr>
            <w:tcW w:w="1418" w:type="dxa"/>
            <w:tcBorders>
              <w:top w:val="nil"/>
              <w:left w:val="nil"/>
              <w:bottom w:val="single" w:sz="4" w:space="0" w:color="auto"/>
              <w:right w:val="single" w:sz="4" w:space="0" w:color="auto"/>
            </w:tcBorders>
            <w:vAlign w:val="center"/>
            <w:hideMark/>
          </w:tcPr>
          <w:p w14:paraId="4604F411"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8.45%</w:t>
            </w:r>
          </w:p>
        </w:tc>
        <w:tc>
          <w:tcPr>
            <w:tcW w:w="1559" w:type="dxa"/>
            <w:tcBorders>
              <w:top w:val="nil"/>
              <w:left w:val="nil"/>
              <w:bottom w:val="single" w:sz="4" w:space="0" w:color="auto"/>
              <w:right w:val="single" w:sz="4" w:space="0" w:color="auto"/>
            </w:tcBorders>
            <w:vAlign w:val="center"/>
            <w:hideMark/>
          </w:tcPr>
          <w:p w14:paraId="4713FD80"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3.42%</w:t>
            </w:r>
          </w:p>
        </w:tc>
        <w:tc>
          <w:tcPr>
            <w:tcW w:w="1283" w:type="dxa"/>
            <w:tcBorders>
              <w:top w:val="nil"/>
              <w:left w:val="nil"/>
              <w:bottom w:val="single" w:sz="4" w:space="0" w:color="auto"/>
              <w:right w:val="single" w:sz="4" w:space="0" w:color="auto"/>
            </w:tcBorders>
            <w:vAlign w:val="center"/>
            <w:hideMark/>
          </w:tcPr>
          <w:p w14:paraId="64F102B8" w14:textId="77777777" w:rsidR="00DE44A7" w:rsidRPr="00DE44A7" w:rsidRDefault="00DE44A7" w:rsidP="00DE44A7">
            <w:pPr>
              <w:spacing w:before="0" w:after="0" w:line="240" w:lineRule="auto"/>
              <w:jc w:val="right"/>
              <w:rPr>
                <w:rFonts w:eastAsia="Times New Roman" w:cs="Arial"/>
                <w:color w:val="000000"/>
                <w:kern w:val="0"/>
                <w:sz w:val="22"/>
                <w:szCs w:val="22"/>
                <w:lang w:eastAsia="en-IN"/>
                <w14:ligatures w14:val="none"/>
              </w:rPr>
            </w:pPr>
            <w:r w:rsidRPr="00DE44A7">
              <w:rPr>
                <w:rFonts w:eastAsia="Times New Roman" w:cs="Arial"/>
                <w:color w:val="000000"/>
                <w:kern w:val="0"/>
                <w:sz w:val="22"/>
                <w:szCs w:val="22"/>
                <w:lang w:eastAsia="en-IN"/>
                <w14:ligatures w14:val="none"/>
              </w:rPr>
              <w:t>10.69%</w:t>
            </w:r>
          </w:p>
        </w:tc>
      </w:tr>
    </w:tbl>
    <w:p w14:paraId="5ABF56D3" w14:textId="77777777" w:rsidR="00DE44A7" w:rsidRDefault="00DE44A7" w:rsidP="00C7346B">
      <w:pPr>
        <w:rPr>
          <w:rFonts w:cs="Arial"/>
          <w:lang w:val="en-US"/>
        </w:rPr>
      </w:pPr>
    </w:p>
    <w:tbl>
      <w:tblPr>
        <w:tblW w:w="9705" w:type="dxa"/>
        <w:tblLook w:val="04A0" w:firstRow="1" w:lastRow="0" w:firstColumn="1" w:lastColumn="0" w:noHBand="0" w:noVBand="1"/>
      </w:tblPr>
      <w:tblGrid>
        <w:gridCol w:w="1838"/>
        <w:gridCol w:w="402"/>
        <w:gridCol w:w="2433"/>
        <w:gridCol w:w="67"/>
        <w:gridCol w:w="3052"/>
        <w:gridCol w:w="1020"/>
        <w:gridCol w:w="893"/>
      </w:tblGrid>
      <w:tr w:rsidR="00DE44A7" w:rsidRPr="00F10590" w14:paraId="7413C584" w14:textId="77777777" w:rsidTr="00F10590">
        <w:trPr>
          <w:gridAfter w:val="1"/>
          <w:wAfter w:w="893" w:type="dxa"/>
          <w:trHeight w:val="312"/>
        </w:trPr>
        <w:tc>
          <w:tcPr>
            <w:tcW w:w="1838"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3300B98E" w14:textId="77777777"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Original Project</w:t>
            </w:r>
          </w:p>
        </w:tc>
        <w:tc>
          <w:tcPr>
            <w:tcW w:w="2835" w:type="dxa"/>
            <w:gridSpan w:val="2"/>
            <w:tcBorders>
              <w:top w:val="single" w:sz="4" w:space="0" w:color="auto"/>
              <w:left w:val="single" w:sz="4" w:space="0" w:color="auto"/>
              <w:bottom w:val="single" w:sz="4" w:space="0" w:color="auto"/>
              <w:right w:val="single" w:sz="4" w:space="0" w:color="auto"/>
            </w:tcBorders>
            <w:shd w:val="clear" w:color="000000" w:fill="000000"/>
            <w:vAlign w:val="center"/>
            <w:hideMark/>
          </w:tcPr>
          <w:p w14:paraId="3DDB591F" w14:textId="77777777"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Project Name (Use in Excel/Report)</w:t>
            </w:r>
          </w:p>
        </w:tc>
        <w:tc>
          <w:tcPr>
            <w:tcW w:w="4139" w:type="dxa"/>
            <w:gridSpan w:val="3"/>
            <w:tcBorders>
              <w:top w:val="single" w:sz="4" w:space="0" w:color="auto"/>
              <w:left w:val="single" w:sz="4" w:space="0" w:color="auto"/>
              <w:bottom w:val="single" w:sz="4" w:space="0" w:color="auto"/>
              <w:right w:val="single" w:sz="4" w:space="0" w:color="auto"/>
            </w:tcBorders>
            <w:shd w:val="clear" w:color="000000" w:fill="000000"/>
            <w:vAlign w:val="center"/>
            <w:hideMark/>
          </w:tcPr>
          <w:p w14:paraId="22F6E09E" w14:textId="77777777"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Description</w:t>
            </w:r>
          </w:p>
        </w:tc>
      </w:tr>
      <w:tr w:rsidR="00DE44A7" w:rsidRPr="00F10590" w14:paraId="7E030E72" w14:textId="77777777" w:rsidTr="00F10590">
        <w:trPr>
          <w:gridAfter w:val="1"/>
          <w:wAfter w:w="893" w:type="dxa"/>
          <w:trHeight w:val="624"/>
        </w:trPr>
        <w:tc>
          <w:tcPr>
            <w:tcW w:w="183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358D5B08"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Project A</w:t>
            </w:r>
          </w:p>
        </w:tc>
        <w:tc>
          <w:tcPr>
            <w:tcW w:w="2835"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0AEA01F9" w14:textId="77777777" w:rsidR="00DE44A7" w:rsidRPr="00F10590" w:rsidRDefault="00DE44A7" w:rsidP="00DE44A7">
            <w:pPr>
              <w:spacing w:before="0" w:after="0" w:line="240" w:lineRule="auto"/>
              <w:jc w:val="left"/>
              <w:rPr>
                <w:rFonts w:eastAsia="Times New Roman" w:cs="Arial"/>
                <w:b/>
                <w:bCs/>
                <w:color w:val="000000"/>
                <w:kern w:val="0"/>
                <w:lang w:eastAsia="en-IN"/>
                <w14:ligatures w14:val="none"/>
              </w:rPr>
            </w:pPr>
            <w:r w:rsidRPr="00F10590">
              <w:rPr>
                <w:rFonts w:eastAsia="Times New Roman" w:cs="Arial"/>
                <w:b/>
                <w:bCs/>
                <w:color w:val="000000"/>
                <w:kern w:val="0"/>
                <w:lang w:eastAsia="en-IN"/>
                <w14:ligatures w14:val="none"/>
              </w:rPr>
              <w:t>Battery Manufacturing Expansion Project</w:t>
            </w:r>
          </w:p>
        </w:tc>
        <w:tc>
          <w:tcPr>
            <w:tcW w:w="4139" w:type="dxa"/>
            <w:gridSpan w:val="3"/>
            <w:tcBorders>
              <w:top w:val="single" w:sz="4" w:space="0" w:color="auto"/>
              <w:left w:val="single" w:sz="4" w:space="0" w:color="auto"/>
              <w:bottom w:val="single" w:sz="4" w:space="0" w:color="auto"/>
              <w:right w:val="single" w:sz="4" w:space="0" w:color="auto"/>
            </w:tcBorders>
            <w:shd w:val="clear" w:color="D9D9D9" w:fill="D9D9D9"/>
            <w:vAlign w:val="center"/>
            <w:hideMark/>
          </w:tcPr>
          <w:p w14:paraId="4E5A6C8C"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Expansion of battery production capacity for EV demand</w:t>
            </w:r>
          </w:p>
        </w:tc>
      </w:tr>
      <w:tr w:rsidR="00DE44A7" w:rsidRPr="00F10590" w14:paraId="2D93B8C4" w14:textId="77777777" w:rsidTr="00F10590">
        <w:trPr>
          <w:gridAfter w:val="1"/>
          <w:wAfter w:w="893" w:type="dxa"/>
          <w:trHeight w:val="312"/>
        </w:trPr>
        <w:tc>
          <w:tcPr>
            <w:tcW w:w="1838" w:type="dxa"/>
            <w:tcBorders>
              <w:top w:val="single" w:sz="4" w:space="0" w:color="auto"/>
              <w:left w:val="single" w:sz="4" w:space="0" w:color="auto"/>
              <w:bottom w:val="single" w:sz="4" w:space="0" w:color="auto"/>
              <w:right w:val="single" w:sz="4" w:space="0" w:color="auto"/>
            </w:tcBorders>
            <w:vAlign w:val="center"/>
            <w:hideMark/>
          </w:tcPr>
          <w:p w14:paraId="564E3894"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Project B</w:t>
            </w:r>
          </w:p>
        </w:tc>
        <w:tc>
          <w:tcPr>
            <w:tcW w:w="2835" w:type="dxa"/>
            <w:gridSpan w:val="2"/>
            <w:tcBorders>
              <w:top w:val="single" w:sz="4" w:space="0" w:color="auto"/>
              <w:left w:val="single" w:sz="4" w:space="0" w:color="auto"/>
              <w:bottom w:val="single" w:sz="4" w:space="0" w:color="auto"/>
              <w:right w:val="single" w:sz="4" w:space="0" w:color="auto"/>
            </w:tcBorders>
            <w:vAlign w:val="center"/>
            <w:hideMark/>
          </w:tcPr>
          <w:p w14:paraId="11DD67B3" w14:textId="77777777" w:rsidR="00DE44A7" w:rsidRPr="00F10590" w:rsidRDefault="00DE44A7" w:rsidP="00DE44A7">
            <w:pPr>
              <w:spacing w:before="0" w:after="0" w:line="240" w:lineRule="auto"/>
              <w:jc w:val="left"/>
              <w:rPr>
                <w:rFonts w:eastAsia="Times New Roman" w:cs="Arial"/>
                <w:b/>
                <w:bCs/>
                <w:color w:val="000000"/>
                <w:kern w:val="0"/>
                <w:lang w:eastAsia="en-IN"/>
                <w14:ligatures w14:val="none"/>
              </w:rPr>
            </w:pPr>
            <w:r w:rsidRPr="00F10590">
              <w:rPr>
                <w:rFonts w:eastAsia="Times New Roman" w:cs="Arial"/>
                <w:b/>
                <w:bCs/>
                <w:color w:val="000000"/>
                <w:kern w:val="0"/>
                <w:lang w:eastAsia="en-IN"/>
                <w14:ligatures w14:val="none"/>
              </w:rPr>
              <w:t>Charging Infrastructure Development Project</w:t>
            </w:r>
          </w:p>
        </w:tc>
        <w:tc>
          <w:tcPr>
            <w:tcW w:w="4139" w:type="dxa"/>
            <w:gridSpan w:val="3"/>
            <w:tcBorders>
              <w:top w:val="single" w:sz="4" w:space="0" w:color="auto"/>
              <w:left w:val="single" w:sz="4" w:space="0" w:color="auto"/>
              <w:bottom w:val="single" w:sz="4" w:space="0" w:color="auto"/>
              <w:right w:val="single" w:sz="4" w:space="0" w:color="auto"/>
            </w:tcBorders>
            <w:vAlign w:val="center"/>
            <w:hideMark/>
          </w:tcPr>
          <w:p w14:paraId="75E00103"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Investment in charging network / partnerships</w:t>
            </w:r>
          </w:p>
        </w:tc>
      </w:tr>
      <w:tr w:rsidR="00DE44A7" w:rsidRPr="00F10590" w14:paraId="67B3AF44" w14:textId="77777777" w:rsidTr="00F10590">
        <w:trPr>
          <w:gridAfter w:val="1"/>
          <w:wAfter w:w="893" w:type="dxa"/>
          <w:trHeight w:val="312"/>
        </w:trPr>
        <w:tc>
          <w:tcPr>
            <w:tcW w:w="1838"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1724079B"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Project C</w:t>
            </w:r>
          </w:p>
        </w:tc>
        <w:tc>
          <w:tcPr>
            <w:tcW w:w="2835"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5C4474F6" w14:textId="77777777" w:rsidR="00DE44A7" w:rsidRPr="00F10590" w:rsidRDefault="00DE44A7" w:rsidP="00DE44A7">
            <w:pPr>
              <w:spacing w:before="0" w:after="0" w:line="240" w:lineRule="auto"/>
              <w:jc w:val="left"/>
              <w:rPr>
                <w:rFonts w:eastAsia="Times New Roman" w:cs="Arial"/>
                <w:b/>
                <w:bCs/>
                <w:color w:val="000000"/>
                <w:kern w:val="0"/>
                <w:lang w:eastAsia="en-IN"/>
                <w14:ligatures w14:val="none"/>
              </w:rPr>
            </w:pPr>
            <w:r w:rsidRPr="00F10590">
              <w:rPr>
                <w:rFonts w:eastAsia="Times New Roman" w:cs="Arial"/>
                <w:b/>
                <w:bCs/>
                <w:color w:val="000000"/>
                <w:kern w:val="0"/>
                <w:lang w:eastAsia="en-IN"/>
                <w14:ligatures w14:val="none"/>
              </w:rPr>
              <w:t>EV Research &amp; Innovation Project</w:t>
            </w:r>
          </w:p>
        </w:tc>
        <w:tc>
          <w:tcPr>
            <w:tcW w:w="4139" w:type="dxa"/>
            <w:gridSpan w:val="3"/>
            <w:tcBorders>
              <w:top w:val="single" w:sz="4" w:space="0" w:color="auto"/>
              <w:left w:val="single" w:sz="4" w:space="0" w:color="auto"/>
              <w:bottom w:val="single" w:sz="4" w:space="0" w:color="auto"/>
              <w:right w:val="single" w:sz="4" w:space="0" w:color="auto"/>
            </w:tcBorders>
            <w:shd w:val="clear" w:color="D9D9D9" w:fill="D9D9D9"/>
            <w:vAlign w:val="center"/>
            <w:hideMark/>
          </w:tcPr>
          <w:p w14:paraId="4947EF49"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Advanced EV R&amp;D / next-gen battery innovation</w:t>
            </w:r>
          </w:p>
        </w:tc>
      </w:tr>
      <w:tr w:rsidR="00DE44A7" w:rsidRPr="00F10590" w14:paraId="68E21FE7" w14:textId="77777777" w:rsidTr="00F10590">
        <w:trPr>
          <w:trHeight w:val="312"/>
        </w:trPr>
        <w:tc>
          <w:tcPr>
            <w:tcW w:w="2240" w:type="dxa"/>
            <w:gridSpan w:val="2"/>
            <w:tcBorders>
              <w:top w:val="single" w:sz="4" w:space="0" w:color="auto"/>
              <w:left w:val="single" w:sz="4" w:space="0" w:color="auto"/>
              <w:bottom w:val="single" w:sz="4" w:space="0" w:color="auto"/>
              <w:right w:val="single" w:sz="4" w:space="0" w:color="auto"/>
            </w:tcBorders>
            <w:shd w:val="clear" w:color="000000" w:fill="000000"/>
            <w:vAlign w:val="center"/>
            <w:hideMark/>
          </w:tcPr>
          <w:p w14:paraId="40EE954E" w14:textId="3387D27E"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Project Combination</w:t>
            </w:r>
          </w:p>
        </w:tc>
        <w:tc>
          <w:tcPr>
            <w:tcW w:w="2500" w:type="dxa"/>
            <w:gridSpan w:val="2"/>
            <w:tcBorders>
              <w:top w:val="single" w:sz="4" w:space="0" w:color="auto"/>
              <w:left w:val="single" w:sz="4" w:space="0" w:color="auto"/>
              <w:bottom w:val="single" w:sz="4" w:space="0" w:color="auto"/>
              <w:right w:val="single" w:sz="4" w:space="0" w:color="auto"/>
            </w:tcBorders>
            <w:shd w:val="clear" w:color="000000" w:fill="000000"/>
            <w:vAlign w:val="center"/>
            <w:hideMark/>
          </w:tcPr>
          <w:p w14:paraId="1BE2A0FD" w14:textId="77777777"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Total Investment (£m)</w:t>
            </w:r>
          </w:p>
        </w:tc>
        <w:tc>
          <w:tcPr>
            <w:tcW w:w="3052"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6046C09B" w14:textId="77777777"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Combined NPV (£m)</w:t>
            </w:r>
          </w:p>
        </w:tc>
        <w:tc>
          <w:tcPr>
            <w:tcW w:w="1913" w:type="dxa"/>
            <w:gridSpan w:val="2"/>
            <w:tcBorders>
              <w:top w:val="single" w:sz="4" w:space="0" w:color="auto"/>
              <w:left w:val="single" w:sz="4" w:space="0" w:color="auto"/>
              <w:bottom w:val="single" w:sz="4" w:space="0" w:color="auto"/>
              <w:right w:val="single" w:sz="4" w:space="0" w:color="auto"/>
            </w:tcBorders>
            <w:shd w:val="clear" w:color="000000" w:fill="000000"/>
            <w:vAlign w:val="center"/>
            <w:hideMark/>
          </w:tcPr>
          <w:p w14:paraId="1557EB14" w14:textId="77777777" w:rsidR="00DE44A7" w:rsidRPr="00F10590" w:rsidRDefault="00DE44A7" w:rsidP="00DE44A7">
            <w:pPr>
              <w:spacing w:before="0" w:after="0" w:line="240" w:lineRule="auto"/>
              <w:jc w:val="center"/>
              <w:rPr>
                <w:rFonts w:eastAsia="Times New Roman" w:cs="Arial"/>
                <w:b/>
                <w:bCs/>
                <w:color w:val="FFFFFF"/>
                <w:kern w:val="0"/>
                <w:lang w:eastAsia="en-IN"/>
                <w14:ligatures w14:val="none"/>
              </w:rPr>
            </w:pPr>
            <w:r w:rsidRPr="00F10590">
              <w:rPr>
                <w:rFonts w:eastAsia="Times New Roman" w:cs="Arial"/>
                <w:b/>
                <w:bCs/>
                <w:color w:val="FFFFFF"/>
                <w:kern w:val="0"/>
                <w:lang w:eastAsia="en-IN"/>
                <w14:ligatures w14:val="none"/>
              </w:rPr>
              <w:t>Rank</w:t>
            </w:r>
          </w:p>
        </w:tc>
      </w:tr>
      <w:tr w:rsidR="00DE44A7" w:rsidRPr="00F10590" w14:paraId="3C542F2B" w14:textId="77777777" w:rsidTr="00F10590">
        <w:trPr>
          <w:trHeight w:val="312"/>
        </w:trPr>
        <w:tc>
          <w:tcPr>
            <w:tcW w:w="2240"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45EEBF41"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A + C</w:t>
            </w:r>
          </w:p>
        </w:tc>
        <w:tc>
          <w:tcPr>
            <w:tcW w:w="2500"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732BEE63"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100</w:t>
            </w:r>
          </w:p>
        </w:tc>
        <w:tc>
          <w:tcPr>
            <w:tcW w:w="3052"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77653AA2"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-1.06</w:t>
            </w:r>
          </w:p>
        </w:tc>
        <w:tc>
          <w:tcPr>
            <w:tcW w:w="1913"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01873DA2"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1</w:t>
            </w:r>
          </w:p>
        </w:tc>
      </w:tr>
      <w:tr w:rsidR="00DE44A7" w:rsidRPr="00F10590" w14:paraId="00039404" w14:textId="77777777" w:rsidTr="00F10590">
        <w:trPr>
          <w:trHeight w:val="312"/>
        </w:trPr>
        <w:tc>
          <w:tcPr>
            <w:tcW w:w="2240" w:type="dxa"/>
            <w:gridSpan w:val="2"/>
            <w:tcBorders>
              <w:top w:val="single" w:sz="4" w:space="0" w:color="auto"/>
              <w:left w:val="single" w:sz="4" w:space="0" w:color="auto"/>
              <w:bottom w:val="single" w:sz="4" w:space="0" w:color="auto"/>
              <w:right w:val="single" w:sz="4" w:space="0" w:color="auto"/>
            </w:tcBorders>
            <w:vAlign w:val="center"/>
            <w:hideMark/>
          </w:tcPr>
          <w:p w14:paraId="04A24AC2"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B + C</w:t>
            </w:r>
          </w:p>
        </w:tc>
        <w:tc>
          <w:tcPr>
            <w:tcW w:w="2500" w:type="dxa"/>
            <w:gridSpan w:val="2"/>
            <w:tcBorders>
              <w:top w:val="single" w:sz="4" w:space="0" w:color="auto"/>
              <w:left w:val="single" w:sz="4" w:space="0" w:color="auto"/>
              <w:bottom w:val="single" w:sz="4" w:space="0" w:color="auto"/>
              <w:right w:val="single" w:sz="4" w:space="0" w:color="auto"/>
            </w:tcBorders>
            <w:vAlign w:val="center"/>
            <w:hideMark/>
          </w:tcPr>
          <w:p w14:paraId="611AB404"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100</w:t>
            </w:r>
          </w:p>
        </w:tc>
        <w:tc>
          <w:tcPr>
            <w:tcW w:w="3052" w:type="dxa"/>
            <w:tcBorders>
              <w:top w:val="single" w:sz="4" w:space="0" w:color="auto"/>
              <w:left w:val="single" w:sz="4" w:space="0" w:color="auto"/>
              <w:bottom w:val="single" w:sz="4" w:space="0" w:color="auto"/>
              <w:right w:val="single" w:sz="4" w:space="0" w:color="auto"/>
            </w:tcBorders>
            <w:vAlign w:val="center"/>
            <w:hideMark/>
          </w:tcPr>
          <w:p w14:paraId="5878D87D"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-7.22</w:t>
            </w:r>
          </w:p>
        </w:tc>
        <w:tc>
          <w:tcPr>
            <w:tcW w:w="1913" w:type="dxa"/>
            <w:gridSpan w:val="2"/>
            <w:tcBorders>
              <w:top w:val="single" w:sz="4" w:space="0" w:color="auto"/>
              <w:left w:val="single" w:sz="4" w:space="0" w:color="auto"/>
              <w:bottom w:val="single" w:sz="4" w:space="0" w:color="auto"/>
              <w:right w:val="single" w:sz="4" w:space="0" w:color="auto"/>
            </w:tcBorders>
            <w:vAlign w:val="center"/>
            <w:hideMark/>
          </w:tcPr>
          <w:p w14:paraId="2F1627DA"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2</w:t>
            </w:r>
          </w:p>
        </w:tc>
      </w:tr>
      <w:tr w:rsidR="00DE44A7" w:rsidRPr="00F10590" w14:paraId="39886AF6" w14:textId="77777777" w:rsidTr="00F10590">
        <w:trPr>
          <w:trHeight w:val="312"/>
        </w:trPr>
        <w:tc>
          <w:tcPr>
            <w:tcW w:w="2240"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24520B50" w14:textId="77777777" w:rsidR="00DE44A7" w:rsidRPr="00F10590" w:rsidRDefault="00DE44A7" w:rsidP="00DE44A7">
            <w:pPr>
              <w:spacing w:before="0" w:after="0" w:line="240" w:lineRule="auto"/>
              <w:jc w:val="lef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A + B</w:t>
            </w:r>
          </w:p>
        </w:tc>
        <w:tc>
          <w:tcPr>
            <w:tcW w:w="2500"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7A88B5D5"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100</w:t>
            </w:r>
          </w:p>
        </w:tc>
        <w:tc>
          <w:tcPr>
            <w:tcW w:w="3052" w:type="dxa"/>
            <w:tcBorders>
              <w:top w:val="single" w:sz="4" w:space="0" w:color="auto"/>
              <w:left w:val="single" w:sz="4" w:space="0" w:color="auto"/>
              <w:bottom w:val="single" w:sz="4" w:space="0" w:color="auto"/>
              <w:right w:val="single" w:sz="4" w:space="0" w:color="auto"/>
            </w:tcBorders>
            <w:shd w:val="clear" w:color="D9D9D9" w:fill="D9D9D9"/>
            <w:vAlign w:val="center"/>
            <w:hideMark/>
          </w:tcPr>
          <w:p w14:paraId="69B495C3"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-10.44</w:t>
            </w:r>
          </w:p>
        </w:tc>
        <w:tc>
          <w:tcPr>
            <w:tcW w:w="1913" w:type="dxa"/>
            <w:gridSpan w:val="2"/>
            <w:tcBorders>
              <w:top w:val="single" w:sz="4" w:space="0" w:color="auto"/>
              <w:left w:val="single" w:sz="4" w:space="0" w:color="auto"/>
              <w:bottom w:val="single" w:sz="4" w:space="0" w:color="auto"/>
              <w:right w:val="single" w:sz="4" w:space="0" w:color="auto"/>
            </w:tcBorders>
            <w:shd w:val="clear" w:color="D9D9D9" w:fill="D9D9D9"/>
            <w:vAlign w:val="center"/>
            <w:hideMark/>
          </w:tcPr>
          <w:p w14:paraId="4FE2594B" w14:textId="77777777" w:rsidR="00DE44A7" w:rsidRPr="00F10590" w:rsidRDefault="00DE44A7" w:rsidP="00DE44A7">
            <w:pPr>
              <w:spacing w:before="0" w:after="0" w:line="240" w:lineRule="auto"/>
              <w:jc w:val="right"/>
              <w:rPr>
                <w:rFonts w:eastAsia="Times New Roman" w:cs="Arial"/>
                <w:color w:val="000000"/>
                <w:kern w:val="0"/>
                <w:lang w:eastAsia="en-IN"/>
                <w14:ligatures w14:val="none"/>
              </w:rPr>
            </w:pPr>
            <w:r w:rsidRPr="00F10590">
              <w:rPr>
                <w:rFonts w:eastAsia="Times New Roman" w:cs="Arial"/>
                <w:color w:val="000000"/>
                <w:kern w:val="0"/>
                <w:lang w:eastAsia="en-IN"/>
                <w14:ligatures w14:val="none"/>
              </w:rPr>
              <w:t>3</w:t>
            </w:r>
          </w:p>
        </w:tc>
      </w:tr>
    </w:tbl>
    <w:p w14:paraId="1CE84885" w14:textId="77777777" w:rsidR="00DE44A7" w:rsidRPr="00DE44A7" w:rsidRDefault="00DE44A7" w:rsidP="00C7346B">
      <w:pPr>
        <w:rPr>
          <w:lang w:val="en-US"/>
        </w:rPr>
      </w:pPr>
    </w:p>
    <w:sectPr w:rsidR="00DE44A7" w:rsidRPr="00DE44A7" w:rsidSect="00AE6A16">
      <w:footerReference w:type="default" r:id="rId14"/>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12F14" w14:textId="77777777" w:rsidR="00F76E6A" w:rsidRDefault="00F76E6A" w:rsidP="00AE6A16">
      <w:pPr>
        <w:spacing w:before="0" w:after="0" w:line="240" w:lineRule="auto"/>
      </w:pPr>
      <w:r>
        <w:separator/>
      </w:r>
    </w:p>
  </w:endnote>
  <w:endnote w:type="continuationSeparator" w:id="0">
    <w:p w14:paraId="4BC5E81C" w14:textId="77777777" w:rsidR="00F76E6A" w:rsidRDefault="00F76E6A" w:rsidP="00AE6A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8809397"/>
      <w:docPartObj>
        <w:docPartGallery w:val="Page Numbers (Bottom of Page)"/>
        <w:docPartUnique/>
      </w:docPartObj>
    </w:sdtPr>
    <w:sdtEndPr>
      <w:rPr>
        <w:noProof/>
      </w:rPr>
    </w:sdtEndPr>
    <w:sdtContent>
      <w:p w14:paraId="5028578B" w14:textId="1A97DFB2" w:rsidR="00BD4F25" w:rsidRDefault="00BD4F25">
        <w:pPr>
          <w:pStyle w:val="Footer"/>
        </w:pPr>
        <w:r>
          <w:fldChar w:fldCharType="begin"/>
        </w:r>
        <w:r>
          <w:instrText xml:space="preserve"> PAGE   \* MERGEFORMAT </w:instrText>
        </w:r>
        <w:r>
          <w:fldChar w:fldCharType="separate"/>
        </w:r>
        <w:r>
          <w:rPr>
            <w:noProof/>
          </w:rPr>
          <w:t>2</w:t>
        </w:r>
        <w:r>
          <w:rPr>
            <w:noProof/>
          </w:rPr>
          <w:fldChar w:fldCharType="end"/>
        </w:r>
      </w:p>
    </w:sdtContent>
  </w:sdt>
  <w:p w14:paraId="15F36860" w14:textId="77777777" w:rsidR="00AE6A16" w:rsidRDefault="00AE6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265FD" w14:textId="77777777" w:rsidR="00F76E6A" w:rsidRDefault="00F76E6A" w:rsidP="00AE6A16">
      <w:pPr>
        <w:spacing w:before="0" w:after="0" w:line="240" w:lineRule="auto"/>
      </w:pPr>
      <w:r>
        <w:separator/>
      </w:r>
    </w:p>
  </w:footnote>
  <w:footnote w:type="continuationSeparator" w:id="0">
    <w:p w14:paraId="25AF485B" w14:textId="77777777" w:rsidR="00F76E6A" w:rsidRDefault="00F76E6A" w:rsidP="00AE6A1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Q1MDIzM7QwMjA0MTBR0lEKTi0uzszPAykwqgUAoo0xZSwAAAA="/>
  </w:docVars>
  <w:rsids>
    <w:rsidRoot w:val="00AE6A16"/>
    <w:rsid w:val="00000C2A"/>
    <w:rsid w:val="00003657"/>
    <w:rsid w:val="000145E9"/>
    <w:rsid w:val="00035404"/>
    <w:rsid w:val="00046D89"/>
    <w:rsid w:val="00056F0B"/>
    <w:rsid w:val="000630E5"/>
    <w:rsid w:val="0008237F"/>
    <w:rsid w:val="000A2B5F"/>
    <w:rsid w:val="000B19AD"/>
    <w:rsid w:val="000B56A3"/>
    <w:rsid w:val="000E5E61"/>
    <w:rsid w:val="0010446F"/>
    <w:rsid w:val="001333BC"/>
    <w:rsid w:val="00152566"/>
    <w:rsid w:val="00161177"/>
    <w:rsid w:val="00162AFF"/>
    <w:rsid w:val="00165470"/>
    <w:rsid w:val="00180094"/>
    <w:rsid w:val="001839BD"/>
    <w:rsid w:val="00187894"/>
    <w:rsid w:val="001A3277"/>
    <w:rsid w:val="001F5E51"/>
    <w:rsid w:val="00202D64"/>
    <w:rsid w:val="00213875"/>
    <w:rsid w:val="00237F11"/>
    <w:rsid w:val="00241F26"/>
    <w:rsid w:val="00245AE3"/>
    <w:rsid w:val="002541D0"/>
    <w:rsid w:val="00285173"/>
    <w:rsid w:val="002C4A1D"/>
    <w:rsid w:val="002E0CF8"/>
    <w:rsid w:val="002E5C8B"/>
    <w:rsid w:val="002F188B"/>
    <w:rsid w:val="00300B26"/>
    <w:rsid w:val="00334BB7"/>
    <w:rsid w:val="00357DF9"/>
    <w:rsid w:val="00361503"/>
    <w:rsid w:val="00366A48"/>
    <w:rsid w:val="00372B78"/>
    <w:rsid w:val="003932A9"/>
    <w:rsid w:val="003973FF"/>
    <w:rsid w:val="004005C9"/>
    <w:rsid w:val="00415163"/>
    <w:rsid w:val="0043059F"/>
    <w:rsid w:val="0047260E"/>
    <w:rsid w:val="00473B85"/>
    <w:rsid w:val="00477EDD"/>
    <w:rsid w:val="00490405"/>
    <w:rsid w:val="00490A87"/>
    <w:rsid w:val="004A5CE5"/>
    <w:rsid w:val="004B57B7"/>
    <w:rsid w:val="004E3B43"/>
    <w:rsid w:val="004E7941"/>
    <w:rsid w:val="004F4BC1"/>
    <w:rsid w:val="004F65F2"/>
    <w:rsid w:val="0053551F"/>
    <w:rsid w:val="0056029C"/>
    <w:rsid w:val="0056447E"/>
    <w:rsid w:val="005A5F47"/>
    <w:rsid w:val="005A6E62"/>
    <w:rsid w:val="005B57D6"/>
    <w:rsid w:val="005E25F8"/>
    <w:rsid w:val="006012C8"/>
    <w:rsid w:val="00614463"/>
    <w:rsid w:val="00621786"/>
    <w:rsid w:val="00624880"/>
    <w:rsid w:val="00634836"/>
    <w:rsid w:val="00642D6E"/>
    <w:rsid w:val="006460C8"/>
    <w:rsid w:val="00663BCC"/>
    <w:rsid w:val="00695624"/>
    <w:rsid w:val="00697B0B"/>
    <w:rsid w:val="006A7944"/>
    <w:rsid w:val="006C0793"/>
    <w:rsid w:val="006C2ED4"/>
    <w:rsid w:val="006D2A9A"/>
    <w:rsid w:val="006F5EFA"/>
    <w:rsid w:val="0070137F"/>
    <w:rsid w:val="00731434"/>
    <w:rsid w:val="007A10F6"/>
    <w:rsid w:val="007A54D8"/>
    <w:rsid w:val="007C3064"/>
    <w:rsid w:val="007C6B7D"/>
    <w:rsid w:val="007D41D7"/>
    <w:rsid w:val="007F2E9F"/>
    <w:rsid w:val="008352ED"/>
    <w:rsid w:val="008547E6"/>
    <w:rsid w:val="00862D03"/>
    <w:rsid w:val="008817D9"/>
    <w:rsid w:val="00883E8E"/>
    <w:rsid w:val="008A7102"/>
    <w:rsid w:val="008B113C"/>
    <w:rsid w:val="008B7D7F"/>
    <w:rsid w:val="008B7F38"/>
    <w:rsid w:val="008D50A5"/>
    <w:rsid w:val="008E745D"/>
    <w:rsid w:val="00920B5A"/>
    <w:rsid w:val="009216A9"/>
    <w:rsid w:val="00944F6A"/>
    <w:rsid w:val="00946AAB"/>
    <w:rsid w:val="00984A17"/>
    <w:rsid w:val="009875D3"/>
    <w:rsid w:val="009A071F"/>
    <w:rsid w:val="009F2CB5"/>
    <w:rsid w:val="00A30EFC"/>
    <w:rsid w:val="00A432E1"/>
    <w:rsid w:val="00A612E7"/>
    <w:rsid w:val="00A6321A"/>
    <w:rsid w:val="00A67870"/>
    <w:rsid w:val="00AB4DB6"/>
    <w:rsid w:val="00AB6DC1"/>
    <w:rsid w:val="00AC7972"/>
    <w:rsid w:val="00AD5385"/>
    <w:rsid w:val="00AE6A16"/>
    <w:rsid w:val="00AF3EDC"/>
    <w:rsid w:val="00AF4715"/>
    <w:rsid w:val="00B00F2B"/>
    <w:rsid w:val="00B33DEF"/>
    <w:rsid w:val="00B44248"/>
    <w:rsid w:val="00B55213"/>
    <w:rsid w:val="00B5548F"/>
    <w:rsid w:val="00B6342D"/>
    <w:rsid w:val="00B9504E"/>
    <w:rsid w:val="00BA3CF3"/>
    <w:rsid w:val="00BA7686"/>
    <w:rsid w:val="00BD0ABF"/>
    <w:rsid w:val="00BD4F25"/>
    <w:rsid w:val="00BE6090"/>
    <w:rsid w:val="00C16A1F"/>
    <w:rsid w:val="00C238B6"/>
    <w:rsid w:val="00C279B9"/>
    <w:rsid w:val="00C33A60"/>
    <w:rsid w:val="00C41740"/>
    <w:rsid w:val="00C428DB"/>
    <w:rsid w:val="00C43955"/>
    <w:rsid w:val="00C46648"/>
    <w:rsid w:val="00C54EC3"/>
    <w:rsid w:val="00C556DF"/>
    <w:rsid w:val="00C7346B"/>
    <w:rsid w:val="00C763C5"/>
    <w:rsid w:val="00C84E75"/>
    <w:rsid w:val="00C86886"/>
    <w:rsid w:val="00CB47D5"/>
    <w:rsid w:val="00D13A97"/>
    <w:rsid w:val="00D22207"/>
    <w:rsid w:val="00D47D33"/>
    <w:rsid w:val="00D7663E"/>
    <w:rsid w:val="00D83083"/>
    <w:rsid w:val="00D976D8"/>
    <w:rsid w:val="00DA7B65"/>
    <w:rsid w:val="00DB06BD"/>
    <w:rsid w:val="00DB553A"/>
    <w:rsid w:val="00DB7FAB"/>
    <w:rsid w:val="00DE44A7"/>
    <w:rsid w:val="00E06152"/>
    <w:rsid w:val="00E076AB"/>
    <w:rsid w:val="00E11C77"/>
    <w:rsid w:val="00E45D31"/>
    <w:rsid w:val="00E5406D"/>
    <w:rsid w:val="00E74CBE"/>
    <w:rsid w:val="00EB1164"/>
    <w:rsid w:val="00EC0F92"/>
    <w:rsid w:val="00EF1713"/>
    <w:rsid w:val="00EF31AE"/>
    <w:rsid w:val="00EF61C2"/>
    <w:rsid w:val="00F10590"/>
    <w:rsid w:val="00F25BD0"/>
    <w:rsid w:val="00F301E9"/>
    <w:rsid w:val="00F3692E"/>
    <w:rsid w:val="00F43259"/>
    <w:rsid w:val="00F615F6"/>
    <w:rsid w:val="00F64AD2"/>
    <w:rsid w:val="00F76E6A"/>
    <w:rsid w:val="00F806B0"/>
    <w:rsid w:val="00FB4EEB"/>
    <w:rsid w:val="00FC3A66"/>
    <w:rsid w:val="00FE0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29F4E"/>
  <w15:chartTrackingRefBased/>
  <w15:docId w15:val="{F7BFB96E-5AE2-4503-BF4B-D723CA265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F25"/>
    <w:pPr>
      <w:spacing w:before="120" w:after="120" w:line="360" w:lineRule="auto"/>
      <w:jc w:val="both"/>
    </w:pPr>
    <w:rPr>
      <w:rFonts w:ascii="Arial" w:hAnsi="Arial"/>
      <w:kern w:val="2"/>
      <w:sz w:val="24"/>
      <w:szCs w:val="24"/>
      <w:lang w:val="en-IN"/>
      <w14:ligatures w14:val="standardContextual"/>
    </w:rPr>
  </w:style>
  <w:style w:type="paragraph" w:styleId="Heading1">
    <w:name w:val="heading 1"/>
    <w:basedOn w:val="Normal"/>
    <w:next w:val="Normal"/>
    <w:link w:val="Heading1Char"/>
    <w:uiPriority w:val="9"/>
    <w:qFormat/>
    <w:rsid w:val="00AE6A16"/>
    <w:pPr>
      <w:keepNext/>
      <w:keepLines/>
      <w:outlineLvl w:val="0"/>
    </w:pPr>
    <w:rPr>
      <w:rFonts w:eastAsiaTheme="majorEastAsia" w:cstheme="majorBidi"/>
      <w:b/>
      <w:color w:val="000000" w:themeColor="text1"/>
      <w:kern w:val="0"/>
      <w:szCs w:val="40"/>
      <w:lang w:val="en-US"/>
      <w14:ligatures w14:val="none"/>
    </w:rPr>
  </w:style>
  <w:style w:type="paragraph" w:styleId="Heading2">
    <w:name w:val="heading 2"/>
    <w:basedOn w:val="Normal"/>
    <w:next w:val="Normal"/>
    <w:link w:val="Heading2Char"/>
    <w:uiPriority w:val="9"/>
    <w:unhideWhenUsed/>
    <w:qFormat/>
    <w:rsid w:val="00862D03"/>
    <w:pPr>
      <w:keepNext/>
      <w:keepLines/>
      <w:outlineLvl w:val="1"/>
    </w:pPr>
    <w:rPr>
      <w:rFonts w:eastAsiaTheme="majorEastAsia" w:cstheme="majorBidi"/>
      <w:b/>
      <w:i/>
      <w:kern w:val="0"/>
      <w:szCs w:val="32"/>
      <w:u w:val="single"/>
      <w:lang w:val="en-US"/>
      <w14:ligatures w14:val="none"/>
    </w:rPr>
  </w:style>
  <w:style w:type="paragraph" w:styleId="Heading3">
    <w:name w:val="heading 3"/>
    <w:basedOn w:val="Normal"/>
    <w:next w:val="Normal"/>
    <w:link w:val="Heading3Char"/>
    <w:uiPriority w:val="9"/>
    <w:semiHidden/>
    <w:unhideWhenUsed/>
    <w:qFormat/>
    <w:rsid w:val="00334BB7"/>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A16"/>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862D03"/>
    <w:rPr>
      <w:rFonts w:ascii="Arial" w:eastAsiaTheme="majorEastAsia" w:hAnsi="Arial" w:cstheme="majorBidi"/>
      <w:b/>
      <w:i/>
      <w:sz w:val="24"/>
      <w:szCs w:val="32"/>
      <w:u w:val="single"/>
    </w:rPr>
  </w:style>
  <w:style w:type="paragraph" w:styleId="Header">
    <w:name w:val="header"/>
    <w:basedOn w:val="Normal"/>
    <w:link w:val="HeaderChar"/>
    <w:uiPriority w:val="99"/>
    <w:unhideWhenUsed/>
    <w:rsid w:val="00AE6A1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E6A16"/>
    <w:rPr>
      <w:rFonts w:ascii="Times New Roman" w:hAnsi="Times New Roman"/>
      <w:kern w:val="2"/>
      <w:sz w:val="24"/>
      <w:szCs w:val="24"/>
      <w:lang w:val="en-IN"/>
      <w14:ligatures w14:val="standardContextual"/>
    </w:rPr>
  </w:style>
  <w:style w:type="paragraph" w:styleId="Footer">
    <w:name w:val="footer"/>
    <w:basedOn w:val="Normal"/>
    <w:link w:val="FooterChar"/>
    <w:uiPriority w:val="99"/>
    <w:unhideWhenUsed/>
    <w:rsid w:val="00AE6A1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E6A16"/>
    <w:rPr>
      <w:rFonts w:ascii="Times New Roman" w:hAnsi="Times New Roman"/>
      <w:kern w:val="2"/>
      <w:sz w:val="24"/>
      <w:szCs w:val="24"/>
      <w:lang w:val="en-IN"/>
      <w14:ligatures w14:val="standardContextual"/>
    </w:rPr>
  </w:style>
  <w:style w:type="paragraph" w:styleId="Caption">
    <w:name w:val="caption"/>
    <w:basedOn w:val="Normal"/>
    <w:next w:val="Normal"/>
    <w:uiPriority w:val="35"/>
    <w:unhideWhenUsed/>
    <w:qFormat/>
    <w:rsid w:val="00FE0F5E"/>
    <w:pPr>
      <w:spacing w:before="0" w:after="200" w:line="240" w:lineRule="auto"/>
    </w:pPr>
    <w:rPr>
      <w:i/>
      <w:iCs/>
      <w:color w:val="44546A" w:themeColor="text2"/>
      <w:sz w:val="18"/>
      <w:szCs w:val="18"/>
    </w:rPr>
  </w:style>
  <w:style w:type="paragraph" w:styleId="NoSpacing">
    <w:name w:val="No Spacing"/>
    <w:uiPriority w:val="1"/>
    <w:qFormat/>
    <w:rsid w:val="00180094"/>
    <w:pPr>
      <w:spacing w:after="0" w:line="240" w:lineRule="auto"/>
      <w:jc w:val="both"/>
    </w:pPr>
    <w:rPr>
      <w:rFonts w:ascii="Times New Roman" w:hAnsi="Times New Roman"/>
      <w:kern w:val="2"/>
      <w:sz w:val="24"/>
      <w:szCs w:val="24"/>
      <w:lang w:val="en-IN"/>
      <w14:ligatures w14:val="standardContextual"/>
    </w:rPr>
  </w:style>
  <w:style w:type="paragraph" w:styleId="TOCHeading">
    <w:name w:val="TOC Heading"/>
    <w:basedOn w:val="Heading1"/>
    <w:next w:val="Normal"/>
    <w:uiPriority w:val="39"/>
    <w:unhideWhenUsed/>
    <w:qFormat/>
    <w:rsid w:val="00334BB7"/>
    <w:p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334BB7"/>
    <w:pPr>
      <w:spacing w:after="100"/>
    </w:pPr>
  </w:style>
  <w:style w:type="paragraph" w:styleId="TOC2">
    <w:name w:val="toc 2"/>
    <w:basedOn w:val="Normal"/>
    <w:next w:val="Normal"/>
    <w:autoRedefine/>
    <w:uiPriority w:val="39"/>
    <w:unhideWhenUsed/>
    <w:rsid w:val="00334BB7"/>
    <w:pPr>
      <w:spacing w:after="100"/>
      <w:ind w:left="240"/>
    </w:pPr>
  </w:style>
  <w:style w:type="character" w:styleId="Hyperlink">
    <w:name w:val="Hyperlink"/>
    <w:basedOn w:val="DefaultParagraphFont"/>
    <w:uiPriority w:val="99"/>
    <w:unhideWhenUsed/>
    <w:rsid w:val="00334BB7"/>
    <w:rPr>
      <w:color w:val="0563C1" w:themeColor="hyperlink"/>
      <w:u w:val="single"/>
    </w:rPr>
  </w:style>
  <w:style w:type="character" w:customStyle="1" w:styleId="Heading3Char">
    <w:name w:val="Heading 3 Char"/>
    <w:basedOn w:val="DefaultParagraphFont"/>
    <w:link w:val="Heading3"/>
    <w:uiPriority w:val="9"/>
    <w:semiHidden/>
    <w:rsid w:val="00334BB7"/>
    <w:rPr>
      <w:rFonts w:asciiTheme="majorHAnsi" w:eastAsiaTheme="majorEastAsia" w:hAnsiTheme="majorHAnsi" w:cstheme="majorBidi"/>
      <w:color w:val="1F4D78" w:themeColor="accent1" w:themeShade="7F"/>
      <w:kern w:val="2"/>
      <w:sz w:val="24"/>
      <w:szCs w:val="24"/>
      <w:lang w:val="en-IN"/>
      <w14:ligatures w14:val="standardContextual"/>
    </w:rPr>
  </w:style>
  <w:style w:type="table" w:styleId="PlainTable1">
    <w:name w:val="Plain Table 1"/>
    <w:basedOn w:val="TableNormal"/>
    <w:uiPriority w:val="41"/>
    <w:rsid w:val="00334BB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334BB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semiHidden/>
    <w:unhideWhenUsed/>
    <w:rsid w:val="0043059F"/>
    <w:pPr>
      <w:spacing w:before="100" w:beforeAutospacing="1" w:after="100" w:afterAutospacing="1" w:line="240" w:lineRule="auto"/>
      <w:jc w:val="left"/>
    </w:pPr>
    <w:rPr>
      <w:rFonts w:eastAsia="Times New Roman" w:cs="Times New Roman"/>
      <w:kern w:val="0"/>
      <w:lang w:val="en-US"/>
      <w14:ligatures w14:val="none"/>
    </w:rPr>
  </w:style>
  <w:style w:type="character" w:styleId="Strong">
    <w:name w:val="Strong"/>
    <w:basedOn w:val="DefaultParagraphFont"/>
    <w:uiPriority w:val="22"/>
    <w:qFormat/>
    <w:rsid w:val="0043059F"/>
    <w:rPr>
      <w:b/>
      <w:bCs/>
    </w:rPr>
  </w:style>
  <w:style w:type="paragraph" w:styleId="TableofFigures">
    <w:name w:val="table of figures"/>
    <w:basedOn w:val="Normal"/>
    <w:next w:val="Normal"/>
    <w:uiPriority w:val="99"/>
    <w:unhideWhenUsed/>
    <w:rsid w:val="002541D0"/>
    <w:pPr>
      <w:spacing w:after="0"/>
    </w:pPr>
  </w:style>
  <w:style w:type="character" w:styleId="UnresolvedMention">
    <w:name w:val="Unresolved Mention"/>
    <w:basedOn w:val="DefaultParagraphFont"/>
    <w:uiPriority w:val="99"/>
    <w:semiHidden/>
    <w:unhideWhenUsed/>
    <w:rsid w:val="009F2C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58962">
      <w:bodyDiv w:val="1"/>
      <w:marLeft w:val="0"/>
      <w:marRight w:val="0"/>
      <w:marTop w:val="0"/>
      <w:marBottom w:val="0"/>
      <w:divBdr>
        <w:top w:val="none" w:sz="0" w:space="0" w:color="auto"/>
        <w:left w:val="none" w:sz="0" w:space="0" w:color="auto"/>
        <w:bottom w:val="none" w:sz="0" w:space="0" w:color="auto"/>
        <w:right w:val="none" w:sz="0" w:space="0" w:color="auto"/>
      </w:divBdr>
    </w:div>
    <w:div w:id="49503901">
      <w:bodyDiv w:val="1"/>
      <w:marLeft w:val="0"/>
      <w:marRight w:val="0"/>
      <w:marTop w:val="0"/>
      <w:marBottom w:val="0"/>
      <w:divBdr>
        <w:top w:val="none" w:sz="0" w:space="0" w:color="auto"/>
        <w:left w:val="none" w:sz="0" w:space="0" w:color="auto"/>
        <w:bottom w:val="none" w:sz="0" w:space="0" w:color="auto"/>
        <w:right w:val="none" w:sz="0" w:space="0" w:color="auto"/>
      </w:divBdr>
    </w:div>
    <w:div w:id="160583021">
      <w:bodyDiv w:val="1"/>
      <w:marLeft w:val="0"/>
      <w:marRight w:val="0"/>
      <w:marTop w:val="0"/>
      <w:marBottom w:val="0"/>
      <w:divBdr>
        <w:top w:val="none" w:sz="0" w:space="0" w:color="auto"/>
        <w:left w:val="none" w:sz="0" w:space="0" w:color="auto"/>
        <w:bottom w:val="none" w:sz="0" w:space="0" w:color="auto"/>
        <w:right w:val="none" w:sz="0" w:space="0" w:color="auto"/>
      </w:divBdr>
      <w:divsChild>
        <w:div w:id="95760597">
          <w:marLeft w:val="0"/>
          <w:marRight w:val="0"/>
          <w:marTop w:val="0"/>
          <w:marBottom w:val="0"/>
          <w:divBdr>
            <w:top w:val="none" w:sz="0" w:space="0" w:color="auto"/>
            <w:left w:val="none" w:sz="0" w:space="0" w:color="auto"/>
            <w:bottom w:val="none" w:sz="0" w:space="0" w:color="auto"/>
            <w:right w:val="none" w:sz="0" w:space="0" w:color="auto"/>
          </w:divBdr>
          <w:divsChild>
            <w:div w:id="1094742991">
              <w:marLeft w:val="0"/>
              <w:marRight w:val="0"/>
              <w:marTop w:val="0"/>
              <w:marBottom w:val="0"/>
              <w:divBdr>
                <w:top w:val="none" w:sz="0" w:space="0" w:color="auto"/>
                <w:left w:val="none" w:sz="0" w:space="0" w:color="auto"/>
                <w:bottom w:val="none" w:sz="0" w:space="0" w:color="auto"/>
                <w:right w:val="none" w:sz="0" w:space="0" w:color="auto"/>
              </w:divBdr>
            </w:div>
          </w:divsChild>
        </w:div>
        <w:div w:id="1970236967">
          <w:marLeft w:val="0"/>
          <w:marRight w:val="0"/>
          <w:marTop w:val="0"/>
          <w:marBottom w:val="0"/>
          <w:divBdr>
            <w:top w:val="none" w:sz="0" w:space="0" w:color="auto"/>
            <w:left w:val="none" w:sz="0" w:space="0" w:color="auto"/>
            <w:bottom w:val="none" w:sz="0" w:space="0" w:color="auto"/>
            <w:right w:val="none" w:sz="0" w:space="0" w:color="auto"/>
          </w:divBdr>
          <w:divsChild>
            <w:div w:id="2059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980561">
      <w:bodyDiv w:val="1"/>
      <w:marLeft w:val="0"/>
      <w:marRight w:val="0"/>
      <w:marTop w:val="0"/>
      <w:marBottom w:val="0"/>
      <w:divBdr>
        <w:top w:val="none" w:sz="0" w:space="0" w:color="auto"/>
        <w:left w:val="none" w:sz="0" w:space="0" w:color="auto"/>
        <w:bottom w:val="none" w:sz="0" w:space="0" w:color="auto"/>
        <w:right w:val="none" w:sz="0" w:space="0" w:color="auto"/>
      </w:divBdr>
    </w:div>
    <w:div w:id="338193795">
      <w:bodyDiv w:val="1"/>
      <w:marLeft w:val="0"/>
      <w:marRight w:val="0"/>
      <w:marTop w:val="0"/>
      <w:marBottom w:val="0"/>
      <w:divBdr>
        <w:top w:val="none" w:sz="0" w:space="0" w:color="auto"/>
        <w:left w:val="none" w:sz="0" w:space="0" w:color="auto"/>
        <w:bottom w:val="none" w:sz="0" w:space="0" w:color="auto"/>
        <w:right w:val="none" w:sz="0" w:space="0" w:color="auto"/>
      </w:divBdr>
      <w:divsChild>
        <w:div w:id="882062060">
          <w:marLeft w:val="0"/>
          <w:marRight w:val="0"/>
          <w:marTop w:val="0"/>
          <w:marBottom w:val="0"/>
          <w:divBdr>
            <w:top w:val="none" w:sz="0" w:space="0" w:color="auto"/>
            <w:left w:val="none" w:sz="0" w:space="0" w:color="auto"/>
            <w:bottom w:val="none" w:sz="0" w:space="0" w:color="auto"/>
            <w:right w:val="none" w:sz="0" w:space="0" w:color="auto"/>
          </w:divBdr>
          <w:divsChild>
            <w:div w:id="893393736">
              <w:marLeft w:val="0"/>
              <w:marRight w:val="0"/>
              <w:marTop w:val="0"/>
              <w:marBottom w:val="0"/>
              <w:divBdr>
                <w:top w:val="none" w:sz="0" w:space="0" w:color="auto"/>
                <w:left w:val="none" w:sz="0" w:space="0" w:color="auto"/>
                <w:bottom w:val="none" w:sz="0" w:space="0" w:color="auto"/>
                <w:right w:val="none" w:sz="0" w:space="0" w:color="auto"/>
              </w:divBdr>
              <w:divsChild>
                <w:div w:id="219942230">
                  <w:marLeft w:val="0"/>
                  <w:marRight w:val="0"/>
                  <w:marTop w:val="0"/>
                  <w:marBottom w:val="0"/>
                  <w:divBdr>
                    <w:top w:val="none" w:sz="0" w:space="0" w:color="auto"/>
                    <w:left w:val="none" w:sz="0" w:space="0" w:color="auto"/>
                    <w:bottom w:val="none" w:sz="0" w:space="0" w:color="auto"/>
                    <w:right w:val="none" w:sz="0" w:space="0" w:color="auto"/>
                  </w:divBdr>
                  <w:divsChild>
                    <w:div w:id="1177426112">
                      <w:marLeft w:val="0"/>
                      <w:marRight w:val="0"/>
                      <w:marTop w:val="0"/>
                      <w:marBottom w:val="0"/>
                      <w:divBdr>
                        <w:top w:val="none" w:sz="0" w:space="0" w:color="auto"/>
                        <w:left w:val="none" w:sz="0" w:space="0" w:color="auto"/>
                        <w:bottom w:val="none" w:sz="0" w:space="0" w:color="auto"/>
                        <w:right w:val="none" w:sz="0" w:space="0" w:color="auto"/>
                      </w:divBdr>
                      <w:divsChild>
                        <w:div w:id="1062144773">
                          <w:marLeft w:val="0"/>
                          <w:marRight w:val="0"/>
                          <w:marTop w:val="0"/>
                          <w:marBottom w:val="0"/>
                          <w:divBdr>
                            <w:top w:val="none" w:sz="0" w:space="0" w:color="auto"/>
                            <w:left w:val="none" w:sz="0" w:space="0" w:color="auto"/>
                            <w:bottom w:val="none" w:sz="0" w:space="0" w:color="auto"/>
                            <w:right w:val="none" w:sz="0" w:space="0" w:color="auto"/>
                          </w:divBdr>
                          <w:divsChild>
                            <w:div w:id="151723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6581355">
      <w:bodyDiv w:val="1"/>
      <w:marLeft w:val="0"/>
      <w:marRight w:val="0"/>
      <w:marTop w:val="0"/>
      <w:marBottom w:val="0"/>
      <w:divBdr>
        <w:top w:val="none" w:sz="0" w:space="0" w:color="auto"/>
        <w:left w:val="none" w:sz="0" w:space="0" w:color="auto"/>
        <w:bottom w:val="none" w:sz="0" w:space="0" w:color="auto"/>
        <w:right w:val="none" w:sz="0" w:space="0" w:color="auto"/>
      </w:divBdr>
      <w:divsChild>
        <w:div w:id="803738299">
          <w:marLeft w:val="0"/>
          <w:marRight w:val="0"/>
          <w:marTop w:val="0"/>
          <w:marBottom w:val="0"/>
          <w:divBdr>
            <w:top w:val="none" w:sz="0" w:space="0" w:color="auto"/>
            <w:left w:val="none" w:sz="0" w:space="0" w:color="auto"/>
            <w:bottom w:val="none" w:sz="0" w:space="0" w:color="auto"/>
            <w:right w:val="none" w:sz="0" w:space="0" w:color="auto"/>
          </w:divBdr>
          <w:divsChild>
            <w:div w:id="1614441547">
              <w:marLeft w:val="0"/>
              <w:marRight w:val="0"/>
              <w:marTop w:val="0"/>
              <w:marBottom w:val="0"/>
              <w:divBdr>
                <w:top w:val="none" w:sz="0" w:space="0" w:color="auto"/>
                <w:left w:val="none" w:sz="0" w:space="0" w:color="auto"/>
                <w:bottom w:val="none" w:sz="0" w:space="0" w:color="auto"/>
                <w:right w:val="none" w:sz="0" w:space="0" w:color="auto"/>
              </w:divBdr>
              <w:divsChild>
                <w:div w:id="1703361816">
                  <w:marLeft w:val="0"/>
                  <w:marRight w:val="0"/>
                  <w:marTop w:val="0"/>
                  <w:marBottom w:val="0"/>
                  <w:divBdr>
                    <w:top w:val="none" w:sz="0" w:space="0" w:color="auto"/>
                    <w:left w:val="none" w:sz="0" w:space="0" w:color="auto"/>
                    <w:bottom w:val="none" w:sz="0" w:space="0" w:color="auto"/>
                    <w:right w:val="none" w:sz="0" w:space="0" w:color="auto"/>
                  </w:divBdr>
                  <w:divsChild>
                    <w:div w:id="813763597">
                      <w:marLeft w:val="0"/>
                      <w:marRight w:val="0"/>
                      <w:marTop w:val="0"/>
                      <w:marBottom w:val="0"/>
                      <w:divBdr>
                        <w:top w:val="none" w:sz="0" w:space="0" w:color="auto"/>
                        <w:left w:val="none" w:sz="0" w:space="0" w:color="auto"/>
                        <w:bottom w:val="none" w:sz="0" w:space="0" w:color="auto"/>
                        <w:right w:val="none" w:sz="0" w:space="0" w:color="auto"/>
                      </w:divBdr>
                      <w:divsChild>
                        <w:div w:id="2131508943">
                          <w:marLeft w:val="0"/>
                          <w:marRight w:val="0"/>
                          <w:marTop w:val="0"/>
                          <w:marBottom w:val="0"/>
                          <w:divBdr>
                            <w:top w:val="none" w:sz="0" w:space="0" w:color="auto"/>
                            <w:left w:val="none" w:sz="0" w:space="0" w:color="auto"/>
                            <w:bottom w:val="none" w:sz="0" w:space="0" w:color="auto"/>
                            <w:right w:val="none" w:sz="0" w:space="0" w:color="auto"/>
                          </w:divBdr>
                          <w:divsChild>
                            <w:div w:id="16786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9929641">
      <w:bodyDiv w:val="1"/>
      <w:marLeft w:val="0"/>
      <w:marRight w:val="0"/>
      <w:marTop w:val="0"/>
      <w:marBottom w:val="0"/>
      <w:divBdr>
        <w:top w:val="none" w:sz="0" w:space="0" w:color="auto"/>
        <w:left w:val="none" w:sz="0" w:space="0" w:color="auto"/>
        <w:bottom w:val="none" w:sz="0" w:space="0" w:color="auto"/>
        <w:right w:val="none" w:sz="0" w:space="0" w:color="auto"/>
      </w:divBdr>
    </w:div>
    <w:div w:id="1140417006">
      <w:bodyDiv w:val="1"/>
      <w:marLeft w:val="0"/>
      <w:marRight w:val="0"/>
      <w:marTop w:val="0"/>
      <w:marBottom w:val="0"/>
      <w:divBdr>
        <w:top w:val="none" w:sz="0" w:space="0" w:color="auto"/>
        <w:left w:val="none" w:sz="0" w:space="0" w:color="auto"/>
        <w:bottom w:val="none" w:sz="0" w:space="0" w:color="auto"/>
        <w:right w:val="none" w:sz="0" w:space="0" w:color="auto"/>
      </w:divBdr>
    </w:div>
    <w:div w:id="1149977317">
      <w:bodyDiv w:val="1"/>
      <w:marLeft w:val="0"/>
      <w:marRight w:val="0"/>
      <w:marTop w:val="0"/>
      <w:marBottom w:val="0"/>
      <w:divBdr>
        <w:top w:val="none" w:sz="0" w:space="0" w:color="auto"/>
        <w:left w:val="none" w:sz="0" w:space="0" w:color="auto"/>
        <w:bottom w:val="none" w:sz="0" w:space="0" w:color="auto"/>
        <w:right w:val="none" w:sz="0" w:space="0" w:color="auto"/>
      </w:divBdr>
    </w:div>
    <w:div w:id="1365717303">
      <w:bodyDiv w:val="1"/>
      <w:marLeft w:val="0"/>
      <w:marRight w:val="0"/>
      <w:marTop w:val="0"/>
      <w:marBottom w:val="0"/>
      <w:divBdr>
        <w:top w:val="none" w:sz="0" w:space="0" w:color="auto"/>
        <w:left w:val="none" w:sz="0" w:space="0" w:color="auto"/>
        <w:bottom w:val="none" w:sz="0" w:space="0" w:color="auto"/>
        <w:right w:val="none" w:sz="0" w:space="0" w:color="auto"/>
      </w:divBdr>
      <w:divsChild>
        <w:div w:id="1155292248">
          <w:marLeft w:val="0"/>
          <w:marRight w:val="0"/>
          <w:marTop w:val="0"/>
          <w:marBottom w:val="0"/>
          <w:divBdr>
            <w:top w:val="none" w:sz="0" w:space="0" w:color="auto"/>
            <w:left w:val="none" w:sz="0" w:space="0" w:color="auto"/>
            <w:bottom w:val="none" w:sz="0" w:space="0" w:color="auto"/>
            <w:right w:val="none" w:sz="0" w:space="0" w:color="auto"/>
          </w:divBdr>
          <w:divsChild>
            <w:div w:id="975793335">
              <w:marLeft w:val="0"/>
              <w:marRight w:val="0"/>
              <w:marTop w:val="0"/>
              <w:marBottom w:val="0"/>
              <w:divBdr>
                <w:top w:val="none" w:sz="0" w:space="0" w:color="auto"/>
                <w:left w:val="none" w:sz="0" w:space="0" w:color="auto"/>
                <w:bottom w:val="none" w:sz="0" w:space="0" w:color="auto"/>
                <w:right w:val="none" w:sz="0" w:space="0" w:color="auto"/>
              </w:divBdr>
              <w:divsChild>
                <w:div w:id="1707869189">
                  <w:marLeft w:val="0"/>
                  <w:marRight w:val="0"/>
                  <w:marTop w:val="0"/>
                  <w:marBottom w:val="0"/>
                  <w:divBdr>
                    <w:top w:val="none" w:sz="0" w:space="0" w:color="auto"/>
                    <w:left w:val="none" w:sz="0" w:space="0" w:color="auto"/>
                    <w:bottom w:val="none" w:sz="0" w:space="0" w:color="auto"/>
                    <w:right w:val="none" w:sz="0" w:space="0" w:color="auto"/>
                  </w:divBdr>
                  <w:divsChild>
                    <w:div w:id="1120221764">
                      <w:marLeft w:val="0"/>
                      <w:marRight w:val="0"/>
                      <w:marTop w:val="0"/>
                      <w:marBottom w:val="0"/>
                      <w:divBdr>
                        <w:top w:val="none" w:sz="0" w:space="0" w:color="auto"/>
                        <w:left w:val="none" w:sz="0" w:space="0" w:color="auto"/>
                        <w:bottom w:val="none" w:sz="0" w:space="0" w:color="auto"/>
                        <w:right w:val="none" w:sz="0" w:space="0" w:color="auto"/>
                      </w:divBdr>
                      <w:divsChild>
                        <w:div w:id="492379066">
                          <w:marLeft w:val="0"/>
                          <w:marRight w:val="0"/>
                          <w:marTop w:val="0"/>
                          <w:marBottom w:val="0"/>
                          <w:divBdr>
                            <w:top w:val="none" w:sz="0" w:space="0" w:color="auto"/>
                            <w:left w:val="none" w:sz="0" w:space="0" w:color="auto"/>
                            <w:bottom w:val="none" w:sz="0" w:space="0" w:color="auto"/>
                            <w:right w:val="none" w:sz="0" w:space="0" w:color="auto"/>
                          </w:divBdr>
                          <w:divsChild>
                            <w:div w:id="158456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472758">
      <w:bodyDiv w:val="1"/>
      <w:marLeft w:val="0"/>
      <w:marRight w:val="0"/>
      <w:marTop w:val="0"/>
      <w:marBottom w:val="0"/>
      <w:divBdr>
        <w:top w:val="none" w:sz="0" w:space="0" w:color="auto"/>
        <w:left w:val="none" w:sz="0" w:space="0" w:color="auto"/>
        <w:bottom w:val="none" w:sz="0" w:space="0" w:color="auto"/>
        <w:right w:val="none" w:sz="0" w:space="0" w:color="auto"/>
      </w:divBdr>
    </w:div>
    <w:div w:id="1902205022">
      <w:bodyDiv w:val="1"/>
      <w:marLeft w:val="0"/>
      <w:marRight w:val="0"/>
      <w:marTop w:val="0"/>
      <w:marBottom w:val="0"/>
      <w:divBdr>
        <w:top w:val="none" w:sz="0" w:space="0" w:color="auto"/>
        <w:left w:val="none" w:sz="0" w:space="0" w:color="auto"/>
        <w:bottom w:val="none" w:sz="0" w:space="0" w:color="auto"/>
        <w:right w:val="none" w:sz="0" w:space="0" w:color="auto"/>
      </w:divBdr>
    </w:div>
    <w:div w:id="1948153011">
      <w:bodyDiv w:val="1"/>
      <w:marLeft w:val="0"/>
      <w:marRight w:val="0"/>
      <w:marTop w:val="0"/>
      <w:marBottom w:val="0"/>
      <w:divBdr>
        <w:top w:val="none" w:sz="0" w:space="0" w:color="auto"/>
        <w:left w:val="none" w:sz="0" w:space="0" w:color="auto"/>
        <w:bottom w:val="none" w:sz="0" w:space="0" w:color="auto"/>
        <w:right w:val="none" w:sz="0" w:space="0" w:color="auto"/>
      </w:divBdr>
    </w:div>
    <w:div w:id="2067486767">
      <w:bodyDiv w:val="1"/>
      <w:marLeft w:val="0"/>
      <w:marRight w:val="0"/>
      <w:marTop w:val="0"/>
      <w:marBottom w:val="0"/>
      <w:divBdr>
        <w:top w:val="none" w:sz="0" w:space="0" w:color="auto"/>
        <w:left w:val="none" w:sz="0" w:space="0" w:color="auto"/>
        <w:bottom w:val="none" w:sz="0" w:space="0" w:color="auto"/>
        <w:right w:val="none" w:sz="0" w:space="0" w:color="auto"/>
      </w:divBdr>
    </w:div>
    <w:div w:id="2118328333">
      <w:bodyDiv w:val="1"/>
      <w:marLeft w:val="0"/>
      <w:marRight w:val="0"/>
      <w:marTop w:val="0"/>
      <w:marBottom w:val="0"/>
      <w:divBdr>
        <w:top w:val="none" w:sz="0" w:space="0" w:color="auto"/>
        <w:left w:val="none" w:sz="0" w:space="0" w:color="auto"/>
        <w:bottom w:val="none" w:sz="0" w:space="0" w:color="auto"/>
        <w:right w:val="none" w:sz="0" w:space="0" w:color="auto"/>
      </w:divBdr>
    </w:div>
    <w:div w:id="2125420628">
      <w:bodyDiv w:val="1"/>
      <w:marLeft w:val="0"/>
      <w:marRight w:val="0"/>
      <w:marTop w:val="0"/>
      <w:marBottom w:val="0"/>
      <w:divBdr>
        <w:top w:val="none" w:sz="0" w:space="0" w:color="auto"/>
        <w:left w:val="none" w:sz="0" w:space="0" w:color="auto"/>
        <w:bottom w:val="none" w:sz="0" w:space="0" w:color="auto"/>
        <w:right w:val="none" w:sz="0" w:space="0" w:color="auto"/>
      </w:divBdr>
    </w:div>
    <w:div w:id="2131584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yota-europe.com/about-us/toyota-in-the-world" TargetMode="External"/><Relationship Id="rId13" Type="http://schemas.openxmlformats.org/officeDocument/2006/relationships/hyperlink" Target="https://www.toyota-industries.com/investors/item/2025_annual_financial_report_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lobal.toyota/pages/global_toyota/ir/library/annual/2024_001_integrated_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yota-industries.com/investors/item/2023_annual_financial_report_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oyota-industries.com/investors/library/reports/index.html" TargetMode="External"/><Relationship Id="rId4" Type="http://schemas.openxmlformats.org/officeDocument/2006/relationships/webSettings" Target="webSettings.xml"/><Relationship Id="rId9" Type="http://schemas.openxmlformats.org/officeDocument/2006/relationships/hyperlink" Target="https://www.toyota-industries.com/investors/items/2021_annual_financial_report_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52410-F5CF-4610-8FCD-7BC0EF916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7063</Words>
  <Characters>40265</Characters>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2026-04-24T12:50:00Z</dcterms:created>
  <dcterms:modified xsi:type="dcterms:W3CDTF">2026-04-24T12:50:00Z</dcterms:modified>
</cp:coreProperties>
</file>